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BC" w:rsidRPr="00C36C26" w:rsidRDefault="002B2F05" w:rsidP="002B2F05">
      <w:pPr>
        <w:jc w:val="center"/>
        <w:rPr>
          <w:rStyle w:val="hps"/>
          <w:b/>
          <w:sz w:val="28"/>
          <w:szCs w:val="28"/>
          <w:lang w:val="en-GB"/>
        </w:rPr>
      </w:pPr>
      <w:r w:rsidRPr="002B2F05">
        <w:rPr>
          <w:rStyle w:val="hps"/>
          <w:b/>
          <w:sz w:val="28"/>
          <w:szCs w:val="28"/>
          <w:lang w:val="en-GB"/>
        </w:rPr>
        <w:t xml:space="preserve">Data-driven building energy modelling – An analysis of the potential for </w:t>
      </w:r>
      <w:r w:rsidR="00106A3A">
        <w:rPr>
          <w:rStyle w:val="hps"/>
          <w:b/>
          <w:sz w:val="28"/>
          <w:szCs w:val="28"/>
          <w:lang w:val="en-GB"/>
        </w:rPr>
        <w:t>generalisation</w:t>
      </w:r>
      <w:r>
        <w:rPr>
          <w:rStyle w:val="hps"/>
          <w:b/>
          <w:sz w:val="28"/>
          <w:szCs w:val="28"/>
          <w:lang w:val="en-GB"/>
        </w:rPr>
        <w:t xml:space="preserve"> </w:t>
      </w:r>
      <w:r w:rsidR="00637048">
        <w:rPr>
          <w:rStyle w:val="hps"/>
          <w:b/>
          <w:sz w:val="28"/>
          <w:szCs w:val="28"/>
          <w:lang w:val="en-GB"/>
        </w:rPr>
        <w:t>through interpretable machine learning</w:t>
      </w:r>
    </w:p>
    <w:p w:rsidR="00BC33B1" w:rsidRDefault="00BC33B1" w:rsidP="00BC33B1">
      <w:pPr>
        <w:jc w:val="center"/>
        <w:rPr>
          <w:rStyle w:val="hps"/>
          <w:b/>
          <w:sz w:val="28"/>
          <w:szCs w:val="28"/>
          <w:lang w:val="en-GB"/>
        </w:rPr>
      </w:pPr>
    </w:p>
    <w:p w:rsidR="002B2F05" w:rsidRPr="00C36C26" w:rsidRDefault="002B2F05" w:rsidP="00BC33B1">
      <w:pPr>
        <w:jc w:val="center"/>
        <w:rPr>
          <w:rStyle w:val="hps"/>
          <w:b/>
          <w:sz w:val="28"/>
          <w:szCs w:val="28"/>
          <w:lang w:val="en-GB"/>
        </w:rPr>
      </w:pPr>
    </w:p>
    <w:p w:rsidR="00BC33B1" w:rsidRPr="00E50C02" w:rsidRDefault="00CF2FB8" w:rsidP="002B2F05">
      <w:pPr>
        <w:spacing w:line="220" w:lineRule="exact"/>
        <w:jc w:val="center"/>
        <w:rPr>
          <w:rFonts w:eastAsia="Calibri"/>
        </w:rPr>
      </w:pPr>
      <w:r w:rsidRPr="00E50C02">
        <w:rPr>
          <w:b/>
          <w:bCs/>
        </w:rPr>
        <w:t xml:space="preserve">Massimiliano </w:t>
      </w:r>
      <w:proofErr w:type="spellStart"/>
      <w:r w:rsidRPr="00E50C02">
        <w:rPr>
          <w:b/>
          <w:bCs/>
        </w:rPr>
        <w:t>Manfren</w:t>
      </w:r>
      <w:r w:rsidR="00BC33B1" w:rsidRPr="00E50C02">
        <w:rPr>
          <w:b/>
          <w:bCs/>
          <w:vertAlign w:val="superscript"/>
        </w:rPr>
        <w:t>a</w:t>
      </w:r>
      <w:proofErr w:type="spellEnd"/>
      <w:r w:rsidR="00346F8C" w:rsidRPr="00E50C02">
        <w:rPr>
          <w:b/>
          <w:bCs/>
        </w:rPr>
        <w:t>,</w:t>
      </w:r>
      <w:r w:rsidR="00346F8C" w:rsidRPr="00E50C02">
        <w:t xml:space="preserve"> </w:t>
      </w:r>
      <w:r w:rsidR="00346F8C" w:rsidRPr="00E50C02">
        <w:rPr>
          <w:b/>
          <w:bCs/>
        </w:rPr>
        <w:t xml:space="preserve">Patrick AB </w:t>
      </w:r>
      <w:proofErr w:type="spellStart"/>
      <w:r w:rsidR="00346F8C" w:rsidRPr="00E50C02">
        <w:rPr>
          <w:b/>
          <w:bCs/>
        </w:rPr>
        <w:t>James</w:t>
      </w:r>
      <w:r w:rsidR="00346F8C" w:rsidRPr="00E50C02">
        <w:rPr>
          <w:b/>
          <w:bCs/>
          <w:vertAlign w:val="superscript"/>
        </w:rPr>
        <w:t>a</w:t>
      </w:r>
      <w:proofErr w:type="spellEnd"/>
      <w:r w:rsidR="00BC33B1" w:rsidRPr="00E50C02">
        <w:rPr>
          <w:b/>
          <w:bCs/>
        </w:rPr>
        <w:t xml:space="preserve">, </w:t>
      </w:r>
      <w:r w:rsidRPr="00E50C02">
        <w:rPr>
          <w:rFonts w:eastAsia="Calibri"/>
          <w:b/>
        </w:rPr>
        <w:t xml:space="preserve">Lamberto </w:t>
      </w:r>
      <w:proofErr w:type="spellStart"/>
      <w:r w:rsidRPr="00E50C02">
        <w:rPr>
          <w:rFonts w:eastAsia="Calibri"/>
          <w:b/>
        </w:rPr>
        <w:t>Tronchin</w:t>
      </w:r>
      <w:proofErr w:type="spellEnd"/>
      <w:r w:rsidR="00EF7A21" w:rsidRPr="00E50C02">
        <w:rPr>
          <w:b/>
          <w:vertAlign w:val="superscript"/>
        </w:rPr>
        <w:footnoteReference w:customMarkFollows="1" w:id="1"/>
        <w:t>*</w:t>
      </w:r>
      <w:r w:rsidR="00E50C02" w:rsidRPr="00E50C02">
        <w:rPr>
          <w:rFonts w:eastAsia="Calibri"/>
          <w:b/>
          <w:vertAlign w:val="superscript"/>
        </w:rPr>
        <w:t>b</w:t>
      </w:r>
    </w:p>
    <w:p w:rsidR="00CF2FB8" w:rsidRPr="00E50C02" w:rsidRDefault="00CF2FB8" w:rsidP="00CF2FB8">
      <w:pPr>
        <w:jc w:val="center"/>
        <w:rPr>
          <w:lang w:val="en-GB"/>
        </w:rPr>
      </w:pPr>
      <w:proofErr w:type="gramStart"/>
      <w:r w:rsidRPr="00E50C02">
        <w:rPr>
          <w:vertAlign w:val="superscript"/>
          <w:lang w:val="en-GB"/>
        </w:rPr>
        <w:t>a</w:t>
      </w:r>
      <w:proofErr w:type="gramEnd"/>
      <w:r w:rsidRPr="00E50C02">
        <w:rPr>
          <w:vertAlign w:val="superscript"/>
          <w:lang w:val="en-GB"/>
        </w:rPr>
        <w:t xml:space="preserve"> </w:t>
      </w:r>
      <w:r w:rsidRPr="00E50C02">
        <w:rPr>
          <w:lang w:val="en-GB"/>
        </w:rPr>
        <w:t xml:space="preserve">Faculty of Engineering and Physical Sciences, University of Southampton, </w:t>
      </w:r>
      <w:proofErr w:type="spellStart"/>
      <w:r w:rsidRPr="00E50C02">
        <w:rPr>
          <w:lang w:val="en-GB"/>
        </w:rPr>
        <w:t>Boldrewood</w:t>
      </w:r>
      <w:proofErr w:type="spellEnd"/>
      <w:r w:rsidRPr="00E50C02">
        <w:rPr>
          <w:lang w:val="en-GB"/>
        </w:rPr>
        <w:t xml:space="preserve"> Campus – SO16 7QF Southampton, United Kingdom </w:t>
      </w:r>
    </w:p>
    <w:p w:rsidR="00CF2FB8" w:rsidRPr="00E50C02" w:rsidRDefault="00CF2FB8" w:rsidP="00346F8C">
      <w:pPr>
        <w:jc w:val="center"/>
        <w:rPr>
          <w:lang w:val="en-GB"/>
        </w:rPr>
      </w:pPr>
      <w:proofErr w:type="gramStart"/>
      <w:r w:rsidRPr="00E50C02">
        <w:rPr>
          <w:vertAlign w:val="superscript"/>
          <w:lang w:val="en-GB"/>
        </w:rPr>
        <w:t>b</w:t>
      </w:r>
      <w:proofErr w:type="gramEnd"/>
      <w:r w:rsidRPr="00E50C02">
        <w:rPr>
          <w:vertAlign w:val="superscript"/>
          <w:lang w:val="en-GB"/>
        </w:rPr>
        <w:t xml:space="preserve"> </w:t>
      </w:r>
      <w:r w:rsidRPr="00E50C02">
        <w:rPr>
          <w:lang w:val="en-GB"/>
        </w:rPr>
        <w:t xml:space="preserve">Department of Architecture (DA), University of Bologna, Via </w:t>
      </w:r>
      <w:proofErr w:type="spellStart"/>
      <w:r w:rsidRPr="00E50C02">
        <w:rPr>
          <w:lang w:val="en-GB"/>
        </w:rPr>
        <w:t>Cavalcavia</w:t>
      </w:r>
      <w:proofErr w:type="spellEnd"/>
      <w:r w:rsidRPr="00E50C02">
        <w:rPr>
          <w:lang w:val="en-GB"/>
        </w:rPr>
        <w:t xml:space="preserve"> 61 47521, Cesena, Italy</w:t>
      </w:r>
    </w:p>
    <w:p w:rsidR="00AE70A1" w:rsidRDefault="00AE70A1" w:rsidP="00BC33B1">
      <w:pPr>
        <w:spacing w:line="220" w:lineRule="exact"/>
        <w:jc w:val="center"/>
        <w:rPr>
          <w:lang w:val="en-GB"/>
        </w:rPr>
      </w:pPr>
    </w:p>
    <w:p w:rsidR="00AE70A1" w:rsidRPr="00C36C26" w:rsidRDefault="00AE70A1" w:rsidP="00BC33B1">
      <w:pPr>
        <w:spacing w:line="220" w:lineRule="exact"/>
        <w:jc w:val="center"/>
        <w:rPr>
          <w:lang w:val="en-GB"/>
        </w:rPr>
      </w:pPr>
    </w:p>
    <w:p w:rsidR="00F423D3" w:rsidRPr="00C36C26" w:rsidRDefault="00C47395" w:rsidP="006C7AEE">
      <w:pPr>
        <w:pStyle w:val="Heading1"/>
        <w:numPr>
          <w:ilvl w:val="0"/>
          <w:numId w:val="0"/>
        </w:numPr>
        <w:ind w:left="432" w:hanging="432"/>
      </w:pPr>
      <w:bookmarkStart w:id="0" w:name="_Toc271641500"/>
      <w:bookmarkStart w:id="1" w:name="_Toc98497992"/>
      <w:r w:rsidRPr="00C36C26">
        <w:t>Abstract</w:t>
      </w:r>
      <w:bookmarkEnd w:id="0"/>
      <w:bookmarkEnd w:id="1"/>
    </w:p>
    <w:p w:rsidR="00251183" w:rsidRDefault="002B2F05" w:rsidP="00020C4B">
      <w:pPr>
        <w:jc w:val="both"/>
        <w:rPr>
          <w:lang w:val="en-GB"/>
        </w:rPr>
      </w:pPr>
      <w:r w:rsidRPr="001A71E1">
        <w:rPr>
          <w:lang w:val="en-GB"/>
        </w:rPr>
        <w:t xml:space="preserve">Data-driven building energy modelling techniques have proven to be effective in multiple applications. However, the debate around the possibility of </w:t>
      </w:r>
      <w:r w:rsidR="00106A3A">
        <w:rPr>
          <w:lang w:val="en-GB"/>
        </w:rPr>
        <w:t>generalisation</w:t>
      </w:r>
      <w:r w:rsidRPr="001A71E1">
        <w:rPr>
          <w:lang w:val="en-GB"/>
        </w:rPr>
        <w:t xml:space="preserve"> is open.</w:t>
      </w:r>
      <w:r w:rsidR="002245BC">
        <w:rPr>
          <w:lang w:val="en-GB"/>
        </w:rPr>
        <w:t xml:space="preserve"> </w:t>
      </w:r>
      <w:r w:rsidR="00106A3A">
        <w:rPr>
          <w:lang w:val="en-GB"/>
        </w:rPr>
        <w:t>Generalisation</w:t>
      </w:r>
      <w:r w:rsidR="002245BC">
        <w:rPr>
          <w:lang w:val="en-GB"/>
        </w:rPr>
        <w:t xml:space="preserve"> involves</w:t>
      </w:r>
      <w:r w:rsidR="002245BC" w:rsidRPr="002245BC">
        <w:rPr>
          <w:lang w:val="en-GB"/>
        </w:rPr>
        <w:t xml:space="preserve"> the ability of a machine-learning model to adapt to previously unseen data</w:t>
      </w:r>
      <w:r w:rsidR="002245BC">
        <w:rPr>
          <w:lang w:val="en-GB"/>
        </w:rPr>
        <w:t xml:space="preserve"> and perform in a satisfactory way. </w:t>
      </w:r>
      <w:r w:rsidR="00080ADC" w:rsidRPr="00855488">
        <w:rPr>
          <w:lang w:val="en-GB"/>
        </w:rPr>
        <w:t xml:space="preserve">Besides that, while machine-learning techniques are extremely powerful, interpretability, </w:t>
      </w:r>
      <w:r w:rsidR="00020C4B">
        <w:rPr>
          <w:lang w:val="en-GB"/>
        </w:rPr>
        <w:t>i.e.</w:t>
      </w:r>
      <w:r w:rsidR="00020C4B" w:rsidRPr="00855488">
        <w:rPr>
          <w:lang w:val="en-GB"/>
        </w:rPr>
        <w:t xml:space="preserve"> </w:t>
      </w:r>
      <w:r w:rsidR="00080ADC" w:rsidRPr="00855488">
        <w:rPr>
          <w:lang w:val="en-GB"/>
        </w:rPr>
        <w:t>the ability for humans to predict how the model output will change in response to a change in input data or algorithmic parameters, is essential to attain a "human-in-the-loop" approach and creating feedback loops aimed at continuous improvement</w:t>
      </w:r>
      <w:r w:rsidR="00251183">
        <w:rPr>
          <w:lang w:val="en-GB"/>
        </w:rPr>
        <w:t xml:space="preserve"> of efficiency measures in buildings</w:t>
      </w:r>
      <w:r w:rsidR="00080ADC" w:rsidRPr="00855488">
        <w:rPr>
          <w:lang w:val="en-GB"/>
        </w:rPr>
        <w:t>.</w:t>
      </w:r>
    </w:p>
    <w:p w:rsidR="00251183" w:rsidRDefault="00251183">
      <w:pPr>
        <w:jc w:val="both"/>
        <w:rPr>
          <w:highlight w:val="yellow"/>
          <w:lang w:val="en-GB"/>
        </w:rPr>
      </w:pPr>
      <w:r w:rsidRPr="00251183">
        <w:rPr>
          <w:lang w:val="en-GB"/>
        </w:rPr>
        <w:t>A flexible regression-based approach is developed and tested on a Passive House building in this study.</w:t>
      </w:r>
      <w:r>
        <w:rPr>
          <w:lang w:val="en-GB"/>
        </w:rPr>
        <w:t xml:space="preserve"> </w:t>
      </w:r>
      <w:r w:rsidRPr="00251183">
        <w:rPr>
          <w:lang w:val="en-GB"/>
        </w:rPr>
        <w:t xml:space="preserve">The formulation employs dummy (binary) variables as a piecewise linearization method, and the rules for creating them </w:t>
      </w:r>
      <w:proofErr w:type="gramStart"/>
      <w:r w:rsidRPr="00251183">
        <w:rPr>
          <w:lang w:val="en-GB"/>
        </w:rPr>
        <w:t>are explicitly stated</w:t>
      </w:r>
      <w:proofErr w:type="gramEnd"/>
      <w:r w:rsidRPr="00251183">
        <w:rPr>
          <w:lang w:val="en-GB"/>
        </w:rPr>
        <w:t xml:space="preserve"> to ensure interpretability.</w:t>
      </w:r>
      <w:r>
        <w:rPr>
          <w:lang w:val="en-GB"/>
        </w:rPr>
        <w:t xml:space="preserve"> </w:t>
      </w:r>
      <w:r w:rsidRPr="00251183">
        <w:rPr>
          <w:lang w:val="en-GB"/>
        </w:rPr>
        <w:t xml:space="preserve">Furthermore, the possibility of automating the model selection process using statistical indicators </w:t>
      </w:r>
      <w:proofErr w:type="gramStart"/>
      <w:r w:rsidRPr="00251183">
        <w:rPr>
          <w:lang w:val="en-GB"/>
        </w:rPr>
        <w:t>is described</w:t>
      </w:r>
      <w:proofErr w:type="gramEnd"/>
      <w:r w:rsidRPr="00251183">
        <w:rPr>
          <w:lang w:val="en-GB"/>
        </w:rPr>
        <w:t>, including specific indicators used in Measurement and Verification (M&amp;V) for the acceptance of calibrated energy models.</w:t>
      </w:r>
    </w:p>
    <w:p w:rsidR="00251183" w:rsidRPr="00BD2AFA" w:rsidRDefault="00706B94">
      <w:pPr>
        <w:jc w:val="both"/>
        <w:rPr>
          <w:highlight w:val="yellow"/>
          <w:lang w:val="en-GB"/>
        </w:rPr>
      </w:pPr>
      <w:r w:rsidRPr="00706B94">
        <w:rPr>
          <w:lang w:val="en-GB"/>
        </w:rPr>
        <w:t>The valuable insights that can be found using data-driven methods are reported and discussed, emphasising limitations and constraints, as well as the potential for future research focused on systems of (interpretable data-driven) models that can exploit the techniques' spatial and temporal scalability.</w:t>
      </w:r>
      <w:r>
        <w:rPr>
          <w:lang w:val="en-GB"/>
        </w:rPr>
        <w:t xml:space="preserve"> </w:t>
      </w:r>
      <w:r w:rsidR="0087777E">
        <w:rPr>
          <w:lang w:val="en-GB"/>
        </w:rPr>
        <w:t>Finally, t</w:t>
      </w:r>
      <w:r w:rsidRPr="00706B94">
        <w:rPr>
          <w:lang w:val="en-GB"/>
        </w:rPr>
        <w:t xml:space="preserve">he physical interpretation of model coefficients and </w:t>
      </w:r>
      <w:r w:rsidR="0087777E">
        <w:rPr>
          <w:lang w:val="en-GB"/>
        </w:rPr>
        <w:t xml:space="preserve">the </w:t>
      </w:r>
      <w:r w:rsidRPr="00706B94">
        <w:rPr>
          <w:lang w:val="en-GB"/>
        </w:rPr>
        <w:t xml:space="preserve">analytical formulations for energy model decomposition </w:t>
      </w:r>
      <w:proofErr w:type="gramStart"/>
      <w:r w:rsidRPr="00706B94">
        <w:rPr>
          <w:lang w:val="en-GB"/>
        </w:rPr>
        <w:t>can be used</w:t>
      </w:r>
      <w:proofErr w:type="gramEnd"/>
      <w:r w:rsidRPr="00706B94">
        <w:rPr>
          <w:lang w:val="en-GB"/>
        </w:rPr>
        <w:t xml:space="preserve"> to supplement </w:t>
      </w:r>
      <w:r w:rsidR="0087777E">
        <w:rPr>
          <w:lang w:val="en-GB"/>
        </w:rPr>
        <w:t xml:space="preserve">the </w:t>
      </w:r>
      <w:r w:rsidRPr="00706B94">
        <w:rPr>
          <w:lang w:val="en-GB"/>
        </w:rPr>
        <w:t>scalability</w:t>
      </w:r>
      <w:r w:rsidR="0087777E">
        <w:rPr>
          <w:lang w:val="en-GB"/>
        </w:rPr>
        <w:t xml:space="preserve"> of data-driven techniques and create more sophisticated </w:t>
      </w:r>
      <w:r w:rsidR="007C0A56">
        <w:rPr>
          <w:lang w:val="en-GB"/>
        </w:rPr>
        <w:t xml:space="preserve">systems of interconnected </w:t>
      </w:r>
      <w:r w:rsidR="0087777E">
        <w:rPr>
          <w:lang w:val="en-GB"/>
        </w:rPr>
        <w:t>models</w:t>
      </w:r>
      <w:r w:rsidRPr="00706B94">
        <w:rPr>
          <w:lang w:val="en-GB"/>
        </w:rPr>
        <w:t>.</w:t>
      </w:r>
    </w:p>
    <w:p w:rsidR="002B2F05" w:rsidRPr="00C36C26" w:rsidRDefault="002B2F05" w:rsidP="00EE50A1">
      <w:pPr>
        <w:jc w:val="both"/>
        <w:rPr>
          <w:lang w:val="en-GB"/>
        </w:rPr>
      </w:pPr>
    </w:p>
    <w:p w:rsidR="0092476B" w:rsidRPr="008D7FA4" w:rsidRDefault="00FA0530" w:rsidP="002B2F05">
      <w:pPr>
        <w:jc w:val="both"/>
        <w:rPr>
          <w:lang w:val="en-GB"/>
        </w:rPr>
      </w:pPr>
      <w:r w:rsidRPr="008D7FA4">
        <w:rPr>
          <w:b/>
          <w:bCs/>
          <w:lang w:val="en-GB"/>
        </w:rPr>
        <w:t>Keywords:</w:t>
      </w:r>
      <w:r w:rsidR="00E608C3" w:rsidRPr="008D7FA4">
        <w:rPr>
          <w:b/>
          <w:bCs/>
          <w:lang w:val="en-GB"/>
        </w:rPr>
        <w:t xml:space="preserve"> </w:t>
      </w:r>
      <w:r w:rsidR="002B2F05" w:rsidRPr="008D7FA4">
        <w:rPr>
          <w:lang w:val="en-GB"/>
        </w:rPr>
        <w:t xml:space="preserve">Data-driven energy modelling, Interpretable machine-learning, Regression-based approaches, </w:t>
      </w:r>
      <w:r w:rsidR="00106A3A">
        <w:rPr>
          <w:lang w:val="en-GB"/>
        </w:rPr>
        <w:t>Generalisation</w:t>
      </w:r>
      <w:r w:rsidR="002B2F05" w:rsidRPr="008D7FA4">
        <w:rPr>
          <w:lang w:val="en-GB"/>
        </w:rPr>
        <w:t>, Building energy modelling, Measurement and Verification, Energy Analytics.</w:t>
      </w:r>
    </w:p>
    <w:p w:rsidR="00D719F1" w:rsidRPr="008D7FA4" w:rsidRDefault="00D719F1" w:rsidP="0071288E">
      <w:pPr>
        <w:jc w:val="both"/>
        <w:rPr>
          <w:lang w:val="en-GB"/>
        </w:rPr>
      </w:pPr>
    </w:p>
    <w:p w:rsidR="0092476B" w:rsidRPr="008D7FA4" w:rsidRDefault="0092476B" w:rsidP="006C7AEE">
      <w:pPr>
        <w:jc w:val="both"/>
        <w:rPr>
          <w:b/>
          <w:lang w:val="en-GB"/>
        </w:rPr>
      </w:pPr>
      <w:r w:rsidRPr="008D7FA4">
        <w:rPr>
          <w:b/>
          <w:lang w:val="en-GB"/>
        </w:rPr>
        <w:t>Highlights:</w:t>
      </w:r>
    </w:p>
    <w:p w:rsidR="00AC67E9" w:rsidRPr="00BD2AFA" w:rsidRDefault="00AC67E9" w:rsidP="00AC67E9">
      <w:pPr>
        <w:numPr>
          <w:ilvl w:val="0"/>
          <w:numId w:val="4"/>
        </w:numPr>
        <w:jc w:val="both"/>
        <w:rPr>
          <w:lang w:val="en-GB"/>
        </w:rPr>
      </w:pPr>
      <w:r w:rsidRPr="008D7FA4">
        <w:rPr>
          <w:lang w:val="en-GB"/>
        </w:rPr>
        <w:t xml:space="preserve">Data-driven techniques </w:t>
      </w:r>
      <w:proofErr w:type="gramStart"/>
      <w:r w:rsidRPr="008D7FA4">
        <w:rPr>
          <w:lang w:val="en-GB"/>
        </w:rPr>
        <w:t>can be used</w:t>
      </w:r>
      <w:proofErr w:type="gramEnd"/>
      <w:r w:rsidRPr="008D7FA4">
        <w:rPr>
          <w:lang w:val="en-GB"/>
        </w:rPr>
        <w:t xml:space="preserve"> effectively in building energy modelling.</w:t>
      </w:r>
    </w:p>
    <w:p w:rsidR="00AC67E9" w:rsidRPr="00BD2AFA" w:rsidRDefault="00106A3A">
      <w:pPr>
        <w:numPr>
          <w:ilvl w:val="0"/>
          <w:numId w:val="4"/>
        </w:numPr>
        <w:jc w:val="both"/>
        <w:rPr>
          <w:lang w:val="en-GB"/>
        </w:rPr>
      </w:pPr>
      <w:r>
        <w:rPr>
          <w:lang w:val="en-GB"/>
        </w:rPr>
        <w:t>Generalisation</w:t>
      </w:r>
      <w:r w:rsidR="00AC67E9" w:rsidRPr="008D7FA4">
        <w:rPr>
          <w:lang w:val="en-GB"/>
        </w:rPr>
        <w:t xml:space="preserve"> and interpretability are crucial </w:t>
      </w:r>
      <w:r w:rsidR="00EC6BCF" w:rsidRPr="00BD2AFA">
        <w:rPr>
          <w:lang w:val="en-GB"/>
        </w:rPr>
        <w:t xml:space="preserve">to </w:t>
      </w:r>
      <w:r w:rsidR="00EC6BCF" w:rsidRPr="008D7FA4">
        <w:rPr>
          <w:lang w:val="en-GB"/>
        </w:rPr>
        <w:t xml:space="preserve">improve their </w:t>
      </w:r>
      <w:r w:rsidR="00020C4B">
        <w:rPr>
          <w:lang w:val="en-GB"/>
        </w:rPr>
        <w:t>applicability</w:t>
      </w:r>
      <w:r w:rsidR="00AC67E9" w:rsidRPr="008D7FA4">
        <w:rPr>
          <w:lang w:val="en-GB"/>
        </w:rPr>
        <w:t>.</w:t>
      </w:r>
    </w:p>
    <w:p w:rsidR="00EC6BCF" w:rsidRPr="008D7FA4" w:rsidRDefault="00EC6BCF" w:rsidP="00EC6BCF">
      <w:pPr>
        <w:numPr>
          <w:ilvl w:val="0"/>
          <w:numId w:val="4"/>
        </w:numPr>
        <w:jc w:val="both"/>
        <w:rPr>
          <w:lang w:val="en-GB"/>
        </w:rPr>
      </w:pPr>
      <w:r w:rsidRPr="008D7FA4">
        <w:rPr>
          <w:lang w:val="en-GB"/>
        </w:rPr>
        <w:t xml:space="preserve">An interpretable data-driven modelling approach </w:t>
      </w:r>
      <w:proofErr w:type="gramStart"/>
      <w:r w:rsidRPr="008D7FA4">
        <w:rPr>
          <w:lang w:val="en-GB"/>
        </w:rPr>
        <w:t>is tested</w:t>
      </w:r>
      <w:proofErr w:type="gramEnd"/>
      <w:r w:rsidRPr="008D7FA4">
        <w:rPr>
          <w:lang w:val="en-GB"/>
        </w:rPr>
        <w:t xml:space="preserve"> on a Passive House building.</w:t>
      </w:r>
    </w:p>
    <w:p w:rsidR="00EC6BCF" w:rsidRPr="008D7FA4" w:rsidRDefault="00EC6BCF" w:rsidP="00EC6BCF">
      <w:pPr>
        <w:numPr>
          <w:ilvl w:val="0"/>
          <w:numId w:val="4"/>
        </w:numPr>
        <w:jc w:val="both"/>
        <w:rPr>
          <w:lang w:val="en-GB"/>
        </w:rPr>
      </w:pPr>
      <w:r w:rsidRPr="008D7FA4">
        <w:rPr>
          <w:lang w:val="en-GB"/>
        </w:rPr>
        <w:t xml:space="preserve">Rules for modelling workflow automation </w:t>
      </w:r>
      <w:proofErr w:type="gramStart"/>
      <w:r w:rsidRPr="008D7FA4">
        <w:rPr>
          <w:lang w:val="en-GB"/>
        </w:rPr>
        <w:t>are presented</w:t>
      </w:r>
      <w:proofErr w:type="gramEnd"/>
      <w:r w:rsidRPr="008D7FA4">
        <w:rPr>
          <w:lang w:val="en-GB"/>
        </w:rPr>
        <w:t>.</w:t>
      </w:r>
    </w:p>
    <w:p w:rsidR="00EC6BCF" w:rsidRPr="008D7FA4" w:rsidRDefault="00EC6BCF" w:rsidP="00EC6BCF">
      <w:pPr>
        <w:numPr>
          <w:ilvl w:val="0"/>
          <w:numId w:val="4"/>
        </w:numPr>
        <w:jc w:val="both"/>
        <w:rPr>
          <w:lang w:val="en-GB"/>
        </w:rPr>
      </w:pPr>
      <w:r w:rsidRPr="008D7FA4">
        <w:rPr>
          <w:lang w:val="en-GB"/>
        </w:rPr>
        <w:t xml:space="preserve">Indications for further developments of systems of models </w:t>
      </w:r>
      <w:proofErr w:type="gramStart"/>
      <w:r w:rsidRPr="008D7FA4">
        <w:rPr>
          <w:lang w:val="en-GB"/>
        </w:rPr>
        <w:t>are reported</w:t>
      </w:r>
      <w:proofErr w:type="gramEnd"/>
      <w:r w:rsidRPr="008D7FA4">
        <w:rPr>
          <w:lang w:val="en-GB"/>
        </w:rPr>
        <w:t>.</w:t>
      </w:r>
    </w:p>
    <w:p w:rsidR="00FF40C4" w:rsidRPr="00C36C26" w:rsidRDefault="00FF40C4">
      <w:pPr>
        <w:pStyle w:val="Heading1"/>
        <w:rPr>
          <w:lang w:eastAsia="it-IT"/>
        </w:rPr>
      </w:pPr>
      <w:bookmarkStart w:id="2" w:name="_GoBack"/>
      <w:bookmarkEnd w:id="2"/>
      <w:r>
        <w:lastRenderedPageBreak/>
        <w:t>Nomenclature</w:t>
      </w:r>
    </w:p>
    <w:p w:rsidR="00412E3C" w:rsidRDefault="00412E3C" w:rsidP="00412E3C">
      <w:pPr>
        <w:rPr>
          <w:lang w:val="en-GB" w:eastAsia="x-none"/>
        </w:rPr>
      </w:pPr>
      <w:bookmarkStart w:id="3" w:name="_Toc98497993"/>
    </w:p>
    <w:p w:rsidR="00412E3C" w:rsidRDefault="00412E3C" w:rsidP="00412E3C">
      <w:pPr>
        <w:jc w:val="center"/>
        <w:rPr>
          <w:i/>
          <w:color w:val="000000"/>
          <w:lang w:val="en-GB"/>
        </w:rPr>
      </w:pPr>
      <w:r w:rsidRPr="00010BC8">
        <w:rPr>
          <w:i/>
          <w:color w:val="000000"/>
          <w:lang w:val="en-GB"/>
        </w:rPr>
        <w:t xml:space="preserve">Table </w:t>
      </w:r>
      <w:r w:rsidRPr="00E01491">
        <w:rPr>
          <w:i/>
          <w:lang w:val="en-GB"/>
        </w:rPr>
        <w:fldChar w:fldCharType="begin"/>
      </w:r>
      <w:r w:rsidRPr="00010BC8">
        <w:rPr>
          <w:i/>
          <w:lang w:val="en-GB"/>
        </w:rPr>
        <w:instrText xml:space="preserve"> SEQ Table \* ARABIC </w:instrText>
      </w:r>
      <w:r w:rsidRPr="00E01491">
        <w:rPr>
          <w:i/>
          <w:lang w:val="en-GB"/>
        </w:rPr>
        <w:fldChar w:fldCharType="separate"/>
      </w:r>
      <w:r>
        <w:rPr>
          <w:i/>
          <w:noProof/>
          <w:lang w:val="en-GB"/>
        </w:rPr>
        <w:t>1</w:t>
      </w:r>
      <w:r w:rsidRPr="00E01491">
        <w:rPr>
          <w:i/>
          <w:lang w:val="en-GB"/>
        </w:rPr>
        <w:fldChar w:fldCharType="end"/>
      </w:r>
      <w:r w:rsidRPr="00010BC8">
        <w:rPr>
          <w:i/>
          <w:color w:val="000000"/>
          <w:lang w:val="en-GB"/>
        </w:rPr>
        <w:t>: Nomenclature</w:t>
      </w:r>
    </w:p>
    <w:tbl>
      <w:tblPr>
        <w:tblW w:w="0" w:type="auto"/>
        <w:jc w:val="center"/>
        <w:tblBorders>
          <w:top w:val="single" w:sz="8" w:space="0" w:color="auto"/>
          <w:bottom w:val="single" w:sz="8" w:space="0" w:color="auto"/>
        </w:tblBorders>
        <w:tblLook w:val="04A0" w:firstRow="1" w:lastRow="0" w:firstColumn="1" w:lastColumn="0" w:noHBand="0" w:noVBand="1"/>
      </w:tblPr>
      <w:tblGrid>
        <w:gridCol w:w="1701"/>
        <w:gridCol w:w="4536"/>
        <w:gridCol w:w="993"/>
      </w:tblGrid>
      <w:tr w:rsidR="00412E3C" w:rsidRPr="00AE6F2E" w:rsidTr="00874F98">
        <w:trPr>
          <w:jc w:val="center"/>
        </w:trPr>
        <w:tc>
          <w:tcPr>
            <w:tcW w:w="7230" w:type="dxa"/>
            <w:gridSpan w:val="3"/>
            <w:tcBorders>
              <w:top w:val="single" w:sz="4" w:space="0" w:color="auto"/>
              <w:bottom w:val="single" w:sz="4" w:space="0" w:color="auto"/>
              <w:right w:val="nil"/>
            </w:tcBorders>
            <w:shd w:val="clear" w:color="auto" w:fill="auto"/>
            <w:vAlign w:val="center"/>
          </w:tcPr>
          <w:p w:rsidR="00412E3C" w:rsidRPr="006A1E73" w:rsidRDefault="00412E3C" w:rsidP="00874F98">
            <w:pPr>
              <w:pStyle w:val="MDPI42tablebody"/>
              <w:spacing w:line="240" w:lineRule="auto"/>
              <w:rPr>
                <w:rFonts w:asciiTheme="majorBidi" w:hAnsiTheme="majorBidi" w:cstheme="majorBidi"/>
                <w:b/>
                <w:snapToGrid/>
                <w:lang w:val="en-GB"/>
              </w:rPr>
            </w:pPr>
            <w:r w:rsidRPr="006A1E73">
              <w:rPr>
                <w:rFonts w:asciiTheme="majorBidi" w:hAnsiTheme="majorBidi" w:cstheme="majorBidi"/>
                <w:b/>
                <w:snapToGrid/>
                <w:lang w:val="en-GB"/>
              </w:rPr>
              <w:t>Variables and parameters</w:t>
            </w:r>
          </w:p>
        </w:tc>
      </w:tr>
      <w:tr w:rsidR="00412E3C" w:rsidRPr="00AE6F2E" w:rsidTr="00874F98">
        <w:trPr>
          <w:jc w:val="center"/>
        </w:trPr>
        <w:tc>
          <w:tcPr>
            <w:tcW w:w="1701" w:type="dxa"/>
            <w:tcBorders>
              <w:top w:val="single" w:sz="4" w:space="0" w:color="auto"/>
              <w:bottom w:val="single" w:sz="4" w:space="0" w:color="auto"/>
            </w:tcBorders>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r>
              <w:rPr>
                <w:rFonts w:asciiTheme="majorBidi" w:hAnsiTheme="majorBidi" w:cstheme="majorBidi"/>
                <w:b/>
                <w:snapToGrid/>
                <w:lang w:val="en-GB"/>
              </w:rPr>
              <w:t>Symbol</w:t>
            </w:r>
            <w:r w:rsidRPr="006A1E73" w:rsidDel="00010BC8">
              <w:rPr>
                <w:rFonts w:asciiTheme="majorBidi" w:hAnsiTheme="majorBidi" w:cstheme="majorBidi"/>
                <w:i/>
                <w:iCs/>
                <w:lang w:val="en-GB"/>
              </w:rPr>
              <w:t xml:space="preserve"> </w:t>
            </w:r>
          </w:p>
        </w:tc>
        <w:tc>
          <w:tcPr>
            <w:tcW w:w="4536" w:type="dxa"/>
            <w:tcBorders>
              <w:top w:val="single" w:sz="4" w:space="0" w:color="auto"/>
              <w:bottom w:val="single" w:sz="4" w:space="0" w:color="auto"/>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b/>
                <w:snapToGrid/>
                <w:lang w:val="en-GB"/>
              </w:rPr>
              <w:t>Quantity</w:t>
            </w:r>
          </w:p>
        </w:tc>
        <w:tc>
          <w:tcPr>
            <w:tcW w:w="993" w:type="dxa"/>
            <w:tcBorders>
              <w:top w:val="single" w:sz="4" w:space="0" w:color="auto"/>
              <w:bottom w:val="single" w:sz="4" w:space="0" w:color="auto"/>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b/>
                <w:snapToGrid/>
                <w:lang w:val="en-GB"/>
              </w:rPr>
              <w:t>Unit</w:t>
            </w:r>
          </w:p>
        </w:tc>
      </w:tr>
      <w:tr w:rsidR="00412E3C" w:rsidRPr="00AE6F2E" w:rsidTr="00874F98">
        <w:trPr>
          <w:jc w:val="center"/>
        </w:trPr>
        <w:tc>
          <w:tcPr>
            <w:tcW w:w="1701" w:type="dxa"/>
            <w:tcBorders>
              <w:top w:val="single" w:sz="4" w:space="0" w:color="auto"/>
              <w:bottom w:val="nil"/>
            </w:tcBorders>
            <w:shd w:val="clear" w:color="auto" w:fill="auto"/>
            <w:vAlign w:val="center"/>
          </w:tcPr>
          <w:p w:rsidR="00412E3C" w:rsidRPr="009D7F53" w:rsidRDefault="00412E3C" w:rsidP="00874F98">
            <w:pPr>
              <w:pStyle w:val="MDPI42tablebody"/>
              <w:spacing w:line="240" w:lineRule="auto"/>
              <w:rPr>
                <w:rFonts w:asciiTheme="majorBidi" w:hAnsiTheme="majorBidi" w:cstheme="majorBidi"/>
                <w:i/>
                <w:iCs/>
                <w:lang w:val="en-GB"/>
              </w:rPr>
            </w:pPr>
            <w:r w:rsidRPr="009D7F53">
              <w:rPr>
                <w:rFonts w:asciiTheme="majorBidi" w:hAnsiTheme="majorBidi" w:cstheme="majorBidi"/>
                <w:i/>
                <w:iCs/>
                <w:lang w:val="en-GB"/>
              </w:rPr>
              <w:t>a</w:t>
            </w:r>
            <w:r w:rsidRPr="00874F98">
              <w:rPr>
                <w:rFonts w:asciiTheme="majorBidi" w:hAnsiTheme="majorBidi" w:cstheme="majorBidi"/>
                <w:i/>
                <w:iCs/>
                <w:vertAlign w:val="subscript"/>
                <w:lang w:val="en-GB"/>
              </w:rPr>
              <w:t>0</w:t>
            </w:r>
            <w:r w:rsidRPr="009D7F53">
              <w:rPr>
                <w:rFonts w:asciiTheme="majorBidi" w:hAnsiTheme="majorBidi" w:cstheme="majorBidi"/>
                <w:i/>
                <w:iCs/>
                <w:lang w:val="en-GB"/>
              </w:rPr>
              <w:t>,b</w:t>
            </w:r>
            <w:r w:rsidRPr="00874F98">
              <w:rPr>
                <w:rFonts w:asciiTheme="majorBidi" w:hAnsiTheme="majorBidi" w:cstheme="majorBidi"/>
                <w:i/>
                <w:iCs/>
                <w:vertAlign w:val="subscript"/>
                <w:lang w:val="en-GB"/>
              </w:rPr>
              <w:t>0</w:t>
            </w:r>
            <w:r w:rsidRPr="009D7F53">
              <w:rPr>
                <w:rFonts w:asciiTheme="majorBidi" w:hAnsiTheme="majorBidi" w:cstheme="majorBidi"/>
                <w:i/>
                <w:iCs/>
                <w:lang w:val="en-GB"/>
              </w:rPr>
              <w:t>,c</w:t>
            </w:r>
            <w:r w:rsidRPr="00874F98">
              <w:rPr>
                <w:rFonts w:asciiTheme="majorBidi" w:hAnsiTheme="majorBidi" w:cstheme="majorBidi"/>
                <w:i/>
                <w:iCs/>
                <w:vertAlign w:val="subscript"/>
                <w:lang w:val="en-GB"/>
              </w:rPr>
              <w:t>0</w:t>
            </w:r>
          </w:p>
        </w:tc>
        <w:tc>
          <w:tcPr>
            <w:tcW w:w="4536" w:type="dxa"/>
            <w:tcBorders>
              <w:top w:val="single" w:sz="4" w:space="0" w:color="auto"/>
              <w:bottom w:val="nil"/>
              <w:right w:val="nil"/>
            </w:tcBorders>
            <w:shd w:val="clear" w:color="auto" w:fill="auto"/>
            <w:vAlign w:val="center"/>
          </w:tcPr>
          <w:p w:rsidR="00412E3C" w:rsidRPr="009D7F53" w:rsidRDefault="00412E3C" w:rsidP="00874F98">
            <w:pPr>
              <w:pStyle w:val="MDPI42tablebody"/>
              <w:spacing w:line="240" w:lineRule="auto"/>
              <w:jc w:val="left"/>
              <w:rPr>
                <w:rFonts w:asciiTheme="majorBidi" w:hAnsiTheme="majorBidi" w:cstheme="majorBidi"/>
                <w:lang w:val="en-GB"/>
              </w:rPr>
            </w:pPr>
            <w:r w:rsidRPr="009D7F53">
              <w:rPr>
                <w:rFonts w:asciiTheme="majorBidi" w:hAnsiTheme="majorBidi" w:cstheme="majorBidi"/>
                <w:lang w:val="en-GB"/>
              </w:rPr>
              <w:t>regression coefficients, intercept</w:t>
            </w:r>
          </w:p>
        </w:tc>
        <w:tc>
          <w:tcPr>
            <w:tcW w:w="993" w:type="dxa"/>
            <w:tcBorders>
              <w:top w:val="single" w:sz="4" w:space="0" w:color="auto"/>
              <w:bottom w:val="nil"/>
              <w:right w:val="nil"/>
            </w:tcBorders>
          </w:tcPr>
          <w:p w:rsidR="00412E3C" w:rsidRPr="009D7F53" w:rsidRDefault="00412E3C" w:rsidP="00874F98">
            <w:pPr>
              <w:pStyle w:val="MDPI42tablebody"/>
              <w:spacing w:line="240" w:lineRule="auto"/>
              <w:rPr>
                <w:rFonts w:asciiTheme="majorBidi" w:hAnsiTheme="majorBidi" w:cstheme="majorBidi"/>
                <w:lang w:val="en-GB"/>
              </w:rPr>
            </w:pPr>
            <w:r w:rsidRPr="00874F98">
              <w:rPr>
                <w:rFonts w:asciiTheme="majorBidi" w:hAnsiTheme="majorBidi" w:cstheme="majorBidi"/>
                <w:lang w:val="en-GB"/>
              </w:rPr>
              <w:t>kW</w:t>
            </w:r>
          </w:p>
        </w:tc>
      </w:tr>
      <w:tr w:rsidR="00412E3C" w:rsidRPr="00AE6F2E" w:rsidTr="00874F98">
        <w:trPr>
          <w:jc w:val="center"/>
        </w:trPr>
        <w:tc>
          <w:tcPr>
            <w:tcW w:w="1701" w:type="dxa"/>
            <w:tcBorders>
              <w:top w:val="nil"/>
              <w:bottom w:val="nil"/>
            </w:tcBorders>
            <w:shd w:val="clear" w:color="auto" w:fill="auto"/>
            <w:vAlign w:val="center"/>
          </w:tcPr>
          <w:p w:rsidR="00412E3C" w:rsidRPr="009D7F53" w:rsidRDefault="00412E3C" w:rsidP="00874F98">
            <w:pPr>
              <w:pStyle w:val="MDPI42tablebody"/>
              <w:spacing w:line="240" w:lineRule="auto"/>
              <w:rPr>
                <w:rFonts w:asciiTheme="majorBidi" w:hAnsiTheme="majorBidi" w:cstheme="majorBidi"/>
                <w:i/>
                <w:iCs/>
                <w:lang w:val="en-GB"/>
              </w:rPr>
            </w:pPr>
            <w:r w:rsidRPr="009D7F53">
              <w:rPr>
                <w:rFonts w:asciiTheme="majorBidi" w:hAnsiTheme="majorBidi" w:cstheme="majorBidi"/>
                <w:i/>
                <w:iCs/>
                <w:lang w:val="en-GB"/>
              </w:rPr>
              <w:t>a</w:t>
            </w:r>
            <w:r w:rsidRPr="009D7F53">
              <w:rPr>
                <w:rFonts w:asciiTheme="majorBidi" w:hAnsiTheme="majorBidi" w:cstheme="majorBidi"/>
                <w:i/>
                <w:iCs/>
                <w:vertAlign w:val="subscript"/>
                <w:lang w:val="en-GB"/>
              </w:rPr>
              <w:t>1</w:t>
            </w:r>
            <w:r w:rsidRPr="009D7F53">
              <w:rPr>
                <w:rFonts w:asciiTheme="majorBidi" w:hAnsiTheme="majorBidi" w:cstheme="majorBidi"/>
                <w:i/>
                <w:iCs/>
                <w:lang w:val="en-GB"/>
              </w:rPr>
              <w:t>,b</w:t>
            </w:r>
            <w:r w:rsidRPr="009D7F53">
              <w:rPr>
                <w:rFonts w:asciiTheme="majorBidi" w:hAnsiTheme="majorBidi" w:cstheme="majorBidi"/>
                <w:i/>
                <w:iCs/>
                <w:vertAlign w:val="subscript"/>
                <w:lang w:val="en-GB"/>
              </w:rPr>
              <w:t>1</w:t>
            </w:r>
            <w:r w:rsidRPr="009D7F53">
              <w:rPr>
                <w:rFonts w:asciiTheme="majorBidi" w:hAnsiTheme="majorBidi" w:cstheme="majorBidi"/>
                <w:i/>
                <w:iCs/>
                <w:lang w:val="en-GB"/>
              </w:rPr>
              <w:t>,c</w:t>
            </w:r>
            <w:r w:rsidRPr="009D7F53">
              <w:rPr>
                <w:rFonts w:asciiTheme="majorBidi" w:hAnsiTheme="majorBidi" w:cstheme="majorBidi"/>
                <w:i/>
                <w:iCs/>
                <w:vertAlign w:val="subscript"/>
                <w:lang w:val="en-GB"/>
              </w:rPr>
              <w:t>1</w:t>
            </w:r>
          </w:p>
        </w:tc>
        <w:tc>
          <w:tcPr>
            <w:tcW w:w="4536" w:type="dxa"/>
            <w:tcBorders>
              <w:top w:val="nil"/>
              <w:bottom w:val="nil"/>
              <w:right w:val="nil"/>
            </w:tcBorders>
            <w:shd w:val="clear" w:color="auto" w:fill="auto"/>
            <w:vAlign w:val="center"/>
          </w:tcPr>
          <w:p w:rsidR="00412E3C" w:rsidRPr="009D7F53" w:rsidRDefault="00412E3C" w:rsidP="00874F98">
            <w:pPr>
              <w:pStyle w:val="MDPI42tablebody"/>
              <w:spacing w:line="240" w:lineRule="auto"/>
              <w:jc w:val="left"/>
              <w:rPr>
                <w:rFonts w:asciiTheme="majorBidi" w:hAnsiTheme="majorBidi" w:cstheme="majorBidi"/>
                <w:lang w:val="en-GB"/>
              </w:rPr>
            </w:pPr>
            <w:r w:rsidRPr="009D7F53">
              <w:rPr>
                <w:rFonts w:asciiTheme="majorBidi" w:hAnsiTheme="majorBidi" w:cstheme="majorBidi"/>
                <w:lang w:val="en-GB"/>
              </w:rPr>
              <w:t>regression coefficients, temperature dependence term</w:t>
            </w:r>
          </w:p>
        </w:tc>
        <w:tc>
          <w:tcPr>
            <w:tcW w:w="993" w:type="dxa"/>
            <w:tcBorders>
              <w:top w:val="nil"/>
              <w:bottom w:val="nil"/>
              <w:right w:val="nil"/>
            </w:tcBorders>
          </w:tcPr>
          <w:p w:rsidR="00412E3C" w:rsidRPr="009D7F53" w:rsidRDefault="00412E3C" w:rsidP="00874F98">
            <w:pPr>
              <w:pStyle w:val="MDPI42tablebody"/>
              <w:spacing w:line="240" w:lineRule="auto"/>
              <w:rPr>
                <w:rFonts w:asciiTheme="majorBidi" w:hAnsiTheme="majorBidi" w:cstheme="majorBidi"/>
                <w:lang w:val="en-GB"/>
              </w:rPr>
            </w:pPr>
            <w:r w:rsidRPr="00874F98">
              <w:rPr>
                <w:rFonts w:asciiTheme="majorBidi" w:hAnsiTheme="majorBidi" w:cstheme="majorBidi"/>
                <w:lang w:val="en-GB"/>
              </w:rPr>
              <w:t>kW/K</w:t>
            </w:r>
          </w:p>
        </w:tc>
      </w:tr>
      <w:tr w:rsidR="00412E3C" w:rsidRPr="00AE6F2E" w:rsidTr="00874F98">
        <w:trPr>
          <w:jc w:val="center"/>
        </w:trPr>
        <w:tc>
          <w:tcPr>
            <w:tcW w:w="1701" w:type="dxa"/>
            <w:tcBorders>
              <w:top w:val="nil"/>
            </w:tcBorders>
            <w:shd w:val="clear" w:color="auto" w:fill="auto"/>
            <w:vAlign w:val="center"/>
          </w:tcPr>
          <w:p w:rsidR="00412E3C" w:rsidRPr="009D7F53" w:rsidRDefault="00412E3C" w:rsidP="00874F98">
            <w:pPr>
              <w:pStyle w:val="MDPI42tablebody"/>
              <w:spacing w:line="240" w:lineRule="auto"/>
              <w:rPr>
                <w:rFonts w:asciiTheme="majorBidi" w:hAnsiTheme="majorBidi" w:cstheme="majorBidi"/>
                <w:i/>
                <w:iCs/>
                <w:lang w:val="en-GB"/>
              </w:rPr>
            </w:pPr>
            <w:r w:rsidRPr="009D7F53">
              <w:rPr>
                <w:rFonts w:asciiTheme="majorBidi" w:hAnsiTheme="majorBidi" w:cstheme="majorBidi"/>
                <w:i/>
                <w:iCs/>
                <w:lang w:val="en-GB"/>
              </w:rPr>
              <w:t>a</w:t>
            </w:r>
            <w:r w:rsidRPr="009D7F53">
              <w:rPr>
                <w:rFonts w:asciiTheme="majorBidi" w:hAnsiTheme="majorBidi" w:cstheme="majorBidi"/>
                <w:i/>
                <w:iCs/>
                <w:vertAlign w:val="subscript"/>
                <w:lang w:val="en-GB"/>
              </w:rPr>
              <w:t>2</w:t>
            </w:r>
            <w:r w:rsidRPr="009D7F53">
              <w:rPr>
                <w:rFonts w:asciiTheme="majorBidi" w:hAnsiTheme="majorBidi" w:cstheme="majorBidi"/>
                <w:i/>
                <w:iCs/>
                <w:lang w:val="en-GB"/>
              </w:rPr>
              <w:t>,b</w:t>
            </w:r>
            <w:r w:rsidRPr="009D7F53">
              <w:rPr>
                <w:rFonts w:asciiTheme="majorBidi" w:hAnsiTheme="majorBidi" w:cstheme="majorBidi"/>
                <w:i/>
                <w:iCs/>
                <w:vertAlign w:val="subscript"/>
                <w:lang w:val="en-GB"/>
              </w:rPr>
              <w:t>2</w:t>
            </w:r>
            <w:r w:rsidRPr="009D7F53">
              <w:rPr>
                <w:rFonts w:asciiTheme="majorBidi" w:hAnsiTheme="majorBidi" w:cstheme="majorBidi"/>
                <w:i/>
                <w:iCs/>
                <w:lang w:val="en-GB"/>
              </w:rPr>
              <w:t>,c</w:t>
            </w:r>
            <w:r w:rsidRPr="009D7F53">
              <w:rPr>
                <w:rFonts w:asciiTheme="majorBidi" w:hAnsiTheme="majorBidi" w:cstheme="majorBidi"/>
                <w:i/>
                <w:iCs/>
                <w:vertAlign w:val="subscript"/>
                <w:lang w:val="en-GB"/>
              </w:rPr>
              <w:t>2</w:t>
            </w:r>
          </w:p>
        </w:tc>
        <w:tc>
          <w:tcPr>
            <w:tcW w:w="4536" w:type="dxa"/>
            <w:tcBorders>
              <w:top w:val="nil"/>
              <w:bottom w:val="nil"/>
              <w:right w:val="nil"/>
            </w:tcBorders>
            <w:shd w:val="clear" w:color="auto" w:fill="auto"/>
            <w:vAlign w:val="center"/>
          </w:tcPr>
          <w:p w:rsidR="00412E3C" w:rsidRPr="009D7F53" w:rsidRDefault="00412E3C" w:rsidP="00874F98">
            <w:pPr>
              <w:pStyle w:val="MDPI42tablebody"/>
              <w:spacing w:line="240" w:lineRule="auto"/>
              <w:jc w:val="left"/>
              <w:rPr>
                <w:rFonts w:asciiTheme="majorBidi" w:hAnsiTheme="majorBidi" w:cstheme="majorBidi"/>
                <w:lang w:val="en-GB"/>
              </w:rPr>
            </w:pPr>
            <w:r w:rsidRPr="009D7F53">
              <w:rPr>
                <w:rFonts w:asciiTheme="majorBidi" w:hAnsiTheme="majorBidi" w:cstheme="majorBidi"/>
                <w:lang w:val="en-GB"/>
              </w:rPr>
              <w:t>regression coefficients, solar radiation dependence term</w:t>
            </w:r>
          </w:p>
        </w:tc>
        <w:tc>
          <w:tcPr>
            <w:tcW w:w="993" w:type="dxa"/>
            <w:tcBorders>
              <w:top w:val="nil"/>
              <w:bottom w:val="nil"/>
              <w:right w:val="nil"/>
            </w:tcBorders>
          </w:tcPr>
          <w:p w:rsidR="00412E3C" w:rsidRPr="009D7F53" w:rsidRDefault="00412E3C" w:rsidP="00874F98">
            <w:pPr>
              <w:pStyle w:val="MDPI42tablebody"/>
              <w:spacing w:line="240" w:lineRule="auto"/>
              <w:rPr>
                <w:rFonts w:asciiTheme="majorBidi" w:hAnsiTheme="majorBidi" w:cstheme="majorBidi"/>
                <w:lang w:val="en-GB"/>
              </w:rPr>
            </w:pPr>
            <w:r w:rsidRPr="00874F98">
              <w:rPr>
                <w:rFonts w:asciiTheme="majorBidi" w:hAnsiTheme="majorBidi" w:cstheme="majorBidi"/>
                <w:lang w:val="en-GB"/>
              </w:rPr>
              <w:t>m</w:t>
            </w:r>
            <w:r w:rsidRPr="00874F98">
              <w:rPr>
                <w:rFonts w:asciiTheme="majorBidi" w:hAnsiTheme="majorBidi" w:cstheme="majorBidi"/>
                <w:vertAlign w:val="superscript"/>
                <w:lang w:val="en-GB"/>
              </w:rPr>
              <w:t>2</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sidRPr="006A1E73">
              <w:rPr>
                <w:rFonts w:asciiTheme="majorBidi" w:hAnsiTheme="majorBidi" w:cstheme="majorBidi"/>
                <w:i/>
                <w:iCs/>
                <w:lang w:val="en-GB"/>
              </w:rPr>
              <w:t>Cv</w:t>
            </w:r>
            <w:proofErr w:type="spellEnd"/>
            <w:r w:rsidRPr="006A1E73">
              <w:rPr>
                <w:rFonts w:asciiTheme="majorBidi" w:hAnsiTheme="majorBidi" w:cstheme="majorBidi"/>
                <w:i/>
                <w:iCs/>
                <w:lang w:val="en-GB"/>
              </w:rPr>
              <w:t>(RMSE)</w:t>
            </w:r>
          </w:p>
        </w:tc>
        <w:tc>
          <w:tcPr>
            <w:tcW w:w="4536" w:type="dxa"/>
            <w:tcBorders>
              <w:top w:val="nil"/>
              <w:bottom w:val="nil"/>
              <w:right w:val="nil"/>
            </w:tcBorders>
            <w:shd w:val="clear" w:color="auto" w:fill="auto"/>
            <w:vAlign w:val="bottom"/>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coefficient of variation of RMSE</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sidRPr="006A1E73">
              <w:rPr>
                <w:rFonts w:asciiTheme="majorBidi" w:hAnsiTheme="majorBidi" w:cstheme="majorBidi"/>
                <w:i/>
                <w:iCs/>
                <w:lang w:val="en-GB"/>
              </w:rPr>
              <w:t>I</w:t>
            </w:r>
            <w:r w:rsidRPr="00874F98">
              <w:rPr>
                <w:rFonts w:asciiTheme="majorBidi" w:hAnsiTheme="majorBidi" w:cstheme="majorBidi"/>
                <w:i/>
                <w:iCs/>
                <w:vertAlign w:val="subscript"/>
                <w:lang w:val="en-GB"/>
              </w:rPr>
              <w:t>sol</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 xml:space="preserve">total solar </w:t>
            </w:r>
            <w:r w:rsidRPr="006A1E73">
              <w:rPr>
                <w:rFonts w:asciiTheme="majorBidi" w:hAnsiTheme="majorBidi" w:cstheme="majorBidi"/>
                <w:lang w:val="en-GB"/>
              </w:rPr>
              <w:t>radiation</w:t>
            </w:r>
            <w:r>
              <w:rPr>
                <w:rFonts w:asciiTheme="majorBidi" w:hAnsiTheme="majorBidi" w:cstheme="majorBidi"/>
                <w:lang w:val="en-GB"/>
              </w:rPr>
              <w:t xml:space="preserve"> on horizontal surface (direct and diffuse) average hourly value on monthly base</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kW/m</w:t>
            </w:r>
            <w:r w:rsidRPr="00874F98">
              <w:rPr>
                <w:rFonts w:asciiTheme="majorBidi" w:hAnsiTheme="majorBidi" w:cstheme="majorBidi"/>
                <w:vertAlign w:val="superscript"/>
                <w:lang w:val="en-GB"/>
              </w:rPr>
              <w:t>2</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r w:rsidRPr="006A1E73">
              <w:rPr>
                <w:rFonts w:asciiTheme="majorBidi" w:hAnsiTheme="majorBidi" w:cstheme="majorBidi"/>
                <w:i/>
                <w:iCs/>
                <w:lang w:val="en-GB"/>
              </w:rPr>
              <w:t>MAPE</w:t>
            </w:r>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mean absolute percentage error</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r w:rsidRPr="006A1E73">
              <w:rPr>
                <w:rFonts w:asciiTheme="majorBidi" w:hAnsiTheme="majorBidi" w:cstheme="majorBidi"/>
                <w:i/>
                <w:iCs/>
                <w:lang w:val="en-GB"/>
              </w:rPr>
              <w:t>NMBE</w:t>
            </w:r>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normalized mean bias error</w:t>
            </w:r>
            <w:r>
              <w:rPr>
                <w:rFonts w:asciiTheme="majorBidi" w:hAnsiTheme="majorBidi" w:cstheme="majorBidi"/>
                <w:lang w:val="en-GB"/>
              </w:rPr>
              <w:t xml:space="preserve"> (expressed in percentage)</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sidRPr="006A1E73">
              <w:rPr>
                <w:rFonts w:asciiTheme="majorBidi" w:hAnsiTheme="majorBidi" w:cstheme="majorBidi"/>
                <w:i/>
                <w:iCs/>
                <w:lang w:val="en-GB"/>
              </w:rPr>
              <w:t>q</w:t>
            </w:r>
            <w:r w:rsidRPr="00874F98">
              <w:rPr>
                <w:rFonts w:asciiTheme="majorBidi" w:hAnsiTheme="majorBidi" w:cstheme="majorBidi"/>
                <w:i/>
                <w:iCs/>
                <w:vertAlign w:val="subscript"/>
                <w:lang w:val="en-GB"/>
              </w:rPr>
              <w:t>h</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energy signature</w:t>
            </w:r>
            <w:r>
              <w:rPr>
                <w:rFonts w:asciiTheme="majorBidi" w:hAnsiTheme="majorBidi" w:cstheme="majorBidi"/>
                <w:lang w:val="en-GB"/>
              </w:rPr>
              <w:t xml:space="preserve"> heating</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q</w:t>
            </w:r>
            <w:r>
              <w:rPr>
                <w:rFonts w:asciiTheme="majorBidi" w:hAnsiTheme="majorBidi" w:cstheme="majorBidi"/>
                <w:i/>
                <w:iCs/>
                <w:vertAlign w:val="subscript"/>
                <w:lang w:val="en-GB"/>
              </w:rPr>
              <w:t>b</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energy signature</w:t>
            </w:r>
            <w:r>
              <w:rPr>
                <w:rFonts w:asciiTheme="majorBidi" w:hAnsiTheme="majorBidi" w:cstheme="majorBidi"/>
                <w:lang w:val="en-GB"/>
              </w:rPr>
              <w:t xml:space="preserve"> base load</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w:t>
            </w:r>
          </w:p>
        </w:tc>
      </w:tr>
      <w:tr w:rsidR="00412E3C" w:rsidRPr="00AE6F2E" w:rsidTr="00874F98">
        <w:trPr>
          <w:jc w:val="center"/>
        </w:trPr>
        <w:tc>
          <w:tcPr>
            <w:tcW w:w="1701" w:type="dxa"/>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r>
              <w:rPr>
                <w:rFonts w:asciiTheme="majorBidi" w:hAnsiTheme="majorBidi" w:cstheme="majorBidi"/>
                <w:i/>
                <w:iCs/>
                <w:lang w:val="en-GB"/>
              </w:rPr>
              <w:t>q</w:t>
            </w:r>
            <w:r>
              <w:rPr>
                <w:rFonts w:asciiTheme="majorBidi" w:hAnsiTheme="majorBidi" w:cstheme="majorBidi"/>
                <w:i/>
                <w:iCs/>
                <w:vertAlign w:val="subscript"/>
                <w:lang w:val="en-GB"/>
              </w:rPr>
              <w:t>c</w:t>
            </w:r>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energy signature</w:t>
            </w:r>
            <w:r>
              <w:rPr>
                <w:rFonts w:asciiTheme="majorBidi" w:hAnsiTheme="majorBidi" w:cstheme="majorBidi"/>
                <w:lang w:val="en-GB"/>
              </w:rPr>
              <w:t xml:space="preserve"> cooling</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w:t>
            </w:r>
          </w:p>
        </w:tc>
      </w:tr>
      <w:tr w:rsidR="00412E3C" w:rsidRPr="00AE6F2E" w:rsidTr="00874F98">
        <w:trPr>
          <w:jc w:val="center"/>
        </w:trPr>
        <w:tc>
          <w:tcPr>
            <w:tcW w:w="1701" w:type="dxa"/>
            <w:tcBorders>
              <w:bottom w:val="nil"/>
            </w:tcBorders>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r w:rsidRPr="006A1E73">
              <w:rPr>
                <w:rFonts w:asciiTheme="majorBidi" w:hAnsiTheme="majorBidi" w:cstheme="majorBidi"/>
                <w:i/>
                <w:iCs/>
                <w:lang w:val="en-GB"/>
              </w:rPr>
              <w:t>R</w:t>
            </w:r>
            <w:r w:rsidRPr="006A1E73">
              <w:rPr>
                <w:rFonts w:asciiTheme="majorBidi" w:hAnsiTheme="majorBidi" w:cstheme="majorBidi"/>
                <w:i/>
                <w:iCs/>
                <w:vertAlign w:val="superscript"/>
                <w:lang w:val="en-GB"/>
              </w:rPr>
              <w:t>2</w:t>
            </w:r>
          </w:p>
        </w:tc>
        <w:tc>
          <w:tcPr>
            <w:tcW w:w="4536" w:type="dxa"/>
            <w:tcBorders>
              <w:top w:val="nil"/>
              <w:bottom w:val="nil"/>
              <w:right w:val="nil"/>
            </w:tcBorders>
            <w:shd w:val="clear" w:color="auto" w:fill="auto"/>
            <w:vAlign w:val="bottom"/>
          </w:tcPr>
          <w:p w:rsidR="00412E3C" w:rsidRPr="006A1E73" w:rsidRDefault="00412E3C" w:rsidP="00874F98">
            <w:pPr>
              <w:pStyle w:val="MDPI42tablebody"/>
              <w:spacing w:line="240" w:lineRule="auto"/>
              <w:jc w:val="left"/>
              <w:rPr>
                <w:rFonts w:asciiTheme="majorBidi" w:hAnsiTheme="majorBidi" w:cstheme="majorBidi"/>
                <w:lang w:val="en-GB"/>
              </w:rPr>
            </w:pPr>
            <w:r w:rsidRPr="006A1E73">
              <w:rPr>
                <w:rFonts w:asciiTheme="majorBidi" w:hAnsiTheme="majorBidi" w:cstheme="majorBidi"/>
                <w:lang w:val="en-GB"/>
              </w:rPr>
              <w:t>determination coefficient</w:t>
            </w:r>
            <w:r>
              <w:rPr>
                <w:rFonts w:asciiTheme="majorBidi" w:hAnsiTheme="majorBidi" w:cstheme="majorBidi"/>
                <w:lang w:val="en-GB"/>
              </w:rPr>
              <w:t xml:space="preserve"> (expressed in percentage)</w:t>
            </w:r>
          </w:p>
        </w:tc>
        <w:tc>
          <w:tcPr>
            <w:tcW w:w="993" w:type="dxa"/>
            <w:tcBorders>
              <w:top w:val="nil"/>
              <w:bottom w:val="nil"/>
              <w:right w:val="nil"/>
            </w:tcBorders>
          </w:tcPr>
          <w:p w:rsidR="00412E3C" w:rsidRPr="006A1E73"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tcBorders>
              <w:top w:val="nil"/>
              <w:bottom w:val="nil"/>
            </w:tcBorders>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X</w:t>
            </w:r>
            <w:r w:rsidRPr="00874F98">
              <w:rPr>
                <w:rFonts w:asciiTheme="majorBidi" w:hAnsiTheme="majorBidi" w:cstheme="majorBidi"/>
                <w:i/>
                <w:iCs/>
                <w:vertAlign w:val="subscript"/>
                <w:lang w:val="en-GB"/>
              </w:rPr>
              <w:t>h</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dummy variable (binary 0-1) heating</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tcBorders>
              <w:top w:val="nil"/>
              <w:bottom w:val="nil"/>
            </w:tcBorders>
            <w:shd w:val="clear" w:color="auto" w:fill="auto"/>
            <w:vAlign w:val="center"/>
          </w:tcPr>
          <w:p w:rsidR="00412E3C"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X</w:t>
            </w:r>
            <w:r>
              <w:rPr>
                <w:rFonts w:asciiTheme="majorBidi" w:hAnsiTheme="majorBidi" w:cstheme="majorBidi"/>
                <w:i/>
                <w:iCs/>
                <w:vertAlign w:val="subscript"/>
                <w:lang w:val="en-GB"/>
              </w:rPr>
              <w:t>b</w:t>
            </w:r>
            <w:proofErr w:type="spellEnd"/>
          </w:p>
        </w:tc>
        <w:tc>
          <w:tcPr>
            <w:tcW w:w="4536" w:type="dxa"/>
            <w:tcBorders>
              <w:top w:val="nil"/>
              <w:bottom w:val="nil"/>
              <w:right w:val="nil"/>
            </w:tcBorders>
            <w:shd w:val="clear" w:color="auto" w:fill="auto"/>
            <w:vAlign w:val="center"/>
          </w:tcPr>
          <w:p w:rsidR="00412E3C"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dummy variable (binary 0-1) base load</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tcBorders>
              <w:top w:val="nil"/>
              <w:bottom w:val="nil"/>
            </w:tcBorders>
            <w:shd w:val="clear" w:color="auto" w:fill="auto"/>
            <w:vAlign w:val="center"/>
          </w:tcPr>
          <w:p w:rsidR="00412E3C"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X</w:t>
            </w:r>
            <w:r>
              <w:rPr>
                <w:rFonts w:asciiTheme="majorBidi" w:hAnsiTheme="majorBidi" w:cstheme="majorBidi"/>
                <w:i/>
                <w:iCs/>
                <w:vertAlign w:val="subscript"/>
                <w:lang w:val="en-GB"/>
              </w:rPr>
              <w:t>c</w:t>
            </w:r>
            <w:proofErr w:type="spellEnd"/>
          </w:p>
        </w:tc>
        <w:tc>
          <w:tcPr>
            <w:tcW w:w="4536" w:type="dxa"/>
            <w:tcBorders>
              <w:top w:val="nil"/>
              <w:bottom w:val="nil"/>
              <w:right w:val="nil"/>
            </w:tcBorders>
            <w:shd w:val="clear" w:color="auto" w:fill="auto"/>
            <w:vAlign w:val="center"/>
          </w:tcPr>
          <w:p w:rsidR="00412E3C"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dummy variable (binary 0-1) cooling</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w:t>
            </w:r>
          </w:p>
        </w:tc>
      </w:tr>
      <w:tr w:rsidR="00412E3C" w:rsidRPr="00AE6F2E" w:rsidTr="00874F98">
        <w:trPr>
          <w:jc w:val="center"/>
        </w:trPr>
        <w:tc>
          <w:tcPr>
            <w:tcW w:w="1701" w:type="dxa"/>
            <w:tcBorders>
              <w:top w:val="nil"/>
              <w:bottom w:val="nil"/>
            </w:tcBorders>
            <w:shd w:val="clear" w:color="auto" w:fill="auto"/>
            <w:vAlign w:val="center"/>
          </w:tcPr>
          <w:p w:rsidR="00412E3C" w:rsidRPr="006A1E73" w:rsidRDefault="00412E3C" w:rsidP="00874F98">
            <w:pPr>
              <w:pStyle w:val="MDPI42tablebody"/>
              <w:spacing w:line="240" w:lineRule="auto"/>
              <w:rPr>
                <w:rFonts w:asciiTheme="majorBidi" w:hAnsiTheme="majorBidi" w:cstheme="majorBidi"/>
                <w:i/>
                <w:iCs/>
                <w:lang w:val="en-GB"/>
              </w:rPr>
            </w:pPr>
            <w:proofErr w:type="spellStart"/>
            <w:r w:rsidRPr="006A1E73">
              <w:rPr>
                <w:rFonts w:asciiTheme="majorBidi" w:hAnsiTheme="majorBidi" w:cstheme="majorBidi"/>
                <w:i/>
                <w:iCs/>
                <w:lang w:val="en-GB"/>
              </w:rPr>
              <w:t>θ</w:t>
            </w:r>
            <w:r w:rsidRPr="00874F98">
              <w:rPr>
                <w:rFonts w:asciiTheme="majorBidi" w:hAnsiTheme="majorBidi" w:cstheme="majorBidi"/>
                <w:i/>
                <w:iCs/>
                <w:vertAlign w:val="subscript"/>
                <w:lang w:val="en-GB"/>
              </w:rPr>
              <w:t>e</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 xml:space="preserve">outdoor air </w:t>
            </w:r>
            <w:r w:rsidRPr="006A1E73">
              <w:rPr>
                <w:rFonts w:asciiTheme="majorBidi" w:hAnsiTheme="majorBidi" w:cstheme="majorBidi"/>
                <w:lang w:val="en-GB"/>
              </w:rPr>
              <w:t>temperature</w:t>
            </w:r>
          </w:p>
        </w:tc>
        <w:tc>
          <w:tcPr>
            <w:tcW w:w="993" w:type="dxa"/>
            <w:tcBorders>
              <w:top w:val="nil"/>
              <w:bottom w:val="nil"/>
              <w:right w:val="nil"/>
            </w:tcBorders>
          </w:tcPr>
          <w:p w:rsidR="00412E3C" w:rsidRPr="009D7F53" w:rsidRDefault="00412E3C" w:rsidP="00874F98">
            <w:pPr>
              <w:pStyle w:val="MDPI42tablebody"/>
              <w:spacing w:line="240" w:lineRule="auto"/>
              <w:rPr>
                <w:rFonts w:asciiTheme="majorBidi" w:hAnsiTheme="majorBidi" w:cstheme="majorBidi"/>
                <w:lang w:val="en-GB"/>
              </w:rPr>
            </w:pPr>
            <w:r w:rsidRPr="00874F98">
              <w:rPr>
                <w:rFonts w:asciiTheme="majorBidi" w:hAnsiTheme="majorBidi" w:cstheme="majorBidi"/>
                <w:lang w:val="en-GB"/>
              </w:rPr>
              <w:t>º</w:t>
            </w:r>
            <w:r w:rsidRPr="009D7F53">
              <w:rPr>
                <w:rFonts w:asciiTheme="majorBidi" w:hAnsiTheme="majorBidi" w:cstheme="majorBidi"/>
                <w:lang w:val="en-GB"/>
              </w:rPr>
              <w:t>C</w:t>
            </w:r>
          </w:p>
        </w:tc>
      </w:tr>
      <w:tr w:rsidR="00412E3C" w:rsidRPr="00AE6F2E" w:rsidTr="00874F98">
        <w:trPr>
          <w:jc w:val="center"/>
        </w:trPr>
        <w:tc>
          <w:tcPr>
            <w:tcW w:w="1701" w:type="dxa"/>
            <w:tcBorders>
              <w:top w:val="nil"/>
              <w:bottom w:val="nil"/>
            </w:tcBorders>
            <w:shd w:val="clear" w:color="auto" w:fill="auto"/>
            <w:vAlign w:val="center"/>
          </w:tcPr>
          <w:p w:rsidR="00412E3C" w:rsidRPr="008C475B" w:rsidRDefault="00412E3C" w:rsidP="00874F98">
            <w:pPr>
              <w:pStyle w:val="MDPI42tablebody"/>
              <w:spacing w:line="240" w:lineRule="auto"/>
              <w:rPr>
                <w:rFonts w:asciiTheme="majorBidi" w:hAnsiTheme="majorBidi" w:cstheme="majorBidi"/>
                <w:i/>
                <w:iCs/>
                <w:lang w:val="en-GB"/>
              </w:rPr>
            </w:pPr>
            <w:proofErr w:type="spellStart"/>
            <w:r w:rsidRPr="008C475B">
              <w:rPr>
                <w:rFonts w:asciiTheme="majorBidi" w:hAnsiTheme="majorBidi" w:cstheme="majorBidi"/>
                <w:i/>
                <w:iCs/>
                <w:lang w:val="en-GB"/>
              </w:rPr>
              <w:t>ε</w:t>
            </w:r>
            <w:r w:rsidRPr="00874F98">
              <w:rPr>
                <w:rFonts w:asciiTheme="majorBidi" w:hAnsiTheme="majorBidi" w:cstheme="majorBidi"/>
                <w:i/>
                <w:iCs/>
                <w:vertAlign w:val="subscript"/>
                <w:lang w:val="en-GB"/>
              </w:rPr>
              <w:t>h</w:t>
            </w:r>
            <w:proofErr w:type="spellEnd"/>
          </w:p>
        </w:tc>
        <w:tc>
          <w:tcPr>
            <w:tcW w:w="4536" w:type="dxa"/>
            <w:tcBorders>
              <w:top w:val="nil"/>
              <w:bottom w:val="nil"/>
              <w:right w:val="nil"/>
            </w:tcBorders>
            <w:shd w:val="clear" w:color="auto" w:fill="auto"/>
            <w:vAlign w:val="center"/>
          </w:tcPr>
          <w:p w:rsidR="00412E3C" w:rsidRPr="006A1E73"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error term heating</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kW-kWh</w:t>
            </w:r>
          </w:p>
        </w:tc>
      </w:tr>
      <w:tr w:rsidR="00412E3C" w:rsidRPr="00AE6F2E" w:rsidTr="00874F98">
        <w:trPr>
          <w:jc w:val="center"/>
        </w:trPr>
        <w:tc>
          <w:tcPr>
            <w:tcW w:w="1701" w:type="dxa"/>
            <w:tcBorders>
              <w:top w:val="nil"/>
              <w:bottom w:val="nil"/>
            </w:tcBorders>
            <w:shd w:val="clear" w:color="auto" w:fill="auto"/>
            <w:vAlign w:val="center"/>
          </w:tcPr>
          <w:p w:rsidR="00412E3C" w:rsidRPr="008C475B"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ε</w:t>
            </w:r>
            <w:r>
              <w:rPr>
                <w:rFonts w:asciiTheme="majorBidi" w:hAnsiTheme="majorBidi" w:cstheme="majorBidi"/>
                <w:i/>
                <w:iCs/>
                <w:vertAlign w:val="subscript"/>
                <w:lang w:val="en-GB"/>
              </w:rPr>
              <w:t>b</w:t>
            </w:r>
            <w:proofErr w:type="spellEnd"/>
          </w:p>
        </w:tc>
        <w:tc>
          <w:tcPr>
            <w:tcW w:w="4536" w:type="dxa"/>
            <w:tcBorders>
              <w:top w:val="nil"/>
              <w:bottom w:val="nil"/>
              <w:right w:val="nil"/>
            </w:tcBorders>
            <w:shd w:val="clear" w:color="auto" w:fill="auto"/>
            <w:vAlign w:val="center"/>
          </w:tcPr>
          <w:p w:rsidR="00412E3C"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error term base load</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kW-kWh</w:t>
            </w:r>
          </w:p>
        </w:tc>
      </w:tr>
      <w:tr w:rsidR="00412E3C" w:rsidRPr="00AE6F2E" w:rsidTr="00874F98">
        <w:trPr>
          <w:jc w:val="center"/>
        </w:trPr>
        <w:tc>
          <w:tcPr>
            <w:tcW w:w="1701" w:type="dxa"/>
            <w:tcBorders>
              <w:top w:val="nil"/>
              <w:bottom w:val="nil"/>
            </w:tcBorders>
            <w:shd w:val="clear" w:color="auto" w:fill="auto"/>
            <w:vAlign w:val="center"/>
          </w:tcPr>
          <w:p w:rsidR="00412E3C" w:rsidRPr="008C475B" w:rsidRDefault="00412E3C" w:rsidP="00874F98">
            <w:pPr>
              <w:pStyle w:val="MDPI42tablebody"/>
              <w:spacing w:line="240" w:lineRule="auto"/>
              <w:rPr>
                <w:rFonts w:asciiTheme="majorBidi" w:hAnsiTheme="majorBidi" w:cstheme="majorBidi"/>
                <w:i/>
                <w:iCs/>
                <w:lang w:val="en-GB"/>
              </w:rPr>
            </w:pPr>
            <w:proofErr w:type="spellStart"/>
            <w:r>
              <w:rPr>
                <w:rFonts w:asciiTheme="majorBidi" w:hAnsiTheme="majorBidi" w:cstheme="majorBidi"/>
                <w:i/>
                <w:iCs/>
                <w:lang w:val="en-GB"/>
              </w:rPr>
              <w:t>ε</w:t>
            </w:r>
            <w:r>
              <w:rPr>
                <w:rFonts w:asciiTheme="majorBidi" w:hAnsiTheme="majorBidi" w:cstheme="majorBidi"/>
                <w:i/>
                <w:iCs/>
                <w:vertAlign w:val="subscript"/>
                <w:lang w:val="en-GB"/>
              </w:rPr>
              <w:t>c</w:t>
            </w:r>
            <w:proofErr w:type="spellEnd"/>
          </w:p>
        </w:tc>
        <w:tc>
          <w:tcPr>
            <w:tcW w:w="4536" w:type="dxa"/>
            <w:tcBorders>
              <w:top w:val="nil"/>
              <w:bottom w:val="nil"/>
              <w:right w:val="nil"/>
            </w:tcBorders>
            <w:shd w:val="clear" w:color="auto" w:fill="auto"/>
            <w:vAlign w:val="center"/>
          </w:tcPr>
          <w:p w:rsidR="00412E3C"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error term cooling</w:t>
            </w:r>
          </w:p>
        </w:tc>
        <w:tc>
          <w:tcPr>
            <w:tcW w:w="993" w:type="dxa"/>
            <w:tcBorders>
              <w:top w:val="nil"/>
              <w:bottom w:val="nil"/>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kW-kWh</w:t>
            </w:r>
          </w:p>
        </w:tc>
      </w:tr>
      <w:tr w:rsidR="00412E3C" w:rsidRPr="00AE6F2E" w:rsidTr="00874F98">
        <w:trPr>
          <w:jc w:val="center"/>
        </w:trPr>
        <w:tc>
          <w:tcPr>
            <w:tcW w:w="1701" w:type="dxa"/>
            <w:tcBorders>
              <w:top w:val="nil"/>
              <w:bottom w:val="single" w:sz="4" w:space="0" w:color="auto"/>
            </w:tcBorders>
            <w:shd w:val="clear" w:color="auto" w:fill="auto"/>
            <w:vAlign w:val="center"/>
          </w:tcPr>
          <w:p w:rsidR="00412E3C" w:rsidRPr="008C475B" w:rsidRDefault="00412E3C" w:rsidP="00874F98">
            <w:pPr>
              <w:pStyle w:val="MDPI42tablebody"/>
              <w:spacing w:line="240" w:lineRule="auto"/>
              <w:rPr>
                <w:rFonts w:asciiTheme="majorBidi" w:hAnsiTheme="majorBidi" w:cstheme="majorBidi"/>
                <w:i/>
                <w:iCs/>
                <w:lang w:val="en-GB"/>
              </w:rPr>
            </w:pPr>
            <w:r>
              <w:rPr>
                <w:rFonts w:asciiTheme="majorBidi" w:hAnsiTheme="majorBidi" w:cstheme="majorBidi"/>
                <w:i/>
                <w:iCs/>
                <w:lang w:val="en-GB"/>
              </w:rPr>
              <w:t>σ</w:t>
            </w:r>
          </w:p>
        </w:tc>
        <w:tc>
          <w:tcPr>
            <w:tcW w:w="4536" w:type="dxa"/>
            <w:tcBorders>
              <w:top w:val="nil"/>
              <w:bottom w:val="single" w:sz="4" w:space="0" w:color="auto"/>
              <w:right w:val="nil"/>
            </w:tcBorders>
            <w:shd w:val="clear" w:color="auto" w:fill="auto"/>
            <w:vAlign w:val="center"/>
          </w:tcPr>
          <w:p w:rsidR="00412E3C" w:rsidRDefault="00412E3C" w:rsidP="00874F98">
            <w:pPr>
              <w:pStyle w:val="MDPI42tablebody"/>
              <w:spacing w:line="240" w:lineRule="auto"/>
              <w:jc w:val="left"/>
              <w:rPr>
                <w:rFonts w:asciiTheme="majorBidi" w:hAnsiTheme="majorBidi" w:cstheme="majorBidi"/>
                <w:lang w:val="en-GB"/>
              </w:rPr>
            </w:pPr>
            <w:r>
              <w:rPr>
                <w:rFonts w:asciiTheme="majorBidi" w:hAnsiTheme="majorBidi" w:cstheme="majorBidi"/>
                <w:lang w:val="en-GB"/>
              </w:rPr>
              <w:t>standard deviation</w:t>
            </w:r>
          </w:p>
        </w:tc>
        <w:tc>
          <w:tcPr>
            <w:tcW w:w="993" w:type="dxa"/>
            <w:tcBorders>
              <w:top w:val="nil"/>
              <w:bottom w:val="single" w:sz="4" w:space="0" w:color="auto"/>
              <w:right w:val="nil"/>
            </w:tcBorders>
          </w:tcPr>
          <w:p w:rsidR="00412E3C" w:rsidRDefault="00412E3C" w:rsidP="00874F98">
            <w:pPr>
              <w:pStyle w:val="MDPI42tablebody"/>
              <w:spacing w:line="240" w:lineRule="auto"/>
              <w:rPr>
                <w:rFonts w:asciiTheme="majorBidi" w:hAnsiTheme="majorBidi" w:cstheme="majorBidi"/>
                <w:lang w:val="en-GB"/>
              </w:rPr>
            </w:pPr>
            <w:r>
              <w:rPr>
                <w:rFonts w:asciiTheme="majorBidi" w:hAnsiTheme="majorBidi" w:cstheme="majorBidi"/>
                <w:lang w:val="en-GB"/>
              </w:rPr>
              <w:t>kWh</w:t>
            </w:r>
          </w:p>
        </w:tc>
      </w:tr>
    </w:tbl>
    <w:p w:rsidR="00412E3C" w:rsidRDefault="00412E3C" w:rsidP="00412E3C">
      <w:pPr>
        <w:rPr>
          <w:lang w:val="en-GB" w:eastAsia="x-none"/>
        </w:rPr>
      </w:pPr>
    </w:p>
    <w:p w:rsidR="00412E3C" w:rsidRDefault="00412E3C" w:rsidP="00412E3C">
      <w:pPr>
        <w:rPr>
          <w:lang w:val="en-GB" w:eastAsia="x-none"/>
        </w:rPr>
      </w:pPr>
    </w:p>
    <w:p w:rsidR="00A01E0B" w:rsidRPr="00C36C26" w:rsidRDefault="0097788B" w:rsidP="000A1A59">
      <w:pPr>
        <w:pStyle w:val="Heading1"/>
        <w:rPr>
          <w:lang w:eastAsia="it-IT"/>
        </w:rPr>
      </w:pPr>
      <w:r w:rsidRPr="0034537C">
        <w:t>I</w:t>
      </w:r>
      <w:r w:rsidR="00201E3F" w:rsidRPr="0034537C">
        <w:t>ntroduction</w:t>
      </w:r>
      <w:bookmarkEnd w:id="3"/>
    </w:p>
    <w:p w:rsidR="00AE6F2E" w:rsidRDefault="00E7318F" w:rsidP="00FB1E1B">
      <w:pPr>
        <w:jc w:val="both"/>
        <w:rPr>
          <w:lang w:val="en-GB" w:eastAsia="ja-JP"/>
        </w:rPr>
      </w:pPr>
      <w:r w:rsidRPr="00E7318F">
        <w:rPr>
          <w:lang w:val="en-GB" w:eastAsia="ja-JP"/>
        </w:rPr>
        <w:t>Data-driven building energy modelling approaches, using machine-learning techniques, have proven to be effective in multiple applications</w:t>
      </w:r>
      <w:r w:rsidR="005F7142">
        <w:rPr>
          <w:lang w:val="en-GB" w:eastAsia="ja-JP"/>
        </w:rPr>
        <w:t xml:space="preserve"> across</w:t>
      </w:r>
      <w:r w:rsidR="00C21D50">
        <w:rPr>
          <w:lang w:val="en-GB" w:eastAsia="ja-JP"/>
        </w:rPr>
        <w:t xml:space="preserve"> building</w:t>
      </w:r>
      <w:r w:rsidR="005F7142">
        <w:rPr>
          <w:lang w:val="en-GB" w:eastAsia="ja-JP"/>
        </w:rPr>
        <w:t xml:space="preserve"> life cycle phases </w:t>
      </w:r>
      <w:r w:rsidR="007B5BBA">
        <w:rPr>
          <w:lang w:val="en-GB" w:eastAsia="ja-JP"/>
        </w:rPr>
        <w:fldChar w:fldCharType="begin" w:fldLock="1"/>
      </w:r>
      <w:r w:rsidR="00AB065E">
        <w:rPr>
          <w:lang w:val="en-GB" w:eastAsia="ja-JP"/>
        </w:rPr>
        <w:instrText>ADDIN CSL_CITATION { "citationItems" : [ { "id" : "ITEM-1", "itemData" : { "DOI" : "https://doi.org/10.1016/j.enbuild.2020.109831", "ISSN" : "0378-7788", "abstract" : "Fueled by big data, powerful and affordable computing resources, and advanced algorithms, machine learning has been explored and applied to buildings research for the past decades and has demonstrated its potential to enhance building performance. This study systematically surveyed how machine learning has been applied at different stages of building life cycle. By conducting a literature search on the Web of Knowledge platform, we found 9579 papers in this field and selected 153 papers for an in-depth review. The number of published papers is increasing year by year, with a focus on building design, operation, and control. However, no study was found using machine learning in building commissioning. There are successful pilot studies on fault detection and diagnosis of HVAC equipment and systems, load prediction, energy baseline estimate, load shape clustering, occupancy prediction, and learning occupant behaviors and energy use patterns. None of the existing studies were adopted broadly by the building industry, due to common challenges including (1) lack of large scale labeled data to train and validate the model, (2) lack of model transferability, which limits a model trained with one data-rich building to be used in another building with limited data, (3) lack of strong justification of costs and benefits of deploying machine learning, and (4) the performance might not be reliable and robust for the stated goals, as the method might work for some buildings but could not be generalized to others. Findings from the study can inform future machine learning research to improve occupant comfort, energy efficiency, demand flexibility, and resilience of buildings, as well as to inspire young researchers in the field to explore multidisciplinary approaches that integrate building science, computing science, data science, and social science.", "author" : [ { "dropping-particle" : "", "family" : "Hong", "given" : "Tianzhen", "non-dropping-particle" : "", "parse-names" : false, "suffix" : "" }, { "dropping-particle" : "", "family" : "Wang", "given" : "Zhe", "non-dropping-particle" : "", "parse-names" : false, "suffix" : "" }, { "dropping-particle" : "", "family" : "Luo", "given" : "Xuan", "non-dropping-particle" : "", "parse-names" : false, "suffix" : "" }, { "dropping-particle" : "", "family" : "Zhang", "given" : "Wanni", "non-dropping-particle" : "", "parse-names" : false, "suffix" : "" } ], "container-title" : "Energy and Buildings", "id" : "ITEM-1", "issued" : { "date-parts" : [ [ "2020" ] ] }, "page" : "109831", "title" : "State-of-the-art on research and applications of machine learning in the building life cycle", "type" : "article-journal", "volume" : "212" }, "uris" : [ "http://www.mendeley.com/documents/?uuid=f32b6885-1323-4699-b357-acca409b533f" ] } ], "mendeley" : { "formattedCitation" : "[1]", "plainTextFormattedCitation" : "[1]", "previouslyFormattedCitation" : "[1]" }, "properties" : { "noteIndex" : 0 }, "schema" : "https://github.com/citation-style-language/schema/raw/master/csl-citation.json" }</w:instrText>
      </w:r>
      <w:r w:rsidR="007B5BBA">
        <w:rPr>
          <w:lang w:val="en-GB" w:eastAsia="ja-JP"/>
        </w:rPr>
        <w:fldChar w:fldCharType="separate"/>
      </w:r>
      <w:r w:rsidR="007B5BBA" w:rsidRPr="007B5BBA">
        <w:rPr>
          <w:noProof/>
          <w:lang w:val="en-GB" w:eastAsia="ja-JP"/>
        </w:rPr>
        <w:t>[1]</w:t>
      </w:r>
      <w:r w:rsidR="007B5BBA">
        <w:rPr>
          <w:lang w:val="en-GB" w:eastAsia="ja-JP"/>
        </w:rPr>
        <w:fldChar w:fldCharType="end"/>
      </w:r>
      <w:r w:rsidRPr="00E7318F">
        <w:rPr>
          <w:lang w:val="en-GB" w:eastAsia="ja-JP"/>
        </w:rPr>
        <w:t xml:space="preserve">, from design </w:t>
      </w:r>
      <w:r>
        <w:rPr>
          <w:lang w:eastAsia="ja-JP"/>
        </w:rPr>
        <w:fldChar w:fldCharType="begin" w:fldLock="1"/>
      </w:r>
      <w:r w:rsidR="00AB065E">
        <w:rPr>
          <w:lang w:val="en-GB" w:eastAsia="ja-JP"/>
        </w:rPr>
        <w:instrText>ADDIN CSL_CITATION { "citationItems" : [ { "id" : "ITEM-1", "itemData" : { "DOI" : "https://doi.org/10.1016/j.enbuild.2019.05.057", "ISSN" : "0378-7788", "abstract" : "Statistical models can be used as surrogates of detailed simulation models. Their key advantage is that they are evaluated at low computational cost which can remove computational barriers in building performance simulation. This comprehensive review discusses significant publications in sustainable building design research where surrogate modelling was applied. First, we familiarize the reader with the field and begin by explaining the use of surrogate modelling for building design with regard to applications in the conceptual design stage, for sensitivity and uncertainty analysis, and for building design optimisation. This is complemented with practical instructions on the steps required to derive a surrogate model. Next, publications in the field are discussed and significant methodological findings highlighted. We have aggregated 57 studies in a comprehensive table with details on objective, sampling strategy and surrogate model type. Based on the literature major research trends are extracted and useful practical aspects outlined. As surrogate modelling may contribute to many sustainable building design problems, this review summarizes and aggregates past successes, and serves as practical guide to make surrogate modelling accessible for future researchers.", "author" : [ { "dropping-particle" : "", "family" : "Westermann", "given" : "Paul", "non-dropping-particle" : "", "parse-names" : false, "suffix" : "" }, { "dropping-particle" : "", "family" : "Evins", "given" : "Ralph", "non-dropping-particle" : "", "parse-names" : false, "suffix" : "" } ], "container-title" : "Energy and Buildings", "id" : "ITEM-1", "issued" : { "date-parts" : [ [ "2019" ] ] }, "page" : "170-186", "title" : "Surrogate modelling for sustainable building design \u2013 A review", "type" : "article-journal", "volume" : "198" }, "uris" : [ "http://www.mendeley.com/documents/?uuid=a849b1f4-499e-43ba-9f0f-e8c712a3542d" ] } ], "mendeley" : { "formattedCitation" : "[2]", "plainTextFormattedCitation" : "[2]", "previouslyFormattedCitation" : "[2]" }, "properties" : { "noteIndex" : 0 }, "schema" : "https://github.com/citation-style-language/schema/raw/master/csl-citation.json" }</w:instrText>
      </w:r>
      <w:r>
        <w:rPr>
          <w:lang w:eastAsia="ja-JP"/>
        </w:rPr>
        <w:fldChar w:fldCharType="separate"/>
      </w:r>
      <w:r w:rsidR="007B5BBA" w:rsidRPr="007B5BBA">
        <w:rPr>
          <w:noProof/>
          <w:lang w:val="en-GB" w:eastAsia="ja-JP"/>
        </w:rPr>
        <w:t>[2]</w:t>
      </w:r>
      <w:r>
        <w:rPr>
          <w:lang w:eastAsia="ja-JP"/>
        </w:rPr>
        <w:fldChar w:fldCharType="end"/>
      </w:r>
      <w:r w:rsidRPr="00E7318F">
        <w:rPr>
          <w:lang w:val="en-GB" w:eastAsia="ja-JP"/>
        </w:rPr>
        <w:t xml:space="preserve"> to operation </w:t>
      </w:r>
      <w:r w:rsidRPr="000F169C">
        <w:fldChar w:fldCharType="begin" w:fldLock="1"/>
      </w:r>
      <w:r w:rsidR="00AB065E">
        <w:rPr>
          <w:lang w:val="en-GB"/>
        </w:rPr>
        <w:instrText>ADDIN CSL_CITATION { "citationItems" : [ { "id" : "ITEM-1", "itemData" : { "DOI" : "10.3389/fenrg.2020.557649", "ISSN" : "2296-598X", "abstract" : "The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phase\u2019s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 "author" : [ { "dropping-particle" : "", "family" : "Manfren", "given" : "Massimiliano", "non-dropping-particle" : "", "parse-names" : false, "suffix" : "" }, { "dropping-particle" : "", "family" : "Nastasi", "given" : "Benedetto", "non-dropping-particle" : "", "parse-names" : false, "suffix" : "" }, { "dropping-particle" : "", "family" : "Tronchin", "given" : "Lamberto", "non-dropping-particle" : "", "parse-names" : false, "suffix" : "" } ], "container-title" : "Frontiers in Energy Research", "id" : "ITEM-1", "issued" : { "date-parts" : [ [ "2020" ] ] }, "page" : "288", "title" : "Linking Design and Operation Phase Energy Performance Analysis Through Regression-Based Approaches", "type" : "article-journal", "volume" : "8" }, "uris" : [ "http://www.mendeley.com/documents/?uuid=7dcf653e-068e-4dc2-bd57-533084f02c3c" ] } ], "mendeley" : { "formattedCitation" : "[3]", "plainTextFormattedCitation" : "[3]", "previouslyFormattedCitation" : "[3]" }, "properties" : { "noteIndex" : 0 }, "schema" : "https://github.com/citation-style-language/schema/raw/master/csl-citation.json" }</w:instrText>
      </w:r>
      <w:r w:rsidRPr="000F169C">
        <w:fldChar w:fldCharType="separate"/>
      </w:r>
      <w:r w:rsidR="007B5BBA" w:rsidRPr="007B5BBA">
        <w:rPr>
          <w:noProof/>
          <w:lang w:val="en-GB"/>
        </w:rPr>
        <w:t>[3]</w:t>
      </w:r>
      <w:r w:rsidRPr="000F169C">
        <w:fldChar w:fldCharType="end"/>
      </w:r>
      <w:r w:rsidRPr="00E7318F">
        <w:rPr>
          <w:lang w:val="en-GB" w:eastAsia="ja-JP"/>
        </w:rPr>
        <w:t xml:space="preserve">. Their use for energy performance benchmarking can provide highly valuable insights to help reducing energy consumption and related carbon emissions, both for newly constructed buildings and for existing or retrofitted ones. However, the debate around the possibility of </w:t>
      </w:r>
      <w:r w:rsidR="00106A3A">
        <w:rPr>
          <w:lang w:val="en-GB" w:eastAsia="ja-JP"/>
        </w:rPr>
        <w:t>generalisation</w:t>
      </w:r>
      <w:r w:rsidRPr="00E7318F">
        <w:rPr>
          <w:lang w:val="en-GB" w:eastAsia="ja-JP"/>
        </w:rPr>
        <w:t xml:space="preserve"> of data-driven approaches is still open </w:t>
      </w:r>
      <w:r w:rsidRPr="000F169C">
        <w:rPr>
          <w:rFonts w:asciiTheme="majorBidi" w:hAnsiTheme="majorBidi" w:cstheme="majorBidi"/>
        </w:rPr>
        <w:fldChar w:fldCharType="begin" w:fldLock="1"/>
      </w:r>
      <w:r w:rsidR="00AB065E">
        <w:rPr>
          <w:rFonts w:asciiTheme="majorBidi" w:hAnsiTheme="majorBidi" w:cstheme="majorBidi"/>
          <w:lang w:val="en-GB"/>
        </w:rPr>
        <w:instrText>ADDIN CSL_CITATION { "citationItems" : [ { "id" : "ITEM-1", "itemData" : { "DOI" : "10.3390/make1030056", "ISBN" : "2504-4990", "abstract" : "Prediction is a common machine learning (ML) technique used on building energy consumption data. This process is valuable for anomaly detection, load profile-based building control and measurement and verification procedures. Hundreds of building energy prediction techniques have been developed over the last three decades, yet there is still no consensus on which techniques are the most effective for various building types. In addition, many of the techniques developed are not publicly available to the general research community. This paper outlines a library of open-source regression techniques from the Scikit-Learn Python library and describes the process of applying them to open hourly electrical meter data from 482 non-residential buildings from the Building Data Genome Project. The results illustrate that there are several techniques, notably decision tree-based models, that perform well on two-thirds of the total cohort of buildings. However, over one-third of the buildings, specifically primary schools, performed poorly. This example implementation shows that there is no one size-fits-all modeling solution and that various types of temporal behavior are difficult to capture using machine learning. An analysis of the generalizability of the models tested motivates the need for the application of future techniques to a board range of building types and behaviors. The importance of this type of scalability analysis is discussed in the context of the growth of energy meter and other Internet-of-Things (IoT) data streams in the built environment. This framework is designed to be an example baseline implementation for other building energy data prediction methods as applied to a larger population of buildings. For reproducibility, the entire code base and data sets are found on Github.", "author" : [ { "dropping-particle" : "", "family" : "Miller", "given" : "Clayton", "non-dropping-particle" : "", "parse-names" : false, "suffix" : "" } ], "container-title" : "Machine Learning and Knowledge Extraction ", "id" : "ITEM-1", "issue" : "3", "issued" : { "date-parts" : [ [ "2019" ] ] }, "title" : "More Buildings Make More Generalizable Models\u2014Benchmarking Prediction Methods on Open Electrical Meter Data", "type" : "article", "volume" : "1" }, "uris" : [ "http://www.mendeley.com/documents/?uuid=fd4a71ce-1373-4f44-99a4-d6105d2f29a1" ] } ], "mendeley" : { "formattedCitation" : "[4]", "plainTextFormattedCitation" : "[4]", "previouslyFormattedCitation" : "[4]" }, "properties" : { "noteIndex" : 0 }, "schema" : "https://github.com/citation-style-language/schema/raw/master/csl-citation.json" }</w:instrText>
      </w:r>
      <w:r w:rsidRPr="000F169C">
        <w:rPr>
          <w:rFonts w:asciiTheme="majorBidi" w:hAnsiTheme="majorBidi" w:cstheme="majorBidi"/>
        </w:rPr>
        <w:fldChar w:fldCharType="separate"/>
      </w:r>
      <w:r w:rsidR="007B5BBA" w:rsidRPr="007B5BBA">
        <w:rPr>
          <w:rFonts w:asciiTheme="majorBidi" w:hAnsiTheme="majorBidi" w:cstheme="majorBidi"/>
          <w:noProof/>
          <w:lang w:val="en-GB"/>
        </w:rPr>
        <w:t>[4]</w:t>
      </w:r>
      <w:r w:rsidRPr="000F169C">
        <w:rPr>
          <w:rFonts w:asciiTheme="majorBidi" w:hAnsiTheme="majorBidi" w:cstheme="majorBidi"/>
        </w:rPr>
        <w:fldChar w:fldCharType="end"/>
      </w:r>
      <w:r w:rsidRPr="00E7318F">
        <w:rPr>
          <w:lang w:val="en-GB" w:eastAsia="ja-JP"/>
        </w:rPr>
        <w:t xml:space="preserve">. </w:t>
      </w:r>
      <w:r w:rsidR="00B5398F">
        <w:rPr>
          <w:lang w:val="en-GB" w:eastAsia="ja-JP"/>
        </w:rPr>
        <w:t>The</w:t>
      </w:r>
      <w:r w:rsidR="00B5398F" w:rsidRPr="00E7318F">
        <w:rPr>
          <w:lang w:val="en-GB" w:eastAsia="ja-JP"/>
        </w:rPr>
        <w:t xml:space="preserve"> </w:t>
      </w:r>
      <w:r w:rsidR="00E50E2E" w:rsidRPr="00E7318F">
        <w:rPr>
          <w:lang w:val="en-GB" w:eastAsia="ja-JP"/>
        </w:rPr>
        <w:t xml:space="preserve">term </w:t>
      </w:r>
      <w:r w:rsidR="00106A3A">
        <w:rPr>
          <w:lang w:val="en-GB" w:eastAsia="ja-JP"/>
        </w:rPr>
        <w:t>generalisation</w:t>
      </w:r>
      <w:r w:rsidR="00E50E2E" w:rsidRPr="00E7318F">
        <w:rPr>
          <w:lang w:val="en-GB" w:eastAsia="ja-JP"/>
        </w:rPr>
        <w:t xml:space="preserve"> indicate</w:t>
      </w:r>
      <w:r w:rsidR="00B5398F">
        <w:rPr>
          <w:lang w:val="en-GB" w:eastAsia="ja-JP"/>
        </w:rPr>
        <w:t>s</w:t>
      </w:r>
      <w:r w:rsidR="00E50E2E" w:rsidRPr="00E7318F">
        <w:rPr>
          <w:lang w:val="en-GB" w:eastAsia="ja-JP"/>
        </w:rPr>
        <w:t xml:space="preserve"> the ability of a machine-learning model to adapt to a new dataset (i.e. previously unseen data) and perform reasonably well, considering statistical performance indicators.</w:t>
      </w:r>
    </w:p>
    <w:p w:rsidR="0074678A" w:rsidRDefault="00E7318F">
      <w:pPr>
        <w:jc w:val="both"/>
        <w:rPr>
          <w:lang w:val="en-GB" w:eastAsia="ja-JP"/>
        </w:rPr>
      </w:pPr>
      <w:r w:rsidRPr="00E7318F">
        <w:rPr>
          <w:lang w:val="en-GB" w:eastAsia="ja-JP"/>
        </w:rPr>
        <w:t xml:space="preserve">In fact, while a large number of energy prediction techniques have been proposed in research in the last decades, yet there is still no general consensus on which techniques perform </w:t>
      </w:r>
      <w:proofErr w:type="gramStart"/>
      <w:r w:rsidRPr="00E7318F">
        <w:rPr>
          <w:lang w:val="en-GB" w:eastAsia="ja-JP"/>
        </w:rPr>
        <w:t>better</w:t>
      </w:r>
      <w:proofErr w:type="gramEnd"/>
      <w:r w:rsidRPr="00E7318F">
        <w:rPr>
          <w:lang w:val="en-GB" w:eastAsia="ja-JP"/>
        </w:rPr>
        <w:t xml:space="preserve"> in which specific problems</w:t>
      </w:r>
      <w:r w:rsidR="00E50E2E">
        <w:rPr>
          <w:lang w:val="en-GB" w:eastAsia="ja-JP"/>
        </w:rPr>
        <w:t xml:space="preserve"> in the energy field</w:t>
      </w:r>
      <w:r w:rsidRPr="00E7318F">
        <w:rPr>
          <w:lang w:val="en-GB" w:eastAsia="ja-JP"/>
        </w:rPr>
        <w:t xml:space="preserve"> (e.g. load prediction, measurement and verification procedures, anomaly detection, data-drive</w:t>
      </w:r>
      <w:r w:rsidR="00E50E2E">
        <w:rPr>
          <w:lang w:val="en-GB" w:eastAsia="ja-JP"/>
        </w:rPr>
        <w:t xml:space="preserve">n predictive control, etc.). </w:t>
      </w:r>
      <w:r w:rsidR="00E50E2E" w:rsidRPr="00E50E2E">
        <w:rPr>
          <w:lang w:val="en-GB" w:eastAsia="ja-JP"/>
        </w:rPr>
        <w:t>Furthermore, the presence of a wide range of building construction typologies, technologies, and end-uses (e.g., residential or non-residential) in the building stock results in a highly heterogeneous set of design and operational conditions.</w:t>
      </w:r>
    </w:p>
    <w:p w:rsidR="009A026A" w:rsidRDefault="00C21D50">
      <w:pPr>
        <w:jc w:val="both"/>
        <w:rPr>
          <w:lang w:val="en-GB"/>
        </w:rPr>
      </w:pPr>
      <w:r>
        <w:rPr>
          <w:lang w:val="en-GB" w:eastAsia="ja-JP"/>
        </w:rPr>
        <w:t xml:space="preserve">In general, </w:t>
      </w:r>
      <w:r w:rsidRPr="00FB1E1B">
        <w:rPr>
          <w:lang w:val="en-GB" w:eastAsia="ja-JP"/>
        </w:rPr>
        <w:t>multiple “</w:t>
      </w:r>
      <w:r w:rsidR="00191588" w:rsidRPr="00FB1E1B">
        <w:rPr>
          <w:lang w:val="en-GB"/>
        </w:rPr>
        <w:t>performance gaps</w:t>
      </w:r>
      <w:r w:rsidRPr="00FB1E1B">
        <w:rPr>
          <w:lang w:val="en-GB"/>
        </w:rPr>
        <w:t>”</w:t>
      </w:r>
      <w:r w:rsidR="00191588" w:rsidRPr="00810926">
        <w:rPr>
          <w:lang w:val="en-GB"/>
        </w:rPr>
        <w:t xml:space="preserve"> </w:t>
      </w:r>
      <w:r w:rsidR="00AE6F2E" w:rsidRPr="00BD2AFA">
        <w:rPr>
          <w:lang w:val="en-GB"/>
        </w:rPr>
        <w:t xml:space="preserve">(i.e. differences between expected and measured performance) </w:t>
      </w:r>
      <w:r w:rsidR="00AE6F2E" w:rsidRPr="00FB1E1B">
        <w:rPr>
          <w:lang w:val="en-GB"/>
        </w:rPr>
        <w:t>can</w:t>
      </w:r>
      <w:r w:rsidR="00AE6F2E">
        <w:rPr>
          <w:lang w:val="en-GB"/>
        </w:rPr>
        <w:t xml:space="preserve"> be present in buildings and adequate analysis f</w:t>
      </w:r>
      <w:r w:rsidR="00AE6F2E" w:rsidRPr="00FB1E1B">
        <w:rPr>
          <w:lang w:val="en-GB"/>
        </w:rPr>
        <w:t>ramework</w:t>
      </w:r>
      <w:r w:rsidR="00891FD7">
        <w:rPr>
          <w:lang w:val="en-GB"/>
        </w:rPr>
        <w:t>s</w:t>
      </w:r>
      <w:r w:rsidR="00AE6F2E" w:rsidRPr="00FB1E1B">
        <w:rPr>
          <w:lang w:val="en-GB"/>
        </w:rPr>
        <w:t xml:space="preserve"> should be set up </w:t>
      </w:r>
      <w:r w:rsidR="00AE6F2E" w:rsidRPr="00BD2AFA">
        <w:rPr>
          <w:lang w:val="en-GB"/>
        </w:rPr>
        <w:fldChar w:fldCharType="begin" w:fldLock="1"/>
      </w:r>
      <w:r w:rsidR="00AE6F2E" w:rsidRPr="00BD2AFA">
        <w:rPr>
          <w:lang w:val="en-GB"/>
        </w:rPr>
        <w:instrText>ADDIN CSL_CITATION { "citationItems" : [ { "id" : "ITEM-1", "itemData" : { "DOI" : "http://doi.org/10.1016/j.autcon.2014.02.009", "ISSN" : "0926-5805", "author" : [ { "dropping-particle" : "", "family" : "Wilde", "given" : "Pieter", "non-dropping-particle" : "de", "parse-names" : false, "suffix" : "" } ], "container-title" : "Automation in Construction", "id" : "ITEM-1", "issued" : { "date-parts" : [ [ "2014" ] ] }, "page" : "40-49", "title" : "The gap between predicted and measured energy performance of buildings: A framework for investigation", "type" : "article-journal", "volume" : "41" }, "uris" : [ "http://www.mendeley.com/documents/?uuid=39061013-fb3c-4db4-b4f1-9bbacd05e000" ] } ], "mendeley" : { "formattedCitation" : "[5]", "plainTextFormattedCitation" : "[5]", "previouslyFormattedCitation" : "[5]" }, "properties" : { "noteIndex" : 0 }, "schema" : "https://github.com/citation-style-language/schema/raw/master/csl-citation.json" }</w:instrText>
      </w:r>
      <w:r w:rsidR="00AE6F2E" w:rsidRPr="00BD2AFA">
        <w:rPr>
          <w:lang w:val="en-GB"/>
        </w:rPr>
        <w:fldChar w:fldCharType="separate"/>
      </w:r>
      <w:r w:rsidR="00AE6F2E" w:rsidRPr="00BD2AFA">
        <w:rPr>
          <w:noProof/>
          <w:lang w:val="en-GB"/>
        </w:rPr>
        <w:t>[5]</w:t>
      </w:r>
      <w:r w:rsidR="00AE6F2E" w:rsidRPr="00BD2AFA">
        <w:rPr>
          <w:lang w:val="en-GB"/>
        </w:rPr>
        <w:fldChar w:fldCharType="end"/>
      </w:r>
      <w:r w:rsidR="00AE6F2E" w:rsidRPr="00FB1E1B">
        <w:rPr>
          <w:lang w:val="en-GB"/>
        </w:rPr>
        <w:t>. At the same time, there is a problem of literacy</w:t>
      </w:r>
      <w:r w:rsidR="00AE6F2E">
        <w:rPr>
          <w:lang w:val="en-GB"/>
        </w:rPr>
        <w:t xml:space="preserve"> around this topic</w:t>
      </w:r>
      <w:r w:rsidR="00AE6F2E" w:rsidRPr="00FB1E1B">
        <w:rPr>
          <w:lang w:val="en-GB"/>
        </w:rPr>
        <w:t xml:space="preserve"> </w:t>
      </w:r>
      <w:r w:rsidR="00AE6F2E" w:rsidRPr="00BD2AFA">
        <w:rPr>
          <w:lang w:val="en-GB"/>
        </w:rPr>
        <w:fldChar w:fldCharType="begin" w:fldLock="1"/>
      </w:r>
      <w:r w:rsidR="00AE6F2E" w:rsidRPr="00BD2AFA">
        <w:rPr>
          <w:lang w:val="en-GB"/>
        </w:rPr>
        <w:instrText>ADDIN CSL_CITATION { "citationItems" : [ { "id" : "ITEM-1", "itemData" : { "DOI" : "10.1177/0143624416684641", "ISSN" : "0143-6244", "abstract" : "One of the most discussed issues in the design community is the performance gap. In this research, we investigate for the first time whether part of the gap might be caused by the modelling literacy of design teams. A total of 108 building modellers were asked to comment on the importance of obtaining and using accurate values for 21 common modelling input variables, from U-values to occupancy schedules when using dynamic simulation to estimate annual energy demand. The questioning was based on a real building for which high-resolution energy, occupancy and temperature data were recorded. A sensitivity analysis was then conducted using a model of the building (based on the measured data) by perturbing one parameter in each simulation. The effect of each perturbation on the annual energy consumption given by the model was found and a ranked list generated. The order of this list was then compared to that given by the modellers for the same changes in the parameters. A correlation analysis indicated little correlation between which variables were thought to be important by the modellers and which proved to be objectively important. k-means cluster analysis identified subgroups of modellers and showed that 25% of the people tested were making judgements that appeared worse than a person responding at random. Follow-up checks showed that higher level qualifications, or having many years of experience in modelling, did not improve the accuracy of people?s predictions. In addition, there was no correlation between modellers, with many ranking some parameters as important that others thought irrelevant. Using a three-part definition of literacy, it is concluded that this sample of modellers, and by implication the population of building modellers, cannot be considered modelling literate. This indicates a new cause of the performance gap. The results suggest a need and an opportunity for both industry and universities to increase their efforts with respect to building physics education, and if this is done, a part of the performance gap could be rapidly closed.Practical application: In any commercial simulation, the modeller will have to decide which parameters must be included and which might be ignored due to lack of time and/or data, and how much any approximations might perturb the results. In this paper, the judgment of 108 modellers was compared against each other. The results show that the internal mental models of thermal modellers disagree with one ano\u2026", "author" : [ { "dropping-particle" : "", "family" : "Imam", "given" : "Salah", "non-dropping-particle" : "", "parse-names" : false, "suffix" : "" }, { "dropping-particle" : "", "family" : "Coley", "given" : "David A", "non-dropping-particle" : "", "parse-names" : false, "suffix" : "" }, { "dropping-particle" : "", "family" : "Walker", "given" : "Ian", "non-dropping-particle" : "", "parse-names" : false, "suffix" : "" } ], "container-title" : "Building Services Engineering Research and Technology", "id" : "ITEM-1", "issue" : "3", "issued" : { "date-parts" : [ [ "2017", "1", "18" ] ] }, "note" : "doi: 10.1177/0143624416684641", "page" : "351-375", "publisher" : "SAGE Publications Ltd STM", "title" : "The building performance gap: Are modellers literate?", "type" : "article-journal", "volume" : "38" }, "uris" : [ "http://www.mendeley.com/documents/?uuid=a800654b-43ad-4dd1-bb21-dbfffc88f752" ] } ], "mendeley" : { "formattedCitation" : "[6]", "plainTextFormattedCitation" : "[6]", "previouslyFormattedCitation" : "[6]" }, "properties" : { "noteIndex" : 0 }, "schema" : "https://github.com/citation-style-language/schema/raw/master/csl-citation.json" }</w:instrText>
      </w:r>
      <w:r w:rsidR="00AE6F2E" w:rsidRPr="00BD2AFA">
        <w:rPr>
          <w:lang w:val="en-GB"/>
        </w:rPr>
        <w:fldChar w:fldCharType="separate"/>
      </w:r>
      <w:r w:rsidR="00AE6F2E" w:rsidRPr="00BD2AFA">
        <w:rPr>
          <w:noProof/>
          <w:lang w:val="en-GB"/>
        </w:rPr>
        <w:t>[6]</w:t>
      </w:r>
      <w:r w:rsidR="00AE6F2E" w:rsidRPr="00BD2AFA">
        <w:rPr>
          <w:lang w:val="en-GB"/>
        </w:rPr>
        <w:fldChar w:fldCharType="end"/>
      </w:r>
      <w:r w:rsidR="00AE6F2E" w:rsidRPr="00FB1E1B">
        <w:rPr>
          <w:lang w:val="en-GB"/>
        </w:rPr>
        <w:t xml:space="preserve"> and the need for robust enquiry and repeatable scientific methods when addressing building performance </w:t>
      </w:r>
      <w:r w:rsidR="00AE6F2E" w:rsidRPr="00BD2AFA">
        <w:rPr>
          <w:lang w:val="en-GB"/>
        </w:rPr>
        <w:fldChar w:fldCharType="begin" w:fldLock="1"/>
      </w:r>
      <w:r w:rsidR="00AE6F2E" w:rsidRPr="00BD2AFA">
        <w:rPr>
          <w:lang w:val="en-GB"/>
        </w:rPr>
        <w:instrText>ADDIN CSL_CITATION { "citationItems" : [ { "id" : "ITEM-1", "itemData" : { "DOI" : "10.1177/0143624417728431", "ISSN" : "0143-6244", "author" : [ { "dropping-particle" : "", "family" : "Wilde", "given" : "Pieter", "non-dropping-particle" : "de", "parse-names" : false, "suffix" : "" } ], "container-title" : "Building Services Engineering Research and Technology", "id" : "ITEM-1", "issue" : "6", "issued" : { "date-parts" : [ [ "2017", "9", "19" ] ] }, "note" : "doi: 10.1177/0143624417728431", "page" : "757-759", "publisher" : "SAGE Publications Ltd STM", "title" : "\u2018The building performance gap: Are modellers literate?\u2019", "type" : "article-journal", "volume" : "38" }, "uris" : [ "http://www.mendeley.com/documents/?uuid=3c3e2499-b25c-4f35-82f3-0eb4fc428810" ] } ], "mendeley" : { "formattedCitation" : "[7]", "plainTextFormattedCitation" : "[7]", "previouslyFormattedCitation" : "[7]" }, "properties" : { "noteIndex" : 0 }, "schema" : "https://github.com/citation-style-language/schema/raw/master/csl-citation.json" }</w:instrText>
      </w:r>
      <w:r w:rsidR="00AE6F2E" w:rsidRPr="00BD2AFA">
        <w:rPr>
          <w:lang w:val="en-GB"/>
        </w:rPr>
        <w:fldChar w:fldCharType="separate"/>
      </w:r>
      <w:r w:rsidR="00AE6F2E" w:rsidRPr="00BD2AFA">
        <w:rPr>
          <w:noProof/>
          <w:lang w:val="en-GB"/>
        </w:rPr>
        <w:t>[7]</w:t>
      </w:r>
      <w:r w:rsidR="00AE6F2E" w:rsidRPr="00BD2AFA">
        <w:rPr>
          <w:lang w:val="en-GB"/>
        </w:rPr>
        <w:fldChar w:fldCharType="end"/>
      </w:r>
      <w:r w:rsidR="00AE6F2E" w:rsidRPr="00FB1E1B">
        <w:rPr>
          <w:lang w:val="en-GB"/>
        </w:rPr>
        <w:t>. Essentially, “performance gaps</w:t>
      </w:r>
      <w:r w:rsidR="00AE6F2E" w:rsidRPr="00810926">
        <w:rPr>
          <w:lang w:val="en-GB"/>
        </w:rPr>
        <w:t xml:space="preserve">” can involve all the phases of </w:t>
      </w:r>
      <w:r w:rsidR="00AE6F2E" w:rsidRPr="00AE6F2E">
        <w:rPr>
          <w:lang w:val="en-GB"/>
        </w:rPr>
        <w:t xml:space="preserve">the building life cycle </w:t>
      </w:r>
      <w:r w:rsidR="00AE6F2E" w:rsidRPr="00BD2AFA">
        <w:rPr>
          <w:lang w:val="en-GB"/>
        </w:rPr>
        <w:fldChar w:fldCharType="begin" w:fldLock="1"/>
      </w:r>
      <w:r w:rsidR="00AE6F2E" w:rsidRPr="00BD2AFA">
        <w:rPr>
          <w:lang w:val="en-GB"/>
        </w:rPr>
        <w:instrText>ADDIN CSL_CITATION { "citationItems" : [ { "id" : "ITEM-1", "itemData" : { "DOI" : "10.3389/fmech.2015.00017", "ISSN" : "2297-3079", "abstract" : "This paper reviews the discrepancy between predicted and measured energy use in non-domestic buildings in a UK context with outlook to global studies. It explains differences between energy performance quantification and classifies this energy performance gap as a difference between compliance and performance modeling with measured energy use. Literary sources are reviewed in order to signify the magnitude between predicted and measured energy use, which is found to deviate by +34% with a SD of 55% based on 62 buildings. It proceeds in describing the underlying causes for the performance gap, existent in all stages of the building life cycle, and identifies the dominant factors to be related to specification uncertainty in modeling, occupant behavior, and poor operational practices having an estimated effect of 20\u201360, 10\u201380, and 15\u201380% on energy use, respectively. Other factors that have a high impact are related to establishing the energy performance target, such as early design decisions, heuristic uncertainty in modeling, and occupant behavior. Finally, action measures and feedback processes in order to reduce the performance gap are discussed, indicating the need for energy in-use legislation, insight into design stage models, accessible energy data, and expansion of research efforts toward building performance in-use in relation to predicted performance.", "author" : [ { "dropping-particle" : "", "family" : "Dronkelaar", "given" : "Chris", "non-dropping-particle" : "van", "parse-names" : false, "suffix" : "" }, { "dropping-particle" : "", "family" : "Dowson", "given" : "Mark", "non-dropping-particle" : "", "parse-names" : false, "suffix" : "" }, { "dropping-particle" : "", "family" : "Burman", "given" : "E", "non-dropping-particle" : "", "parse-names" : false, "suffix" : "" }, { "dropping-particle" : "", "family" : "Spataru", "given" : "Catalina", "non-dropping-particle" : "", "parse-names" : false, "suffix" : "" }, { "dropping-particle" : "", "family" : "Mumovic", "given" : "Dejan", "non-dropping-particle" : "", "parse-names" : false, "suffix" : "" } ], "container-title" : "Frontiers in Mechanical Engineering", "id" : "ITEM-1", "issued" : { "date-parts" : [ [ "2016" ] ] }, "page" : "17", "title" : "A Review of the Energy Performance Gap and Its Underlying Causes in Non-Domestic Buildings", "type" : "article-journal", "volume" : "1" }, "uris" : [ "http://www.mendeley.com/documents/?uuid=51c788fb-5640-4e55-9efe-afddbcd85565" ] } ], "mendeley" : { "formattedCitation" : "[8]", "plainTextFormattedCitation" : "[8]", "previouslyFormattedCitation" : "[8]" }, "properties" : { "noteIndex" : 0 }, "schema" : "https://github.com/citation-style-language/schema/raw/master/csl-citation.json" }</w:instrText>
      </w:r>
      <w:r w:rsidR="00AE6F2E" w:rsidRPr="00BD2AFA">
        <w:rPr>
          <w:lang w:val="en-GB"/>
        </w:rPr>
        <w:fldChar w:fldCharType="separate"/>
      </w:r>
      <w:r w:rsidR="00AE6F2E" w:rsidRPr="00BD2AFA">
        <w:rPr>
          <w:noProof/>
          <w:lang w:val="en-GB"/>
        </w:rPr>
        <w:t>[8]</w:t>
      </w:r>
      <w:r w:rsidR="00AE6F2E" w:rsidRPr="00BD2AFA">
        <w:rPr>
          <w:lang w:val="en-GB"/>
        </w:rPr>
        <w:fldChar w:fldCharType="end"/>
      </w:r>
      <w:r w:rsidR="00AE6F2E">
        <w:rPr>
          <w:lang w:val="en-GB"/>
        </w:rPr>
        <w:t xml:space="preserve"> and b</w:t>
      </w:r>
      <w:r w:rsidRPr="00C21D50">
        <w:rPr>
          <w:lang w:val="en-GB"/>
        </w:rPr>
        <w:t xml:space="preserve">uilding energy performance analysis </w:t>
      </w:r>
      <w:r w:rsidR="00AE6F2E">
        <w:rPr>
          <w:lang w:val="en-GB"/>
        </w:rPr>
        <w:t>req</w:t>
      </w:r>
      <w:r w:rsidRPr="00C21D50">
        <w:rPr>
          <w:lang w:val="en-GB"/>
        </w:rPr>
        <w:t xml:space="preserve">uires a careful consideration of both human and technical factors </w:t>
      </w:r>
      <w:r w:rsidRPr="00C21D50">
        <w:rPr>
          <w:lang w:val="en-GB"/>
        </w:rPr>
        <w:fldChar w:fldCharType="begin" w:fldLock="1"/>
      </w:r>
      <w:r w:rsidR="00AB065E">
        <w:rPr>
          <w:lang w:val="en-GB"/>
        </w:rPr>
        <w:instrText>ADDIN CSL_CITATION { "citationItems" : [ { "id" : "ITEM-1", "itemData" : { "DOI" : "https://doi.org/10.1016/j.enbuild.2017.07.038", "ISSN" : "0378-7788", "abstract" : "One of the most significant barriers to achieving deep building energy efficiency is a lack of knowledge about the factors determining energy use. In fact, there is often a significant discrepancy between designed and real energy use in buildings, which is poorly understood but are believed to have more to do with the role of human behavior than building design. Building energy use is mainly influenced by six factors: climate, building envelope, building services and energy systems, building operation and maintenance, occupants\u2019 activities and behavior, and indoor environmental quality. In the past, much research focused on the first three factors. However, the next three human-related factors can have an influence as significant as the first three. Annex 53 employed an interdisciplinary approach, integrating building science, architectural engineering, computer modeling and simulation, and social and behavioral science to develop and apply methods to analyze and evaluate the real energy use in buildings considering the six influencing factors. Outcomes from Annex 53 improved understanding and strengthen knowledge regarding the robust prediction of total energy use in buildings, enabling reliable quantitative assessment of energy-savings measures, policies, and techniques.", "author" : [ { "dropping-particle" : "", "family" : "Yoshino", "given" : "Hiroshi", "non-dropping-particle" : "", "parse-names" : false, "suffix" : "" }, { "dropping-particle" : "", "family" : "Hong", "given" : "Tianzhen", "non-dropping-particle" : "", "parse-names" : false, "suffix" : "" }, { "dropping-particle" : "", "family" : "Nord", "given" : "Natasa", "non-dropping-particle" : "", "parse-names" : false, "suffix" : "" } ], "container-title" : "Energy and Buildings", "id" : "ITEM-1", "issued" : { "date-parts" : [ [ "2017" ] ] }, "page" : "124-136", "title" : "IEA EBC annex 53: Total energy use in buildings\u2014Analysis and evaluation methods", "type" : "article-journal", "volume" : "152" }, "uris" : [ "http://www.mendeley.com/documents/?uuid=e1c3126e-ed31-43a6-8b2a-6e585f401ef2" ] } ], "mendeley" : { "formattedCitation" : "[9]", "plainTextFormattedCitation" : "[9]", "previouslyFormattedCitation" : "[9]" }, "properties" : { "noteIndex" : 0 }, "schema" : "https://github.com/citation-style-language/schema/raw/master/csl-citation.json" }</w:instrText>
      </w:r>
      <w:r w:rsidRPr="00C21D50">
        <w:rPr>
          <w:lang w:val="en-GB"/>
        </w:rPr>
        <w:fldChar w:fldCharType="separate"/>
      </w:r>
      <w:r w:rsidR="007B5BBA" w:rsidRPr="007B5BBA">
        <w:rPr>
          <w:noProof/>
          <w:lang w:val="en-GB"/>
        </w:rPr>
        <w:t>[9]</w:t>
      </w:r>
      <w:r w:rsidRPr="00C21D50">
        <w:rPr>
          <w:lang w:val="en-GB"/>
        </w:rPr>
        <w:fldChar w:fldCharType="end"/>
      </w:r>
      <w:r w:rsidR="00891FD7">
        <w:rPr>
          <w:lang w:val="en-GB"/>
        </w:rPr>
        <w:t xml:space="preserve">; </w:t>
      </w:r>
      <w:r w:rsidR="00191588" w:rsidRPr="00C21D50">
        <w:rPr>
          <w:lang w:val="en-GB"/>
        </w:rPr>
        <w:t xml:space="preserve">the use of </w:t>
      </w:r>
      <w:r w:rsidR="00191588" w:rsidRPr="007B5BBA">
        <w:rPr>
          <w:lang w:val="en-GB"/>
        </w:rPr>
        <w:t>standardized assumption</w:t>
      </w:r>
      <w:r w:rsidR="00AE6F2E">
        <w:rPr>
          <w:lang w:val="en-GB"/>
        </w:rPr>
        <w:t>s</w:t>
      </w:r>
      <w:r w:rsidR="00191588" w:rsidRPr="007B5BBA">
        <w:rPr>
          <w:lang w:val="en-GB"/>
        </w:rPr>
        <w:t xml:space="preserve"> in modelling</w:t>
      </w:r>
      <w:r w:rsidRPr="007B5BBA">
        <w:rPr>
          <w:lang w:val="en-GB"/>
        </w:rPr>
        <w:t xml:space="preserve"> is not sufficient.</w:t>
      </w:r>
    </w:p>
    <w:p w:rsidR="00760FE9" w:rsidRDefault="00C21D50">
      <w:pPr>
        <w:jc w:val="both"/>
        <w:rPr>
          <w:lang w:val="en-GB"/>
        </w:rPr>
      </w:pPr>
      <w:r w:rsidRPr="007B5BBA">
        <w:rPr>
          <w:lang w:val="en-GB"/>
        </w:rPr>
        <w:lastRenderedPageBreak/>
        <w:t xml:space="preserve">For this reason, building energy model calibration techniques has been reviewed extensively for example by </w:t>
      </w:r>
      <w:r w:rsidR="007B5BBA" w:rsidRPr="007B5BBA">
        <w:rPr>
          <w:lang w:val="en-GB"/>
        </w:rPr>
        <w:t xml:space="preserve">Coakley </w:t>
      </w:r>
      <w:r w:rsidRPr="007B5BBA">
        <w:rPr>
          <w:lang w:val="en-GB"/>
        </w:rPr>
        <w:t xml:space="preserve">et al. </w:t>
      </w:r>
      <w:r w:rsidR="007B5BBA" w:rsidRPr="007B5BBA">
        <w:rPr>
          <w:lang w:val="en-GB"/>
        </w:rPr>
        <w:fldChar w:fldCharType="begin" w:fldLock="1"/>
      </w:r>
      <w:r w:rsidR="00AB065E">
        <w:rPr>
          <w:lang w:val="en-GB"/>
        </w:rPr>
        <w:instrText>ADDIN CSL_CITATION { "citationItems" : [ { "id" : "ITEM-1", "itemData" : { "DOI" : "http://dx.doi.org/10.1016/j.rser.2014.05.007", "ISSN" : "1364-0321", "author" : [ { "dropping-particle" : "", "family" : "Coakley", "given" : "Daniel", "non-dropping-particle" : "", "parse-names" : false, "suffix" : "" }, { "dropping-particle" : "", "family" : "Raftery", "given" : "Paul", "non-dropping-particle" : "", "parse-names" : false, "suffix" : "" }, { "dropping-particle" : "", "family" : "Keane", "given" : "Marcus", "non-dropping-particle" : "", "parse-names" : false, "suffix" : "" } ], "container-title" : "Renewable and Sustainable Energy Reviews", "id" : "ITEM-1", "issued" : { "date-parts" : [ [ "2014" ] ] }, "page" : "123-141", "title" : "A review of methods to match building energy simulation models to measured data", "type" : "article-journal", "volume" : "37" }, "uris" : [ "http://www.mendeley.com/documents/?uuid=25bf6c44-a20f-408c-9c23-6f4b2f6d7be6" ] } ], "mendeley" : { "formattedCitation" : "[10]", "plainTextFormattedCitation" : "[10]", "previouslyFormattedCitation" : "[10]" }, "properties" : { "noteIndex" : 0 }, "schema" : "https://github.com/citation-style-language/schema/raw/master/csl-citation.json" }</w:instrText>
      </w:r>
      <w:r w:rsidR="007B5BBA" w:rsidRPr="007B5BBA">
        <w:rPr>
          <w:lang w:val="en-GB"/>
        </w:rPr>
        <w:fldChar w:fldCharType="separate"/>
      </w:r>
      <w:r w:rsidR="007B5BBA" w:rsidRPr="007B5BBA">
        <w:rPr>
          <w:noProof/>
          <w:lang w:val="en-GB"/>
        </w:rPr>
        <w:t>[10]</w:t>
      </w:r>
      <w:r w:rsidR="007B5BBA" w:rsidRPr="007B5BBA">
        <w:rPr>
          <w:lang w:val="en-GB"/>
        </w:rPr>
        <w:fldChar w:fldCharType="end"/>
      </w:r>
      <w:r w:rsidR="007B5BBA" w:rsidRPr="007B5BBA">
        <w:rPr>
          <w:lang w:val="en-GB"/>
        </w:rPr>
        <w:t xml:space="preserve"> </w:t>
      </w:r>
      <w:r w:rsidRPr="007B5BBA">
        <w:rPr>
          <w:lang w:val="en-GB"/>
        </w:rPr>
        <w:t>and, more recently,</w:t>
      </w:r>
      <w:r w:rsidR="007B5BBA">
        <w:rPr>
          <w:lang w:val="en-GB"/>
        </w:rPr>
        <w:t xml:space="preserve"> Chong </w:t>
      </w:r>
      <w:r>
        <w:rPr>
          <w:lang w:val="en-GB"/>
        </w:rPr>
        <w:t xml:space="preserve">et al. </w:t>
      </w:r>
      <w:r w:rsidR="007B5BBA">
        <w:rPr>
          <w:lang w:val="en-GB"/>
        </w:rPr>
        <w:fldChar w:fldCharType="begin" w:fldLock="1"/>
      </w:r>
      <w:r w:rsidR="00AB065E">
        <w:rPr>
          <w:lang w:val="en-GB"/>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"[11]", "plainTextFormattedCitation" : "[11]", "previouslyFormattedCitation" : "[11]" }, "properties" : { "noteIndex" : 0 }, "schema" : "https://github.com/citation-style-language/schema/raw/master/csl-citation.json" }</w:instrText>
      </w:r>
      <w:r w:rsidR="007B5BBA">
        <w:rPr>
          <w:lang w:val="en-GB"/>
        </w:rPr>
        <w:fldChar w:fldCharType="separate"/>
      </w:r>
      <w:r w:rsidR="007B5BBA" w:rsidRPr="007B5BBA">
        <w:rPr>
          <w:noProof/>
          <w:lang w:val="en-GB"/>
        </w:rPr>
        <w:t>[11]</w:t>
      </w:r>
      <w:r w:rsidR="007B5BBA">
        <w:rPr>
          <w:lang w:val="en-GB"/>
        </w:rPr>
        <w:fldChar w:fldCharType="end"/>
      </w:r>
      <w:r>
        <w:rPr>
          <w:lang w:val="en-GB"/>
        </w:rPr>
        <w:t xml:space="preserve">. In </w:t>
      </w:r>
      <w:r w:rsidR="00DB5CB7">
        <w:rPr>
          <w:lang w:val="en-GB"/>
        </w:rPr>
        <w:t>the latter paper, the input-</w:t>
      </w:r>
      <w:proofErr w:type="spellStart"/>
      <w:r w:rsidR="00DB5CB7">
        <w:rPr>
          <w:lang w:val="en-GB"/>
        </w:rPr>
        <w:t>ouput</w:t>
      </w:r>
      <w:proofErr w:type="spellEnd"/>
      <w:r w:rsidR="00DB5CB7">
        <w:rPr>
          <w:lang w:val="en-GB"/>
        </w:rPr>
        <w:t xml:space="preserve"> analysis process performed for </w:t>
      </w:r>
      <w:r w:rsidR="00DB5CB7" w:rsidRPr="007B5BBA">
        <w:rPr>
          <w:lang w:val="en-GB"/>
        </w:rPr>
        <w:t xml:space="preserve">building model calibration is discussed in detail, </w:t>
      </w:r>
      <w:proofErr w:type="spellStart"/>
      <w:r w:rsidR="00DB5CB7" w:rsidRPr="007B5BBA">
        <w:rPr>
          <w:lang w:val="en-GB"/>
        </w:rPr>
        <w:t>claryfing</w:t>
      </w:r>
      <w:proofErr w:type="spellEnd"/>
      <w:r w:rsidR="00DB5CB7" w:rsidRPr="007B5BBA">
        <w:rPr>
          <w:lang w:val="en-GB"/>
        </w:rPr>
        <w:t xml:space="preserve"> the difference between variables (</w:t>
      </w:r>
      <w:r w:rsidR="007B5BBA">
        <w:rPr>
          <w:lang w:val="en-GB"/>
        </w:rPr>
        <w:t xml:space="preserve">i.e. </w:t>
      </w:r>
      <w:r w:rsidR="007B5BBA" w:rsidRPr="007B5BBA">
        <w:rPr>
          <w:lang w:val="en-GB"/>
        </w:rPr>
        <w:t>model state</w:t>
      </w:r>
      <w:r w:rsidR="007B5BBA">
        <w:rPr>
          <w:lang w:val="en-GB"/>
        </w:rPr>
        <w:t>s</w:t>
      </w:r>
      <w:r w:rsidR="007B5BBA" w:rsidRPr="007B5BBA">
        <w:rPr>
          <w:lang w:val="en-GB"/>
        </w:rPr>
        <w:t xml:space="preserve"> that evolves during simulation</w:t>
      </w:r>
      <w:r w:rsidR="00DB5CB7" w:rsidRPr="007B5BBA">
        <w:rPr>
          <w:lang w:val="en-GB"/>
        </w:rPr>
        <w:t>) and parameters (</w:t>
      </w:r>
      <w:r w:rsidR="007B5BBA">
        <w:rPr>
          <w:lang w:val="en-GB"/>
        </w:rPr>
        <w:t xml:space="preserve">i.e. </w:t>
      </w:r>
      <w:r w:rsidR="007B5BBA" w:rsidRPr="007B5BBA">
        <w:rPr>
          <w:lang w:val="en-GB"/>
        </w:rPr>
        <w:t>quantit</w:t>
      </w:r>
      <w:r w:rsidR="007B5BBA">
        <w:rPr>
          <w:lang w:val="en-GB"/>
        </w:rPr>
        <w:t>ies</w:t>
      </w:r>
      <w:r w:rsidR="007B5BBA" w:rsidRPr="007B5BBA">
        <w:rPr>
          <w:lang w:val="en-GB"/>
        </w:rPr>
        <w:t xml:space="preserve"> that describe the property</w:t>
      </w:r>
      <w:r w:rsidR="007B5BBA">
        <w:rPr>
          <w:lang w:val="en-GB"/>
        </w:rPr>
        <w:t xml:space="preserve"> of </w:t>
      </w:r>
      <w:r w:rsidR="007B5BBA" w:rsidRPr="007B5BBA">
        <w:rPr>
          <w:lang w:val="en-GB"/>
        </w:rPr>
        <w:t>object</w:t>
      </w:r>
      <w:r w:rsidR="007B5BBA">
        <w:rPr>
          <w:lang w:val="en-GB"/>
        </w:rPr>
        <w:t>s</w:t>
      </w:r>
      <w:r w:rsidR="007B5BBA" w:rsidRPr="007B5BBA">
        <w:rPr>
          <w:lang w:val="en-GB"/>
        </w:rPr>
        <w:t xml:space="preserve"> in the model</w:t>
      </w:r>
      <w:r w:rsidR="00DB5CB7" w:rsidRPr="007B5BBA">
        <w:rPr>
          <w:lang w:val="en-GB"/>
        </w:rPr>
        <w:t>).</w:t>
      </w:r>
    </w:p>
    <w:p w:rsidR="00C42994" w:rsidRDefault="009A026A">
      <w:pPr>
        <w:jc w:val="both"/>
        <w:rPr>
          <w:lang w:val="en-GB"/>
        </w:rPr>
      </w:pPr>
      <w:r>
        <w:rPr>
          <w:lang w:val="en-GB"/>
        </w:rPr>
        <w:t>Going back to parameters and variables in building energy modelling, t</w:t>
      </w:r>
      <w:r w:rsidR="00800F17">
        <w:rPr>
          <w:lang w:val="en-GB"/>
        </w:rPr>
        <w:t xml:space="preserve">he two most common input variables found in the </w:t>
      </w:r>
      <w:r w:rsidR="004A4DAB">
        <w:rPr>
          <w:lang w:val="en-GB"/>
        </w:rPr>
        <w:t xml:space="preserve">systematic </w:t>
      </w:r>
      <w:r w:rsidR="00AB065E">
        <w:rPr>
          <w:lang w:val="en-GB"/>
        </w:rPr>
        <w:t xml:space="preserve">review </w:t>
      </w:r>
      <w:r w:rsidR="00800F17">
        <w:rPr>
          <w:lang w:val="en-GB"/>
        </w:rPr>
        <w:t xml:space="preserve">by </w:t>
      </w:r>
      <w:r w:rsidR="007B5BBA">
        <w:rPr>
          <w:lang w:val="en-GB"/>
        </w:rPr>
        <w:t xml:space="preserve">Chong </w:t>
      </w:r>
      <w:r w:rsidR="00800F17">
        <w:rPr>
          <w:lang w:val="en-GB"/>
        </w:rPr>
        <w:t xml:space="preserve">et al. </w:t>
      </w:r>
      <w:r>
        <w:rPr>
          <w:lang w:val="en-GB"/>
        </w:rPr>
        <w:fldChar w:fldCharType="begin" w:fldLock="1"/>
      </w:r>
      <w:r>
        <w:rPr>
          <w:lang w:val="en-GB"/>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"[11]", "plainTextFormattedCitation" : "[11]", "previouslyFormattedCitation" : "[11]" }, "properties" : { "noteIndex" : 0 }, "schema" : "https://github.com/citation-style-language/schema/raw/master/csl-citation.json" }</w:instrText>
      </w:r>
      <w:r>
        <w:rPr>
          <w:lang w:val="en-GB"/>
        </w:rPr>
        <w:fldChar w:fldCharType="separate"/>
      </w:r>
      <w:r w:rsidRPr="007B5BBA">
        <w:rPr>
          <w:noProof/>
          <w:lang w:val="en-GB"/>
        </w:rPr>
        <w:t>[11]</w:t>
      </w:r>
      <w:r>
        <w:rPr>
          <w:lang w:val="en-GB"/>
        </w:rPr>
        <w:fldChar w:fldCharType="end"/>
      </w:r>
      <w:r>
        <w:rPr>
          <w:lang w:val="en-GB"/>
        </w:rPr>
        <w:t xml:space="preserve"> </w:t>
      </w:r>
      <w:r w:rsidR="00800F17">
        <w:rPr>
          <w:lang w:val="en-GB"/>
        </w:rPr>
        <w:t xml:space="preserve">are outdoor air temperature and solar radiation. </w:t>
      </w:r>
      <w:r w:rsidR="004A4DAB" w:rsidRPr="004A4DAB">
        <w:rPr>
          <w:lang w:val="en-GB"/>
        </w:rPr>
        <w:t xml:space="preserve">The most important is outdoor air temperature, as evidenced </w:t>
      </w:r>
      <w:r w:rsidR="00C42994">
        <w:rPr>
          <w:lang w:val="en-GB"/>
        </w:rPr>
        <w:t xml:space="preserve">also </w:t>
      </w:r>
      <w:r w:rsidR="004A4DAB" w:rsidRPr="004A4DAB">
        <w:rPr>
          <w:lang w:val="en-GB"/>
        </w:rPr>
        <w:t>by the widespread adoption of methods based on temperature response functions</w:t>
      </w:r>
      <w:r w:rsidR="004A4DAB">
        <w:rPr>
          <w:lang w:val="en-GB"/>
        </w:rPr>
        <w:t xml:space="preserve"> </w:t>
      </w:r>
      <w:r w:rsidR="004A4DAB">
        <w:rPr>
          <w:lang w:val="en-GB"/>
        </w:rPr>
        <w:fldChar w:fldCharType="begin" w:fldLock="1"/>
      </w:r>
      <w:r w:rsidR="004A4DAB">
        <w:rPr>
          <w:lang w:val="en-GB"/>
        </w:rPr>
        <w:instrText>ADDIN CSL_CITATION { "citationItems" : [ { "id" : "ITEM-1", "itemData" : { "DOI" : "https://doi.org/10.1016/j.uclim.2016.01.001", "ISSN" : "2212-0955", "abstract" : "Climate is a major influence on residential energy demand and energy demand patterns. A better understanding of the link between climate and energy demand responses is crucial to improve energy forecasting outcomes and to evaluate the potential of climate change adaptation strategies. This paper reviews models of residential energy demand to temperature. We classify the models used in papers published in peer-reviewed journals and observe that the credibility of energy demand projections hinges in part on the assumption that the shape and type of the temperature response function is stationary. The evidence of acclimatization to warmer conditions may oppose this assumption. While the studies reviewed here only tested the impact of changes in the temperature thresholds and the shape of temperature response functions, a comprehensive understanding of changes in energy demand patterns and climate adaptation potentials requires knowledge of building stock turnover rates and associated changes in technology and behavioral responses of building occupants. These are not yet part of the standard repertoire of temperature-based demand models.", "author" : [ { "dropping-particle" : "", "family" : "Fazeli", "given" : "Reza", "non-dropping-particle" : "", "parse-names" : false, "suffix" : "" }, { "dropping-particle" : "", "family" : "Ruth", "given" : "Matthias", "non-dropping-particle" : "", "parse-names" : false, "suffix" : "" }, { "dropping-particle" : "", "family" : "Davidsdottir", "given" : "Brynhildur", "non-dropping-particle" : "", "parse-names" : false, "suffix" : "" } ], "container-title" : "Urban Climate", "id" : "ITEM-1", "issued" : { "date-parts" : [ [ "2016" ] ] }, "page" : "45-59", "title" : "Temperature response functions for residential energy demand \u2013 A review of models", "type" : "article-journal", "volume" : "15" }, "uris" : [ "http://www.mendeley.com/documents/?uuid=4ddc57c2-5a2b-4880-a22a-8c69d041e5c3" ] } ], "mendeley" : { "formattedCitation" : "[12]", "plainTextFormattedCitation" : "[12]", "previouslyFormattedCitation" : "[12]" }, "properties" : { "noteIndex" : 0 }, "schema" : "https://github.com/citation-style-language/schema/raw/master/csl-citation.json" }</w:instrText>
      </w:r>
      <w:r w:rsidR="004A4DAB">
        <w:rPr>
          <w:lang w:val="en-GB"/>
        </w:rPr>
        <w:fldChar w:fldCharType="separate"/>
      </w:r>
      <w:r w:rsidR="004A4DAB" w:rsidRPr="007B5BBA">
        <w:rPr>
          <w:noProof/>
          <w:lang w:val="en-GB"/>
        </w:rPr>
        <w:t>[12]</w:t>
      </w:r>
      <w:r w:rsidR="004A4DAB">
        <w:rPr>
          <w:lang w:val="en-GB"/>
        </w:rPr>
        <w:fldChar w:fldCharType="end"/>
      </w:r>
      <w:r w:rsidR="004A4DAB">
        <w:rPr>
          <w:lang w:val="en-GB"/>
        </w:rPr>
        <w:t>.</w:t>
      </w:r>
    </w:p>
    <w:p w:rsidR="009A026A" w:rsidRDefault="007B5BBA">
      <w:pPr>
        <w:jc w:val="both"/>
        <w:rPr>
          <w:lang w:val="en-GB"/>
        </w:rPr>
      </w:pPr>
      <w:r>
        <w:rPr>
          <w:lang w:val="en-GB"/>
        </w:rPr>
        <w:t xml:space="preserve">In this sense, a typical example of </w:t>
      </w:r>
      <w:r w:rsidR="00106A3A">
        <w:rPr>
          <w:lang w:val="en-GB"/>
        </w:rPr>
        <w:t>generalisation</w:t>
      </w:r>
      <w:r>
        <w:rPr>
          <w:lang w:val="en-GB"/>
        </w:rPr>
        <w:t xml:space="preserve"> can be the use </w:t>
      </w:r>
      <w:r w:rsidRPr="00FB1E1B">
        <w:rPr>
          <w:lang w:val="en-GB"/>
        </w:rPr>
        <w:t>of a model trained with a certain weather dataset and then tested with another weather dataset, to</w:t>
      </w:r>
      <w:r w:rsidRPr="004A4DAB">
        <w:rPr>
          <w:lang w:val="en-GB"/>
        </w:rPr>
        <w:t xml:space="preserve"> understand the impact of weather variability (e.g. normalization of energy demand with respect to weather data).</w:t>
      </w:r>
      <w:r w:rsidR="004A4DAB" w:rsidRPr="004A4DAB">
        <w:rPr>
          <w:lang w:val="en-GB"/>
        </w:rPr>
        <w:t xml:space="preserve"> This is, for example, the </w:t>
      </w:r>
      <w:r w:rsidR="004A4DAB" w:rsidRPr="00BD2AFA">
        <w:rPr>
          <w:lang w:val="en-GB"/>
        </w:rPr>
        <w:t>counterfactual</w:t>
      </w:r>
      <w:r w:rsidR="004A4DAB" w:rsidRPr="00FB1E1B">
        <w:rPr>
          <w:lang w:val="en-GB"/>
        </w:rPr>
        <w:t xml:space="preserve"> approach used in Measurement and Verification (M&amp;V) protocols, w</w:t>
      </w:r>
      <w:r w:rsidR="004A4DAB" w:rsidRPr="00810926">
        <w:rPr>
          <w:lang w:val="en-GB"/>
        </w:rPr>
        <w:t xml:space="preserve">hich </w:t>
      </w:r>
      <w:proofErr w:type="gramStart"/>
      <w:r w:rsidR="004A4DAB" w:rsidRPr="00810926">
        <w:rPr>
          <w:lang w:val="en-GB"/>
        </w:rPr>
        <w:t>would be recalled</w:t>
      </w:r>
      <w:proofErr w:type="gramEnd"/>
      <w:r w:rsidR="004A4DAB" w:rsidRPr="00810926">
        <w:rPr>
          <w:lang w:val="en-GB"/>
        </w:rPr>
        <w:t xml:space="preserve"> later</w:t>
      </w:r>
      <w:r w:rsidR="004A4DAB" w:rsidRPr="004A4DAB">
        <w:rPr>
          <w:lang w:val="en-GB"/>
        </w:rPr>
        <w:t xml:space="preserve">. According to this </w:t>
      </w:r>
      <w:proofErr w:type="gramStart"/>
      <w:r w:rsidR="004A4DAB" w:rsidRPr="004A4DAB">
        <w:rPr>
          <w:lang w:val="en-GB"/>
        </w:rPr>
        <w:t>approach</w:t>
      </w:r>
      <w:proofErr w:type="gramEnd"/>
      <w:r w:rsidR="004A4DAB" w:rsidRPr="004A4DAB">
        <w:rPr>
          <w:lang w:val="en-GB"/>
        </w:rPr>
        <w:t xml:space="preserve"> energy savings are calculated as the difference between the energy used after a certain point in time (e.g. an intervention of the building, a change in operation, etc.) and a baseline estimate.</w:t>
      </w:r>
      <w:r w:rsidR="004A4DAB">
        <w:rPr>
          <w:lang w:val="en-GB"/>
        </w:rPr>
        <w:t xml:space="preserve"> </w:t>
      </w:r>
      <w:r w:rsidR="00AC7555" w:rsidRPr="00AC7555">
        <w:rPr>
          <w:lang w:val="en-GB"/>
        </w:rPr>
        <w:t xml:space="preserve">This type of generalisation has limited impact because the model only applies to the specific building, but its value </w:t>
      </w:r>
      <w:proofErr w:type="gramStart"/>
      <w:r w:rsidR="00AC7555" w:rsidRPr="00AC7555">
        <w:rPr>
          <w:lang w:val="en-GB"/>
        </w:rPr>
        <w:t>can be derived</w:t>
      </w:r>
      <w:proofErr w:type="gramEnd"/>
      <w:r w:rsidR="00AC7555" w:rsidRPr="00AC7555">
        <w:rPr>
          <w:lang w:val="en-GB"/>
        </w:rPr>
        <w:t xml:space="preserve"> from the ability to compare the (case specific) model parameters to those of buildings with similar characteristics.</w:t>
      </w:r>
    </w:p>
    <w:p w:rsidR="00C42994" w:rsidRDefault="00C42994">
      <w:pPr>
        <w:jc w:val="both"/>
        <w:rPr>
          <w:lang w:val="en-GB"/>
        </w:rPr>
      </w:pPr>
      <w:r>
        <w:rPr>
          <w:lang w:val="en-GB" w:eastAsia="ja-JP"/>
        </w:rPr>
        <w:t>While t</w:t>
      </w:r>
      <w:r w:rsidR="00E7318F" w:rsidRPr="00E7318F">
        <w:rPr>
          <w:lang w:val="en-GB" w:eastAsia="ja-JP"/>
        </w:rPr>
        <w:t xml:space="preserve">he use of case studies in building performance research is a common practice, the creation of machine learning models trained on </w:t>
      </w:r>
      <w:proofErr w:type="gramStart"/>
      <w:r w:rsidR="00E7318F" w:rsidRPr="00E7318F">
        <w:rPr>
          <w:lang w:val="en-GB" w:eastAsia="ja-JP"/>
        </w:rPr>
        <w:t>datasets that are too small</w:t>
      </w:r>
      <w:proofErr w:type="gramEnd"/>
      <w:r w:rsidR="00E7318F" w:rsidRPr="00E7318F">
        <w:rPr>
          <w:lang w:val="en-GB" w:eastAsia="ja-JP"/>
        </w:rPr>
        <w:t xml:space="preserve"> and </w:t>
      </w:r>
      <w:r w:rsidR="00891FD7">
        <w:rPr>
          <w:lang w:val="en-GB" w:eastAsia="ja-JP"/>
        </w:rPr>
        <w:t xml:space="preserve">too </w:t>
      </w:r>
      <w:r w:rsidR="00E7318F" w:rsidRPr="00E7318F">
        <w:rPr>
          <w:lang w:val="en-GB" w:eastAsia="ja-JP"/>
        </w:rPr>
        <w:t xml:space="preserve">case specific has questionable value when looked from the point of view of applications at large </w:t>
      </w:r>
      <w:r w:rsidR="00802837">
        <w:rPr>
          <w:lang w:val="en-GB" w:eastAsia="ja-JP"/>
        </w:rPr>
        <w:t>scale in the built environment.</w:t>
      </w:r>
      <w:r w:rsidR="00E50E2E">
        <w:rPr>
          <w:lang w:val="en-GB" w:eastAsia="ja-JP"/>
        </w:rPr>
        <w:t xml:space="preserve"> </w:t>
      </w:r>
      <w:r>
        <w:rPr>
          <w:lang w:val="en-GB"/>
        </w:rPr>
        <w:t xml:space="preserve">What appears more interesting is the potential to </w:t>
      </w:r>
      <w:r w:rsidR="00891FD7">
        <w:rPr>
          <w:lang w:val="en-GB"/>
        </w:rPr>
        <w:t>extend the applicability of</w:t>
      </w:r>
      <w:r>
        <w:rPr>
          <w:lang w:val="en-GB"/>
        </w:rPr>
        <w:t xml:space="preserve"> models at larger scales (e.g. neighbourhood, cities, building stock) and to extract additional insights regarding the performance of building technologies and people behaviour.</w:t>
      </w:r>
    </w:p>
    <w:p w:rsidR="00512BF0" w:rsidRPr="00FB1E1B" w:rsidRDefault="00C42994" w:rsidP="00FB1E1B">
      <w:pPr>
        <w:jc w:val="both"/>
        <w:rPr>
          <w:lang w:val="en-GB" w:eastAsia="ja-JP"/>
        </w:rPr>
      </w:pPr>
      <w:r w:rsidRPr="00FB1E1B">
        <w:rPr>
          <w:lang w:val="en-GB"/>
        </w:rPr>
        <w:t xml:space="preserve">Aside from generalisation, the interpretability and </w:t>
      </w:r>
      <w:proofErr w:type="spellStart"/>
      <w:r w:rsidRPr="00FB1E1B">
        <w:rPr>
          <w:lang w:val="en-GB"/>
        </w:rPr>
        <w:t>explainability</w:t>
      </w:r>
      <w:proofErr w:type="spellEnd"/>
      <w:r w:rsidRPr="00FB1E1B">
        <w:rPr>
          <w:lang w:val="en-GB"/>
        </w:rPr>
        <w:t xml:space="preserve"> of machine learning models are also t</w:t>
      </w:r>
      <w:r w:rsidRPr="00810926">
        <w:rPr>
          <w:lang w:val="en-GB"/>
        </w:rPr>
        <w:t xml:space="preserve">o </w:t>
      </w:r>
      <w:proofErr w:type="gramStart"/>
      <w:r w:rsidRPr="00810926">
        <w:rPr>
          <w:lang w:val="en-GB"/>
        </w:rPr>
        <w:t>be considered</w:t>
      </w:r>
      <w:proofErr w:type="gramEnd"/>
      <w:r w:rsidRPr="00810926">
        <w:rPr>
          <w:lang w:val="en-GB"/>
        </w:rPr>
        <w:t xml:space="preserve">. </w:t>
      </w:r>
      <w:r w:rsidRPr="00FB1E1B">
        <w:rPr>
          <w:lang w:val="en-GB" w:eastAsia="ja-JP"/>
        </w:rPr>
        <w:t xml:space="preserve">We can find definitions in recent standardization focused </w:t>
      </w:r>
      <w:r w:rsidRPr="00810926">
        <w:rPr>
          <w:lang w:val="en-GB" w:eastAsia="ja-JP"/>
        </w:rPr>
        <w:t xml:space="preserve">on Artificial Intelligence (AI) software testing </w:t>
      </w:r>
      <w:r w:rsidRPr="00BD2AFA">
        <w:rPr>
          <w:lang w:val="en-GB" w:eastAsia="ja-JP"/>
        </w:rPr>
        <w:fldChar w:fldCharType="begin" w:fldLock="1"/>
      </w:r>
      <w:r w:rsidRPr="00BD2AFA">
        <w:rPr>
          <w:lang w:val="en-GB" w:eastAsia="ja-JP"/>
        </w:rPr>
        <w:instrText>ADDIN CSL_CITATION { "citationItems" : [ { "id" : "ITEM-1", "itemData" : { "id" : "ITEM-1", "issued" : { "date-parts" : [ [ "0" ] ] }, "title" : "ISO/IEC TR 29119-11:2020(en) Software and systems engineering \u2014 Software testing \u2014 Part 11: Guidelines on the testing of AI-based systems", "type" : "article" }, "uris" : [ "http://www.mendeley.com/documents/?uuid=7b3c53bc-734a-4efe-8d88-ed8bd0d17598" ] } ], "mendeley" : { "formattedCitation" : "[13]", "plainTextFormattedCitation" : "[13]", "previouslyFormattedCitation" : "[13]" }, "properties" : { "noteIndex" : 0 }, "schema" : "https://github.com/citation-style-language/schema/raw/master/csl-citation.json" }</w:instrText>
      </w:r>
      <w:r w:rsidRPr="00BD2AFA">
        <w:rPr>
          <w:lang w:val="en-GB" w:eastAsia="ja-JP"/>
        </w:rPr>
        <w:fldChar w:fldCharType="separate"/>
      </w:r>
      <w:r w:rsidRPr="00BD2AFA">
        <w:rPr>
          <w:noProof/>
          <w:lang w:val="en-GB" w:eastAsia="ja-JP"/>
        </w:rPr>
        <w:t>[13]</w:t>
      </w:r>
      <w:r w:rsidRPr="00BD2AFA">
        <w:rPr>
          <w:lang w:val="en-GB" w:eastAsia="ja-JP"/>
        </w:rPr>
        <w:fldChar w:fldCharType="end"/>
      </w:r>
      <w:r w:rsidRPr="00FB1E1B">
        <w:rPr>
          <w:lang w:val="en-GB" w:eastAsia="ja-JP"/>
        </w:rPr>
        <w:t>, but they are concept important and “</w:t>
      </w:r>
      <w:r w:rsidRPr="00810926">
        <w:rPr>
          <w:lang w:val="en-GB" w:eastAsia="ja-JP"/>
        </w:rPr>
        <w:t>slippery” at the same time</w:t>
      </w:r>
      <w:r w:rsidRPr="00512BF0">
        <w:rPr>
          <w:lang w:val="en-GB" w:eastAsia="ja-JP"/>
        </w:rPr>
        <w:t xml:space="preserve"> </w:t>
      </w:r>
      <w:r w:rsidRPr="00BD2AFA">
        <w:rPr>
          <w:lang w:val="en-GB" w:eastAsia="ja-JP"/>
        </w:rPr>
        <w:fldChar w:fldCharType="begin" w:fldLock="1"/>
      </w:r>
      <w:r w:rsidRPr="00BD2AFA">
        <w:rPr>
          <w:lang w:val="en-GB" w:eastAsia="ja-JP"/>
        </w:rPr>
        <w:instrText>ADDIN CSL_CITATION { "citationItems" : [ { "id" : "ITEM-1", "itemData" : { "author" : [ { "dropping-particle" : "", "family" : "Lipton", "given" : "Zachary C", "non-dropping-particle" : "", "parse-names" : false, "suffix" : "" } ], "container-title" : "Queue", "id" : "ITEM-1", "issue" : "3", "issued" : { "date-parts" : [ [ "2018" ] ] }, "page" : "31-57", "publisher" : "ACM New York, NY, USA", "title" : "The Mythos of Model Interpretability: In machine learning, the concept of interpretability is both important and slippery.", "type" : "article-journal", "volume" : "16" }, "uris" : [ "http://www.mendeley.com/documents/?uuid=b179e8f3-be3b-4901-a4e5-cb400676d243" ] } ], "mendeley" : { "formattedCitation" : "[14]", "plainTextFormattedCitation" : "[14]", "previouslyFormattedCitation" : "[14]" }, "properties" : { "noteIndex" : 0 }, "schema" : "https://github.com/citation-style-language/schema/raw/master/csl-citation.json" }</w:instrText>
      </w:r>
      <w:r w:rsidRPr="00BD2AFA">
        <w:rPr>
          <w:lang w:val="en-GB" w:eastAsia="ja-JP"/>
        </w:rPr>
        <w:fldChar w:fldCharType="separate"/>
      </w:r>
      <w:r w:rsidRPr="00BD2AFA">
        <w:rPr>
          <w:noProof/>
          <w:lang w:val="en-GB" w:eastAsia="ja-JP"/>
        </w:rPr>
        <w:t>[14]</w:t>
      </w:r>
      <w:r w:rsidRPr="00BD2AFA">
        <w:rPr>
          <w:lang w:val="en-GB" w:eastAsia="ja-JP"/>
        </w:rPr>
        <w:fldChar w:fldCharType="end"/>
      </w:r>
      <w:r w:rsidRPr="00FB1E1B">
        <w:rPr>
          <w:lang w:val="en-GB" w:eastAsia="ja-JP"/>
        </w:rPr>
        <w:t xml:space="preserve">. </w:t>
      </w:r>
    </w:p>
    <w:p w:rsidR="00512BF0" w:rsidRDefault="00E7318F">
      <w:pPr>
        <w:jc w:val="both"/>
        <w:rPr>
          <w:lang w:val="en-GB" w:eastAsia="ja-JP"/>
        </w:rPr>
      </w:pPr>
      <w:r w:rsidRPr="00810926">
        <w:rPr>
          <w:lang w:val="en-GB" w:eastAsia="ja-JP"/>
        </w:rPr>
        <w:t>Interpretability refers to the ability to predict what will be the model output given a change in input data or in algorithmic parameters</w:t>
      </w:r>
      <w:r w:rsidR="00C42994" w:rsidRPr="00BD2AFA">
        <w:rPr>
          <w:lang w:val="en-GB" w:eastAsia="ja-JP"/>
        </w:rPr>
        <w:t xml:space="preserve">. </w:t>
      </w:r>
      <w:r w:rsidR="00512BF0" w:rsidRPr="00BD2AFA">
        <w:rPr>
          <w:lang w:val="en-GB" w:eastAsia="ja-JP"/>
        </w:rPr>
        <w:t>In other word</w:t>
      </w:r>
      <w:r w:rsidR="00512BF0">
        <w:rPr>
          <w:lang w:val="en-GB" w:eastAsia="ja-JP"/>
        </w:rPr>
        <w:t>s</w:t>
      </w:r>
      <w:r w:rsidR="00512BF0" w:rsidRPr="00BD2AFA">
        <w:rPr>
          <w:lang w:val="en-GB" w:eastAsia="ja-JP"/>
        </w:rPr>
        <w:t xml:space="preserve">, human can understand the </w:t>
      </w:r>
      <w:r w:rsidR="00512BF0" w:rsidRPr="00FB1E1B">
        <w:rPr>
          <w:lang w:val="en-GB" w:eastAsia="ja-JP"/>
        </w:rPr>
        <w:t>rationale behind model output and the algorithmi</w:t>
      </w:r>
      <w:r w:rsidR="00512BF0" w:rsidRPr="00810926">
        <w:rPr>
          <w:lang w:val="en-GB" w:eastAsia="ja-JP"/>
        </w:rPr>
        <w:t xml:space="preserve">c logic </w:t>
      </w:r>
      <w:proofErr w:type="gramStart"/>
      <w:r w:rsidR="00512BF0" w:rsidRPr="00810926">
        <w:rPr>
          <w:lang w:val="en-GB" w:eastAsia="ja-JP"/>
        </w:rPr>
        <w:t>can be inspected</w:t>
      </w:r>
      <w:proofErr w:type="gramEnd"/>
      <w:r w:rsidR="00512BF0" w:rsidRPr="00810926">
        <w:rPr>
          <w:lang w:val="en-GB" w:eastAsia="ja-JP"/>
        </w:rPr>
        <w:t>.</w:t>
      </w:r>
      <w:r w:rsidR="00512BF0" w:rsidRPr="00512BF0">
        <w:rPr>
          <w:lang w:val="en-GB" w:eastAsia="ja-JP"/>
        </w:rPr>
        <w:t xml:space="preserve"> Further, in some cases it is even possible to </w:t>
      </w:r>
      <w:r w:rsidRPr="00FB1E1B">
        <w:rPr>
          <w:lang w:val="en-GB" w:eastAsia="ja-JP"/>
        </w:rPr>
        <w:t xml:space="preserve">discern a potential </w:t>
      </w:r>
      <w:r w:rsidR="00512BF0">
        <w:rPr>
          <w:lang w:val="en-GB" w:eastAsia="ja-JP"/>
        </w:rPr>
        <w:t xml:space="preserve">causality in the </w:t>
      </w:r>
      <w:r w:rsidRPr="00FB1E1B">
        <w:rPr>
          <w:lang w:val="en-GB" w:eastAsia="ja-JP"/>
        </w:rPr>
        <w:t xml:space="preserve">relationship </w:t>
      </w:r>
      <w:r w:rsidR="00512BF0">
        <w:rPr>
          <w:lang w:val="en-GB" w:eastAsia="ja-JP"/>
        </w:rPr>
        <w:t>among</w:t>
      </w:r>
      <w:r w:rsidR="00512BF0" w:rsidRPr="00FB1E1B">
        <w:rPr>
          <w:lang w:val="en-GB" w:eastAsia="ja-JP"/>
        </w:rPr>
        <w:t xml:space="preserve"> </w:t>
      </w:r>
      <w:r w:rsidRPr="00FB1E1B">
        <w:rPr>
          <w:lang w:val="en-GB" w:eastAsia="ja-JP"/>
        </w:rPr>
        <w:t>variables</w:t>
      </w:r>
      <w:r w:rsidR="00512BF0">
        <w:rPr>
          <w:lang w:val="en-GB" w:eastAsia="ja-JP"/>
        </w:rPr>
        <w:t xml:space="preserve"> (normally only correlation and not causation </w:t>
      </w:r>
      <w:proofErr w:type="gramStart"/>
      <w:r w:rsidR="00512BF0">
        <w:rPr>
          <w:lang w:val="en-GB" w:eastAsia="ja-JP"/>
        </w:rPr>
        <w:t>can be proved</w:t>
      </w:r>
      <w:proofErr w:type="gramEnd"/>
      <w:r w:rsidR="00512BF0">
        <w:rPr>
          <w:lang w:val="en-GB" w:eastAsia="ja-JP"/>
        </w:rPr>
        <w:t>)</w:t>
      </w:r>
      <w:r w:rsidRPr="00FB1E1B">
        <w:rPr>
          <w:lang w:val="en-GB" w:eastAsia="ja-JP"/>
        </w:rPr>
        <w:t xml:space="preserve"> when more information is available.</w:t>
      </w:r>
      <w:r w:rsidR="00512BF0">
        <w:rPr>
          <w:lang w:val="en-GB" w:eastAsia="ja-JP"/>
        </w:rPr>
        <w:t xml:space="preserve"> </w:t>
      </w:r>
      <w:r w:rsidRPr="00E7318F">
        <w:rPr>
          <w:lang w:val="en-GB" w:eastAsia="ja-JP"/>
        </w:rPr>
        <w:t xml:space="preserve">Interpretable models are, for example, linear multivariate regression or regression and decision trees, where </w:t>
      </w:r>
      <w:proofErr w:type="gramStart"/>
      <w:r w:rsidRPr="00E7318F">
        <w:rPr>
          <w:lang w:val="en-GB" w:eastAsia="ja-JP"/>
        </w:rPr>
        <w:t>the impact of regression coefficients (in the case of linear regression) or rules (in the case of trees) can be easily understood by humans</w:t>
      </w:r>
      <w:proofErr w:type="gramEnd"/>
      <w:r w:rsidRPr="00E7318F">
        <w:rPr>
          <w:lang w:val="en-GB" w:eastAsia="ja-JP"/>
        </w:rPr>
        <w:t>.</w:t>
      </w:r>
    </w:p>
    <w:p w:rsidR="00F10B80" w:rsidRPr="00BD2AFA" w:rsidRDefault="00E7318F">
      <w:pPr>
        <w:jc w:val="both"/>
        <w:rPr>
          <w:lang w:val="en-GB"/>
        </w:rPr>
      </w:pPr>
      <w:r w:rsidRPr="00E7318F">
        <w:rPr>
          <w:lang w:val="en-GB" w:eastAsia="ja-JP"/>
        </w:rPr>
        <w:t xml:space="preserve">On the other hand, </w:t>
      </w:r>
      <w:proofErr w:type="spellStart"/>
      <w:r w:rsidRPr="00E7318F">
        <w:rPr>
          <w:lang w:val="en-GB" w:eastAsia="ja-JP"/>
        </w:rPr>
        <w:t>explainability</w:t>
      </w:r>
      <w:proofErr w:type="spellEnd"/>
      <w:r w:rsidRPr="00E7318F">
        <w:rPr>
          <w:lang w:val="en-GB" w:eastAsia="ja-JP"/>
        </w:rPr>
        <w:t xml:space="preserve"> refers to the extent to which the internal mechanics of a machine-learning algorithm </w:t>
      </w:r>
      <w:proofErr w:type="gramStart"/>
      <w:r w:rsidRPr="00E7318F">
        <w:rPr>
          <w:lang w:val="en-GB" w:eastAsia="ja-JP"/>
        </w:rPr>
        <w:t>can be explained</w:t>
      </w:r>
      <w:proofErr w:type="gramEnd"/>
      <w:r w:rsidRPr="00E7318F">
        <w:rPr>
          <w:lang w:val="en-GB" w:eastAsia="ja-JP"/>
        </w:rPr>
        <w:t xml:space="preserve"> in human terms. </w:t>
      </w:r>
      <w:r w:rsidR="00F10B80">
        <w:rPr>
          <w:lang w:val="en-GB" w:eastAsia="ja-JP"/>
        </w:rPr>
        <w:t xml:space="preserve">High </w:t>
      </w:r>
      <w:proofErr w:type="gramStart"/>
      <w:r w:rsidR="00F10B80">
        <w:rPr>
          <w:lang w:val="en-GB" w:eastAsia="ja-JP"/>
        </w:rPr>
        <w:t>performance m</w:t>
      </w:r>
      <w:r w:rsidRPr="00E7318F">
        <w:rPr>
          <w:lang w:val="en-GB" w:eastAsia="ja-JP"/>
        </w:rPr>
        <w:t>achine learning models</w:t>
      </w:r>
      <w:proofErr w:type="gramEnd"/>
      <w:r w:rsidRPr="00E7318F">
        <w:rPr>
          <w:lang w:val="en-GB" w:eastAsia="ja-JP"/>
        </w:rPr>
        <w:t xml:space="preserve"> such as neural network and random forests can be explained, but they are not generally interpretable and, for this reason, they are frequently indicated with the term “black-box”.</w:t>
      </w:r>
      <w:r w:rsidR="0023172C">
        <w:rPr>
          <w:lang w:val="en-GB" w:eastAsia="ja-JP"/>
        </w:rPr>
        <w:t xml:space="preserve"> </w:t>
      </w:r>
      <w:r w:rsidRPr="00E7318F">
        <w:rPr>
          <w:lang w:val="en-GB" w:eastAsia="ja-JP"/>
        </w:rPr>
        <w:t>Therefore, interpretability, while representing a constraint from the point of view of the modelling technique selection</w:t>
      </w:r>
      <w:r w:rsidR="00802837">
        <w:rPr>
          <w:lang w:val="en-GB" w:eastAsia="ja-JP"/>
        </w:rPr>
        <w:t xml:space="preserve"> (in the sense that it reduces</w:t>
      </w:r>
      <w:r w:rsidR="00283756">
        <w:rPr>
          <w:lang w:val="en-GB" w:eastAsia="ja-JP"/>
        </w:rPr>
        <w:t xml:space="preserve"> the potential spectrum of techniques that can be used</w:t>
      </w:r>
      <w:r w:rsidR="00802837">
        <w:rPr>
          <w:lang w:val="en-GB" w:eastAsia="ja-JP"/>
        </w:rPr>
        <w:t>)</w:t>
      </w:r>
      <w:r w:rsidRPr="00E7318F">
        <w:rPr>
          <w:lang w:val="en-GB" w:eastAsia="ja-JP"/>
        </w:rPr>
        <w:t xml:space="preserve">, </w:t>
      </w:r>
      <w:r w:rsidR="00802837">
        <w:rPr>
          <w:lang w:val="en-GB" w:eastAsia="ja-JP"/>
        </w:rPr>
        <w:t>can provide</w:t>
      </w:r>
      <w:r w:rsidRPr="00E7318F">
        <w:rPr>
          <w:lang w:val="en-GB" w:eastAsia="ja-JP"/>
        </w:rPr>
        <w:t xml:space="preserve"> advantages in terms of simplicity and transparency. </w:t>
      </w:r>
      <w:r w:rsidRPr="00802837">
        <w:rPr>
          <w:lang w:val="en-GB" w:eastAsia="ja-JP"/>
        </w:rPr>
        <w:t xml:space="preserve">These advantages have been discussed in recent research </w:t>
      </w:r>
      <w:r w:rsidRPr="000F169C">
        <w:rPr>
          <w:i/>
          <w:iCs/>
        </w:rPr>
        <w:fldChar w:fldCharType="begin" w:fldLock="1"/>
      </w:r>
      <w:r w:rsidR="00AB065E">
        <w:rPr>
          <w:i/>
          <w:iCs/>
          <w:lang w:val="en-GB"/>
        </w:rPr>
        <w:instrText>ADDIN CSL_CITATION { "citationItems" : [ { "id" : "ITEM-1", "itemData" : { "DOI" : "10.3390/en14030679", "ISBN" : "1996-1073", "abstract" : "Decarbonisation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 "author" : [ { "dropping-particle" : "", "family" : "Manfren", "given" : "Massimiliano", "non-dropping-particle" : "", "parse-names" : false, "suffix" : "" }, { "dropping-particle" : "", "family" : "Sibilla", "given" : "Maurizio", "non-dropping-particle" : "", "parse-names" : false, "suffix" : "" }, { "dropping-particle" : "", "family" : "Tronchin", "given" : "Lamberto", "non-dropping-particle" : "", "parse-names" : false, "suffix" : "" } ], "container-title" : "Energies ", "id" : "ITEM-1", "issue" : "3", "issued" : { "date-parts" : [ [ "2021" ] ] }, "title" : "Energy Modelling and Analytics in the Built Environment\u2014A Review of Their Role for Energy Transitions in the Construction Sector", "type" : "article", "volume" : "14" }, "uris" : [ "http://www.mendeley.com/documents/?uuid=544059d3-6610-48a0-adb9-0f24d6920827" ] } ], "mendeley" : { "formattedCitation" : "[15]", "plainTextFormattedCitation" : "[15]", "previouslyFormattedCitation" : "[15]" }, "properties" : { "noteIndex" : 0 }, "schema" : "https://github.com/citation-style-language/schema/raw/master/csl-citation.json" }</w:instrText>
      </w:r>
      <w:r w:rsidRPr="000F169C">
        <w:rPr>
          <w:i/>
          <w:iCs/>
        </w:rPr>
        <w:fldChar w:fldCharType="separate"/>
      </w:r>
      <w:r w:rsidR="007B5BBA" w:rsidRPr="007B5BBA">
        <w:rPr>
          <w:iCs/>
          <w:noProof/>
          <w:lang w:val="en-GB"/>
        </w:rPr>
        <w:t>[15]</w:t>
      </w:r>
      <w:r w:rsidRPr="000F169C">
        <w:rPr>
          <w:i/>
          <w:iCs/>
        </w:rPr>
        <w:fldChar w:fldCharType="end"/>
      </w:r>
      <w:r w:rsidRPr="00E7318F">
        <w:rPr>
          <w:i/>
          <w:iCs/>
          <w:lang w:val="en-GB"/>
        </w:rPr>
        <w:t xml:space="preserve">. </w:t>
      </w:r>
      <w:r w:rsidR="0023172C" w:rsidRPr="00BD2AFA">
        <w:rPr>
          <w:lang w:val="en-GB"/>
        </w:rPr>
        <w:t xml:space="preserve">Further, there is </w:t>
      </w:r>
      <w:r w:rsidR="0023172C">
        <w:rPr>
          <w:lang w:val="en-GB"/>
        </w:rPr>
        <w:t>a</w:t>
      </w:r>
      <w:r w:rsidR="0023172C" w:rsidRPr="00BD2AFA">
        <w:rPr>
          <w:lang w:val="en-GB"/>
        </w:rPr>
        <w:t xml:space="preserve"> </w:t>
      </w:r>
      <w:r w:rsidR="0023172C">
        <w:rPr>
          <w:lang w:val="en-GB"/>
        </w:rPr>
        <w:t xml:space="preserve">need to open the “black-box” of energy modelling </w:t>
      </w:r>
      <w:r w:rsidR="0023172C">
        <w:rPr>
          <w:lang w:val="en-GB"/>
        </w:rPr>
        <w:fldChar w:fldCharType="begin" w:fldLock="1"/>
      </w:r>
      <w:r w:rsidR="006A236D">
        <w:rPr>
          <w:lang w:val="en-GB"/>
        </w:rPr>
        <w:instrText>ADDIN CSL_CITATION { "citationItems" : [ { "id" : "ITEM-1", "itemData" : { "DOI" : "https://doi.org/10.1016/j.esr.2017.12.002", "ISSN" : "2211-467X", "abstract" : "The global energy system is undergoing a major transition, and in energy planning and decision-making across governments, industry and academia, models play a crucial role. Because of their policy relevance and contested nature, the transparency and open availability of energy models and data are of particular importance. Here we provide a practical how-to guide based on the collective experience of members of the Open Energy Modelling Initiative (Openmod). We discuss key steps to consider when opening code and data, including determining intellectual property ownership, choosing a licence and appropriate modelling languages, distributing code and data, and providing support and building communities. After illustrating these decisions with examples and lessons learned from the community, we conclude that even though individual researchers' choices are important, institutional changes are still also necessary for more openness and transparency in energy research.", "author" : [ { "dropping-particle" : "", "family" : "Pfenninger", "given" : "Stefan", "non-dropping-particle" : "", "parse-names" : false, "suffix" : "" }, { "dropping-particle" : "", "family" : "Hirth", "given" : "Lion", "non-dropping-particle" : "", "parse-names" : false, "suffix" : "" }, { "dropping-particle" : "", "family" : "Schlecht", "given" : "Ingmar", "non-dropping-particle" : "", "parse-names" : false, "suffix" : "" }, { "dropping-particle" : "", "family" : "Schmid", "given" : "Eva", "non-dropping-particle" : "", "parse-names" : false, "suffix" : "" }, { "dropping-particle" : "", "family" : "Wiese", "given" : "Frauke", "non-dropping-particle" : "", "parse-names" : false, "suffix" : "" }, { "dropping-particle" : "", "family" : "Brown", "given" : "Tom", "non-dropping-particle" : "", "parse-names" : false, "suffix" : "" }, { "dropping-particle" : "", "family" : "Davis", "given" : "Chris", "non-dropping-particle" : "", "parse-names" : false, "suffix" : "" }, { "dropping-particle" : "", "family" : "Gidden", "given" : "Matthew", "non-dropping-particle" : "", "parse-names" : false, "suffix" : "" }, { "dropping-particle" : "", "family" : "Heinrichs", "given" : "Heidi", "non-dropping-particle" : "", "parse-names" : false, "suffix" : "" }, { "dropping-particle" : "", "family" : "Heuberger", "given" : "Clara", "non-dropping-particle" : "", "parse-names" : false, "suffix" : "" }, { "dropping-particle" : "", "family" : "Hilpert", "given" : "Simon", "non-dropping-particle" : "", "parse-names" : false, "suffix" : "" }, { "dropping-particle" : "", "family" : "Krien", "given" : "Uwe", "non-dropping-particle" : "", "parse-names" : false, "suffix" : "" }, { "dropping-particle" : "", "family" : "Matke", "given" : "Carsten", "non-dropping-particle" : "", "parse-names" : false, "suffix" : "" }, { "dropping-particle" : "", "family" : "Nebel", "given" : "Arjuna", "non-dropping-particle" : "", "parse-names" : false, "suffix" : "" }, { "dropping-particle" : "", "family" : "Morrison", "given" : "Robbie", "non-dropping-particle" : "", "parse-names" : false, "suffix" : "" }, { "dropping-particle" : "", "family" : "M\u00fcller", "given" : "Berit", "non-dropping-particle" : "", "parse-names" : false, "suffix" : "" }, { "dropping-particle" : "", "family" : "Ple\u00dfmann", "given" : "Guido", "non-dropping-particle" : "", "parse-names" : false, "suffix" : "" }, { "dropping-particle" : "", "family" : "Reeg", "given" : "Matthias", "non-dropping-particle" : "", "parse-names" : false, "suffix" : "" }, { "dropping-particle" : "", "family" : "Richstein", "given" : "J\u00f6rn C", "non-dropping-particle" : "", "parse-names" : false, "suffix" : "" }, { "dropping-particle" : "", "family" : "Shivakumar", "given" : "Abhishek", "non-dropping-particle" : "", "parse-names" : false, "suffix" : "" }, { "dropping-particle" : "", "family" : "Staffell", "given" : "Iain", "non-dropping-particle" : "", "parse-names" : false, "suffix" : "" }, { "dropping-particle" : "", "family" : "Tr\u00f6ndle", "given" : "Tim", "non-dropping-particle" : "", "parse-names" : false, "suffix" : "" }, { "dropping-particle" : "", "family" : "Wingenbach", "given" : "Clemens", "non-dropping-particle" : "", "parse-names" : false, "suffix" : "" } ], "container-title" : "Energy Strategy Reviews", "id" : "ITEM-1", "issued" : { "date-parts" : [ [ "2018" ] ] }, "page" : "63-71", "title" : "Opening the black box of energy modelling: Strategies and lessons learned", "type" : "article-journal", "volume" : "19" }, "uris" : [ "http://www.mendeley.com/documents/?uuid=f845ca41-b97b-4615-ad34-aecf78926058" ] } ], "mendeley" : { "formattedCitation" : "[16]", "plainTextFormattedCitation" : "[16]", "previouslyFormattedCitation" : "[16]" }, "properties" : { "noteIndex" : 0 }, "schema" : "https://github.com/citation-style-language/schema/raw/master/csl-citation.json" }</w:instrText>
      </w:r>
      <w:r w:rsidR="0023172C">
        <w:rPr>
          <w:lang w:val="en-GB"/>
        </w:rPr>
        <w:fldChar w:fldCharType="separate"/>
      </w:r>
      <w:r w:rsidR="0023172C" w:rsidRPr="0023172C">
        <w:rPr>
          <w:noProof/>
          <w:lang w:val="en-GB"/>
        </w:rPr>
        <w:t>[16]</w:t>
      </w:r>
      <w:r w:rsidR="0023172C">
        <w:rPr>
          <w:lang w:val="en-GB"/>
        </w:rPr>
        <w:fldChar w:fldCharType="end"/>
      </w:r>
      <w:r w:rsidR="0023172C">
        <w:rPr>
          <w:lang w:val="en-GB"/>
        </w:rPr>
        <w:t xml:space="preserve"> to make it easily applicable.</w:t>
      </w:r>
    </w:p>
    <w:p w:rsidR="00E62145" w:rsidRPr="00FB1E1B" w:rsidRDefault="003039CB" w:rsidP="00FB1E1B">
      <w:pPr>
        <w:jc w:val="both"/>
        <w:rPr>
          <w:rFonts w:asciiTheme="majorBidi" w:hAnsiTheme="majorBidi" w:cstheme="majorBidi"/>
          <w:lang w:val="en-GB"/>
        </w:rPr>
      </w:pPr>
      <w:r>
        <w:rPr>
          <w:lang w:val="en-GB"/>
        </w:rPr>
        <w:lastRenderedPageBreak/>
        <w:t>Returning</w:t>
      </w:r>
      <w:r w:rsidR="003733E6" w:rsidRPr="00BD2AFA">
        <w:rPr>
          <w:lang w:val="en-GB"/>
        </w:rPr>
        <w:t xml:space="preserve"> to the </w:t>
      </w:r>
      <w:r w:rsidR="00106A3A">
        <w:rPr>
          <w:lang w:val="en-GB"/>
        </w:rPr>
        <w:t>generalisation</w:t>
      </w:r>
      <w:r w:rsidR="003733E6" w:rsidRPr="00BD2AFA">
        <w:rPr>
          <w:lang w:val="en-GB"/>
        </w:rPr>
        <w:t xml:space="preserve"> issue, </w:t>
      </w:r>
      <w:r w:rsidR="00A67887">
        <w:rPr>
          <w:iCs/>
          <w:lang w:val="en-GB"/>
        </w:rPr>
        <w:t>l</w:t>
      </w:r>
      <w:r w:rsidR="00E7318F" w:rsidRPr="00E7318F">
        <w:rPr>
          <w:lang w:val="en-GB" w:eastAsia="ja-JP"/>
        </w:rPr>
        <w:t xml:space="preserve">arge scale </w:t>
      </w:r>
      <w:r w:rsidR="00E7318F" w:rsidRPr="00E23D65">
        <w:rPr>
          <w:lang w:val="en-GB" w:eastAsia="ja-JP"/>
        </w:rPr>
        <w:t>data collection and analysis using</w:t>
      </w:r>
      <w:r w:rsidR="00802837" w:rsidRPr="00E23D65">
        <w:rPr>
          <w:lang w:val="en-GB" w:eastAsia="ja-JP"/>
        </w:rPr>
        <w:t xml:space="preserve"> both</w:t>
      </w:r>
      <w:r w:rsidR="00E7318F" w:rsidRPr="00E23D65">
        <w:rPr>
          <w:lang w:val="en-GB" w:eastAsia="ja-JP"/>
        </w:rPr>
        <w:t xml:space="preserve"> top-down</w:t>
      </w:r>
      <w:r w:rsidR="00E7318F" w:rsidRPr="00E23D65">
        <w:rPr>
          <w:rFonts w:asciiTheme="majorBidi" w:hAnsiTheme="majorBidi" w:cstheme="majorBidi"/>
          <w:lang w:val="en-GB"/>
        </w:rPr>
        <w:t xml:space="preserve"> </w:t>
      </w:r>
      <w:r w:rsidR="00E7318F" w:rsidRPr="00AE6F2E">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"https://doi.org/10.1016/j.ijsbe.2014.04.001", "ISSN" : "2212-6090", "abstract" : "Benchmarking plays an important role in improving energy efficiency of non-domestic buildings. A review of energy benchmarks that underpin the UK\u2019s Display Energy Certificate (DEC) scheme have prompted necessities to explore the benefits and limitations of using various methods to derive energy benchmarks. The existing methods were reviewed and grouped into top-down and bottom-up approaches based on the granularity of the data used. In the study, two top-down methods, descriptive statistics and artificial neural networks (ANN), were explored for the purpose of benchmarking energy performances of schools. The results were used to understand the benefits of using these benchmarks for assessing energy efficiency of buildings and the limitations that affect the robustness of the derived benchmarks. Compared to the bottom-up approach, top-down approaches were found to be beneficial in gaining insight into how peers perform. The relative rather than absolute feedback on energy efficiency meant that peer pressure was a motivator for improvement. On the other hand, there were limitations with regard to the extent to which the energy efficiency of a building could be accurately assessed using the top-down benchmarks. Moreover, difficulties in acquiring adequate data were identified as a key limitation to using the top-down approach for benchmarking non-domestic buildings. The study suggested that there are benefits in rolling out of DECs to private sector buildings and that there is a need to explore more complex methods to provide more accurate indication of energy efficiency in non-domestic buildings.", "author" : [ { "dropping-particle" : "", "family" : "Hong", "given" : "Sung-Min", "non-dropping-particle" : "", "parse-names" : false, "suffix" : "" }, { "dropping-particle" : "", "family" : "Paterson", "given" : "Greig", "non-dropping-particle" : "", "parse-names" : false, "suffix" : "" }, { "dropping-particle" : "", "family" : "Burman", "given" : "Esfandiar", "non-dropping-particle" : "", "parse-names" : false, "suffix" : "" }, { "dropping-particle" : "", "family" : "Steadman", "given" : "Philip", "non-dropping-particle" : "", "parse-names" : false, "suffix" : "" }, { "dropping-particle" : "", "family" : "Mumovic", "given" : "Dejan", "non-dropping-particle" : "", "parse-names" : false, "suffix" : "" } ], "container-title" : "International Journal of Sustainable Built Environment", "id" : "ITEM-1", "issue" : "2", "issued" : { "date-parts" : [ [ "2013" ] ] }, "page" : "119-130", "title" : "A comparative study of benchmarking approaches for non-domestic buildings: Part 1 \u2013 Top-down approach", "type" : "article-journal", "volume" : "2" }, "uris" : [ "http://www.mendeley.com/documents/?uuid=06c62fe9-20aa-4c11-bf24-920a2a75cc61" ] } ], "mendeley" : { "formattedCitation" : "[17]", "plainTextFormattedCitation" : "[17]", "previouslyFormattedCitation" : "[17]" }, "properties" : { "noteIndex" : 0 }, "schema" : "https://github.com/citation-style-language/schema/raw/master/csl-citation.json" }</w:instrText>
      </w:r>
      <w:r w:rsidR="00E7318F" w:rsidRPr="00AE6F2E">
        <w:rPr>
          <w:rFonts w:asciiTheme="majorBidi" w:hAnsiTheme="majorBidi" w:cstheme="majorBidi"/>
        </w:rPr>
        <w:fldChar w:fldCharType="separate"/>
      </w:r>
      <w:r w:rsidR="0023172C" w:rsidRPr="0023172C">
        <w:rPr>
          <w:rFonts w:asciiTheme="majorBidi" w:hAnsiTheme="majorBidi" w:cstheme="majorBidi"/>
          <w:noProof/>
          <w:lang w:val="en-GB"/>
        </w:rPr>
        <w:t>[17]</w:t>
      </w:r>
      <w:r w:rsidR="00E7318F" w:rsidRPr="00AE6F2E">
        <w:rPr>
          <w:rFonts w:asciiTheme="majorBidi" w:hAnsiTheme="majorBidi" w:cstheme="majorBidi"/>
        </w:rPr>
        <w:fldChar w:fldCharType="end"/>
      </w:r>
      <w:r w:rsidR="00E7318F" w:rsidRPr="00E23D65">
        <w:rPr>
          <w:lang w:val="en-GB" w:eastAsia="ja-JP"/>
        </w:rPr>
        <w:t xml:space="preserve"> and bottom-up approaches</w:t>
      </w:r>
      <w:r w:rsidR="00E7318F" w:rsidRPr="00E23D65">
        <w:rPr>
          <w:rFonts w:asciiTheme="majorBidi" w:hAnsiTheme="majorBidi" w:cstheme="majorBidi"/>
          <w:lang w:val="en-GB"/>
        </w:rPr>
        <w:t xml:space="preserve"> </w:t>
      </w:r>
      <w:r w:rsidR="00E7318F" w:rsidRPr="00AE6F2E">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"https://doi.org/10.1016/j.ijsbe.2014.12.001", "ISSN" : "2212-6090", "abstract" : "The bottom-up methods for energy benchmarking aim to derive a yardstick for energy performance based on a theoretical analysis of a building. While the top-down methods drive performance improvement by ranking a building against its peers, the bottom-up methods are focused on the building\u2019s specific context. Consequently, the bottom-up methods can help identify how performance improvement could be materialised. These two complementary approaches can improve design practice and facilities\u2019 management. Two bottom-up methods that could be used for energy benchmarking have been reviewed using UK schools as case studies: Building physics and aggregated end-use. The aim is to demonstrate how these methods could be used for benchmarking and identify their benefits and limitations. When all energy components are included in a model under expected operating conditions, the building physics method can be used to establish a baseline for energy performance. It is demonstrated that where this method is used under standardised operating conditions and is subject to minimum energy performance requirements, as prescribed by the Energy Performance of Buildings Directive (EPBD), it can be used to establish a benchmark for energy performance. It is also shown how aggregated end-use methods such as CIBSE TM22 can be used to define system level benchmarks, and identify the root causes for discrepancy between measured performance and design intent in a systematic way.", "author" : [ { "dropping-particle" : "", "family" : "Burman", "given" : "Esfandiar", "non-dropping-particle" : "", "parse-names" : false, "suffix" : "" }, { "dropping-particle" : "", "family" : "Hong", "given" : "Sung-Min", "non-dropping-particle" : "", "parse-names" : false, "suffix" : "" }, { "dropping-particle" : "", "family" : "Paterson", "given" : "Greig", "non-dropping-particle" : "", "parse-names" : false, "suffix" : "" }, { "dropping-particle" : "", "family" : "Kimpian", "given" : "Judit", "non-dropping-particle" : "", "parse-names" : false, "suffix" : "" }, { "dropping-particle" : "", "family" : "Mumovic", "given" : "Dejan", "non-dropping-particle" : "", "parse-names" : false, "suffix" : "" } ], "container-title" : "International Journal of Sustainable Built Environment", "id" : "ITEM-1", "issue" : "2", "issued" : { "date-parts" : [ [ "2014" ] ] }, "page" : "247-261", "title" : "A comparative study of benchmarking approaches for non-domestic buildings: Part 2 \u2013 Bottom-up approach", "type" : "article-journal", "volume" : "3" }, "uris" : [ "http://www.mendeley.com/documents/?uuid=fa5db69c-c1a8-4c15-a73a-92cd1c5cb762" ] } ], "mendeley" : { "formattedCitation" : "[18]", "plainTextFormattedCitation" : "[18]", "previouslyFormattedCitation" : "[18]" }, "properties" : { "noteIndex" : 0 }, "schema" : "https://github.com/citation-style-language/schema/raw/master/csl-citation.json" }</w:instrText>
      </w:r>
      <w:r w:rsidR="00E7318F" w:rsidRPr="00AE6F2E">
        <w:rPr>
          <w:rFonts w:asciiTheme="majorBidi" w:hAnsiTheme="majorBidi" w:cstheme="majorBidi"/>
        </w:rPr>
        <w:fldChar w:fldCharType="separate"/>
      </w:r>
      <w:r w:rsidR="0023172C" w:rsidRPr="0023172C">
        <w:rPr>
          <w:rFonts w:asciiTheme="majorBidi" w:hAnsiTheme="majorBidi" w:cstheme="majorBidi"/>
          <w:noProof/>
          <w:lang w:val="en-GB"/>
        </w:rPr>
        <w:t>[18]</w:t>
      </w:r>
      <w:r w:rsidR="00E7318F" w:rsidRPr="00AE6F2E">
        <w:rPr>
          <w:rFonts w:asciiTheme="majorBidi" w:hAnsiTheme="majorBidi" w:cstheme="majorBidi"/>
        </w:rPr>
        <w:fldChar w:fldCharType="end"/>
      </w:r>
      <w:r w:rsidR="00802837" w:rsidRPr="00E23D65">
        <w:rPr>
          <w:rFonts w:asciiTheme="majorBidi" w:hAnsiTheme="majorBidi" w:cstheme="majorBidi"/>
          <w:lang w:val="en-GB"/>
        </w:rPr>
        <w:t xml:space="preserve"> in an integrated way is crucial</w:t>
      </w:r>
      <w:r w:rsidR="00E7318F" w:rsidRPr="00E23D65">
        <w:rPr>
          <w:rFonts w:asciiTheme="majorBidi" w:hAnsiTheme="majorBidi" w:cstheme="majorBidi"/>
          <w:lang w:val="en-GB"/>
        </w:rPr>
        <w:t xml:space="preserve"> to obtain robust evidence</w:t>
      </w:r>
      <w:r w:rsidR="00802837" w:rsidRPr="00E23D65">
        <w:rPr>
          <w:rFonts w:asciiTheme="majorBidi" w:hAnsiTheme="majorBidi" w:cstheme="majorBidi"/>
          <w:lang w:val="en-GB"/>
        </w:rPr>
        <w:t xml:space="preserve"> about building performance</w:t>
      </w:r>
      <w:r w:rsidR="00E62145">
        <w:rPr>
          <w:rFonts w:asciiTheme="majorBidi" w:hAnsiTheme="majorBidi" w:cstheme="majorBidi"/>
          <w:lang w:val="en-GB"/>
        </w:rPr>
        <w:t xml:space="preserve"> at large scale</w:t>
      </w:r>
      <w:r w:rsidR="00E7318F" w:rsidRPr="00E23D65">
        <w:rPr>
          <w:rFonts w:asciiTheme="majorBidi" w:hAnsiTheme="majorBidi" w:cstheme="majorBidi"/>
          <w:lang w:val="en-GB"/>
        </w:rPr>
        <w:t xml:space="preserve">. </w:t>
      </w:r>
      <w:r w:rsidR="00E23D65" w:rsidRPr="00E23D65">
        <w:rPr>
          <w:rFonts w:asciiTheme="majorBidi" w:hAnsiTheme="majorBidi" w:cstheme="majorBidi"/>
          <w:lang w:val="en-GB"/>
        </w:rPr>
        <w:t xml:space="preserve">From this point of view, </w:t>
      </w:r>
      <w:r w:rsidR="00E23D65" w:rsidRPr="00BD2AFA">
        <w:rPr>
          <w:rFonts w:asciiTheme="majorBidi" w:hAnsiTheme="majorBidi" w:cstheme="majorBidi"/>
          <w:lang w:val="en-GB"/>
        </w:rPr>
        <w:t>i</w:t>
      </w:r>
      <w:r w:rsidR="00E7318F" w:rsidRPr="00E23D65">
        <w:rPr>
          <w:rFonts w:asciiTheme="majorBidi" w:hAnsiTheme="majorBidi" w:cstheme="majorBidi"/>
          <w:lang w:val="en-GB"/>
        </w:rPr>
        <w:t xml:space="preserve">mportant initiatives have been conducted in recent years such as the Building Data Genome Project </w:t>
      </w:r>
      <w:r w:rsidR="00E7318F" w:rsidRPr="00AE6F2E">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"https://doi.org/10.1016/j.egypro.2017.07.400", "ISSN" : "1876-6102", "abstract" : "As of 2015, there are over 60 million smart meters installed in the United States; these meters are at the forefront of big data analytics in the building industry. However, only a few public data sources of hourly non-residential meter data exist for the purpose of testing algorithms. This paper describes the collection, cleaning, and compilation of several such data sets found publicly on-line, in addition to several collected by the authors. There are 507 whole building electrical meters in this collection, and a majority are from buildings on university campuses. This group serves as a primary repository of open, non-residential data sources that can be built upon by other researchers. An overview of the data sources, subset selection criteria, and details of access to the repository are included. Future uses include the application of new, proposed prediction and classification models to compare performance to previously generated techniques.", "author" : [ { "dropping-particle" : "", "family" : "Miller", "given" : "Clayton", "non-dropping-particle" : "", "parse-names" : false, "suffix" : "" }, { "dropping-particle" : "", "family" : "Meggers", "given" : "Forrest", "non-dropping-particle" : "", "parse-names" : false, "suffix" : "" } ], "container-title" : "Energy Procedia", "id" : "ITEM-1", "issued" : { "date-parts" : [ [ "2017" ] ] }, "page" : "439-444", "title" : "The Building Data Genome Project: An open, public data set from non-residential building electrical meters", "type" : "article-journal", "volume" : "122" }, "uris" : [ "http://www.mendeley.com/documents/?uuid=fcb5a65d-ef3c-4b44-bfa1-744edef96cdb" ] } ], "mendeley" : { "formattedCitation" : "[19]", "plainTextFormattedCitation" : "[19]", "previouslyFormattedCitation" : "[19]" }, "properties" : { "noteIndex" : 0 }, "schema" : "https://github.com/citation-style-language/schema/raw/master/csl-citation.json" }</w:instrText>
      </w:r>
      <w:r w:rsidR="00E7318F" w:rsidRPr="00AE6F2E">
        <w:rPr>
          <w:rFonts w:asciiTheme="majorBidi" w:hAnsiTheme="majorBidi" w:cstheme="majorBidi"/>
        </w:rPr>
        <w:fldChar w:fldCharType="separate"/>
      </w:r>
      <w:r w:rsidR="0023172C" w:rsidRPr="0023172C">
        <w:rPr>
          <w:rFonts w:asciiTheme="majorBidi" w:hAnsiTheme="majorBidi" w:cstheme="majorBidi"/>
          <w:noProof/>
        </w:rPr>
        <w:t>[19]</w:t>
      </w:r>
      <w:r w:rsidR="00E7318F" w:rsidRPr="00AE6F2E">
        <w:rPr>
          <w:rFonts w:asciiTheme="majorBidi" w:hAnsiTheme="majorBidi" w:cstheme="majorBidi"/>
        </w:rPr>
        <w:fldChar w:fldCharType="end"/>
      </w:r>
      <w:r w:rsidR="00E7318F" w:rsidRPr="00E23D65">
        <w:rPr>
          <w:rFonts w:asciiTheme="majorBidi" w:hAnsiTheme="majorBidi" w:cstheme="majorBidi"/>
        </w:rPr>
        <w:t xml:space="preserve"> and the Building Data </w:t>
      </w:r>
      <w:proofErr w:type="spellStart"/>
      <w:r w:rsidR="00E7318F" w:rsidRPr="00E23D65">
        <w:rPr>
          <w:rFonts w:asciiTheme="majorBidi" w:hAnsiTheme="majorBidi" w:cstheme="majorBidi"/>
        </w:rPr>
        <w:t>Genome</w:t>
      </w:r>
      <w:proofErr w:type="spellEnd"/>
      <w:r w:rsidR="00E7318F" w:rsidRPr="00E23D65">
        <w:rPr>
          <w:rFonts w:asciiTheme="majorBidi" w:hAnsiTheme="majorBidi" w:cstheme="majorBidi"/>
        </w:rPr>
        <w:t xml:space="preserve"> Project 2 </w:t>
      </w:r>
      <w:r w:rsidR="00E7318F" w:rsidRPr="00AE6F2E">
        <w:rPr>
          <w:rFonts w:asciiTheme="majorBidi" w:hAnsiTheme="majorBidi" w:cstheme="majorBidi"/>
        </w:rPr>
        <w:fldChar w:fldCharType="begin" w:fldLock="1"/>
      </w:r>
      <w:r w:rsidR="006A236D">
        <w:rPr>
          <w:rFonts w:asciiTheme="majorBidi" w:hAnsiTheme="majorBidi" w:cstheme="majorBidi"/>
        </w:rPr>
        <w:instrText>ADDIN CSL_CITATION { "citationItems" : [ { "id" : "ITEM-1", "itemData" : { "DOI" : "10.1038/s41597-020-00712-x", "ISSN" : "2052-4463", "abstract" : "This paper describes an open data set of 3,053 energy meters from 1,636 non-residential buildings with a range of two full years (2016 and 2017) at an hourly frequency (17,544 measurements per meter resulting in approximately 53.6 million measurements). These meters were collected from 19 sites across North America and Europe, with one or more meters per building measuring whole building electrical, heating and cooling water, steam, and solar energy as well as water and irrigation meters. Part of these data was used in the Great Energy Predictor III (GEPIII) competition hosted by the American Society of Heating, Refrigeration, and Air-Conditioning Engineers (ASHRAE) in October-December 2019. GEPIII was a machine learning competition for long-term prediction with an application to measurement and verification. This paper describes the process of data collection, cleaning, and convergence of time-series meter data, the meta-data about the buildings, and complementary weather data. This data set can be used for further prediction benchmarking and prototyping as well as anomaly detection, energy analysis, and building type classification.", "author" : [ { "dropping-particle" : "", "family" : "Miller", "given" : "Clayton", "non-dropping-particle" : "", "parse-names" : false, "suffix" : "" }, { "dropping-particle" : "", "family" : "Kathirgamanathan", "given" : "Anjukan", "non-dropping-particle" : "", "parse-names" : false, "suffix" : "" }, { "dropping-particle" : "", "family" : "Picchetti", "given" : "Bianca", "non-dropping-particle" : "", "parse-names" : false, "suffix" : "" }, { "dropping-particle" : "", "family" : "Arjunan", "given" : "Pandarasamy", "non-dropping-particle" : "", "parse-names" : false, "suffix</w:instrText>
      </w:r>
      <w:r w:rsidR="006A236D" w:rsidRPr="00BD2AFA">
        <w:rPr>
          <w:rFonts w:asciiTheme="majorBidi" w:hAnsiTheme="majorBidi" w:cstheme="majorBidi"/>
          <w:lang w:val="en-GB"/>
        </w:rPr>
        <w:instrText>" : "" }, { "dropping-particle" : "", "family" : "Park", "given" : "June Young", "non-dropping-particle" : "", "parse-names" : false, "suffix" : "" }, { "dropping-particle" : "", "family" : "Nagy", "given" : "Zoltan", "non-dropping-particle" : "", "parse-names" : false, "suffix" : "" }, { "dropping-particle" : "", "family" : "Raftery", "given" : "Paul", "non-dropping-particle" : "", "parse-names" : false, "suffix" : "" }, { "dropping-particle" : "", "family" : "Hobson", "given" : "Brodie W", "non-dropping-particle" : "", "parse-names" : false, "suffix" : "" }, { "dropping-particle" : "", "family" : "Shi", "given" : "Zixiao", "non-dropping-particle" : "", "parse-names" : false, "suffix" : "" }, { "dropping-particle" : "", "family" : "Meggers", "given" : "Forrest", "non-dropping-particle" : "", "parse-names" : false, "suffix" : "" } ], "container-title" : "Scientific Data", "id" : "ITEM-1", "issue" : "1", "issued" : { "date-parts" : [ [ "2020" ] ] }, "page" : "368", "title" : "The Building Data Genome Project 2, energy meter data from the ASHRAE Great Energy Predictor III competition", "type" : "article-journal", "volume" : "7" }, "uris" : [ "http://www.mendeley.com/documents/?uuid=21a07b87-2838-46b5-9aca-a08d11104c32" ] } ], "mendeley" : { "formattedCitation" : "[20]", "plainTextFormattedCitation" : "[20]", "previouslyFormattedCitation" : "[20]" }, "properties" : { "noteIndex" : 0 }, "schema" : "https://github.com/citation-style-language/schema/raw/master/csl-citation.json" }</w:instrText>
      </w:r>
      <w:r w:rsidR="00E7318F" w:rsidRPr="00AE6F2E">
        <w:rPr>
          <w:rFonts w:asciiTheme="majorBidi" w:hAnsiTheme="majorBidi" w:cstheme="majorBidi"/>
        </w:rPr>
        <w:fldChar w:fldCharType="separate"/>
      </w:r>
      <w:r w:rsidR="0023172C" w:rsidRPr="0023172C">
        <w:rPr>
          <w:rFonts w:asciiTheme="majorBidi" w:hAnsiTheme="majorBidi" w:cstheme="majorBidi"/>
          <w:noProof/>
          <w:lang w:val="en-GB"/>
        </w:rPr>
        <w:t>[20]</w:t>
      </w:r>
      <w:r w:rsidR="00E7318F" w:rsidRPr="00AE6F2E">
        <w:rPr>
          <w:rFonts w:asciiTheme="majorBidi" w:hAnsiTheme="majorBidi" w:cstheme="majorBidi"/>
        </w:rPr>
        <w:fldChar w:fldCharType="end"/>
      </w:r>
      <w:r w:rsidR="00E7318F" w:rsidRPr="00E23D65">
        <w:rPr>
          <w:rFonts w:asciiTheme="majorBidi" w:hAnsiTheme="majorBidi" w:cstheme="majorBidi"/>
          <w:lang w:val="en-GB"/>
        </w:rPr>
        <w:t xml:space="preserve"> (with energy meter </w:t>
      </w:r>
      <w:r w:rsidR="00E7318F" w:rsidRPr="00FB1E1B">
        <w:rPr>
          <w:rFonts w:asciiTheme="majorBidi" w:hAnsiTheme="majorBidi" w:cstheme="majorBidi"/>
          <w:lang w:val="en-GB"/>
        </w:rPr>
        <w:t>data from the ASHRAE Great Energy Predictor III competition)</w:t>
      </w:r>
      <w:r w:rsidR="00E23D65" w:rsidRPr="00FB1E1B">
        <w:rPr>
          <w:rFonts w:asciiTheme="majorBidi" w:hAnsiTheme="majorBidi" w:cstheme="majorBidi"/>
          <w:lang w:val="en-GB"/>
        </w:rPr>
        <w:t xml:space="preserve">. </w:t>
      </w:r>
    </w:p>
    <w:p w:rsidR="00E62145" w:rsidRDefault="00E23D65">
      <w:pPr>
        <w:jc w:val="both"/>
        <w:rPr>
          <w:lang w:val="en-GB"/>
        </w:rPr>
      </w:pPr>
      <w:r w:rsidRPr="00E62145">
        <w:rPr>
          <w:rFonts w:asciiTheme="majorBidi" w:hAnsiTheme="majorBidi" w:cstheme="majorBidi"/>
          <w:lang w:val="en-GB"/>
        </w:rPr>
        <w:t xml:space="preserve">In general, </w:t>
      </w:r>
      <w:r w:rsidR="00E7318F" w:rsidRPr="00E62145">
        <w:rPr>
          <w:rFonts w:asciiTheme="majorBidi" w:hAnsiTheme="majorBidi" w:cstheme="majorBidi"/>
          <w:lang w:val="en-GB"/>
        </w:rPr>
        <w:t>the use of c</w:t>
      </w:r>
      <w:r w:rsidR="00E7318F" w:rsidRPr="00E62145">
        <w:rPr>
          <w:lang w:val="en-GB" w:eastAsia="ja-JP"/>
        </w:rPr>
        <w:t xml:space="preserve">rowd-sourced building data </w:t>
      </w:r>
      <w:r w:rsidR="00E7318F" w:rsidRPr="00FB1E1B">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"10.1080/17508975.2014.987639", "ISSN" : "1750-8975", "author" : [ { "dropping-particle" : "", "family" : "Robertson", "given" : "Craig", "non-dropping-particle" : "", "parse-names" : false, "suffix" : "" }, { "dropping-particle" : "", "family" : "Mumovic", "given" : "Dejan", "non-dropping-particle" : "", "parse-names" : false, "suffix" : "" }, { "dropping-particle" : "", "family" : "Hong", "given" : "Sung Min", "non-dropping-particle" : "", "parse-names" : false, "suffix" : "" } ], "container-title" : "Intelligent Buildings International", "id" : "ITEM-1", "issue" : "2-3", "issued" : { "date-parts" : [ [ "2015", "7", "3" ] ] }, "note" : "doi: 10.1080/17508975.2014.987639", "page" : "147-160", "publisher" : "Taylor &amp; Francis", "title" : "Crowd-sourced building intelligence: the potential to go beyond existing benchmarks for effective insight, feedback and targeting", "type" : "article-journal", "volume" : "7" }, "uris" : [ "http://www.mendeley.com/documents/?uuid=e087ffce-5f75-43d4-acb7-47e590be9924" ] } ], "mendeley" : { "formattedCitation" : "[21]", "plainTextFormattedCitation" : "[21]", "previouslyFormattedCitation" : "[21]" }, "properties" : { "noteIndex" : 0 }, "schema" : "https://github.com/citation-style-language/schema/raw/master/csl-citation.json" }</w:instrText>
      </w:r>
      <w:r w:rsidR="00E7318F" w:rsidRPr="00FB1E1B">
        <w:rPr>
          <w:rFonts w:asciiTheme="majorBidi" w:hAnsiTheme="majorBidi" w:cstheme="majorBidi"/>
        </w:rPr>
        <w:fldChar w:fldCharType="separate"/>
      </w:r>
      <w:r w:rsidR="0023172C" w:rsidRPr="0023172C">
        <w:rPr>
          <w:rFonts w:asciiTheme="majorBidi" w:hAnsiTheme="majorBidi" w:cstheme="majorBidi"/>
          <w:noProof/>
          <w:lang w:val="en-GB"/>
        </w:rPr>
        <w:t>[21]</w:t>
      </w:r>
      <w:r w:rsidR="00E7318F" w:rsidRPr="00FB1E1B">
        <w:rPr>
          <w:rFonts w:asciiTheme="majorBidi" w:hAnsiTheme="majorBidi" w:cstheme="majorBidi"/>
        </w:rPr>
        <w:fldChar w:fldCharType="end"/>
      </w:r>
      <w:r w:rsidR="00E7318F" w:rsidRPr="00FB1E1B">
        <w:rPr>
          <w:rFonts w:asciiTheme="majorBidi" w:hAnsiTheme="majorBidi" w:cstheme="majorBidi"/>
          <w:lang w:val="en-GB"/>
        </w:rPr>
        <w:t xml:space="preserve"> </w:t>
      </w:r>
      <w:r w:rsidR="00E7318F" w:rsidRPr="00FB1E1B">
        <w:rPr>
          <w:lang w:val="en-GB" w:eastAsia="ja-JP"/>
        </w:rPr>
        <w:t xml:space="preserve">is an important element to promote advances in building performance research based on open data </w:t>
      </w:r>
      <w:r w:rsidR="00E7318F" w:rsidRPr="00FB1E1B">
        <w:fldChar w:fldCharType="begin" w:fldLock="1"/>
      </w:r>
      <w:r w:rsidR="006A236D">
        <w:rPr>
          <w:lang w:val="en-GB"/>
        </w:rPr>
        <w:instrText>ADDIN CSL_CITATION { "citationItems" : [ { "id" : "ITEM-1", "itemData" : { "DOI" : "10.1016/j.energy.2020.118803", "author" : [ { "dropping-particle" : "", "family" : "Manfren", "given" : "M", "non-dropping-particle" : "", "parse-names" : false, "suffix" : "" }, { "dropping-particle" : "", "family" : "Nastasi", "given" : "B", "non-dropping-particle" : "", "parse-names" : false, "suffix" : "" }, { "dropping-particle" : "", "family" : "Groppi", "given" : "D", "non-dropping-particle" : "", "parse-names" : false, "suffix" : "" }, { "dropping-particle" : "", "family" : "Astiaso Garcia", "given" : "D", "non-dropping-particle" : "", "parse-names" : false, "suffix" : "" } ], "container-title" : "Energy", "id" : "ITEM-1", "issued" : { "date-parts" : [ [ "2020" ] ] }, "note" : "Export Date: 29 September 2020", "title" : "Open data and energy analytics - An analysis of essential information for energy system planning, design and operation", "type" : "article-journal", "volume" : "213" }, "uris" : [ "http://www.mendeley.com/documents/?uuid=7c4ecb24-77a3-4068-916e-57368f2aaea1" ] } ], "mendeley" : { "formattedCitation" : "[22]", "plainTextFormattedCitation" : "[22]", "previouslyFormattedCitation" : "[22]" }, "properties" : { "noteIndex" : 0 }, "schema" : "https://github.com/citation-style-language/schema/raw/master/csl-citation.json" }</w:instrText>
      </w:r>
      <w:r w:rsidR="00E7318F" w:rsidRPr="00FB1E1B">
        <w:fldChar w:fldCharType="separate"/>
      </w:r>
      <w:r w:rsidR="0023172C" w:rsidRPr="0023172C">
        <w:rPr>
          <w:noProof/>
          <w:lang w:val="en-GB"/>
        </w:rPr>
        <w:t>[22]</w:t>
      </w:r>
      <w:r w:rsidR="00E7318F" w:rsidRPr="00FB1E1B">
        <w:fldChar w:fldCharType="end"/>
      </w:r>
      <w:r w:rsidR="00E7318F" w:rsidRPr="00FB1E1B">
        <w:rPr>
          <w:lang w:val="en-GB"/>
        </w:rPr>
        <w:t>. However, open-data on measured performance</w:t>
      </w:r>
      <w:r w:rsidR="00E7318F" w:rsidRPr="00E62145">
        <w:rPr>
          <w:lang w:val="en-GB"/>
        </w:rPr>
        <w:t xml:space="preserve"> are not generally available on a </w:t>
      </w:r>
      <w:proofErr w:type="gramStart"/>
      <w:r w:rsidR="00E7318F" w:rsidRPr="00E62145">
        <w:rPr>
          <w:lang w:val="en-GB"/>
        </w:rPr>
        <w:t>large scale</w:t>
      </w:r>
      <w:proofErr w:type="gramEnd"/>
      <w:r w:rsidR="00E7318F" w:rsidRPr="00E62145">
        <w:rPr>
          <w:lang w:val="en-GB"/>
        </w:rPr>
        <w:t xml:space="preserve"> base</w:t>
      </w:r>
      <w:r w:rsidR="00802837" w:rsidRPr="00E62145">
        <w:rPr>
          <w:lang w:val="en-GB"/>
        </w:rPr>
        <w:t xml:space="preserve"> </w:t>
      </w:r>
      <w:r w:rsidR="0023172C">
        <w:rPr>
          <w:lang w:val="en-GB"/>
        </w:rPr>
        <w:t xml:space="preserve">and </w:t>
      </w:r>
      <w:r w:rsidR="00802837" w:rsidRPr="00E62145">
        <w:rPr>
          <w:lang w:val="en-GB"/>
        </w:rPr>
        <w:t>large scale data collection requires relevant investments</w:t>
      </w:r>
      <w:r w:rsidR="00E62145" w:rsidRPr="00BD2AFA">
        <w:rPr>
          <w:lang w:val="en-GB"/>
        </w:rPr>
        <w:t xml:space="preserve">. </w:t>
      </w:r>
      <w:r w:rsidR="00E62145" w:rsidRPr="00E62145">
        <w:rPr>
          <w:lang w:val="en-GB"/>
        </w:rPr>
        <w:t>Furthermore, there is a practical requirement to integrate various types of data when analysing building performance</w:t>
      </w:r>
      <w:r w:rsidR="00E62145" w:rsidRPr="00BD2AFA">
        <w:rPr>
          <w:lang w:val="en-GB"/>
        </w:rPr>
        <w:t xml:space="preserve"> </w:t>
      </w:r>
      <w:r w:rsidR="00E62145" w:rsidRPr="00BD2AFA">
        <w:fldChar w:fldCharType="begin" w:fldLock="1"/>
      </w:r>
      <w:r w:rsidR="006A236D">
        <w:rPr>
          <w:lang w:val="en-GB"/>
        </w:rPr>
        <w:instrText>ADDIN CSL_CITATION { "citationItems" : [ { "id" : "ITEM-1", "itemData" : { "DOI" : "10.1063/1.5117027", "ISSN" : "0094-243X", "author" : [ { "dropping-particle" : "", "family" : "Manfren", "given" : "Massimiliano", "non-dropping-particle" : "", "parse-names" : false, "suffix" : "" }, { "dropping-particle" : "", "family" : "Nastasi", "given" : "Benedetto", "non-dropping-particle" : "", "parse-names" : false, "suffix" : "" } ], "container-title" : "AIP Conference Proceedings", "id" : "ITEM-1", "issue" : "1", "issued" : { "date-parts" : [ [ "2019", "7", "17" ] ] }, "note" : "doi: 10.1063/1.5117027", "page" : "20100", "publisher" : "American Institute of Physics", "title" : "From in-situ measurement to regression and time series models: An overview of trends and prospects for building performance modelling", "type" : "article-journal", "volume" : "2123" }, "uris" : [ "http://www.mendeley.com/documents/?uuid=73bcaa80-993d-4c5e-b8e2-cc92c091372a" ] } ], "mendeley" : { "formattedCitation" : "[23]", "plainTextFormattedCitation" : "[23]", "previouslyFormattedCitation" : "[23]" }, "properties" : { "noteIndex" : 0 }, "schema" : "https://github.com/citation-style-language/schema/raw/master/csl-citation.json" }</w:instrText>
      </w:r>
      <w:r w:rsidR="00E62145" w:rsidRPr="00BD2AFA">
        <w:fldChar w:fldCharType="separate"/>
      </w:r>
      <w:r w:rsidR="0023172C" w:rsidRPr="0023172C">
        <w:rPr>
          <w:noProof/>
          <w:lang w:val="en-GB"/>
        </w:rPr>
        <w:t>[23]</w:t>
      </w:r>
      <w:r w:rsidR="00E62145" w:rsidRPr="00BD2AFA">
        <w:fldChar w:fldCharType="end"/>
      </w:r>
      <w:r w:rsidR="00E62145" w:rsidRPr="00BD2AFA">
        <w:rPr>
          <w:lang w:val="en-GB"/>
        </w:rPr>
        <w:t xml:space="preserve"> </w:t>
      </w:r>
      <w:r w:rsidR="00E62145" w:rsidRPr="00FB1E1B">
        <w:rPr>
          <w:lang w:val="en-GB"/>
        </w:rPr>
        <w:t>in order to enable effective benchmarking at the level of single technologies, entire buildings, and building stock.</w:t>
      </w:r>
    </w:p>
    <w:p w:rsidR="009A026A" w:rsidRPr="00BD2AFA" w:rsidRDefault="003039CB">
      <w:pPr>
        <w:jc w:val="both"/>
        <w:rPr>
          <w:rFonts w:asciiTheme="majorBidi" w:hAnsiTheme="majorBidi" w:cstheme="majorBidi"/>
          <w:lang w:val="en-GB"/>
        </w:rPr>
      </w:pPr>
      <w:r w:rsidRPr="00FB1E1B">
        <w:rPr>
          <w:lang w:val="en-GB"/>
        </w:rPr>
        <w:t xml:space="preserve">As a result, harmonised and </w:t>
      </w:r>
      <w:r w:rsidR="0023172C" w:rsidRPr="00FB1E1B">
        <w:rPr>
          <w:lang w:val="en-GB"/>
        </w:rPr>
        <w:t>(temporally and spatially</w:t>
      </w:r>
      <w:r w:rsidR="0023172C">
        <w:rPr>
          <w:lang w:val="en-GB"/>
        </w:rPr>
        <w:t>)</w:t>
      </w:r>
      <w:r w:rsidR="0023172C" w:rsidRPr="00FB1E1B">
        <w:rPr>
          <w:lang w:val="en-GB"/>
        </w:rPr>
        <w:t xml:space="preserve"> </w:t>
      </w:r>
      <w:r w:rsidRPr="00FB1E1B">
        <w:rPr>
          <w:lang w:val="en-GB"/>
        </w:rPr>
        <w:t xml:space="preserve">scalable techniques are critical when generating estimates that </w:t>
      </w:r>
      <w:proofErr w:type="gramStart"/>
      <w:r w:rsidRPr="00FB1E1B">
        <w:rPr>
          <w:lang w:val="en-GB"/>
        </w:rPr>
        <w:t>can be used</w:t>
      </w:r>
      <w:proofErr w:type="gramEnd"/>
      <w:r w:rsidRPr="00FB1E1B">
        <w:rPr>
          <w:lang w:val="en-GB"/>
        </w:rPr>
        <w:t xml:space="preserve"> not only for single cases but also for large-scale analysis.</w:t>
      </w:r>
      <w:r w:rsidR="00841FB4" w:rsidRPr="003039CB">
        <w:rPr>
          <w:rFonts w:asciiTheme="majorBidi" w:hAnsiTheme="majorBidi" w:cstheme="majorBidi"/>
          <w:lang w:val="en-GB"/>
        </w:rPr>
        <w:t xml:space="preserve"> T</w:t>
      </w:r>
      <w:r w:rsidRPr="00BD2AFA">
        <w:rPr>
          <w:rFonts w:asciiTheme="majorBidi" w:hAnsiTheme="majorBidi" w:cstheme="majorBidi"/>
          <w:lang w:val="en-GB"/>
        </w:rPr>
        <w:t>ogether, t</w:t>
      </w:r>
      <w:r w:rsidR="00841FB4" w:rsidRPr="00FB1E1B">
        <w:rPr>
          <w:rFonts w:asciiTheme="majorBidi" w:hAnsiTheme="majorBidi" w:cstheme="majorBidi"/>
          <w:lang w:val="en-GB"/>
        </w:rPr>
        <w:t>h</w:t>
      </w:r>
      <w:r w:rsidR="00E44DBD" w:rsidRPr="00FB1E1B">
        <w:rPr>
          <w:rFonts w:asciiTheme="majorBidi" w:hAnsiTheme="majorBidi" w:cstheme="majorBidi"/>
          <w:lang w:val="en-GB"/>
        </w:rPr>
        <w:t xml:space="preserve">ese </w:t>
      </w:r>
      <w:r w:rsidR="00841FB4" w:rsidRPr="00FB1E1B">
        <w:rPr>
          <w:rFonts w:asciiTheme="majorBidi" w:hAnsiTheme="majorBidi" w:cstheme="majorBidi"/>
          <w:lang w:val="en-GB"/>
        </w:rPr>
        <w:t>two features can help overcoming at least partly the limitations inherent to the use of small datasets and/or individual case studies</w:t>
      </w:r>
      <w:r w:rsidR="009A026A" w:rsidRPr="00BD2AFA">
        <w:rPr>
          <w:rFonts w:asciiTheme="majorBidi" w:hAnsiTheme="majorBidi" w:cstheme="majorBidi"/>
          <w:lang w:val="en-GB"/>
        </w:rPr>
        <w:t xml:space="preserve"> previously mentioned</w:t>
      </w:r>
      <w:r w:rsidR="00841FB4" w:rsidRPr="00FB1E1B">
        <w:rPr>
          <w:rFonts w:asciiTheme="majorBidi" w:hAnsiTheme="majorBidi" w:cstheme="majorBidi"/>
          <w:lang w:val="en-GB"/>
        </w:rPr>
        <w:t xml:space="preserve">, by enhancing the comparability and transparency of the modelling approach. These aspects </w:t>
      </w:r>
      <w:proofErr w:type="gramStart"/>
      <w:r w:rsidR="00841FB4" w:rsidRPr="00FB1E1B">
        <w:rPr>
          <w:rFonts w:asciiTheme="majorBidi" w:hAnsiTheme="majorBidi" w:cstheme="majorBidi"/>
          <w:lang w:val="en-GB"/>
        </w:rPr>
        <w:t>are discussed</w:t>
      </w:r>
      <w:proofErr w:type="gramEnd"/>
      <w:r w:rsidR="00841FB4" w:rsidRPr="00FB1E1B">
        <w:rPr>
          <w:rFonts w:asciiTheme="majorBidi" w:hAnsiTheme="majorBidi" w:cstheme="majorBidi"/>
          <w:lang w:val="en-GB"/>
        </w:rPr>
        <w:t xml:space="preserve"> in this research, where </w:t>
      </w:r>
      <w:r w:rsidR="00E7318F" w:rsidRPr="003039CB">
        <w:rPr>
          <w:rFonts w:asciiTheme="majorBidi" w:hAnsiTheme="majorBidi" w:cstheme="majorBidi"/>
          <w:lang w:val="en-GB"/>
        </w:rPr>
        <w:t xml:space="preserve">a flexible </w:t>
      </w:r>
      <w:r w:rsidR="00841FB4" w:rsidRPr="003039CB">
        <w:rPr>
          <w:rFonts w:asciiTheme="majorBidi" w:hAnsiTheme="majorBidi" w:cstheme="majorBidi"/>
          <w:lang w:val="en-GB"/>
        </w:rPr>
        <w:t xml:space="preserve">data-driven energy </w:t>
      </w:r>
      <w:r w:rsidR="00E7318F" w:rsidRPr="003039CB">
        <w:rPr>
          <w:rFonts w:asciiTheme="majorBidi" w:hAnsiTheme="majorBidi" w:cstheme="majorBidi"/>
          <w:lang w:val="en-GB"/>
        </w:rPr>
        <w:t>model</w:t>
      </w:r>
      <w:r w:rsidR="00E7318F" w:rsidRPr="00E7318F">
        <w:rPr>
          <w:rFonts w:asciiTheme="majorBidi" w:hAnsiTheme="majorBidi" w:cstheme="majorBidi"/>
          <w:lang w:val="en-GB"/>
        </w:rPr>
        <w:t xml:space="preserve"> formulation</w:t>
      </w:r>
      <w:r w:rsidR="00B5398F">
        <w:rPr>
          <w:rFonts w:asciiTheme="majorBidi" w:hAnsiTheme="majorBidi" w:cstheme="majorBidi"/>
          <w:lang w:val="en-GB"/>
        </w:rPr>
        <w:t xml:space="preserve"> is presented and tested</w:t>
      </w:r>
      <w:r w:rsidR="00E7318F" w:rsidRPr="00E7318F">
        <w:rPr>
          <w:rFonts w:asciiTheme="majorBidi" w:hAnsiTheme="majorBidi" w:cstheme="majorBidi"/>
          <w:lang w:val="en-GB"/>
        </w:rPr>
        <w:t xml:space="preserve"> on data from a Passive House residential building case study. The model formulation is </w:t>
      </w:r>
      <w:r w:rsidR="00E7318F" w:rsidRPr="00FB1E1B">
        <w:rPr>
          <w:rFonts w:asciiTheme="majorBidi" w:hAnsiTheme="majorBidi" w:cstheme="majorBidi"/>
          <w:lang w:val="en-GB"/>
        </w:rPr>
        <w:t xml:space="preserve">interpretable and conceived to </w:t>
      </w:r>
      <w:proofErr w:type="gramStart"/>
      <w:r w:rsidR="00E7318F" w:rsidRPr="00FB1E1B">
        <w:rPr>
          <w:rFonts w:asciiTheme="majorBidi" w:hAnsiTheme="majorBidi" w:cstheme="majorBidi"/>
          <w:lang w:val="en-GB"/>
        </w:rPr>
        <w:t>be used</w:t>
      </w:r>
      <w:proofErr w:type="gramEnd"/>
      <w:r w:rsidR="00E7318F" w:rsidRPr="00FB1E1B">
        <w:rPr>
          <w:rFonts w:asciiTheme="majorBidi" w:hAnsiTheme="majorBidi" w:cstheme="majorBidi"/>
          <w:lang w:val="en-GB"/>
        </w:rPr>
        <w:t xml:space="preserve"> in a general way for monthly energy data ana</w:t>
      </w:r>
      <w:r w:rsidR="00E7318F" w:rsidRPr="003039CB">
        <w:rPr>
          <w:rFonts w:asciiTheme="majorBidi" w:hAnsiTheme="majorBidi" w:cstheme="majorBidi"/>
          <w:lang w:val="en-GB"/>
        </w:rPr>
        <w:t>lysis</w:t>
      </w:r>
      <w:r w:rsidRPr="003039CB">
        <w:rPr>
          <w:rFonts w:asciiTheme="majorBidi" w:hAnsiTheme="majorBidi" w:cstheme="majorBidi"/>
          <w:lang w:val="en-GB"/>
        </w:rPr>
        <w:t>. Further</w:t>
      </w:r>
      <w:r w:rsidR="0023172C">
        <w:rPr>
          <w:rFonts w:asciiTheme="majorBidi" w:hAnsiTheme="majorBidi" w:cstheme="majorBidi"/>
          <w:lang w:val="en-GB"/>
        </w:rPr>
        <w:t>,</w:t>
      </w:r>
      <w:r w:rsidRPr="003039CB">
        <w:rPr>
          <w:rFonts w:asciiTheme="majorBidi" w:hAnsiTheme="majorBidi" w:cstheme="majorBidi"/>
          <w:lang w:val="en-GB"/>
        </w:rPr>
        <w:t xml:space="preserve"> it can </w:t>
      </w:r>
      <w:r w:rsidR="00E7318F" w:rsidRPr="003039CB">
        <w:rPr>
          <w:rFonts w:asciiTheme="majorBidi" w:hAnsiTheme="majorBidi" w:cstheme="majorBidi"/>
          <w:lang w:val="en-GB"/>
        </w:rPr>
        <w:t>be extended to other time intervals (daily, hourly</w:t>
      </w:r>
      <w:r w:rsidR="00841FB4" w:rsidRPr="003039CB">
        <w:rPr>
          <w:rFonts w:asciiTheme="majorBidi" w:hAnsiTheme="majorBidi" w:cstheme="majorBidi"/>
          <w:lang w:val="en-GB"/>
        </w:rPr>
        <w:t>, sub-hourly</w:t>
      </w:r>
      <w:r w:rsidR="00E7318F" w:rsidRPr="003039CB">
        <w:rPr>
          <w:rFonts w:asciiTheme="majorBidi" w:hAnsiTheme="majorBidi" w:cstheme="majorBidi"/>
          <w:lang w:val="en-GB"/>
        </w:rPr>
        <w:t xml:space="preserve">) </w:t>
      </w:r>
      <w:r w:rsidRPr="003039CB">
        <w:rPr>
          <w:rFonts w:asciiTheme="majorBidi" w:hAnsiTheme="majorBidi" w:cstheme="majorBidi"/>
          <w:lang w:val="en-GB"/>
        </w:rPr>
        <w:t>and spatial scale</w:t>
      </w:r>
      <w:r w:rsidR="00736E74">
        <w:rPr>
          <w:rFonts w:asciiTheme="majorBidi" w:hAnsiTheme="majorBidi" w:cstheme="majorBidi"/>
          <w:lang w:val="en-GB"/>
        </w:rPr>
        <w:t>s</w:t>
      </w:r>
      <w:r w:rsidRPr="003039CB">
        <w:rPr>
          <w:rFonts w:asciiTheme="majorBidi" w:hAnsiTheme="majorBidi" w:cstheme="majorBidi"/>
          <w:lang w:val="en-GB"/>
        </w:rPr>
        <w:t xml:space="preserve"> </w:t>
      </w:r>
      <w:r w:rsidRPr="00BD2AFA">
        <w:rPr>
          <w:rFonts w:asciiTheme="majorBidi" w:hAnsiTheme="majorBidi" w:cstheme="majorBidi"/>
          <w:lang w:val="en-GB"/>
        </w:rPr>
        <w:fldChar w:fldCharType="begin" w:fldLock="1"/>
      </w:r>
      <w:r w:rsidRPr="00BD2AFA">
        <w:rPr>
          <w:rFonts w:asciiTheme="majorBidi" w:hAnsiTheme="majorBidi" w:cstheme="majorBidi"/>
          <w:lang w:val="en-GB"/>
        </w:rPr>
        <w:instrText>ADDIN CSL_CITATION { "citationItems" : [ { "id" : "ITEM-1", "itemData" : { "DOI" : "10.3390/en14030679", "ISBN" : "1996-1073", "abstract" : "Decarbonisation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 "author" : [ { "dropping-particle" : "", "family" : "Manfren", "given" : "Massimiliano", "non-dropping-particle" : "", "parse-names" : false, "suffix" : "" }, { "dropping-particle" : "", "family" : "Sibilla", "given" : "Maurizio", "non-dropping-particle" : "", "parse-names" : false, "suffix" : "" }, { "dropping-particle" : "", "family" : "Tronchin", "given" : "Lamberto", "non-dropping-particle" : "", "parse-names" : false, "suffix" : "" } ], "container-title" : "Energies ", "id" : "ITEM-1", "issue" : "3", "issued" : { "date-parts" : [ [ "2021" ] ] }, "title" : "Energy Modelling and Analytics in the Built Environment\u2014A Review of Their Role for Energy Transitions in the Construction Sector", "type" : "article", "volume" : "14" }, "uris" : [ "http://www.mendeley.com/documents/?uuid=544059d3-6610-48a0-adb9-0f24d6920827" ] } ], "mendeley" : { "formattedCitation" : "[15]", "plainTextFormattedCitation" : "[15]", "previouslyFormattedCitation" : "[15]" }, "properties" : { "noteIndex" : 0 }, "schema" : "https://github.com/citation-style-language/schema/raw/master/csl-citation.json" }</w:instrText>
      </w:r>
      <w:r w:rsidRPr="00BD2AFA">
        <w:rPr>
          <w:rFonts w:asciiTheme="majorBidi" w:hAnsiTheme="majorBidi" w:cstheme="majorBidi"/>
          <w:lang w:val="en-GB"/>
        </w:rPr>
        <w:fldChar w:fldCharType="separate"/>
      </w:r>
      <w:r w:rsidRPr="00BD2AFA">
        <w:rPr>
          <w:rFonts w:asciiTheme="majorBidi" w:hAnsiTheme="majorBidi" w:cstheme="majorBidi"/>
          <w:noProof/>
          <w:lang w:val="en-GB"/>
        </w:rPr>
        <w:t>[15]</w:t>
      </w:r>
      <w:r w:rsidRPr="00BD2AFA">
        <w:rPr>
          <w:rFonts w:asciiTheme="majorBidi" w:hAnsiTheme="majorBidi" w:cstheme="majorBidi"/>
          <w:lang w:val="en-GB"/>
        </w:rPr>
        <w:fldChar w:fldCharType="end"/>
      </w:r>
      <w:r w:rsidRPr="00FB1E1B">
        <w:rPr>
          <w:rFonts w:asciiTheme="majorBidi" w:hAnsiTheme="majorBidi" w:cstheme="majorBidi"/>
          <w:lang w:val="en-GB"/>
        </w:rPr>
        <w:t xml:space="preserve">, linked to standardized analytical formulations </w:t>
      </w:r>
      <w:r>
        <w:rPr>
          <w:rFonts w:asciiTheme="majorBidi" w:hAnsiTheme="majorBidi" w:cstheme="majorBidi"/>
          <w:lang w:val="en-GB"/>
        </w:rPr>
        <w:fldChar w:fldCharType="begin" w:fldLock="1"/>
      </w:r>
      <w:r w:rsidR="006A236D">
        <w:rPr>
          <w:rFonts w:asciiTheme="majorBidi" w:hAnsiTheme="majorBidi" w:cstheme="majorBidi"/>
          <w:lang w:val="en-GB"/>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Pr>
          <w:rFonts w:asciiTheme="majorBidi" w:hAnsiTheme="majorBidi" w:cstheme="majorBidi"/>
          <w:lang w:val="en-GB"/>
        </w:rPr>
        <w:fldChar w:fldCharType="separate"/>
      </w:r>
      <w:r w:rsidR="0023172C" w:rsidRPr="0023172C">
        <w:rPr>
          <w:rFonts w:asciiTheme="majorBidi" w:hAnsiTheme="majorBidi" w:cstheme="majorBidi"/>
          <w:noProof/>
          <w:lang w:val="en-GB"/>
        </w:rPr>
        <w:t>[24]</w:t>
      </w:r>
      <w:r>
        <w:rPr>
          <w:rFonts w:asciiTheme="majorBidi" w:hAnsiTheme="majorBidi" w:cstheme="majorBidi"/>
          <w:lang w:val="en-GB"/>
        </w:rPr>
        <w:fldChar w:fldCharType="end"/>
      </w:r>
      <w:r w:rsidRPr="00FB1E1B">
        <w:rPr>
          <w:rFonts w:asciiTheme="majorBidi" w:hAnsiTheme="majorBidi" w:cstheme="majorBidi"/>
          <w:lang w:val="en-GB"/>
        </w:rPr>
        <w:t xml:space="preserve"> and applied across </w:t>
      </w:r>
      <w:r w:rsidRPr="00BD2AFA">
        <w:rPr>
          <w:rFonts w:asciiTheme="majorBidi" w:hAnsiTheme="majorBidi" w:cstheme="majorBidi"/>
          <w:lang w:val="en-GB"/>
        </w:rPr>
        <w:t xml:space="preserve">different life cycle phases </w:t>
      </w:r>
      <w:r w:rsidRPr="00BD2AFA">
        <w:rPr>
          <w:rFonts w:asciiTheme="majorBidi" w:hAnsiTheme="majorBidi" w:cstheme="majorBidi"/>
          <w:lang w:val="en-GB"/>
        </w:rPr>
        <w:fldChar w:fldCharType="begin" w:fldLock="1"/>
      </w:r>
      <w:r w:rsidRPr="00BD2AFA">
        <w:rPr>
          <w:rFonts w:asciiTheme="majorBidi" w:hAnsiTheme="majorBidi" w:cstheme="majorBidi"/>
          <w:lang w:val="en-GB"/>
        </w:rPr>
        <w:instrText>ADDIN CSL_CITATION { "citationItems" : [ { "id" : "ITEM-1", "itemData" : { "DOI" : "10.3389/fenrg.2020.557649", "ISSN" : "2296-598X", "abstract" : "The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phase\u2019s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 "author" : [ { "dropping-particle" : "", "family" : "Manfren", "given" : "Massimiliano", "non-dropping-particle" : "", "parse-names" : false, "suffix" : "" }, { "dropping-particle" : "", "family" : "Nastasi", "given" : "Benedetto", "non-dropping-particle" : "", "parse-names" : false, "suffix" : "" }, { "dropping-particle" : "", "family" : "Tronchin", "given" : "Lamberto", "non-dropping-particle" : "", "parse-names" : false, "suffix" : "" } ], "container-title" : "Frontiers in Energy Research", "id" : "ITEM-1", "issued" : { "date-parts" : [ [ "2020" ] ] }, "page" : "288", "title" : "Linking Design and Operation Phase Energy Performance Analysis Through Regression-Based Approaches", "type" : "article-journal", "volume" : "8" }, "uris" : [ "http://www.mendeley.com/documents/?uuid=7dcf653e-068e-4dc2-bd57-533084f02c3c" ] } ], "mendeley" : { "formattedCitation" : "[3]", "plainTextFormattedCitation" : "[3]", "previouslyFormattedCitation" : "[3]" }, "properties" : { "noteIndex" : 0 }, "schema" : "https://github.com/citation-style-language/schema/raw/master/csl-citation.json" }</w:instrText>
      </w:r>
      <w:r w:rsidRPr="00BD2AFA">
        <w:rPr>
          <w:rFonts w:asciiTheme="majorBidi" w:hAnsiTheme="majorBidi" w:cstheme="majorBidi"/>
          <w:lang w:val="en-GB"/>
        </w:rPr>
        <w:fldChar w:fldCharType="separate"/>
      </w:r>
      <w:r w:rsidRPr="00BD2AFA">
        <w:rPr>
          <w:rFonts w:asciiTheme="majorBidi" w:hAnsiTheme="majorBidi" w:cstheme="majorBidi"/>
          <w:noProof/>
          <w:lang w:val="en-GB"/>
        </w:rPr>
        <w:t>[3]</w:t>
      </w:r>
      <w:r w:rsidRPr="00BD2AFA">
        <w:rPr>
          <w:rFonts w:asciiTheme="majorBidi" w:hAnsiTheme="majorBidi" w:cstheme="majorBidi"/>
          <w:lang w:val="en-GB"/>
        </w:rPr>
        <w:fldChar w:fldCharType="end"/>
      </w:r>
      <w:r w:rsidR="00736E74">
        <w:rPr>
          <w:rFonts w:asciiTheme="majorBidi" w:hAnsiTheme="majorBidi" w:cstheme="majorBidi"/>
          <w:lang w:val="en-GB"/>
        </w:rPr>
        <w:t xml:space="preserve">, </w:t>
      </w:r>
      <w:r w:rsidR="00736E74" w:rsidRPr="003039CB">
        <w:rPr>
          <w:rFonts w:asciiTheme="majorBidi" w:hAnsiTheme="majorBidi" w:cstheme="majorBidi"/>
          <w:lang w:val="en-GB"/>
        </w:rPr>
        <w:t>as shown in previous research</w:t>
      </w:r>
      <w:r w:rsidRPr="00BD2AFA">
        <w:rPr>
          <w:rFonts w:asciiTheme="majorBidi" w:hAnsiTheme="majorBidi" w:cstheme="majorBidi"/>
          <w:lang w:val="en-GB"/>
        </w:rPr>
        <w:t>.</w:t>
      </w:r>
    </w:p>
    <w:p w:rsidR="00E7318F" w:rsidRDefault="00E7318F">
      <w:pPr>
        <w:jc w:val="both"/>
        <w:rPr>
          <w:rFonts w:asciiTheme="majorBidi" w:hAnsiTheme="majorBidi" w:cstheme="majorBidi"/>
          <w:lang w:val="en-GB"/>
        </w:rPr>
      </w:pPr>
      <w:r w:rsidRPr="00E7318F">
        <w:rPr>
          <w:rFonts w:asciiTheme="majorBidi" w:hAnsiTheme="majorBidi" w:cstheme="majorBidi"/>
          <w:lang w:val="en-GB"/>
        </w:rPr>
        <w:t xml:space="preserve">The </w:t>
      </w:r>
      <w:r w:rsidR="003039CB">
        <w:rPr>
          <w:rFonts w:asciiTheme="majorBidi" w:hAnsiTheme="majorBidi" w:cstheme="majorBidi"/>
          <w:lang w:val="en-GB"/>
        </w:rPr>
        <w:t xml:space="preserve">models </w:t>
      </w:r>
      <w:proofErr w:type="gramStart"/>
      <w:r w:rsidR="003039CB">
        <w:rPr>
          <w:rFonts w:asciiTheme="majorBidi" w:hAnsiTheme="majorBidi" w:cstheme="majorBidi"/>
          <w:lang w:val="en-GB"/>
        </w:rPr>
        <w:t xml:space="preserve">are </w:t>
      </w:r>
      <w:r w:rsidRPr="00E7318F">
        <w:rPr>
          <w:rFonts w:asciiTheme="majorBidi" w:hAnsiTheme="majorBidi" w:cstheme="majorBidi"/>
          <w:lang w:val="en-GB"/>
        </w:rPr>
        <w:t>train</w:t>
      </w:r>
      <w:r w:rsidR="003039CB">
        <w:rPr>
          <w:rFonts w:asciiTheme="majorBidi" w:hAnsiTheme="majorBidi" w:cstheme="majorBidi"/>
          <w:lang w:val="en-GB"/>
        </w:rPr>
        <w:t>ed</w:t>
      </w:r>
      <w:proofErr w:type="gramEnd"/>
      <w:r w:rsidRPr="00E7318F">
        <w:rPr>
          <w:rFonts w:asciiTheme="majorBidi" w:hAnsiTheme="majorBidi" w:cstheme="majorBidi"/>
          <w:lang w:val="en-GB"/>
        </w:rPr>
        <w:t xml:space="preserve"> with different datasets, using electric and thermal energy data measured during a building monitoring period of 3 years, and their goodness of fit is discussed by means of statistical indicators. Finally, indication</w:t>
      </w:r>
      <w:r w:rsidR="00EE50F0">
        <w:rPr>
          <w:rFonts w:asciiTheme="majorBidi" w:hAnsiTheme="majorBidi" w:cstheme="majorBidi"/>
          <w:lang w:val="en-GB"/>
        </w:rPr>
        <w:t>s</w:t>
      </w:r>
      <w:r w:rsidRPr="00E7318F">
        <w:rPr>
          <w:rFonts w:asciiTheme="majorBidi" w:hAnsiTheme="majorBidi" w:cstheme="majorBidi"/>
          <w:lang w:val="en-GB"/>
        </w:rPr>
        <w:t xml:space="preserve"> of future research directions in the broad area of data-driven energy modelling </w:t>
      </w:r>
      <w:proofErr w:type="gramStart"/>
      <w:r w:rsidRPr="00E7318F">
        <w:rPr>
          <w:rFonts w:asciiTheme="majorBidi" w:hAnsiTheme="majorBidi" w:cstheme="majorBidi"/>
          <w:lang w:val="en-GB"/>
        </w:rPr>
        <w:t>are given</w:t>
      </w:r>
      <w:proofErr w:type="gramEnd"/>
      <w:r w:rsidRPr="00E7318F">
        <w:rPr>
          <w:rFonts w:asciiTheme="majorBidi" w:hAnsiTheme="majorBidi" w:cstheme="majorBidi"/>
          <w:lang w:val="en-GB"/>
        </w:rPr>
        <w:t xml:space="preserve"> in relation to research outcomes. </w:t>
      </w:r>
    </w:p>
    <w:p w:rsidR="006D3D6E" w:rsidRDefault="006D3D6E">
      <w:pPr>
        <w:rPr>
          <w:lang w:val="en-GB" w:eastAsia="x-none"/>
        </w:rPr>
      </w:pPr>
    </w:p>
    <w:p w:rsidR="006425BE" w:rsidRDefault="006425BE">
      <w:pPr>
        <w:rPr>
          <w:lang w:val="en-GB" w:eastAsia="x-none"/>
        </w:rPr>
      </w:pPr>
    </w:p>
    <w:p w:rsidR="002361CE" w:rsidRPr="00EE36EA" w:rsidRDefault="001849DA">
      <w:pPr>
        <w:pStyle w:val="Heading1"/>
      </w:pPr>
      <w:bookmarkStart w:id="4" w:name="_Toc98497995"/>
      <w:r>
        <w:t>Background on interpretable data-driven m</w:t>
      </w:r>
      <w:r w:rsidR="00D53DAD">
        <w:t>ethods</w:t>
      </w:r>
      <w:bookmarkEnd w:id="4"/>
    </w:p>
    <w:p w:rsidR="00395842" w:rsidRDefault="00693599">
      <w:pPr>
        <w:jc w:val="both"/>
        <w:rPr>
          <w:spacing w:val="-3"/>
          <w:lang w:val="en-GB"/>
        </w:rPr>
      </w:pPr>
      <w:r w:rsidRPr="00810926">
        <w:rPr>
          <w:lang w:val="en-GB" w:eastAsia="ja-JP"/>
        </w:rPr>
        <w:t xml:space="preserve">In this </w:t>
      </w:r>
      <w:proofErr w:type="gramStart"/>
      <w:r w:rsidRPr="00810926">
        <w:rPr>
          <w:lang w:val="en-GB" w:eastAsia="ja-JP"/>
        </w:rPr>
        <w:t>research</w:t>
      </w:r>
      <w:proofErr w:type="gramEnd"/>
      <w:r w:rsidRPr="00810926">
        <w:rPr>
          <w:lang w:val="en-GB" w:eastAsia="ja-JP"/>
        </w:rPr>
        <w:t xml:space="preserve"> the use of interpretable techniques and harmonized procedures</w:t>
      </w:r>
      <w:r w:rsidR="00395842" w:rsidRPr="00810926">
        <w:rPr>
          <w:b/>
          <w:bCs/>
          <w:lang w:val="en-GB" w:eastAsia="ja-JP"/>
        </w:rPr>
        <w:t xml:space="preserve"> </w:t>
      </w:r>
      <w:r w:rsidR="00395842" w:rsidRPr="00BD2AFA">
        <w:rPr>
          <w:lang w:val="en-GB" w:eastAsia="ja-JP"/>
        </w:rPr>
        <w:t>is</w:t>
      </w:r>
      <w:r w:rsidR="00395842" w:rsidRPr="00810926">
        <w:rPr>
          <w:b/>
          <w:bCs/>
          <w:lang w:val="en-GB" w:eastAsia="ja-JP"/>
        </w:rPr>
        <w:t xml:space="preserve"> </w:t>
      </w:r>
      <w:r w:rsidR="00395842" w:rsidRPr="00810926">
        <w:rPr>
          <w:lang w:val="en-GB" w:eastAsia="ja-JP"/>
        </w:rPr>
        <w:t xml:space="preserve">the </w:t>
      </w:r>
      <w:r w:rsidRPr="00810926">
        <w:rPr>
          <w:lang w:val="en-GB" w:eastAsia="ja-JP"/>
        </w:rPr>
        <w:t xml:space="preserve">starting point. </w:t>
      </w:r>
      <w:r w:rsidR="00395842" w:rsidRPr="00810926">
        <w:rPr>
          <w:lang w:val="en-GB" w:eastAsia="ja-JP"/>
        </w:rPr>
        <w:t>The concept of i</w:t>
      </w:r>
      <w:r w:rsidRPr="00810926">
        <w:rPr>
          <w:lang w:val="en-GB" w:eastAsia="ja-JP"/>
        </w:rPr>
        <w:t xml:space="preserve">nterpretability </w:t>
      </w:r>
      <w:r w:rsidR="00395842" w:rsidRPr="00810926">
        <w:rPr>
          <w:lang w:val="en-GB" w:eastAsia="ja-JP"/>
        </w:rPr>
        <w:t xml:space="preserve">was discussed </w:t>
      </w:r>
      <w:r w:rsidRPr="00810926">
        <w:rPr>
          <w:lang w:val="en-GB" w:eastAsia="ja-JP"/>
        </w:rPr>
        <w:t>previously in the introduction</w:t>
      </w:r>
      <w:r w:rsidR="00395842" w:rsidRPr="00810926">
        <w:rPr>
          <w:lang w:val="en-GB" w:eastAsia="ja-JP"/>
        </w:rPr>
        <w:t xml:space="preserve">, while </w:t>
      </w:r>
      <w:r w:rsidRPr="00FB1E1B">
        <w:rPr>
          <w:lang w:val="en-GB" w:eastAsia="ja-JP"/>
        </w:rPr>
        <w:t>the term harmonized</w:t>
      </w:r>
      <w:r w:rsidR="00395842" w:rsidRPr="00FB1E1B">
        <w:rPr>
          <w:lang w:val="en-GB" w:eastAsia="ja-JP"/>
        </w:rPr>
        <w:t xml:space="preserve"> indicates </w:t>
      </w:r>
      <w:r w:rsidRPr="00810926">
        <w:rPr>
          <w:lang w:val="en-GB" w:eastAsia="ja-JP"/>
        </w:rPr>
        <w:t xml:space="preserve">procedures that are codified, </w:t>
      </w:r>
      <w:r w:rsidR="00395842" w:rsidRPr="00810926">
        <w:rPr>
          <w:lang w:val="en-GB" w:eastAsia="ja-JP"/>
        </w:rPr>
        <w:t xml:space="preserve">like </w:t>
      </w:r>
      <w:r w:rsidRPr="00810926">
        <w:rPr>
          <w:lang w:val="en-GB" w:eastAsia="ja-JP"/>
        </w:rPr>
        <w:t xml:space="preserve">the ones proposed by </w:t>
      </w:r>
      <w:r w:rsidRPr="00810926">
        <w:rPr>
          <w:lang w:val="en-GB"/>
        </w:rPr>
        <w:t xml:space="preserve">Measurement and Verification (M&amp;V) protocols such as ASHRAE 14:2014 </w:t>
      </w:r>
      <w:r w:rsidRPr="00A73C50">
        <w:fldChar w:fldCharType="begin" w:fldLock="1"/>
      </w:r>
      <w:r w:rsidR="006A236D">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"mendeley" : { "formattedCitation" : "[25]", "plainTextFormattedCitation" : "[25]", "previouslyFormattedCitation" : "[25]" }, "properties" : { "noteIndex" : 0 }, "schema" : "https://github.com/citation-style-language/schema/raw/master/csl-citation.json" }</w:instrText>
      </w:r>
      <w:r w:rsidRPr="00A73C50">
        <w:fldChar w:fldCharType="separate"/>
      </w:r>
      <w:r w:rsidR="0023172C" w:rsidRPr="0023172C">
        <w:rPr>
          <w:noProof/>
          <w:lang w:val="en-GB"/>
        </w:rPr>
        <w:t>[25]</w:t>
      </w:r>
      <w:r w:rsidRPr="00A73C50">
        <w:fldChar w:fldCharType="end"/>
      </w:r>
      <w:r w:rsidRPr="00FB1E1B">
        <w:rPr>
          <w:lang w:val="en-GB"/>
        </w:rPr>
        <w:t xml:space="preserve">, Efficiency Value Organization (EVO) </w:t>
      </w:r>
      <w:r w:rsidRPr="00810926">
        <w:fldChar w:fldCharType="begin" w:fldLock="1"/>
      </w:r>
      <w:r w:rsidR="006A236D">
        <w:rPr>
          <w:lang w:val="en-GB"/>
        </w:rPr>
        <w:instrText>ADDIN CSL_CITATION { "citationItems" : [ { "id" : "ITEM-1", "itemData" : { "author" : [ { "dropping-particle" : "", "family" : "EVO", "given" : "", "non-dropping-particle" : "", "parse-names" : false, "suffix" : "" } ], "id" : "ITEM-1", "issued" : { "date-parts" : [ [ "2003" ] ] }, "title" : "IPMVP New Construction Subcommittee. International Performance Measurement &amp; Verification Protocol: Concepts and Option for Determining Energy Savings in New Construction, Volume III; Efficiency Valuation Organization (EVO): Washington, DC, USA, 2003", "type" : "article" }, "uris" : [ "http://www.mendeley.com/documents/?uuid=0a835018-7835-4ba5-832d-0592ce0ce59a" ] } ], "mendeley" : { "formattedCitation" : "[26]", "plainTextFormattedCitation" : "[26]", "previouslyFormattedCitation" : "[26]" }, "properties" : { "noteIndex" : 0 }, "schema" : "https://github.com/citation-style-language/schema/raw/master/csl-citation.json" }</w:instrText>
      </w:r>
      <w:r w:rsidRPr="00810926">
        <w:fldChar w:fldCharType="separate"/>
      </w:r>
      <w:r w:rsidR="0023172C" w:rsidRPr="0023172C">
        <w:rPr>
          <w:noProof/>
          <w:lang w:val="en-GB"/>
        </w:rPr>
        <w:t>[26]</w:t>
      </w:r>
      <w:r w:rsidRPr="00810926">
        <w:fldChar w:fldCharType="end"/>
      </w:r>
      <w:r w:rsidRPr="00810926">
        <w:rPr>
          <w:lang w:val="en-GB"/>
        </w:rPr>
        <w:t xml:space="preserve">, Federal Energy Management Program (FEMP) </w:t>
      </w:r>
      <w:r w:rsidRPr="00810926">
        <w:fldChar w:fldCharType="begin" w:fldLock="1"/>
      </w:r>
      <w:r w:rsidR="006A236D">
        <w:rPr>
          <w:lang w:val="en-GB"/>
        </w:rPr>
        <w:instrText>ADDIN CSL_CITATION { "citationItems" : [ { "id" : "ITEM-1", "itemData" : { "author" : [ { "dropping-particle" : "", "family" : "FEMP", "given" : "", "non-dropping-particle" : "", "parse-names" : false, "suffix" : "" } ], "id" : "ITEM-1", "issued" : { "date-parts" : [ [ "2008" ] ] }, "publisher-place" : "Washington, DC, USA, 2008", "title" : "FEMP. Federal Energy Management Program, M&amp;V Guidelines: Measurement and Verification for Federal Energy Projects Version 3.0, U.S. Department of Energy Federal Energy Management Program", "type" : "article" }, "uris" : [ "http://www.mendeley.com/documents/?uuid=530a51f8-a4ee-4beb-910f-3429b572c9b1" ] } ], "mendeley" : { "formattedCitation" : "[27]", "plainTextFormattedCitation" : "[27]", "previouslyFormattedCitation" : "[27]" }, "properties" : { "noteIndex" : 0 }, "schema" : "https://github.com/citation-style-language/schema/raw/master/csl-citation.json" }</w:instrText>
      </w:r>
      <w:r w:rsidRPr="00810926">
        <w:fldChar w:fldCharType="separate"/>
      </w:r>
      <w:r w:rsidR="0023172C" w:rsidRPr="0023172C">
        <w:rPr>
          <w:noProof/>
          <w:lang w:val="en-GB"/>
        </w:rPr>
        <w:t>[27]</w:t>
      </w:r>
      <w:r w:rsidRPr="00810926">
        <w:fldChar w:fldCharType="end"/>
      </w:r>
      <w:r w:rsidR="00FB1E1B" w:rsidRPr="00BD2AFA">
        <w:rPr>
          <w:lang w:val="en-GB"/>
        </w:rPr>
        <w:t>, as well as other technical standards</w:t>
      </w:r>
      <w:r w:rsidR="00EA66B0">
        <w:rPr>
          <w:lang w:val="en-GB"/>
        </w:rPr>
        <w:t xml:space="preserve"> reported later in this Section</w:t>
      </w:r>
      <w:r w:rsidRPr="00810926">
        <w:rPr>
          <w:lang w:val="en-GB"/>
        </w:rPr>
        <w:t>.</w:t>
      </w:r>
      <w:r w:rsidRPr="00693599">
        <w:rPr>
          <w:lang w:val="en-GB"/>
        </w:rPr>
        <w:t xml:space="preserve"> </w:t>
      </w:r>
      <w:proofErr w:type="gramStart"/>
      <w:r w:rsidRPr="00693599">
        <w:rPr>
          <w:lang w:val="en-GB"/>
        </w:rPr>
        <w:t>The procedures and techniques proposed in these protocols have been adopted</w:t>
      </w:r>
      <w:r w:rsidR="00EA66B0">
        <w:rPr>
          <w:lang w:val="en-GB"/>
        </w:rPr>
        <w:t>, for example,</w:t>
      </w:r>
      <w:r w:rsidRPr="00693599">
        <w:rPr>
          <w:lang w:val="en-GB"/>
        </w:rPr>
        <w:t xml:space="preserve"> in projects such as the </w:t>
      </w:r>
      <w:r w:rsidRPr="00693599">
        <w:rPr>
          <w:spacing w:val="-3"/>
          <w:lang w:val="en-GB"/>
        </w:rPr>
        <w:t xml:space="preserve">Uniform Methods Project (UMP) </w:t>
      </w:r>
      <w:r w:rsidRPr="00434D0F">
        <w:fldChar w:fldCharType="begin" w:fldLock="1"/>
      </w:r>
      <w:r w:rsidR="006A236D">
        <w:rPr>
          <w:lang w:val="en-GB"/>
        </w:rPr>
        <w:instrText>ADDIN CSL_CITATION { "citationItems" : [ { "id" : "ITEM-1", "itemData" : { "author" : [ { "dropping-particle" : "", "family" : "Jayaweera", "given" : "Tina", "non-dropping-particle" : "", "parse-names" : false, "suffix" : "" }, { "dropping-particle" : "", "family" : "Haeri", "given" : "Hossein", "non-dropping-particle" : "", "parse-names" : false, "suffix" : "" }, { "dropping-particle" : "", "family" : "Gowans", "given" : "Dakers", "non-dropping-particle" : "", "parse-names" : false, "suffix" : "" } ], "container-title" : "Contract", "id" : "ITEM-1", "issued" : { "date-parts" : [ [ "2013" ] ] }, "page" : "275-3000", "title" : "The Uniform Methods Project: Methods for Determining Energy Efficiency Savings for Specific Measures", "type" : "article-journal", "volume" : "303" }, "uris" : [ "http://www.mendeley.com/documents/?uuid=0e3de645-6b35-45e2-a437-667b7175f4f4" ] } ], "mendeley" : { "formattedCitation" : "[28]", "plainTextFormattedCitation" : "[28]", "previouslyFormattedCitation" : "[28]" }, "properties" : { "noteIndex" : 0 }, "schema" : "https://github.com/citation-style-language/schema/raw/master/csl-citation.json" }</w:instrText>
      </w:r>
      <w:r w:rsidRPr="00434D0F">
        <w:fldChar w:fldCharType="separate"/>
      </w:r>
      <w:r w:rsidR="0023172C" w:rsidRPr="0023172C">
        <w:rPr>
          <w:noProof/>
          <w:lang w:val="en-GB"/>
        </w:rPr>
        <w:t>[28]</w:t>
      </w:r>
      <w:r w:rsidRPr="00434D0F">
        <w:fldChar w:fldCharType="end"/>
      </w:r>
      <w:r w:rsidRPr="00693599">
        <w:rPr>
          <w:lang w:val="en-GB"/>
        </w:rPr>
        <w:t xml:space="preserve">, aimed at providing robust and empirically grounded techniques to benchmark energy efficiency measures with a uniform approach, and the </w:t>
      </w:r>
      <w:r w:rsidRPr="00693599">
        <w:rPr>
          <w:spacing w:val="-3"/>
          <w:lang w:val="en-GB"/>
        </w:rPr>
        <w:t xml:space="preserve">Investor Confidence Project (ICP) </w:t>
      </w:r>
      <w:r w:rsidRPr="00434D0F">
        <w:rPr>
          <w:spacing w:val="-3"/>
        </w:rPr>
        <w:fldChar w:fldCharType="begin" w:fldLock="1"/>
      </w:r>
      <w:r w:rsidR="006A236D">
        <w:rPr>
          <w:spacing w:val="-3"/>
          <w:lang w:val="en-GB"/>
        </w:rPr>
        <w:instrText>ADDIN CSL_CITATION { "citationItems" : [ { "id" : "ITEM-1", "itemData" : { "id" : "ITEM-1", "issued" : { "date-parts" : [ [ "0" ] ] }, "title" : "Investor Confidence Project (https://europe.eeperformance.org/), accessed 31/08/2020", "type" : "article" }, "uris" : [ "http://www.mendeley.com/documents/?uuid=f395af30-730c-4602-aad5-2e464a893342" ] } ], "mendeley" : { "formattedCitation" : "[29]", "plainTextFormattedCitation" : "[29]", "previouslyFormattedCitation" : "[29]" }, "properties" : { "noteIndex" : 0 }, "schema" : "https://github.com/citation-style-language/schema/raw/master/csl-citation.json" }</w:instrText>
      </w:r>
      <w:r w:rsidRPr="00434D0F">
        <w:rPr>
          <w:spacing w:val="-3"/>
        </w:rPr>
        <w:fldChar w:fldCharType="separate"/>
      </w:r>
      <w:r w:rsidR="0023172C" w:rsidRPr="0023172C">
        <w:rPr>
          <w:noProof/>
          <w:spacing w:val="-3"/>
          <w:lang w:val="en-GB"/>
        </w:rPr>
        <w:t>[29]</w:t>
      </w:r>
      <w:r w:rsidRPr="00434D0F">
        <w:rPr>
          <w:spacing w:val="-3"/>
        </w:rPr>
        <w:fldChar w:fldCharType="end"/>
      </w:r>
      <w:r w:rsidRPr="00693599">
        <w:rPr>
          <w:spacing w:val="-3"/>
          <w:lang w:val="en-GB"/>
        </w:rPr>
        <w:t>, aimed at de-risking investment in energy efficiency and increasing trust by private and public investors.</w:t>
      </w:r>
      <w:proofErr w:type="gramEnd"/>
      <w:r w:rsidRPr="00693599">
        <w:rPr>
          <w:spacing w:val="-3"/>
          <w:lang w:val="en-GB"/>
        </w:rPr>
        <w:t xml:space="preserve"> Further, the</w:t>
      </w:r>
      <w:r w:rsidR="00FB4FFD">
        <w:rPr>
          <w:spacing w:val="-3"/>
          <w:lang w:val="en-GB"/>
        </w:rPr>
        <w:t xml:space="preserve"> applicability of these techniques</w:t>
      </w:r>
      <w:r w:rsidRPr="00693599">
        <w:rPr>
          <w:spacing w:val="-3"/>
          <w:lang w:val="en-GB"/>
        </w:rPr>
        <w:t xml:space="preserve"> can be extended to electric load profiles analysis and prediction at large scale </w:t>
      </w:r>
      <w:r w:rsidR="00EA66B0" w:rsidRPr="00BD2AFA">
        <w:rPr>
          <w:lang w:val="en-GB"/>
        </w:rPr>
        <w:t xml:space="preserve"> </w:t>
      </w:r>
      <w:r w:rsidR="00EA66B0" w:rsidRPr="0042042F">
        <w:rPr>
          <w:spacing w:val="-3"/>
          <w:lang w:val="en-GB"/>
        </w:rPr>
        <w:fldChar w:fldCharType="begin" w:fldLock="1"/>
      </w:r>
      <w:r w:rsidR="006A236D">
        <w:rPr>
          <w:spacing w:val="-3"/>
          <w:lang w:val="en-GB"/>
        </w:rPr>
        <w:instrText>ADDIN CSL_CITATION { "citationItems" : [ { "id" : "ITEM-1", "itemData" : { "author" : [ { "dropping-particle" : "", "family" : "Price", "given" : "Philip", "non-dropping-particle" : "", "parse-names" : false, "suffix" : "" } ], "id" : "ITEM-1", "issued" : { "date-parts" : [ [ "2010" ] ] }, "title" : "Methods for analyzing electric load shape and its variability, Lawrence Berkeley National Laboratory Report LBNL-3713E", "type" : "report" }, "uris" : [ "http://www.mendeley.com/documents/?uuid=ad433fc8-55b3-41b6-825d-fb43825114ad" ] } ], "mendeley" : { "formattedCitation" : "[30]", "plainTextFormattedCitation" : "[30]", "previouslyFormattedCitation" : "[30]" }, "properties" : { "noteIndex" : 0 }, "schema" : "https://github.com/citation-style-language/schema/raw/master/csl-citation.json" }</w:instrText>
      </w:r>
      <w:r w:rsidR="00EA66B0" w:rsidRPr="0042042F">
        <w:rPr>
          <w:spacing w:val="-3"/>
          <w:lang w:val="en-GB"/>
        </w:rPr>
        <w:fldChar w:fldCharType="separate"/>
      </w:r>
      <w:r w:rsidR="0023172C" w:rsidRPr="0023172C">
        <w:rPr>
          <w:noProof/>
          <w:spacing w:val="-3"/>
          <w:lang w:val="en-GB"/>
        </w:rPr>
        <w:t>[30]</w:t>
      </w:r>
      <w:r w:rsidR="00EA66B0" w:rsidRPr="0042042F">
        <w:rPr>
          <w:spacing w:val="-3"/>
          <w:lang w:val="en-GB"/>
        </w:rPr>
        <w:fldChar w:fldCharType="end"/>
      </w:r>
      <w:r w:rsidRPr="00693599">
        <w:rPr>
          <w:spacing w:val="-3"/>
          <w:lang w:val="en-GB"/>
        </w:rPr>
        <w:t xml:space="preserve">, with the possibility to </w:t>
      </w:r>
      <w:r w:rsidR="00EF713B">
        <w:rPr>
          <w:spacing w:val="-3"/>
          <w:lang w:val="en-GB"/>
        </w:rPr>
        <w:t>analyse</w:t>
      </w:r>
      <w:r w:rsidR="00EF713B" w:rsidRPr="00693599">
        <w:rPr>
          <w:spacing w:val="-3"/>
          <w:lang w:val="en-GB"/>
        </w:rPr>
        <w:t xml:space="preserve"> </w:t>
      </w:r>
      <w:r w:rsidRPr="00693599">
        <w:rPr>
          <w:spacing w:val="-3"/>
          <w:lang w:val="en-GB"/>
        </w:rPr>
        <w:t>Demand Response events</w:t>
      </w:r>
      <w:r w:rsidR="00EA66B0">
        <w:rPr>
          <w:spacing w:val="-3"/>
          <w:lang w:val="en-GB"/>
        </w:rPr>
        <w:t xml:space="preserve"> </w:t>
      </w:r>
      <w:r w:rsidR="00EA66B0" w:rsidRPr="00A73C50">
        <w:rPr>
          <w:spacing w:val="-3"/>
          <w:lang w:val="en-GB"/>
        </w:rPr>
        <w:fldChar w:fldCharType="begin" w:fldLock="1"/>
      </w:r>
      <w:r w:rsidR="006A236D">
        <w:rPr>
          <w:spacing w:val="-3"/>
          <w:lang w:val="en-GB"/>
        </w:rPr>
        <w:instrText>ADDIN CSL_CITATION { "citationItems" : [ { "id" : "ITEM-1",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"ITEM-1", "issue" : "3", "issued" : { "date-parts" : [ [ "2011" ] ] }, "page" : "507-518", "publisher" : "IEEE", "title" : "Quantifying changes in building electricity use, with application to demand response", "type" : "article-journal", "volume" : "2" }, "uris" : [ "http://www.mendeley.com/documents/?uuid=065c5286-cb09-4ec1-90e2-194e7050c661" ] } ], "mendeley" : { "formattedCitation" : "[31]", "plainTextFormattedCitation" : "[31]", "previouslyFormattedCitation" : "[31]" }, "properties" : { "noteIndex" : 0 }, "schema" : "https://github.com/citation-style-language/schema/raw/master/csl-citation.json" }</w:instrText>
      </w:r>
      <w:r w:rsidR="00EA66B0" w:rsidRPr="00A73C50">
        <w:rPr>
          <w:spacing w:val="-3"/>
          <w:lang w:val="en-GB"/>
        </w:rPr>
        <w:fldChar w:fldCharType="separate"/>
      </w:r>
      <w:r w:rsidR="0023172C" w:rsidRPr="0023172C">
        <w:rPr>
          <w:noProof/>
          <w:spacing w:val="-3"/>
          <w:lang w:val="en-GB"/>
        </w:rPr>
        <w:t>[31]</w:t>
      </w:r>
      <w:r w:rsidR="00EA66B0" w:rsidRPr="00A73C50">
        <w:rPr>
          <w:spacing w:val="-3"/>
          <w:lang w:val="en-GB"/>
        </w:rPr>
        <w:fldChar w:fldCharType="end"/>
      </w:r>
      <w:r w:rsidRPr="00693599">
        <w:rPr>
          <w:spacing w:val="-3"/>
          <w:lang w:val="en-GB"/>
        </w:rPr>
        <w:t xml:space="preserve"> as well.</w:t>
      </w:r>
      <w:r w:rsidR="0048523A">
        <w:rPr>
          <w:spacing w:val="-3"/>
          <w:lang w:val="en-GB"/>
        </w:rPr>
        <w:t xml:space="preserve"> </w:t>
      </w:r>
    </w:p>
    <w:p w:rsidR="00B86D05" w:rsidRDefault="00FB4FFD" w:rsidP="00810926">
      <w:pPr>
        <w:jc w:val="both"/>
        <w:rPr>
          <w:lang w:val="en-GB"/>
        </w:rPr>
      </w:pPr>
      <w:proofErr w:type="gramStart"/>
      <w:r>
        <w:rPr>
          <w:spacing w:val="-3"/>
          <w:lang w:val="en-GB"/>
        </w:rPr>
        <w:t>As reported in the introduction</w:t>
      </w:r>
      <w:r w:rsidR="00FB1E1B">
        <w:rPr>
          <w:spacing w:val="-3"/>
          <w:lang w:val="en-GB"/>
        </w:rPr>
        <w:t>,</w:t>
      </w:r>
      <w:r>
        <w:rPr>
          <w:spacing w:val="-3"/>
          <w:lang w:val="en-GB"/>
        </w:rPr>
        <w:t xml:space="preserve"> weather variables such as outdoor </w:t>
      </w:r>
      <w:r w:rsidRPr="00FB4FFD">
        <w:rPr>
          <w:spacing w:val="-3"/>
          <w:lang w:val="en-GB"/>
        </w:rPr>
        <w:t xml:space="preserve">air temperature and solar radiation are essential inputs for model calibration </w:t>
      </w:r>
      <w:r w:rsidRPr="00FB4FFD">
        <w:rPr>
          <w:spacing w:val="-3"/>
          <w:lang w:val="en-GB"/>
        </w:rPr>
        <w:fldChar w:fldCharType="begin" w:fldLock="1"/>
      </w:r>
      <w:r w:rsidR="00AB065E">
        <w:rPr>
          <w:spacing w:val="-3"/>
          <w:lang w:val="en-GB"/>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"[11]", "plainTextFormattedCitation" : "[11]", "previouslyFormattedCitation" : "[11]" }, "properties" : { "noteIndex" : 0 }, "schema" : "https://github.com/citation-style-language/schema/raw/master/csl-citation.json" }</w:instrText>
      </w:r>
      <w:r w:rsidRPr="00FB4FFD">
        <w:rPr>
          <w:spacing w:val="-3"/>
          <w:lang w:val="en-GB"/>
        </w:rPr>
        <w:fldChar w:fldCharType="separate"/>
      </w:r>
      <w:r w:rsidRPr="00FB4FFD">
        <w:rPr>
          <w:noProof/>
          <w:spacing w:val="-3"/>
          <w:lang w:val="en-GB"/>
        </w:rPr>
        <w:t>[11]</w:t>
      </w:r>
      <w:r w:rsidRPr="00FB4FFD">
        <w:rPr>
          <w:spacing w:val="-3"/>
          <w:lang w:val="en-GB"/>
        </w:rPr>
        <w:fldChar w:fldCharType="end"/>
      </w:r>
      <w:r w:rsidRPr="00FB4FFD">
        <w:rPr>
          <w:spacing w:val="-3"/>
          <w:lang w:val="en-GB"/>
        </w:rPr>
        <w:t xml:space="preserve"> and an example of </w:t>
      </w:r>
      <w:r w:rsidRPr="00FB4FFD">
        <w:rPr>
          <w:lang w:val="en-GB"/>
        </w:rPr>
        <w:t xml:space="preserve">largely diffuse interpretable approach is </w:t>
      </w:r>
      <w:r w:rsidR="00FB1E1B">
        <w:rPr>
          <w:lang w:val="en-GB"/>
        </w:rPr>
        <w:t xml:space="preserve">the </w:t>
      </w:r>
      <w:r w:rsidRPr="00FB4FFD">
        <w:rPr>
          <w:lang w:val="en-GB"/>
        </w:rPr>
        <w:t xml:space="preserve">variable-based degree-days regression, originally proposed by </w:t>
      </w:r>
      <w:proofErr w:type="spellStart"/>
      <w:r w:rsidRPr="00FB4FFD">
        <w:rPr>
          <w:lang w:val="en-GB"/>
        </w:rPr>
        <w:t>Kissock</w:t>
      </w:r>
      <w:proofErr w:type="spellEnd"/>
      <w:r w:rsidRPr="00FB4FFD">
        <w:rPr>
          <w:lang w:val="en-GB"/>
        </w:rPr>
        <w:t xml:space="preserve"> et al. in the </w:t>
      </w:r>
      <w:r w:rsidRPr="00FB4FFD">
        <w:rPr>
          <w:noProof/>
          <w:lang w:val="en-GB"/>
        </w:rPr>
        <w:t>Inverse Modeling Toolkit (IMT)</w:t>
      </w:r>
      <w:r w:rsidRPr="00FB4FFD">
        <w:rPr>
          <w:lang w:val="en-GB"/>
        </w:rPr>
        <w:t xml:space="preserve"> </w:t>
      </w:r>
      <w:r w:rsidRPr="00FB4FFD">
        <w:rPr>
          <w:lang w:val="en-GB"/>
        </w:rPr>
        <w:fldChar w:fldCharType="begin" w:fldLock="1"/>
      </w:r>
      <w:r w:rsidR="006A236D">
        <w:rPr>
          <w:lang w:val="en-GB"/>
        </w:rPr>
        <w:instrText>ADDIN CSL_CITATION { "citationItems" : [ { "id" : "ITEM-1", "itemData" : { "author" : [ { "dropping-particle" : "", "family" : "Kissock", "given" : "John Kelly", "non-dropping-particle" : "", "parse-names" : false, "suffix" : "" }, { "dropping-particle" : "", "family" : "Haberl", "given" : "Jeff S", "non-dropping-particle" : "", "parse-names" : false, "suffix" : "" }, { "dropping-particle" : "", "family" : "Claridge", "given" : "David E", "non-dropping-particle" : "", "parse-names" : false, "suffix" : "" } ], "container-title" : "ASHRAE transactions", "id" : "ITEM-1", "issued" : { "date-parts" : [ [ "2003" ] ] }, "page" : "425", "publisher" : "American Society of Heating, Refrigeration and Air Conditioning Engineers, Inc.", "title" : "Inverse modeling toolkit: numerical algorithms", "type" : "article-journal", "volume" : "109" }, "uris" : [ "http://www.mendeley.com/documents/?uuid=b6985a73-e62c-428b-b513-7165228e4ed9" ] } ], "mendeley" : { "formattedCitation" : "[32]", "plainTextFormattedCitation" : "[32]", "previouslyFormattedCitation" : "[32]" }, "properties" : { "noteIndex" : 0 }, "schema" : "https://github.com/citation-style-language/schema/raw/master/csl-citation.json" }</w:instrText>
      </w:r>
      <w:r w:rsidRPr="00FB4FFD">
        <w:rPr>
          <w:lang w:val="en-GB"/>
        </w:rPr>
        <w:fldChar w:fldCharType="separate"/>
      </w:r>
      <w:r w:rsidR="0023172C" w:rsidRPr="0023172C">
        <w:rPr>
          <w:noProof/>
          <w:lang w:val="en-GB"/>
        </w:rPr>
        <w:t>[32]</w:t>
      </w:r>
      <w:r w:rsidRPr="00FB4FFD">
        <w:rPr>
          <w:lang w:val="en-GB"/>
        </w:rPr>
        <w:fldChar w:fldCharType="end"/>
      </w:r>
      <w:r w:rsidRPr="00FB4FFD">
        <w:rPr>
          <w:lang w:val="en-GB"/>
        </w:rPr>
        <w:t xml:space="preserve">, which has been included in </w:t>
      </w:r>
      <w:r w:rsidRPr="00FB4FFD">
        <w:rPr>
          <w:lang w:val="en-GB"/>
        </w:rPr>
        <w:lastRenderedPageBreak/>
        <w:t xml:space="preserve">ASHRAE 14:2014 </w:t>
      </w:r>
      <w:r w:rsidRPr="00FB4FFD">
        <w:fldChar w:fldCharType="begin" w:fldLock="1"/>
      </w:r>
      <w:r w:rsidR="006A236D">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"mendeley" : { "formattedCitation" : "[25]", "plainTextFormattedCitation" : "[25]", "previouslyFormattedCitation" : "[25]" }, "properties" : { "noteIndex" : 0 }, "schema" : "https://github.com/citation-style-language/schema/raw/master/csl-citation.json" }</w:instrText>
      </w:r>
      <w:r w:rsidRPr="00FB4FFD">
        <w:fldChar w:fldCharType="separate"/>
      </w:r>
      <w:r w:rsidR="0023172C" w:rsidRPr="0023172C">
        <w:rPr>
          <w:noProof/>
          <w:lang w:val="en-GB"/>
        </w:rPr>
        <w:t>[25]</w:t>
      </w:r>
      <w:r w:rsidRPr="00FB4FFD">
        <w:fldChar w:fldCharType="end"/>
      </w:r>
      <w:r w:rsidRPr="00FB4FFD">
        <w:rPr>
          <w:lang w:val="en-GB"/>
        </w:rPr>
        <w:t xml:space="preserve"> and has been evolving steadily with different algorithmic </w:t>
      </w:r>
      <w:r w:rsidRPr="00810926">
        <w:rPr>
          <w:lang w:val="en-GB"/>
        </w:rPr>
        <w:t xml:space="preserve">formulations </w:t>
      </w:r>
      <w:r w:rsidR="00EF713B" w:rsidRPr="00810926">
        <w:rPr>
          <w:lang w:val="en-GB"/>
        </w:rPr>
        <w:t>for</w:t>
      </w:r>
      <w:r w:rsidR="00FB1E1B" w:rsidRPr="00810926">
        <w:rPr>
          <w:lang w:val="en-GB"/>
        </w:rPr>
        <w:t xml:space="preserve"> the </w:t>
      </w:r>
      <w:r w:rsidR="00FB1E1B" w:rsidRPr="00BD2AFA">
        <w:rPr>
          <w:lang w:val="en-GB"/>
        </w:rPr>
        <w:t>a</w:t>
      </w:r>
      <w:r w:rsidR="00EF713B" w:rsidRPr="00810926">
        <w:rPr>
          <w:lang w:val="en-GB"/>
        </w:rPr>
        <w:t xml:space="preserve">utomatic the selection of the change-point model </w:t>
      </w:r>
      <w:r w:rsidR="00EF713B" w:rsidRPr="00810926">
        <w:rPr>
          <w:lang w:val="en-GB"/>
        </w:rPr>
        <w:fldChar w:fldCharType="begin" w:fldLock="1"/>
      </w:r>
      <w:r w:rsidR="006A236D">
        <w:rPr>
          <w:lang w:val="en-GB"/>
        </w:rPr>
        <w:instrText>ADDIN CSL_CITATION { "citationItems" : [ { "id" : "ITEM-1", "itemData" : { "DOI" : "https://doi.org/10.1016/j.enbuild.2014.11.033", "ISSN" : "0378-7788", "author" : [ { "dropping-particle" : "", "family" : "Paulus", "given" : "Mitchell T", "non-dropping-particle" : "", "parse-names" : false, "suffix" : "" }, { "dropping-particle" : "", "family" : "Claridge", "given" : "David E", "non-dropping-particle" : "", "parse-names" : false, "suffix" : "" }, { "dropping-particle" : "", "family" : "Culp", "given" : "Charles", "non-dropping-particle" : "", "parse-names" : false, "suffix" : "" } ], "container-title" : "Energy and Buildings", "id" : "ITEM-1", "issued" : { "date-parts" : [ [ "2015" ] ] }, "page" : "95-104", "title" : "Algorithm for automating the selection of a temperature dependent change point model", "type" : "article-journal", "volume" : "87" }, "uris" : [ "http://www.mendeley.com/documents/?uuid=486c6795-5a3f-4cf1-a75b-1aaeb5225a4e" ] } ], "mendeley" : { "formattedCitation" : "[33]", "plainTextFormattedCitation" : "[33]", "previouslyFormattedCitation" : "[33]" }, "properties" : { "noteIndex" : 0 }, "schema" : "https://github.com/citation-style-language/schema/raw/master/csl-citation.json" }</w:instrText>
      </w:r>
      <w:r w:rsidR="00EF713B" w:rsidRPr="00810926">
        <w:rPr>
          <w:lang w:val="en-GB"/>
        </w:rPr>
        <w:fldChar w:fldCharType="separate"/>
      </w:r>
      <w:r w:rsidR="0023172C" w:rsidRPr="0023172C">
        <w:rPr>
          <w:noProof/>
          <w:lang w:val="en-GB"/>
        </w:rPr>
        <w:t>[33]</w:t>
      </w:r>
      <w:r w:rsidR="00EF713B" w:rsidRPr="00810926">
        <w:rPr>
          <w:lang w:val="en-GB"/>
        </w:rPr>
        <w:fldChar w:fldCharType="end"/>
      </w:r>
      <w:r w:rsidR="00EF713B" w:rsidRPr="00810926">
        <w:rPr>
          <w:lang w:val="en-GB"/>
        </w:rPr>
        <w:t xml:space="preserve"> and explicit solution of the three-parameter (heating and base load) linear change-point model </w:t>
      </w:r>
      <w:r w:rsidR="00EF713B" w:rsidRPr="00810926">
        <w:rPr>
          <w:lang w:val="en-GB"/>
        </w:rPr>
        <w:fldChar w:fldCharType="begin" w:fldLock="1"/>
      </w:r>
      <w:r w:rsidR="006A236D">
        <w:rPr>
          <w:lang w:val="en-GB"/>
        </w:rPr>
        <w:instrText>ADDIN CSL_CITATION { "citationItems" : [ { "id" : "ITEM-1", "itemData" : { "ISSN" : "2374-4731", "author" : [ { "dropping-particle" : "", "family" : "Paulus", "given" : "Mitchell T", "non-dropping-particle" : "", "parse-names" : false, "suffix" : "" } ], "container-title" : "Science and Technology for the Built Environment", "id" : "ITEM-1", "issued" : { "date-parts" : [ [ "2017" ] ] }, "page" : "1026-1035", "title" : "Algorithm for explicit solution to the three parameter linear change-point regression model", "type" : "article-journal", "volume" : "23" }, "uris" : [ "http://www.mendeley.com/documents/?uuid=7d41469b-a765-4b0c-bf88-c282b728173a" ] } ], "mendeley" : { "formattedCitation" : "[34]", "plainTextFormattedCitation" : "[34]", "previouslyFormattedCitation" : "[34]" }, "properties" : { "noteIndex" : 0 }, "schema" : "https://github.com/citation-style-language/schema/raw/master/csl-citation.json" }</w:instrText>
      </w:r>
      <w:r w:rsidR="00EF713B" w:rsidRPr="00810926">
        <w:rPr>
          <w:lang w:val="en-GB"/>
        </w:rPr>
        <w:fldChar w:fldCharType="separate"/>
      </w:r>
      <w:r w:rsidR="0023172C" w:rsidRPr="0023172C">
        <w:rPr>
          <w:noProof/>
          <w:lang w:val="en-GB"/>
        </w:rPr>
        <w:t>[34]</w:t>
      </w:r>
      <w:r w:rsidR="00EF713B" w:rsidRPr="00810926">
        <w:rPr>
          <w:lang w:val="en-GB"/>
        </w:rPr>
        <w:fldChar w:fldCharType="end"/>
      </w:r>
      <w:r w:rsidR="00FB1E1B">
        <w:rPr>
          <w:lang w:val="en-GB"/>
        </w:rPr>
        <w:t>.</w:t>
      </w:r>
      <w:proofErr w:type="gramEnd"/>
    </w:p>
    <w:p w:rsidR="001C14EB" w:rsidRDefault="00FB4FFD" w:rsidP="00810926">
      <w:pPr>
        <w:jc w:val="both"/>
        <w:rPr>
          <w:spacing w:val="-3"/>
          <w:lang w:val="en-GB"/>
        </w:rPr>
      </w:pPr>
      <w:r>
        <w:rPr>
          <w:lang w:val="en-GB"/>
        </w:rPr>
        <w:t xml:space="preserve">The definition of </w:t>
      </w:r>
      <w:r w:rsidRPr="00346392">
        <w:rPr>
          <w:lang w:val="en-GB"/>
        </w:rPr>
        <w:t>degree-days is itself part of international</w:t>
      </w:r>
      <w:r>
        <w:rPr>
          <w:lang w:val="en-GB"/>
        </w:rPr>
        <w:t xml:space="preserve"> standardization</w:t>
      </w:r>
      <w:r w:rsidRPr="00346392">
        <w:rPr>
          <w:lang w:val="en-GB"/>
        </w:rPr>
        <w:t xml:space="preserve"> </w:t>
      </w:r>
      <w:r w:rsidRPr="00FB4FFD">
        <w:rPr>
          <w:bCs/>
          <w:lang w:val="en-GB"/>
        </w:rPr>
        <w:fldChar w:fldCharType="begin" w:fldLock="1"/>
      </w:r>
      <w:r w:rsidR="006A236D">
        <w:rPr>
          <w:bCs/>
          <w:lang w:val="en-GB"/>
        </w:rPr>
        <w:instrText>ADDIN CSL_CITATION { "citationItems" : [ { "id" : "ITEM-1", "itemData" : { "id" : "ITEM-1", "issued" : { "date-parts" : [ [ "0" ] ] }, "title" : "ISO 15927-6:2007 Hygrothermal performance of buildings \u2014 Calculation and presentation of climatic data \u2014 Part 6: Accumulated temperature differences (degree-days)", "type" : "article" }, "uris" : [ "http://www.mendeley.com/documents/?uuid=7680507c-40a2-4252-808f-38254f788d5b" ] } ], "mendeley" : { "formattedCitation" : "[35]", "plainTextFormattedCitation" : "[35]", "previouslyFormattedCitation" : "[35]" }, "properties" : { "noteIndex" : 0 }, "schema" : "https://github.com/citation-style-language/schema/raw/master/csl-citation.json" }</w:instrText>
      </w:r>
      <w:r w:rsidRPr="00FB4FFD">
        <w:rPr>
          <w:bCs/>
          <w:lang w:val="en-GB"/>
        </w:rPr>
        <w:fldChar w:fldCharType="separate"/>
      </w:r>
      <w:r w:rsidR="0023172C" w:rsidRPr="0023172C">
        <w:rPr>
          <w:bCs/>
          <w:noProof/>
          <w:lang w:val="en-GB"/>
        </w:rPr>
        <w:t>[35]</w:t>
      </w:r>
      <w:r w:rsidRPr="00FB4FFD">
        <w:rPr>
          <w:bCs/>
          <w:lang w:val="en-GB"/>
        </w:rPr>
        <w:fldChar w:fldCharType="end"/>
      </w:r>
      <w:r w:rsidRPr="00FB4FFD">
        <w:rPr>
          <w:bCs/>
          <w:lang w:val="en-GB"/>
        </w:rPr>
        <w:t>. For these reasons</w:t>
      </w:r>
      <w:r w:rsidRPr="00FB4FFD">
        <w:rPr>
          <w:lang w:val="en-GB"/>
        </w:rPr>
        <w:t>,</w:t>
      </w:r>
      <w:r>
        <w:rPr>
          <w:lang w:val="en-GB"/>
        </w:rPr>
        <w:t xml:space="preserve"> i</w:t>
      </w:r>
      <w:r w:rsidR="0048523A">
        <w:rPr>
          <w:spacing w:val="-3"/>
          <w:lang w:val="en-GB"/>
        </w:rPr>
        <w:t>nterpretable mach</w:t>
      </w:r>
      <w:r>
        <w:rPr>
          <w:spacing w:val="-3"/>
          <w:lang w:val="en-GB"/>
        </w:rPr>
        <w:t>ine-learning techniques are compatible with</w:t>
      </w:r>
      <w:r w:rsidR="0048523A">
        <w:rPr>
          <w:spacing w:val="-3"/>
          <w:lang w:val="en-GB"/>
        </w:rPr>
        <w:t xml:space="preserve"> the energy </w:t>
      </w:r>
      <w:r w:rsidR="0048523A">
        <w:rPr>
          <w:lang w:val="en-GB"/>
        </w:rPr>
        <w:t>performance analysis approach</w:t>
      </w:r>
      <w:r w:rsidR="00693599" w:rsidRPr="00693599">
        <w:rPr>
          <w:lang w:val="en-GB"/>
        </w:rPr>
        <w:t xml:space="preserve"> proposed by </w:t>
      </w:r>
      <w:r w:rsidR="00693599" w:rsidRPr="00693599">
        <w:rPr>
          <w:spacing w:val="-3"/>
          <w:lang w:val="en-GB"/>
        </w:rPr>
        <w:t xml:space="preserve">ISO 50006:2014 </w:t>
      </w:r>
      <w:r w:rsidR="00693599" w:rsidRPr="00E7781D">
        <w:rPr>
          <w:spacing w:val="-3"/>
        </w:rPr>
        <w:fldChar w:fldCharType="begin" w:fldLock="1"/>
      </w:r>
      <w:r w:rsidR="006A236D">
        <w:rPr>
          <w:spacing w:val="-3"/>
          <w:lang w:val="en-GB"/>
        </w:rPr>
        <w:instrText>ADDIN CSL_CITATION { "citationItems" : [ { "id" : "ITEM-1", "itemData" : { "id" : "ITEM-1", "issued" : { "date-parts" : [ [ "2014" ] ] }, "title" : "ISO 50006:2014, Energy management systems \u2014 Measuring energy performance using energy baselines (EnB) and energy performance indicators (EnPI) \u2014 General principles and guidance", "type" : "article" }, "uris" : [ "http://www.mendeley.com/documents/?uuid=c498e4f8-e8af-453a-94f6-d997d7a6e3ef" ] } ], "mendeley" : { "formattedCitation" : "[36]", "plainTextFormattedCitation" : "[36]", "previouslyFormattedCitation" : "[36]" }, "properties" : { "noteIndex" : 0 }, "schema" : "https://github.com/citation-style-language/schema/raw/master/csl-citation.json" }</w:instrText>
      </w:r>
      <w:r w:rsidR="00693599" w:rsidRPr="00E7781D">
        <w:rPr>
          <w:spacing w:val="-3"/>
        </w:rPr>
        <w:fldChar w:fldCharType="separate"/>
      </w:r>
      <w:r w:rsidR="0023172C" w:rsidRPr="0023172C">
        <w:rPr>
          <w:noProof/>
          <w:spacing w:val="-3"/>
          <w:lang w:val="en-GB"/>
        </w:rPr>
        <w:t>[36]</w:t>
      </w:r>
      <w:r w:rsidR="00693599" w:rsidRPr="00E7781D">
        <w:rPr>
          <w:spacing w:val="-3"/>
        </w:rPr>
        <w:fldChar w:fldCharType="end"/>
      </w:r>
      <w:r w:rsidR="0048523A">
        <w:rPr>
          <w:spacing w:val="-3"/>
          <w:lang w:val="en-GB"/>
        </w:rPr>
        <w:t xml:space="preserve"> </w:t>
      </w:r>
      <w:r w:rsidR="0048523A" w:rsidRPr="00693599">
        <w:rPr>
          <w:lang w:val="en-GB"/>
        </w:rPr>
        <w:t xml:space="preserve">and with </w:t>
      </w:r>
      <w:r w:rsidR="0048523A">
        <w:rPr>
          <w:spacing w:val="-3"/>
          <w:lang w:val="en-GB"/>
        </w:rPr>
        <w:t>energy signatures</w:t>
      </w:r>
      <w:r>
        <w:rPr>
          <w:spacing w:val="-3"/>
          <w:lang w:val="en-GB"/>
        </w:rPr>
        <w:t xml:space="preserve"> model formulation</w:t>
      </w:r>
      <w:r w:rsidR="0048523A" w:rsidRPr="00693599">
        <w:rPr>
          <w:spacing w:val="-3"/>
          <w:lang w:val="en-GB"/>
        </w:rPr>
        <w:t xml:space="preserve">, defined in ISO 16346:2013 </w:t>
      </w:r>
      <w:r w:rsidR="0048523A" w:rsidRPr="00C45E4F">
        <w:rPr>
          <w:spacing w:val="-3"/>
        </w:rPr>
        <w:fldChar w:fldCharType="begin" w:fldLock="1"/>
      </w:r>
      <w:r w:rsidR="006A236D">
        <w:rPr>
          <w:spacing w:val="-3"/>
          <w:lang w:val="en-GB"/>
        </w:rPr>
        <w:instrText>ADDIN CSL_CITATION { "citationItems" : [ { "id" : "ITEM-1", "itemData" : { "id" : "ITEM-1", "issued" : { "date-parts" : [ [ "2013" ] ] }, "title" : "ISO 16346:2013, Energy performance of buildings \u2014 Assessment of overall energy performance", "type" : "article" }, "uris" : [ "http://www.mendeley.com/documents/?uuid=9e155569-e4da-4520-89a3-b489ef29c1d4" ] } ], "mendeley" : { "formattedCitation" : "[37]", "plainTextFormattedCitation" : "[37]", "previouslyFormattedCitation" : "[37]" }, "properties" : { "noteIndex" : 0 }, "schema" : "https://github.com/citation-style-language/schema/raw/master/csl-citation.json" }</w:instrText>
      </w:r>
      <w:r w:rsidR="0048523A" w:rsidRPr="00C45E4F">
        <w:rPr>
          <w:spacing w:val="-3"/>
        </w:rPr>
        <w:fldChar w:fldCharType="separate"/>
      </w:r>
      <w:r w:rsidR="0023172C" w:rsidRPr="0023172C">
        <w:rPr>
          <w:noProof/>
          <w:spacing w:val="-3"/>
          <w:lang w:val="en-GB"/>
        </w:rPr>
        <w:t>[37]</w:t>
      </w:r>
      <w:r w:rsidR="0048523A" w:rsidRPr="00C45E4F">
        <w:rPr>
          <w:spacing w:val="-3"/>
        </w:rPr>
        <w:fldChar w:fldCharType="end"/>
      </w:r>
      <w:r>
        <w:rPr>
          <w:spacing w:val="-3"/>
          <w:lang w:val="en-GB"/>
        </w:rPr>
        <w:t xml:space="preserve">. The analysis of model outputs can be </w:t>
      </w:r>
      <w:r w:rsidR="0048523A" w:rsidRPr="0048523A">
        <w:rPr>
          <w:spacing w:val="-3"/>
          <w:lang w:val="en-GB"/>
        </w:rPr>
        <w:t>us</w:t>
      </w:r>
      <w:r>
        <w:rPr>
          <w:spacing w:val="-3"/>
          <w:lang w:val="en-GB"/>
        </w:rPr>
        <w:t xml:space="preserve">ed as a feedback </w:t>
      </w:r>
      <w:r w:rsidR="0048523A" w:rsidRPr="0048523A">
        <w:rPr>
          <w:spacing w:val="-3"/>
          <w:lang w:val="en-GB"/>
        </w:rPr>
        <w:t xml:space="preserve">in a </w:t>
      </w:r>
      <w:r w:rsidR="00693599" w:rsidRPr="00693599">
        <w:rPr>
          <w:spacing w:val="-3"/>
          <w:lang w:val="en-GB"/>
        </w:rPr>
        <w:t>continuo</w:t>
      </w:r>
      <w:r w:rsidR="0048523A">
        <w:rPr>
          <w:spacing w:val="-3"/>
          <w:lang w:val="en-GB"/>
        </w:rPr>
        <w:t>us improvement logic, as indicated in</w:t>
      </w:r>
      <w:r w:rsidR="00693599" w:rsidRPr="00693599">
        <w:rPr>
          <w:lang w:val="en-GB"/>
        </w:rPr>
        <w:t xml:space="preserve"> </w:t>
      </w:r>
      <w:r w:rsidR="00693599" w:rsidRPr="00693599">
        <w:rPr>
          <w:spacing w:val="-3"/>
          <w:lang w:val="en-GB"/>
        </w:rPr>
        <w:t xml:space="preserve">ISO 50001:2018 </w:t>
      </w:r>
      <w:r w:rsidR="00693599" w:rsidRPr="00794950">
        <w:fldChar w:fldCharType="begin" w:fldLock="1"/>
      </w:r>
      <w:r w:rsidR="006A236D">
        <w:rPr>
          <w:lang w:val="en-GB"/>
        </w:rPr>
        <w:instrText>ADDIN CSL_CITATION { "citationItems" : [ { "id" : "ITEM-1", "itemData" : { "abstract" : "stakeholder (admitted term) person or organization (3.1.1) that can affect, be affected by, or perceive itself to be affected by a decision or activitystakeholder (admitted term) person or organization (3.1.1) that can affect, be affected by, or perceive itself to be affected by a decision or activity", "id" : "ITEM-1", "issued" : { "date-parts" : [ [ "2018" ] ] }, "title" : "ISO 50001:2018, Energy management systems - Requirements with guidance for use", "type" : "article" }, "uris" : [ "http://www.mendeley.com/documents/?uuid=501498f4-3265-4fe8-96c2-d373dfbd55a1" ] } ], "mendeley" : { "formattedCitation" : "[38]", "plainTextFormattedCitation" : "[38]", "previouslyFormattedCitation" : "[38]" }, "properties" : { "noteIndex" : 0 }, "schema" : "https://github.com/citation-style-language/schema/raw/master/csl-citation.json" }</w:instrText>
      </w:r>
      <w:r w:rsidR="00693599" w:rsidRPr="00794950">
        <w:fldChar w:fldCharType="separate"/>
      </w:r>
      <w:r w:rsidR="0023172C" w:rsidRPr="0023172C">
        <w:rPr>
          <w:noProof/>
          <w:lang w:val="en-GB"/>
        </w:rPr>
        <w:t>[38]</w:t>
      </w:r>
      <w:r w:rsidR="00693599" w:rsidRPr="00794950">
        <w:fldChar w:fldCharType="end"/>
      </w:r>
      <w:r w:rsidR="00693599" w:rsidRPr="00693599">
        <w:rPr>
          <w:spacing w:val="-3"/>
          <w:lang w:val="en-GB"/>
        </w:rPr>
        <w:t xml:space="preserve">. </w:t>
      </w:r>
    </w:p>
    <w:p w:rsidR="001C14EB" w:rsidRDefault="00693599">
      <w:pPr>
        <w:jc w:val="both"/>
        <w:rPr>
          <w:spacing w:val="-3"/>
          <w:lang w:val="en-GB"/>
        </w:rPr>
      </w:pPr>
      <w:r w:rsidRPr="00693599">
        <w:rPr>
          <w:spacing w:val="-3"/>
          <w:lang w:val="en-GB"/>
        </w:rPr>
        <w:t xml:space="preserve">Energy signature </w:t>
      </w:r>
      <w:proofErr w:type="gramStart"/>
      <w:r w:rsidRPr="00693599">
        <w:rPr>
          <w:spacing w:val="-3"/>
          <w:lang w:val="en-GB"/>
        </w:rPr>
        <w:t>is obtained</w:t>
      </w:r>
      <w:proofErr w:type="gramEnd"/>
      <w:r w:rsidRPr="00693599">
        <w:rPr>
          <w:spacing w:val="-3"/>
          <w:lang w:val="en-GB"/>
        </w:rPr>
        <w:t xml:space="preserve"> by diving the energy demand with respect to the amount of operating hours in the time interval considered</w:t>
      </w:r>
      <w:r w:rsidR="00464C05">
        <w:rPr>
          <w:spacing w:val="-3"/>
          <w:lang w:val="en-GB"/>
        </w:rPr>
        <w:t xml:space="preserve"> in the analysis</w:t>
      </w:r>
      <w:r w:rsidR="0048523A">
        <w:rPr>
          <w:spacing w:val="-3"/>
          <w:lang w:val="en-GB"/>
        </w:rPr>
        <w:t xml:space="preserve">, i.e. determining an average power over </w:t>
      </w:r>
      <w:r w:rsidR="00464C05">
        <w:rPr>
          <w:spacing w:val="-3"/>
          <w:lang w:val="en-GB"/>
        </w:rPr>
        <w:t>it</w:t>
      </w:r>
      <w:r w:rsidRPr="00693599">
        <w:rPr>
          <w:spacing w:val="-3"/>
          <w:lang w:val="en-GB"/>
        </w:rPr>
        <w:t xml:space="preserve">. This data transformation presents some advantages related to the approximated physical interpretation of regression coefficient </w:t>
      </w:r>
      <w:r>
        <w:rPr>
          <w:spacing w:val="-3"/>
        </w:rPr>
        <w:fldChar w:fldCharType="begin" w:fldLock="1"/>
      </w:r>
      <w:r w:rsidR="006A236D">
        <w:rPr>
          <w:spacing w:val="-3"/>
          <w:lang w:val="en-GB"/>
        </w:rPr>
        <w:instrText>ADDIN CSL_CITATION { "citationItems" : [ { "id" : "ITEM-1", "itemData" : { "DOI" : "10.1063/1.5117027", "ISSN" : "0094-243X", "author" : [ { "dropping-particle" : "", "family" : "Manfren", "given" : "Massimiliano", "non-dropping-particle" : "", "parse-names" : false, "suffix" : "" }, { "dropping-particle" : "", "family" : "Nastasi", "given" : "Benedetto", "non-dropping-particle" : "", "parse-names" : false, "suffix" : "" } ], "container-title" : "AIP Conference Proceedings", "id" : "ITEM-1", "issue" : "1", "issued" : { "date-parts" : [ [ "2019", "7", "17" ] ] }, "note" : "doi: 10.1063/1.5117027", "page" : "20100", "publisher" : "American Institute of Physics", "title" : "From in-situ measurement to regression and time series models: An overview of trends and prospects for building performance modelling", "type" : "article-journal", "volume" : "2123" }, "uris" : [ "http://www.mendeley.com/documents/?uuid=73bcaa80-993d-4c5e-b8e2-cc92c091372a" ] } ], "mendeley" : { "formattedCitation" : "[23]", "plainTextFormattedCitation" : "[23]", "previouslyFormattedCitation" : "[23]" }, "properties" : { "noteIndex" : 0 }, "schema" : "https://github.com/citation-style-language/schema/raw/master/csl-citation.json" }</w:instrText>
      </w:r>
      <w:r>
        <w:rPr>
          <w:spacing w:val="-3"/>
        </w:rPr>
        <w:fldChar w:fldCharType="separate"/>
      </w:r>
      <w:r w:rsidR="0023172C" w:rsidRPr="0023172C">
        <w:rPr>
          <w:noProof/>
          <w:spacing w:val="-3"/>
          <w:lang w:val="en-GB"/>
        </w:rPr>
        <w:t>[23]</w:t>
      </w:r>
      <w:r>
        <w:rPr>
          <w:spacing w:val="-3"/>
        </w:rPr>
        <w:fldChar w:fldCharType="end"/>
      </w:r>
      <w:r w:rsidRPr="00693599">
        <w:rPr>
          <w:spacing w:val="-3"/>
          <w:lang w:val="en-GB"/>
        </w:rPr>
        <w:t xml:space="preserve"> and </w:t>
      </w:r>
      <w:r w:rsidR="00464C05">
        <w:rPr>
          <w:spacing w:val="-3"/>
          <w:lang w:val="en-GB"/>
        </w:rPr>
        <w:t xml:space="preserve">its </w:t>
      </w:r>
      <w:r w:rsidRPr="00693599">
        <w:rPr>
          <w:spacing w:val="-3"/>
          <w:lang w:val="en-GB"/>
        </w:rPr>
        <w:t xml:space="preserve">scalability for building stock analysis </w:t>
      </w:r>
      <w:r>
        <w:rPr>
          <w:spacing w:val="-3"/>
        </w:rPr>
        <w:fldChar w:fldCharType="begin" w:fldLock="1"/>
      </w:r>
      <w:r w:rsidR="006A236D">
        <w:rPr>
          <w:spacing w:val="-3"/>
          <w:lang w:val="en-GB"/>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Pr>
          <w:spacing w:val="-3"/>
        </w:rPr>
        <w:fldChar w:fldCharType="separate"/>
      </w:r>
      <w:r w:rsidR="0023172C" w:rsidRPr="0023172C">
        <w:rPr>
          <w:noProof/>
          <w:spacing w:val="-3"/>
          <w:lang w:val="en-GB"/>
        </w:rPr>
        <w:t>[24]</w:t>
      </w:r>
      <w:r>
        <w:rPr>
          <w:spacing w:val="-3"/>
        </w:rPr>
        <w:fldChar w:fldCharType="end"/>
      </w:r>
      <w:r w:rsidRPr="00693599">
        <w:rPr>
          <w:spacing w:val="-3"/>
          <w:lang w:val="en-GB"/>
        </w:rPr>
        <w:t>.</w:t>
      </w:r>
      <w:r w:rsidR="001C14EB">
        <w:rPr>
          <w:spacing w:val="-3"/>
          <w:lang w:val="en-GB"/>
        </w:rPr>
        <w:t xml:space="preserve"> </w:t>
      </w:r>
    </w:p>
    <w:p w:rsidR="00FB1E1B" w:rsidRDefault="00FB1E1B" w:rsidP="00810926">
      <w:pPr>
        <w:jc w:val="both"/>
        <w:rPr>
          <w:lang w:val="en-GB"/>
        </w:rPr>
      </w:pPr>
      <w:r>
        <w:rPr>
          <w:lang w:val="en-GB"/>
        </w:rPr>
        <w:t>Additionally</w:t>
      </w:r>
      <w:r w:rsidR="00921160" w:rsidRPr="00921160">
        <w:rPr>
          <w:lang w:val="en-GB"/>
        </w:rPr>
        <w:t xml:space="preserve">, the use of outdoor air temperature and solar radiation as inputs can be found in </w:t>
      </w:r>
      <w:r w:rsidR="00C60263" w:rsidRPr="00921160">
        <w:rPr>
          <w:lang w:val="en-GB"/>
        </w:rPr>
        <w:t>interpretable regression-based approaches such as</w:t>
      </w:r>
      <w:r w:rsidR="00C60263" w:rsidRPr="00921160">
        <w:rPr>
          <w:rFonts w:asciiTheme="majorBidi" w:hAnsiTheme="majorBidi" w:cstheme="majorBidi"/>
          <w:lang w:val="en-GB"/>
        </w:rPr>
        <w:t xml:space="preserve"> co-heating test </w:t>
      </w:r>
      <w:r w:rsidR="00C60263" w:rsidRPr="00921160">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"https://doi.org/10.1016/j.enbuild.2014.04.039", "ISSN" : "0378-7788", "abstract" : "Several studies have shown that the actual energy performance of buildings can differ significantly from its designed value. An important part of this performance is constituted by the building fabric's thermal performance. A common method to evaluate the latter for an actual building is the co-heating test. The co-heating test comprises a quasi-stationary heating experiment followed by linear regression analysis of aggregated building performance data. This paper reviews related research work and cristallises the current state-of-the-art. The physical phenomena working behind the scenes of the generally assumed simplified heat balance are discussed. Statistical constraints generally prevent these from being uncovered fully during the analysis. Multiple linear regression is proposed as the most sensible method to analyse co-heating measurement data. A novel way to visualise such analysis, deduce building performance data graphically and compare different co-heating test results is presented.", "author" : [ { "dropping-particle" : "", "family" : "Bauwens", "given" : "Geert", "non-dropping-particle" : "", "parse-names" : false, "suffix" : "" }, { "dropping-particle" : "", "family" : "Roels", "given" : "Staf", "non-dropping-particle" : "", "parse-names" : false, "suffix" : "" } ], "container-title" : "Energy and Buildings", "id" : "ITEM-1", "issued" : { "date-parts" : [ [ "2014" ] ] }, "page" : "163-172", "title" : "Co-heating test: A state-of-the-art", "type" : "article-journal", "volume" : "82" }, "uris" : [ "http://www.mendeley.com/documents/?uuid=03de0198-70bb-4e52-bc95-ded44d6f33de" ] } ], "mendeley" : { "formattedCitation" : "[39]", "plainTextFormattedCitation" : "[39]", "previouslyFormattedCitation" : "[39]" }, "properties" : { "noteIndex" : 0 }, "schema" : "https://github.com/citation-style-language/schema/raw/master/csl-citation.json" }</w:instrText>
      </w:r>
      <w:r w:rsidR="00C60263" w:rsidRPr="00921160">
        <w:rPr>
          <w:rFonts w:asciiTheme="majorBidi" w:hAnsiTheme="majorBidi" w:cstheme="majorBidi"/>
        </w:rPr>
        <w:fldChar w:fldCharType="separate"/>
      </w:r>
      <w:r w:rsidR="0023172C" w:rsidRPr="0023172C">
        <w:rPr>
          <w:rFonts w:asciiTheme="majorBidi" w:hAnsiTheme="majorBidi" w:cstheme="majorBidi"/>
          <w:noProof/>
          <w:lang w:val="en-GB"/>
        </w:rPr>
        <w:t>[39]</w:t>
      </w:r>
      <w:r w:rsidR="00C60263" w:rsidRPr="00921160">
        <w:rPr>
          <w:rFonts w:asciiTheme="majorBidi" w:hAnsiTheme="majorBidi" w:cstheme="majorBidi"/>
        </w:rPr>
        <w:fldChar w:fldCharType="end"/>
      </w:r>
      <w:r w:rsidRPr="00BD2AFA">
        <w:rPr>
          <w:rFonts w:asciiTheme="majorBidi" w:hAnsiTheme="majorBidi" w:cstheme="majorBidi"/>
          <w:lang w:val="en-GB"/>
        </w:rPr>
        <w:t xml:space="preserve"> as well</w:t>
      </w:r>
      <w:r w:rsidR="00921160" w:rsidRPr="00921160">
        <w:rPr>
          <w:rFonts w:asciiTheme="majorBidi" w:hAnsiTheme="majorBidi" w:cstheme="majorBidi"/>
          <w:lang w:val="en-GB"/>
        </w:rPr>
        <w:t>.</w:t>
      </w:r>
      <w:r w:rsidR="00921160">
        <w:rPr>
          <w:rFonts w:asciiTheme="majorBidi" w:hAnsiTheme="majorBidi" w:cstheme="majorBidi"/>
          <w:lang w:val="en-GB"/>
        </w:rPr>
        <w:t xml:space="preserve"> Co-heating test is </w:t>
      </w:r>
      <w:r w:rsidR="00C60263" w:rsidRPr="00921160">
        <w:rPr>
          <w:lang w:val="en-GB"/>
        </w:rPr>
        <w:t>based on building zone</w:t>
      </w:r>
      <w:r w:rsidR="00FB4FFD">
        <w:rPr>
          <w:lang w:val="en-GB"/>
        </w:rPr>
        <w:t xml:space="preserve"> thermal balance approximation and</w:t>
      </w:r>
      <w:r w:rsidR="001849DA">
        <w:rPr>
          <w:lang w:val="en-GB"/>
        </w:rPr>
        <w:t xml:space="preserve"> </w:t>
      </w:r>
      <w:r w:rsidR="00C60263" w:rsidRPr="00921160">
        <w:rPr>
          <w:lang w:val="en-GB"/>
        </w:rPr>
        <w:t xml:space="preserve">can be used to provide reliable evidence on the actual performance of building fabric </w:t>
      </w:r>
      <w:r w:rsidR="00C60263" w:rsidRPr="00921160">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"10.1080/09613218.2017.1299523", "ISSN" : "0961-3218", "author" : [ { "dropping-particle" : "", "family" : "Jack", "given" : "Richard", "non-dropping-particle" : "", "parse-names" : false, "suffix" : "" }, { "dropping-particle" : "", "family" : "Loveday", "given" : "Dennis", "non-dropping-particle" : "", "parse-names" : false, "suffix" : "" }, { "dropping-particle" : "", "family" : "Allinson", "given" : "David", "non-dropping-particle" : "", "parse-names" : false, "suffix" : "" }, { "dropping-particle" : "", "family" : "Lomas", "given" : "Kevin", "non-dropping-particle" : "", "parse-names" : false, "suffix" : "" } ], "container-title" : "Building Research &amp; Information", "id" : "ITEM-1", "issue" : "4", "issued" : { "date-parts" : [ [ "2018", "5", "19" ] ] }, "note" : "doi: 10.1080/09613218.2017.1299523", "page" : "383-401", "publisher" : "Routledge", "title" : "First evidence for the reliability of building co-heating tests", "type" : "article-journal", "volume" : "46" }, "uris" : [ "http://www.mendeley.com/documents/?uuid=e6cabfc0-9b50-425f-b280-4aef7cb2cc48" ] } ], "mendeley" : { "formattedCitation" : "[40]", "plainTextFormattedCitation" : "[40]", "previouslyFormattedCitation" : "[40]" }, "properties" : { "noteIndex" : 0 }, "schema" : "https://github.com/citation-style-language/schema/raw/master/csl-citation.json" }</w:instrText>
      </w:r>
      <w:r w:rsidR="00C60263" w:rsidRPr="00921160">
        <w:rPr>
          <w:rFonts w:asciiTheme="majorBidi" w:hAnsiTheme="majorBidi" w:cstheme="majorBidi"/>
        </w:rPr>
        <w:fldChar w:fldCharType="separate"/>
      </w:r>
      <w:r w:rsidR="0023172C" w:rsidRPr="0023172C">
        <w:rPr>
          <w:rFonts w:asciiTheme="majorBidi" w:hAnsiTheme="majorBidi" w:cstheme="majorBidi"/>
          <w:noProof/>
          <w:lang w:val="en-GB"/>
        </w:rPr>
        <w:t>[40]</w:t>
      </w:r>
      <w:r w:rsidR="00C60263" w:rsidRPr="00921160">
        <w:rPr>
          <w:rFonts w:asciiTheme="majorBidi" w:hAnsiTheme="majorBidi" w:cstheme="majorBidi"/>
        </w:rPr>
        <w:fldChar w:fldCharType="end"/>
      </w:r>
      <w:r w:rsidR="00C60263" w:rsidRPr="00921160">
        <w:rPr>
          <w:rFonts w:asciiTheme="majorBidi" w:hAnsiTheme="majorBidi" w:cstheme="majorBidi"/>
          <w:lang w:val="en-GB"/>
        </w:rPr>
        <w:t xml:space="preserve">. </w:t>
      </w:r>
      <w:r w:rsidR="00921160" w:rsidRPr="00921160">
        <w:rPr>
          <w:lang w:val="en-GB"/>
        </w:rPr>
        <w:t xml:space="preserve">Clearly, the uncertainty impact determined by unmonitored energy sources and sinks </w:t>
      </w:r>
      <w:r w:rsidR="00921160" w:rsidRPr="00921160">
        <w:rPr>
          <w:rFonts w:asciiTheme="majorBidi" w:hAnsiTheme="majorBidi" w:cstheme="majorBidi"/>
        </w:rPr>
        <w:fldChar w:fldCharType="begin" w:fldLock="1"/>
      </w:r>
      <w:r w:rsidR="006A236D">
        <w:rPr>
          <w:rFonts w:asciiTheme="majorBidi" w:hAnsiTheme="majorBidi" w:cstheme="majorBidi"/>
          <w:lang w:val="en-GB"/>
        </w:rPr>
        <w:instrText>ADDIN CSL_CITATION { "citationItems" : [ { "id" : "ITEM-1", "itemData" : { "DOI" : "10.1108/IJBPA-02-2019-0022", "ISSN" : "2398-4708", "abstract" : "Purpose The purpose of this paper is to identify the impact of traditionally unmonitored energy sources and sinks on assessment of the as-built thermal performance of occupied homes. The analysis aims to demonstrate the potential scale of uncertainties introduced in a heat balance estimation of the heat transfer coefficient (HTC) when using in-use monitored data. Design/methodology/approach Energy flows for two UK homes \u2013 one a 1930s dwelling with high heat loss, the second a higher-performing 2014-built home \u2013 are predicted using the UK Government\u2019s standard assessment procedure (SAP) and visualised using Sankey diagrams. Selected modelled energy flows are used as inputs in a quasi-steady state heat balance to calculate in-use HTCs as if from measured data sets gathered in occupied homes. The estimated in-use HTCs are compared against SAP-calculated values to illustrate the impact of including or omitting various heat sources and sinks. Findings The results demonstrate that for dwellings with low heat loss, the increased proportion of heating demand met by unmetered internal and solar gains informs a greater sensitivity of a heat balance estimation of the HTC to their omission. While simple quasi-steady state heat balance methods may be appropriate for dwellings with very high heat loss, alternative approaches are likely to be required for those with lower heat loss. Originality/value A need to understand the impacts of unmetered heat flows on the accuracy with which a building\u2019s thermal performance may be inferred from in-use monitored data is identified: this paper illustrates the scale of these impacts for two homes at opposite ends of the energy performance scale.", "author" : [ { "dropping-particle" : "", "family" : "Li", "given" : "Matthew", "non-dropping-particle" : "", "parse-names" : false, "suffix" : "" }, { "dropping-particle" : "", "family" : "Allinson", "given" : "David", "non-dropping-particle" : "", "parse-names" : false, "suffix" : "" }, { "dropping-particle" : "", "family" : "Lomas", "given" : "Kevin", "non-dropping-particle" : "", "parse-names" : false, "suffix" : "" } ], "container-title" : "International Journal of Building Pathology and Adaptation", "id" : "ITEM-1", "issue" : "1", "issued" : { "date-parts" : [ [ "2020", "1", "1" ] ] }, "page" : "38-50", "publisher" : "Emerald Publishing Limited", "title" : "Estimation of building heat transfer coefficients from in-use data", "type" : "article-journal", "volume" : "38" }, "uris" : [ "http://www.mendeley.com/documents/?uuid=fa47ccdd-c973-44aa-8efc-8b016624a223" ] } ], "mendeley" : { "formattedCitation" : "[41]", "plainTextFormattedCitation" : "[41]", "previouslyFormattedCitation" : "[41]" }, "properties" : { "noteIndex" : 0 }, "schema" : "https://github.com/citation-style-language/schema/raw/master/csl-citation.json" }</w:instrText>
      </w:r>
      <w:r w:rsidR="00921160" w:rsidRPr="00921160">
        <w:rPr>
          <w:rFonts w:asciiTheme="majorBidi" w:hAnsiTheme="majorBidi" w:cstheme="majorBidi"/>
        </w:rPr>
        <w:fldChar w:fldCharType="separate"/>
      </w:r>
      <w:r w:rsidR="0023172C" w:rsidRPr="0023172C">
        <w:rPr>
          <w:rFonts w:asciiTheme="majorBidi" w:hAnsiTheme="majorBidi" w:cstheme="majorBidi"/>
          <w:noProof/>
          <w:lang w:val="en-GB"/>
        </w:rPr>
        <w:t>[41]</w:t>
      </w:r>
      <w:r w:rsidR="00921160" w:rsidRPr="00921160">
        <w:rPr>
          <w:rFonts w:asciiTheme="majorBidi" w:hAnsiTheme="majorBidi" w:cstheme="majorBidi"/>
        </w:rPr>
        <w:fldChar w:fldCharType="end"/>
      </w:r>
      <w:r w:rsidR="00921160" w:rsidRPr="00921160">
        <w:rPr>
          <w:lang w:val="en-GB"/>
        </w:rPr>
        <w:t xml:space="preserve"> must be considered in order to enable the correct quantification of thermo-physical properties (due to the use of energy balance as the underlying principle)</w:t>
      </w:r>
      <w:r>
        <w:rPr>
          <w:lang w:val="en-GB"/>
        </w:rPr>
        <w:t>, within the general problem of energy balance decomposition</w:t>
      </w:r>
      <w:r w:rsidR="00921160" w:rsidRPr="00921160">
        <w:rPr>
          <w:lang w:val="en-GB"/>
        </w:rPr>
        <w:t>.</w:t>
      </w:r>
    </w:p>
    <w:p w:rsidR="0022783D" w:rsidRDefault="00EA66B0">
      <w:pPr>
        <w:jc w:val="both"/>
        <w:rPr>
          <w:lang w:val="en-GB"/>
        </w:rPr>
      </w:pPr>
      <w:r>
        <w:rPr>
          <w:lang w:val="en-GB"/>
        </w:rPr>
        <w:t>In this respect, i</w:t>
      </w:r>
      <w:r w:rsidR="002F31CA" w:rsidRPr="00810926">
        <w:rPr>
          <w:lang w:val="en-GB"/>
        </w:rPr>
        <w:t xml:space="preserve">t is possible to find examples of building energy balance decomposition using regression-based approaches </w:t>
      </w:r>
      <w:r w:rsidR="002F31CA" w:rsidRPr="00F91C11">
        <w:rPr>
          <w:lang w:val="en-GB"/>
        </w:rPr>
        <w:t xml:space="preserve">in research </w:t>
      </w:r>
      <w:r>
        <w:rPr>
          <w:lang w:val="en-GB"/>
        </w:rPr>
        <w:t>studies</w:t>
      </w:r>
      <w:r w:rsidR="002F31CA" w:rsidRPr="00F91C11">
        <w:rPr>
          <w:lang w:val="en-GB"/>
        </w:rPr>
        <w:t xml:space="preserve"> focused on </w:t>
      </w:r>
      <w:r w:rsidR="002F31CA" w:rsidRPr="00BD2AFA">
        <w:rPr>
          <w:lang w:val="en-GB"/>
        </w:rPr>
        <w:t xml:space="preserve">multi-scale analysis of thermo-physical properties of </w:t>
      </w:r>
      <w:r>
        <w:rPr>
          <w:lang w:val="en-GB"/>
        </w:rPr>
        <w:t>buildings</w:t>
      </w:r>
      <w:r w:rsidR="002F31CA" w:rsidRPr="00BD2AFA">
        <w:rPr>
          <w:lang w:val="en-GB"/>
        </w:rPr>
        <w:t xml:space="preserve"> </w:t>
      </w:r>
      <w:r w:rsidR="002F31CA" w:rsidRPr="00BD2AFA">
        <w:rPr>
          <w:lang w:val="en-GB"/>
        </w:rPr>
        <w:fldChar w:fldCharType="begin" w:fldLock="1"/>
      </w:r>
      <w:r w:rsidR="006A236D">
        <w:rPr>
          <w:lang w:val="en-GB"/>
        </w:rPr>
        <w:instrText>ADDIN CSL_CITATION { "citationItems" : [ { "id" : "ITEM-1", "itemData" : { "DOI" : "https://doi.org/10.1016/j.scs.2015.11.003", "ISSN" : "2210-6707", "abstract" : "The sustainability of the built environment largely depends on its energy and environmental performances. The overall objective, across the different phases of the building life cycle, is to improve building and system performances in terms of economics, comfort, environmental impact and durability. Several modelling methodologies have been developed in order to evaluate the energy performance of buildings. Generally, every modelling methodology responds effectively to some specific tasks, but there exists a lack of integration in particular with respect to the cross-disciplinary role of data. Given the multi-scale and multi-objective nature of the problem of optimization of the energy and environmental performances of the built environment, an appropriate synthesis and integration process in modelling methodologies has to be identified, addressing realistically the uncertainties inherently present in modelling strategies. Visualization and data analysis techniques are successfully used in a wide variety of applications, both in theoretical and applied domains, but questions remains about their robustness, efficiency and applicability to the problems introduced before. The paper aims to analyze critically these topics by means of case studies, showing a possible path to create a multi-scale methodology able to synthesize all the relevant aspects.", "author" : [ { "dropping-particle" : "", "family" : "Tronchin", "given" : "Lamberto", "non-dropping-particle" : "", "parse-names" : false, "suffix" : "" }, { "dropping-particle" : "", "family" : "Manfren", "given" : "Massimiliano", "non-dropping-particle" : "", "parse-names" : false, "suffix" : "" }, { "dropping-particle" : "", "family" : "Tagliabue", "given" : "Lavinia Chiara", "non-dropping-particle" : "", "parse-names" : false, "suffix" : "" } ], "container-title" : "Sustainable Cities and Society", "id" : "ITEM-1", "issued" : { "date-parts" : [ [ "2016" ] ] }, "page" : "296-306", "title" : "Optimization of building energy performance by means of multi-scale analysis \u2013 Lessons learned from case studies", "type" : "article-journal", "volume" : "27" }, "uris" : [ "http://www.mendeley.com/documents/?uuid=b678e108-5bc9-4840-ad98-4b9d6278b14b" ] } ], "mendeley" : { "formattedCitation" : "[42]", "plainTextFormattedCitation" : "[42]", "previouslyFormattedCitation" : "[42]" }, "properties" : { "noteIndex" : 0 }, "schema" : "https://github.com/citation-style-language/schema/raw/master/csl-citation.json" }</w:instrText>
      </w:r>
      <w:r w:rsidR="002F31CA" w:rsidRPr="00BD2AFA">
        <w:rPr>
          <w:lang w:val="en-GB"/>
        </w:rPr>
        <w:fldChar w:fldCharType="separate"/>
      </w:r>
      <w:r w:rsidR="0023172C" w:rsidRPr="0023172C">
        <w:rPr>
          <w:noProof/>
          <w:lang w:val="en-GB"/>
        </w:rPr>
        <w:t>[42]</w:t>
      </w:r>
      <w:r w:rsidR="002F31CA" w:rsidRPr="00BD2AFA">
        <w:rPr>
          <w:lang w:val="en-GB"/>
        </w:rPr>
        <w:fldChar w:fldCharType="end"/>
      </w:r>
      <w:r w:rsidR="002F31CA" w:rsidRPr="00810926">
        <w:rPr>
          <w:lang w:val="en-GB"/>
        </w:rPr>
        <w:t xml:space="preserve">, robust energy model calibration </w:t>
      </w:r>
      <w:r w:rsidR="002F31CA" w:rsidRPr="00810926">
        <w:rPr>
          <w:lang w:val="en-GB"/>
        </w:rPr>
        <w:fldChar w:fldCharType="begin" w:fldLock="1"/>
      </w:r>
      <w:r w:rsidR="006A236D">
        <w:rPr>
          <w:lang w:val="en-GB"/>
        </w:rPr>
        <w:instrText>ADDIN CSL_CITATION { "citationItems" : [ { "id" : "ITEM-1", "itemData" : { "DOI" : "https://doi.org/10.1016/j.enbuild.2014.06.035", "ISSN" : "0378-7788", "abstract" : "An approach, able to easily and effectively integrate field measured data in whole building energy simulation (BES) models is crucial to increase simulation accuracy for existing buildings. In this paper, the robustness of a linear regression method for extracting transmission losses above ground (including air leakage) and ground heat loss parameters are analyzed. The regression method is evaluated on two documented and monitored multifamily buildings with mechanical supply and exhaust ventilation systems, with and without heat recovery. The obtained results are found to be robust, with variations less than 2% in the extracted estimates of transmission losses above ground (including air leakage) and with a high goodness of fit (R2&gt;0.96) against measured data from two years. In addition, the estimations of the buildings ground heat loss were in good agreement with calculations in accordance with EN ISO 13370:2007. The high quality output from the used regression method serves as good prerequisites for the method to be used in conjunction with BES models to aid the analyst in a BES calibration process.", "author" : [ { "dropping-particle" : "", "family" : "Vesterberg", "given" : "Jimmy", "non-dropping-particle" : "", "parse-names" : false, "suffix" : "" }, { "dropping-particle" : "", "family" : "Andersson", "given" : "Staffan", "non-dropping-particle" : "", "parse-names" : false, "suffix" : "" }, { "dropping-particle" : "", "family" : "Olofsson", "given" : "Thomas", "non-dropping-particle" : "", "parse-names" : false, "suffix" : "" } ], "container-title" : "Energy and Buildings", "id" : "ITEM-1", "issued" : { "date-parts" : [ [ "2014" ] ] }, "page" : "430-434", "title" : "Robustness of a regression approach, aimed for calibration of whole building energy simulation tools", "type" : "article-journal", "volume" : "81" }, "uris" : [ "http://www.mendeley.com/documents/?uuid=5e9b90db-76fb-4003-b49e-7c86c9aafa43" ] } ], "mendeley" : { "formattedCitation" : "[43]", "plainTextFormattedCitation" : "[43]", "previouslyFormattedCitation" : "[43]" }, "properties" : { "noteIndex" : 0 }, "schema" : "https://github.com/citation-style-language/schema/raw/master/csl-citation.json" }</w:instrText>
      </w:r>
      <w:r w:rsidR="002F31CA" w:rsidRPr="00810926">
        <w:rPr>
          <w:lang w:val="en-GB"/>
        </w:rPr>
        <w:fldChar w:fldCharType="separate"/>
      </w:r>
      <w:r w:rsidR="0023172C" w:rsidRPr="0023172C">
        <w:rPr>
          <w:noProof/>
          <w:lang w:val="en-GB"/>
        </w:rPr>
        <w:t>[43]</w:t>
      </w:r>
      <w:r w:rsidR="002F31CA" w:rsidRPr="00810926">
        <w:rPr>
          <w:lang w:val="en-GB"/>
        </w:rPr>
        <w:fldChar w:fldCharType="end"/>
      </w:r>
      <w:r w:rsidR="002F31CA" w:rsidRPr="00810926">
        <w:rPr>
          <w:lang w:val="en-GB"/>
        </w:rPr>
        <w:t xml:space="preserve"> and energy analytics for building decarbonisation </w:t>
      </w:r>
      <w:r w:rsidR="002F31CA" w:rsidRPr="00BD2AFA">
        <w:rPr>
          <w:lang w:val="en-GB"/>
        </w:rPr>
        <w:fldChar w:fldCharType="begin" w:fldLock="1"/>
      </w:r>
      <w:r w:rsidR="006A236D">
        <w:rPr>
          <w:lang w:val="en-GB"/>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sidR="002F31CA" w:rsidRPr="00BD2AFA">
        <w:rPr>
          <w:lang w:val="en-GB"/>
        </w:rPr>
        <w:fldChar w:fldCharType="separate"/>
      </w:r>
      <w:r w:rsidR="0023172C" w:rsidRPr="0023172C">
        <w:rPr>
          <w:noProof/>
          <w:lang w:val="en-GB"/>
        </w:rPr>
        <w:t>[24]</w:t>
      </w:r>
      <w:r w:rsidR="002F31CA" w:rsidRPr="00BD2AFA">
        <w:rPr>
          <w:lang w:val="en-GB"/>
        </w:rPr>
        <w:fldChar w:fldCharType="end"/>
      </w:r>
      <w:r w:rsidR="002F31CA" w:rsidRPr="00810926">
        <w:rPr>
          <w:lang w:val="en-GB"/>
        </w:rPr>
        <w:t>.</w:t>
      </w:r>
      <w:r w:rsidR="00F91C11" w:rsidRPr="00810926">
        <w:rPr>
          <w:lang w:val="en-GB"/>
        </w:rPr>
        <w:t xml:space="preserve"> All these regression-based approaches can be complemented by the use of </w:t>
      </w:r>
      <w:r w:rsidR="00F91C11" w:rsidRPr="00BD2AFA">
        <w:rPr>
          <w:spacing w:val="-3"/>
          <w:lang w:val="en-GB"/>
        </w:rPr>
        <w:t>Statistical Process Control (SPC) techniques</w:t>
      </w:r>
      <w:r w:rsidR="00F91C11" w:rsidRPr="00810926">
        <w:rPr>
          <w:spacing w:val="-3"/>
          <w:lang w:val="en-GB"/>
        </w:rPr>
        <w:t xml:space="preserve"> </w:t>
      </w:r>
      <w:r w:rsidR="00F91C11" w:rsidRPr="00BD2AFA">
        <w:rPr>
          <w:spacing w:val="-3"/>
          <w:lang w:val="en-GB"/>
        </w:rPr>
        <w:fldChar w:fldCharType="begin" w:fldLock="1"/>
      </w:r>
      <w:r w:rsidR="006A236D">
        <w:rPr>
          <w:spacing w:val="-3"/>
          <w:lang w:val="en-GB"/>
        </w:rPr>
        <w:instrText>ADDIN CSL_CITATION { "citationItems" : [ { "id" : "ITEM-1", "itemData" : { "DOI" : "https://doi.org/10.1016/j.enbuild.2013.05.002", "ISSN" : "0378-7788", "abstract" : "A statistical process control based system and scheme for monitoring, assessment and tracking of energy consumption is presented. The proposed strategy is set up using a Multichannel Structure to model and estimate statistics profile (average and uncertainty) of the energy consumption of a building during a predetermined cycle, e.g. a week period. These statistics profile is analyzed with statistical process control (SPC) techniques for signaling alarms or reporting interpreted faults of unpredicted or unusual behavior of energy demand. Identification of deviations from predicted or programed consumption profiles modeled by a Multichannel Structure are shown to be easily designed, tuned and implemented with low computation demand of memory and processing speed. Simulated results illustrate the Multichannel Structure programing and parameters tuning. Experimental results are presented to exemplify the proposed strategy.", "author" : [ { "dropping-particle" : "", "family" : "Braga", "given" : "L C", "non-dropping-particle" : "", "parse-names" : false, "suffix" : "" }, { "dropping-particle" : "", "family" : "Braga", "given" : "A R", "non-dropping-particle" : "", "parse-names" : false, "suffix" : "" }, { "dropping-particle" : "", "family" : "Braga", "given" : "C M P", "non-dropping-particle" : "", "parse-names" : false, "suffix" : "" } ], "container-title" : "Energy and Buildings", "id" : "ITEM-1", "issued" : { "date-parts" : [ [ "2013" ] ] }, "page" : "205-219", "title" : "On the characterization and monitoring of building energy demand using statistical process control methodologies", "type" : "article-journal", "volume" : "65" }, "uris" : [ "http://www.mendeley.com/documents/?uuid=1b90a75e-b5c6-4466-8338-440dfc54ad17" ] } ], "mendeley" : { "formattedCitation" : "[44]", "plainTextFormattedCitation" : "[44]", "previouslyFormattedCitation" : "[44]" }, "properties" : { "noteIndex" : 0 }, "schema" : "https://github.com/citation-style-language/schema/raw/master/csl-citation.json" }</w:instrText>
      </w:r>
      <w:r w:rsidR="00F91C11" w:rsidRPr="00BD2AFA">
        <w:rPr>
          <w:spacing w:val="-3"/>
          <w:lang w:val="en-GB"/>
        </w:rPr>
        <w:fldChar w:fldCharType="separate"/>
      </w:r>
      <w:r w:rsidR="0023172C" w:rsidRPr="0023172C">
        <w:rPr>
          <w:noProof/>
          <w:spacing w:val="-3"/>
          <w:lang w:val="en-GB"/>
        </w:rPr>
        <w:t>[44]</w:t>
      </w:r>
      <w:r w:rsidR="00F91C11" w:rsidRPr="00BD2AFA">
        <w:rPr>
          <w:spacing w:val="-3"/>
          <w:lang w:val="en-GB"/>
        </w:rPr>
        <w:fldChar w:fldCharType="end"/>
      </w:r>
      <w:r w:rsidR="00F91C11" w:rsidRPr="00810926">
        <w:rPr>
          <w:spacing w:val="-3"/>
          <w:lang w:val="en-GB"/>
        </w:rPr>
        <w:t xml:space="preserve"> for the graphical identification of performance anomalies </w:t>
      </w:r>
      <w:r w:rsidR="00F91C11" w:rsidRPr="00BD2AFA">
        <w:rPr>
          <w:spacing w:val="-3"/>
          <w:lang w:val="en-GB"/>
        </w:rPr>
        <w:fldChar w:fldCharType="begin" w:fldLock="1"/>
      </w:r>
      <w:r w:rsidR="006A236D">
        <w:rPr>
          <w:spacing w:val="-3"/>
          <w:lang w:val="en-GB"/>
        </w:rPr>
        <w:instrText>ADDIN CSL_CITATION { "citationItems" : [ { "id" : "ITEM-1", "itemData" : { "DOI" : "10.3390/math8010058", "ISBN" : "2227-7390", "abstract" : "This study proposes a control chart based on functional data to detect anomalies and estimate the normal output of industrial processes and services such as those related to the energy efficiency domain. Companies providing statistical consultancy services in the fields of energy efficiency; heating, ventilation and air conditioning (HVAC); installation and control; and big data for buildings, have been striving to solve the problem of automatic anomaly detection in buildings controlled by sensors. Given the functional nature of the critical to quality (CTQ) variables, this study proposed a new functional data analysis (FDA) control chart method based on the concept of data depth. Specifically, it developed a control methodology, including the Phase I and II control charts. It is based on the calculation of the depth of functional data, the identification of outliers by smooth bootstrap resampling and the customization of nonparametric rank control charts. A comprehensive simulation study, comprising scenarios defined with different degrees of dependence between curves, was conducted to evaluate the control procedure. The proposed statistical process control procedure was also applied to detect energy efficiency anomalies in the stores of a textile company in the Panama City. In this case, energy consumption has been defined as the CTQ variable of the HVAC system. Briefly, the proposed methodology, which combines FDA and multivariate techniques, adapts the concept of the control chart based on a specific case of functional data and thereby presents a novel alternative for controlling facilities in which the data are obtained by continuous monitoring, as is the case with a great deal of process in the framework of Industry 4.0.", "author" : [ { "dropping-particle" : "", "family" : "Flores", "given" : "Miguel", "non-dropping-particle" : "", "parse-names" : false, "suffix" : "" }, { "dropping-particle" : "", "family" : "Naya", "given" : "Salvador", "non-dropping-particle" : "", "parse-names" : false, "suffix" : "" }, { "dropping-particle" : "", "family" : "Fern\u00e1ndez-Casal", "given" : "Rub\u00e9n", "non-dropping-particle" : "", "parse-names" : false, "suffix" : "" }, { "dropping-particle" : "", "family" : "Zaragoza", "given" : "Sonia", "non-dropping-particle" : "", "parse-names" : false, "suffix" : "" }, { "dropping-particle" : "", "family" : "Ra\u00f1a", "given" : "Paula", "non-dropping-particle" : "", "parse-names" : false, "suffix" : "" }, { "dropping-particle" : "", "family" : "Tarr\u00edo-Saavedra", "given" : "Javier", "non-dropping-particle" : "", "parse-names" : false, "suffix" : "" } ], "container-title" : "Mathematics ", "id" : "ITEM-1", "issue" : "1", "issued" : { "date-parts" : [ [ "2020" ] ] }, "title" : "Constructing a Control Chart Using Functional Data", "type" : "article", "volume" : "8" }, "uris" : [ "http://www.mendeley.com/documents/?uuid=f1caaa6d-c0e8-4571-9177-2dd02d1ddc9a" ] } ], "mendeley" : { "formattedCitation" : "[45]", "plainTextFormattedCitation" : "[45]", "previouslyFormattedCitation" : "[45]" }, "properties" : { "noteIndex" : 0 }, "schema" : "https://github.com/citation-style-language/schema/raw/master/csl-citation.json" }</w:instrText>
      </w:r>
      <w:r w:rsidR="00F91C11" w:rsidRPr="00BD2AFA">
        <w:rPr>
          <w:spacing w:val="-3"/>
          <w:lang w:val="en-GB"/>
        </w:rPr>
        <w:fldChar w:fldCharType="separate"/>
      </w:r>
      <w:r w:rsidR="0023172C" w:rsidRPr="0023172C">
        <w:rPr>
          <w:noProof/>
          <w:spacing w:val="-3"/>
          <w:lang w:val="en-GB"/>
        </w:rPr>
        <w:t>[45]</w:t>
      </w:r>
      <w:r w:rsidR="00F91C11" w:rsidRPr="00BD2AFA">
        <w:rPr>
          <w:spacing w:val="-3"/>
          <w:lang w:val="en-GB"/>
        </w:rPr>
        <w:fldChar w:fldCharType="end"/>
      </w:r>
      <w:r>
        <w:rPr>
          <w:spacing w:val="-3"/>
          <w:lang w:val="en-GB"/>
        </w:rPr>
        <w:t xml:space="preserve">, coherently with the indications of </w:t>
      </w:r>
      <w:r w:rsidRPr="00693599">
        <w:rPr>
          <w:spacing w:val="-3"/>
          <w:lang w:val="en-GB"/>
        </w:rPr>
        <w:t>ISO 50006:2014</w:t>
      </w:r>
      <w:r>
        <w:rPr>
          <w:spacing w:val="-3"/>
          <w:lang w:val="en-GB"/>
        </w:rPr>
        <w:t xml:space="preserve"> </w:t>
      </w:r>
      <w:r>
        <w:rPr>
          <w:spacing w:val="-3"/>
          <w:lang w:val="en-GB"/>
        </w:rPr>
        <w:fldChar w:fldCharType="begin" w:fldLock="1"/>
      </w:r>
      <w:r w:rsidR="006A236D">
        <w:rPr>
          <w:spacing w:val="-3"/>
          <w:lang w:val="en-GB"/>
        </w:rPr>
        <w:instrText>ADDIN CSL_CITATION { "citationItems" : [ { "id" : "ITEM-1", "itemData" : { "DOI" : "https://doi.org/10.1016/j.dibe.2020.100024", "ISSN" : "2666-1659", "abstract" : "The International Standards ISO 50001 and ISO 50006 can be easily transferred to organizations, which outputs consist of tangible products. However, it is equally important to build an energy management system tailored to public organizations, whose outputs are often immaterial goods and in which buildings highly affect the overall energy performances. Commonly, energy performances of buildings are assessed by comparison with sector-based benchmarks, whilst monitoring and control practises are often overlooked. Under these premises, this paper aims at proposing a common framework for an energy management system tailored to public organizations in which buildings play a pivotal role in targeting energy performance improvement. The proposed energy management system also relies on the effective exploitation of monitoring and control tools to promptly identify deviations from the expected energy performance values and to evaluate improvements over time.", "author" : [ { "dropping-particle" : "", "family" : "Fichera", "given" : "Alberto", "non-dropping-particle" : "", "parse-names" : false, "suffix" : "" }, { "dropping-particle" : "", "family" : "Volpe", "given" : "Rosaria", "non-dropping-particle" : "", "parse-names" : false, "suffix" : "" }, { "dropping-particle" : "", "family" : "Cutore", "given" : "Emanuele", "non-dropping-particle" : "", "parse-names" : false, "suffix" : "" } ], "container-title" : "Developments in the Built Environment", "id" : "ITEM-1", "issued" : { "date-parts" : [ [ "2020" ] ] }, "page" : "100024", "title" : "Energy performance measurement, monitoring and control for buildings of public organizations: Standardized practises compliant with the ISO 50001 and ISO 50006", "type" : "article-journal", "volume" : "4" }, "uris" : [ "http://www.mendeley.com/documents/?uuid=12709b6d-bec1-42e1-99f2-f34ab6637248" ] } ], "mendeley" : { "formattedCitation" : "[46]", "plainTextFormattedCitation" : "[46]", "previouslyFormattedCitation" : "[46]" }, "properties" : { "noteIndex" : 0 }, "schema" : "https://github.com/citation-style-language/schema/raw/master/csl-citation.json" }</w:instrText>
      </w:r>
      <w:r>
        <w:rPr>
          <w:spacing w:val="-3"/>
          <w:lang w:val="en-GB"/>
        </w:rPr>
        <w:fldChar w:fldCharType="separate"/>
      </w:r>
      <w:r w:rsidR="0023172C" w:rsidRPr="0023172C">
        <w:rPr>
          <w:noProof/>
          <w:spacing w:val="-3"/>
          <w:lang w:val="en-GB"/>
        </w:rPr>
        <w:t>[46]</w:t>
      </w:r>
      <w:r>
        <w:rPr>
          <w:spacing w:val="-3"/>
          <w:lang w:val="en-GB"/>
        </w:rPr>
        <w:fldChar w:fldCharType="end"/>
      </w:r>
      <w:r w:rsidR="00F91C11" w:rsidRPr="00BD2AFA">
        <w:rPr>
          <w:spacing w:val="-3"/>
          <w:lang w:val="en-GB"/>
        </w:rPr>
        <w:t>.</w:t>
      </w:r>
    </w:p>
    <w:p w:rsidR="00A834D6" w:rsidRPr="00BD2AFA" w:rsidRDefault="00F91C11">
      <w:pPr>
        <w:jc w:val="both"/>
        <w:rPr>
          <w:spacing w:val="-3"/>
          <w:lang w:val="en-GB"/>
        </w:rPr>
      </w:pPr>
      <w:r w:rsidRPr="00BD2AFA">
        <w:rPr>
          <w:lang w:val="en-GB"/>
        </w:rPr>
        <w:t>Essentially</w:t>
      </w:r>
      <w:r w:rsidR="00B86D05" w:rsidRPr="00810926">
        <w:rPr>
          <w:lang w:val="en-GB"/>
        </w:rPr>
        <w:t>, interpretable regression-based methods</w:t>
      </w:r>
      <w:r w:rsidRPr="00BD2AFA">
        <w:rPr>
          <w:lang w:val="en-GB"/>
        </w:rPr>
        <w:t xml:space="preserve"> can be based on general piecewise linearization method</w:t>
      </w:r>
      <w:r w:rsidR="00810926" w:rsidRPr="00810926">
        <w:rPr>
          <w:lang w:val="en-GB"/>
        </w:rPr>
        <w:t>s</w:t>
      </w:r>
      <w:r w:rsidRPr="00BD2AFA">
        <w:rPr>
          <w:lang w:val="en-GB"/>
        </w:rPr>
        <w:t xml:space="preserve"> </w:t>
      </w:r>
      <w:r w:rsidRPr="00BD2AFA">
        <w:rPr>
          <w:lang w:val="en-GB"/>
        </w:rPr>
        <w:fldChar w:fldCharType="begin" w:fldLock="1"/>
      </w:r>
      <w:r w:rsidR="006A236D">
        <w:rPr>
          <w:lang w:val="en-GB"/>
        </w:rPr>
        <w:instrText>ADDIN CSL_CITATION { "citationItems" : [ { "id" : "ITEM-1", "itemData" : { "DOI" : "10.1155/2013/101376", "ISSN" : "1024-123X", "abstract" : "Various optimization problems in engineering and management are formulated as nonlinear programming problems. Because of the nonconvexity nature of this kind of problems, no efficient approach is available to derive the global optimum of the problems. How to locate a global optimal solution of a nonlinear programming problem is an important issue in optimization theory. In the last few decades, piecewise linearization methods have been widely applied to convert a nonlinear programming problem into a linear programming problem or a mixed-integer convex programming problem for obtaining an approximated global optimal solution. In the transformation process, extra binary variables, continuous variables, and constraints are introduced to reformulate the original problem. These extra variables and constraints mainly determine the solution efficiency of the converted problem. This study therefore provides a review of piecewise linearization methods and analyzes the computational efficiency of various piecewise linearization methods.", "author" : [ { "dropping-particle" : "", "family" : "Lin", "given" : "Ming-Hua", "non-dropping-particle" : "", "parse-names" : false, "suffix" : "" }, { "dropping-particle" : "", "family" : "Carlsson", "given" : "John Gunnar", "non-dropping-particle" : "", "parse-names" : false, "suffix" : "" }, { "dropping-particle" : "", "family" : "Ge", "given" : "Dongdong", "non-dropping-particle" : "", "parse-names" : false, "suffix" : "" }, { "dropping-particle" : "", "family" : "Shi", "given" : "Jianming", "non-dropping-particle" : "", "parse-names" : false, "suffix" : "" }, { "dropping-particle" : "", "family" : "Tsai", "given" : "Jung-Fa", "non-dropping-particle" : "", "parse-names" : false, "suffix" : "" } ], "container-title" : "Mathematical Problems in Engineering", "editor" : [ { "dropping-particle" : "", "family" : "Hu", "given" : "Yi-Chung", "non-dropping-particle" : "", "parse-names" : false, "suffix" : "" } ], "id" : "ITEM-1", "issued" : { "date-parts" : [ [ "2013" ] ] }, "page" : "101376", "publisher" : "Hindawi Publishing Corporation", "title" : "A Review of Piecewise Linearization Methods", "type" : "article-journal", "volume" : "2013" }, "uris" : [ "http://www.mendeley.com/documents/?uuid=e9a3d766-a751-4339-aaf3-f7ead45c46ca" ] } ], "mendeley" : { "formattedCitation" : "[47]", "plainTextFormattedCitation" : "[47]", "previouslyFormattedCitation" : "[47]" }, "properties" : { "noteIndex" : 0 }, "schema" : "https://github.com/citation-style-language/schema/raw/master/csl-citation.json" }</w:instrText>
      </w:r>
      <w:r w:rsidRPr="00BD2AFA">
        <w:rPr>
          <w:lang w:val="en-GB"/>
        </w:rPr>
        <w:fldChar w:fldCharType="separate"/>
      </w:r>
      <w:r w:rsidR="0023172C" w:rsidRPr="0023172C">
        <w:rPr>
          <w:noProof/>
          <w:lang w:val="en-GB"/>
        </w:rPr>
        <w:t>[47]</w:t>
      </w:r>
      <w:r w:rsidRPr="00BD2AFA">
        <w:rPr>
          <w:lang w:val="en-GB"/>
        </w:rPr>
        <w:fldChar w:fldCharType="end"/>
      </w:r>
      <w:r w:rsidRPr="00BD2AFA">
        <w:rPr>
          <w:lang w:val="en-GB"/>
        </w:rPr>
        <w:t xml:space="preserve"> and use dummy (binary variables) to handle non-</w:t>
      </w:r>
      <w:proofErr w:type="spellStart"/>
      <w:r w:rsidRPr="00BD2AFA">
        <w:rPr>
          <w:lang w:val="en-GB"/>
        </w:rPr>
        <w:t>linearities</w:t>
      </w:r>
      <w:proofErr w:type="spellEnd"/>
      <w:r w:rsidRPr="00BD2AFA">
        <w:rPr>
          <w:lang w:val="en-GB"/>
        </w:rPr>
        <w:t xml:space="preserve"> (as will be illustrated in Section 4.1 for this </w:t>
      </w:r>
      <w:r w:rsidR="00810926" w:rsidRPr="001C14EB">
        <w:rPr>
          <w:lang w:val="en-GB"/>
        </w:rPr>
        <w:t>research</w:t>
      </w:r>
      <w:r w:rsidRPr="00BD2AFA">
        <w:rPr>
          <w:lang w:val="en-GB"/>
        </w:rPr>
        <w:t xml:space="preserve">). </w:t>
      </w:r>
      <w:proofErr w:type="gramStart"/>
      <w:r w:rsidRPr="00BD2AFA">
        <w:rPr>
          <w:lang w:val="en-GB"/>
        </w:rPr>
        <w:t xml:space="preserve">In this way, they can become </w:t>
      </w:r>
      <w:r w:rsidR="00CD4889">
        <w:rPr>
          <w:lang w:val="en-GB"/>
        </w:rPr>
        <w:t xml:space="preserve">highly </w:t>
      </w:r>
      <w:r w:rsidR="00B86D05" w:rsidRPr="001C14EB">
        <w:rPr>
          <w:lang w:val="en-GB"/>
        </w:rPr>
        <w:t>versatile</w:t>
      </w:r>
      <w:r w:rsidR="00CD4889">
        <w:rPr>
          <w:lang w:val="en-GB"/>
        </w:rPr>
        <w:t xml:space="preserve"> </w:t>
      </w:r>
      <w:r w:rsidR="00C82776">
        <w:rPr>
          <w:lang w:val="en-GB"/>
        </w:rPr>
        <w:fldChar w:fldCharType="begin" w:fldLock="1"/>
      </w:r>
      <w:r w:rsidR="00C82776">
        <w:rPr>
          <w:lang w:val="en-GB"/>
        </w:rPr>
        <w:instrText>ADDIN CSL_CITATION { "citationItems" : [ { "id" : "ITEM-1", "itemData" : { "DOI" : "10.48550/ARXIV.2103.06189", "author" : [ { "dropping-particle" : "", "family" : "Bemporad", "given" : "Alberto", "non-dropping-particle" : "", "parse-names" : false, "suffix" : "" } ], "id" : "ITEM-1", "issued" : { "date-parts" : [ [ "2021" ] ] }, "publisher" : "arXiv", "title" : "Piecewise linear regression and classification", "type" : "article" }, "uris" : [ "http://www.mendeley.com/documents/?uuid=f2029201-8b2b-42a8-b081-a3735b023549" ] } ], "mendeley" : { "formattedCitation" : "[48]", "plainTextFormattedCitation" : "[48]" }, "properties" : { "noteIndex" : 0 }, "schema" : "https://github.com/citation-style-language/schema/raw/master/csl-citation.json" }</w:instrText>
      </w:r>
      <w:r w:rsidR="00C82776">
        <w:rPr>
          <w:lang w:val="en-GB"/>
        </w:rPr>
        <w:fldChar w:fldCharType="separate"/>
      </w:r>
      <w:r w:rsidR="00C82776" w:rsidRPr="00C82776">
        <w:rPr>
          <w:noProof/>
          <w:lang w:val="en-GB"/>
        </w:rPr>
        <w:t>[48]</w:t>
      </w:r>
      <w:r w:rsidR="00C82776">
        <w:rPr>
          <w:lang w:val="en-GB"/>
        </w:rPr>
        <w:fldChar w:fldCharType="end"/>
      </w:r>
      <w:r w:rsidR="00B86D05" w:rsidRPr="001C14EB">
        <w:rPr>
          <w:lang w:val="en-GB"/>
        </w:rPr>
        <w:t xml:space="preserve"> </w:t>
      </w:r>
      <w:r w:rsidR="00CD4889">
        <w:rPr>
          <w:lang w:val="en-GB"/>
        </w:rPr>
        <w:t xml:space="preserve">and </w:t>
      </w:r>
      <w:r w:rsidR="00B86D05" w:rsidRPr="001C14EB">
        <w:rPr>
          <w:lang w:val="en-GB"/>
        </w:rPr>
        <w:t>be used for a variety of purposes, including the dynamic hourly and sub-hourly modelling of electric load profiles, as shown by the Time Of Week and Temperature (TOWT) model formulation</w:t>
      </w:r>
      <w:r w:rsidR="001C14EB" w:rsidRPr="001C14EB">
        <w:rPr>
          <w:lang w:val="en-GB"/>
        </w:rPr>
        <w:t xml:space="preserve"> aimed at </w:t>
      </w:r>
      <w:r w:rsidR="00A834D6" w:rsidRPr="001C14EB">
        <w:rPr>
          <w:spacing w:val="-3"/>
          <w:lang w:val="en-GB"/>
        </w:rPr>
        <w:t>analy</w:t>
      </w:r>
      <w:r w:rsidR="001C14EB" w:rsidRPr="00BD2AFA">
        <w:rPr>
          <w:spacing w:val="-3"/>
          <w:lang w:val="en-GB"/>
        </w:rPr>
        <w:t>s</w:t>
      </w:r>
      <w:r w:rsidR="00A834D6" w:rsidRPr="001C14EB">
        <w:rPr>
          <w:spacing w:val="-3"/>
          <w:lang w:val="en-GB"/>
        </w:rPr>
        <w:t>ing electric load shape</w:t>
      </w:r>
      <w:r w:rsidR="001C14EB" w:rsidRPr="001C14EB">
        <w:rPr>
          <w:spacing w:val="-3"/>
          <w:lang w:val="en-GB"/>
        </w:rPr>
        <w:t>s</w:t>
      </w:r>
      <w:r w:rsidR="00A834D6" w:rsidRPr="001C14EB">
        <w:rPr>
          <w:spacing w:val="-3"/>
          <w:lang w:val="en-GB"/>
        </w:rPr>
        <w:t xml:space="preserve"> and variability </w:t>
      </w:r>
      <w:r w:rsidR="00A834D6" w:rsidRPr="00BD2AFA">
        <w:rPr>
          <w:spacing w:val="-3"/>
          <w:lang w:val="en-GB"/>
        </w:rPr>
        <w:fldChar w:fldCharType="begin" w:fldLock="1"/>
      </w:r>
      <w:r w:rsidR="006A236D">
        <w:rPr>
          <w:spacing w:val="-3"/>
          <w:lang w:val="en-GB"/>
        </w:rPr>
        <w:instrText>ADDIN CSL_CITATION { "citationItems" : [ { "id" : "ITEM-1", "itemData" : { "author" : [ { "dropping-particle" : "", "family" : "Price", "given" : "Philip", "non-dropping-particle" : "", "parse-names" : false, "suffix" : "" } ], "id" : "ITEM-1", "issued" : { "date-parts" : [ [ "2010" ] ] }, "title" : "Methods for analyzing electric load shape and its variability, Lawrence Berkeley National Laboratory Report LBNL-3713E", "type" : "report" }, "uris" : [ "http://www.mendeley.com/documents/?uuid=ad433fc8-55b3-41b6-825d-fb43825114ad" ] } ], "mendeley" : { "formattedCitation" : "[30]", "plainTextFormattedCitation" : "[30]", "previouslyFormattedCitation" : "[30]" }, "properties" : { "noteIndex" : 0 }, "schema" : "https://github.com/citation-style-language/schema/raw/master/csl-citation.json" }</w:instrText>
      </w:r>
      <w:r w:rsidR="00A834D6" w:rsidRPr="00BD2AFA">
        <w:rPr>
          <w:spacing w:val="-3"/>
          <w:lang w:val="en-GB"/>
        </w:rPr>
        <w:fldChar w:fldCharType="separate"/>
      </w:r>
      <w:r w:rsidR="0023172C" w:rsidRPr="0023172C">
        <w:rPr>
          <w:noProof/>
          <w:spacing w:val="-3"/>
          <w:lang w:val="en-GB"/>
        </w:rPr>
        <w:t>[30]</w:t>
      </w:r>
      <w:r w:rsidR="00A834D6" w:rsidRPr="00BD2AFA">
        <w:rPr>
          <w:spacing w:val="-3"/>
          <w:lang w:val="en-GB"/>
        </w:rPr>
        <w:fldChar w:fldCharType="end"/>
      </w:r>
      <w:r w:rsidR="001C14EB" w:rsidRPr="00BD2AFA">
        <w:rPr>
          <w:spacing w:val="-3"/>
          <w:lang w:val="en-GB"/>
        </w:rPr>
        <w:t>, q</w:t>
      </w:r>
      <w:r w:rsidR="00A834D6" w:rsidRPr="001C14EB">
        <w:rPr>
          <w:spacing w:val="-3"/>
          <w:lang w:val="en-GB"/>
        </w:rPr>
        <w:t xml:space="preserve">uantifying changes in </w:t>
      </w:r>
      <w:r w:rsidR="001C14EB" w:rsidRPr="00BD2AFA">
        <w:rPr>
          <w:spacing w:val="-3"/>
          <w:lang w:val="en-GB"/>
        </w:rPr>
        <w:t>electricity use</w:t>
      </w:r>
      <w:r w:rsidR="00A06D93" w:rsidRPr="00A06D93">
        <w:rPr>
          <w:spacing w:val="-3"/>
          <w:lang w:val="en-GB"/>
        </w:rPr>
        <w:t xml:space="preserve"> </w:t>
      </w:r>
      <w:r w:rsidR="00A06D93" w:rsidRPr="00DD756A">
        <w:rPr>
          <w:spacing w:val="-3"/>
          <w:lang w:val="en-GB"/>
        </w:rPr>
        <w:t>in Demand Side Management (DSM) event</w:t>
      </w:r>
      <w:r w:rsidR="00A06D93">
        <w:rPr>
          <w:spacing w:val="-3"/>
          <w:lang w:val="en-GB"/>
        </w:rPr>
        <w:t>s</w:t>
      </w:r>
      <w:r w:rsidR="001C14EB" w:rsidRPr="00BD2AFA">
        <w:rPr>
          <w:spacing w:val="-3"/>
          <w:lang w:val="en-GB"/>
        </w:rPr>
        <w:t xml:space="preserve"> </w:t>
      </w:r>
      <w:r w:rsidR="00A834D6" w:rsidRPr="00A73C50">
        <w:rPr>
          <w:spacing w:val="-3"/>
          <w:lang w:val="en-GB"/>
        </w:rPr>
        <w:fldChar w:fldCharType="begin" w:fldLock="1"/>
      </w:r>
      <w:r w:rsidR="006A236D">
        <w:rPr>
          <w:spacing w:val="-3"/>
          <w:lang w:val="en-GB"/>
        </w:rPr>
        <w:instrText>ADDIN CSL_CITATION { "citationItems" : [ { "id" : "ITEM-1",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"ITEM-1", "issue" : "3", "issued" : { "date-parts" : [ [ "2011" ] ] }, "page" : "507-518", "publisher" : "IEEE", "title" : "Quantifying changes in building electricity use, with application to demand response", "type" : "article-journal", "volume" : "2" }, "uris" : [ "http://www.mendeley.com/documents/?uuid=065c5286-cb09-4ec1-90e2-194e7050c661" ] } ], "mendeley" : { "formattedCitation" : "[31]", "plainTextFormattedCitation" : "[31]", "previouslyFormattedCitation" : "[31]" }, "properties" : { "noteIndex" : 0 }, "schema" : "https://github.com/citation-style-language/schema/raw/master/csl-citation.json" }</w:instrText>
      </w:r>
      <w:r w:rsidR="00A834D6" w:rsidRPr="00A73C50">
        <w:rPr>
          <w:spacing w:val="-3"/>
          <w:lang w:val="en-GB"/>
        </w:rPr>
        <w:fldChar w:fldCharType="separate"/>
      </w:r>
      <w:r w:rsidR="0023172C" w:rsidRPr="0023172C">
        <w:rPr>
          <w:noProof/>
          <w:spacing w:val="-3"/>
          <w:lang w:val="en-GB"/>
        </w:rPr>
        <w:t>[31]</w:t>
      </w:r>
      <w:r w:rsidR="00A834D6" w:rsidRPr="00A73C50">
        <w:rPr>
          <w:spacing w:val="-3"/>
          <w:lang w:val="en-GB"/>
        </w:rPr>
        <w:fldChar w:fldCharType="end"/>
      </w:r>
      <w:r w:rsidR="001C14EB" w:rsidRPr="00BD2AFA">
        <w:rPr>
          <w:spacing w:val="-3"/>
          <w:lang w:val="en-GB"/>
        </w:rPr>
        <w:t xml:space="preserve"> and </w:t>
      </w:r>
      <w:r w:rsidR="00A834D6" w:rsidRPr="00D54B31">
        <w:rPr>
          <w:spacing w:val="-3"/>
          <w:lang w:val="en-GB"/>
        </w:rPr>
        <w:t xml:space="preserve">improve efficiency program outcomes </w:t>
      </w:r>
      <w:r w:rsidR="00A834D6" w:rsidRPr="00A73C50">
        <w:rPr>
          <w:spacing w:val="-3"/>
          <w:lang w:val="en-GB"/>
        </w:rPr>
        <w:fldChar w:fldCharType="begin" w:fldLock="1"/>
      </w:r>
      <w:r w:rsidR="00C82776">
        <w:rPr>
          <w:spacing w:val="-3"/>
          <w:lang w:val="en-GB"/>
        </w:rPr>
        <w:instrText>ADDIN CSL_CITATION { "citationItems" : [ { "id" : "ITEM-1", "itemData" : { "author" : [ { "dropping-particle" : "", "family" : "Borgeson", "given" : "Samuel Dalton", "non-dropping-particle" : "", "parse-names" : false, "suffix" : "" } ], "id" : "ITEM-1", "issued" : { "date-parts" : [ [ "2013" ] ] }, "publisher" : "University of California, Berkeley", "title" : "Targeted efficiency: Using customer meter data to improve efficiency program outcomes", "type" : "book" }, "uris" : [ "http://www.mendeley.com/documents/?uuid=e2f86ad6-7895-4020-8baa-83e06e9651e3" ] } ], "mendeley" : { "formattedCitation" : "[49]", "plainTextFormattedCitation" : "[49]", "previouslyFormattedCitation" : "[48]" }, "properties" : { "noteIndex" : 0 }, "schema" : "https://github.com/citation-style-language/schema/raw/master/csl-citation.json" }</w:instrText>
      </w:r>
      <w:r w:rsidR="00A834D6" w:rsidRPr="00A73C50">
        <w:rPr>
          <w:spacing w:val="-3"/>
          <w:lang w:val="en-GB"/>
        </w:rPr>
        <w:fldChar w:fldCharType="separate"/>
      </w:r>
      <w:r w:rsidR="00C82776" w:rsidRPr="00C82776">
        <w:rPr>
          <w:noProof/>
          <w:spacing w:val="-3"/>
          <w:lang w:val="en-GB"/>
        </w:rPr>
        <w:t>[49]</w:t>
      </w:r>
      <w:r w:rsidR="00A834D6" w:rsidRPr="00A73C50">
        <w:rPr>
          <w:spacing w:val="-3"/>
          <w:lang w:val="en-GB"/>
        </w:rPr>
        <w:fldChar w:fldCharType="end"/>
      </w:r>
      <w:r w:rsidR="001C14EB" w:rsidRPr="00BD2AFA">
        <w:rPr>
          <w:spacing w:val="-3"/>
          <w:lang w:val="en-GB"/>
        </w:rPr>
        <w:t>.</w:t>
      </w:r>
      <w:proofErr w:type="gramEnd"/>
    </w:p>
    <w:p w:rsidR="00A834D6" w:rsidRDefault="001C14EB">
      <w:pPr>
        <w:jc w:val="both"/>
        <w:rPr>
          <w:spacing w:val="-3"/>
          <w:lang w:val="en-GB"/>
        </w:rPr>
      </w:pPr>
      <w:r w:rsidRPr="00BD2AFA">
        <w:rPr>
          <w:spacing w:val="-3"/>
          <w:lang w:val="en-GB"/>
        </w:rPr>
        <w:t>The combination of simple yet powerful interpretable data-driven methods makes it possible to</w:t>
      </w:r>
      <w:r w:rsidR="00317A5A" w:rsidRPr="00D54B31">
        <w:rPr>
          <w:spacing w:val="-3"/>
          <w:lang w:val="en-GB"/>
        </w:rPr>
        <w:t xml:space="preserve"> envision systems</w:t>
      </w:r>
      <w:r w:rsidRPr="00BD2AFA">
        <w:rPr>
          <w:spacing w:val="-3"/>
          <w:lang w:val="en-GB"/>
        </w:rPr>
        <w:t xml:space="preserve"> of interconnected models </w:t>
      </w:r>
      <w:r w:rsidRPr="00BD2AFA">
        <w:rPr>
          <w:spacing w:val="-3"/>
          <w:lang w:val="en-GB"/>
        </w:rPr>
        <w:fldChar w:fldCharType="begin" w:fldLock="1"/>
      </w:r>
      <w:r w:rsidR="00C82776">
        <w:rPr>
          <w:spacing w:val="-3"/>
          <w:lang w:val="en-GB"/>
        </w:rPr>
        <w:instrText>ADDIN CSL_CITATION { "citationItems" : [ { "id" : "ITEM-1", "itemData" : { "DOI" : "https://doi.org/10.1016/j.rser.2017.10.047", "ISSN" : "1364-0321", "abstract" : "As energy systems grow more complex, modeling efforts spanning multiple scales, disciplines and perspectives are essential. Improved methods are needed to guide the development of not just individual models, but also multi-model ecologies \u2013 systems of interacting models. Currently there is a lack of knowledge concerning how multi-model ecologies can and should be designed to facilitate adequate understanding of energy system complexity and its consequences. Via an analysis of twelve multi-model initiatives both within and outside the energy domain, this paper elucidates possible design patterns and development paths for multi-model ecologies. The results highlight two broad paths to developing energy system multi-model ecologies, one prioritizing interoperability and the other prioritizing diversity. The former path facilitates the efficient development of models spanning multiple scales and (to a degree) disciplines, and can ease systematic testing of assumptions. The latter is suited to bridging traditional disciplines and perspectives and advancing knowledge within the interstices of different knowledge communities. It is furthermore suggested that a combination of diversity, connectivity and hierarchy in multi-model ecology composition is central to enabling the development of complex webs of models capable of addressing the complexity of real-world energy systems.", "author" : [ { "dropping-particle" : "", "family" : "Bollinger", "given" : "L A", "non-dropping-particle" : "", "parse-names" : false, "suffix" : "" }, { "dropping-particle" : "", "family" : "Davis", "given" : "C B", "non-dropping-particle" : "", "parse-names" : false, "suffix" : "" }, { "dropping-particle" : "", "family" : "Evins", "given" : "R", "non-dropping-particle" : "", "parse-names" : false, "suffix" : "" }, { "dropping-particle" : "", "family" : "Chappin", "given" : "E J L", "non-dropping-particle" : "", "parse-names" : false, "suffix" : "" }, { "dropping-particle" : "", "family" : "Nikolic", "given" : "I", "non-dropping-particle" : "", "parse-names" : false, "suffix" : "" } ], "container-title" : "Renewable and Sustainable Energy Reviews", "id" : "ITEM-1", "issued" : { "date-parts" : [ [ "2018" ] ] }, "page" : "3441-3451", "title" : "Multi-model ecologies for shaping future energy systems: Design patterns and development paths", "type" : "article-journal", "volume" : "82" }, "uris" : [ "http://www.mendeley.com/documents/?uuid=70081bc5-728c-4778-a634-270cfeec19bb" ] } ], "mendeley" : { "formattedCitation" : "[50]", "plainTextFormattedCitation" : "[50]", "previouslyFormattedCitation" : "[49]" }, "properties" : { "noteIndex" : 0 }, "schema" : "https://github.com/citation-style-language/schema/raw/master/csl-citation.json" }</w:instrText>
      </w:r>
      <w:r w:rsidRPr="00BD2AFA">
        <w:rPr>
          <w:spacing w:val="-3"/>
          <w:lang w:val="en-GB"/>
        </w:rPr>
        <w:fldChar w:fldCharType="separate"/>
      </w:r>
      <w:r w:rsidR="00C82776" w:rsidRPr="00C82776">
        <w:rPr>
          <w:noProof/>
          <w:spacing w:val="-3"/>
          <w:lang w:val="en-GB"/>
        </w:rPr>
        <w:t>[50]</w:t>
      </w:r>
      <w:r w:rsidRPr="00BD2AFA">
        <w:rPr>
          <w:spacing w:val="-3"/>
          <w:lang w:val="en-GB"/>
        </w:rPr>
        <w:fldChar w:fldCharType="end"/>
      </w:r>
      <w:r w:rsidRPr="00BD2AFA">
        <w:rPr>
          <w:spacing w:val="-3"/>
          <w:lang w:val="en-GB"/>
        </w:rPr>
        <w:t xml:space="preserve"> that can act as “digital twins”, sharing essential </w:t>
      </w:r>
      <w:r w:rsidR="00D54B31" w:rsidRPr="00BD2AFA">
        <w:rPr>
          <w:spacing w:val="-3"/>
          <w:lang w:val="en-GB"/>
        </w:rPr>
        <w:t>open</w:t>
      </w:r>
      <w:r w:rsidRPr="00BD2AFA">
        <w:rPr>
          <w:spacing w:val="-3"/>
          <w:lang w:val="en-GB"/>
        </w:rPr>
        <w:t xml:space="preserve"> data </w:t>
      </w:r>
      <w:r w:rsidR="00D54B31" w:rsidRPr="00BD2AFA">
        <w:rPr>
          <w:spacing w:val="-3"/>
          <w:lang w:val="en-GB"/>
        </w:rPr>
        <w:t xml:space="preserve">and standards </w:t>
      </w:r>
      <w:r w:rsidRPr="00BD2AFA">
        <w:rPr>
          <w:spacing w:val="-3"/>
          <w:lang w:val="en-GB"/>
        </w:rPr>
        <w:fldChar w:fldCharType="begin" w:fldLock="1"/>
      </w:r>
      <w:r w:rsidR="006A236D">
        <w:rPr>
          <w:spacing w:val="-3"/>
          <w:lang w:val="en-GB"/>
        </w:rPr>
        <w:instrText>ADDIN CSL_CITATION { "citationItems" : [ { "id" : "ITEM-1", "itemData" : { "DOI" : "10.1016/j.energy.2020.118803", "author" : [ { "dropping-particle" : "", "family" : "Manfren", "given" : "M", "non-dropping-particle" : "", "parse-names" : false, "suffix" : "" }, { "dropping-particle" : "", "family" : "Nastasi", "given" : "B", "non-dropping-particle" : "", "parse-names" : false, "suffix" : "" }, { "dropping-particle" : "", "family" : "Groppi", "given" : "D", "non-dropping-particle" : "", "parse-names" : false, "suffix" : "" }, { "dropping-particle" : "", "family" : "Astiaso Garcia", "given" : "D", "non-dropping-particle" : "", "parse-names" : false, "suffix" : "" } ], "container-title" : "Energy", "id" : "ITEM-1", "issued" : { "date-parts" : [ [ "2020" ] ] }, "note" : "Export Date: 29 September 2020", "title" : "Open data and energy analytics - An analysis of essential information for energy system planning, design and operation", "type" : "article-journal", "volume" : "213" }, "uris" : [ "http://www.mendeley.com/documents/?uuid=7c4ecb24-77a3-4068-916e-57368f2aaea1" ] } ], "mendeley" : { "formattedCitation" : "[22]", "plainTextFormattedCitation" : "[22]", "previouslyFormattedCitation" : "[22]" }, "properties" : { "noteIndex" : 0 }, "schema" : "https://github.com/citation-style-language/schema/raw/master/csl-citation.json" }</w:instrText>
      </w:r>
      <w:r w:rsidRPr="00BD2AFA">
        <w:rPr>
          <w:spacing w:val="-3"/>
          <w:lang w:val="en-GB"/>
        </w:rPr>
        <w:fldChar w:fldCharType="separate"/>
      </w:r>
      <w:r w:rsidR="0023172C" w:rsidRPr="0023172C">
        <w:rPr>
          <w:noProof/>
          <w:spacing w:val="-3"/>
          <w:lang w:val="en-GB"/>
        </w:rPr>
        <w:t>[22]</w:t>
      </w:r>
      <w:r w:rsidRPr="00BD2AFA">
        <w:rPr>
          <w:spacing w:val="-3"/>
          <w:lang w:val="en-GB"/>
        </w:rPr>
        <w:fldChar w:fldCharType="end"/>
      </w:r>
      <w:r w:rsidR="00D54B31" w:rsidRPr="00BD2AFA">
        <w:rPr>
          <w:spacing w:val="-3"/>
          <w:lang w:val="en-GB"/>
        </w:rPr>
        <w:t>.</w:t>
      </w:r>
    </w:p>
    <w:p w:rsidR="00317A5A" w:rsidRDefault="00317A5A">
      <w:pPr>
        <w:jc w:val="both"/>
        <w:rPr>
          <w:spacing w:val="-3"/>
          <w:lang w:val="en-GB"/>
        </w:rPr>
      </w:pPr>
      <w:r w:rsidRPr="00317A5A">
        <w:rPr>
          <w:spacing w:val="-3"/>
          <w:lang w:val="en-GB"/>
        </w:rPr>
        <w:t>A "digital twin" is a digital representation of a process that can overcome the limitations of traditional simulation-based engineering approaches (such as those used in building performance simulation) by demonstrating how a process performs in real time and under real-world conditions.</w:t>
      </w:r>
      <w:r w:rsidR="003409BC">
        <w:rPr>
          <w:spacing w:val="-3"/>
          <w:lang w:val="en-GB"/>
        </w:rPr>
        <w:t xml:space="preserve">  </w:t>
      </w:r>
      <w:r w:rsidRPr="00317A5A">
        <w:rPr>
          <w:spacing w:val="-3"/>
          <w:lang w:val="en-GB"/>
        </w:rPr>
        <w:t xml:space="preserve">Interpretability is useful (from the standpoint of the user) because it allows the user </w:t>
      </w:r>
      <w:proofErr w:type="gramStart"/>
      <w:r w:rsidRPr="00317A5A">
        <w:rPr>
          <w:spacing w:val="-3"/>
          <w:lang w:val="en-GB"/>
        </w:rPr>
        <w:t>to easily predict</w:t>
      </w:r>
      <w:proofErr w:type="gramEnd"/>
      <w:r w:rsidRPr="00317A5A">
        <w:rPr>
          <w:spacing w:val="-3"/>
          <w:lang w:val="en-GB"/>
        </w:rPr>
        <w:t xml:space="preserve"> what will happen when the model input is changed.</w:t>
      </w:r>
      <w:r>
        <w:rPr>
          <w:spacing w:val="-3"/>
          <w:lang w:val="en-GB"/>
        </w:rPr>
        <w:t xml:space="preserve"> </w:t>
      </w:r>
      <w:r w:rsidRPr="00317A5A">
        <w:rPr>
          <w:spacing w:val="-3"/>
          <w:lang w:val="en-GB"/>
        </w:rPr>
        <w:t>The more "transparent" the model is to the user, the more it can encourage a "human-in-the-loop approach" that "black-box" (non-interpretable) techniques cannot.</w:t>
      </w:r>
    </w:p>
    <w:p w:rsidR="001849DA" w:rsidRDefault="001849DA" w:rsidP="00693599">
      <w:pPr>
        <w:jc w:val="both"/>
        <w:rPr>
          <w:spacing w:val="-3"/>
          <w:lang w:val="en-GB"/>
        </w:rPr>
      </w:pPr>
    </w:p>
    <w:p w:rsidR="00346F8C" w:rsidRDefault="00346F8C" w:rsidP="00AF389C">
      <w:pPr>
        <w:jc w:val="both"/>
        <w:rPr>
          <w:lang w:val="en-GB"/>
        </w:rPr>
      </w:pPr>
    </w:p>
    <w:p w:rsidR="001849DA" w:rsidRPr="00C36C26" w:rsidRDefault="001849DA" w:rsidP="001849DA">
      <w:pPr>
        <w:pStyle w:val="Heading1"/>
      </w:pPr>
      <w:bookmarkStart w:id="5" w:name="_Toc98497996"/>
      <w:r>
        <w:lastRenderedPageBreak/>
        <w:t>Methods</w:t>
      </w:r>
      <w:bookmarkEnd w:id="5"/>
    </w:p>
    <w:p w:rsidR="00B86D05" w:rsidRPr="00BD2AFA" w:rsidRDefault="00B86D05">
      <w:pPr>
        <w:jc w:val="both"/>
        <w:rPr>
          <w:b/>
          <w:bCs/>
          <w:highlight w:val="green"/>
          <w:lang w:val="en-GB"/>
        </w:rPr>
      </w:pPr>
      <w:proofErr w:type="gramStart"/>
      <w:r w:rsidRPr="00E307FF">
        <w:rPr>
          <w:lang w:val="en-GB"/>
        </w:rPr>
        <w:t xml:space="preserve">In previous research work conducted on the case study building </w:t>
      </w:r>
      <w:r w:rsidRPr="00AE6F2E">
        <w:fldChar w:fldCharType="begin" w:fldLock="1"/>
      </w:r>
      <w:r w:rsidR="00C82776">
        <w:rPr>
          <w:lang w:val="en-GB"/>
        </w:rPr>
        <w:instrText>ADDIN CSL_CITATION { "citationItems" : [ { "id" : "ITEM-1", "itemData" : { "DOI" : "https://doi.org/10.1016/j.energy.2018.09.037", "ISSN" : "0360-5442", "abstract" : "Efficient buildings are an essential component of sustainability and energy transitions, which represent today a techno-economic and socio-economic problem. New paradigms are emerging both for new and existing buildings (e.g. NZEBs) and passive design strategies are becoming increasingly common. However, the adoption of these strategies in mild climates has to be carefully evaluated to prevent overheating in intermediate seasons and increasing cooling loads in summer, considering also climate change scenarios. Additionally, optimistic assumptions about building technology performance are often considered and the variability of occupant comfort preferences and behaviour is generally neglected in the design phase. The research presented aims at verifying the suitability of a simple, robust and scalable calibration approach (based on multivariate linear regression) to link design and operational performance analysis transparently, using a Passive House case study building. First, the original baseline design configuration is compared with a larger spectrum of data generated by means of parametric simulation, following a Design of Experiment (DOE) approach. After that, regression models are trained first on simulation data and then progressively calibrated on measured data during a three year monitoring period. The two fundamental objectives are evaluating the robustness of design phase performance analysis through parametric simulation (i.e. detecting potentially critical assumptions) and maintaining a continuity with operation phase performance analysis (i.e. exploiting the feed-back from measured data).", "author" : [ { "dropping-particle" : "", "family" : "Tronchin", "given" : "Lamberto", "non-dropping-particle" : "", "parse-names" : false, "suffix" : "" }, { "dropping-particle" : "", "family" : "Manfren", "given" : "Massimiliano", "non-dropping-particle" : "", "parse-names" : false, "suffix" : "" }, { "dropping-particle" : "", "family" : "James", "given" : "Patrick A B", "non-dropping-particle" : "", "parse-names" : false, "suffix" : "" } ], "container-title" : "Energy", "id" : "ITEM-1", "issued" : { "date-parts" : [ [ "2018" ] ] }, "page" : "26-40", "title" : "Linking design and operation performance analysis through model calibration: Parametric assessment on a Passive House building", "type" : "article-journal", "volume" : "165" }, "uris" : [ "http://www.mendeley.com/documents/?uuid=5b3d5843-b397-4127-a654-7c1ab5da1360" ] } ], "mendeley" : { "formattedCitation" : "[51]", "plainTextFormattedCitation" : "[51]", "previouslyFormattedCitation" : "[50]" }, "properties" : { "noteIndex" : 0 }, "schema" : "https://github.com/citation-style-language/schema/raw/master/csl-citation.json" }</w:instrText>
      </w:r>
      <w:r w:rsidRPr="00AE6F2E">
        <w:fldChar w:fldCharType="separate"/>
      </w:r>
      <w:r w:rsidR="00C82776" w:rsidRPr="00C82776">
        <w:rPr>
          <w:noProof/>
          <w:lang w:val="en-GB"/>
        </w:rPr>
        <w:t>[51]</w:t>
      </w:r>
      <w:r w:rsidRPr="00AE6F2E">
        <w:fldChar w:fldCharType="end"/>
      </w:r>
      <w:r w:rsidR="00A3593F" w:rsidRPr="00BD2AFA">
        <w:rPr>
          <w:lang w:val="en-GB"/>
        </w:rPr>
        <w:t>, which will be illustrated in more detail</w:t>
      </w:r>
      <w:r w:rsidR="00E307FF" w:rsidRPr="00BD2AFA">
        <w:rPr>
          <w:lang w:val="en-GB"/>
        </w:rPr>
        <w:t xml:space="preserve"> in Section 5</w:t>
      </w:r>
      <w:r w:rsidR="00A3593F" w:rsidRPr="00BD2AFA">
        <w:rPr>
          <w:lang w:val="en-GB"/>
        </w:rPr>
        <w:t>,</w:t>
      </w:r>
      <w:r w:rsidRPr="00E307FF">
        <w:rPr>
          <w:lang w:val="en-GB"/>
        </w:rPr>
        <w:t xml:space="preserve"> </w:t>
      </w:r>
      <w:r w:rsidR="00E307FF" w:rsidRPr="00E307FF">
        <w:rPr>
          <w:lang w:val="en-GB"/>
        </w:rPr>
        <w:t xml:space="preserve">it was demonstrated that 2 years of monthly monitoring data </w:t>
      </w:r>
      <w:r w:rsidR="00A06D93">
        <w:rPr>
          <w:lang w:val="en-GB"/>
        </w:rPr>
        <w:t>were</w:t>
      </w:r>
      <w:r w:rsidR="00E307FF" w:rsidRPr="00E307FF">
        <w:rPr>
          <w:lang w:val="en-GB"/>
        </w:rPr>
        <w:t xml:space="preserve"> required to achieve calibration according to M&amp;V procedures (the calibration process was performed incrementally) and that the solar radiation variable played an important role in model performance improvement.</w:t>
      </w:r>
      <w:proofErr w:type="gramEnd"/>
      <w:r w:rsidR="00E307FF">
        <w:rPr>
          <w:lang w:val="en-GB"/>
        </w:rPr>
        <w:t xml:space="preserve"> </w:t>
      </w:r>
      <w:r w:rsidRPr="00C474BD">
        <w:rPr>
          <w:lang w:val="en-GB"/>
        </w:rPr>
        <w:t>At that point, separate models for heating, cooling and base load</w:t>
      </w:r>
      <w:r w:rsidR="00E307FF" w:rsidRPr="00C474BD">
        <w:rPr>
          <w:lang w:val="en-GB"/>
        </w:rPr>
        <w:t xml:space="preserve"> were fitted</w:t>
      </w:r>
      <w:r w:rsidR="00C474BD" w:rsidRPr="00BD2AFA">
        <w:rPr>
          <w:lang w:val="en-GB"/>
        </w:rPr>
        <w:t xml:space="preserve">, as in research focused on </w:t>
      </w:r>
      <w:r w:rsidR="00C474BD">
        <w:rPr>
          <w:lang w:val="en-GB"/>
        </w:rPr>
        <w:t>energy model decomposition</w:t>
      </w:r>
      <w:r w:rsidR="00C45841">
        <w:rPr>
          <w:lang w:val="en-GB"/>
        </w:rPr>
        <w:t xml:space="preserve"> </w:t>
      </w:r>
      <w:r w:rsidR="00C45841">
        <w:rPr>
          <w:lang w:val="en-GB"/>
        </w:rPr>
        <w:fldChar w:fldCharType="begin" w:fldLock="1"/>
      </w:r>
      <w:r w:rsidR="006A236D">
        <w:rPr>
          <w:lang w:val="en-GB"/>
        </w:rPr>
        <w:instrText>ADDIN CSL_CITATION { "citationItems" : [ { "id" : "ITEM-1", "itemData" : { "DOI" : "https://doi.org/10.1016/j.enbuild.2014.06.035", "ISSN" : "0378-7788", "abstract" : "An approach, able to easily and effectively integrate field measured data in whole building energy simulation (BES) models is crucial to increase simulation accuracy for existing buildings. In this paper, the robustness of a linear regression method for extracting transmission losses above ground (including air leakage) and ground heat loss parameters are analyzed. The regression method is evaluated on two documented and monitored multifamily buildings with mechanical supply and exhaust ventilation systems, with and without heat recovery. The obtained results are found to be robust, with variations less than 2% in the extracted estimates of transmission losses above ground (including air leakage) and with a high goodness of fit (R2&gt;0.96) against measured data from two years. In addition, the estimations of the buildings ground heat loss were in good agreement with calculations in accordance with EN ISO 13370:2007. The high quality output from the used regression method serves as good prerequisites for the method to be used in conjunction with BES models to aid the analyst in a BES calibration process.", "author" : [ { "dropping-particle" : "", "family" : "Vesterberg", "given" : "Jimmy", "non-dropping-particle" : "", "parse-names" : false, "suffix" : "" }, { "dropping-particle" : "", "family" : "Andersson", "given" : "Staffan", "non-dropping-particle" : "", "parse-names" : false, "suffix" : "" }, { "dropping-particle" : "", "family" : "Olofsson", "given" : "Thomas", "non-dropping-particle" : "", "parse-names" : false, "suffix" : "" } ], "container-title" : "Energy and Buildings", "id" : "ITEM-1", "issued" : { "date-parts" : [ [ "2014" ] ] }, "page" : "430-434", "title" : "Robustness of a regression approach, aimed for calibration of whole building energy simulation tools", "type" : "article-journal", "volume" : "81" }, "uris" : [ "http://www.mendeley.com/documents/?uuid=5e9b90db-76fb-4003-b49e-7c86c9aafa43" ] } ], "mendeley" : { "formattedCitation" : "[43]", "plainTextFormattedCitation" : "[43]", "previouslyFormattedCitation" : "[43]" }, "properties" : { "noteIndex" : 0 }, "schema" : "https://github.com/citation-style-language/schema/raw/master/csl-citation.json" }</w:instrText>
      </w:r>
      <w:r w:rsidR="00C45841">
        <w:rPr>
          <w:lang w:val="en-GB"/>
        </w:rPr>
        <w:fldChar w:fldCharType="separate"/>
      </w:r>
      <w:r w:rsidR="0023172C" w:rsidRPr="0023172C">
        <w:rPr>
          <w:noProof/>
          <w:lang w:val="en-GB"/>
        </w:rPr>
        <w:t>[43]</w:t>
      </w:r>
      <w:r w:rsidR="00C45841">
        <w:rPr>
          <w:lang w:val="en-GB"/>
        </w:rPr>
        <w:fldChar w:fldCharType="end"/>
      </w:r>
      <w:r w:rsidR="00C474BD">
        <w:rPr>
          <w:lang w:val="en-GB"/>
        </w:rPr>
        <w:t xml:space="preserve"> and calibration via regre</w:t>
      </w:r>
      <w:r w:rsidR="00C474BD" w:rsidRPr="00C474BD">
        <w:rPr>
          <w:lang w:val="en-GB"/>
        </w:rPr>
        <w:t>ssion</w:t>
      </w:r>
      <w:r w:rsidR="00C45841">
        <w:rPr>
          <w:lang w:val="en-GB"/>
        </w:rPr>
        <w:t xml:space="preserve"> </w:t>
      </w:r>
      <w:r w:rsidR="00672085">
        <w:rPr>
          <w:lang w:val="en-GB"/>
        </w:rPr>
        <w:fldChar w:fldCharType="begin" w:fldLock="1"/>
      </w:r>
      <w:r w:rsidR="00C82776">
        <w:rPr>
          <w:lang w:val="en-GB"/>
        </w:rPr>
        <w:instrText>ADDIN CSL_CITATION { "citationItems" : [ { "id" : "ITEM-1", "itemData" : { "DOI" : "https://doi.org/10.1016/j.jobe.2021.102874", "ISSN" : "2352-7102", "abstract" : "When thinking on retrofitting a building, energy models are used to estimate energy consumption for the different options. However, the accuracy of the model may vary depending on the accuracy of the input parameters. To minimize the uncertainty of the input parameters a calibration process is needed. As a mean to reduce the time for calibration, a methodology using a regression analysis with parameters or independent variables that are a function of the physical driving forces for energy performance is proposed. The main novelty of the approach is that it can be considered a quasi-physical statistical approach that has advantage over pure traditional statistical approaches. This is achieved by incorporating the physical driven forces of the parameters contributing to the energy consumption. Other advantage is that it uses the well know and easy to implement multiple regression analysis and system of equations. The approach also can be implemented in stages based on a prioritized list of parameters; that is, a few parameters with more impact are first used for a coarse tuning, and then additional parameters are used for fine tuning. The approach is applied by running a series of simulations with the design input parameters to obtain data for a multiple regression analysis. Then, the regression coefficients are used in a system of equations which solution gives the magnitude of the parameters. The results of the methodology were compared with the traditional Bayesian approach as a mean to validate the approach. Results show that the proposed approach is as accurate as the Bayesian approach.", "author" : [ { "dropping-particle" : "", "family" : "Fumo", "given" : "Nelson", "non-dropping-particle" : "", "parse-names" : false, "suffix" : "" }, { "dropping-particle" : "", "family" : "Torres", "given" : "Maria Josefina", "non-dropping-particle" : "", "parse-names" : false, "suffix" : "" }, { "dropping-particle" : "", "family" : "Broomfield", "given" : "Kayla", "non-dropping-particle" : "", "parse-names" : false, "suffix" : "" } ], "container-title" : "Journal of Building Engineering", "id" : "ITEM-1", "issued" : { "date-parts" : [ [ "2021" ] ] }, "page" : "102874", "title" : "A multiple regression approach for calibration of residential building energy models", "type" : "article-journal", "volume" : "43" }, "uris" : [ "http://www.mendeley.com/documents/?uuid=219ed3b0-f096-4375-8d17-b611e7865275" ] } ], "mendeley" : { "formattedCitation" : "[52]", "plainTextFormattedCitation" : "[52]", "previouslyFormattedCitation" : "[51]" }, "properties" : { "noteIndex" : 0 }, "schema" : "https://github.com/citation-style-language/schema/raw/master/csl-citation.json" }</w:instrText>
      </w:r>
      <w:r w:rsidR="00672085">
        <w:rPr>
          <w:lang w:val="en-GB"/>
        </w:rPr>
        <w:fldChar w:fldCharType="separate"/>
      </w:r>
      <w:r w:rsidR="00C82776" w:rsidRPr="00C82776">
        <w:rPr>
          <w:noProof/>
          <w:lang w:val="en-GB"/>
        </w:rPr>
        <w:t>[52]</w:t>
      </w:r>
      <w:r w:rsidR="00672085">
        <w:rPr>
          <w:lang w:val="en-GB"/>
        </w:rPr>
        <w:fldChar w:fldCharType="end"/>
      </w:r>
      <w:r w:rsidR="00C474BD" w:rsidRPr="00BD2AFA">
        <w:rPr>
          <w:lang w:val="en-GB"/>
        </w:rPr>
        <w:t>.</w:t>
      </w:r>
    </w:p>
    <w:p w:rsidR="00B86D05" w:rsidRDefault="00B86D05">
      <w:pPr>
        <w:jc w:val="both"/>
        <w:rPr>
          <w:lang w:val="en-GB"/>
        </w:rPr>
      </w:pPr>
      <w:r w:rsidRPr="00810926">
        <w:rPr>
          <w:lang w:val="en-GB"/>
        </w:rPr>
        <w:t xml:space="preserve">Instead, in this research the separate sub-models </w:t>
      </w:r>
      <w:proofErr w:type="gramStart"/>
      <w:r w:rsidR="00291A69" w:rsidRPr="00810926">
        <w:rPr>
          <w:lang w:val="en-GB"/>
        </w:rPr>
        <w:t>are combined</w:t>
      </w:r>
      <w:proofErr w:type="gramEnd"/>
      <w:r w:rsidR="00291A69" w:rsidRPr="00810926">
        <w:rPr>
          <w:lang w:val="en-GB"/>
        </w:rPr>
        <w:t xml:space="preserve"> </w:t>
      </w:r>
      <w:r w:rsidRPr="00810926">
        <w:rPr>
          <w:lang w:val="en-GB"/>
        </w:rPr>
        <w:t xml:space="preserve">into a single model (which is the sum of the individual sub-models) by introducing additional variables (dummy, 0-1 </w:t>
      </w:r>
      <w:r w:rsidRPr="006A15C7">
        <w:rPr>
          <w:lang w:val="en-GB"/>
        </w:rPr>
        <w:t xml:space="preserve">binary variables) to the original datasets using rules that are explained </w:t>
      </w:r>
      <w:r w:rsidR="00291A69" w:rsidRPr="006A15C7">
        <w:rPr>
          <w:lang w:val="en-GB"/>
        </w:rPr>
        <w:t>in Section 4.1</w:t>
      </w:r>
      <w:r w:rsidRPr="006A15C7">
        <w:rPr>
          <w:lang w:val="en-GB"/>
        </w:rPr>
        <w:t>.</w:t>
      </w:r>
      <w:r w:rsidR="006A15C7" w:rsidRPr="00BD2AFA">
        <w:rPr>
          <w:lang w:val="en-GB"/>
        </w:rPr>
        <w:t xml:space="preserve"> </w:t>
      </w:r>
      <w:r w:rsidRPr="00BD2AFA">
        <w:rPr>
          <w:lang w:val="en-GB"/>
        </w:rPr>
        <w:t>The rules themselves have a physical meaning and are meant to retain the ability to connect the two approaches in the future</w:t>
      </w:r>
      <w:r w:rsidR="00C45841">
        <w:rPr>
          <w:lang w:val="en-GB"/>
        </w:rPr>
        <w:t xml:space="preserve"> (i.e. piecewise linear regression and analytical formulations of building energy </w:t>
      </w:r>
      <w:r w:rsidR="00C45841" w:rsidRPr="00C45841">
        <w:rPr>
          <w:lang w:val="en-GB"/>
        </w:rPr>
        <w:t xml:space="preserve">balance). In this way, </w:t>
      </w:r>
      <w:r w:rsidR="006A15C7" w:rsidRPr="00BD2AFA">
        <w:rPr>
          <w:lang w:val="en-GB"/>
        </w:rPr>
        <w:t xml:space="preserve">energy balance </w:t>
      </w:r>
      <w:r w:rsidR="00B06B5E" w:rsidRPr="00BD2AFA">
        <w:rPr>
          <w:lang w:val="en-GB"/>
        </w:rPr>
        <w:t>decomposition</w:t>
      </w:r>
      <w:r w:rsidR="00B06B5E" w:rsidRPr="00C45841">
        <w:rPr>
          <w:lang w:val="en-GB"/>
        </w:rPr>
        <w:t xml:space="preserve"> </w:t>
      </w:r>
      <w:r w:rsidR="006A15C7" w:rsidRPr="00BD2AFA">
        <w:rPr>
          <w:lang w:val="en-GB"/>
        </w:rPr>
        <w:t>and identification of thermo-physical properties (depending on the variables monitored)</w:t>
      </w:r>
      <w:r w:rsidR="00C45841" w:rsidRPr="00BD2AFA">
        <w:rPr>
          <w:lang w:val="en-GB"/>
        </w:rPr>
        <w:t xml:space="preserve"> </w:t>
      </w:r>
      <w:proofErr w:type="gramStart"/>
      <w:r w:rsidR="00C45841" w:rsidRPr="00BD2AFA">
        <w:rPr>
          <w:lang w:val="en-GB"/>
        </w:rPr>
        <w:t>may be enabled</w:t>
      </w:r>
      <w:proofErr w:type="gramEnd"/>
      <w:r w:rsidR="00C45841" w:rsidRPr="00BD2AFA">
        <w:rPr>
          <w:lang w:val="en-GB"/>
        </w:rPr>
        <w:t xml:space="preserve"> by a unique integrated workflow</w:t>
      </w:r>
      <w:r w:rsidR="006A15C7" w:rsidRPr="00BD2AFA">
        <w:rPr>
          <w:lang w:val="en-GB"/>
        </w:rPr>
        <w:t>.</w:t>
      </w:r>
    </w:p>
    <w:p w:rsidR="006A15C7" w:rsidRDefault="00291A69">
      <w:pPr>
        <w:jc w:val="both"/>
        <w:rPr>
          <w:lang w:val="en-GB"/>
        </w:rPr>
      </w:pPr>
      <w:r>
        <w:rPr>
          <w:lang w:val="en-GB"/>
        </w:rPr>
        <w:t xml:space="preserve">The </w:t>
      </w:r>
      <w:r w:rsidR="00B86D05" w:rsidRPr="00693599">
        <w:rPr>
          <w:lang w:val="en-GB"/>
        </w:rPr>
        <w:t xml:space="preserve">performance </w:t>
      </w:r>
      <w:r>
        <w:rPr>
          <w:lang w:val="en-GB"/>
        </w:rPr>
        <w:t xml:space="preserve">of models </w:t>
      </w:r>
      <w:proofErr w:type="gramStart"/>
      <w:r>
        <w:rPr>
          <w:lang w:val="en-GB"/>
        </w:rPr>
        <w:t>is tested</w:t>
      </w:r>
      <w:proofErr w:type="gramEnd"/>
      <w:r>
        <w:rPr>
          <w:lang w:val="en-GB"/>
        </w:rPr>
        <w:t xml:space="preserve"> by fitting them</w:t>
      </w:r>
      <w:r w:rsidR="00B86D05" w:rsidRPr="00693599">
        <w:rPr>
          <w:lang w:val="en-GB"/>
        </w:rPr>
        <w:t xml:space="preserve"> to multiple datasets of measured electric and </w:t>
      </w:r>
      <w:r>
        <w:rPr>
          <w:lang w:val="en-GB"/>
        </w:rPr>
        <w:t>thermal demand in the building.</w:t>
      </w:r>
      <w:r w:rsidR="006A15C7">
        <w:rPr>
          <w:lang w:val="en-GB"/>
        </w:rPr>
        <w:t xml:space="preserve"> </w:t>
      </w:r>
      <w:r w:rsidR="006A15C7" w:rsidRPr="006A15C7">
        <w:rPr>
          <w:lang w:val="en-GB"/>
        </w:rPr>
        <w:t xml:space="preserve">The details of the model formulation and calibration criteria </w:t>
      </w:r>
      <w:proofErr w:type="gramStart"/>
      <w:r w:rsidR="006A15C7" w:rsidRPr="006A15C7">
        <w:rPr>
          <w:lang w:val="en-GB"/>
        </w:rPr>
        <w:t>are reported</w:t>
      </w:r>
      <w:proofErr w:type="gramEnd"/>
      <w:r w:rsidR="006A15C7" w:rsidRPr="006A15C7">
        <w:rPr>
          <w:lang w:val="en-GB"/>
        </w:rPr>
        <w:t xml:space="preserve"> in Sections 4.1 and 4.2, respectively; the characteristics of the case study and datasets used in this research are then described in Section 5.</w:t>
      </w:r>
    </w:p>
    <w:p w:rsidR="006A15C7" w:rsidRDefault="006A15C7">
      <w:pPr>
        <w:jc w:val="both"/>
        <w:rPr>
          <w:lang w:val="en-GB"/>
        </w:rPr>
      </w:pPr>
    </w:p>
    <w:p w:rsidR="00B86D05" w:rsidRDefault="00B86D05" w:rsidP="00AF389C">
      <w:pPr>
        <w:jc w:val="both"/>
        <w:rPr>
          <w:lang w:val="en-GB"/>
        </w:rPr>
      </w:pPr>
    </w:p>
    <w:p w:rsidR="00B86D05" w:rsidRPr="00C36C26" w:rsidRDefault="0009263E">
      <w:pPr>
        <w:pStyle w:val="Heading2"/>
        <w:rPr>
          <w:lang w:val="en-GB"/>
        </w:rPr>
      </w:pPr>
      <w:bookmarkStart w:id="6" w:name="_Toc98497997"/>
      <w:r>
        <w:rPr>
          <w:lang w:val="en-GB"/>
        </w:rPr>
        <w:t>Model formulation</w:t>
      </w:r>
      <w:bookmarkEnd w:id="6"/>
    </w:p>
    <w:p w:rsidR="00BC3645" w:rsidRPr="00BD2AFA" w:rsidRDefault="00BC3645">
      <w:pPr>
        <w:tabs>
          <w:tab w:val="left" w:pos="-1134"/>
          <w:tab w:val="left" w:pos="-414"/>
        </w:tabs>
        <w:suppressAutoHyphens/>
        <w:jc w:val="both"/>
        <w:rPr>
          <w:spacing w:val="-3"/>
          <w:highlight w:val="yellow"/>
          <w:lang w:val="en-GB"/>
        </w:rPr>
      </w:pPr>
      <w:r w:rsidRPr="00BC3645">
        <w:rPr>
          <w:spacing w:val="-3"/>
          <w:lang w:val="en-GB"/>
        </w:rPr>
        <w:t xml:space="preserve">While the main goal </w:t>
      </w:r>
      <w:r w:rsidR="00C45841">
        <w:rPr>
          <w:spacing w:val="-3"/>
          <w:lang w:val="en-GB"/>
        </w:rPr>
        <w:t xml:space="preserve">of this research </w:t>
      </w:r>
      <w:r w:rsidRPr="00BC3645">
        <w:rPr>
          <w:spacing w:val="-3"/>
          <w:lang w:val="en-GB"/>
        </w:rPr>
        <w:t xml:space="preserve">is to model the building's energy behaviour using data-driven techniques, energy signatures (i.e. energy demand divided by the number of operating hours in the time interval considered, expressed as an average power) are used in the workflow because </w:t>
      </w:r>
      <w:r w:rsidRPr="00810926">
        <w:rPr>
          <w:spacing w:val="-3"/>
          <w:lang w:val="en-GB"/>
        </w:rPr>
        <w:t xml:space="preserve">of their advantages in terms of approximate physical interpretation, as discussed previously in Section 3. </w:t>
      </w:r>
      <w:proofErr w:type="gramStart"/>
      <w:r w:rsidR="00B86D05" w:rsidRPr="007B6FB5">
        <w:rPr>
          <w:spacing w:val="-3"/>
          <w:lang w:val="en-GB"/>
        </w:rPr>
        <w:t xml:space="preserve">As a result, measured energy data </w:t>
      </w:r>
      <w:r w:rsidR="007B6FB5" w:rsidRPr="00BD2AFA">
        <w:rPr>
          <w:spacing w:val="-3"/>
          <w:lang w:val="en-GB"/>
        </w:rPr>
        <w:t xml:space="preserve">(data gathering) </w:t>
      </w:r>
      <w:r w:rsidR="00B86D05" w:rsidRPr="007B6FB5">
        <w:rPr>
          <w:spacing w:val="-3"/>
          <w:lang w:val="en-GB"/>
        </w:rPr>
        <w:t>are pre-processed to obtain energy signatures</w:t>
      </w:r>
      <w:r w:rsidR="007B6FB5" w:rsidRPr="00BD2AFA">
        <w:rPr>
          <w:spacing w:val="-3"/>
          <w:lang w:val="en-GB"/>
        </w:rPr>
        <w:t xml:space="preserve"> and dummy variables are included (data pre-processing)</w:t>
      </w:r>
      <w:r w:rsidR="00B86D05" w:rsidRPr="007B6FB5">
        <w:rPr>
          <w:spacing w:val="-3"/>
          <w:lang w:val="en-GB"/>
        </w:rPr>
        <w:t xml:space="preserve">, then </w:t>
      </w:r>
      <w:r w:rsidR="006A15C7" w:rsidRPr="00BD2AFA">
        <w:rPr>
          <w:spacing w:val="-3"/>
          <w:lang w:val="en-GB"/>
        </w:rPr>
        <w:t xml:space="preserve">models </w:t>
      </w:r>
      <w:r w:rsidR="007B6FB5" w:rsidRPr="00BD2AFA">
        <w:rPr>
          <w:spacing w:val="-3"/>
          <w:lang w:val="en-GB"/>
        </w:rPr>
        <w:t xml:space="preserve">are </w:t>
      </w:r>
      <w:r w:rsidR="00B86D05" w:rsidRPr="007B6FB5">
        <w:rPr>
          <w:spacing w:val="-3"/>
          <w:lang w:val="en-GB"/>
        </w:rPr>
        <w:t xml:space="preserve">trained </w:t>
      </w:r>
      <w:r w:rsidR="007B6FB5" w:rsidRPr="00BD2AFA">
        <w:rPr>
          <w:spacing w:val="-3"/>
          <w:lang w:val="en-GB"/>
        </w:rPr>
        <w:t xml:space="preserve">on </w:t>
      </w:r>
      <w:r w:rsidR="00B86D05" w:rsidRPr="007B6FB5">
        <w:rPr>
          <w:spacing w:val="-3"/>
          <w:lang w:val="en-GB"/>
        </w:rPr>
        <w:t>energy signatures</w:t>
      </w:r>
      <w:r w:rsidR="007B6FB5" w:rsidRPr="00BD2AFA">
        <w:rPr>
          <w:spacing w:val="-3"/>
          <w:lang w:val="en-GB"/>
        </w:rPr>
        <w:t xml:space="preserve"> (model training) and </w:t>
      </w:r>
      <w:r w:rsidR="00C45841">
        <w:rPr>
          <w:spacing w:val="-3"/>
          <w:lang w:val="en-GB"/>
        </w:rPr>
        <w:t>evaluated</w:t>
      </w:r>
      <w:r w:rsidR="007B6FB5" w:rsidRPr="00BD2AFA">
        <w:rPr>
          <w:spacing w:val="-3"/>
          <w:lang w:val="en-GB"/>
        </w:rPr>
        <w:t xml:space="preserve"> </w:t>
      </w:r>
      <w:proofErr w:type="spellStart"/>
      <w:r w:rsidR="007B6FB5" w:rsidRPr="00BD2AFA">
        <w:rPr>
          <w:spacing w:val="-3"/>
          <w:lang w:val="en-GB"/>
        </w:rPr>
        <w:t>againsts</w:t>
      </w:r>
      <w:proofErr w:type="spellEnd"/>
      <w:r w:rsidR="007B6FB5" w:rsidRPr="00BD2AFA">
        <w:rPr>
          <w:spacing w:val="-3"/>
          <w:lang w:val="en-GB"/>
        </w:rPr>
        <w:t xml:space="preserve"> statistical indicators of goodness of fit (model </w:t>
      </w:r>
      <w:r w:rsidR="002665A1">
        <w:rPr>
          <w:spacing w:val="-3"/>
          <w:lang w:val="en-GB"/>
        </w:rPr>
        <w:t>evaluation</w:t>
      </w:r>
      <w:r w:rsidR="007B6FB5" w:rsidRPr="00BD2AFA">
        <w:rPr>
          <w:spacing w:val="-3"/>
          <w:lang w:val="en-GB"/>
        </w:rPr>
        <w:t xml:space="preserve">); </w:t>
      </w:r>
      <w:r w:rsidR="00B86D05" w:rsidRPr="007B6FB5">
        <w:rPr>
          <w:spacing w:val="-3"/>
          <w:lang w:val="en-GB"/>
        </w:rPr>
        <w:t>finally</w:t>
      </w:r>
      <w:r w:rsidR="007B6FB5" w:rsidRPr="00BD2AFA">
        <w:rPr>
          <w:spacing w:val="-3"/>
          <w:lang w:val="en-GB"/>
        </w:rPr>
        <w:t>, data are</w:t>
      </w:r>
      <w:r w:rsidR="00B86D05" w:rsidRPr="007B6FB5">
        <w:rPr>
          <w:spacing w:val="-3"/>
          <w:lang w:val="en-GB"/>
        </w:rPr>
        <w:t xml:space="preserve"> post-processed </w:t>
      </w:r>
      <w:r w:rsidR="007B6FB5" w:rsidRPr="00BD2AFA">
        <w:rPr>
          <w:spacing w:val="-3"/>
          <w:lang w:val="en-GB"/>
        </w:rPr>
        <w:t>for graphical visualization purpose and both energy and energy signatures are plotted</w:t>
      </w:r>
      <w:r w:rsidR="00C45841">
        <w:rPr>
          <w:spacing w:val="-3"/>
          <w:lang w:val="en-GB"/>
        </w:rPr>
        <w:t xml:space="preserve"> in time and with respect to outdoor air temperature (i.e. the fundamental input variable)</w:t>
      </w:r>
      <w:r w:rsidR="00B86D05" w:rsidRPr="007B6FB5">
        <w:rPr>
          <w:spacing w:val="-3"/>
          <w:lang w:val="en-GB"/>
        </w:rPr>
        <w:t>.</w:t>
      </w:r>
      <w:proofErr w:type="gramEnd"/>
      <w:r w:rsidR="00B86D05" w:rsidRPr="007B6FB5">
        <w:rPr>
          <w:spacing w:val="-3"/>
          <w:lang w:val="en-GB"/>
        </w:rPr>
        <w:t xml:space="preserve"> </w:t>
      </w:r>
      <w:r w:rsidRPr="007B6FB5">
        <w:rPr>
          <w:spacing w:val="-3"/>
          <w:lang w:val="en-GB"/>
        </w:rPr>
        <w:t xml:space="preserve">The overall workflow </w:t>
      </w:r>
      <w:proofErr w:type="gramStart"/>
      <w:r w:rsidRPr="007B6FB5">
        <w:rPr>
          <w:spacing w:val="-3"/>
          <w:lang w:val="en-GB"/>
        </w:rPr>
        <w:t xml:space="preserve">is </w:t>
      </w:r>
      <w:r w:rsidR="007B6FB5" w:rsidRPr="00BD2AFA">
        <w:rPr>
          <w:spacing w:val="-3"/>
          <w:lang w:val="en-GB"/>
        </w:rPr>
        <w:t>summarized</w:t>
      </w:r>
      <w:r w:rsidRPr="007B6FB5">
        <w:rPr>
          <w:spacing w:val="-3"/>
          <w:lang w:val="en-GB"/>
        </w:rPr>
        <w:t xml:space="preserve"> in Figure 1</w:t>
      </w:r>
      <w:r w:rsidR="007B6FB5" w:rsidRPr="00BD2AFA">
        <w:rPr>
          <w:spacing w:val="-3"/>
          <w:lang w:val="en-GB"/>
        </w:rPr>
        <w:t xml:space="preserve"> and explained hereafter in more detail</w:t>
      </w:r>
      <w:proofErr w:type="gramEnd"/>
      <w:r w:rsidRPr="007B6FB5">
        <w:rPr>
          <w:spacing w:val="-3"/>
          <w:lang w:val="en-GB"/>
        </w:rPr>
        <w:t>.</w:t>
      </w:r>
    </w:p>
    <w:p w:rsidR="00BC3645" w:rsidRPr="00BC3645" w:rsidRDefault="00BC3645" w:rsidP="00BC3645">
      <w:pPr>
        <w:tabs>
          <w:tab w:val="left" w:pos="-720"/>
        </w:tabs>
        <w:suppressAutoHyphens/>
        <w:jc w:val="both"/>
        <w:rPr>
          <w:b/>
          <w:bCs/>
          <w:spacing w:val="-3"/>
          <w:highlight w:val="yellow"/>
          <w:lang w:val="en-GB"/>
        </w:rPr>
      </w:pPr>
    </w:p>
    <w:p w:rsidR="00BC3645" w:rsidRPr="007B6FB5" w:rsidRDefault="00BC3645" w:rsidP="00810926">
      <w:pPr>
        <w:jc w:val="center"/>
        <w:rPr>
          <w:spacing w:val="-3"/>
          <w:lang w:val="en-GB"/>
        </w:rPr>
      </w:pPr>
      <w:r w:rsidRPr="00BD2AFA">
        <w:rPr>
          <w:i/>
          <w:color w:val="000000"/>
          <w:lang w:val="en-GB"/>
        </w:rPr>
        <w:t xml:space="preserve">Figure </w:t>
      </w:r>
      <w:r w:rsidRPr="00BD2AFA">
        <w:rPr>
          <w:i/>
          <w:lang w:val="en-GB"/>
        </w:rPr>
        <w:fldChar w:fldCharType="begin"/>
      </w:r>
      <w:r w:rsidRPr="00BD2AFA">
        <w:rPr>
          <w:i/>
          <w:lang w:val="en-GB"/>
        </w:rPr>
        <w:instrText xml:space="preserve"> SEQ Figure \* ARABIC </w:instrText>
      </w:r>
      <w:r w:rsidRPr="00BD2AFA">
        <w:rPr>
          <w:i/>
          <w:lang w:val="en-GB"/>
        </w:rPr>
        <w:fldChar w:fldCharType="separate"/>
      </w:r>
      <w:r w:rsidR="00F324A0" w:rsidRPr="00BD2AFA">
        <w:rPr>
          <w:i/>
          <w:noProof/>
          <w:lang w:val="en-GB"/>
        </w:rPr>
        <w:t>1</w:t>
      </w:r>
      <w:r w:rsidRPr="00BD2AFA">
        <w:rPr>
          <w:i/>
          <w:lang w:val="en-GB"/>
        </w:rPr>
        <w:fldChar w:fldCharType="end"/>
      </w:r>
      <w:r w:rsidRPr="00BD2AFA">
        <w:rPr>
          <w:i/>
          <w:color w:val="000000"/>
          <w:lang w:val="en-GB"/>
        </w:rPr>
        <w:t xml:space="preserve">: Diagram of the modelling </w:t>
      </w:r>
      <w:r w:rsidR="000279BA" w:rsidRPr="007B6FB5">
        <w:rPr>
          <w:i/>
          <w:color w:val="000000"/>
          <w:lang w:val="en-GB"/>
        </w:rPr>
        <w:t>workflow</w:t>
      </w:r>
    </w:p>
    <w:p w:rsidR="00BC3645" w:rsidRDefault="005869BB" w:rsidP="00BD2AFA">
      <w:pPr>
        <w:tabs>
          <w:tab w:val="left" w:pos="-1134"/>
          <w:tab w:val="left" w:pos="-414"/>
        </w:tabs>
        <w:suppressAutoHyphens/>
        <w:jc w:val="center"/>
        <w:rPr>
          <w:spacing w:val="-3"/>
          <w:lang w:val="en-GB"/>
        </w:rPr>
      </w:pPr>
      <w:r>
        <w:rPr>
          <w:noProof/>
          <w:spacing w:val="-3"/>
          <w:lang w:val="en-GB" w:eastAsia="zh-CN"/>
        </w:rPr>
        <w:drawing>
          <wp:inline distT="0" distB="0" distL="0" distR="0">
            <wp:extent cx="5391150" cy="1531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1531620"/>
                    </a:xfrm>
                    <a:prstGeom prst="rect">
                      <a:avLst/>
                    </a:prstGeom>
                    <a:noFill/>
                    <a:ln>
                      <a:noFill/>
                    </a:ln>
                  </pic:spPr>
                </pic:pic>
              </a:graphicData>
            </a:graphic>
          </wp:inline>
        </w:drawing>
      </w:r>
    </w:p>
    <w:p w:rsidR="006A15C7" w:rsidRDefault="006A15C7">
      <w:pPr>
        <w:tabs>
          <w:tab w:val="left" w:pos="-1134"/>
          <w:tab w:val="left" w:pos="-414"/>
        </w:tabs>
        <w:suppressAutoHyphens/>
        <w:jc w:val="both"/>
        <w:rPr>
          <w:spacing w:val="-3"/>
          <w:lang w:val="en-GB"/>
        </w:rPr>
      </w:pPr>
    </w:p>
    <w:p w:rsidR="008753A1" w:rsidRDefault="007B6FB5" w:rsidP="007B6FB5">
      <w:pPr>
        <w:tabs>
          <w:tab w:val="left" w:pos="-1134"/>
          <w:tab w:val="left" w:pos="-414"/>
        </w:tabs>
        <w:suppressAutoHyphens/>
        <w:jc w:val="both"/>
        <w:rPr>
          <w:spacing w:val="-3"/>
          <w:lang w:val="en-GB"/>
        </w:rPr>
      </w:pPr>
      <w:r>
        <w:rPr>
          <w:spacing w:val="-3"/>
          <w:lang w:val="en-GB"/>
        </w:rPr>
        <w:t>T</w:t>
      </w:r>
      <w:r w:rsidR="00B86D05" w:rsidRPr="005C2F3C">
        <w:rPr>
          <w:spacing w:val="-3"/>
          <w:lang w:val="en-GB"/>
        </w:rPr>
        <w:t>he goal of th</w:t>
      </w:r>
      <w:r>
        <w:rPr>
          <w:spacing w:val="-3"/>
          <w:lang w:val="en-GB"/>
        </w:rPr>
        <w:t xml:space="preserve">e </w:t>
      </w:r>
      <w:r w:rsidR="00B86D05" w:rsidRPr="005C2F3C">
        <w:rPr>
          <w:spacing w:val="-3"/>
          <w:lang w:val="en-GB"/>
        </w:rPr>
        <w:t>formulation</w:t>
      </w:r>
      <w:r>
        <w:rPr>
          <w:spacing w:val="-3"/>
          <w:lang w:val="en-GB"/>
        </w:rPr>
        <w:t xml:space="preserve"> presented</w:t>
      </w:r>
      <w:r w:rsidR="00B86D05" w:rsidRPr="005C2F3C">
        <w:rPr>
          <w:spacing w:val="-3"/>
          <w:lang w:val="en-GB"/>
        </w:rPr>
        <w:t xml:space="preserve"> is to obtain a multi-output regression model that can then evolve and incorporate other analytical formulations to enable a more in-depth (physics-informed) ana</w:t>
      </w:r>
      <w:r w:rsidR="00B86D05">
        <w:rPr>
          <w:spacing w:val="-3"/>
          <w:lang w:val="en-GB"/>
        </w:rPr>
        <w:t xml:space="preserve">lysis of the model coefficients, following the arguments presented in </w:t>
      </w:r>
      <w:r w:rsidR="00B86D05">
        <w:rPr>
          <w:spacing w:val="-3"/>
          <w:lang w:val="en-GB"/>
        </w:rPr>
        <w:lastRenderedPageBreak/>
        <w:t>Section 3</w:t>
      </w:r>
      <w:r w:rsidR="008753A1">
        <w:rPr>
          <w:spacing w:val="-3"/>
          <w:lang w:val="en-GB"/>
        </w:rPr>
        <w:t xml:space="preserve"> and recalled at the beginning of this Section</w:t>
      </w:r>
      <w:r w:rsidR="00B86D05">
        <w:rPr>
          <w:spacing w:val="-3"/>
          <w:lang w:val="en-GB"/>
        </w:rPr>
        <w:t xml:space="preserve">. To this end, </w:t>
      </w:r>
      <w:r w:rsidR="002537BB">
        <w:rPr>
          <w:spacing w:val="-3"/>
          <w:lang w:val="en-GB"/>
        </w:rPr>
        <w:t xml:space="preserve">the </w:t>
      </w:r>
      <w:r w:rsidR="00B86D05" w:rsidRPr="00314B5D">
        <w:rPr>
          <w:spacing w:val="-3"/>
          <w:lang w:val="en-GB"/>
        </w:rPr>
        <w:t>different</w:t>
      </w:r>
      <w:r w:rsidR="00B86D05">
        <w:rPr>
          <w:spacing w:val="-3"/>
          <w:lang w:val="en-GB"/>
        </w:rPr>
        <w:t xml:space="preserve"> individual</w:t>
      </w:r>
      <w:r w:rsidR="00B86D05" w:rsidRPr="00314B5D">
        <w:rPr>
          <w:spacing w:val="-3"/>
          <w:lang w:val="en-GB"/>
        </w:rPr>
        <w:t xml:space="preserve"> regression model</w:t>
      </w:r>
      <w:r w:rsidR="00B86D05">
        <w:rPr>
          <w:spacing w:val="-3"/>
          <w:lang w:val="en-GB"/>
        </w:rPr>
        <w:t>s</w:t>
      </w:r>
      <w:r w:rsidR="002537BB">
        <w:rPr>
          <w:spacing w:val="-3"/>
          <w:lang w:val="en-GB"/>
        </w:rPr>
        <w:t xml:space="preserve"> are combined</w:t>
      </w:r>
      <w:r w:rsidR="00B86D05" w:rsidRPr="00314B5D">
        <w:rPr>
          <w:spacing w:val="-3"/>
          <w:lang w:val="en-GB"/>
        </w:rPr>
        <w:t xml:space="preserve"> using dummy variables (0-1, binary variables)</w:t>
      </w:r>
      <w:r w:rsidR="006A15C7">
        <w:rPr>
          <w:spacing w:val="-3"/>
          <w:lang w:val="en-GB"/>
        </w:rPr>
        <w:t xml:space="preserve"> </w:t>
      </w:r>
      <w:r w:rsidR="006A15C7">
        <w:rPr>
          <w:spacing w:val="-3"/>
          <w:lang w:val="en-GB"/>
        </w:rPr>
        <w:fldChar w:fldCharType="begin" w:fldLock="1"/>
      </w:r>
      <w:r w:rsidR="006A236D">
        <w:rPr>
          <w:spacing w:val="-3"/>
          <w:lang w:val="en-GB"/>
        </w:rPr>
        <w:instrText>ADDIN CSL_CITATION { "citationItems" : [ { "id" : "ITEM-1", "itemData" : { "DOI" : "10.1155/2013/101376", "ISSN" : "1024-123X", "abstract" : "Various optimization problems in engineering and management are formulated as nonlinear programming problems. Because of the nonconvexity nature of this kind of problems, no efficient approach is available to derive the global optimum of the problems. How to locate a global optimal solution of a nonlinear programming problem is an important issue in optimization theory. In the last few decades, piecewise linearization methods have been widely applied to convert a nonlinear programming problem into a linear programming problem or a mixed-integer convex programming problem for obtaining an approximated global optimal solution. In the transformation process, extra binary variables, continuous variables, and constraints are introduced to reformulate the original problem. These extra variables and constraints mainly determine the solution efficiency of the converted problem. This study therefore provides a review of piecewise linearization methods and analyzes the computational efficiency of various piecewise linearization methods.", "author" : [ { "dropping-particle" : "", "family" : "Lin", "given" : "Ming-Hua", "non-dropping-particle" : "", "parse-names" : false, "suffix" : "" }, { "dropping-particle" : "", "family" : "Carlsson", "given" : "John Gunnar", "non-dropping-particle" : "", "parse-names" : false, "suffix" : "" }, { "dropping-particle" : "", "family" : "Ge", "given" : "Dongdong", "non-dropping-particle" : "", "parse-names" : false, "suffix" : "" }, { "dropping-particle" : "", "family" : "Shi", "given" : "Jianming", "non-dropping-particle" : "", "parse-names" : false, "suffix" : "" }, { "dropping-particle" : "", "family" : "Tsai", "given" : "Jung-Fa", "non-dropping-particle" : "", "parse-names" : false, "suffix" : "" } ], "container-title" : "Mathematical Problems in Engineering", "editor" : [ { "dropping-particle" : "", "family" : "Hu", "given" : "Yi-Chung", "non-dropping-particle" : "", "parse-names" : false, "suffix" : "" } ], "id" : "ITEM-1", "issued" : { "date-parts" : [ [ "2013" ] ] }, "page" : "101376", "publisher" : "Hindawi Publishing Corporation", "title" : "A Review of Piecewise Linearization Methods", "type" : "article-journal", "volume" : "2013" }, "uris" : [ "http://www.mendeley.com/documents/?uuid=e9a3d766-a751-4339-aaf3-f7ead45c46ca" ] } ], "mendeley" : { "formattedCitation" : "[47]", "plainTextFormattedCitation" : "[47]", "previouslyFormattedCitation" : "[47]" }, "properties" : { "noteIndex" : 0 }, "schema" : "https://github.com/citation-style-language/schema/raw/master/csl-citation.json" }</w:instrText>
      </w:r>
      <w:r w:rsidR="006A15C7">
        <w:rPr>
          <w:spacing w:val="-3"/>
          <w:lang w:val="en-GB"/>
        </w:rPr>
        <w:fldChar w:fldCharType="separate"/>
      </w:r>
      <w:r w:rsidR="0023172C" w:rsidRPr="0023172C">
        <w:rPr>
          <w:noProof/>
          <w:spacing w:val="-3"/>
          <w:lang w:val="en-GB"/>
        </w:rPr>
        <w:t>[47]</w:t>
      </w:r>
      <w:r w:rsidR="006A15C7">
        <w:rPr>
          <w:spacing w:val="-3"/>
          <w:lang w:val="en-GB"/>
        </w:rPr>
        <w:fldChar w:fldCharType="end"/>
      </w:r>
      <w:r w:rsidR="00B86D05" w:rsidRPr="00314B5D">
        <w:rPr>
          <w:spacing w:val="-3"/>
          <w:lang w:val="en-GB"/>
        </w:rPr>
        <w:t xml:space="preserve"> in order to obtain a single model that can be used in a flexible way for all the datasets</w:t>
      </w:r>
      <w:r w:rsidR="00B86D05">
        <w:rPr>
          <w:spacing w:val="-3"/>
          <w:lang w:val="en-GB"/>
        </w:rPr>
        <w:t xml:space="preserve"> of monitored energy data, reported in Section </w:t>
      </w:r>
      <w:r w:rsidR="003D7E10">
        <w:rPr>
          <w:spacing w:val="-3"/>
          <w:lang w:val="en-GB"/>
        </w:rPr>
        <w:t>5</w:t>
      </w:r>
      <w:r w:rsidR="00B86D05">
        <w:rPr>
          <w:spacing w:val="-3"/>
          <w:lang w:val="en-GB"/>
        </w:rPr>
        <w:t>.</w:t>
      </w:r>
    </w:p>
    <w:p w:rsidR="00B86D05" w:rsidRDefault="005320A0" w:rsidP="007B6FB5">
      <w:pPr>
        <w:tabs>
          <w:tab w:val="left" w:pos="-1134"/>
          <w:tab w:val="left" w:pos="-414"/>
        </w:tabs>
        <w:suppressAutoHyphens/>
        <w:jc w:val="both"/>
        <w:rPr>
          <w:spacing w:val="-3"/>
          <w:lang w:val="en-GB"/>
        </w:rPr>
      </w:pPr>
      <w:r>
        <w:rPr>
          <w:spacing w:val="-3"/>
          <w:lang w:val="en-GB"/>
        </w:rPr>
        <w:t xml:space="preserve">The rules to create </w:t>
      </w:r>
      <w:r w:rsidR="00B86D05" w:rsidRPr="00314B5D">
        <w:rPr>
          <w:spacing w:val="-3"/>
          <w:lang w:val="en-GB"/>
        </w:rPr>
        <w:t>dummy variables (and including them as additional variables in t</w:t>
      </w:r>
      <w:r w:rsidR="002537BB">
        <w:rPr>
          <w:spacing w:val="-3"/>
          <w:lang w:val="en-GB"/>
        </w:rPr>
        <w:t xml:space="preserve">he datasets) </w:t>
      </w:r>
      <w:proofErr w:type="gramStart"/>
      <w:r w:rsidR="002537BB">
        <w:rPr>
          <w:spacing w:val="-3"/>
          <w:lang w:val="en-GB"/>
        </w:rPr>
        <w:t>are summarized</w:t>
      </w:r>
      <w:proofErr w:type="gramEnd"/>
      <w:r w:rsidR="002537BB">
        <w:rPr>
          <w:spacing w:val="-3"/>
          <w:lang w:val="en-GB"/>
        </w:rPr>
        <w:t xml:space="preserve"> in Table 2</w:t>
      </w:r>
      <w:r w:rsidR="00CE4DB1">
        <w:rPr>
          <w:spacing w:val="-3"/>
          <w:lang w:val="en-GB"/>
        </w:rPr>
        <w:t xml:space="preserve"> and </w:t>
      </w:r>
      <w:r>
        <w:rPr>
          <w:spacing w:val="-3"/>
          <w:lang w:val="en-GB"/>
        </w:rPr>
        <w:t>illustrated</w:t>
      </w:r>
      <w:r w:rsidR="00CE4DB1">
        <w:rPr>
          <w:spacing w:val="-3"/>
          <w:lang w:val="en-GB"/>
        </w:rPr>
        <w:t xml:space="preserve"> more in detail later in this Section</w:t>
      </w:r>
      <w:r>
        <w:rPr>
          <w:spacing w:val="-3"/>
          <w:lang w:val="en-GB"/>
        </w:rPr>
        <w:t xml:space="preserve"> with respect to model formulation.</w:t>
      </w:r>
    </w:p>
    <w:p w:rsidR="00A3593F" w:rsidRDefault="00A3593F">
      <w:pPr>
        <w:tabs>
          <w:tab w:val="left" w:pos="-1134"/>
          <w:tab w:val="left" w:pos="-414"/>
        </w:tabs>
        <w:suppressAutoHyphens/>
        <w:jc w:val="both"/>
        <w:rPr>
          <w:spacing w:val="-3"/>
          <w:lang w:val="en-US"/>
        </w:rPr>
      </w:pPr>
    </w:p>
    <w:p w:rsidR="00291A69" w:rsidRPr="00CE4DB1" w:rsidRDefault="00291A69" w:rsidP="00810926">
      <w:pPr>
        <w:jc w:val="center"/>
        <w:rPr>
          <w:i/>
          <w:color w:val="000000"/>
          <w:lang w:val="en-GB"/>
        </w:rPr>
      </w:pPr>
      <w:r w:rsidRPr="00CE4DB1">
        <w:rPr>
          <w:i/>
          <w:color w:val="000000"/>
          <w:lang w:val="en-GB"/>
        </w:rPr>
        <w:t xml:space="preserve">Table </w:t>
      </w:r>
      <w:r w:rsidRPr="007B6FB5">
        <w:rPr>
          <w:i/>
          <w:lang w:val="en-GB"/>
        </w:rPr>
        <w:fldChar w:fldCharType="begin"/>
      </w:r>
      <w:r w:rsidRPr="00CE4DB1">
        <w:rPr>
          <w:i/>
          <w:lang w:val="en-GB"/>
        </w:rPr>
        <w:instrText xml:space="preserve"> SEQ Table \* ARABIC </w:instrText>
      </w:r>
      <w:r w:rsidRPr="007B6FB5">
        <w:rPr>
          <w:i/>
          <w:lang w:val="en-GB"/>
        </w:rPr>
        <w:fldChar w:fldCharType="separate"/>
      </w:r>
      <w:r w:rsidR="00F324A0">
        <w:rPr>
          <w:i/>
          <w:noProof/>
          <w:lang w:val="en-GB"/>
        </w:rPr>
        <w:t>2</w:t>
      </w:r>
      <w:r w:rsidRPr="007B6FB5">
        <w:rPr>
          <w:i/>
          <w:lang w:val="en-GB"/>
        </w:rPr>
        <w:fldChar w:fldCharType="end"/>
      </w:r>
      <w:r w:rsidRPr="00CE4DB1">
        <w:rPr>
          <w:i/>
          <w:color w:val="000000"/>
          <w:lang w:val="en-GB"/>
        </w:rPr>
        <w:t xml:space="preserve">: Rules for dummy </w:t>
      </w:r>
      <w:r w:rsidR="006A15C7" w:rsidRPr="00BD2AFA">
        <w:rPr>
          <w:i/>
          <w:color w:val="000000"/>
          <w:lang w:val="en-GB"/>
        </w:rPr>
        <w:t xml:space="preserve">(binary) </w:t>
      </w:r>
      <w:r w:rsidRPr="00CE4DB1">
        <w:rPr>
          <w:i/>
          <w:color w:val="000000"/>
          <w:lang w:val="en-GB"/>
        </w:rPr>
        <w:t>variables creation</w:t>
      </w:r>
    </w:p>
    <w:tbl>
      <w:tblPr>
        <w:tblW w:w="0" w:type="auto"/>
        <w:jc w:val="center"/>
        <w:tblLayout w:type="fixed"/>
        <w:tblLook w:val="04A0" w:firstRow="1" w:lastRow="0" w:firstColumn="1" w:lastColumn="0" w:noHBand="0" w:noVBand="1"/>
      </w:tblPr>
      <w:tblGrid>
        <w:gridCol w:w="709"/>
        <w:gridCol w:w="5245"/>
        <w:gridCol w:w="992"/>
      </w:tblGrid>
      <w:tr w:rsidR="00B4338B" w:rsidRPr="00CE4DB1" w:rsidTr="00BD2AFA">
        <w:trPr>
          <w:jc w:val="center"/>
        </w:trPr>
        <w:tc>
          <w:tcPr>
            <w:tcW w:w="709" w:type="dxa"/>
            <w:tcBorders>
              <w:top w:val="single" w:sz="4" w:space="0" w:color="auto"/>
              <w:bottom w:val="single" w:sz="4" w:space="0" w:color="auto"/>
            </w:tcBorders>
            <w:shd w:val="clear" w:color="auto" w:fill="auto"/>
          </w:tcPr>
          <w:p w:rsidR="00B4338B" w:rsidRPr="00BD2AFA" w:rsidRDefault="00CE4DB1" w:rsidP="00CE4DB1">
            <w:pPr>
              <w:pStyle w:val="table"/>
              <w:rPr>
                <w:rFonts w:ascii="Times New Roman" w:hAnsi="Times New Roman"/>
                <w:b/>
                <w:sz w:val="18"/>
                <w:szCs w:val="18"/>
                <w:lang w:eastAsia="en-GB"/>
              </w:rPr>
            </w:pPr>
            <w:r w:rsidRPr="00BD2AFA">
              <w:rPr>
                <w:rFonts w:ascii="Times New Roman" w:hAnsi="Times New Roman"/>
                <w:b/>
                <w:sz w:val="18"/>
                <w:szCs w:val="18"/>
                <w:lang w:eastAsia="en-GB"/>
              </w:rPr>
              <w:t>Rule</w:t>
            </w:r>
          </w:p>
        </w:tc>
        <w:tc>
          <w:tcPr>
            <w:tcW w:w="5245" w:type="dxa"/>
            <w:tcBorders>
              <w:top w:val="single" w:sz="4" w:space="0" w:color="auto"/>
              <w:bottom w:val="single" w:sz="4" w:space="0" w:color="auto"/>
            </w:tcBorders>
            <w:shd w:val="clear" w:color="auto" w:fill="auto"/>
            <w:vAlign w:val="center"/>
          </w:tcPr>
          <w:p w:rsidR="00B4338B" w:rsidRPr="00BD2AFA" w:rsidRDefault="00B4338B" w:rsidP="00BD2AFA">
            <w:pPr>
              <w:pStyle w:val="table"/>
              <w:jc w:val="left"/>
              <w:rPr>
                <w:rFonts w:ascii="Times New Roman" w:hAnsi="Times New Roman"/>
                <w:b/>
                <w:sz w:val="18"/>
                <w:szCs w:val="18"/>
                <w:lang w:eastAsia="en-GB"/>
              </w:rPr>
            </w:pPr>
            <w:r w:rsidRPr="00BD2AFA">
              <w:rPr>
                <w:rFonts w:ascii="Times New Roman" w:hAnsi="Times New Roman"/>
                <w:b/>
                <w:sz w:val="18"/>
                <w:szCs w:val="18"/>
                <w:lang w:eastAsia="en-GB"/>
              </w:rPr>
              <w:t>Description</w:t>
            </w:r>
          </w:p>
        </w:tc>
        <w:tc>
          <w:tcPr>
            <w:tcW w:w="992" w:type="dxa"/>
            <w:tcBorders>
              <w:top w:val="single" w:sz="4" w:space="0" w:color="auto"/>
              <w:bottom w:val="single" w:sz="4" w:space="0" w:color="auto"/>
            </w:tcBorders>
            <w:shd w:val="clear" w:color="auto" w:fill="auto"/>
            <w:vAlign w:val="center"/>
          </w:tcPr>
          <w:p w:rsidR="00B4338B" w:rsidRPr="00BD2AFA" w:rsidRDefault="00B4338B" w:rsidP="00CE4DB1">
            <w:pPr>
              <w:pStyle w:val="table"/>
              <w:rPr>
                <w:rFonts w:ascii="Times New Roman" w:hAnsi="Times New Roman"/>
                <w:b/>
                <w:sz w:val="18"/>
                <w:szCs w:val="18"/>
                <w:lang w:eastAsia="en-GB"/>
              </w:rPr>
            </w:pPr>
            <w:r w:rsidRPr="00BD2AFA">
              <w:rPr>
                <w:rFonts w:ascii="Times New Roman" w:hAnsi="Times New Roman"/>
                <w:b/>
                <w:sz w:val="18"/>
                <w:szCs w:val="18"/>
                <w:lang w:eastAsia="en-GB"/>
              </w:rPr>
              <w:t>Variable</w:t>
            </w:r>
            <w:r w:rsidR="00CE4DB1" w:rsidRPr="00BD2AFA">
              <w:rPr>
                <w:rFonts w:ascii="Times New Roman" w:hAnsi="Times New Roman"/>
                <w:b/>
                <w:sz w:val="18"/>
                <w:szCs w:val="18"/>
                <w:lang w:eastAsia="en-GB"/>
              </w:rPr>
              <w:t>s</w:t>
            </w:r>
          </w:p>
        </w:tc>
      </w:tr>
      <w:tr w:rsidR="00B4338B" w:rsidRPr="00CE4DB1" w:rsidTr="00BD2AFA">
        <w:trPr>
          <w:jc w:val="center"/>
        </w:trPr>
        <w:tc>
          <w:tcPr>
            <w:tcW w:w="709" w:type="dxa"/>
            <w:tcBorders>
              <w:top w:val="single" w:sz="4" w:space="0" w:color="auto"/>
              <w:bottom w:val="single" w:sz="4" w:space="0" w:color="auto"/>
            </w:tcBorders>
            <w:shd w:val="clear" w:color="auto" w:fill="auto"/>
          </w:tcPr>
          <w:p w:rsidR="00B4338B" w:rsidRPr="00BD2AFA" w:rsidRDefault="00B4338B" w:rsidP="00CE4DB1">
            <w:pPr>
              <w:pStyle w:val="table"/>
              <w:rPr>
                <w:rFonts w:ascii="Times New Roman" w:hAnsi="Times New Roman"/>
                <w:sz w:val="18"/>
                <w:szCs w:val="18"/>
                <w:lang w:eastAsia="en-GB"/>
              </w:rPr>
            </w:pPr>
            <w:r w:rsidRPr="00BD2AFA">
              <w:rPr>
                <w:rFonts w:ascii="Times New Roman" w:hAnsi="Times New Roman"/>
                <w:sz w:val="18"/>
                <w:szCs w:val="18"/>
                <w:lang w:eastAsia="en-GB"/>
              </w:rPr>
              <w:t>1</w:t>
            </w:r>
          </w:p>
        </w:tc>
        <w:tc>
          <w:tcPr>
            <w:tcW w:w="5245" w:type="dxa"/>
            <w:tcBorders>
              <w:top w:val="single" w:sz="4" w:space="0" w:color="auto"/>
              <w:bottom w:val="single" w:sz="4" w:space="0" w:color="auto"/>
            </w:tcBorders>
            <w:shd w:val="clear" w:color="auto" w:fill="auto"/>
          </w:tcPr>
          <w:p w:rsidR="00B4338B" w:rsidRPr="00BD2AFA" w:rsidRDefault="00CE4DB1" w:rsidP="00BD2AFA">
            <w:pPr>
              <w:pStyle w:val="table"/>
              <w:jc w:val="both"/>
              <w:rPr>
                <w:rFonts w:ascii="Times New Roman" w:hAnsi="Times New Roman"/>
                <w:sz w:val="18"/>
                <w:szCs w:val="18"/>
                <w:lang w:eastAsia="en-GB"/>
              </w:rPr>
            </w:pPr>
            <w:r w:rsidRPr="00BD2AFA">
              <w:rPr>
                <w:rFonts w:ascii="Times New Roman" w:hAnsi="Times New Roman"/>
                <w:sz w:val="18"/>
                <w:szCs w:val="18"/>
                <w:lang w:eastAsia="en-GB"/>
              </w:rPr>
              <w:t>If</w:t>
            </w:r>
            <w:r w:rsidR="00B4338B" w:rsidRPr="00BD2AFA">
              <w:rPr>
                <w:rFonts w:ascii="Times New Roman" w:hAnsi="Times New Roman"/>
                <w:sz w:val="18"/>
                <w:szCs w:val="18"/>
                <w:lang w:eastAsia="en-GB"/>
              </w:rPr>
              <w:t xml:space="preserve"> the energy demand is greater than 0 for the corresponding sub-model (e.g. heating, cooling or base load), then dummy variable is equal to 1</w:t>
            </w:r>
            <w:r w:rsidRPr="00CE4DB1">
              <w:rPr>
                <w:rFonts w:ascii="Times New Roman" w:hAnsi="Times New Roman"/>
                <w:sz w:val="18"/>
                <w:szCs w:val="18"/>
                <w:lang w:eastAsia="en-GB"/>
              </w:rPr>
              <w:t>.</w:t>
            </w:r>
          </w:p>
        </w:tc>
        <w:tc>
          <w:tcPr>
            <w:tcW w:w="992" w:type="dxa"/>
            <w:tcBorders>
              <w:top w:val="single" w:sz="4" w:space="0" w:color="auto"/>
              <w:bottom w:val="single" w:sz="4" w:space="0" w:color="auto"/>
            </w:tcBorders>
            <w:shd w:val="clear" w:color="auto" w:fill="auto"/>
            <w:vAlign w:val="center"/>
          </w:tcPr>
          <w:p w:rsidR="00B4338B" w:rsidRPr="00BD2AFA" w:rsidRDefault="00CE4DB1">
            <w:pPr>
              <w:pStyle w:val="table"/>
              <w:rPr>
                <w:rFonts w:ascii="Times New Roman" w:hAnsi="Times New Roman"/>
                <w:i/>
                <w:iCs/>
                <w:sz w:val="18"/>
                <w:szCs w:val="18"/>
                <w:lang w:eastAsia="en-GB"/>
              </w:rPr>
            </w:pPr>
            <w:proofErr w:type="spellStart"/>
            <w:r w:rsidRPr="00BD2AFA">
              <w:rPr>
                <w:rFonts w:ascii="Times New Roman" w:hAnsi="Times New Roman"/>
                <w:i/>
                <w:iCs/>
                <w:sz w:val="18"/>
                <w:szCs w:val="18"/>
                <w:lang w:eastAsia="en-GB"/>
              </w:rPr>
              <w:t>X</w:t>
            </w:r>
            <w:r w:rsidRPr="00BD2AFA">
              <w:rPr>
                <w:rFonts w:ascii="Times New Roman" w:hAnsi="Times New Roman"/>
                <w:i/>
                <w:iCs/>
                <w:sz w:val="18"/>
                <w:szCs w:val="18"/>
                <w:vertAlign w:val="subscript"/>
                <w:lang w:eastAsia="en-GB"/>
              </w:rPr>
              <w:t>h</w:t>
            </w:r>
            <w:proofErr w:type="spellEnd"/>
            <w:r w:rsidRPr="00BD2AFA">
              <w:rPr>
                <w:rFonts w:ascii="Times New Roman" w:hAnsi="Times New Roman"/>
                <w:i/>
                <w:iCs/>
                <w:sz w:val="18"/>
                <w:szCs w:val="18"/>
                <w:lang w:eastAsia="en-GB"/>
              </w:rPr>
              <w:t xml:space="preserve">, </w:t>
            </w:r>
            <w:proofErr w:type="spellStart"/>
            <w:r w:rsidRPr="00BD2AFA">
              <w:rPr>
                <w:rFonts w:ascii="Times New Roman" w:hAnsi="Times New Roman"/>
                <w:i/>
                <w:iCs/>
                <w:sz w:val="18"/>
                <w:szCs w:val="18"/>
                <w:lang w:eastAsia="en-GB"/>
              </w:rPr>
              <w:t>X</w:t>
            </w:r>
            <w:r w:rsidRPr="00BD2AFA">
              <w:rPr>
                <w:rFonts w:ascii="Times New Roman" w:hAnsi="Times New Roman"/>
                <w:i/>
                <w:iCs/>
                <w:sz w:val="18"/>
                <w:szCs w:val="18"/>
                <w:vertAlign w:val="subscript"/>
                <w:lang w:eastAsia="en-GB"/>
              </w:rPr>
              <w:t>b</w:t>
            </w:r>
            <w:proofErr w:type="spellEnd"/>
            <w:r w:rsidRPr="00BD2AFA">
              <w:rPr>
                <w:rFonts w:ascii="Times New Roman" w:hAnsi="Times New Roman"/>
                <w:i/>
                <w:iCs/>
                <w:sz w:val="18"/>
                <w:szCs w:val="18"/>
                <w:lang w:eastAsia="en-GB"/>
              </w:rPr>
              <w:t xml:space="preserve">, </w:t>
            </w:r>
            <w:proofErr w:type="spellStart"/>
            <w:r w:rsidRPr="00BD2AFA">
              <w:rPr>
                <w:rFonts w:ascii="Times New Roman" w:hAnsi="Times New Roman"/>
                <w:i/>
                <w:iCs/>
                <w:sz w:val="18"/>
                <w:szCs w:val="18"/>
                <w:lang w:eastAsia="en-GB"/>
              </w:rPr>
              <w:t>X</w:t>
            </w:r>
            <w:r w:rsidRPr="00BD2AFA">
              <w:rPr>
                <w:rFonts w:ascii="Times New Roman" w:hAnsi="Times New Roman"/>
                <w:i/>
                <w:iCs/>
                <w:sz w:val="18"/>
                <w:szCs w:val="18"/>
                <w:vertAlign w:val="subscript"/>
                <w:lang w:eastAsia="en-GB"/>
              </w:rPr>
              <w:t>c</w:t>
            </w:r>
            <w:proofErr w:type="spellEnd"/>
          </w:p>
        </w:tc>
      </w:tr>
      <w:tr w:rsidR="00B4338B" w:rsidRPr="00452BF8" w:rsidTr="00BD2AFA">
        <w:trPr>
          <w:jc w:val="center"/>
        </w:trPr>
        <w:tc>
          <w:tcPr>
            <w:tcW w:w="709" w:type="dxa"/>
            <w:tcBorders>
              <w:top w:val="single" w:sz="4" w:space="0" w:color="auto"/>
              <w:bottom w:val="single" w:sz="4" w:space="0" w:color="auto"/>
            </w:tcBorders>
            <w:shd w:val="clear" w:color="auto" w:fill="auto"/>
          </w:tcPr>
          <w:p w:rsidR="00B4338B" w:rsidRPr="00BD2AFA" w:rsidRDefault="00B4338B" w:rsidP="00CE4DB1">
            <w:pPr>
              <w:pStyle w:val="table"/>
              <w:rPr>
                <w:rFonts w:ascii="Times New Roman" w:hAnsi="Times New Roman"/>
                <w:sz w:val="18"/>
                <w:szCs w:val="18"/>
                <w:lang w:eastAsia="en-GB"/>
              </w:rPr>
            </w:pPr>
            <w:r w:rsidRPr="00BD2AFA">
              <w:rPr>
                <w:rFonts w:ascii="Times New Roman" w:hAnsi="Times New Roman"/>
                <w:sz w:val="18"/>
                <w:szCs w:val="18"/>
                <w:lang w:eastAsia="en-GB"/>
              </w:rPr>
              <w:t>2</w:t>
            </w:r>
          </w:p>
        </w:tc>
        <w:tc>
          <w:tcPr>
            <w:tcW w:w="5245" w:type="dxa"/>
            <w:tcBorders>
              <w:top w:val="single" w:sz="4" w:space="0" w:color="auto"/>
              <w:bottom w:val="single" w:sz="4" w:space="0" w:color="auto"/>
            </w:tcBorders>
            <w:shd w:val="clear" w:color="auto" w:fill="auto"/>
          </w:tcPr>
          <w:p w:rsidR="00B4338B" w:rsidRPr="00BD2AFA" w:rsidRDefault="00CE4DB1" w:rsidP="00BD2AFA">
            <w:pPr>
              <w:pStyle w:val="table"/>
              <w:jc w:val="both"/>
              <w:rPr>
                <w:rFonts w:ascii="Times New Roman" w:hAnsi="Times New Roman"/>
                <w:sz w:val="18"/>
                <w:szCs w:val="18"/>
                <w:lang w:eastAsia="en-GB"/>
              </w:rPr>
            </w:pPr>
            <w:r w:rsidRPr="00CE4DB1">
              <w:rPr>
                <w:rFonts w:ascii="Times New Roman" w:hAnsi="Times New Roman"/>
                <w:sz w:val="18"/>
                <w:szCs w:val="18"/>
                <w:lang w:eastAsia="en-GB"/>
              </w:rPr>
              <w:t>I</w:t>
            </w:r>
            <w:r w:rsidR="00B4338B" w:rsidRPr="00CE4DB1">
              <w:rPr>
                <w:rFonts w:ascii="Times New Roman" w:hAnsi="Times New Roman"/>
                <w:sz w:val="18"/>
                <w:szCs w:val="18"/>
                <w:lang w:eastAsia="en-GB"/>
              </w:rPr>
              <w:t>f the outdoor air temperature is lower than balance point temperature for heating</w:t>
            </w:r>
            <w:r w:rsidR="00452BF8">
              <w:rPr>
                <w:rFonts w:ascii="Times New Roman" w:hAnsi="Times New Roman"/>
                <w:sz w:val="18"/>
                <w:szCs w:val="18"/>
                <w:lang w:eastAsia="en-GB"/>
              </w:rPr>
              <w:t xml:space="preserve"> (i.e. heating base temperature)</w:t>
            </w:r>
            <w:r w:rsidR="00B4338B" w:rsidRPr="00CE4DB1">
              <w:rPr>
                <w:rFonts w:ascii="Times New Roman" w:hAnsi="Times New Roman"/>
                <w:sz w:val="18"/>
                <w:szCs w:val="18"/>
                <w:lang w:eastAsia="en-GB"/>
              </w:rPr>
              <w:t>, the dummy variable for heating is equal to 1</w:t>
            </w:r>
            <w:r w:rsidRPr="00CE4DB1">
              <w:rPr>
                <w:rFonts w:ascii="Times New Roman" w:hAnsi="Times New Roman"/>
                <w:sz w:val="18"/>
                <w:szCs w:val="18"/>
                <w:lang w:eastAsia="en-GB"/>
              </w:rPr>
              <w:t>.</w:t>
            </w:r>
          </w:p>
        </w:tc>
        <w:tc>
          <w:tcPr>
            <w:tcW w:w="992" w:type="dxa"/>
            <w:tcBorders>
              <w:top w:val="single" w:sz="4" w:space="0" w:color="auto"/>
              <w:bottom w:val="single" w:sz="4" w:space="0" w:color="auto"/>
            </w:tcBorders>
            <w:shd w:val="clear" w:color="auto" w:fill="auto"/>
            <w:vAlign w:val="center"/>
          </w:tcPr>
          <w:p w:rsidR="00B4338B" w:rsidRPr="00BD2AFA" w:rsidRDefault="00CE4DB1" w:rsidP="00CE4DB1">
            <w:pPr>
              <w:pStyle w:val="table"/>
              <w:rPr>
                <w:rFonts w:ascii="Times New Roman" w:hAnsi="Times New Roman"/>
                <w:sz w:val="18"/>
                <w:szCs w:val="18"/>
                <w:lang w:eastAsia="en-GB"/>
              </w:rPr>
            </w:pP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h</w:t>
            </w:r>
            <w:proofErr w:type="spellEnd"/>
          </w:p>
        </w:tc>
      </w:tr>
      <w:tr w:rsidR="00B4338B" w:rsidRPr="00CE4DB1" w:rsidTr="00BD2AFA">
        <w:trPr>
          <w:jc w:val="center"/>
        </w:trPr>
        <w:tc>
          <w:tcPr>
            <w:tcW w:w="709" w:type="dxa"/>
            <w:tcBorders>
              <w:top w:val="single" w:sz="4" w:space="0" w:color="auto"/>
              <w:bottom w:val="single" w:sz="4" w:space="0" w:color="auto"/>
            </w:tcBorders>
            <w:shd w:val="clear" w:color="auto" w:fill="auto"/>
          </w:tcPr>
          <w:p w:rsidR="00B4338B" w:rsidRPr="00BD2AFA" w:rsidRDefault="00B4338B" w:rsidP="00CE4DB1">
            <w:pPr>
              <w:pStyle w:val="table"/>
              <w:rPr>
                <w:rFonts w:ascii="Times New Roman" w:hAnsi="Times New Roman"/>
                <w:sz w:val="18"/>
                <w:szCs w:val="18"/>
                <w:lang w:eastAsia="en-GB"/>
              </w:rPr>
            </w:pPr>
            <w:r w:rsidRPr="00BD2AFA">
              <w:rPr>
                <w:rFonts w:ascii="Times New Roman" w:hAnsi="Times New Roman"/>
                <w:sz w:val="18"/>
                <w:szCs w:val="18"/>
                <w:lang w:eastAsia="en-GB"/>
              </w:rPr>
              <w:t>3</w:t>
            </w:r>
          </w:p>
        </w:tc>
        <w:tc>
          <w:tcPr>
            <w:tcW w:w="5245" w:type="dxa"/>
            <w:tcBorders>
              <w:top w:val="single" w:sz="4" w:space="0" w:color="auto"/>
              <w:bottom w:val="single" w:sz="4" w:space="0" w:color="auto"/>
            </w:tcBorders>
            <w:shd w:val="clear" w:color="auto" w:fill="auto"/>
          </w:tcPr>
          <w:p w:rsidR="00B4338B" w:rsidRPr="00BD2AFA" w:rsidRDefault="00CE4DB1" w:rsidP="00BD2AFA">
            <w:pPr>
              <w:pStyle w:val="table"/>
              <w:jc w:val="both"/>
              <w:rPr>
                <w:rFonts w:ascii="Times New Roman" w:hAnsi="Times New Roman"/>
                <w:sz w:val="18"/>
                <w:szCs w:val="18"/>
                <w:lang w:eastAsia="en-GB"/>
              </w:rPr>
            </w:pPr>
            <w:r w:rsidRPr="00CE4DB1">
              <w:rPr>
                <w:rFonts w:ascii="Times New Roman" w:hAnsi="Times New Roman"/>
                <w:sz w:val="18"/>
                <w:szCs w:val="18"/>
                <w:lang w:eastAsia="en-GB"/>
              </w:rPr>
              <w:t>I</w:t>
            </w:r>
            <w:r w:rsidR="00B4338B" w:rsidRPr="00CE4DB1">
              <w:rPr>
                <w:rFonts w:ascii="Times New Roman" w:hAnsi="Times New Roman"/>
                <w:sz w:val="18"/>
                <w:szCs w:val="18"/>
                <w:lang w:eastAsia="en-GB"/>
              </w:rPr>
              <w:t>f the outdoor air temperature is greater than balance point temperature for cooling</w:t>
            </w:r>
            <w:r w:rsidR="00452BF8">
              <w:rPr>
                <w:rFonts w:ascii="Times New Roman" w:hAnsi="Times New Roman"/>
                <w:sz w:val="18"/>
                <w:szCs w:val="18"/>
                <w:lang w:eastAsia="en-GB"/>
              </w:rPr>
              <w:t xml:space="preserve"> (i.e. cooling base temperature)</w:t>
            </w:r>
            <w:r w:rsidR="00B4338B" w:rsidRPr="00CE4DB1">
              <w:rPr>
                <w:rFonts w:ascii="Times New Roman" w:hAnsi="Times New Roman"/>
                <w:sz w:val="18"/>
                <w:szCs w:val="18"/>
                <w:lang w:eastAsia="en-GB"/>
              </w:rPr>
              <w:t>, the dummy variable for cooling is equal to 1</w:t>
            </w:r>
            <w:r w:rsidRPr="00CE4DB1">
              <w:rPr>
                <w:rFonts w:ascii="Times New Roman" w:hAnsi="Times New Roman"/>
                <w:sz w:val="18"/>
                <w:szCs w:val="18"/>
                <w:lang w:eastAsia="en-GB"/>
              </w:rPr>
              <w:t>.</w:t>
            </w:r>
          </w:p>
        </w:tc>
        <w:tc>
          <w:tcPr>
            <w:tcW w:w="992" w:type="dxa"/>
            <w:tcBorders>
              <w:top w:val="single" w:sz="4" w:space="0" w:color="auto"/>
              <w:bottom w:val="single" w:sz="4" w:space="0" w:color="auto"/>
            </w:tcBorders>
            <w:shd w:val="clear" w:color="auto" w:fill="auto"/>
            <w:vAlign w:val="center"/>
          </w:tcPr>
          <w:p w:rsidR="00B4338B" w:rsidRPr="00BD2AFA" w:rsidRDefault="00CE4DB1" w:rsidP="00CE4DB1">
            <w:pPr>
              <w:pStyle w:val="table"/>
              <w:rPr>
                <w:rFonts w:ascii="Times New Roman" w:hAnsi="Times New Roman"/>
                <w:sz w:val="18"/>
                <w:szCs w:val="18"/>
                <w:lang w:eastAsia="en-GB"/>
              </w:rPr>
            </w:pP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c</w:t>
            </w:r>
            <w:proofErr w:type="spellEnd"/>
          </w:p>
        </w:tc>
      </w:tr>
      <w:tr w:rsidR="00B4338B" w:rsidRPr="00CE4DB1" w:rsidTr="00BD2AFA">
        <w:trPr>
          <w:jc w:val="center"/>
        </w:trPr>
        <w:tc>
          <w:tcPr>
            <w:tcW w:w="709" w:type="dxa"/>
            <w:tcBorders>
              <w:top w:val="single" w:sz="4" w:space="0" w:color="auto"/>
              <w:bottom w:val="single" w:sz="4" w:space="0" w:color="auto"/>
            </w:tcBorders>
            <w:shd w:val="clear" w:color="auto" w:fill="auto"/>
          </w:tcPr>
          <w:p w:rsidR="00B4338B" w:rsidRPr="00BD2AFA" w:rsidRDefault="00B4338B" w:rsidP="00CE4DB1">
            <w:pPr>
              <w:pStyle w:val="table"/>
              <w:rPr>
                <w:rFonts w:ascii="Times New Roman" w:hAnsi="Times New Roman"/>
                <w:sz w:val="18"/>
                <w:szCs w:val="18"/>
                <w:lang w:eastAsia="en-GB"/>
              </w:rPr>
            </w:pPr>
            <w:r w:rsidRPr="00BD2AFA">
              <w:rPr>
                <w:rFonts w:ascii="Times New Roman" w:hAnsi="Times New Roman"/>
                <w:sz w:val="18"/>
                <w:szCs w:val="18"/>
                <w:lang w:eastAsia="en-GB"/>
              </w:rPr>
              <w:t>4</w:t>
            </w:r>
          </w:p>
        </w:tc>
        <w:tc>
          <w:tcPr>
            <w:tcW w:w="5245" w:type="dxa"/>
            <w:tcBorders>
              <w:top w:val="single" w:sz="4" w:space="0" w:color="auto"/>
              <w:bottom w:val="single" w:sz="4" w:space="0" w:color="auto"/>
            </w:tcBorders>
            <w:shd w:val="clear" w:color="auto" w:fill="auto"/>
          </w:tcPr>
          <w:p w:rsidR="00B4338B" w:rsidRPr="00BD2AFA" w:rsidRDefault="00CE4DB1" w:rsidP="00BD2AFA">
            <w:pPr>
              <w:pStyle w:val="table"/>
              <w:jc w:val="both"/>
              <w:rPr>
                <w:rFonts w:ascii="Times New Roman" w:hAnsi="Times New Roman"/>
                <w:sz w:val="18"/>
                <w:szCs w:val="18"/>
                <w:lang w:eastAsia="en-GB"/>
              </w:rPr>
            </w:pPr>
            <w:r w:rsidRPr="00CE4DB1">
              <w:rPr>
                <w:rFonts w:ascii="Times New Roman" w:hAnsi="Times New Roman"/>
                <w:sz w:val="18"/>
                <w:szCs w:val="18"/>
                <w:lang w:eastAsia="en-GB"/>
              </w:rPr>
              <w:t>A</w:t>
            </w:r>
            <w:r w:rsidR="00B4338B" w:rsidRPr="00CE4DB1">
              <w:rPr>
                <w:rFonts w:ascii="Times New Roman" w:hAnsi="Times New Roman"/>
                <w:sz w:val="18"/>
                <w:szCs w:val="18"/>
                <w:lang w:eastAsia="en-GB"/>
              </w:rPr>
              <w:t>ll the dummy variables (that partition heating, cooling and base load demands) should be coherent with the schedules of operation for building services</w:t>
            </w:r>
            <w:r w:rsidR="00452BF8" w:rsidRPr="005869BB">
              <w:rPr>
                <w:rFonts w:ascii="Times New Roman" w:hAnsi="Times New Roman"/>
                <w:sz w:val="18"/>
                <w:szCs w:val="18"/>
                <w:lang w:eastAsia="en-GB"/>
              </w:rPr>
              <w:t xml:space="preserve"> (</w:t>
            </w:r>
            <w:r w:rsidR="00452BF8">
              <w:rPr>
                <w:rFonts w:ascii="Times New Roman" w:hAnsi="Times New Roman"/>
                <w:sz w:val="18"/>
                <w:szCs w:val="18"/>
                <w:lang w:eastAsia="en-GB"/>
              </w:rPr>
              <w:t>i.e</w:t>
            </w:r>
            <w:r w:rsidRPr="00BD2AFA">
              <w:rPr>
                <w:rFonts w:ascii="Times New Roman" w:hAnsi="Times New Roman"/>
                <w:sz w:val="18"/>
                <w:szCs w:val="18"/>
                <w:lang w:eastAsia="en-GB"/>
              </w:rPr>
              <w:t>. months of heating and cooling system operation)</w:t>
            </w:r>
            <w:r w:rsidRPr="00CE4DB1">
              <w:rPr>
                <w:rFonts w:ascii="Times New Roman" w:hAnsi="Times New Roman"/>
                <w:sz w:val="18"/>
                <w:szCs w:val="18"/>
                <w:lang w:eastAsia="en-GB"/>
              </w:rPr>
              <w:t>.</w:t>
            </w:r>
          </w:p>
        </w:tc>
        <w:tc>
          <w:tcPr>
            <w:tcW w:w="992" w:type="dxa"/>
            <w:tcBorders>
              <w:top w:val="single" w:sz="4" w:space="0" w:color="auto"/>
              <w:bottom w:val="single" w:sz="4" w:space="0" w:color="auto"/>
            </w:tcBorders>
            <w:shd w:val="clear" w:color="auto" w:fill="auto"/>
            <w:vAlign w:val="center"/>
          </w:tcPr>
          <w:p w:rsidR="00B4338B" w:rsidRPr="00BD2AFA" w:rsidRDefault="00CE4DB1" w:rsidP="00CE4DB1">
            <w:pPr>
              <w:pStyle w:val="table"/>
              <w:rPr>
                <w:rFonts w:ascii="Times New Roman" w:hAnsi="Times New Roman"/>
                <w:sz w:val="18"/>
                <w:szCs w:val="18"/>
                <w:lang w:eastAsia="en-GB"/>
              </w:rPr>
            </w:pP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h</w:t>
            </w:r>
            <w:proofErr w:type="spellEnd"/>
            <w:r w:rsidRPr="00CE4DB1">
              <w:rPr>
                <w:rFonts w:ascii="Times New Roman" w:hAnsi="Times New Roman"/>
                <w:i/>
                <w:iCs/>
                <w:sz w:val="18"/>
                <w:szCs w:val="18"/>
                <w:lang w:eastAsia="en-GB"/>
              </w:rPr>
              <w:t xml:space="preserve">, </w:t>
            </w: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b</w:t>
            </w:r>
            <w:proofErr w:type="spellEnd"/>
            <w:r w:rsidRPr="00CE4DB1">
              <w:rPr>
                <w:rFonts w:ascii="Times New Roman" w:hAnsi="Times New Roman"/>
                <w:i/>
                <w:iCs/>
                <w:sz w:val="18"/>
                <w:szCs w:val="18"/>
                <w:lang w:eastAsia="en-GB"/>
              </w:rPr>
              <w:t xml:space="preserve">, </w:t>
            </w: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c</w:t>
            </w:r>
            <w:proofErr w:type="spellEnd"/>
          </w:p>
        </w:tc>
      </w:tr>
      <w:tr w:rsidR="00B4338B" w:rsidRPr="00CE4DB1" w:rsidTr="00BD2AFA">
        <w:trPr>
          <w:trHeight w:val="70"/>
          <w:jc w:val="center"/>
        </w:trPr>
        <w:tc>
          <w:tcPr>
            <w:tcW w:w="709" w:type="dxa"/>
            <w:tcBorders>
              <w:top w:val="single" w:sz="4" w:space="0" w:color="auto"/>
              <w:bottom w:val="single" w:sz="4" w:space="0" w:color="auto"/>
            </w:tcBorders>
            <w:shd w:val="clear" w:color="auto" w:fill="auto"/>
          </w:tcPr>
          <w:p w:rsidR="00B4338B" w:rsidRPr="00BD2AFA" w:rsidRDefault="00B4338B" w:rsidP="00CE4DB1">
            <w:pPr>
              <w:pStyle w:val="table"/>
              <w:rPr>
                <w:rFonts w:ascii="Times New Roman" w:hAnsi="Times New Roman"/>
                <w:sz w:val="18"/>
                <w:szCs w:val="18"/>
                <w:lang w:eastAsia="en-GB"/>
              </w:rPr>
            </w:pPr>
            <w:r w:rsidRPr="00BD2AFA">
              <w:rPr>
                <w:rFonts w:ascii="Times New Roman" w:hAnsi="Times New Roman"/>
                <w:sz w:val="18"/>
                <w:szCs w:val="18"/>
                <w:lang w:eastAsia="en-GB"/>
              </w:rPr>
              <w:t>5</w:t>
            </w:r>
          </w:p>
        </w:tc>
        <w:tc>
          <w:tcPr>
            <w:tcW w:w="5245" w:type="dxa"/>
            <w:tcBorders>
              <w:top w:val="single" w:sz="4" w:space="0" w:color="auto"/>
              <w:bottom w:val="single" w:sz="4" w:space="0" w:color="auto"/>
            </w:tcBorders>
            <w:shd w:val="clear" w:color="auto" w:fill="auto"/>
          </w:tcPr>
          <w:p w:rsidR="00B4338B" w:rsidRPr="00CE4DB1" w:rsidRDefault="00CE4DB1" w:rsidP="00BD2AFA">
            <w:pPr>
              <w:pStyle w:val="table"/>
              <w:jc w:val="both"/>
              <w:rPr>
                <w:rFonts w:ascii="Times New Roman" w:hAnsi="Times New Roman"/>
                <w:sz w:val="18"/>
                <w:szCs w:val="18"/>
                <w:lang w:eastAsia="en-GB"/>
              </w:rPr>
            </w:pPr>
            <w:r w:rsidRPr="00CE4DB1">
              <w:rPr>
                <w:rFonts w:ascii="Times New Roman" w:hAnsi="Times New Roman"/>
                <w:sz w:val="18"/>
                <w:szCs w:val="18"/>
                <w:lang w:eastAsia="en-GB"/>
              </w:rPr>
              <w:t>The dummy variables for base load</w:t>
            </w:r>
            <w:r>
              <w:rPr>
                <w:rFonts w:ascii="Times New Roman" w:hAnsi="Times New Roman"/>
                <w:sz w:val="18"/>
                <w:szCs w:val="18"/>
                <w:lang w:eastAsia="en-GB"/>
              </w:rPr>
              <w:t xml:space="preserve"> </w:t>
            </w:r>
            <w:r w:rsidRPr="00CE4DB1">
              <w:rPr>
                <w:rFonts w:ascii="Times New Roman" w:hAnsi="Times New Roman"/>
                <w:sz w:val="18"/>
                <w:szCs w:val="18"/>
                <w:lang w:eastAsia="en-GB"/>
              </w:rPr>
              <w:t xml:space="preserve">are assumed </w:t>
            </w:r>
            <w:proofErr w:type="gramStart"/>
            <w:r w:rsidRPr="00CE4DB1">
              <w:rPr>
                <w:rFonts w:ascii="Times New Roman" w:hAnsi="Times New Roman"/>
                <w:sz w:val="18"/>
                <w:szCs w:val="18"/>
                <w:lang w:eastAsia="en-GB"/>
              </w:rPr>
              <w:t>to be 1</w:t>
            </w:r>
            <w:proofErr w:type="gramEnd"/>
            <w:r w:rsidRPr="00CE4DB1">
              <w:rPr>
                <w:rFonts w:ascii="Times New Roman" w:hAnsi="Times New Roman"/>
                <w:sz w:val="18"/>
                <w:szCs w:val="18"/>
                <w:lang w:eastAsia="en-GB"/>
              </w:rPr>
              <w:t xml:space="preserve"> in all the months (</w:t>
            </w:r>
            <w:r>
              <w:rPr>
                <w:rFonts w:ascii="Times New Roman" w:hAnsi="Times New Roman"/>
                <w:sz w:val="18"/>
                <w:szCs w:val="18"/>
                <w:lang w:eastAsia="en-GB"/>
              </w:rPr>
              <w:t>i.e. electricity and hot water demand are always present</w:t>
            </w:r>
            <w:r w:rsidRPr="00CE4DB1">
              <w:rPr>
                <w:rFonts w:ascii="Times New Roman" w:hAnsi="Times New Roman"/>
                <w:sz w:val="18"/>
                <w:szCs w:val="18"/>
                <w:lang w:eastAsia="en-GB"/>
              </w:rPr>
              <w:t>).</w:t>
            </w:r>
          </w:p>
        </w:tc>
        <w:tc>
          <w:tcPr>
            <w:tcW w:w="992" w:type="dxa"/>
            <w:tcBorders>
              <w:top w:val="single" w:sz="4" w:space="0" w:color="auto"/>
              <w:bottom w:val="single" w:sz="4" w:space="0" w:color="auto"/>
            </w:tcBorders>
            <w:shd w:val="clear" w:color="auto" w:fill="auto"/>
            <w:vAlign w:val="center"/>
          </w:tcPr>
          <w:p w:rsidR="00B4338B" w:rsidRPr="00CE4DB1" w:rsidRDefault="00CE4DB1" w:rsidP="00CE4DB1">
            <w:pPr>
              <w:pStyle w:val="table"/>
              <w:rPr>
                <w:rFonts w:ascii="Times New Roman" w:hAnsi="Times New Roman"/>
                <w:sz w:val="18"/>
                <w:szCs w:val="18"/>
                <w:lang w:eastAsia="en-GB"/>
              </w:rPr>
            </w:pPr>
            <w:proofErr w:type="spellStart"/>
            <w:r w:rsidRPr="00CE4DB1">
              <w:rPr>
                <w:rFonts w:ascii="Times New Roman" w:hAnsi="Times New Roman"/>
                <w:i/>
                <w:iCs/>
                <w:sz w:val="18"/>
                <w:szCs w:val="18"/>
                <w:lang w:eastAsia="en-GB"/>
              </w:rPr>
              <w:t>X</w:t>
            </w:r>
            <w:r w:rsidRPr="00CE4DB1">
              <w:rPr>
                <w:rFonts w:ascii="Times New Roman" w:hAnsi="Times New Roman"/>
                <w:i/>
                <w:iCs/>
                <w:sz w:val="18"/>
                <w:szCs w:val="18"/>
                <w:vertAlign w:val="subscript"/>
                <w:lang w:eastAsia="en-GB"/>
              </w:rPr>
              <w:t>b</w:t>
            </w:r>
            <w:proofErr w:type="spellEnd"/>
          </w:p>
        </w:tc>
      </w:tr>
    </w:tbl>
    <w:p w:rsidR="00291A69" w:rsidRDefault="00291A69">
      <w:pPr>
        <w:tabs>
          <w:tab w:val="left" w:pos="-1134"/>
          <w:tab w:val="left" w:pos="-414"/>
        </w:tabs>
        <w:suppressAutoHyphens/>
        <w:jc w:val="both"/>
        <w:rPr>
          <w:spacing w:val="-3"/>
          <w:lang w:val="en-US"/>
        </w:rPr>
      </w:pPr>
    </w:p>
    <w:p w:rsidR="00452BF8" w:rsidRDefault="00B86D05">
      <w:pPr>
        <w:tabs>
          <w:tab w:val="left" w:pos="-1134"/>
          <w:tab w:val="left" w:pos="-414"/>
        </w:tabs>
        <w:suppressAutoHyphens/>
        <w:jc w:val="both"/>
        <w:rPr>
          <w:spacing w:val="-3"/>
          <w:lang w:val="en-US"/>
        </w:rPr>
      </w:pPr>
      <w:proofErr w:type="gramStart"/>
      <w:r w:rsidRPr="005C2F3C">
        <w:rPr>
          <w:spacing w:val="-3"/>
          <w:lang w:val="en-US"/>
        </w:rPr>
        <w:t>Because of the sub-metering of energy demand (i.e. the subdivision by type of end-use), the information to derive the dummy variables</w:t>
      </w:r>
      <w:r w:rsidR="00452BF8">
        <w:rPr>
          <w:spacing w:val="-3"/>
          <w:lang w:val="en-US"/>
        </w:rPr>
        <w:t>,</w:t>
      </w:r>
      <w:r w:rsidRPr="005C2F3C">
        <w:rPr>
          <w:spacing w:val="-3"/>
          <w:lang w:val="en-US"/>
        </w:rPr>
        <w:t xml:space="preserve"> </w:t>
      </w:r>
      <w:r w:rsidR="00452BF8">
        <w:rPr>
          <w:spacing w:val="-3"/>
          <w:lang w:val="en-US"/>
        </w:rPr>
        <w:t>using</w:t>
      </w:r>
      <w:r w:rsidRPr="005C2F3C">
        <w:rPr>
          <w:spacing w:val="-3"/>
          <w:lang w:val="en-US"/>
        </w:rPr>
        <w:t xml:space="preserve"> the rules </w:t>
      </w:r>
      <w:r w:rsidR="00452BF8">
        <w:rPr>
          <w:spacing w:val="-3"/>
          <w:lang w:val="en-US"/>
        </w:rPr>
        <w:t xml:space="preserve">reported in Table 2, </w:t>
      </w:r>
      <w:r w:rsidRPr="005C2F3C">
        <w:rPr>
          <w:spacing w:val="-3"/>
          <w:lang w:val="en-US"/>
        </w:rPr>
        <w:t xml:space="preserve">was available in </w:t>
      </w:r>
      <w:r w:rsidRPr="00084DC4">
        <w:rPr>
          <w:spacing w:val="-3"/>
          <w:lang w:val="en-US"/>
        </w:rPr>
        <w:t>this research, but rules 2 and 3 can be applied even when this subdivision is unknown, due to the physical meaning of balance point temperatures for heating and/or cooling</w:t>
      </w:r>
      <w:r w:rsidR="00452BF8" w:rsidRPr="00084DC4">
        <w:rPr>
          <w:spacing w:val="-3"/>
          <w:lang w:val="en-US"/>
        </w:rPr>
        <w:t xml:space="preserve"> (i.e. base temperatures</w:t>
      </w:r>
      <w:r w:rsidR="009B5744">
        <w:rPr>
          <w:spacing w:val="-3"/>
          <w:lang w:val="en-US"/>
        </w:rPr>
        <w:t xml:space="preserve"> </w:t>
      </w:r>
      <w:r w:rsidR="009B5744">
        <w:rPr>
          <w:spacing w:val="-3"/>
          <w:lang w:val="en-US"/>
        </w:rPr>
        <w:fldChar w:fldCharType="begin" w:fldLock="1"/>
      </w:r>
      <w:r w:rsidR="00C82776">
        <w:rPr>
          <w:spacing w:val="-3"/>
          <w:lang w:val="en-US"/>
        </w:rPr>
        <w:instrText>ADDIN CSL_CITATION { "citationItems" : [ { "id" : "ITEM-1", "itemData" : { "ISSN" : "15588424", "abstract" : "In South Korea, heating degree-days (HDD) and cooling degree-days (CDD) have been widely used as climatic indicators for the assessment of the impact of climate change, but arbitrary or customary base temperatures have been used for calculation of HDD and CDD. The purpose of this study is to determine real base temperatures to accurately calculate HDD and CDD for South Korea, using monthly electric energy consumption and mean temperature data from 2001 to 2010. The results reveal that the regional electricity demand generally depends on air temperature in a V-shaped curve in urban settings but in an L-shaped curve in rural settings, indicating that the sensitivity of the electricity demand to the temperature change is affected by the size of cities. The South Korean regional base temperatures, defined by a piecewise linear regression method, range from 14.7\u00b0 to 19.4\u00b0C. These results suggest that the assessment of climate change impacts on the energy sector in South Korea should be carried out on a regional scale. [PUBLICATION ABSTRACT]", "author" : [ { "dropping-particle" : "", "family" : "Lee", "given" : "Kyoungmi", "non-dropping-particle" : "", "parse-names" : false, "suffix" : "" }, { "dropping-particle" : "", "family" : "Baek", "given" : "Hee-Jeong", "non-dropping-particle" : "", "parse-names" : false, "suffix" : "" }, { "dropping-particle" : "", "family" : "Cho", "given" : "Chunho", "non-dropping-particle" : "", "parse-names" : false, "suffix" : "" } ], "container-title" : "Journal of Applied Meteorology and Climatology", "id" : "ITEM-1", "issue" : "2", "issued" : { "date-parts" : [ [ "2014", "2" ] ] }, "language" : "English", "note" : "Copyright - Copyright American Meteorological Society Feb 2014\n\nDocument feature - Tables; References; Graphs; Equations\n\nLast updated - 2017-11-21\n\nCODEN - JOAMEZ\n\nSubjectsTermNotLitGenreText - South Korea", "page" : "300-309", "publisher" : "American Meteorological Society", "publisher-place" : "Boston", "title" : "The Estimation of Base Temperature for Heating and Cooling Degree-Days for South Korea", "type" : "article-journal", "volume" : "53" }, "uris" : [ "http://www.mendeley.com/documents/?uuid=d983f93f-9b56-485f-b4a0-2fa341a1e5b1" ] } ], "mendeley" : { "formattedCitation" : "[53]", "plainTextFormattedCitation" : "[53]", "previouslyFormattedCitation" : "[52]" }, "properties" : { "noteIndex" : 0 }, "schema" : "https://github.com/citation-style-language/schema/raw/master/csl-citation.json" }</w:instrText>
      </w:r>
      <w:r w:rsidR="009B5744">
        <w:rPr>
          <w:spacing w:val="-3"/>
          <w:lang w:val="en-US"/>
        </w:rPr>
        <w:fldChar w:fldCharType="separate"/>
      </w:r>
      <w:r w:rsidR="00C82776" w:rsidRPr="00C82776">
        <w:rPr>
          <w:noProof/>
          <w:spacing w:val="-3"/>
          <w:lang w:val="en-US"/>
        </w:rPr>
        <w:t>[53]</w:t>
      </w:r>
      <w:r w:rsidR="009B5744">
        <w:rPr>
          <w:spacing w:val="-3"/>
          <w:lang w:val="en-US"/>
        </w:rPr>
        <w:fldChar w:fldCharType="end"/>
      </w:r>
      <w:r w:rsidR="00452BF8" w:rsidRPr="00084DC4">
        <w:rPr>
          <w:spacing w:val="-3"/>
          <w:lang w:val="en-US"/>
        </w:rPr>
        <w:t xml:space="preserve"> for variable-base heating</w:t>
      </w:r>
      <w:r w:rsidR="009B5744">
        <w:rPr>
          <w:spacing w:val="-3"/>
          <w:lang w:val="en-US"/>
        </w:rPr>
        <w:t xml:space="preserve"> </w:t>
      </w:r>
      <w:r w:rsidR="009B5744">
        <w:rPr>
          <w:spacing w:val="-3"/>
          <w:lang w:val="en-US"/>
        </w:rPr>
        <w:fldChar w:fldCharType="begin" w:fldLock="1"/>
      </w:r>
      <w:r w:rsidR="00C82776">
        <w:rPr>
          <w:spacing w:val="-3"/>
          <w:lang w:val="en-US"/>
        </w:rPr>
        <w:instrText>ADDIN CSL_CITATION { "citationItems" : [ { "id" : "ITEM-1", "itemData" : { "DOI" : "https://doi.org/10.1016/j.enbuild.2017.09.034", "ISSN" : "0378-7788", "abstract" : "A deeper understanding of building performance is essential to reduce their energy consumption and corresponding greenhouse gas emissions. Heating degree-days (HDD) encapsulates the severity and duration of cold weather, which is routinely used for weather related analysis of fuel consumption, performance benchmarking, and compliance. The accuracy of HDD-based prediction largely depends on the correct base temperature, which varies depending on building thermal characteristics, and their operation and occupancy. We analysed four years\u2019 (2012\u20132016) half-hourly metered gas consumption from 119 non-domestic buildings representing seven types, to: (a) identify their base temperature using a three-parameter change point (3pH) regression model, and (b) their relationships with intrinsic building parameters. The highest mean base temperature, 17.7\u00b0C was found for clubs and community centres, and the lowest, 12.8\u00b0C was for storage buildings. The average of all base temperatures is 16.7\u00b0C, which is 1.2\u00b0C higher and 1.6\u00b0C lower than the British (15.5\u00b0C) and American (18.3\u00b0C) standards respectively. The current practice of a fixed base temperature degree-days for all buildings has been found to be unrealistic. Building type specific base temperatures must be developed, agreed upon and published for increasing accuracy in energy analytics and legislative compliance, as well as for developing effective standards and policies.", "author" : [ { "dropping-particle" : "", "family" : "Meng", "given" : "Qinglong", "non-dropping-particle" : "", "parse-names" : false, "suffix" : "" }, { "dropping-particle" : "", "family" : "Mourshed", "given" : "Monjur", "non-dropping-particle" : "", "parse-names" : false, "suffix" : "" } ], "container-title" : "Energy and Buildings", "id" : "ITEM-1", "issued" : { "date-parts" : [ [ "2017" ] ] }, "page" : "260-268", "title" : "Degree-day based non-domestic building energy analytics and modelling should use building and type specific base temperatures", "type" : "article-journal", "volume" : "155" }, "uris" : [ "http://www.mendeley.com/documents/?uuid=db97eb78-9736-41c7-977b-390e7aa88897" ] } ], "mendeley" : { "formattedCitation" : "[54]", "plainTextFormattedCitation" : "[54]", "previouslyFormattedCitation" : "[53]" }, "properties" : { "noteIndex" : 0 }, "schema" : "https://github.com/citation-style-language/schema/raw/master/csl-citation.json" }</w:instrText>
      </w:r>
      <w:r w:rsidR="009B5744">
        <w:rPr>
          <w:spacing w:val="-3"/>
          <w:lang w:val="en-US"/>
        </w:rPr>
        <w:fldChar w:fldCharType="separate"/>
      </w:r>
      <w:r w:rsidR="00C82776" w:rsidRPr="00C82776">
        <w:rPr>
          <w:noProof/>
          <w:spacing w:val="-3"/>
          <w:lang w:val="en-US"/>
        </w:rPr>
        <w:t>[54]</w:t>
      </w:r>
      <w:r w:rsidR="009B5744">
        <w:rPr>
          <w:spacing w:val="-3"/>
          <w:lang w:val="en-US"/>
        </w:rPr>
        <w:fldChar w:fldCharType="end"/>
      </w:r>
      <w:r w:rsidR="00452BF8" w:rsidRPr="00084DC4">
        <w:rPr>
          <w:spacing w:val="-3"/>
          <w:lang w:val="en-US"/>
        </w:rPr>
        <w:t xml:space="preserve"> and cooling degree-days</w:t>
      </w:r>
      <w:r w:rsidR="002665A1">
        <w:rPr>
          <w:spacing w:val="-3"/>
          <w:lang w:val="en-US"/>
        </w:rPr>
        <w:t xml:space="preserve"> </w:t>
      </w:r>
      <w:r w:rsidR="002665A1">
        <w:rPr>
          <w:spacing w:val="-3"/>
          <w:lang w:val="en-US"/>
        </w:rPr>
        <w:fldChar w:fldCharType="begin" w:fldLock="1"/>
      </w:r>
      <w:r w:rsidR="00C82776">
        <w:rPr>
          <w:spacing w:val="-3"/>
          <w:lang w:val="en-US"/>
        </w:rPr>
        <w:instrText>ADDIN CSL_CITATION { "citationItems" : [ { "id" : "ITEM-1", "itemData" : { "DOI" : "10.1080/01430750.2019.1566175", "ISSN" : "0143-0750", "author" : [ { "dropping-particle" : "", "family" : "Pe\u00f1a Su\u00e1rez", "given" : "Jes\u00fas Nicol\u00e1s", "non-dropping-particle" : "", "parse-names" : false, "suffix" : "" }, { "dropping-particle" : "", "family" : "Campo D\u00edaz", "given" : "V\u00edctor Jos\u00e9", "non-dropping-particle" : "del", "parse-names" : false, "suffix" : "" } ], "container-title" : "International Journal of Ambient Energy", "id" : "ITEM-1", "issue" : "7", "issued" : { "date-parts" : [ [ "2021", "5", "19" ] ] }, "note" : "doi: 10.1080/01430750.2019.1566175", "page" : "795-800", "publisher" : "Taylor &amp; Francis", "title" : "Degree-days in a Caribbean and tropical country: the Dominican Republic\u2019s case", "type" : "article-journal", "volume" : "42" }, "uris" : [ "http://www.mendeley.com/documents/?uuid=495bd391-fe63-455d-82a4-286776ee65ae" ] } ], "mendeley" : { "formattedCitation" : "[55]", "plainTextFormattedCitation" : "[55]", "previouslyFormattedCitation" : "[54]" }, "properties" : { "noteIndex" : 0 }, "schema" : "https://github.com/citation-style-language/schema/raw/master/csl-citation.json" }</w:instrText>
      </w:r>
      <w:r w:rsidR="002665A1">
        <w:rPr>
          <w:spacing w:val="-3"/>
          <w:lang w:val="en-US"/>
        </w:rPr>
        <w:fldChar w:fldCharType="separate"/>
      </w:r>
      <w:r w:rsidR="00C82776" w:rsidRPr="00C82776">
        <w:rPr>
          <w:noProof/>
          <w:spacing w:val="-3"/>
          <w:lang w:val="en-US"/>
        </w:rPr>
        <w:t>[55]</w:t>
      </w:r>
      <w:r w:rsidR="002665A1">
        <w:rPr>
          <w:spacing w:val="-3"/>
          <w:lang w:val="en-US"/>
        </w:rPr>
        <w:fldChar w:fldCharType="end"/>
      </w:r>
      <w:r w:rsidR="00452BF8" w:rsidRPr="00084DC4">
        <w:rPr>
          <w:spacing w:val="-3"/>
          <w:lang w:val="en-US"/>
        </w:rPr>
        <w:t xml:space="preserve"> calculation</w:t>
      </w:r>
      <w:r w:rsidR="00452BF8" w:rsidRPr="00BD2AFA">
        <w:rPr>
          <w:spacing w:val="-3"/>
          <w:lang w:val="en-US"/>
        </w:rPr>
        <w:t>s</w:t>
      </w:r>
      <w:r w:rsidR="00452BF8" w:rsidRPr="00084DC4">
        <w:rPr>
          <w:spacing w:val="-3"/>
          <w:lang w:val="en-US"/>
        </w:rPr>
        <w:t>).</w:t>
      </w:r>
      <w:proofErr w:type="gramEnd"/>
      <w:r w:rsidRPr="00084DC4">
        <w:rPr>
          <w:spacing w:val="-3"/>
          <w:lang w:val="en-US"/>
        </w:rPr>
        <w:t xml:space="preserve"> </w:t>
      </w:r>
      <w:r w:rsidR="00452BF8" w:rsidRPr="00084DC4">
        <w:rPr>
          <w:spacing w:val="-3"/>
          <w:lang w:val="en-US"/>
        </w:rPr>
        <w:t>Further, r</w:t>
      </w:r>
      <w:r w:rsidRPr="00084DC4">
        <w:rPr>
          <w:spacing w:val="-3"/>
          <w:lang w:val="en-US"/>
        </w:rPr>
        <w:t xml:space="preserve">ule </w:t>
      </w:r>
      <w:proofErr w:type="gramStart"/>
      <w:r w:rsidRPr="00084DC4">
        <w:rPr>
          <w:spacing w:val="-3"/>
          <w:lang w:val="en-US"/>
        </w:rPr>
        <w:t>4</w:t>
      </w:r>
      <w:proofErr w:type="gramEnd"/>
      <w:r w:rsidRPr="00084DC4">
        <w:rPr>
          <w:spacing w:val="-3"/>
          <w:lang w:val="en-US"/>
        </w:rPr>
        <w:t xml:space="preserve"> </w:t>
      </w:r>
      <w:r w:rsidR="00452BF8" w:rsidRPr="00084DC4">
        <w:rPr>
          <w:spacing w:val="-3"/>
          <w:lang w:val="en-US"/>
        </w:rPr>
        <w:t xml:space="preserve">can be inferred </w:t>
      </w:r>
      <w:r w:rsidRPr="00084DC4">
        <w:rPr>
          <w:spacing w:val="-3"/>
          <w:lang w:val="en-US"/>
        </w:rPr>
        <w:t>as well due to typical operation strategies of buildings.</w:t>
      </w:r>
    </w:p>
    <w:p w:rsidR="000279BA" w:rsidRDefault="00B86D05">
      <w:pPr>
        <w:tabs>
          <w:tab w:val="left" w:pos="-1134"/>
          <w:tab w:val="left" w:pos="-414"/>
        </w:tabs>
        <w:suppressAutoHyphens/>
        <w:jc w:val="both"/>
        <w:rPr>
          <w:spacing w:val="-3"/>
          <w:lang w:val="en-GB"/>
        </w:rPr>
      </w:pPr>
      <w:proofErr w:type="gramStart"/>
      <w:r>
        <w:rPr>
          <w:spacing w:val="-3"/>
          <w:lang w:val="en-US"/>
        </w:rPr>
        <w:t xml:space="preserve">In other words, </w:t>
      </w:r>
      <w:proofErr w:type="spellStart"/>
      <w:r>
        <w:rPr>
          <w:spacing w:val="-3"/>
          <w:lang w:val="en-US"/>
        </w:rPr>
        <w:t>i</w:t>
      </w:r>
      <w:proofErr w:type="spellEnd"/>
      <w:r w:rsidRPr="00314B5D">
        <w:rPr>
          <w:spacing w:val="-3"/>
          <w:lang w:val="en-GB"/>
        </w:rPr>
        <w:t>t may not be possible to attribute</w:t>
      </w:r>
      <w:r w:rsidR="00452BF8">
        <w:rPr>
          <w:spacing w:val="-3"/>
          <w:lang w:val="en-GB"/>
        </w:rPr>
        <w:t xml:space="preserve"> precisely from the very beginning</w:t>
      </w:r>
      <w:r w:rsidRPr="00314B5D">
        <w:rPr>
          <w:spacing w:val="-3"/>
          <w:lang w:val="en-GB"/>
        </w:rPr>
        <w:t xml:space="preserve"> dummy variables (</w:t>
      </w:r>
      <w:r w:rsidR="00452BF8">
        <w:rPr>
          <w:spacing w:val="-3"/>
          <w:lang w:val="en-GB"/>
        </w:rPr>
        <w:t xml:space="preserve">to </w:t>
      </w:r>
      <w:r w:rsidRPr="00314B5D">
        <w:rPr>
          <w:spacing w:val="-3"/>
          <w:lang w:val="en-GB"/>
        </w:rPr>
        <w:t>partition the dataset for the heating, cooling and base load demand) if only total electricity demand is present (and sub-m</w:t>
      </w:r>
      <w:r w:rsidR="00EE0EF1">
        <w:rPr>
          <w:spacing w:val="-3"/>
          <w:lang w:val="en-GB"/>
        </w:rPr>
        <w:t>etering data are not available); n</w:t>
      </w:r>
      <w:r w:rsidRPr="00314B5D">
        <w:rPr>
          <w:spacing w:val="-3"/>
          <w:lang w:val="en-GB"/>
        </w:rPr>
        <w:t>onetheless, the search for the best fitting model can be performed iteratively</w:t>
      </w:r>
      <w:r w:rsidR="00193843">
        <w:rPr>
          <w:spacing w:val="-3"/>
          <w:lang w:val="en-GB"/>
        </w:rPr>
        <w:t xml:space="preserve"> (as shown in Figure 1 for model creation)</w:t>
      </w:r>
      <w:r w:rsidRPr="00314B5D">
        <w:rPr>
          <w:spacing w:val="-3"/>
          <w:lang w:val="en-GB"/>
        </w:rPr>
        <w:t>, using ranges of balance point temperatures for heating and cooling (dependent on building characteristics</w:t>
      </w:r>
      <w:r w:rsidR="00EE0EF1">
        <w:rPr>
          <w:spacing w:val="-3"/>
          <w:lang w:val="en-GB"/>
        </w:rPr>
        <w:t xml:space="preserve"> </w:t>
      </w:r>
      <w:r w:rsidR="008753A1">
        <w:rPr>
          <w:spacing w:val="-3"/>
          <w:lang w:val="en-GB"/>
        </w:rPr>
        <w:fldChar w:fldCharType="begin" w:fldLock="1"/>
      </w:r>
      <w:r w:rsidR="00C82776">
        <w:rPr>
          <w:spacing w:val="-3"/>
          <w:lang w:val="en-GB"/>
        </w:rPr>
        <w:instrText>ADDIN CSL_CITATION { "citationItems" : [ { "id" : "ITEM-1", "itemData" : { "DOI" : "https://doi.org/10.1016/j.enbuild.2017.09.034", "ISSN" : "0378-7788", "abstract" : "A deeper understanding of building performance is essential to reduce their energy consumption and corresponding greenhouse gas emissions. Heating degree-days (HDD) encapsulates the severity and duration of cold weather, which is routinely used for weather related analysis of fuel consumption, performance benchmarking, and compliance. The accuracy of HDD-based prediction largely depends on the correct base temperature, which varies depending on building thermal characteristics, and their operation and occupancy. We analysed four years\u2019 (2012\u20132016) half-hourly metered gas consumption from 119 non-domestic buildings representing seven types, to: (a) identify their base temperature using a three-parameter change point (3pH) regression model, and (b) their relationships with intrinsic building parameters. The highest mean base temperature, 17.7\u00b0C was found for clubs and community centres, and the lowest, 12.8\u00b0C was for storage buildings. The average of all base temperatures is 16.7\u00b0C, which is 1.2\u00b0C higher and 1.6\u00b0C lower than the British (15.5\u00b0C) and American (18.3\u00b0C) standards respectively. The current practice of a fixed base temperature degree-days for all buildings has been found to be unrealistic. Building type specific base temperatures must be developed, agreed upon and published for increasing accuracy in energy analytics and legislative compliance, as well as for developing effective standards and policies.", "author" : [ { "dropping-particle" : "", "family" : "Meng", "given" : "Qinglong", "non-dropping-particle" : "", "parse-names" : false, "suffix" : "" }, { "dropping-particle" : "", "family" : "Mourshed", "given" : "Monjur", "non-dropping-particle" : "", "parse-names" : false, "suffix" : "" } ], "container-title" : "Energy and Buildings", "id" : "ITEM-1", "issued" : { "date-parts" : [ [ "2017" ] ] }, "page" : "260-268", "title" : "Degree-day based non-domestic building energy analytics and modelling should use building and type specific base temperatures", "type" : "article-journal", "volume" : "155" }, "uris" : [ "http://www.mendeley.com/documents/?uuid=db97eb78-9736-41c7-977b-390e7aa88897" ] } ], "mendeley" : { "formattedCitation" : "[54]", "plainTextFormattedCitation" : "[54]", "previouslyFormattedCitation" : "[53]" }, "properties" : { "noteIndex" : 0 }, "schema" : "https://github.com/citation-style-language/schema/raw/master/csl-citation.json" }</w:instrText>
      </w:r>
      <w:r w:rsidR="008753A1">
        <w:rPr>
          <w:spacing w:val="-3"/>
          <w:lang w:val="en-GB"/>
        </w:rPr>
        <w:fldChar w:fldCharType="separate"/>
      </w:r>
      <w:r w:rsidR="00C82776" w:rsidRPr="00C82776">
        <w:rPr>
          <w:noProof/>
          <w:spacing w:val="-3"/>
          <w:lang w:val="en-GB"/>
        </w:rPr>
        <w:t>[54]</w:t>
      </w:r>
      <w:r w:rsidR="008753A1">
        <w:rPr>
          <w:spacing w:val="-3"/>
          <w:lang w:val="en-GB"/>
        </w:rPr>
        <w:fldChar w:fldCharType="end"/>
      </w:r>
      <w:r w:rsidRPr="00314B5D">
        <w:rPr>
          <w:spacing w:val="-3"/>
          <w:lang w:val="en-GB"/>
        </w:rPr>
        <w:t>) and using contextual information to determine the s</w:t>
      </w:r>
      <w:r w:rsidR="00452BF8">
        <w:rPr>
          <w:spacing w:val="-3"/>
          <w:lang w:val="en-GB"/>
        </w:rPr>
        <w:t>chedules of building operation.</w:t>
      </w:r>
      <w:proofErr w:type="gramEnd"/>
      <w:r w:rsidR="00452BF8">
        <w:rPr>
          <w:spacing w:val="-3"/>
          <w:lang w:val="en-GB"/>
        </w:rPr>
        <w:t xml:space="preserve"> After that, t</w:t>
      </w:r>
      <w:r w:rsidRPr="00314B5D">
        <w:rPr>
          <w:spacing w:val="-3"/>
          <w:lang w:val="en-GB"/>
        </w:rPr>
        <w:t xml:space="preserve">he performance of multiple models can be ranked with respect to the statistical indicators that </w:t>
      </w:r>
      <w:r>
        <w:rPr>
          <w:spacing w:val="-3"/>
          <w:lang w:val="en-GB"/>
        </w:rPr>
        <w:t>are</w:t>
      </w:r>
      <w:r w:rsidRPr="00314B5D">
        <w:rPr>
          <w:spacing w:val="-3"/>
          <w:lang w:val="en-GB"/>
        </w:rPr>
        <w:t xml:space="preserve"> used later to evaluate models’ acceptability</w:t>
      </w:r>
      <w:r>
        <w:rPr>
          <w:spacing w:val="-3"/>
          <w:lang w:val="en-GB"/>
        </w:rPr>
        <w:t xml:space="preserve"> (thresholds for model calibration</w:t>
      </w:r>
      <w:r w:rsidR="000279BA">
        <w:rPr>
          <w:spacing w:val="-3"/>
          <w:lang w:val="en-GB"/>
        </w:rPr>
        <w:t>, proposed by protocols</w:t>
      </w:r>
      <w:r w:rsidR="00EE0EF1">
        <w:rPr>
          <w:spacing w:val="-3"/>
          <w:lang w:val="en-GB"/>
        </w:rPr>
        <w:t xml:space="preserve"> and standards</w:t>
      </w:r>
      <w:r>
        <w:rPr>
          <w:spacing w:val="-3"/>
          <w:lang w:val="en-GB"/>
        </w:rPr>
        <w:t>)</w:t>
      </w:r>
      <w:r w:rsidR="00452BF8">
        <w:rPr>
          <w:spacing w:val="-3"/>
          <w:lang w:val="en-GB"/>
        </w:rPr>
        <w:t>.</w:t>
      </w:r>
      <w:r w:rsidR="00EE2BA4">
        <w:rPr>
          <w:spacing w:val="-3"/>
          <w:lang w:val="en-GB"/>
        </w:rPr>
        <w:t xml:space="preserve"> </w:t>
      </w:r>
      <w:r w:rsidRPr="00314B5D">
        <w:rPr>
          <w:spacing w:val="-3"/>
          <w:lang w:val="en-GB"/>
        </w:rPr>
        <w:t>Finally, the models’ outputs are constrained to be positive (</w:t>
      </w:r>
      <w:proofErr w:type="gramStart"/>
      <w:r w:rsidRPr="00314B5D">
        <w:rPr>
          <w:spacing w:val="-3"/>
          <w:lang w:val="en-GB"/>
        </w:rPr>
        <w:t>energy metering</w:t>
      </w:r>
      <w:proofErr w:type="gramEnd"/>
      <w:r w:rsidRPr="00314B5D">
        <w:rPr>
          <w:spacing w:val="-3"/>
          <w:lang w:val="en-GB"/>
        </w:rPr>
        <w:t xml:space="preserve"> data are positive quantities) as in some cases the output of the regression model can assume a small negative value</w:t>
      </w:r>
      <w:r>
        <w:rPr>
          <w:spacing w:val="-3"/>
          <w:lang w:val="en-GB"/>
        </w:rPr>
        <w:t>, using change-point models</w:t>
      </w:r>
      <w:r w:rsidRPr="00314B5D">
        <w:rPr>
          <w:spacing w:val="-3"/>
          <w:lang w:val="en-GB"/>
        </w:rPr>
        <w:t>.</w:t>
      </w:r>
    </w:p>
    <w:p w:rsidR="000279BA" w:rsidRDefault="00B86D05">
      <w:pPr>
        <w:tabs>
          <w:tab w:val="left" w:pos="-1134"/>
          <w:tab w:val="left" w:pos="-414"/>
        </w:tabs>
        <w:suppressAutoHyphens/>
        <w:jc w:val="both"/>
        <w:rPr>
          <w:spacing w:val="-3"/>
          <w:lang w:val="en-GB"/>
        </w:rPr>
      </w:pPr>
      <w:proofErr w:type="gramStart"/>
      <w:r>
        <w:rPr>
          <w:spacing w:val="-3"/>
          <w:lang w:val="en-GB"/>
        </w:rPr>
        <w:t xml:space="preserve">Indeed, the fundamental reason behind the creation of this model formulation </w:t>
      </w:r>
      <w:r w:rsidRPr="00314B5D">
        <w:rPr>
          <w:spacing w:val="-3"/>
          <w:lang w:val="en-GB"/>
        </w:rPr>
        <w:t xml:space="preserve">is the possibility to use a single and flexible model for the analysis of the energy demand at different levels in the building (corresponding to the different datasets reported </w:t>
      </w:r>
      <w:r>
        <w:rPr>
          <w:spacing w:val="-3"/>
          <w:lang w:val="en-GB"/>
        </w:rPr>
        <w:t xml:space="preserve">in Section </w:t>
      </w:r>
      <w:r w:rsidR="003D7E10">
        <w:rPr>
          <w:spacing w:val="-3"/>
          <w:lang w:val="en-GB"/>
        </w:rPr>
        <w:t>5</w:t>
      </w:r>
      <w:r w:rsidRPr="00314B5D">
        <w:rPr>
          <w:spacing w:val="-3"/>
          <w:lang w:val="en-GB"/>
        </w:rPr>
        <w:t xml:space="preserve">) </w:t>
      </w:r>
      <w:r w:rsidR="00193843">
        <w:rPr>
          <w:spacing w:val="-3"/>
          <w:lang w:val="en-GB"/>
        </w:rPr>
        <w:t xml:space="preserve">in a multi-input/multi-output fashion </w:t>
      </w:r>
      <w:r w:rsidRPr="00314B5D">
        <w:rPr>
          <w:spacing w:val="-3"/>
          <w:lang w:val="en-GB"/>
        </w:rPr>
        <w:t xml:space="preserve">and then proceed by stepwise regression with backward </w:t>
      </w:r>
      <w:r w:rsidRPr="00602EF3">
        <w:rPr>
          <w:spacing w:val="-3"/>
          <w:lang w:val="en-GB"/>
        </w:rPr>
        <w:t>elimination of variables (i.e. reducing the amount of variables) to obtain the final model version, i.e. automating the model selection process using rules and statistical indicators</w:t>
      </w:r>
      <w:r w:rsidR="00452BF8">
        <w:rPr>
          <w:spacing w:val="-3"/>
          <w:lang w:val="en-GB"/>
        </w:rPr>
        <w:t xml:space="preserve"> to rank their goodness of fit</w:t>
      </w:r>
      <w:r w:rsidRPr="00602EF3">
        <w:rPr>
          <w:spacing w:val="-3"/>
          <w:lang w:val="en-GB"/>
        </w:rPr>
        <w:t>.</w:t>
      </w:r>
      <w:proofErr w:type="gramEnd"/>
      <w:r w:rsidRPr="00602EF3">
        <w:rPr>
          <w:spacing w:val="-3"/>
          <w:lang w:val="en-GB"/>
        </w:rPr>
        <w:t xml:space="preserve"> </w:t>
      </w:r>
      <w:r w:rsidR="00452BF8">
        <w:rPr>
          <w:spacing w:val="-3"/>
          <w:lang w:val="en-GB"/>
        </w:rPr>
        <w:t>Indeed</w:t>
      </w:r>
      <w:r w:rsidRPr="00602EF3">
        <w:rPr>
          <w:spacing w:val="-3"/>
          <w:lang w:val="en-GB"/>
        </w:rPr>
        <w:t>, the form of the final model can be constrained in such a way that an approximated physical interpretation of the model coefficients is retained (to enhance transparency and enable further decomposition)</w:t>
      </w:r>
      <w:r w:rsidR="00193843">
        <w:rPr>
          <w:spacing w:val="-3"/>
          <w:lang w:val="en-GB"/>
        </w:rPr>
        <w:t xml:space="preserve"> </w:t>
      </w:r>
      <w:r w:rsidR="00193843" w:rsidRPr="00BD2AFA">
        <w:rPr>
          <w:lang w:val="en-GB"/>
        </w:rPr>
        <w:fldChar w:fldCharType="begin" w:fldLock="1"/>
      </w:r>
      <w:r w:rsidR="006A236D">
        <w:rPr>
          <w:lang w:val="en-GB"/>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sidR="00193843" w:rsidRPr="00BD2AFA">
        <w:rPr>
          <w:lang w:val="en-GB"/>
        </w:rPr>
        <w:fldChar w:fldCharType="separate"/>
      </w:r>
      <w:r w:rsidR="0023172C" w:rsidRPr="0023172C">
        <w:rPr>
          <w:noProof/>
          <w:lang w:val="en-GB"/>
        </w:rPr>
        <w:t>[24]</w:t>
      </w:r>
      <w:r w:rsidR="00193843" w:rsidRPr="00BD2AFA">
        <w:rPr>
          <w:lang w:val="en-GB"/>
        </w:rPr>
        <w:fldChar w:fldCharType="end"/>
      </w:r>
      <w:r w:rsidRPr="00602EF3">
        <w:rPr>
          <w:spacing w:val="-3"/>
          <w:lang w:val="en-GB"/>
        </w:rPr>
        <w:t xml:space="preserve">, </w:t>
      </w:r>
      <w:r w:rsidR="00452BF8">
        <w:rPr>
          <w:spacing w:val="-3"/>
          <w:lang w:val="en-GB"/>
        </w:rPr>
        <w:t>coherently with the arguments presented</w:t>
      </w:r>
      <w:r w:rsidRPr="00602EF3">
        <w:rPr>
          <w:spacing w:val="-3"/>
          <w:lang w:val="en-GB"/>
        </w:rPr>
        <w:t xml:space="preserve"> in Section 3. </w:t>
      </w:r>
    </w:p>
    <w:p w:rsidR="00193843" w:rsidRDefault="00B86D05">
      <w:pPr>
        <w:tabs>
          <w:tab w:val="left" w:pos="-1134"/>
          <w:tab w:val="left" w:pos="-414"/>
        </w:tabs>
        <w:suppressAutoHyphens/>
        <w:jc w:val="both"/>
        <w:rPr>
          <w:lang w:val="en-GB"/>
        </w:rPr>
      </w:pPr>
      <w:r w:rsidRPr="00810926">
        <w:rPr>
          <w:spacing w:val="-3"/>
          <w:lang w:val="en-GB"/>
        </w:rPr>
        <w:lastRenderedPageBreak/>
        <w:t>As specified before</w:t>
      </w:r>
      <w:r w:rsidR="000279BA" w:rsidRPr="00BD2AFA">
        <w:rPr>
          <w:spacing w:val="-3"/>
          <w:lang w:val="en-GB"/>
        </w:rPr>
        <w:t>,</w:t>
      </w:r>
      <w:r w:rsidRPr="00810926">
        <w:rPr>
          <w:spacing w:val="-3"/>
          <w:lang w:val="en-GB"/>
        </w:rPr>
        <w:t xml:space="preserve"> the re</w:t>
      </w:r>
      <w:r w:rsidRPr="00810926">
        <w:rPr>
          <w:lang w:val="en-GB"/>
        </w:rPr>
        <w:t>gression model formulation used in this research corresponds to the extension of the one previously tested</w:t>
      </w:r>
      <w:r w:rsidR="000279BA" w:rsidRPr="00810926">
        <w:rPr>
          <w:lang w:val="en-GB"/>
        </w:rPr>
        <w:t xml:space="preserve"> in relation to multi-scale analysis</w:t>
      </w:r>
      <w:r w:rsidR="000279BA" w:rsidRPr="000279BA">
        <w:rPr>
          <w:lang w:val="en-GB"/>
        </w:rPr>
        <w:t xml:space="preserve"> of building performance </w:t>
      </w:r>
      <w:r w:rsidR="000279BA" w:rsidRPr="00BD2AFA">
        <w:rPr>
          <w:lang w:val="en-GB"/>
        </w:rPr>
        <w:fldChar w:fldCharType="begin" w:fldLock="1"/>
      </w:r>
      <w:r w:rsidR="006A236D">
        <w:rPr>
          <w:lang w:val="en-GB"/>
        </w:rPr>
        <w:instrText>ADDIN CSL_CITATION { "citationItems" : [ { "id" : "ITEM-1", "itemData" : { "DOI" : "https://doi.org/10.1016/j.scs.2015.11.003", "ISSN" : "2210-6707", "abstract" : "The sustainability of the built environment largely depends on its energy and environmental performances. The overall objective, across the different phases of the building life cycle, is to improve building and system performances in terms of economics, comfort, environmental impact and durability. Several modelling methodologies have been developed in order to evaluate the energy performance of buildings. Generally, every modelling methodology responds effectively to some specific tasks, but there exists a lack of integration in particular with respect to the cross-disciplinary role of data. Given the multi-scale and multi-objective nature of the problem of optimization of the energy and environmental performances of the built environment, an appropriate synthesis and integration process in modelling methodologies has to be identified, addressing realistically the uncertainties inherently present in modelling strategies. Visualization and data analysis techniques are successfully used in a wide variety of applications, both in theoretical and applied domains, but questions remains about their robustness, efficiency and applicability to the problems introduced before. The paper aims to analyze critically these topics by means of case studies, showing a possible path to create a multi-scale methodology able to synthesize all the relevant aspects.", "author" : [ { "dropping-particle" : "", "family" : "Tronchin", "given" : "Lamberto", "non-dropping-particle" : "", "parse-names" : false, "suffix" : "" }, { "dropping-particle" : "", "family" : "Manfren", "given" : "Massimiliano", "non-dropping-particle" : "", "parse-names" : false, "suffix" : "" }, { "dropping-particle" : "", "family" : "Tagliabue", "given" : "Lavinia Chiara", "non-dropping-particle" : "", "parse-names" : false, "suffix" : "" } ], "container-title" : "Sustainable Cities and Society", "id" : "ITEM-1", "issued" : { "date-parts" : [ [ "2016" ] ] }, "page" : "296-306", "title" : "Optimization of building energy performance by means of multi-scale analysis \u2013 Lessons learned from case studies", "type" : "article-journal", "volume" : "27" }, "uris" : [ "http://www.mendeley.com/documents/?uuid=b678e108-5bc9-4840-ad98-4b9d6278b14b" ] } ], "mendeley" : { "formattedCitation" : "[42]", "plainTextFormattedCitation" : "[42]", "previouslyFormattedCitation" : "[42]" }, "properties" : { "noteIndex" : 0 }, "schema" : "https://github.com/citation-style-language/schema/raw/master/csl-citation.json" }</w:instrText>
      </w:r>
      <w:r w:rsidR="000279BA" w:rsidRPr="00BD2AFA">
        <w:rPr>
          <w:lang w:val="en-GB"/>
        </w:rPr>
        <w:fldChar w:fldCharType="separate"/>
      </w:r>
      <w:r w:rsidR="0023172C" w:rsidRPr="0023172C">
        <w:rPr>
          <w:noProof/>
          <w:lang w:val="en-GB"/>
        </w:rPr>
        <w:t>[42]</w:t>
      </w:r>
      <w:r w:rsidR="000279BA" w:rsidRPr="00BD2AFA">
        <w:rPr>
          <w:lang w:val="en-GB"/>
        </w:rPr>
        <w:fldChar w:fldCharType="end"/>
      </w:r>
      <w:r w:rsidR="000279BA" w:rsidRPr="00810926">
        <w:rPr>
          <w:lang w:val="en-GB"/>
        </w:rPr>
        <w:t xml:space="preserve"> and energy analytics that can be used to support the decarbonisation of built environment </w:t>
      </w:r>
      <w:r w:rsidR="000279BA" w:rsidRPr="00BD2AFA">
        <w:rPr>
          <w:lang w:val="en-GB"/>
        </w:rPr>
        <w:fldChar w:fldCharType="begin" w:fldLock="1"/>
      </w:r>
      <w:r w:rsidR="006A236D">
        <w:rPr>
          <w:lang w:val="en-GB"/>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sidR="000279BA" w:rsidRPr="00BD2AFA">
        <w:rPr>
          <w:lang w:val="en-GB"/>
        </w:rPr>
        <w:fldChar w:fldCharType="separate"/>
      </w:r>
      <w:r w:rsidR="0023172C" w:rsidRPr="0023172C">
        <w:rPr>
          <w:noProof/>
          <w:lang w:val="en-GB"/>
        </w:rPr>
        <w:t>[24]</w:t>
      </w:r>
      <w:r w:rsidR="000279BA" w:rsidRPr="00BD2AFA">
        <w:rPr>
          <w:lang w:val="en-GB"/>
        </w:rPr>
        <w:fldChar w:fldCharType="end"/>
      </w:r>
      <w:r w:rsidR="000279BA" w:rsidRPr="00810926">
        <w:rPr>
          <w:lang w:val="en-GB"/>
        </w:rPr>
        <w:t>.</w:t>
      </w:r>
      <w:r w:rsidR="000279BA">
        <w:rPr>
          <w:lang w:val="en-GB"/>
        </w:rPr>
        <w:t xml:space="preserve"> </w:t>
      </w:r>
    </w:p>
    <w:p w:rsidR="00A3593F" w:rsidRDefault="00B86D05">
      <w:pPr>
        <w:tabs>
          <w:tab w:val="left" w:pos="-1134"/>
          <w:tab w:val="left" w:pos="-414"/>
        </w:tabs>
        <w:suppressAutoHyphens/>
        <w:jc w:val="both"/>
        <w:rPr>
          <w:lang w:val="en-GB"/>
        </w:rPr>
      </w:pPr>
      <w:r>
        <w:rPr>
          <w:lang w:val="en-GB"/>
        </w:rPr>
        <w:t>The overall model</w:t>
      </w:r>
      <w:r w:rsidRPr="00602EF3">
        <w:rPr>
          <w:lang w:val="en-GB"/>
        </w:rPr>
        <w:t xml:space="preserve"> is the sum of three sub-models </w:t>
      </w:r>
      <w:r>
        <w:rPr>
          <w:lang w:val="en-GB"/>
        </w:rPr>
        <w:t>for heating, base load and cooling, and dummy variables are used to exclude the part of the model which are not pertinent (e.g. thermal demand in the case of o</w:t>
      </w:r>
      <w:r w:rsidRPr="00480EB2">
        <w:rPr>
          <w:lang w:val="en-GB"/>
        </w:rPr>
        <w:t xml:space="preserve">nly heating or only cooling component). One dummy variable is used for each sub-model, namely </w:t>
      </w:r>
      <w:proofErr w:type="spellStart"/>
      <w:r w:rsidRPr="00480EB2">
        <w:rPr>
          <w:i/>
          <w:iCs/>
          <w:lang w:val="en-GB"/>
        </w:rPr>
        <w:t>X</w:t>
      </w:r>
      <w:r w:rsidRPr="00480EB2">
        <w:rPr>
          <w:i/>
          <w:iCs/>
          <w:vertAlign w:val="subscript"/>
          <w:lang w:val="en-GB"/>
        </w:rPr>
        <w:t>h</w:t>
      </w:r>
      <w:proofErr w:type="spellEnd"/>
      <w:r w:rsidRPr="00480EB2">
        <w:rPr>
          <w:lang w:val="en-GB"/>
        </w:rPr>
        <w:t xml:space="preserve"> for heating, </w:t>
      </w:r>
      <w:proofErr w:type="spellStart"/>
      <w:r w:rsidRPr="00480EB2">
        <w:rPr>
          <w:i/>
          <w:iCs/>
          <w:lang w:val="en-GB"/>
        </w:rPr>
        <w:t>X</w:t>
      </w:r>
      <w:r w:rsidRPr="00480EB2">
        <w:rPr>
          <w:i/>
          <w:iCs/>
          <w:vertAlign w:val="subscript"/>
          <w:lang w:val="en-GB"/>
        </w:rPr>
        <w:t>b</w:t>
      </w:r>
      <w:proofErr w:type="spellEnd"/>
      <w:r w:rsidRPr="00480EB2">
        <w:rPr>
          <w:lang w:val="en-GB"/>
        </w:rPr>
        <w:t xml:space="preserve"> for base load and </w:t>
      </w:r>
      <w:proofErr w:type="spellStart"/>
      <w:proofErr w:type="gramStart"/>
      <w:r w:rsidRPr="00480EB2">
        <w:rPr>
          <w:i/>
          <w:iCs/>
          <w:lang w:val="en-GB"/>
        </w:rPr>
        <w:t>X</w:t>
      </w:r>
      <w:r w:rsidRPr="00480EB2">
        <w:rPr>
          <w:i/>
          <w:iCs/>
          <w:vertAlign w:val="subscript"/>
          <w:lang w:val="en-GB"/>
        </w:rPr>
        <w:t>c</w:t>
      </w:r>
      <w:proofErr w:type="spellEnd"/>
      <w:proofErr w:type="gramEnd"/>
      <w:r w:rsidRPr="00480EB2">
        <w:rPr>
          <w:lang w:val="en-GB"/>
        </w:rPr>
        <w:t xml:space="preserve"> for cooling. Finally, the intercept of the complete model is set to </w:t>
      </w:r>
      <w:proofErr w:type="gramStart"/>
      <w:r w:rsidRPr="00480EB2">
        <w:rPr>
          <w:lang w:val="en-GB"/>
        </w:rPr>
        <w:t>0</w:t>
      </w:r>
      <w:proofErr w:type="gramEnd"/>
      <w:r w:rsidRPr="00480EB2">
        <w:rPr>
          <w:lang w:val="en-GB"/>
        </w:rPr>
        <w:t xml:space="preserve"> (i.e. regression through the origin) and the output constrained to be positive. The dependent variables are the energy demand data reported in Section </w:t>
      </w:r>
      <w:r w:rsidR="003D7E10">
        <w:rPr>
          <w:lang w:val="en-GB"/>
        </w:rPr>
        <w:t>5</w:t>
      </w:r>
      <w:r w:rsidRPr="00480EB2">
        <w:rPr>
          <w:lang w:val="en-GB"/>
        </w:rPr>
        <w:t xml:space="preserve"> (electric and thermal) and the two independent variables are</w:t>
      </w:r>
      <w:r w:rsidR="00193843">
        <w:rPr>
          <w:lang w:val="en-GB"/>
        </w:rPr>
        <w:t xml:space="preserve"> outdoor</w:t>
      </w:r>
      <w:r w:rsidRPr="00480EB2">
        <w:rPr>
          <w:lang w:val="en-GB"/>
        </w:rPr>
        <w:t xml:space="preserve"> air temperature </w:t>
      </w:r>
      <w:r w:rsidRPr="00480EB2">
        <w:rPr>
          <w:rFonts w:asciiTheme="majorBidi" w:hAnsiTheme="majorBidi" w:cstheme="majorBidi"/>
          <w:i/>
          <w:iCs/>
        </w:rPr>
        <w:t>θ</w:t>
      </w:r>
      <w:r w:rsidRPr="00480EB2">
        <w:rPr>
          <w:rFonts w:asciiTheme="majorBidi" w:hAnsiTheme="majorBidi" w:cstheme="majorBidi"/>
          <w:i/>
          <w:iCs/>
          <w:vertAlign w:val="subscript"/>
          <w:lang w:val="en-GB"/>
        </w:rPr>
        <w:t>e</w:t>
      </w:r>
      <w:r w:rsidRPr="00480EB2">
        <w:rPr>
          <w:lang w:val="en-GB"/>
        </w:rPr>
        <w:t xml:space="preserve"> and total solar radiation </w:t>
      </w:r>
      <w:r w:rsidR="00193843" w:rsidRPr="00480EB2">
        <w:rPr>
          <w:lang w:val="en-GB"/>
        </w:rPr>
        <w:t>on horizontal surface</w:t>
      </w:r>
      <w:r w:rsidR="00193843" w:rsidRPr="00480EB2">
        <w:rPr>
          <w:i/>
          <w:iCs/>
          <w:lang w:val="en-GB"/>
        </w:rPr>
        <w:t xml:space="preserve"> </w:t>
      </w:r>
      <w:proofErr w:type="spellStart"/>
      <w:r w:rsidRPr="00480EB2">
        <w:rPr>
          <w:i/>
          <w:iCs/>
          <w:lang w:val="en-GB"/>
        </w:rPr>
        <w:t>I</w:t>
      </w:r>
      <w:r w:rsidRPr="00480EB2">
        <w:rPr>
          <w:i/>
          <w:iCs/>
          <w:vertAlign w:val="subscript"/>
          <w:lang w:val="en-GB"/>
        </w:rPr>
        <w:t>sol</w:t>
      </w:r>
      <w:proofErr w:type="spellEnd"/>
      <w:r w:rsidRPr="00480EB2">
        <w:rPr>
          <w:lang w:val="en-GB"/>
        </w:rPr>
        <w:t>, which represent the two most common variables considered in model calibration</w:t>
      </w:r>
      <w:r w:rsidR="0091332D">
        <w:rPr>
          <w:lang w:val="en-GB"/>
        </w:rPr>
        <w:t xml:space="preserve"> </w:t>
      </w:r>
      <w:r w:rsidR="008A7E9B">
        <w:rPr>
          <w:lang w:val="en-GB"/>
        </w:rPr>
        <w:fldChar w:fldCharType="begin" w:fldLock="1"/>
      </w:r>
      <w:r w:rsidR="008753A1">
        <w:rPr>
          <w:lang w:val="en-GB"/>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"[11]", "plainTextFormattedCitation" : "[11]", "previouslyFormattedCitation" : "[11]" }, "properties" : { "noteIndex" : 0 }, "schema" : "https://github.com/citation-style-language/schema/raw/master/csl-citation.json" }</w:instrText>
      </w:r>
      <w:r w:rsidR="008A7E9B">
        <w:rPr>
          <w:lang w:val="en-GB"/>
        </w:rPr>
        <w:fldChar w:fldCharType="separate"/>
      </w:r>
      <w:r w:rsidR="008A7E9B" w:rsidRPr="008A7E9B">
        <w:rPr>
          <w:noProof/>
          <w:lang w:val="en-GB"/>
        </w:rPr>
        <w:t>[11]</w:t>
      </w:r>
      <w:r w:rsidR="008A7E9B">
        <w:rPr>
          <w:lang w:val="en-GB"/>
        </w:rPr>
        <w:fldChar w:fldCharType="end"/>
      </w:r>
      <w:r w:rsidRPr="00480EB2">
        <w:rPr>
          <w:lang w:val="en-GB"/>
        </w:rPr>
        <w:t xml:space="preserve">. </w:t>
      </w:r>
      <w:r w:rsidRPr="00D35827">
        <w:rPr>
          <w:lang w:val="en-GB"/>
        </w:rPr>
        <w:t xml:space="preserve">Tables 3 and 4 report the formulas for Type 1 model (only outdoor air temperature </w:t>
      </w:r>
      <w:r w:rsidRPr="00BD2AFA">
        <w:rPr>
          <w:i/>
          <w:iCs/>
        </w:rPr>
        <w:t>θ</w:t>
      </w:r>
      <w:r w:rsidRPr="00BD2AFA">
        <w:rPr>
          <w:i/>
          <w:iCs/>
          <w:vertAlign w:val="subscript"/>
          <w:lang w:val="en-GB"/>
        </w:rPr>
        <w:t>e</w:t>
      </w:r>
      <w:r w:rsidRPr="00D35827">
        <w:rPr>
          <w:lang w:val="en-GB"/>
        </w:rPr>
        <w:t xml:space="preserve"> as input variable) and Type 2 </w:t>
      </w:r>
      <w:r w:rsidR="00A3593F">
        <w:rPr>
          <w:lang w:val="en-GB"/>
        </w:rPr>
        <w:t xml:space="preserve">model </w:t>
      </w:r>
      <w:r w:rsidRPr="00D35827">
        <w:rPr>
          <w:lang w:val="en-GB"/>
        </w:rPr>
        <w:t xml:space="preserve">(outdoor air temperature </w:t>
      </w:r>
      <w:r w:rsidRPr="00D35827">
        <w:rPr>
          <w:i/>
          <w:iCs/>
        </w:rPr>
        <w:t>θ</w:t>
      </w:r>
      <w:r w:rsidRPr="00D35827">
        <w:rPr>
          <w:i/>
          <w:iCs/>
          <w:vertAlign w:val="subscript"/>
          <w:lang w:val="en-GB"/>
        </w:rPr>
        <w:t>e</w:t>
      </w:r>
      <w:r w:rsidRPr="00D35827">
        <w:rPr>
          <w:lang w:val="en-GB"/>
        </w:rPr>
        <w:t xml:space="preserve"> and solar radiation on horizontal surface </w:t>
      </w:r>
      <w:proofErr w:type="spellStart"/>
      <w:r w:rsidRPr="00D35827">
        <w:rPr>
          <w:i/>
          <w:iCs/>
          <w:lang w:val="en-GB"/>
        </w:rPr>
        <w:t>I</w:t>
      </w:r>
      <w:r w:rsidRPr="00D35827">
        <w:rPr>
          <w:i/>
          <w:iCs/>
          <w:vertAlign w:val="subscript"/>
          <w:lang w:val="en-GB"/>
        </w:rPr>
        <w:t>sol</w:t>
      </w:r>
      <w:proofErr w:type="spellEnd"/>
      <w:r w:rsidRPr="00D35827">
        <w:rPr>
          <w:lang w:val="en-GB"/>
        </w:rPr>
        <w:t xml:space="preserve"> as input variables), respectively</w:t>
      </w:r>
      <w:r>
        <w:rPr>
          <w:lang w:val="en-GB"/>
        </w:rPr>
        <w:t xml:space="preserve">. </w:t>
      </w:r>
    </w:p>
    <w:p w:rsidR="00B86D05" w:rsidRPr="00D91374" w:rsidRDefault="00B86D05" w:rsidP="00B86D05">
      <w:pPr>
        <w:tabs>
          <w:tab w:val="left" w:pos="-1134"/>
          <w:tab w:val="left" w:pos="-414"/>
        </w:tabs>
        <w:suppressAutoHyphens/>
        <w:rPr>
          <w:highlight w:val="yellow"/>
          <w:lang w:val="en-GB"/>
        </w:rPr>
      </w:pPr>
    </w:p>
    <w:p w:rsidR="00B86D05" w:rsidRPr="004938D0" w:rsidRDefault="00B86D05" w:rsidP="00B86D05">
      <w:pPr>
        <w:jc w:val="center"/>
        <w:rPr>
          <w:i/>
          <w:color w:val="000000"/>
          <w:lang w:val="en-GB"/>
        </w:rPr>
      </w:pPr>
      <w:r w:rsidRPr="004938D0">
        <w:rPr>
          <w:i/>
          <w:color w:val="000000"/>
          <w:lang w:val="en-GB"/>
        </w:rPr>
        <w:t xml:space="preserve">Table </w:t>
      </w:r>
      <w:r w:rsidRPr="004938D0">
        <w:rPr>
          <w:i/>
          <w:lang w:val="en-GB"/>
        </w:rPr>
        <w:fldChar w:fldCharType="begin"/>
      </w:r>
      <w:r w:rsidRPr="004938D0">
        <w:rPr>
          <w:i/>
          <w:lang w:val="en-GB"/>
        </w:rPr>
        <w:instrText xml:space="preserve"> SEQ Table \* ARABIC </w:instrText>
      </w:r>
      <w:r w:rsidRPr="004938D0">
        <w:rPr>
          <w:i/>
          <w:lang w:val="en-GB"/>
        </w:rPr>
        <w:fldChar w:fldCharType="separate"/>
      </w:r>
      <w:r w:rsidR="00F324A0">
        <w:rPr>
          <w:i/>
          <w:noProof/>
          <w:lang w:val="en-GB"/>
        </w:rPr>
        <w:t>3</w:t>
      </w:r>
      <w:r w:rsidRPr="004938D0">
        <w:rPr>
          <w:i/>
          <w:lang w:val="en-GB"/>
        </w:rPr>
        <w:fldChar w:fldCharType="end"/>
      </w:r>
      <w:r w:rsidRPr="004938D0">
        <w:rPr>
          <w:i/>
          <w:color w:val="000000"/>
          <w:lang w:val="en-GB"/>
        </w:rPr>
        <w:t>: Regression sub-models for heating, cooling and baseline demand analysis, combined by means of dummy variables – model Type 1</w:t>
      </w:r>
    </w:p>
    <w:tbl>
      <w:tblPr>
        <w:tblW w:w="0" w:type="auto"/>
        <w:jc w:val="center"/>
        <w:tblBorders>
          <w:top w:val="single" w:sz="8" w:space="0" w:color="auto"/>
          <w:bottom w:val="single" w:sz="8" w:space="0" w:color="auto"/>
        </w:tblBorders>
        <w:tblLook w:val="04A0" w:firstRow="1" w:lastRow="0" w:firstColumn="1" w:lastColumn="0" w:noHBand="0" w:noVBand="1"/>
      </w:tblPr>
      <w:tblGrid>
        <w:gridCol w:w="1703"/>
        <w:gridCol w:w="3827"/>
        <w:gridCol w:w="709"/>
      </w:tblGrid>
      <w:tr w:rsidR="00B86D05" w:rsidRPr="004938D0" w:rsidTr="0010520A">
        <w:trPr>
          <w:jc w:val="center"/>
        </w:trPr>
        <w:tc>
          <w:tcPr>
            <w:tcW w:w="1703" w:type="dxa"/>
            <w:tcBorders>
              <w:top w:val="single" w:sz="4" w:space="0" w:color="auto"/>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b/>
                <w:snapToGrid/>
                <w:lang w:val="en-GB"/>
              </w:rPr>
            </w:pPr>
            <w:r w:rsidRPr="004938D0">
              <w:rPr>
                <w:rFonts w:asciiTheme="majorBidi" w:hAnsiTheme="majorBidi" w:cstheme="majorBidi"/>
                <w:b/>
                <w:snapToGrid/>
                <w:lang w:val="en-GB"/>
              </w:rPr>
              <w:t>Demand</w:t>
            </w:r>
          </w:p>
        </w:tc>
        <w:tc>
          <w:tcPr>
            <w:tcW w:w="3827" w:type="dxa"/>
            <w:tcBorders>
              <w:top w:val="single" w:sz="4" w:space="0" w:color="auto"/>
              <w:bottom w:val="single" w:sz="4" w:space="0" w:color="auto"/>
            </w:tcBorders>
          </w:tcPr>
          <w:p w:rsidR="00B86D05" w:rsidRPr="004938D0" w:rsidRDefault="00B86D05" w:rsidP="0010520A">
            <w:pPr>
              <w:pStyle w:val="MDPI42tablebody"/>
              <w:spacing w:line="240" w:lineRule="auto"/>
              <w:rPr>
                <w:rFonts w:asciiTheme="majorBidi" w:hAnsiTheme="majorBidi" w:cstheme="majorBidi"/>
                <w:b/>
                <w:snapToGrid/>
                <w:lang w:val="en-GB"/>
              </w:rPr>
            </w:pPr>
            <w:r w:rsidRPr="004938D0">
              <w:rPr>
                <w:rFonts w:asciiTheme="majorBidi" w:hAnsiTheme="majorBidi" w:cstheme="majorBidi"/>
                <w:b/>
                <w:snapToGrid/>
                <w:lang w:val="en-GB"/>
              </w:rPr>
              <w:t>Sub-models</w:t>
            </w:r>
          </w:p>
        </w:tc>
        <w:tc>
          <w:tcPr>
            <w:tcW w:w="709" w:type="dxa"/>
            <w:tcBorders>
              <w:top w:val="single" w:sz="4" w:space="0" w:color="auto"/>
              <w:bottom w:val="single" w:sz="4" w:space="0" w:color="auto"/>
            </w:tcBorders>
          </w:tcPr>
          <w:p w:rsidR="00B86D05" w:rsidRPr="004938D0" w:rsidRDefault="00B86D05" w:rsidP="0010520A">
            <w:pPr>
              <w:pStyle w:val="MDPI42tablebody"/>
              <w:spacing w:line="240" w:lineRule="auto"/>
              <w:rPr>
                <w:rFonts w:asciiTheme="majorBidi" w:hAnsiTheme="majorBidi" w:cstheme="majorBidi"/>
                <w:b/>
                <w:snapToGrid/>
                <w:lang w:val="en-GB"/>
              </w:rPr>
            </w:pPr>
          </w:p>
        </w:tc>
      </w:tr>
      <w:tr w:rsidR="00B86D05" w:rsidRPr="004938D0" w:rsidTr="0010520A">
        <w:trPr>
          <w:jc w:val="center"/>
        </w:trPr>
        <w:tc>
          <w:tcPr>
            <w:tcW w:w="1703" w:type="dxa"/>
            <w:tcBorders>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r w:rsidRPr="004938D0">
              <w:rPr>
                <w:rFonts w:asciiTheme="majorBidi" w:hAnsiTheme="majorBidi" w:cstheme="majorBidi"/>
                <w:lang w:val="en-GB"/>
              </w:rPr>
              <w:t>Heating</w:t>
            </w:r>
          </w:p>
        </w:tc>
        <w:tc>
          <w:tcPr>
            <w:tcW w:w="3827" w:type="dxa"/>
            <w:tcBorders>
              <w:bottom w:val="single" w:sz="4" w:space="0" w:color="auto"/>
            </w:tcBorders>
            <w:vAlign w:val="center"/>
          </w:tcPr>
          <w:p w:rsidR="00B86D05" w:rsidRPr="004938D0"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h</m:t>
                    </m:r>
                  </m:sub>
                </m:sSub>
              </m:oMath>
            </m:oMathPara>
          </w:p>
        </w:tc>
        <w:tc>
          <w:tcPr>
            <w:tcW w:w="709" w:type="dxa"/>
            <w:tcBorders>
              <w:bottom w:val="single" w:sz="4" w:space="0" w:color="auto"/>
            </w:tcBorders>
          </w:tcPr>
          <w:p w:rsidR="00B86D05" w:rsidRPr="004938D0"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7" w:author="Manfren M." w:date="2022-05-10T08:10:00Z" w:original="(1)"/>
              </w:fldChar>
            </w:r>
          </w:p>
        </w:tc>
      </w:tr>
      <w:tr w:rsidR="00B86D05" w:rsidRPr="004938D0" w:rsidTr="0010520A">
        <w:trPr>
          <w:jc w:val="center"/>
        </w:trPr>
        <w:tc>
          <w:tcPr>
            <w:tcW w:w="1703" w:type="dxa"/>
            <w:tcBorders>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p>
        </w:tc>
        <w:tc>
          <w:tcPr>
            <w:tcW w:w="3827" w:type="dxa"/>
            <w:tcBorders>
              <w:bottom w:val="single" w:sz="4" w:space="0" w:color="auto"/>
            </w:tcBorders>
            <w:vAlign w:val="center"/>
          </w:tcPr>
          <w:p w:rsidR="00B86D05" w:rsidRPr="004938D0"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h</m:t>
                    </m:r>
                  </m:sub>
                </m:sSub>
              </m:oMath>
            </m:oMathPara>
          </w:p>
        </w:tc>
        <w:tc>
          <w:tcPr>
            <w:tcW w:w="709" w:type="dxa"/>
            <w:tcBorders>
              <w:bottom w:val="single" w:sz="4" w:space="0" w:color="auto"/>
            </w:tcBorders>
          </w:tcPr>
          <w:p w:rsidR="00B86D05" w:rsidRPr="004938D0"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8" w:author="Manfren M." w:date="2022-05-10T08:10:00Z" w:original="(2)"/>
              </w:fldChar>
            </w:r>
          </w:p>
        </w:tc>
      </w:tr>
      <w:tr w:rsidR="00B86D05" w:rsidRPr="004938D0" w:rsidTr="0010520A">
        <w:trPr>
          <w:jc w:val="center"/>
        </w:trPr>
        <w:tc>
          <w:tcPr>
            <w:tcW w:w="1703" w:type="dxa"/>
            <w:tcBorders>
              <w:top w:val="single" w:sz="4" w:space="0" w:color="auto"/>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r w:rsidRPr="004938D0">
              <w:rPr>
                <w:rFonts w:asciiTheme="majorBidi" w:hAnsiTheme="majorBidi" w:cstheme="majorBidi"/>
                <w:lang w:val="en-GB"/>
              </w:rPr>
              <w:t>Base load</w:t>
            </w:r>
          </w:p>
        </w:tc>
        <w:tc>
          <w:tcPr>
            <w:tcW w:w="3827" w:type="dxa"/>
            <w:tcBorders>
              <w:top w:val="single" w:sz="4" w:space="0" w:color="auto"/>
              <w:bottom w:val="single" w:sz="4" w:space="0" w:color="auto"/>
            </w:tcBorders>
            <w:vAlign w:val="center"/>
          </w:tcPr>
          <w:p w:rsidR="00B86D05" w:rsidRPr="004938D0"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 xml:space="preserve"> b</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b</m:t>
                    </m:r>
                  </m:sub>
                </m:sSub>
              </m:oMath>
            </m:oMathPara>
          </w:p>
        </w:tc>
        <w:tc>
          <w:tcPr>
            <w:tcW w:w="709" w:type="dxa"/>
            <w:tcBorders>
              <w:top w:val="single" w:sz="4" w:space="0" w:color="auto"/>
              <w:bottom w:val="single" w:sz="4" w:space="0" w:color="auto"/>
            </w:tcBorders>
          </w:tcPr>
          <w:p w:rsidR="00B86D05" w:rsidRPr="004938D0"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9" w:author="Manfren M." w:date="2022-05-10T08:10:00Z" w:original="(3)"/>
              </w:fldChar>
            </w:r>
          </w:p>
        </w:tc>
      </w:tr>
      <w:tr w:rsidR="00B86D05" w:rsidRPr="004938D0" w:rsidTr="0010520A">
        <w:trPr>
          <w:jc w:val="center"/>
        </w:trPr>
        <w:tc>
          <w:tcPr>
            <w:tcW w:w="1703" w:type="dxa"/>
            <w:tcBorders>
              <w:top w:val="single" w:sz="4" w:space="0" w:color="auto"/>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p>
        </w:tc>
        <w:tc>
          <w:tcPr>
            <w:tcW w:w="3827" w:type="dxa"/>
            <w:tcBorders>
              <w:top w:val="single" w:sz="4" w:space="0" w:color="auto"/>
              <w:bottom w:val="single" w:sz="4" w:space="0" w:color="auto"/>
            </w:tcBorders>
            <w:vAlign w:val="center"/>
          </w:tcPr>
          <w:p w:rsidR="00B86D05" w:rsidRPr="004938D0"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b</m:t>
                    </m:r>
                  </m:sub>
                </m:sSub>
              </m:oMath>
            </m:oMathPara>
          </w:p>
        </w:tc>
        <w:tc>
          <w:tcPr>
            <w:tcW w:w="709" w:type="dxa"/>
            <w:tcBorders>
              <w:top w:val="single" w:sz="4" w:space="0" w:color="auto"/>
              <w:bottom w:val="single" w:sz="4" w:space="0" w:color="auto"/>
            </w:tcBorders>
          </w:tcPr>
          <w:p w:rsidR="00B86D05" w:rsidRPr="004938D0"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10" w:author="Manfren M." w:date="2022-05-10T08:10:00Z" w:original="(4)"/>
              </w:fldChar>
            </w:r>
          </w:p>
        </w:tc>
      </w:tr>
      <w:tr w:rsidR="00B86D05" w:rsidRPr="004938D0" w:rsidTr="0010520A">
        <w:trPr>
          <w:jc w:val="center"/>
        </w:trPr>
        <w:tc>
          <w:tcPr>
            <w:tcW w:w="1703" w:type="dxa"/>
            <w:tcBorders>
              <w:top w:val="single" w:sz="4" w:space="0" w:color="auto"/>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r w:rsidRPr="004938D0">
              <w:rPr>
                <w:rFonts w:asciiTheme="majorBidi" w:hAnsiTheme="majorBidi" w:cstheme="majorBidi"/>
                <w:lang w:val="en-GB"/>
              </w:rPr>
              <w:t>Cooling</w:t>
            </w:r>
          </w:p>
        </w:tc>
        <w:tc>
          <w:tcPr>
            <w:tcW w:w="3827" w:type="dxa"/>
            <w:tcBorders>
              <w:top w:val="single" w:sz="4" w:space="0" w:color="auto"/>
              <w:bottom w:val="single" w:sz="4" w:space="0" w:color="auto"/>
            </w:tcBorders>
            <w:vAlign w:val="center"/>
          </w:tcPr>
          <w:p w:rsidR="00B86D05" w:rsidRPr="004938D0"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c</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c</m:t>
                    </m:r>
                  </m:sub>
                </m:sSub>
              </m:oMath>
            </m:oMathPara>
          </w:p>
        </w:tc>
        <w:tc>
          <w:tcPr>
            <w:tcW w:w="709" w:type="dxa"/>
            <w:tcBorders>
              <w:top w:val="single" w:sz="4" w:space="0" w:color="auto"/>
              <w:bottom w:val="single" w:sz="4" w:space="0" w:color="auto"/>
            </w:tcBorders>
          </w:tcPr>
          <w:p w:rsidR="00B86D05" w:rsidRPr="004938D0"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11" w:author="Manfren M." w:date="2022-05-10T08:10:00Z" w:original="(5)"/>
              </w:fldChar>
            </w:r>
          </w:p>
        </w:tc>
      </w:tr>
      <w:tr w:rsidR="00B86D05" w:rsidRPr="0005699C" w:rsidTr="0010520A">
        <w:trPr>
          <w:jc w:val="center"/>
        </w:trPr>
        <w:tc>
          <w:tcPr>
            <w:tcW w:w="1703" w:type="dxa"/>
            <w:tcBorders>
              <w:top w:val="single" w:sz="4" w:space="0" w:color="auto"/>
              <w:bottom w:val="single" w:sz="4" w:space="0" w:color="auto"/>
            </w:tcBorders>
            <w:shd w:val="clear" w:color="auto" w:fill="auto"/>
            <w:vAlign w:val="center"/>
          </w:tcPr>
          <w:p w:rsidR="00B86D05" w:rsidRPr="004938D0" w:rsidRDefault="00B86D05" w:rsidP="0010520A">
            <w:pPr>
              <w:pStyle w:val="MDPI42tablebody"/>
              <w:spacing w:line="240" w:lineRule="auto"/>
              <w:rPr>
                <w:rFonts w:asciiTheme="majorBidi" w:hAnsiTheme="majorBidi" w:cstheme="majorBidi"/>
                <w:lang w:val="en-GB"/>
              </w:rPr>
            </w:pPr>
          </w:p>
        </w:tc>
        <w:tc>
          <w:tcPr>
            <w:tcW w:w="3827" w:type="dxa"/>
            <w:tcBorders>
              <w:top w:val="single" w:sz="4" w:space="0" w:color="auto"/>
              <w:bottom w:val="single" w:sz="4" w:space="0" w:color="auto"/>
            </w:tcBorders>
            <w:vAlign w:val="center"/>
          </w:tcPr>
          <w:p w:rsidR="00B86D05" w:rsidRPr="004938D0"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c</m:t>
                    </m:r>
                  </m:sub>
                </m:sSub>
              </m:oMath>
            </m:oMathPara>
          </w:p>
        </w:tc>
        <w:tc>
          <w:tcPr>
            <w:tcW w:w="709" w:type="dxa"/>
            <w:tcBorders>
              <w:top w:val="single" w:sz="4" w:space="0" w:color="auto"/>
              <w:bottom w:val="single" w:sz="4" w:space="0" w:color="auto"/>
            </w:tcBorders>
          </w:tcPr>
          <w:p w:rsidR="00B86D05" w:rsidRPr="00CA553C" w:rsidRDefault="00B86D05" w:rsidP="0010520A">
            <w:pPr>
              <w:pStyle w:val="MDPI42tablebody"/>
              <w:spacing w:line="240" w:lineRule="auto"/>
              <w:rPr>
                <w:rFonts w:ascii="Times New Roman" w:hAnsi="Times New Roman"/>
                <w:szCs w:val="24"/>
              </w:rPr>
            </w:pPr>
            <w:r w:rsidRPr="004938D0">
              <w:rPr>
                <w:rFonts w:ascii="Times New Roman" w:hAnsi="Times New Roman"/>
                <w:szCs w:val="24"/>
              </w:rPr>
              <w:fldChar w:fldCharType="begin"/>
            </w:r>
            <w:r w:rsidRPr="004938D0">
              <w:rPr>
                <w:rFonts w:ascii="Times New Roman" w:hAnsi="Times New Roman"/>
                <w:szCs w:val="24"/>
              </w:rPr>
              <w:instrText xml:space="preserve"> LISTNUM "WMeq" "NumberDefault" \L 4 </w:instrText>
            </w:r>
            <w:r w:rsidRPr="004938D0">
              <w:rPr>
                <w:rFonts w:ascii="Times New Roman" w:hAnsi="Times New Roman"/>
                <w:szCs w:val="24"/>
              </w:rPr>
              <w:fldChar w:fldCharType="end">
                <w:numberingChange w:id="12" w:author="Manfren M." w:date="2022-05-10T08:10:00Z" w:original="(6)"/>
              </w:fldChar>
            </w:r>
          </w:p>
        </w:tc>
      </w:tr>
    </w:tbl>
    <w:p w:rsidR="00B86D05" w:rsidRDefault="00B86D05" w:rsidP="00B86D05">
      <w:pPr>
        <w:tabs>
          <w:tab w:val="left" w:pos="-720"/>
        </w:tabs>
        <w:suppressAutoHyphens/>
        <w:jc w:val="center"/>
        <w:rPr>
          <w:spacing w:val="-3"/>
          <w:lang w:val="en-GB"/>
        </w:rPr>
      </w:pPr>
    </w:p>
    <w:p w:rsidR="00B86D05" w:rsidRPr="00B71608" w:rsidRDefault="00B86D05" w:rsidP="00BD2AFA">
      <w:pPr>
        <w:jc w:val="center"/>
        <w:rPr>
          <w:i/>
          <w:color w:val="000000"/>
          <w:lang w:val="en-GB"/>
        </w:rPr>
      </w:pPr>
      <w:r w:rsidRPr="00B71608">
        <w:rPr>
          <w:i/>
          <w:color w:val="000000"/>
          <w:lang w:val="en-GB"/>
        </w:rPr>
        <w:t xml:space="preserve">Table </w:t>
      </w:r>
      <w:r w:rsidRPr="00B71608">
        <w:rPr>
          <w:i/>
          <w:lang w:val="en-GB"/>
        </w:rPr>
        <w:fldChar w:fldCharType="begin"/>
      </w:r>
      <w:r w:rsidRPr="00B71608">
        <w:rPr>
          <w:i/>
          <w:lang w:val="en-GB"/>
        </w:rPr>
        <w:instrText xml:space="preserve"> SEQ Table \* ARABIC </w:instrText>
      </w:r>
      <w:r w:rsidRPr="00B71608">
        <w:rPr>
          <w:i/>
          <w:lang w:val="en-GB"/>
        </w:rPr>
        <w:fldChar w:fldCharType="separate"/>
      </w:r>
      <w:r w:rsidR="00F324A0">
        <w:rPr>
          <w:i/>
          <w:noProof/>
          <w:lang w:val="en-GB"/>
        </w:rPr>
        <w:t>4</w:t>
      </w:r>
      <w:r w:rsidRPr="00B71608">
        <w:rPr>
          <w:i/>
          <w:lang w:val="en-GB"/>
        </w:rPr>
        <w:fldChar w:fldCharType="end"/>
      </w:r>
      <w:r w:rsidRPr="00B71608">
        <w:rPr>
          <w:i/>
          <w:color w:val="000000"/>
          <w:lang w:val="en-GB"/>
        </w:rPr>
        <w:t>: Regression sub-models for heating, cooling and baseline demand analysis, combined by means of dummy variables – model Type 2</w:t>
      </w:r>
    </w:p>
    <w:tbl>
      <w:tblPr>
        <w:tblW w:w="0" w:type="auto"/>
        <w:jc w:val="center"/>
        <w:tblBorders>
          <w:top w:val="single" w:sz="8" w:space="0" w:color="auto"/>
          <w:bottom w:val="single" w:sz="8" w:space="0" w:color="auto"/>
        </w:tblBorders>
        <w:tblLook w:val="04A0" w:firstRow="1" w:lastRow="0" w:firstColumn="1" w:lastColumn="0" w:noHBand="0" w:noVBand="1"/>
      </w:tblPr>
      <w:tblGrid>
        <w:gridCol w:w="1843"/>
        <w:gridCol w:w="3828"/>
        <w:gridCol w:w="709"/>
      </w:tblGrid>
      <w:tr w:rsidR="00B86D05" w:rsidRPr="00B71608" w:rsidTr="0010520A">
        <w:trPr>
          <w:jc w:val="center"/>
        </w:trPr>
        <w:tc>
          <w:tcPr>
            <w:tcW w:w="1843" w:type="dxa"/>
            <w:tcBorders>
              <w:top w:val="single" w:sz="4" w:space="0" w:color="auto"/>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b/>
                <w:snapToGrid/>
                <w:lang w:val="en-GB"/>
              </w:rPr>
            </w:pPr>
            <w:r w:rsidRPr="00B71608">
              <w:rPr>
                <w:rFonts w:asciiTheme="majorBidi" w:hAnsiTheme="majorBidi" w:cstheme="majorBidi"/>
                <w:b/>
                <w:snapToGrid/>
                <w:lang w:val="en-GB"/>
              </w:rPr>
              <w:t>Demand</w:t>
            </w:r>
          </w:p>
        </w:tc>
        <w:tc>
          <w:tcPr>
            <w:tcW w:w="3828" w:type="dxa"/>
            <w:tcBorders>
              <w:top w:val="single" w:sz="4" w:space="0" w:color="auto"/>
              <w:bottom w:val="single" w:sz="4" w:space="0" w:color="auto"/>
            </w:tcBorders>
          </w:tcPr>
          <w:p w:rsidR="00B86D05" w:rsidRPr="00B71608" w:rsidRDefault="00B86D05" w:rsidP="0010520A">
            <w:pPr>
              <w:pStyle w:val="MDPI42tablebody"/>
              <w:spacing w:line="240" w:lineRule="auto"/>
              <w:rPr>
                <w:rFonts w:asciiTheme="majorBidi" w:hAnsiTheme="majorBidi" w:cstheme="majorBidi"/>
                <w:b/>
                <w:snapToGrid/>
                <w:lang w:val="en-GB"/>
              </w:rPr>
            </w:pPr>
            <w:r w:rsidRPr="00B71608">
              <w:rPr>
                <w:rFonts w:asciiTheme="majorBidi" w:hAnsiTheme="majorBidi" w:cstheme="majorBidi"/>
                <w:b/>
                <w:snapToGrid/>
                <w:lang w:val="en-GB"/>
              </w:rPr>
              <w:t>Sub-models</w:t>
            </w:r>
          </w:p>
        </w:tc>
        <w:tc>
          <w:tcPr>
            <w:tcW w:w="709" w:type="dxa"/>
            <w:tcBorders>
              <w:top w:val="single" w:sz="4" w:space="0" w:color="auto"/>
              <w:bottom w:val="single" w:sz="4" w:space="0" w:color="auto"/>
            </w:tcBorders>
          </w:tcPr>
          <w:p w:rsidR="00B86D05" w:rsidRPr="00B71608" w:rsidRDefault="00B86D05" w:rsidP="0010520A">
            <w:pPr>
              <w:pStyle w:val="MDPI42tablebody"/>
              <w:spacing w:line="240" w:lineRule="auto"/>
              <w:rPr>
                <w:rFonts w:asciiTheme="majorBidi" w:hAnsiTheme="majorBidi" w:cstheme="majorBidi"/>
                <w:b/>
                <w:snapToGrid/>
                <w:lang w:val="en-GB"/>
              </w:rPr>
            </w:pPr>
          </w:p>
        </w:tc>
      </w:tr>
      <w:tr w:rsidR="00B86D05" w:rsidRPr="00B71608" w:rsidTr="0010520A">
        <w:trPr>
          <w:jc w:val="center"/>
        </w:trPr>
        <w:tc>
          <w:tcPr>
            <w:tcW w:w="1843" w:type="dxa"/>
            <w:tcBorders>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r w:rsidRPr="00B71608">
              <w:rPr>
                <w:rFonts w:asciiTheme="majorBidi" w:hAnsiTheme="majorBidi" w:cstheme="majorBidi"/>
                <w:lang w:val="en-GB"/>
              </w:rPr>
              <w:t>Heating</w:t>
            </w:r>
          </w:p>
        </w:tc>
        <w:tc>
          <w:tcPr>
            <w:tcW w:w="3828" w:type="dxa"/>
            <w:tcBorders>
              <w:bottom w:val="single" w:sz="4" w:space="0" w:color="auto"/>
            </w:tcBorders>
            <w:vAlign w:val="center"/>
          </w:tcPr>
          <w:p w:rsidR="00B86D05" w:rsidRPr="00B71608"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2</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h</m:t>
                    </m:r>
                  </m:sub>
                </m:sSub>
              </m:oMath>
            </m:oMathPara>
          </w:p>
        </w:tc>
        <w:tc>
          <w:tcPr>
            <w:tcW w:w="709" w:type="dxa"/>
            <w:tcBorders>
              <w:bottom w:val="single" w:sz="4" w:space="0" w:color="auto"/>
            </w:tcBorders>
          </w:tcPr>
          <w:p w:rsidR="00B86D05" w:rsidRPr="00B71608"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3" w:author="Manfren M." w:date="2022-05-10T08:10:00Z" w:original="(7)"/>
              </w:fldChar>
            </w:r>
          </w:p>
        </w:tc>
      </w:tr>
      <w:tr w:rsidR="00B86D05" w:rsidRPr="00B71608" w:rsidTr="0010520A">
        <w:trPr>
          <w:jc w:val="center"/>
        </w:trPr>
        <w:tc>
          <w:tcPr>
            <w:tcW w:w="1843" w:type="dxa"/>
            <w:tcBorders>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p>
        </w:tc>
        <w:tc>
          <w:tcPr>
            <w:tcW w:w="3828" w:type="dxa"/>
            <w:tcBorders>
              <w:bottom w:val="single" w:sz="4" w:space="0" w:color="auto"/>
            </w:tcBorders>
            <w:vAlign w:val="center"/>
          </w:tcPr>
          <w:p w:rsidR="00B86D05" w:rsidRPr="00B71608"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2</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h</m:t>
                    </m:r>
                  </m:sub>
                </m:sSub>
              </m:oMath>
            </m:oMathPara>
          </w:p>
        </w:tc>
        <w:tc>
          <w:tcPr>
            <w:tcW w:w="709" w:type="dxa"/>
            <w:tcBorders>
              <w:bottom w:val="single" w:sz="4" w:space="0" w:color="auto"/>
            </w:tcBorders>
          </w:tcPr>
          <w:p w:rsidR="00B86D05" w:rsidRPr="00B71608"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4" w:author="Manfren M." w:date="2022-05-10T08:10:00Z" w:original="(8)"/>
              </w:fldChar>
            </w:r>
          </w:p>
        </w:tc>
      </w:tr>
      <w:tr w:rsidR="00B86D05" w:rsidRPr="00B71608" w:rsidTr="0010520A">
        <w:trPr>
          <w:jc w:val="center"/>
        </w:trPr>
        <w:tc>
          <w:tcPr>
            <w:tcW w:w="1843" w:type="dxa"/>
            <w:tcBorders>
              <w:top w:val="single" w:sz="4" w:space="0" w:color="auto"/>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r w:rsidRPr="00B71608">
              <w:rPr>
                <w:rFonts w:asciiTheme="majorBidi" w:hAnsiTheme="majorBidi" w:cstheme="majorBidi"/>
                <w:lang w:val="en-GB"/>
              </w:rPr>
              <w:t>Base load</w:t>
            </w:r>
          </w:p>
        </w:tc>
        <w:tc>
          <w:tcPr>
            <w:tcW w:w="3828" w:type="dxa"/>
            <w:tcBorders>
              <w:top w:val="single" w:sz="4" w:space="0" w:color="auto"/>
              <w:bottom w:val="single" w:sz="4" w:space="0" w:color="auto"/>
            </w:tcBorders>
            <w:vAlign w:val="center"/>
          </w:tcPr>
          <w:p w:rsidR="00B86D05" w:rsidRPr="00B71608"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 xml:space="preserve"> b</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2</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b</m:t>
                    </m:r>
                  </m:sub>
                </m:sSub>
              </m:oMath>
            </m:oMathPara>
          </w:p>
        </w:tc>
        <w:tc>
          <w:tcPr>
            <w:tcW w:w="709" w:type="dxa"/>
            <w:tcBorders>
              <w:top w:val="single" w:sz="4" w:space="0" w:color="auto"/>
              <w:bottom w:val="single" w:sz="4" w:space="0" w:color="auto"/>
            </w:tcBorders>
          </w:tcPr>
          <w:p w:rsidR="00B86D05" w:rsidRPr="00B71608"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5" w:author="Manfren M." w:date="2022-05-10T08:10:00Z" w:original="(9)"/>
              </w:fldChar>
            </w:r>
          </w:p>
        </w:tc>
      </w:tr>
      <w:tr w:rsidR="00B86D05" w:rsidRPr="00B71608" w:rsidTr="0010520A">
        <w:trPr>
          <w:jc w:val="center"/>
        </w:trPr>
        <w:tc>
          <w:tcPr>
            <w:tcW w:w="1843" w:type="dxa"/>
            <w:tcBorders>
              <w:top w:val="single" w:sz="4" w:space="0" w:color="auto"/>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p>
        </w:tc>
        <w:tc>
          <w:tcPr>
            <w:tcW w:w="3828" w:type="dxa"/>
            <w:tcBorders>
              <w:top w:val="single" w:sz="4" w:space="0" w:color="auto"/>
              <w:bottom w:val="single" w:sz="4" w:space="0" w:color="auto"/>
            </w:tcBorders>
            <w:vAlign w:val="center"/>
          </w:tcPr>
          <w:p w:rsidR="00B86D05" w:rsidRPr="00B71608"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2</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b</m:t>
                    </m:r>
                  </m:sub>
                </m:sSub>
              </m:oMath>
            </m:oMathPara>
          </w:p>
        </w:tc>
        <w:tc>
          <w:tcPr>
            <w:tcW w:w="709" w:type="dxa"/>
            <w:tcBorders>
              <w:top w:val="single" w:sz="4" w:space="0" w:color="auto"/>
              <w:bottom w:val="single" w:sz="4" w:space="0" w:color="auto"/>
            </w:tcBorders>
          </w:tcPr>
          <w:p w:rsidR="00B86D05" w:rsidRPr="00B71608"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6" w:author="Manfren M." w:date="2022-05-10T08:10:00Z" w:original="(10)"/>
              </w:fldChar>
            </w:r>
          </w:p>
        </w:tc>
      </w:tr>
      <w:tr w:rsidR="00B86D05" w:rsidRPr="00B71608" w:rsidTr="0010520A">
        <w:trPr>
          <w:jc w:val="center"/>
        </w:trPr>
        <w:tc>
          <w:tcPr>
            <w:tcW w:w="1843" w:type="dxa"/>
            <w:tcBorders>
              <w:top w:val="single" w:sz="4" w:space="0" w:color="auto"/>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r w:rsidRPr="00B71608">
              <w:rPr>
                <w:rFonts w:asciiTheme="majorBidi" w:hAnsiTheme="majorBidi" w:cstheme="majorBidi"/>
                <w:lang w:val="en-GB"/>
              </w:rPr>
              <w:t>Cooling</w:t>
            </w:r>
          </w:p>
        </w:tc>
        <w:tc>
          <w:tcPr>
            <w:tcW w:w="3828" w:type="dxa"/>
            <w:tcBorders>
              <w:top w:val="single" w:sz="4" w:space="0" w:color="auto"/>
              <w:bottom w:val="single" w:sz="4" w:space="0" w:color="auto"/>
            </w:tcBorders>
            <w:vAlign w:val="center"/>
          </w:tcPr>
          <w:p w:rsidR="00B86D05" w:rsidRPr="00B71608" w:rsidRDefault="008541C7" w:rsidP="0010520A">
            <w:pPr>
              <w:pStyle w:val="MDPI42tablebody"/>
              <w:spacing w:line="240" w:lineRule="auto"/>
              <w:rPr>
                <w:rFonts w:asciiTheme="majorBidi" w:hAnsiTheme="majorBidi" w:cstheme="majorBidi"/>
                <w:lang w:val="en-GB" w:eastAsia="en-GB"/>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c</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c</m:t>
                    </m:r>
                  </m:sub>
                </m:sSub>
              </m:oMath>
            </m:oMathPara>
          </w:p>
        </w:tc>
        <w:tc>
          <w:tcPr>
            <w:tcW w:w="709" w:type="dxa"/>
            <w:tcBorders>
              <w:top w:val="single" w:sz="4" w:space="0" w:color="auto"/>
              <w:bottom w:val="single" w:sz="4" w:space="0" w:color="auto"/>
            </w:tcBorders>
          </w:tcPr>
          <w:p w:rsidR="00B86D05" w:rsidRPr="00B71608"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7" w:author="Manfren M." w:date="2022-05-10T08:10:00Z" w:original="(11)"/>
              </w:fldChar>
            </w:r>
          </w:p>
        </w:tc>
      </w:tr>
      <w:tr w:rsidR="00B86D05" w:rsidRPr="0005699C" w:rsidTr="0010520A">
        <w:trPr>
          <w:jc w:val="center"/>
        </w:trPr>
        <w:tc>
          <w:tcPr>
            <w:tcW w:w="1843" w:type="dxa"/>
            <w:tcBorders>
              <w:top w:val="single" w:sz="4" w:space="0" w:color="auto"/>
              <w:bottom w:val="single" w:sz="4" w:space="0" w:color="auto"/>
            </w:tcBorders>
            <w:shd w:val="clear" w:color="auto" w:fill="auto"/>
            <w:vAlign w:val="center"/>
          </w:tcPr>
          <w:p w:rsidR="00B86D05" w:rsidRPr="00B71608" w:rsidRDefault="00B86D05" w:rsidP="0010520A">
            <w:pPr>
              <w:pStyle w:val="MDPI42tablebody"/>
              <w:spacing w:line="240" w:lineRule="auto"/>
              <w:rPr>
                <w:rFonts w:asciiTheme="majorBidi" w:hAnsiTheme="majorBidi" w:cstheme="majorBidi"/>
                <w:lang w:val="en-GB"/>
              </w:rPr>
            </w:pPr>
          </w:p>
        </w:tc>
        <w:tc>
          <w:tcPr>
            <w:tcW w:w="3828" w:type="dxa"/>
            <w:tcBorders>
              <w:top w:val="single" w:sz="4" w:space="0" w:color="auto"/>
              <w:bottom w:val="single" w:sz="4" w:space="0" w:color="auto"/>
            </w:tcBorders>
            <w:vAlign w:val="center"/>
          </w:tcPr>
          <w:p w:rsidR="00B86D05" w:rsidRPr="00B71608" w:rsidRDefault="008541C7" w:rsidP="0010520A">
            <w:pPr>
              <w:pStyle w:val="MDPI42tablebody"/>
              <w:spacing w:line="240" w:lineRule="auto"/>
              <w:rPr>
                <w:rFonts w:ascii="Times New Roman" w:hAnsi="Times New Roman"/>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h</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0</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sol</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c</m:t>
                    </m:r>
                  </m:sub>
                </m:sSub>
              </m:oMath>
            </m:oMathPara>
          </w:p>
        </w:tc>
        <w:tc>
          <w:tcPr>
            <w:tcW w:w="709" w:type="dxa"/>
            <w:tcBorders>
              <w:top w:val="single" w:sz="4" w:space="0" w:color="auto"/>
              <w:bottom w:val="single" w:sz="4" w:space="0" w:color="auto"/>
            </w:tcBorders>
          </w:tcPr>
          <w:p w:rsidR="00B86D05" w:rsidRPr="00CA553C" w:rsidRDefault="00B86D05" w:rsidP="0010520A">
            <w:pPr>
              <w:pStyle w:val="MDPI42tablebody"/>
              <w:spacing w:line="240" w:lineRule="auto"/>
              <w:rPr>
                <w:rFonts w:ascii="Times New Roman" w:hAnsi="Times New Roman"/>
                <w:szCs w:val="24"/>
              </w:rPr>
            </w:pPr>
            <w:r w:rsidRPr="00B71608">
              <w:rPr>
                <w:rFonts w:ascii="Times New Roman" w:hAnsi="Times New Roman"/>
                <w:szCs w:val="24"/>
              </w:rPr>
              <w:fldChar w:fldCharType="begin"/>
            </w:r>
            <w:r w:rsidRPr="00B71608">
              <w:rPr>
                <w:rFonts w:ascii="Times New Roman" w:hAnsi="Times New Roman"/>
                <w:szCs w:val="24"/>
              </w:rPr>
              <w:instrText xml:space="preserve"> LISTNUM "WMeq" "NumberDefault" \L 4 </w:instrText>
            </w:r>
            <w:r w:rsidRPr="00B71608">
              <w:rPr>
                <w:rFonts w:ascii="Times New Roman" w:hAnsi="Times New Roman"/>
                <w:szCs w:val="24"/>
              </w:rPr>
              <w:fldChar w:fldCharType="end">
                <w:numberingChange w:id="18" w:author="Manfren M." w:date="2022-05-10T08:10:00Z" w:original="(12)"/>
              </w:fldChar>
            </w:r>
          </w:p>
        </w:tc>
      </w:tr>
    </w:tbl>
    <w:p w:rsidR="00B86D05" w:rsidRPr="00314B5D" w:rsidRDefault="00B86D05" w:rsidP="00B86D05">
      <w:pPr>
        <w:tabs>
          <w:tab w:val="left" w:pos="-720"/>
        </w:tabs>
        <w:suppressAutoHyphens/>
        <w:jc w:val="center"/>
        <w:rPr>
          <w:spacing w:val="-3"/>
          <w:lang w:val="en-GB"/>
        </w:rPr>
      </w:pPr>
    </w:p>
    <w:p w:rsidR="00A3593F" w:rsidRPr="00E27DF4" w:rsidRDefault="00A3593F" w:rsidP="00A3593F">
      <w:pPr>
        <w:tabs>
          <w:tab w:val="left" w:pos="-1134"/>
          <w:tab w:val="left" w:pos="-414"/>
        </w:tabs>
        <w:suppressAutoHyphens/>
        <w:jc w:val="both"/>
        <w:rPr>
          <w:lang w:val="en-GB"/>
        </w:rPr>
      </w:pPr>
      <w:r w:rsidRPr="00BD2AFA">
        <w:rPr>
          <w:lang w:val="en-GB"/>
        </w:rPr>
        <w:t>Model type 1 is the sum of the three sub-models in formulas 2, 4 and 6, while model type 2 is the sum of the three sub-models in formulas 8, 10 and 12. The formulas 2, 4, 6 and 8</w:t>
      </w:r>
      <w:proofErr w:type="gramStart"/>
      <w:r w:rsidRPr="00BD2AFA">
        <w:rPr>
          <w:lang w:val="en-GB"/>
        </w:rPr>
        <w:t>,10</w:t>
      </w:r>
      <w:proofErr w:type="gramEnd"/>
      <w:r w:rsidRPr="00BD2AFA">
        <w:rPr>
          <w:lang w:val="en-GB"/>
        </w:rPr>
        <w:t xml:space="preserve">, 12 are chosen (instead of 1, 3, 5 and 7, 9, 11 respectively) because they represent the regression models created using the dummy variables where the new variables are </w:t>
      </w:r>
      <w:proofErr w:type="spellStart"/>
      <w:r w:rsidRPr="00BD2AFA">
        <w:rPr>
          <w:i/>
          <w:iCs/>
          <w:lang w:val="en-GB"/>
        </w:rPr>
        <w:t>X</w:t>
      </w:r>
      <w:r w:rsidRPr="00BD2AFA">
        <w:rPr>
          <w:i/>
          <w:iCs/>
          <w:vertAlign w:val="subscript"/>
          <w:lang w:val="en-GB"/>
        </w:rPr>
        <w:t>h</w:t>
      </w:r>
      <w:proofErr w:type="spellEnd"/>
      <w:r w:rsidRPr="00BD2AFA">
        <w:rPr>
          <w:lang w:val="en-GB"/>
        </w:rPr>
        <w:t xml:space="preserve">, </w:t>
      </w:r>
      <w:proofErr w:type="spellStart"/>
      <w:r w:rsidRPr="00BD2AFA">
        <w:rPr>
          <w:i/>
          <w:iCs/>
          <w:lang w:val="en-GB"/>
        </w:rPr>
        <w:t>X</w:t>
      </w:r>
      <w:r w:rsidRPr="00BD2AFA">
        <w:rPr>
          <w:i/>
          <w:iCs/>
          <w:vertAlign w:val="subscript"/>
          <w:lang w:val="en-GB"/>
        </w:rPr>
        <w:t>h</w:t>
      </w:r>
      <w:proofErr w:type="spellEnd"/>
      <w:r w:rsidRPr="00BD2AFA">
        <w:rPr>
          <w:rFonts w:asciiTheme="majorBidi" w:hAnsiTheme="majorBidi" w:cstheme="majorBidi"/>
          <w:i/>
          <w:iCs/>
        </w:rPr>
        <w:t>θ</w:t>
      </w:r>
      <w:r w:rsidRPr="00BD2AFA">
        <w:rPr>
          <w:rFonts w:asciiTheme="majorBidi" w:hAnsiTheme="majorBidi" w:cstheme="majorBidi"/>
          <w:i/>
          <w:iCs/>
          <w:vertAlign w:val="subscript"/>
          <w:lang w:val="en-GB"/>
        </w:rPr>
        <w:t>e</w:t>
      </w:r>
      <w:r w:rsidRPr="00BD2AFA">
        <w:rPr>
          <w:rFonts w:asciiTheme="majorBidi" w:hAnsiTheme="majorBidi" w:cstheme="majorBidi"/>
          <w:i/>
          <w:iCs/>
          <w:lang w:val="en-GB"/>
        </w:rPr>
        <w:t xml:space="preserve">, </w:t>
      </w:r>
      <w:proofErr w:type="spellStart"/>
      <w:r w:rsidRPr="00BD2AFA">
        <w:rPr>
          <w:i/>
          <w:iCs/>
          <w:lang w:val="en-GB"/>
        </w:rPr>
        <w:t>X</w:t>
      </w:r>
      <w:r w:rsidRPr="00BD2AFA">
        <w:rPr>
          <w:i/>
          <w:iCs/>
          <w:vertAlign w:val="subscript"/>
          <w:lang w:val="en-GB"/>
        </w:rPr>
        <w:t>h</w:t>
      </w:r>
      <w:r w:rsidRPr="00BD2AFA">
        <w:rPr>
          <w:rFonts w:asciiTheme="majorBidi" w:hAnsiTheme="majorBidi" w:cstheme="majorBidi"/>
          <w:i/>
          <w:iCs/>
          <w:lang w:val="en-GB"/>
        </w:rPr>
        <w:t>I</w:t>
      </w:r>
      <w:r w:rsidRPr="00BD2AFA">
        <w:rPr>
          <w:rFonts w:asciiTheme="majorBidi" w:hAnsiTheme="majorBidi" w:cstheme="majorBidi"/>
          <w:i/>
          <w:iCs/>
          <w:vertAlign w:val="subscript"/>
          <w:lang w:val="en-GB"/>
        </w:rPr>
        <w:t>sol</w:t>
      </w:r>
      <w:proofErr w:type="spellEnd"/>
      <w:r w:rsidRPr="00BD2AFA">
        <w:rPr>
          <w:rFonts w:asciiTheme="majorBidi" w:hAnsiTheme="majorBidi" w:cstheme="majorBidi"/>
          <w:i/>
          <w:iCs/>
          <w:lang w:val="en-GB"/>
        </w:rPr>
        <w:t xml:space="preserve">, </w:t>
      </w:r>
      <w:r w:rsidRPr="00BD2AFA">
        <w:rPr>
          <w:rFonts w:asciiTheme="majorBidi" w:hAnsiTheme="majorBidi" w:cstheme="majorBidi"/>
          <w:lang w:val="en-GB"/>
        </w:rPr>
        <w:t>etc</w:t>
      </w:r>
      <w:r w:rsidRPr="00BD2AFA">
        <w:rPr>
          <w:rFonts w:asciiTheme="majorBidi" w:hAnsiTheme="majorBidi" w:cstheme="majorBidi"/>
          <w:i/>
          <w:iCs/>
          <w:lang w:val="en-GB"/>
        </w:rPr>
        <w:t xml:space="preserve">. </w:t>
      </w:r>
      <w:r w:rsidRPr="00BD2AFA">
        <w:rPr>
          <w:rFonts w:asciiTheme="majorBidi" w:hAnsiTheme="majorBidi" w:cstheme="majorBidi"/>
          <w:lang w:val="en-GB"/>
        </w:rPr>
        <w:t xml:space="preserve">In other words, the dummy (binary) variables </w:t>
      </w:r>
      <w:proofErr w:type="gramStart"/>
      <w:r w:rsidRPr="00BD2AFA">
        <w:rPr>
          <w:rFonts w:asciiTheme="majorBidi" w:hAnsiTheme="majorBidi" w:cstheme="majorBidi"/>
          <w:lang w:val="en-GB"/>
        </w:rPr>
        <w:t>are used</w:t>
      </w:r>
      <w:proofErr w:type="gramEnd"/>
      <w:r w:rsidRPr="00BD2AFA">
        <w:rPr>
          <w:rFonts w:asciiTheme="majorBidi" w:hAnsiTheme="majorBidi" w:cstheme="majorBidi"/>
          <w:lang w:val="en-GB"/>
        </w:rPr>
        <w:t xml:space="preserve"> to create interactions among variables, instead of relying just on the original variables </w:t>
      </w:r>
      <w:r w:rsidRPr="00BD2AFA">
        <w:rPr>
          <w:rFonts w:asciiTheme="majorBidi" w:hAnsiTheme="majorBidi" w:cstheme="majorBidi"/>
          <w:i/>
          <w:iCs/>
        </w:rPr>
        <w:t>θ</w:t>
      </w:r>
      <w:r w:rsidRPr="00BD2AFA">
        <w:rPr>
          <w:rFonts w:asciiTheme="majorBidi" w:hAnsiTheme="majorBidi" w:cstheme="majorBidi"/>
          <w:i/>
          <w:iCs/>
          <w:vertAlign w:val="subscript"/>
          <w:lang w:val="en-GB"/>
        </w:rPr>
        <w:t xml:space="preserve">e </w:t>
      </w:r>
      <w:r w:rsidRPr="00BD2AFA">
        <w:rPr>
          <w:lang w:val="en-GB"/>
        </w:rPr>
        <w:t xml:space="preserve">and </w:t>
      </w:r>
      <w:proofErr w:type="spellStart"/>
      <w:r w:rsidRPr="00BD2AFA">
        <w:rPr>
          <w:rFonts w:asciiTheme="majorBidi" w:hAnsiTheme="majorBidi" w:cstheme="majorBidi"/>
          <w:i/>
          <w:iCs/>
          <w:lang w:val="en-GB"/>
        </w:rPr>
        <w:t>I</w:t>
      </w:r>
      <w:r w:rsidRPr="00BD2AFA">
        <w:rPr>
          <w:rFonts w:asciiTheme="majorBidi" w:hAnsiTheme="majorBidi" w:cstheme="majorBidi"/>
          <w:i/>
          <w:iCs/>
          <w:vertAlign w:val="subscript"/>
          <w:lang w:val="en-GB"/>
        </w:rPr>
        <w:t>sol</w:t>
      </w:r>
      <w:proofErr w:type="spellEnd"/>
      <w:r w:rsidRPr="00BD2AFA">
        <w:rPr>
          <w:rFonts w:asciiTheme="majorBidi" w:hAnsiTheme="majorBidi" w:cstheme="majorBidi"/>
          <w:i/>
          <w:iCs/>
          <w:vertAlign w:val="subscript"/>
          <w:lang w:val="en-GB"/>
        </w:rPr>
        <w:t>.</w:t>
      </w:r>
    </w:p>
    <w:p w:rsidR="0009263E" w:rsidRDefault="0009263E" w:rsidP="00B86D05">
      <w:pPr>
        <w:tabs>
          <w:tab w:val="left" w:pos="-720"/>
        </w:tabs>
        <w:suppressAutoHyphens/>
        <w:jc w:val="both"/>
        <w:rPr>
          <w:spacing w:val="-3"/>
          <w:lang w:val="en-GB"/>
        </w:rPr>
      </w:pPr>
    </w:p>
    <w:p w:rsidR="00A3593F" w:rsidRPr="00B86456" w:rsidRDefault="00A3593F">
      <w:pPr>
        <w:pStyle w:val="Heading2"/>
        <w:rPr>
          <w:lang w:val="en-GB"/>
        </w:rPr>
      </w:pPr>
      <w:bookmarkStart w:id="19" w:name="_Toc98497998"/>
      <w:r w:rsidRPr="00B86456">
        <w:rPr>
          <w:lang w:val="en-GB"/>
        </w:rPr>
        <w:t>Model calibration criteria</w:t>
      </w:r>
      <w:bookmarkEnd w:id="19"/>
    </w:p>
    <w:p w:rsidR="00B86D05" w:rsidRPr="00314B5D" w:rsidRDefault="00B86456">
      <w:pPr>
        <w:tabs>
          <w:tab w:val="left" w:pos="-720"/>
        </w:tabs>
        <w:suppressAutoHyphens/>
        <w:jc w:val="both"/>
        <w:rPr>
          <w:spacing w:val="-3"/>
          <w:lang w:val="en-GB"/>
        </w:rPr>
      </w:pPr>
      <w:r w:rsidRPr="00BD2AFA">
        <w:rPr>
          <w:spacing w:val="-3"/>
          <w:lang w:val="en-GB"/>
        </w:rPr>
        <w:t xml:space="preserve">In this </w:t>
      </w:r>
      <w:proofErr w:type="gramStart"/>
      <w:r w:rsidRPr="00BD2AFA">
        <w:rPr>
          <w:spacing w:val="-3"/>
          <w:lang w:val="en-GB"/>
        </w:rPr>
        <w:t>Section</w:t>
      </w:r>
      <w:proofErr w:type="gramEnd"/>
      <w:r w:rsidRPr="00BD2AFA">
        <w:rPr>
          <w:spacing w:val="-3"/>
          <w:lang w:val="en-GB"/>
        </w:rPr>
        <w:t xml:space="preserve"> </w:t>
      </w:r>
      <w:r w:rsidR="00A3593F" w:rsidRPr="00B86456">
        <w:rPr>
          <w:spacing w:val="-3"/>
          <w:lang w:val="en-GB"/>
        </w:rPr>
        <w:t>the calibration criteria for model acceptability</w:t>
      </w:r>
      <w:r w:rsidRPr="00B86456">
        <w:rPr>
          <w:spacing w:val="-3"/>
          <w:lang w:val="en-GB"/>
        </w:rPr>
        <w:t xml:space="preserve"> are introduced.</w:t>
      </w:r>
      <w:r>
        <w:rPr>
          <w:spacing w:val="-3"/>
          <w:lang w:val="en-GB"/>
        </w:rPr>
        <w:t xml:space="preserve"> </w:t>
      </w:r>
      <w:proofErr w:type="gramStart"/>
      <w:r>
        <w:rPr>
          <w:spacing w:val="-3"/>
          <w:lang w:val="en-GB"/>
        </w:rPr>
        <w:t>F</w:t>
      </w:r>
      <w:r w:rsidR="00B86D05" w:rsidRPr="00314B5D">
        <w:rPr>
          <w:spacing w:val="-3"/>
          <w:lang w:val="en-GB"/>
        </w:rPr>
        <w:t xml:space="preserve">ollowing the indications </w:t>
      </w:r>
      <w:r w:rsidR="00B86D05" w:rsidRPr="00314B5D">
        <w:rPr>
          <w:lang w:val="en-GB" w:eastAsia="ja-JP"/>
        </w:rPr>
        <w:t xml:space="preserve">proposed by </w:t>
      </w:r>
      <w:r w:rsidR="00B86D05" w:rsidRPr="00314B5D">
        <w:rPr>
          <w:lang w:val="en-GB"/>
        </w:rPr>
        <w:t>Measurement and Verification (M&amp;V) protocols at the state-of-the-art such as ASHRAE</w:t>
      </w:r>
      <w:r w:rsidR="007141A2">
        <w:rPr>
          <w:lang w:val="en-GB"/>
        </w:rPr>
        <w:t xml:space="preserve"> 14:2014</w:t>
      </w:r>
      <w:r w:rsidR="00B86D05" w:rsidRPr="00314B5D">
        <w:rPr>
          <w:lang w:val="en-GB"/>
        </w:rPr>
        <w:t xml:space="preserve"> </w:t>
      </w:r>
      <w:r w:rsidR="00B86D05" w:rsidRPr="00291B17">
        <w:fldChar w:fldCharType="begin" w:fldLock="1"/>
      </w:r>
      <w:r w:rsidR="006A236D">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"mendeley" : { "formattedCitation" : "[25]", "plainTextFormattedCitation" : "[25]", "previouslyFormattedCitation" : "[25]" }, "properties" : { "noteIndex" : 0 }, "schema" : "https://github.com/citation-style-language/schema/raw/master/csl-citation.json" }</w:instrText>
      </w:r>
      <w:r w:rsidR="00B86D05" w:rsidRPr="00291B17">
        <w:fldChar w:fldCharType="separate"/>
      </w:r>
      <w:r w:rsidR="0023172C" w:rsidRPr="0023172C">
        <w:rPr>
          <w:noProof/>
          <w:lang w:val="en-GB"/>
        </w:rPr>
        <w:t>[25]</w:t>
      </w:r>
      <w:r w:rsidR="00B86D05" w:rsidRPr="00291B17">
        <w:fldChar w:fldCharType="end"/>
      </w:r>
      <w:r w:rsidR="00B86D05" w:rsidRPr="00314B5D">
        <w:rPr>
          <w:lang w:val="en-GB"/>
        </w:rPr>
        <w:t>, Efficiency Value Organization (EVO)</w:t>
      </w:r>
      <w:r w:rsidR="002C039E">
        <w:rPr>
          <w:lang w:val="en-GB"/>
        </w:rPr>
        <w:t xml:space="preserve"> IPMVP</w:t>
      </w:r>
      <w:r w:rsidR="00B86D05" w:rsidRPr="00314B5D">
        <w:rPr>
          <w:lang w:val="en-GB"/>
        </w:rPr>
        <w:t xml:space="preserve"> </w:t>
      </w:r>
      <w:r w:rsidR="00B86D05" w:rsidRPr="00291B17">
        <w:fldChar w:fldCharType="begin" w:fldLock="1"/>
      </w:r>
      <w:r w:rsidR="006A236D">
        <w:rPr>
          <w:lang w:val="en-GB"/>
        </w:rPr>
        <w:instrText>ADDIN CSL_CITATION { "citationItems" : [ { "id" : "ITEM-1", "itemData" : { "author" : [ { "dropping-particle" : "", "family" : "EVO", "given" : "", "non-dropping-particle" : "", "parse-names" : false, "suffix" : "" } ], "id" : "ITEM-1", "issued" : { "date-parts" : [ [ "2003" ] ] }, "title" : "IPMVP New Construction Subcommittee. International Performance Measurement &amp; Verification Protocol: Concepts and Option for Determining Energy Savings in New Construction, Volume III; Efficiency Valuation Organization (EVO): Washington, DC, USA, 2003", "type" : "article" }, "uris" : [ "http://www.mendeley.com/documents/?uuid=0a835018-7835-4ba5-832d-0592ce0ce59a" ] } ], "mendeley" : { "formattedCitation" : "[26]", "plainTextFormattedCitation" : "[26]", "previouslyFormattedCitation" : "[26]" }, "properties" : { "noteIndex" : 0 }, "schema" : "https://github.com/citation-style-language/schema/raw/master/csl-citation.json" }</w:instrText>
      </w:r>
      <w:r w:rsidR="00B86D05" w:rsidRPr="00291B17">
        <w:fldChar w:fldCharType="separate"/>
      </w:r>
      <w:r w:rsidR="0023172C" w:rsidRPr="0023172C">
        <w:rPr>
          <w:noProof/>
          <w:lang w:val="en-GB"/>
        </w:rPr>
        <w:t>[26]</w:t>
      </w:r>
      <w:r w:rsidR="00B86D05" w:rsidRPr="00291B17">
        <w:fldChar w:fldCharType="end"/>
      </w:r>
      <w:r w:rsidR="00B86D05" w:rsidRPr="00314B5D">
        <w:rPr>
          <w:lang w:val="en-GB"/>
        </w:rPr>
        <w:t xml:space="preserve">, and Federal Energy Management Program (FEMP) </w:t>
      </w:r>
      <w:r w:rsidR="00B86D05" w:rsidRPr="00291B17">
        <w:fldChar w:fldCharType="begin" w:fldLock="1"/>
      </w:r>
      <w:r w:rsidR="006A236D">
        <w:rPr>
          <w:lang w:val="en-GB"/>
        </w:rPr>
        <w:instrText>ADDIN CSL_CITATION { "citationItems" : [ { "id" : "ITEM-1", "itemData" : { "author" : [ { "dropping-particle" : "", "family" : "FEMP", "given" : "", "non-dropping-particle" : "", "parse-names" : false, "suffix" : "" } ], "id" : "ITEM-1", "issued" : { "date-parts" : [ [ "2008" ] ] }, "publisher-place" : "Washington, DC, USA, 2008", "title" : "FEMP. Federal Energy Management Program, M&amp;V Guidelines: Measurement and Verification for Federal Energy Projects Version 3.0, U.S. Department of Energy Federal Energy Management Program", "type" : "article" }, "uris" : [ "http://www.mendeley.com/documents/?uuid=530a51f8-a4ee-4beb-910f-3429b572c9b1" ] } ], "mendeley" : { "formattedCitation" : "[27]", "plainTextFormattedCitation" : "[27]", "previouslyFormattedCitation" : "[27]" }, "properties" : { "noteIndex" : 0 }, "schema" : "https://github.com/citation-style-language/schema/raw/master/csl-citation.json" }</w:instrText>
      </w:r>
      <w:r w:rsidR="00B86D05" w:rsidRPr="00291B17">
        <w:fldChar w:fldCharType="separate"/>
      </w:r>
      <w:r w:rsidR="0023172C" w:rsidRPr="0023172C">
        <w:rPr>
          <w:noProof/>
          <w:lang w:val="en-GB"/>
        </w:rPr>
        <w:t>[27]</w:t>
      </w:r>
      <w:r w:rsidR="00B86D05" w:rsidRPr="00291B17">
        <w:fldChar w:fldCharType="end"/>
      </w:r>
      <w:r w:rsidR="00B86D05" w:rsidRPr="00314B5D">
        <w:rPr>
          <w:lang w:val="en-GB"/>
        </w:rPr>
        <w:t xml:space="preserve"> </w:t>
      </w:r>
      <w:r>
        <w:rPr>
          <w:lang w:val="en-GB"/>
        </w:rPr>
        <w:t>(</w:t>
      </w:r>
      <w:r w:rsidR="00B86D05" w:rsidRPr="00314B5D">
        <w:rPr>
          <w:lang w:val="en-GB"/>
        </w:rPr>
        <w:t xml:space="preserve">cited previously in </w:t>
      </w:r>
      <w:r>
        <w:rPr>
          <w:lang w:val="en-GB"/>
        </w:rPr>
        <w:t xml:space="preserve">Section 3), </w:t>
      </w:r>
      <w:r w:rsidRPr="00314B5D">
        <w:rPr>
          <w:spacing w:val="-3"/>
          <w:lang w:val="en-GB"/>
        </w:rPr>
        <w:t>the thresholds of acceptability for regression models as calibrated with monthly data</w:t>
      </w:r>
      <w:r>
        <w:rPr>
          <w:spacing w:val="-3"/>
          <w:lang w:val="en-GB"/>
        </w:rPr>
        <w:t xml:space="preserve"> and hourly data (for the sake of comparison) are reported in Table 5.</w:t>
      </w:r>
      <w:proofErr w:type="gramEnd"/>
    </w:p>
    <w:p w:rsidR="00B86D05" w:rsidRDefault="00B86D05" w:rsidP="00B86D05">
      <w:pPr>
        <w:tabs>
          <w:tab w:val="left" w:pos="-720"/>
        </w:tabs>
        <w:suppressAutoHyphens/>
        <w:jc w:val="both"/>
        <w:rPr>
          <w:spacing w:val="-3"/>
          <w:lang w:val="en-GB"/>
        </w:rPr>
      </w:pPr>
    </w:p>
    <w:p w:rsidR="00B86D05" w:rsidRPr="0003395C" w:rsidRDefault="00B86D05" w:rsidP="00B86D05">
      <w:pPr>
        <w:jc w:val="center"/>
        <w:rPr>
          <w:lang w:val="en-GB"/>
        </w:rPr>
      </w:pPr>
      <w:r w:rsidRPr="0003395C">
        <w:rPr>
          <w:i/>
          <w:color w:val="000000"/>
          <w:lang w:val="en-GB"/>
        </w:rPr>
        <w:lastRenderedPageBreak/>
        <w:t xml:space="preserve">Table </w:t>
      </w:r>
      <w:r w:rsidRPr="0003395C">
        <w:rPr>
          <w:i/>
          <w:lang w:val="en-GB"/>
        </w:rPr>
        <w:fldChar w:fldCharType="begin"/>
      </w:r>
      <w:r w:rsidRPr="0003395C">
        <w:rPr>
          <w:i/>
          <w:lang w:val="en-GB"/>
        </w:rPr>
        <w:instrText xml:space="preserve"> SEQ Table \* ARABIC </w:instrText>
      </w:r>
      <w:r w:rsidRPr="0003395C">
        <w:rPr>
          <w:i/>
          <w:lang w:val="en-GB"/>
        </w:rPr>
        <w:fldChar w:fldCharType="separate"/>
      </w:r>
      <w:r w:rsidR="00F324A0">
        <w:rPr>
          <w:i/>
          <w:noProof/>
          <w:lang w:val="en-GB"/>
        </w:rPr>
        <w:t>5</w:t>
      </w:r>
      <w:r w:rsidRPr="0003395C">
        <w:rPr>
          <w:i/>
          <w:lang w:val="en-GB"/>
        </w:rPr>
        <w:fldChar w:fldCharType="end"/>
      </w:r>
      <w:r w:rsidRPr="0003395C">
        <w:rPr>
          <w:i/>
          <w:color w:val="000000"/>
          <w:lang w:val="en-GB"/>
        </w:rPr>
        <w:t>: Thresholds of acceptability fo</w:t>
      </w:r>
      <w:r>
        <w:rPr>
          <w:i/>
          <w:color w:val="000000"/>
          <w:lang w:val="en-GB"/>
        </w:rPr>
        <w:t xml:space="preserve">r M&amp;V models as calibrated with </w:t>
      </w:r>
      <w:r w:rsidRPr="0003395C">
        <w:rPr>
          <w:i/>
          <w:color w:val="000000"/>
          <w:lang w:val="en-GB"/>
        </w:rPr>
        <w:t>monthly</w:t>
      </w:r>
      <w:r>
        <w:rPr>
          <w:i/>
          <w:color w:val="000000"/>
          <w:lang w:val="en-GB"/>
        </w:rPr>
        <w:t xml:space="preserve"> and hourly</w:t>
      </w:r>
      <w:r w:rsidRPr="0003395C">
        <w:rPr>
          <w:i/>
          <w:color w:val="000000"/>
          <w:lang w:val="en-GB"/>
        </w:rPr>
        <w:t xml:space="preserve"> data</w:t>
      </w:r>
    </w:p>
    <w:tbl>
      <w:tblPr>
        <w:tblW w:w="5481" w:type="dxa"/>
        <w:jc w:val="center"/>
        <w:tblCellMar>
          <w:left w:w="0" w:type="dxa"/>
          <w:right w:w="0" w:type="dxa"/>
        </w:tblCellMar>
        <w:tblLook w:val="04A0" w:firstRow="1" w:lastRow="0" w:firstColumn="1" w:lastColumn="0" w:noHBand="0" w:noVBand="1"/>
      </w:tblPr>
      <w:tblGrid>
        <w:gridCol w:w="992"/>
        <w:gridCol w:w="1124"/>
        <w:gridCol w:w="1428"/>
        <w:gridCol w:w="1079"/>
        <w:gridCol w:w="858"/>
      </w:tblGrid>
      <w:tr w:rsidR="00B86D05" w:rsidRPr="0003395C" w:rsidTr="0010520A">
        <w:trPr>
          <w:jc w:val="center"/>
        </w:trPr>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b/>
                <w:bCs/>
                <w:spacing w:val="-3"/>
                <w:sz w:val="20"/>
                <w:szCs w:val="20"/>
              </w:rPr>
            </w:pPr>
            <w:proofErr w:type="spellStart"/>
            <w:r w:rsidRPr="0003395C">
              <w:rPr>
                <w:b/>
                <w:bCs/>
                <w:spacing w:val="-3"/>
                <w:sz w:val="20"/>
                <w:szCs w:val="20"/>
              </w:rPr>
              <w:t>Interval</w:t>
            </w:r>
            <w:proofErr w:type="spellEnd"/>
          </w:p>
        </w:tc>
        <w:tc>
          <w:tcPr>
            <w:tcW w:w="1124" w:type="dxa"/>
            <w:tcBorders>
              <w:top w:val="single" w:sz="8" w:space="0" w:color="000000"/>
              <w:left w:val="nil"/>
              <w:bottom w:val="single" w:sz="8" w:space="0" w:color="000000"/>
              <w:right w:val="nil"/>
            </w:tcBorders>
            <w:vAlign w:val="center"/>
          </w:tcPr>
          <w:p w:rsidR="00B86D05" w:rsidRPr="0003395C" w:rsidRDefault="00B86D05" w:rsidP="0010520A">
            <w:pPr>
              <w:tabs>
                <w:tab w:val="left" w:pos="-720"/>
              </w:tabs>
              <w:suppressAutoHyphens/>
              <w:jc w:val="both"/>
              <w:rPr>
                <w:spacing w:val="-3"/>
                <w:sz w:val="20"/>
                <w:szCs w:val="20"/>
              </w:rPr>
            </w:pPr>
            <w:proofErr w:type="spellStart"/>
            <w:r w:rsidRPr="0003395C">
              <w:rPr>
                <w:b/>
                <w:bCs/>
                <w:spacing w:val="-3"/>
                <w:sz w:val="20"/>
                <w:szCs w:val="20"/>
              </w:rPr>
              <w:t>Metric</w:t>
            </w:r>
            <w:proofErr w:type="spellEnd"/>
          </w:p>
        </w:tc>
        <w:tc>
          <w:tcPr>
            <w:tcW w:w="14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b/>
                <w:bCs/>
                <w:spacing w:val="-3"/>
                <w:sz w:val="20"/>
                <w:szCs w:val="20"/>
              </w:rPr>
              <w:t xml:space="preserve">ASHRAE </w:t>
            </w:r>
            <w:proofErr w:type="spellStart"/>
            <w:r w:rsidRPr="0003395C">
              <w:rPr>
                <w:b/>
                <w:bCs/>
                <w:spacing w:val="-3"/>
                <w:sz w:val="20"/>
                <w:szCs w:val="20"/>
              </w:rPr>
              <w:t>Guidelines</w:t>
            </w:r>
            <w:proofErr w:type="spellEnd"/>
            <w:r w:rsidRPr="0003395C">
              <w:rPr>
                <w:b/>
                <w:bCs/>
                <w:spacing w:val="-3"/>
                <w:sz w:val="20"/>
                <w:szCs w:val="20"/>
              </w:rPr>
              <w:t xml:space="preserve"> 14</w:t>
            </w:r>
          </w:p>
        </w:tc>
        <w:tc>
          <w:tcPr>
            <w:tcW w:w="107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b/>
                <w:bCs/>
                <w:spacing w:val="-3"/>
                <w:sz w:val="20"/>
                <w:szCs w:val="20"/>
              </w:rPr>
              <w:t>IPMVP</w:t>
            </w:r>
          </w:p>
        </w:tc>
        <w:tc>
          <w:tcPr>
            <w:tcW w:w="85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b/>
                <w:bCs/>
                <w:spacing w:val="-3"/>
                <w:sz w:val="20"/>
                <w:szCs w:val="20"/>
              </w:rPr>
              <w:t>FEMP</w:t>
            </w:r>
          </w:p>
        </w:tc>
      </w:tr>
      <w:tr w:rsidR="00B86D05" w:rsidRPr="0003395C" w:rsidTr="0010520A">
        <w:trPr>
          <w:jc w:val="center"/>
        </w:trPr>
        <w:tc>
          <w:tcPr>
            <w:tcW w:w="992"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b/>
                <w:spacing w:val="-3"/>
                <w:sz w:val="20"/>
                <w:szCs w:val="20"/>
              </w:rPr>
            </w:pPr>
            <w:proofErr w:type="spellStart"/>
            <w:r w:rsidRPr="0003395C">
              <w:rPr>
                <w:b/>
                <w:spacing w:val="-3"/>
                <w:sz w:val="20"/>
                <w:szCs w:val="20"/>
              </w:rPr>
              <w:t>Monthly</w:t>
            </w:r>
            <w:proofErr w:type="spellEnd"/>
          </w:p>
        </w:tc>
        <w:tc>
          <w:tcPr>
            <w:tcW w:w="1124" w:type="dxa"/>
            <w:tcBorders>
              <w:top w:val="single" w:sz="8" w:space="0" w:color="000000"/>
              <w:left w:val="nil"/>
              <w:bottom w:val="nil"/>
              <w:right w:val="nil"/>
            </w:tcBorders>
            <w:vAlign w:val="center"/>
          </w:tcPr>
          <w:p w:rsidR="00B86D05" w:rsidRPr="0003395C" w:rsidRDefault="00B86D05" w:rsidP="0010520A">
            <w:pPr>
              <w:tabs>
                <w:tab w:val="left" w:pos="-720"/>
              </w:tabs>
              <w:suppressAutoHyphens/>
              <w:jc w:val="both"/>
              <w:rPr>
                <w:b/>
                <w:spacing w:val="-3"/>
                <w:sz w:val="20"/>
                <w:szCs w:val="20"/>
              </w:rPr>
            </w:pPr>
            <w:r w:rsidRPr="0003395C">
              <w:rPr>
                <w:b/>
                <w:i/>
                <w:iCs/>
                <w:spacing w:val="-3"/>
                <w:sz w:val="20"/>
                <w:szCs w:val="20"/>
              </w:rPr>
              <w:t>NMBE</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±5</w:t>
            </w:r>
          </w:p>
        </w:tc>
        <w:tc>
          <w:tcPr>
            <w:tcW w:w="1079" w:type="dxa"/>
            <w:tcBorders>
              <w:top w:val="single" w:sz="8" w:space="0" w:color="000000"/>
              <w:left w:val="nil"/>
              <w:bottom w:val="nil"/>
              <w:right w:val="nil"/>
            </w:tcBorders>
            <w:shd w:val="clear" w:color="auto" w:fill="auto"/>
            <w:tcMar>
              <w:top w:w="15" w:type="dxa"/>
              <w:left w:w="108" w:type="dxa"/>
              <w:bottom w:w="0" w:type="dxa"/>
              <w:right w:w="108" w:type="dxa"/>
            </w:tcMa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±20</w:t>
            </w:r>
          </w:p>
        </w:tc>
        <w:tc>
          <w:tcPr>
            <w:tcW w:w="85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±5</w:t>
            </w:r>
          </w:p>
        </w:tc>
      </w:tr>
      <w:tr w:rsidR="00B86D05" w:rsidRPr="0003395C" w:rsidTr="0010520A">
        <w:trPr>
          <w:jc w:val="center"/>
        </w:trPr>
        <w:tc>
          <w:tcPr>
            <w:tcW w:w="992"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b/>
                <w:spacing w:val="-3"/>
                <w:sz w:val="20"/>
                <w:szCs w:val="20"/>
              </w:rPr>
            </w:pPr>
          </w:p>
        </w:tc>
        <w:tc>
          <w:tcPr>
            <w:tcW w:w="1124" w:type="dxa"/>
            <w:tcBorders>
              <w:top w:val="nil"/>
              <w:left w:val="nil"/>
              <w:bottom w:val="single" w:sz="4" w:space="0" w:color="auto"/>
              <w:right w:val="nil"/>
            </w:tcBorders>
            <w:vAlign w:val="center"/>
          </w:tcPr>
          <w:p w:rsidR="00B86D05" w:rsidRPr="0003395C" w:rsidRDefault="00B86D05" w:rsidP="0010520A">
            <w:pPr>
              <w:tabs>
                <w:tab w:val="left" w:pos="-720"/>
              </w:tabs>
              <w:suppressAutoHyphens/>
              <w:jc w:val="both"/>
              <w:rPr>
                <w:b/>
                <w:spacing w:val="-3"/>
                <w:sz w:val="20"/>
                <w:szCs w:val="20"/>
              </w:rPr>
            </w:pPr>
            <w:r w:rsidRPr="0003395C">
              <w:rPr>
                <w:b/>
                <w:i/>
                <w:iCs/>
                <w:spacing w:val="-3"/>
                <w:sz w:val="20"/>
                <w:szCs w:val="20"/>
              </w:rPr>
              <w:t>Cv(RMSE)</w:t>
            </w: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15</w:t>
            </w:r>
          </w:p>
        </w:tc>
        <w:tc>
          <w:tcPr>
            <w:tcW w:w="1079" w:type="dxa"/>
            <w:tcBorders>
              <w:top w:val="nil"/>
              <w:left w:val="nil"/>
              <w:bottom w:val="single" w:sz="4" w:space="0" w:color="auto"/>
              <w:right w:val="nil"/>
            </w:tcBorders>
            <w:shd w:val="clear" w:color="auto" w:fill="auto"/>
            <w:tcMar>
              <w:top w:w="15" w:type="dxa"/>
              <w:left w:w="108" w:type="dxa"/>
              <w:bottom w:w="0" w:type="dxa"/>
              <w:right w:w="108" w:type="dxa"/>
            </w:tcMa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w:t>
            </w:r>
          </w:p>
        </w:tc>
        <w:tc>
          <w:tcPr>
            <w:tcW w:w="858"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B86D05" w:rsidRPr="0003395C" w:rsidRDefault="00B86D05" w:rsidP="0010520A">
            <w:pPr>
              <w:tabs>
                <w:tab w:val="left" w:pos="-720"/>
              </w:tabs>
              <w:suppressAutoHyphens/>
              <w:jc w:val="both"/>
              <w:rPr>
                <w:spacing w:val="-3"/>
                <w:sz w:val="20"/>
                <w:szCs w:val="20"/>
              </w:rPr>
            </w:pPr>
            <w:r w:rsidRPr="0003395C">
              <w:rPr>
                <w:spacing w:val="-3"/>
                <w:sz w:val="20"/>
                <w:szCs w:val="20"/>
              </w:rPr>
              <w:t>15</w:t>
            </w:r>
          </w:p>
        </w:tc>
      </w:tr>
      <w:tr w:rsidR="00B86D05" w:rsidRPr="0003395C" w:rsidTr="0010520A">
        <w:trPr>
          <w:jc w:val="center"/>
        </w:trPr>
        <w:tc>
          <w:tcPr>
            <w:tcW w:w="992"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b/>
                <w:spacing w:val="-3"/>
                <w:sz w:val="20"/>
                <w:szCs w:val="20"/>
              </w:rPr>
            </w:pPr>
            <w:proofErr w:type="spellStart"/>
            <w:r w:rsidRPr="0003395C">
              <w:rPr>
                <w:b/>
                <w:spacing w:val="-3"/>
                <w:sz w:val="20"/>
                <w:szCs w:val="20"/>
              </w:rPr>
              <w:t>Hourly</w:t>
            </w:r>
            <w:proofErr w:type="spellEnd"/>
          </w:p>
        </w:tc>
        <w:tc>
          <w:tcPr>
            <w:tcW w:w="1124" w:type="dxa"/>
            <w:tcBorders>
              <w:top w:val="single" w:sz="4" w:space="0" w:color="auto"/>
              <w:left w:val="nil"/>
              <w:bottom w:val="nil"/>
              <w:right w:val="nil"/>
            </w:tcBorders>
            <w:vAlign w:val="center"/>
          </w:tcPr>
          <w:p w:rsidR="00B86D05" w:rsidRPr="0003395C" w:rsidRDefault="00B86D05" w:rsidP="0010520A">
            <w:pPr>
              <w:tabs>
                <w:tab w:val="left" w:pos="-720"/>
              </w:tabs>
              <w:suppressAutoHyphens/>
              <w:jc w:val="both"/>
              <w:rPr>
                <w:b/>
                <w:spacing w:val="-3"/>
                <w:sz w:val="20"/>
                <w:szCs w:val="20"/>
              </w:rPr>
            </w:pPr>
            <w:r w:rsidRPr="0003395C">
              <w:rPr>
                <w:b/>
                <w:i/>
                <w:iCs/>
                <w:spacing w:val="-3"/>
                <w:sz w:val="20"/>
                <w:szCs w:val="20"/>
              </w:rPr>
              <w:t>NMBE</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spacing w:val="-3"/>
                <w:sz w:val="20"/>
                <w:szCs w:val="20"/>
              </w:rPr>
            </w:pPr>
            <w:r w:rsidRPr="0003395C">
              <w:rPr>
                <w:spacing w:val="-3"/>
                <w:sz w:val="20"/>
                <w:szCs w:val="20"/>
              </w:rPr>
              <w:t>±10</w:t>
            </w:r>
          </w:p>
        </w:tc>
        <w:tc>
          <w:tcPr>
            <w:tcW w:w="1079" w:type="dxa"/>
            <w:tcBorders>
              <w:top w:val="single" w:sz="4" w:space="0" w:color="auto"/>
              <w:left w:val="nil"/>
              <w:bottom w:val="nil"/>
              <w:right w:val="nil"/>
            </w:tcBorders>
            <w:shd w:val="clear" w:color="auto" w:fill="auto"/>
            <w:tcMar>
              <w:top w:w="15" w:type="dxa"/>
              <w:left w:w="108" w:type="dxa"/>
              <w:bottom w:w="0" w:type="dxa"/>
              <w:right w:w="108" w:type="dxa"/>
            </w:tcMar>
          </w:tcPr>
          <w:p w:rsidR="00B86D05" w:rsidRPr="0003395C" w:rsidRDefault="00B86D05" w:rsidP="0010520A">
            <w:pPr>
              <w:tabs>
                <w:tab w:val="left" w:pos="-720"/>
              </w:tabs>
              <w:suppressAutoHyphens/>
              <w:jc w:val="both"/>
              <w:rPr>
                <w:spacing w:val="-3"/>
                <w:sz w:val="20"/>
                <w:szCs w:val="20"/>
              </w:rPr>
            </w:pPr>
            <w:r w:rsidRPr="0003395C">
              <w:rPr>
                <w:spacing w:val="-3"/>
                <w:sz w:val="20"/>
                <w:szCs w:val="20"/>
              </w:rPr>
              <w:t>±5</w:t>
            </w:r>
          </w:p>
        </w:tc>
        <w:tc>
          <w:tcPr>
            <w:tcW w:w="858"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spacing w:val="-3"/>
                <w:sz w:val="20"/>
                <w:szCs w:val="20"/>
              </w:rPr>
            </w:pPr>
            <w:r w:rsidRPr="0003395C">
              <w:rPr>
                <w:spacing w:val="-3"/>
                <w:sz w:val="20"/>
                <w:szCs w:val="20"/>
              </w:rPr>
              <w:t>±10</w:t>
            </w:r>
          </w:p>
        </w:tc>
      </w:tr>
      <w:tr w:rsidR="00B86D05" w:rsidRPr="0003395C" w:rsidTr="0010520A">
        <w:trPr>
          <w:jc w:val="center"/>
        </w:trPr>
        <w:tc>
          <w:tcPr>
            <w:tcW w:w="992"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b/>
                <w:spacing w:val="-3"/>
                <w:sz w:val="20"/>
                <w:szCs w:val="20"/>
              </w:rPr>
            </w:pPr>
          </w:p>
        </w:tc>
        <w:tc>
          <w:tcPr>
            <w:tcW w:w="1124" w:type="dxa"/>
            <w:tcBorders>
              <w:top w:val="nil"/>
              <w:left w:val="nil"/>
              <w:bottom w:val="single" w:sz="8" w:space="0" w:color="000000"/>
              <w:right w:val="nil"/>
            </w:tcBorders>
            <w:vAlign w:val="center"/>
          </w:tcPr>
          <w:p w:rsidR="00B86D05" w:rsidRPr="0003395C" w:rsidRDefault="00B86D05" w:rsidP="0010520A">
            <w:pPr>
              <w:tabs>
                <w:tab w:val="left" w:pos="-720"/>
              </w:tabs>
              <w:suppressAutoHyphens/>
              <w:jc w:val="both"/>
              <w:rPr>
                <w:b/>
                <w:spacing w:val="-3"/>
                <w:sz w:val="20"/>
                <w:szCs w:val="20"/>
              </w:rPr>
            </w:pPr>
            <w:r w:rsidRPr="0003395C">
              <w:rPr>
                <w:b/>
                <w:i/>
                <w:iCs/>
                <w:spacing w:val="-3"/>
                <w:sz w:val="20"/>
                <w:szCs w:val="20"/>
              </w:rPr>
              <w:t>Cv(RMSE)</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spacing w:val="-3"/>
                <w:sz w:val="20"/>
                <w:szCs w:val="20"/>
              </w:rPr>
            </w:pPr>
            <w:r w:rsidRPr="0003395C">
              <w:rPr>
                <w:spacing w:val="-3"/>
                <w:sz w:val="20"/>
                <w:szCs w:val="20"/>
              </w:rPr>
              <w:t>30</w:t>
            </w:r>
          </w:p>
        </w:tc>
        <w:tc>
          <w:tcPr>
            <w:tcW w:w="1079" w:type="dxa"/>
            <w:tcBorders>
              <w:top w:val="nil"/>
              <w:left w:val="nil"/>
              <w:bottom w:val="single" w:sz="8" w:space="0" w:color="000000"/>
              <w:right w:val="nil"/>
            </w:tcBorders>
            <w:shd w:val="clear" w:color="auto" w:fill="auto"/>
            <w:tcMar>
              <w:top w:w="15" w:type="dxa"/>
              <w:left w:w="108" w:type="dxa"/>
              <w:bottom w:w="0" w:type="dxa"/>
              <w:right w:w="108" w:type="dxa"/>
            </w:tcMar>
          </w:tcPr>
          <w:p w:rsidR="00B86D05" w:rsidRPr="0003395C" w:rsidRDefault="00B86D05" w:rsidP="0010520A">
            <w:pPr>
              <w:tabs>
                <w:tab w:val="left" w:pos="-720"/>
              </w:tabs>
              <w:suppressAutoHyphens/>
              <w:jc w:val="both"/>
              <w:rPr>
                <w:spacing w:val="-3"/>
                <w:sz w:val="20"/>
                <w:szCs w:val="20"/>
              </w:rPr>
            </w:pPr>
            <w:r w:rsidRPr="0003395C">
              <w:rPr>
                <w:spacing w:val="-3"/>
                <w:sz w:val="20"/>
                <w:szCs w:val="20"/>
              </w:rPr>
              <w:t>20</w:t>
            </w:r>
          </w:p>
        </w:tc>
        <w:tc>
          <w:tcPr>
            <w:tcW w:w="85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B86D05" w:rsidRPr="0003395C" w:rsidRDefault="00B86D05" w:rsidP="0010520A">
            <w:pPr>
              <w:tabs>
                <w:tab w:val="left" w:pos="-720"/>
              </w:tabs>
              <w:suppressAutoHyphens/>
              <w:jc w:val="both"/>
              <w:rPr>
                <w:spacing w:val="-3"/>
                <w:sz w:val="20"/>
                <w:szCs w:val="20"/>
              </w:rPr>
            </w:pPr>
            <w:r w:rsidRPr="0003395C">
              <w:rPr>
                <w:spacing w:val="-3"/>
                <w:sz w:val="20"/>
                <w:szCs w:val="20"/>
              </w:rPr>
              <w:t>30</w:t>
            </w:r>
          </w:p>
        </w:tc>
      </w:tr>
    </w:tbl>
    <w:p w:rsidR="00B86D05" w:rsidRDefault="00B86D05" w:rsidP="00B86D05">
      <w:pPr>
        <w:tabs>
          <w:tab w:val="left" w:pos="-1134"/>
          <w:tab w:val="left" w:pos="-414"/>
        </w:tabs>
        <w:suppressAutoHyphens/>
        <w:jc w:val="both"/>
        <w:rPr>
          <w:spacing w:val="-3"/>
          <w:lang w:val="en-GB"/>
        </w:rPr>
      </w:pPr>
    </w:p>
    <w:p w:rsidR="002F4534" w:rsidRDefault="00B86D05" w:rsidP="00BD2AFA">
      <w:pPr>
        <w:tabs>
          <w:tab w:val="left" w:pos="-1134"/>
          <w:tab w:val="left" w:pos="-414"/>
        </w:tabs>
        <w:suppressAutoHyphens/>
        <w:jc w:val="both"/>
        <w:rPr>
          <w:spacing w:val="-2"/>
          <w:lang w:val="en-GB"/>
        </w:rPr>
      </w:pPr>
      <w:r w:rsidRPr="009D7616">
        <w:rPr>
          <w:spacing w:val="-3"/>
          <w:lang w:val="en-GB"/>
        </w:rPr>
        <w:t xml:space="preserve">The statistical indicators chosen to enable the comparison between measured and predicted data (obtained by regression) for the monitoring period are </w:t>
      </w:r>
      <w:r w:rsidRPr="009D7616">
        <w:rPr>
          <w:i/>
          <w:iCs/>
          <w:spacing w:val="-2"/>
          <w:lang w:val="en-GB"/>
        </w:rPr>
        <w:t>R</w:t>
      </w:r>
      <w:r w:rsidRPr="009D7616">
        <w:rPr>
          <w:i/>
          <w:iCs/>
          <w:spacing w:val="-2"/>
          <w:vertAlign w:val="superscript"/>
          <w:lang w:val="en-GB"/>
        </w:rPr>
        <w:t>2</w:t>
      </w:r>
      <w:r w:rsidRPr="009D7616">
        <w:rPr>
          <w:spacing w:val="-2"/>
          <w:lang w:val="en-GB"/>
        </w:rPr>
        <w:t xml:space="preserve"> (Coefficient of </w:t>
      </w:r>
      <w:r w:rsidRPr="00602EF3">
        <w:rPr>
          <w:spacing w:val="-2"/>
          <w:lang w:val="en-GB"/>
        </w:rPr>
        <w:t xml:space="preserve">determination), </w:t>
      </w:r>
      <w:r w:rsidRPr="00602EF3">
        <w:rPr>
          <w:i/>
          <w:iCs/>
          <w:spacing w:val="-2"/>
          <w:lang w:val="en-GB"/>
        </w:rPr>
        <w:t>MAPE</w:t>
      </w:r>
      <w:r w:rsidRPr="00602EF3">
        <w:rPr>
          <w:spacing w:val="-2"/>
          <w:lang w:val="en-GB"/>
        </w:rPr>
        <w:t xml:space="preserve"> (Mean Absolute Percentage Error), </w:t>
      </w:r>
      <w:r w:rsidRPr="00602EF3">
        <w:rPr>
          <w:i/>
          <w:iCs/>
          <w:spacing w:val="-2"/>
          <w:lang w:val="en-GB"/>
        </w:rPr>
        <w:t>NMBE</w:t>
      </w:r>
      <w:r w:rsidRPr="00602EF3">
        <w:rPr>
          <w:spacing w:val="-2"/>
          <w:lang w:val="en-GB"/>
        </w:rPr>
        <w:t xml:space="preserve"> (Normalized Mean Bias </w:t>
      </w:r>
      <w:proofErr w:type="gramStart"/>
      <w:r w:rsidRPr="00602EF3">
        <w:rPr>
          <w:spacing w:val="-2"/>
          <w:lang w:val="en-GB"/>
        </w:rPr>
        <w:t>Error  and</w:t>
      </w:r>
      <w:proofErr w:type="gramEnd"/>
      <w:r w:rsidRPr="00602EF3">
        <w:rPr>
          <w:spacing w:val="-2"/>
          <w:lang w:val="en-GB"/>
        </w:rPr>
        <w:t xml:space="preserve"> </w:t>
      </w:r>
      <w:proofErr w:type="spellStart"/>
      <w:r w:rsidRPr="00602EF3">
        <w:rPr>
          <w:i/>
          <w:iCs/>
          <w:spacing w:val="-2"/>
          <w:lang w:val="en-GB"/>
        </w:rPr>
        <w:t>Cv</w:t>
      </w:r>
      <w:proofErr w:type="spellEnd"/>
      <w:r w:rsidRPr="00602EF3">
        <w:rPr>
          <w:i/>
          <w:iCs/>
          <w:spacing w:val="-2"/>
          <w:lang w:val="en-GB"/>
        </w:rPr>
        <w:t>(RMSE)</w:t>
      </w:r>
      <w:r w:rsidRPr="00602EF3">
        <w:rPr>
          <w:spacing w:val="-2"/>
          <w:lang w:val="en-GB"/>
        </w:rPr>
        <w:t xml:space="preserve"> (Coefficient of Variation of Root Mean Square Error). While the first two indicators (</w:t>
      </w:r>
      <w:r w:rsidRPr="00602EF3">
        <w:rPr>
          <w:i/>
          <w:iCs/>
          <w:spacing w:val="-2"/>
          <w:lang w:val="en-GB"/>
        </w:rPr>
        <w:t>R</w:t>
      </w:r>
      <w:r w:rsidRPr="00602EF3">
        <w:rPr>
          <w:i/>
          <w:iCs/>
          <w:spacing w:val="-2"/>
          <w:vertAlign w:val="superscript"/>
          <w:lang w:val="en-GB"/>
        </w:rPr>
        <w:t>2</w:t>
      </w:r>
      <w:r w:rsidRPr="00602EF3">
        <w:rPr>
          <w:spacing w:val="-2"/>
          <w:lang w:val="en-GB"/>
        </w:rPr>
        <w:t xml:space="preserve"> and </w:t>
      </w:r>
      <w:r w:rsidRPr="00602EF3">
        <w:rPr>
          <w:i/>
          <w:iCs/>
          <w:spacing w:val="-2"/>
          <w:lang w:val="en-GB"/>
        </w:rPr>
        <w:t>MAPE</w:t>
      </w:r>
      <w:r w:rsidRPr="00602EF3">
        <w:rPr>
          <w:spacing w:val="-2"/>
          <w:lang w:val="en-GB"/>
        </w:rPr>
        <w:t xml:space="preserve">) are general statistical indicators for the evaluation of goodness of fit of models, </w:t>
      </w:r>
      <w:r w:rsidRPr="00602EF3">
        <w:rPr>
          <w:i/>
          <w:iCs/>
          <w:spacing w:val="-2"/>
          <w:lang w:val="en-GB"/>
        </w:rPr>
        <w:t>NMBE</w:t>
      </w:r>
      <w:r w:rsidRPr="00602EF3">
        <w:rPr>
          <w:spacing w:val="-2"/>
          <w:lang w:val="en-GB"/>
        </w:rPr>
        <w:t xml:space="preserve"> and</w:t>
      </w:r>
      <w:r w:rsidRPr="00602EF3">
        <w:rPr>
          <w:i/>
          <w:iCs/>
          <w:spacing w:val="-2"/>
          <w:lang w:val="en-GB"/>
        </w:rPr>
        <w:t xml:space="preserve"> </w:t>
      </w:r>
      <w:proofErr w:type="spellStart"/>
      <w:r w:rsidRPr="00602EF3">
        <w:rPr>
          <w:i/>
          <w:iCs/>
          <w:spacing w:val="-2"/>
          <w:lang w:val="en-GB"/>
        </w:rPr>
        <w:t>Cv</w:t>
      </w:r>
      <w:proofErr w:type="spellEnd"/>
      <w:r w:rsidRPr="00602EF3">
        <w:rPr>
          <w:i/>
          <w:iCs/>
          <w:spacing w:val="-2"/>
          <w:lang w:val="en-GB"/>
        </w:rPr>
        <w:t>(RMSE)</w:t>
      </w:r>
      <w:r w:rsidRPr="00602EF3">
        <w:rPr>
          <w:spacing w:val="-2"/>
          <w:lang w:val="en-GB"/>
        </w:rPr>
        <w:t xml:space="preserve"> are statistical indicators considered for the specific purpose of model calibration and, for this reason, proposed by the M&amp;V protocols </w:t>
      </w:r>
      <w:r w:rsidR="007141A2">
        <w:rPr>
          <w:spacing w:val="-2"/>
          <w:lang w:val="en-GB"/>
        </w:rPr>
        <w:t>ASHRAE 14:2014, FEMP and EVO-IPMVP</w:t>
      </w:r>
      <w:r w:rsidRPr="00602EF3">
        <w:rPr>
          <w:lang w:val="en-GB"/>
        </w:rPr>
        <w:t xml:space="preserve"> </w:t>
      </w:r>
      <w:r w:rsidRPr="00602EF3">
        <w:rPr>
          <w:spacing w:val="-2"/>
          <w:lang w:val="en-GB"/>
        </w:rPr>
        <w:t>reported above</w:t>
      </w:r>
      <w:r w:rsidR="00221B75">
        <w:rPr>
          <w:spacing w:val="-2"/>
          <w:lang w:val="en-GB"/>
        </w:rPr>
        <w:t xml:space="preserve"> in Table 5.</w:t>
      </w:r>
    </w:p>
    <w:p w:rsidR="002F4534" w:rsidRDefault="00B86D05" w:rsidP="00BD2AFA">
      <w:pPr>
        <w:tabs>
          <w:tab w:val="left" w:pos="-1134"/>
          <w:tab w:val="left" w:pos="-414"/>
        </w:tabs>
        <w:suppressAutoHyphens/>
        <w:jc w:val="both"/>
        <w:rPr>
          <w:spacing w:val="-2"/>
          <w:lang w:val="en-GB"/>
        </w:rPr>
      </w:pPr>
      <w:r w:rsidRPr="00602EF3">
        <w:rPr>
          <w:spacing w:val="-2"/>
          <w:lang w:val="en-GB"/>
        </w:rPr>
        <w:t xml:space="preserve">Nonetheless, </w:t>
      </w:r>
      <w:r w:rsidRPr="00602EF3">
        <w:rPr>
          <w:spacing w:val="-3"/>
          <w:lang w:val="en-GB"/>
        </w:rPr>
        <w:t xml:space="preserve">the coefficient of determination </w:t>
      </w:r>
      <w:r w:rsidRPr="00602EF3">
        <w:rPr>
          <w:i/>
          <w:spacing w:val="-3"/>
          <w:lang w:val="en-GB"/>
        </w:rPr>
        <w:t>R</w:t>
      </w:r>
      <w:r w:rsidRPr="00602EF3">
        <w:rPr>
          <w:i/>
          <w:spacing w:val="-3"/>
          <w:vertAlign w:val="superscript"/>
          <w:lang w:val="en-GB"/>
        </w:rPr>
        <w:t>2</w:t>
      </w:r>
      <w:r w:rsidRPr="00602EF3">
        <w:rPr>
          <w:spacing w:val="-3"/>
          <w:lang w:val="en-GB"/>
        </w:rPr>
        <w:t xml:space="preserve"> (defined in the range of 0-100 percent, or 0-1), </w:t>
      </w:r>
      <w:r w:rsidR="002F4534">
        <w:rPr>
          <w:spacing w:val="-3"/>
          <w:lang w:val="en-GB"/>
        </w:rPr>
        <w:t>is</w:t>
      </w:r>
      <w:r w:rsidR="002F4534" w:rsidRPr="00602EF3">
        <w:rPr>
          <w:spacing w:val="-3"/>
          <w:lang w:val="en-GB"/>
        </w:rPr>
        <w:t xml:space="preserve"> a suitable indicator </w:t>
      </w:r>
      <w:r w:rsidRPr="00602EF3">
        <w:rPr>
          <w:spacing w:val="-3"/>
          <w:lang w:val="en-GB"/>
        </w:rPr>
        <w:t xml:space="preserve">as reported in ISO 50006:2014 </w:t>
      </w:r>
      <w:r w:rsidRPr="00602EF3">
        <w:rPr>
          <w:spacing w:val="-3"/>
        </w:rPr>
        <w:fldChar w:fldCharType="begin" w:fldLock="1"/>
      </w:r>
      <w:r w:rsidR="006A236D">
        <w:rPr>
          <w:spacing w:val="-3"/>
          <w:lang w:val="en-GB"/>
        </w:rPr>
        <w:instrText>ADDIN CSL_CITATION { "citationItems" : [ { "id" : "ITEM-1", "itemData" : { "id" : "ITEM-1", "issued" : { "date-parts" : [ [ "2014" ] ] }, "title" : "ISO 50006:2014, Energy management systems \u2014 Measuring energy performance using energy baselines (EnB) and energy performance indicators (EnPI) \u2014 General principles and guidance", "type" : "article" }, "uris" : [ "http://www.mendeley.com/documents/?uuid=c498e4f8-e8af-453a-94f6-d997d7a6e3ef" ] } ], "mendeley" : { "formattedCitation" : "[36]", "plainTextFormattedCitation" : "[36]", "previouslyFormattedCitation" : "[36]" }, "properties" : { "noteIndex" : 0 }, "schema" : "https://github.com/citation-style-language/schema/raw/master/csl-citation.json" }</w:instrText>
      </w:r>
      <w:r w:rsidRPr="00602EF3">
        <w:rPr>
          <w:spacing w:val="-3"/>
        </w:rPr>
        <w:fldChar w:fldCharType="separate"/>
      </w:r>
      <w:r w:rsidR="0023172C" w:rsidRPr="0023172C">
        <w:rPr>
          <w:noProof/>
          <w:spacing w:val="-3"/>
          <w:lang w:val="en-GB"/>
        </w:rPr>
        <w:t>[36]</w:t>
      </w:r>
      <w:r w:rsidRPr="00602EF3">
        <w:rPr>
          <w:spacing w:val="-3"/>
        </w:rPr>
        <w:fldChar w:fldCharType="end"/>
      </w:r>
      <w:r w:rsidRPr="00602EF3">
        <w:rPr>
          <w:spacing w:val="-3"/>
          <w:lang w:val="en-GB"/>
        </w:rPr>
        <w:t xml:space="preserve">, even though </w:t>
      </w:r>
      <w:r w:rsidR="00912E23">
        <w:rPr>
          <w:spacing w:val="-3"/>
          <w:lang w:val="en-GB"/>
        </w:rPr>
        <w:t xml:space="preserve">the </w:t>
      </w:r>
      <w:r w:rsidRPr="00602EF3">
        <w:rPr>
          <w:spacing w:val="-3"/>
          <w:lang w:val="en-GB"/>
        </w:rPr>
        <w:t>limitation that stem</w:t>
      </w:r>
      <w:r w:rsidR="00912E23">
        <w:rPr>
          <w:spacing w:val="-3"/>
          <w:lang w:val="en-GB"/>
        </w:rPr>
        <w:t>s</w:t>
      </w:r>
      <w:r w:rsidRPr="00602EF3">
        <w:rPr>
          <w:spacing w:val="-3"/>
          <w:lang w:val="en-GB"/>
        </w:rPr>
        <w:t xml:space="preserve"> from the fact that </w:t>
      </w:r>
      <w:r w:rsidRPr="00602EF3">
        <w:rPr>
          <w:i/>
          <w:spacing w:val="-3"/>
          <w:lang w:val="en-GB"/>
        </w:rPr>
        <w:t>R</w:t>
      </w:r>
      <w:r w:rsidRPr="00602EF3">
        <w:rPr>
          <w:i/>
          <w:spacing w:val="-3"/>
          <w:vertAlign w:val="superscript"/>
          <w:lang w:val="en-GB"/>
        </w:rPr>
        <w:t>2</w:t>
      </w:r>
      <w:r w:rsidRPr="00602EF3">
        <w:rPr>
          <w:spacing w:val="-3"/>
          <w:lang w:val="en-GB"/>
        </w:rPr>
        <w:t xml:space="preserve"> is inherently related to the model's slope (i.e. the dependence on input variables)</w:t>
      </w:r>
      <w:r w:rsidR="00912E23">
        <w:rPr>
          <w:spacing w:val="-3"/>
          <w:lang w:val="en-GB"/>
        </w:rPr>
        <w:t xml:space="preserve"> have to be acknowledge</w:t>
      </w:r>
      <w:r w:rsidR="002F4534">
        <w:rPr>
          <w:spacing w:val="-3"/>
          <w:lang w:val="en-GB"/>
        </w:rPr>
        <w:t>d</w:t>
      </w:r>
      <w:r w:rsidRPr="00602EF3">
        <w:rPr>
          <w:spacing w:val="-3"/>
          <w:lang w:val="en-GB"/>
        </w:rPr>
        <w:t>. Higher slope value</w:t>
      </w:r>
      <w:r w:rsidR="002F4534">
        <w:rPr>
          <w:spacing w:val="-3"/>
          <w:lang w:val="en-GB"/>
        </w:rPr>
        <w:t>s</w:t>
      </w:r>
      <w:r w:rsidRPr="00602EF3">
        <w:rPr>
          <w:spacing w:val="-3"/>
          <w:lang w:val="en-GB"/>
        </w:rPr>
        <w:t xml:space="preserve"> will correspond to higher </w:t>
      </w:r>
      <w:r w:rsidRPr="00602EF3">
        <w:rPr>
          <w:i/>
          <w:spacing w:val="-3"/>
          <w:lang w:val="en-GB"/>
        </w:rPr>
        <w:t>R</w:t>
      </w:r>
      <w:r w:rsidRPr="00602EF3">
        <w:rPr>
          <w:i/>
          <w:spacing w:val="-3"/>
          <w:vertAlign w:val="superscript"/>
          <w:lang w:val="en-GB"/>
        </w:rPr>
        <w:t>2</w:t>
      </w:r>
      <w:r w:rsidRPr="00602EF3">
        <w:rPr>
          <w:spacing w:val="-3"/>
          <w:lang w:val="en-GB"/>
        </w:rPr>
        <w:t xml:space="preserve"> value</w:t>
      </w:r>
      <w:r w:rsidR="002F4534">
        <w:rPr>
          <w:spacing w:val="-3"/>
          <w:lang w:val="en-GB"/>
        </w:rPr>
        <w:t>s</w:t>
      </w:r>
      <w:r w:rsidRPr="00602EF3">
        <w:rPr>
          <w:spacing w:val="-3"/>
          <w:lang w:val="en-GB"/>
        </w:rPr>
        <w:t xml:space="preserve"> even with the same predicted variable variance. An </w:t>
      </w:r>
      <w:r w:rsidRPr="00602EF3">
        <w:rPr>
          <w:i/>
          <w:spacing w:val="-3"/>
          <w:lang w:val="en-GB"/>
        </w:rPr>
        <w:t>R</w:t>
      </w:r>
      <w:r w:rsidRPr="00602EF3">
        <w:rPr>
          <w:i/>
          <w:spacing w:val="-3"/>
          <w:vertAlign w:val="superscript"/>
          <w:lang w:val="en-GB"/>
        </w:rPr>
        <w:t>2</w:t>
      </w:r>
      <w:r w:rsidRPr="00602EF3">
        <w:rPr>
          <w:spacing w:val="-3"/>
          <w:lang w:val="en-GB"/>
        </w:rPr>
        <w:t xml:space="preserve"> value greater than 80 % indicates a good model fit and 75 % is indicated in IPMVP Guidelines for Assessing Uncertainty as a reference value </w:t>
      </w:r>
      <w:r w:rsidRPr="00602EF3">
        <w:rPr>
          <w:spacing w:val="-3"/>
          <w:lang w:val="en-GB"/>
        </w:rPr>
        <w:fldChar w:fldCharType="begin" w:fldLock="1"/>
      </w:r>
      <w:r w:rsidR="00C82776">
        <w:rPr>
          <w:spacing w:val="-3"/>
          <w:lang w:val="en-GB"/>
        </w:rPr>
        <w:instrText>ADDIN CSL_CITATION { "citationItems" : [ { "id" : "ITEM-1", "itemData" : { "id" : "ITEM-1", "issued" : { "date-parts" : [ [ "0" ] ] }, "title" : "Uncertainty Assessment for IPMVP, International Performance Measurement &amp; Verification Protocol, Efficiency Valuation Organization (EVO)", "type" : "article" }, "uris" : [ "http://www.mendeley.com/documents/?uuid=13ab2d63-6110-45fa-bb17-f84db1f1f585" ] } ], "mendeley" : { "formattedCitation" : "[56]", "plainTextFormattedCitation" : "[56]", "previouslyFormattedCitation" : "[55]" }, "properties" : { "noteIndex" : 0 }, "schema" : "https://github.com/citation-style-language/schema/raw/master/csl-citation.json" }</w:instrText>
      </w:r>
      <w:r w:rsidRPr="00602EF3">
        <w:rPr>
          <w:spacing w:val="-3"/>
          <w:lang w:val="en-GB"/>
        </w:rPr>
        <w:fldChar w:fldCharType="separate"/>
      </w:r>
      <w:r w:rsidR="00C82776" w:rsidRPr="00C82776">
        <w:rPr>
          <w:noProof/>
          <w:spacing w:val="-3"/>
          <w:lang w:val="en-GB"/>
        </w:rPr>
        <w:t>[56]</w:t>
      </w:r>
      <w:r w:rsidRPr="00602EF3">
        <w:rPr>
          <w:spacing w:val="-3"/>
          <w:lang w:val="en-GB"/>
        </w:rPr>
        <w:fldChar w:fldCharType="end"/>
      </w:r>
      <w:r w:rsidRPr="00602EF3">
        <w:rPr>
          <w:spacing w:val="-3"/>
          <w:lang w:val="en-GB"/>
        </w:rPr>
        <w:t>.</w:t>
      </w:r>
      <w:r>
        <w:rPr>
          <w:spacing w:val="-3"/>
          <w:lang w:val="en-GB"/>
        </w:rPr>
        <w:t xml:space="preserve"> </w:t>
      </w:r>
      <w:r w:rsidRPr="00480EB2">
        <w:rPr>
          <w:i/>
          <w:spacing w:val="-2"/>
          <w:lang w:val="en-GB"/>
        </w:rPr>
        <w:t>MAPE</w:t>
      </w:r>
      <w:r w:rsidRPr="00602EF3">
        <w:rPr>
          <w:spacing w:val="-2"/>
          <w:lang w:val="en-GB"/>
        </w:rPr>
        <w:t xml:space="preserve"> </w:t>
      </w:r>
      <w:proofErr w:type="gramStart"/>
      <w:r w:rsidRPr="00602EF3">
        <w:rPr>
          <w:spacing w:val="-2"/>
          <w:lang w:val="en-GB"/>
        </w:rPr>
        <w:t>is not indicated</w:t>
      </w:r>
      <w:proofErr w:type="gramEnd"/>
      <w:r w:rsidRPr="00602EF3">
        <w:rPr>
          <w:spacing w:val="-2"/>
          <w:lang w:val="en-GB"/>
        </w:rPr>
        <w:t xml:space="preserve"> specifically in model calibration procedure</w:t>
      </w:r>
      <w:r w:rsidR="002F4534">
        <w:rPr>
          <w:spacing w:val="-2"/>
          <w:lang w:val="en-GB"/>
        </w:rPr>
        <w:t>s</w:t>
      </w:r>
      <w:r w:rsidRPr="00602EF3">
        <w:rPr>
          <w:spacing w:val="-2"/>
          <w:lang w:val="en-GB"/>
        </w:rPr>
        <w:t xml:space="preserve"> but i</w:t>
      </w:r>
      <w:r w:rsidR="00912E23">
        <w:rPr>
          <w:spacing w:val="-2"/>
          <w:lang w:val="en-GB"/>
        </w:rPr>
        <w:t>t</w:t>
      </w:r>
      <w:r w:rsidRPr="00602EF3">
        <w:rPr>
          <w:spacing w:val="-2"/>
          <w:lang w:val="en-GB"/>
        </w:rPr>
        <w:t xml:space="preserve"> is included </w:t>
      </w:r>
      <w:r w:rsidR="002F4534">
        <w:rPr>
          <w:spacing w:val="-2"/>
          <w:lang w:val="en-GB"/>
        </w:rPr>
        <w:t xml:space="preserve">in this research </w:t>
      </w:r>
      <w:r w:rsidRPr="00602EF3">
        <w:rPr>
          <w:spacing w:val="-2"/>
          <w:lang w:val="en-GB"/>
        </w:rPr>
        <w:t xml:space="preserve">to give an idea of what is the percentage of variation (in absolute value) of the error term with respect to the measured data. </w:t>
      </w:r>
    </w:p>
    <w:p w:rsidR="00B86D05" w:rsidRDefault="00B86D05" w:rsidP="00BD2AFA">
      <w:pPr>
        <w:tabs>
          <w:tab w:val="left" w:pos="-1134"/>
          <w:tab w:val="left" w:pos="-414"/>
        </w:tabs>
        <w:suppressAutoHyphens/>
        <w:jc w:val="both"/>
        <w:rPr>
          <w:lang w:val="en-GB"/>
        </w:rPr>
      </w:pPr>
      <w:r w:rsidRPr="00602EF3">
        <w:rPr>
          <w:spacing w:val="-2"/>
          <w:lang w:val="en-GB"/>
        </w:rPr>
        <w:t>Overall, the statistical indicators reported are used to provide thresholds for the acceptability of models, but they can be complemented by the</w:t>
      </w:r>
      <w:r w:rsidRPr="00F64F0C">
        <w:rPr>
          <w:spacing w:val="-2"/>
          <w:lang w:val="en-GB"/>
        </w:rPr>
        <w:t xml:space="preserve"> visual analysis of modelling results, up to the creation of control charts</w:t>
      </w:r>
      <w:r w:rsidR="002F4534">
        <w:rPr>
          <w:spacing w:val="-2"/>
          <w:lang w:val="en-GB"/>
        </w:rPr>
        <w:t xml:space="preserve"> </w:t>
      </w:r>
      <w:r w:rsidR="002F4534">
        <w:rPr>
          <w:spacing w:val="-2"/>
          <w:lang w:val="en-GB"/>
        </w:rPr>
        <w:fldChar w:fldCharType="begin" w:fldLock="1"/>
      </w:r>
      <w:r w:rsidR="006A236D">
        <w:rPr>
          <w:spacing w:val="-2"/>
          <w:lang w:val="en-GB"/>
        </w:rPr>
        <w:instrText>ADDIN CSL_CITATION { "citationItems" : [ { "id" : "ITEM-1", "itemData" : { "DOI" : "10.3390/math8010058", "ISBN" : "2227-7390", "abstract" : "This study proposes a control chart based on functional data to detect anomalies and estimate the normal output of industrial processes and services such as those related to the energy efficiency domain. Companies providing statistical consultancy services in the fields of energy efficiency; heating, ventilation and air conditioning (HVAC); installation and control; and big data for buildings, have been striving to solve the problem of automatic anomaly detection in buildings controlled by sensors. Given the functional nature of the critical to quality (CTQ) variables, this study proposed a new functional data analysis (FDA) control chart method based on the concept of data depth. Specifically, it developed a control methodology, including the Phase I and II control charts. It is based on the calculation of the depth of functional data, the identification of outliers by smooth bootstrap resampling and the customization of nonparametric rank control charts. A comprehensive simulation study, comprising scenarios defined with different degrees of dependence between curves, was conducted to evaluate the control procedure. The proposed statistical process control procedure was also applied to detect energy efficiency anomalies in the stores of a textile company in the Panama City. In this case, energy consumption has been defined as the CTQ variable of the HVAC system. Briefly, the proposed methodology, which combines FDA and multivariate techniques, adapts the concept of the control chart based on a specific case of functional data and thereby presents a novel alternative for controlling facilities in which the data are obtained by continuous monitoring, as is the case with a great deal of process in the framework of Industry 4.0.", "author" : [ { "dropping-particle" : "", "family" : "Flores", "given" : "Miguel", "non-dropping-particle" : "", "parse-names" : false, "suffix" : "" }, { "dropping-particle" : "", "family" : "Naya", "given" : "Salvador", "non-dropping-particle" : "", "parse-names" : false, "suffix" : "" }, { "dropping-particle" : "", "family" : "Fern\u00e1ndez-Casal", "given" : "Rub\u00e9n", "non-dropping-particle" : "", "parse-names" : false, "suffix" : "" }, { "dropping-particle" : "", "family" : "Zaragoza", "given" : "Sonia", "non-dropping-particle" : "", "parse-names" : false, "suffix" : "" }, { "dropping-particle" : "", "family" : "Ra\u00f1a", "given" : "Paula", "non-dropping-particle" : "", "parse-names" : false, "suffix" : "" }, { "dropping-particle" : "", "family" : "Tarr\u00edo-Saavedra", "given" : "Javier", "non-dropping-particle" : "", "parse-names" : false, "suffix" : "" } ], "container-title" : "Mathematics ", "id" : "ITEM-1", "issue" : "1", "issued" : { "date-parts" : [ [ "2020" ] ] }, "title" : "Constructing a Control Chart Using Functional Data", "type" : "article", "volume" : "8" }, "uris" : [ "http://www.mendeley.com/documents/?uuid=f1caaa6d-c0e8-4571-9177-2dd02d1ddc9a" ] } ], "mendeley" : { "formattedCitation" : "[45]", "plainTextFormattedCitation" : "[45]", "previouslyFormattedCitation" : "[45]" }, "properties" : { "noteIndex" : 0 }, "schema" : "https://github.com/citation-style-language/schema/raw/master/csl-citation.json" }</w:instrText>
      </w:r>
      <w:r w:rsidR="002F4534">
        <w:rPr>
          <w:spacing w:val="-2"/>
          <w:lang w:val="en-GB"/>
        </w:rPr>
        <w:fldChar w:fldCharType="separate"/>
      </w:r>
      <w:r w:rsidR="0023172C" w:rsidRPr="0023172C">
        <w:rPr>
          <w:noProof/>
          <w:spacing w:val="-2"/>
          <w:lang w:val="en-GB"/>
        </w:rPr>
        <w:t>[45]</w:t>
      </w:r>
      <w:r w:rsidR="002F4534">
        <w:rPr>
          <w:spacing w:val="-2"/>
          <w:lang w:val="en-GB"/>
        </w:rPr>
        <w:fldChar w:fldCharType="end"/>
      </w:r>
      <w:r w:rsidRPr="00F64F0C">
        <w:rPr>
          <w:spacing w:val="-2"/>
          <w:lang w:val="en-GB"/>
        </w:rPr>
        <w:t>, used in Statistical Process Control (SPC)</w:t>
      </w:r>
      <w:r w:rsidR="002F4534">
        <w:rPr>
          <w:spacing w:val="-2"/>
          <w:lang w:val="en-GB"/>
        </w:rPr>
        <w:t xml:space="preserve"> </w:t>
      </w:r>
      <w:r w:rsidR="002F4534">
        <w:rPr>
          <w:spacing w:val="-2"/>
          <w:lang w:val="en-GB"/>
        </w:rPr>
        <w:fldChar w:fldCharType="begin" w:fldLock="1"/>
      </w:r>
      <w:r w:rsidR="006A236D">
        <w:rPr>
          <w:spacing w:val="-2"/>
          <w:lang w:val="en-GB"/>
        </w:rPr>
        <w:instrText>ADDIN CSL_CITATION { "citationItems" : [ { "id" : "ITEM-1", "itemData" : { "DOI" : "https://doi.org/10.1016/j.enbuild.2013.05.002", "ISSN" : "0378-7788", "abstract" : "A statistical process control based system and scheme for monitoring, assessment and tracking of energy consumption is presented. The proposed strategy is set up using a Multichannel Structure to model and estimate statistics profile (average and uncertainty) of the energy consumption of a building during a predetermined cycle, e.g. a week period. These statistics profile is analyzed with statistical process control (SPC) techniques for signaling alarms or reporting interpreted faults of unpredicted or unusual behavior of energy demand. Identification of deviations from predicted or programed consumption profiles modeled by a Multichannel Structure are shown to be easily designed, tuned and implemented with low computation demand of memory and processing speed. Simulated results illustrate the Multichannel Structure programing and parameters tuning. Experimental results are presented to exemplify the proposed strategy.", "author" : [ { "dropping-particle" : "", "family" : "Braga", "given" : "L C", "non-dropping-particle" : "", "parse-names" : false, "suffix" : "" }, { "dropping-particle" : "", "family" : "Braga", "given" : "A R", "non-dropping-particle" : "", "parse-names" : false, "suffix" : "" }, { "dropping-particle" : "", "family" : "Braga", "given" : "C M P", "non-dropping-particle" : "", "parse-names" : false, "suffix" : "" } ], "container-title" : "Energy and Buildings", "id" : "ITEM-1", "issued" : { "date-parts" : [ [ "2013" ] ] }, "page" : "205-219", "title" : "On the characterization and monitoring of building energy demand using statistical process control methodologies", "type" : "article-journal", "volume" : "65" }, "uris" : [ "http://www.mendeley.com/documents/?uuid=1b90a75e-b5c6-4466-8338-440dfc54ad17" ] } ], "mendeley" : { "formattedCitation" : "[44]", "plainTextFormattedCitation" : "[44]", "previouslyFormattedCitation" : "[44]" }, "properties" : { "noteIndex" : 0 }, "schema" : "https://github.com/citation-style-language/schema/raw/master/csl-citation.json" }</w:instrText>
      </w:r>
      <w:r w:rsidR="002F4534">
        <w:rPr>
          <w:spacing w:val="-2"/>
          <w:lang w:val="en-GB"/>
        </w:rPr>
        <w:fldChar w:fldCharType="separate"/>
      </w:r>
      <w:r w:rsidR="0023172C" w:rsidRPr="0023172C">
        <w:rPr>
          <w:noProof/>
          <w:spacing w:val="-2"/>
          <w:lang w:val="en-GB"/>
        </w:rPr>
        <w:t>[44]</w:t>
      </w:r>
      <w:r w:rsidR="002F4534">
        <w:rPr>
          <w:spacing w:val="-2"/>
          <w:lang w:val="en-GB"/>
        </w:rPr>
        <w:fldChar w:fldCharType="end"/>
      </w:r>
      <w:r w:rsidRPr="00F64F0C">
        <w:rPr>
          <w:spacing w:val="-2"/>
          <w:lang w:val="en-GB"/>
        </w:rPr>
        <w:t xml:space="preserve">, as shown </w:t>
      </w:r>
      <w:r w:rsidR="00912E23">
        <w:rPr>
          <w:spacing w:val="-2"/>
          <w:lang w:val="en-GB"/>
        </w:rPr>
        <w:t>at the end of</w:t>
      </w:r>
      <w:r w:rsidRPr="00F64F0C">
        <w:rPr>
          <w:spacing w:val="-2"/>
          <w:lang w:val="en-GB"/>
        </w:rPr>
        <w:t xml:space="preserve"> Section </w:t>
      </w:r>
      <w:r w:rsidR="00DF1932">
        <w:rPr>
          <w:spacing w:val="-2"/>
          <w:lang w:val="en-GB"/>
        </w:rPr>
        <w:t>6</w:t>
      </w:r>
      <w:r w:rsidRPr="00F64F0C">
        <w:rPr>
          <w:spacing w:val="-2"/>
          <w:lang w:val="en-GB"/>
        </w:rPr>
        <w:t>.</w:t>
      </w:r>
      <w:r w:rsidR="00912E23">
        <w:rPr>
          <w:spacing w:val="-2"/>
          <w:lang w:val="en-GB"/>
        </w:rPr>
        <w:t>1</w:t>
      </w:r>
      <w:r w:rsidRPr="00F64F0C">
        <w:rPr>
          <w:spacing w:val="-2"/>
          <w:lang w:val="en-GB"/>
        </w:rPr>
        <w:t>.</w:t>
      </w:r>
    </w:p>
    <w:p w:rsidR="00A85F55" w:rsidRDefault="00A85F55" w:rsidP="00AF389C">
      <w:pPr>
        <w:jc w:val="both"/>
        <w:rPr>
          <w:lang w:val="en-GB"/>
        </w:rPr>
      </w:pPr>
    </w:p>
    <w:p w:rsidR="00E86D63" w:rsidRPr="00C36C26" w:rsidRDefault="00AD1918" w:rsidP="00E86D63">
      <w:pPr>
        <w:pStyle w:val="Heading1"/>
      </w:pPr>
      <w:bookmarkStart w:id="20" w:name="_Toc98497999"/>
      <w:r>
        <w:t>Case study description</w:t>
      </w:r>
      <w:bookmarkEnd w:id="20"/>
    </w:p>
    <w:p w:rsidR="00693599" w:rsidRDefault="00693599" w:rsidP="00BD2AFA">
      <w:pPr>
        <w:pStyle w:val="BodyText"/>
        <w:jc w:val="both"/>
        <w:rPr>
          <w:color w:val="000000"/>
          <w:spacing w:val="-3"/>
          <w:highlight w:val="yellow"/>
          <w:lang w:val="en-GB"/>
        </w:rPr>
      </w:pPr>
      <w:r w:rsidRPr="00693599">
        <w:rPr>
          <w:i w:val="0"/>
          <w:iCs w:val="0"/>
        </w:rPr>
        <w:t>The case study chosen is a Passive House residential building located in the Province of Forlì-Cesena, in the Emilia Romagna Region of Italy. For three years, the case study building was monitored and data from energy meters and weather stations were collected. The case study building is characterized by highly insulated envelope components built in accordance with Passive House standards. Further, t</w:t>
      </w:r>
      <w:r w:rsidRPr="00693599">
        <w:rPr>
          <w:i w:val="0"/>
          <w:iCs w:val="0"/>
          <w:color w:val="000000"/>
          <w:spacing w:val="-3"/>
        </w:rPr>
        <w:t>he building's technical systems include mechanical ventilation with heat recovery (MVHR), a ground-source heat pump system (GSHP) for heating, cooling and DHW services, a photovoltaic system for on-site electricity generation, and a solar thermal system with storage, to integrate DHW production.</w:t>
      </w:r>
      <w:r w:rsidR="002F4534">
        <w:rPr>
          <w:i w:val="0"/>
          <w:iCs w:val="0"/>
          <w:color w:val="000000"/>
          <w:spacing w:val="-3"/>
          <w:lang w:val="en-GB"/>
        </w:rPr>
        <w:t xml:space="preserve"> The number of occupants of the building is </w:t>
      </w:r>
      <w:proofErr w:type="gramStart"/>
      <w:r w:rsidR="002F4534">
        <w:rPr>
          <w:i w:val="0"/>
          <w:iCs w:val="0"/>
          <w:color w:val="000000"/>
          <w:spacing w:val="-3"/>
          <w:lang w:val="en-GB"/>
        </w:rPr>
        <w:t>5</w:t>
      </w:r>
      <w:proofErr w:type="gramEnd"/>
      <w:r w:rsidR="002F4534">
        <w:rPr>
          <w:i w:val="0"/>
          <w:iCs w:val="0"/>
          <w:color w:val="000000"/>
          <w:spacing w:val="-3"/>
          <w:lang w:val="en-GB"/>
        </w:rPr>
        <w:t>.</w:t>
      </w:r>
      <w:r w:rsidRPr="00693599">
        <w:rPr>
          <w:i w:val="0"/>
          <w:iCs w:val="0"/>
          <w:color w:val="000000"/>
          <w:spacing w:val="-3"/>
        </w:rPr>
        <w:t xml:space="preserve"> Table </w:t>
      </w:r>
      <w:r w:rsidR="00DF1932">
        <w:rPr>
          <w:i w:val="0"/>
          <w:iCs w:val="0"/>
          <w:color w:val="000000"/>
          <w:spacing w:val="-3"/>
          <w:lang w:val="en-GB"/>
        </w:rPr>
        <w:t>6</w:t>
      </w:r>
      <w:r w:rsidRPr="00693599">
        <w:rPr>
          <w:i w:val="0"/>
          <w:iCs w:val="0"/>
          <w:color w:val="000000"/>
          <w:spacing w:val="-3"/>
        </w:rPr>
        <w:t xml:space="preserve"> summarizes the most important building data.</w:t>
      </w:r>
    </w:p>
    <w:p w:rsidR="002F4534" w:rsidRPr="00BD2AFA" w:rsidRDefault="002F4534" w:rsidP="00BD2AFA">
      <w:pPr>
        <w:pStyle w:val="BodyText"/>
        <w:jc w:val="both"/>
        <w:rPr>
          <w:color w:val="000000"/>
          <w:spacing w:val="-3"/>
          <w:highlight w:val="yellow"/>
          <w:lang w:val="en-GB"/>
        </w:rPr>
      </w:pPr>
    </w:p>
    <w:p w:rsidR="00FE01AF" w:rsidRDefault="00FE01AF" w:rsidP="00FE01AF">
      <w:pPr>
        <w:jc w:val="center"/>
        <w:rPr>
          <w:i/>
          <w:color w:val="000000"/>
          <w:lang w:val="en-GB"/>
        </w:rPr>
      </w:pPr>
      <w:r w:rsidRPr="00932FDF">
        <w:rPr>
          <w:i/>
          <w:color w:val="000000"/>
          <w:lang w:val="en-GB"/>
        </w:rPr>
        <w:t xml:space="preserve">Table </w:t>
      </w:r>
      <w:r w:rsidRPr="00412E3C">
        <w:rPr>
          <w:i/>
          <w:lang w:val="en-GB"/>
        </w:rPr>
        <w:fldChar w:fldCharType="begin"/>
      </w:r>
      <w:r w:rsidRPr="00932FDF">
        <w:rPr>
          <w:i/>
          <w:lang w:val="en-GB"/>
        </w:rPr>
        <w:instrText xml:space="preserve"> SEQ Table \* ARABIC </w:instrText>
      </w:r>
      <w:r w:rsidRPr="00412E3C">
        <w:rPr>
          <w:i/>
          <w:lang w:val="en-GB"/>
        </w:rPr>
        <w:fldChar w:fldCharType="separate"/>
      </w:r>
      <w:r w:rsidR="00F324A0" w:rsidRPr="00BD2AFA">
        <w:rPr>
          <w:i/>
          <w:noProof/>
          <w:lang w:val="en-GB"/>
        </w:rPr>
        <w:t>6</w:t>
      </w:r>
      <w:r w:rsidRPr="00412E3C">
        <w:rPr>
          <w:i/>
          <w:lang w:val="en-GB"/>
        </w:rPr>
        <w:fldChar w:fldCharType="end"/>
      </w:r>
      <w:r w:rsidRPr="00932FDF">
        <w:rPr>
          <w:i/>
          <w:color w:val="000000"/>
          <w:lang w:val="en-GB"/>
        </w:rPr>
        <w:t>: Building</w:t>
      </w:r>
      <w:r w:rsidR="00932FDF">
        <w:rPr>
          <w:i/>
          <w:color w:val="000000"/>
          <w:lang w:val="en-GB"/>
        </w:rPr>
        <w:t xml:space="preserve"> design</w:t>
      </w:r>
      <w:r w:rsidRPr="00932FDF">
        <w:rPr>
          <w:i/>
          <w:color w:val="000000"/>
          <w:lang w:val="en-GB"/>
        </w:rPr>
        <w:t xml:space="preserve"> data</w:t>
      </w:r>
      <w:r w:rsidR="00932FDF">
        <w:rPr>
          <w:i/>
          <w:color w:val="000000"/>
          <w:lang w:val="en-GB"/>
        </w:rPr>
        <w:t xml:space="preserve"> assumptions</w:t>
      </w:r>
    </w:p>
    <w:tbl>
      <w:tblPr>
        <w:tblW w:w="0" w:type="auto"/>
        <w:jc w:val="center"/>
        <w:tblLayout w:type="fixed"/>
        <w:tblLook w:val="04A0" w:firstRow="1" w:lastRow="0" w:firstColumn="1" w:lastColumn="0" w:noHBand="0" w:noVBand="1"/>
      </w:tblPr>
      <w:tblGrid>
        <w:gridCol w:w="1276"/>
        <w:gridCol w:w="3915"/>
        <w:gridCol w:w="1191"/>
        <w:gridCol w:w="848"/>
      </w:tblGrid>
      <w:tr w:rsidR="00693599" w:rsidRPr="0007280D" w:rsidTr="00BD2AFA">
        <w:trPr>
          <w:jc w:val="center"/>
        </w:trPr>
        <w:tc>
          <w:tcPr>
            <w:tcW w:w="1276" w:type="dxa"/>
            <w:tcBorders>
              <w:top w:val="single" w:sz="4" w:space="0" w:color="auto"/>
            </w:tcBorders>
            <w:shd w:val="clear" w:color="auto" w:fill="auto"/>
          </w:tcPr>
          <w:p w:rsidR="00693599" w:rsidRPr="00932FDF" w:rsidRDefault="00693599" w:rsidP="008F4582">
            <w:pPr>
              <w:pStyle w:val="table"/>
              <w:rPr>
                <w:rFonts w:ascii="Times New Roman" w:hAnsi="Times New Roman"/>
                <w:b/>
                <w:sz w:val="18"/>
                <w:szCs w:val="18"/>
                <w:lang w:eastAsia="en-GB"/>
              </w:rPr>
            </w:pPr>
            <w:r w:rsidRPr="00932FDF">
              <w:rPr>
                <w:rFonts w:ascii="Times New Roman" w:hAnsi="Times New Roman"/>
                <w:b/>
                <w:sz w:val="18"/>
                <w:szCs w:val="18"/>
                <w:lang w:eastAsia="en-GB"/>
              </w:rPr>
              <w:t>Group</w:t>
            </w:r>
          </w:p>
        </w:tc>
        <w:tc>
          <w:tcPr>
            <w:tcW w:w="3915"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b/>
                <w:sz w:val="18"/>
                <w:szCs w:val="18"/>
                <w:lang w:eastAsia="en-GB"/>
              </w:rPr>
            </w:pPr>
            <w:r w:rsidRPr="00932FDF">
              <w:rPr>
                <w:rFonts w:ascii="Times New Roman" w:hAnsi="Times New Roman"/>
                <w:b/>
                <w:sz w:val="18"/>
                <w:szCs w:val="18"/>
                <w:lang w:eastAsia="en-GB"/>
              </w:rPr>
              <w:t>Type</w:t>
            </w:r>
          </w:p>
        </w:tc>
        <w:tc>
          <w:tcPr>
            <w:tcW w:w="1191"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b/>
                <w:sz w:val="18"/>
                <w:szCs w:val="18"/>
                <w:lang w:eastAsia="en-GB"/>
              </w:rPr>
            </w:pPr>
            <w:r w:rsidRPr="00932FDF">
              <w:rPr>
                <w:rFonts w:ascii="Times New Roman" w:hAnsi="Times New Roman"/>
                <w:b/>
                <w:sz w:val="18"/>
                <w:szCs w:val="18"/>
                <w:lang w:eastAsia="en-GB"/>
              </w:rPr>
              <w:t>Unit</w:t>
            </w:r>
          </w:p>
        </w:tc>
        <w:tc>
          <w:tcPr>
            <w:tcW w:w="848"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b/>
                <w:sz w:val="18"/>
                <w:szCs w:val="18"/>
                <w:lang w:eastAsia="en-GB"/>
              </w:rPr>
            </w:pPr>
            <w:r w:rsidRPr="00932FDF">
              <w:rPr>
                <w:rFonts w:ascii="Times New Roman" w:hAnsi="Times New Roman"/>
                <w:b/>
                <w:sz w:val="18"/>
                <w:szCs w:val="18"/>
                <w:lang w:eastAsia="en-GB"/>
              </w:rPr>
              <w:t xml:space="preserve">Design </w:t>
            </w:r>
          </w:p>
        </w:tc>
      </w:tr>
      <w:tr w:rsidR="00693599" w:rsidRPr="0007280D" w:rsidTr="00BD2AFA">
        <w:trPr>
          <w:jc w:val="center"/>
        </w:trPr>
        <w:tc>
          <w:tcPr>
            <w:tcW w:w="1276" w:type="dxa"/>
            <w:tcBorders>
              <w:top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Geometry</w:t>
            </w:r>
          </w:p>
        </w:tc>
        <w:tc>
          <w:tcPr>
            <w:tcW w:w="3915"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Gross volume</w:t>
            </w:r>
          </w:p>
        </w:tc>
        <w:tc>
          <w:tcPr>
            <w:tcW w:w="1191"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m³</w:t>
            </w:r>
          </w:p>
        </w:tc>
        <w:tc>
          <w:tcPr>
            <w:tcW w:w="848"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1557</w:t>
            </w:r>
          </w:p>
        </w:tc>
      </w:tr>
      <w:tr w:rsidR="00693599" w:rsidRPr="0007280D" w:rsidTr="00BD2AFA">
        <w:trPr>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Net volume</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m³</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1231</w:t>
            </w:r>
          </w:p>
        </w:tc>
      </w:tr>
      <w:tr w:rsidR="00693599" w:rsidRPr="0007280D" w:rsidTr="00BD2AFA">
        <w:trPr>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Heat loss surface area</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m²</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847</w:t>
            </w:r>
          </w:p>
        </w:tc>
      </w:tr>
      <w:tr w:rsidR="00693599" w:rsidRPr="0007280D" w:rsidTr="00BD2AFA">
        <w:trPr>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Net floor area</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m²</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444</w:t>
            </w:r>
          </w:p>
        </w:tc>
      </w:tr>
      <w:tr w:rsidR="00084DC4" w:rsidRPr="0007280D" w:rsidTr="00BD2AFA">
        <w:trPr>
          <w:jc w:val="center"/>
        </w:trPr>
        <w:tc>
          <w:tcPr>
            <w:tcW w:w="1276" w:type="dxa"/>
            <w:shd w:val="clear" w:color="auto" w:fill="auto"/>
          </w:tcPr>
          <w:p w:rsidR="00084DC4" w:rsidRPr="00932FDF" w:rsidRDefault="00084DC4" w:rsidP="008F4582">
            <w:pPr>
              <w:pStyle w:val="table"/>
              <w:rPr>
                <w:rFonts w:ascii="Times New Roman" w:hAnsi="Times New Roman"/>
                <w:sz w:val="18"/>
                <w:szCs w:val="18"/>
                <w:lang w:eastAsia="en-GB"/>
              </w:rPr>
            </w:pPr>
          </w:p>
        </w:tc>
        <w:tc>
          <w:tcPr>
            <w:tcW w:w="3915" w:type="dxa"/>
            <w:shd w:val="clear" w:color="auto" w:fill="auto"/>
            <w:vAlign w:val="center"/>
          </w:tcPr>
          <w:p w:rsidR="00084DC4" w:rsidRPr="00932FDF" w:rsidRDefault="00084DC4">
            <w:pPr>
              <w:pStyle w:val="table"/>
              <w:rPr>
                <w:rFonts w:ascii="Times New Roman" w:hAnsi="Times New Roman"/>
                <w:sz w:val="18"/>
                <w:szCs w:val="18"/>
                <w:lang w:eastAsia="en-GB"/>
              </w:rPr>
            </w:pPr>
            <w:r w:rsidRPr="00932FDF">
              <w:rPr>
                <w:rFonts w:ascii="Times New Roman" w:hAnsi="Times New Roman"/>
                <w:sz w:val="18"/>
                <w:szCs w:val="18"/>
                <w:lang w:eastAsia="en-GB"/>
              </w:rPr>
              <w:t xml:space="preserve">Glazed </w:t>
            </w:r>
            <w:r w:rsidR="00932FDF">
              <w:rPr>
                <w:rFonts w:ascii="Times New Roman" w:hAnsi="Times New Roman"/>
                <w:sz w:val="18"/>
                <w:szCs w:val="18"/>
                <w:lang w:eastAsia="en-GB"/>
              </w:rPr>
              <w:t>area/to</w:t>
            </w:r>
            <w:r w:rsidRPr="00932FDF">
              <w:rPr>
                <w:rFonts w:ascii="Times New Roman" w:hAnsi="Times New Roman"/>
                <w:sz w:val="18"/>
                <w:szCs w:val="18"/>
                <w:lang w:eastAsia="en-GB"/>
              </w:rPr>
              <w:t>tal wall area</w:t>
            </w:r>
            <w:r w:rsidR="00932FDF" w:rsidRPr="00932FDF">
              <w:rPr>
                <w:rFonts w:ascii="Times New Roman" w:hAnsi="Times New Roman"/>
                <w:sz w:val="18"/>
                <w:szCs w:val="18"/>
                <w:lang w:eastAsia="en-GB"/>
              </w:rPr>
              <w:t xml:space="preserve"> ratio percentage</w:t>
            </w:r>
          </w:p>
        </w:tc>
        <w:tc>
          <w:tcPr>
            <w:tcW w:w="1191" w:type="dxa"/>
            <w:shd w:val="clear" w:color="auto" w:fill="auto"/>
            <w:vAlign w:val="center"/>
          </w:tcPr>
          <w:p w:rsidR="00084DC4" w:rsidRPr="00932FDF" w:rsidRDefault="0039688D" w:rsidP="008F4582">
            <w:pPr>
              <w:pStyle w:val="table"/>
              <w:rPr>
                <w:rFonts w:ascii="Times New Roman" w:hAnsi="Times New Roman"/>
                <w:sz w:val="18"/>
                <w:szCs w:val="18"/>
                <w:lang w:eastAsia="en-GB"/>
              </w:rPr>
            </w:pPr>
            <w:r w:rsidRPr="00932FDF">
              <w:rPr>
                <w:rFonts w:ascii="Times New Roman" w:hAnsi="Times New Roman"/>
                <w:sz w:val="18"/>
                <w:szCs w:val="18"/>
                <w:lang w:eastAsia="en-GB"/>
              </w:rPr>
              <w:t>%</w:t>
            </w:r>
          </w:p>
        </w:tc>
        <w:tc>
          <w:tcPr>
            <w:tcW w:w="848" w:type="dxa"/>
            <w:shd w:val="clear" w:color="auto" w:fill="auto"/>
            <w:vAlign w:val="center"/>
          </w:tcPr>
          <w:p w:rsidR="00084DC4" w:rsidRPr="00932FDF" w:rsidRDefault="00932FDF" w:rsidP="008F4582">
            <w:pPr>
              <w:pStyle w:val="table"/>
              <w:rPr>
                <w:rFonts w:ascii="Times New Roman" w:hAnsi="Times New Roman"/>
                <w:sz w:val="18"/>
                <w:szCs w:val="18"/>
                <w:lang w:eastAsia="en-GB"/>
              </w:rPr>
            </w:pPr>
            <w:r w:rsidRPr="00932FDF">
              <w:rPr>
                <w:rFonts w:ascii="Times New Roman" w:hAnsi="Times New Roman"/>
                <w:sz w:val="18"/>
                <w:szCs w:val="18"/>
                <w:lang w:eastAsia="en-GB"/>
              </w:rPr>
              <w:t>22,5</w:t>
            </w:r>
          </w:p>
        </w:tc>
      </w:tr>
      <w:tr w:rsidR="00693599" w:rsidRPr="0007280D" w:rsidTr="00BD2AFA">
        <w:trPr>
          <w:trHeight w:val="70"/>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Surface/volume ratio</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1/m</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0,54</w:t>
            </w:r>
          </w:p>
        </w:tc>
      </w:tr>
      <w:tr w:rsidR="00693599" w:rsidRPr="0007280D" w:rsidTr="00BD2AFA">
        <w:trPr>
          <w:jc w:val="center"/>
        </w:trPr>
        <w:tc>
          <w:tcPr>
            <w:tcW w:w="1276" w:type="dxa"/>
            <w:tcBorders>
              <w:top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Envelope</w:t>
            </w:r>
          </w:p>
        </w:tc>
        <w:tc>
          <w:tcPr>
            <w:tcW w:w="3915"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U value external walls</w:t>
            </w:r>
          </w:p>
        </w:tc>
        <w:tc>
          <w:tcPr>
            <w:tcW w:w="1191"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W/(m</w:t>
            </w:r>
            <w:r w:rsidRPr="00932FDF">
              <w:rPr>
                <w:rFonts w:ascii="Times New Roman" w:hAnsi="Times New Roman"/>
                <w:sz w:val="18"/>
                <w:szCs w:val="18"/>
                <w:vertAlign w:val="superscript"/>
                <w:lang w:eastAsia="en-GB"/>
              </w:rPr>
              <w:t>2</w:t>
            </w:r>
            <w:r w:rsidRPr="00932FDF">
              <w:rPr>
                <w:rFonts w:ascii="Times New Roman" w:hAnsi="Times New Roman"/>
                <w:sz w:val="18"/>
                <w:szCs w:val="18"/>
                <w:lang w:eastAsia="en-GB"/>
              </w:rPr>
              <w:t>K)</w:t>
            </w:r>
          </w:p>
        </w:tc>
        <w:tc>
          <w:tcPr>
            <w:tcW w:w="848"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0,18</w:t>
            </w:r>
          </w:p>
        </w:tc>
      </w:tr>
      <w:tr w:rsidR="00693599" w:rsidRPr="0007280D" w:rsidTr="00BD2AFA">
        <w:trPr>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U value roof</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W/(m</w:t>
            </w:r>
            <w:r w:rsidRPr="00932FDF">
              <w:rPr>
                <w:rFonts w:ascii="Times New Roman" w:hAnsi="Times New Roman"/>
                <w:sz w:val="18"/>
                <w:szCs w:val="18"/>
                <w:vertAlign w:val="superscript"/>
                <w:lang w:eastAsia="en-GB"/>
              </w:rPr>
              <w:t>2</w:t>
            </w:r>
            <w:r w:rsidRPr="00932FDF">
              <w:rPr>
                <w:rFonts w:ascii="Times New Roman" w:hAnsi="Times New Roman"/>
                <w:sz w:val="18"/>
                <w:szCs w:val="18"/>
                <w:lang w:eastAsia="en-GB"/>
              </w:rPr>
              <w:t>K)</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0,17</w:t>
            </w:r>
          </w:p>
        </w:tc>
      </w:tr>
      <w:tr w:rsidR="00693599" w:rsidRPr="0007280D" w:rsidTr="00BD2AFA">
        <w:trPr>
          <w:jc w:val="center"/>
        </w:trPr>
        <w:tc>
          <w:tcPr>
            <w:tcW w:w="1276" w:type="dxa"/>
            <w:tcBorders>
              <w:bottom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U value transparent components</w:t>
            </w:r>
          </w:p>
        </w:tc>
        <w:tc>
          <w:tcPr>
            <w:tcW w:w="1191"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W/(m</w:t>
            </w:r>
            <w:r w:rsidRPr="00932FDF">
              <w:rPr>
                <w:rFonts w:ascii="Times New Roman" w:hAnsi="Times New Roman"/>
                <w:sz w:val="18"/>
                <w:szCs w:val="18"/>
                <w:vertAlign w:val="superscript"/>
                <w:lang w:eastAsia="en-GB"/>
              </w:rPr>
              <w:t>2</w:t>
            </w:r>
            <w:r w:rsidRPr="00932FDF">
              <w:rPr>
                <w:rFonts w:ascii="Times New Roman" w:hAnsi="Times New Roman"/>
                <w:sz w:val="18"/>
                <w:szCs w:val="18"/>
                <w:lang w:eastAsia="en-GB"/>
              </w:rPr>
              <w:t>K)</w:t>
            </w:r>
          </w:p>
        </w:tc>
        <w:tc>
          <w:tcPr>
            <w:tcW w:w="848"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0,83</w:t>
            </w:r>
          </w:p>
        </w:tc>
      </w:tr>
      <w:tr w:rsidR="00693599" w:rsidRPr="0007280D" w:rsidTr="00BD2AFA">
        <w:trPr>
          <w:jc w:val="center"/>
        </w:trPr>
        <w:tc>
          <w:tcPr>
            <w:tcW w:w="1276" w:type="dxa"/>
            <w:tcBorders>
              <w:top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HVAC and DHW</w:t>
            </w:r>
          </w:p>
        </w:tc>
        <w:tc>
          <w:tcPr>
            <w:tcW w:w="3915" w:type="dxa"/>
            <w:tcBorders>
              <w:top w:val="single" w:sz="4" w:space="0" w:color="auto"/>
            </w:tcBorders>
            <w:shd w:val="clear" w:color="auto" w:fill="auto"/>
            <w:vAlign w:val="center"/>
          </w:tcPr>
          <w:p w:rsidR="00693599" w:rsidRPr="00932FDF" w:rsidRDefault="00693599">
            <w:pPr>
              <w:pStyle w:val="table"/>
              <w:rPr>
                <w:rFonts w:ascii="Times New Roman" w:hAnsi="Times New Roman"/>
                <w:sz w:val="18"/>
                <w:szCs w:val="18"/>
                <w:lang w:eastAsia="en-GB"/>
              </w:rPr>
            </w:pPr>
            <w:r w:rsidRPr="00932FDF">
              <w:rPr>
                <w:rFonts w:ascii="Times New Roman" w:hAnsi="Times New Roman"/>
                <w:sz w:val="18"/>
                <w:szCs w:val="18"/>
                <w:lang w:eastAsia="en-GB"/>
              </w:rPr>
              <w:t>Ground-source heat pump (GSHP) - Brine/Water Heat Pump</w:t>
            </w:r>
            <w:r w:rsidR="0092232C">
              <w:rPr>
                <w:rFonts w:ascii="Times New Roman" w:hAnsi="Times New Roman"/>
                <w:sz w:val="18"/>
                <w:szCs w:val="18"/>
                <w:lang w:eastAsia="en-GB"/>
              </w:rPr>
              <w:t xml:space="preserve"> (B0/W35)*</w:t>
            </w:r>
          </w:p>
        </w:tc>
        <w:tc>
          <w:tcPr>
            <w:tcW w:w="1191"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kW</w:t>
            </w:r>
          </w:p>
        </w:tc>
        <w:tc>
          <w:tcPr>
            <w:tcW w:w="848"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8,4</w:t>
            </w:r>
          </w:p>
        </w:tc>
      </w:tr>
      <w:tr w:rsidR="00693599" w:rsidRPr="0007280D" w:rsidTr="00BD2AFA">
        <w:trPr>
          <w:jc w:val="center"/>
        </w:trPr>
        <w:tc>
          <w:tcPr>
            <w:tcW w:w="1276" w:type="dxa"/>
            <w:tcBorders>
              <w:bottom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Borehole heat exchanger (2 double U boreholes)</w:t>
            </w:r>
          </w:p>
        </w:tc>
        <w:tc>
          <w:tcPr>
            <w:tcW w:w="1191"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w:t>
            </w:r>
          </w:p>
        </w:tc>
        <w:tc>
          <w:tcPr>
            <w:tcW w:w="848"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100</w:t>
            </w:r>
          </w:p>
        </w:tc>
      </w:tr>
      <w:tr w:rsidR="00693599" w:rsidRPr="0007280D" w:rsidTr="00BD2AFA">
        <w:trPr>
          <w:jc w:val="center"/>
        </w:trPr>
        <w:tc>
          <w:tcPr>
            <w:tcW w:w="1276" w:type="dxa"/>
            <w:tcBorders>
              <w:top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On-site energy production</w:t>
            </w:r>
          </w:p>
        </w:tc>
        <w:tc>
          <w:tcPr>
            <w:tcW w:w="3915"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Building Integrated Photo-Voltaic (BIPV) - Polycrystalline silicon</w:t>
            </w:r>
          </w:p>
        </w:tc>
        <w:tc>
          <w:tcPr>
            <w:tcW w:w="1191"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proofErr w:type="spellStart"/>
            <w:r w:rsidRPr="00932FDF">
              <w:rPr>
                <w:rFonts w:ascii="Times New Roman" w:hAnsi="Times New Roman"/>
                <w:sz w:val="18"/>
                <w:szCs w:val="18"/>
                <w:lang w:eastAsia="en-GB"/>
              </w:rPr>
              <w:t>kW</w:t>
            </w:r>
            <w:r w:rsidRPr="00932FDF">
              <w:rPr>
                <w:rFonts w:ascii="Times New Roman" w:hAnsi="Times New Roman"/>
                <w:sz w:val="18"/>
                <w:szCs w:val="18"/>
                <w:vertAlign w:val="subscript"/>
                <w:lang w:eastAsia="en-GB"/>
              </w:rPr>
              <w:t>p</w:t>
            </w:r>
            <w:proofErr w:type="spellEnd"/>
          </w:p>
        </w:tc>
        <w:tc>
          <w:tcPr>
            <w:tcW w:w="848" w:type="dxa"/>
            <w:tcBorders>
              <w:top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9,2</w:t>
            </w:r>
          </w:p>
        </w:tc>
      </w:tr>
      <w:tr w:rsidR="00693599" w:rsidRPr="0007280D" w:rsidTr="00BD2AFA">
        <w:trPr>
          <w:jc w:val="center"/>
        </w:trPr>
        <w:tc>
          <w:tcPr>
            <w:tcW w:w="1276" w:type="dxa"/>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Solar thermal - Glazed flat plate collector</w:t>
            </w:r>
          </w:p>
        </w:tc>
        <w:tc>
          <w:tcPr>
            <w:tcW w:w="1191"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w:t>
            </w:r>
            <w:r w:rsidRPr="00932FDF">
              <w:rPr>
                <w:rFonts w:ascii="Times New Roman" w:hAnsi="Times New Roman"/>
                <w:sz w:val="18"/>
                <w:szCs w:val="18"/>
                <w:vertAlign w:val="superscript"/>
                <w:lang w:eastAsia="en-GB"/>
              </w:rPr>
              <w:t>2</w:t>
            </w:r>
          </w:p>
        </w:tc>
        <w:tc>
          <w:tcPr>
            <w:tcW w:w="848" w:type="dxa"/>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4,32</w:t>
            </w:r>
          </w:p>
        </w:tc>
      </w:tr>
      <w:tr w:rsidR="00693599" w:rsidRPr="0007280D" w:rsidTr="00BD2AFA">
        <w:trPr>
          <w:jc w:val="center"/>
        </w:trPr>
        <w:tc>
          <w:tcPr>
            <w:tcW w:w="1276" w:type="dxa"/>
            <w:tcBorders>
              <w:bottom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p>
        </w:tc>
        <w:tc>
          <w:tcPr>
            <w:tcW w:w="3915" w:type="dxa"/>
            <w:tcBorders>
              <w:bottom w:val="single" w:sz="4" w:space="0" w:color="auto"/>
            </w:tcBorders>
            <w:shd w:val="clear" w:color="auto" w:fill="auto"/>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Domestic hot water storage</w:t>
            </w:r>
          </w:p>
        </w:tc>
        <w:tc>
          <w:tcPr>
            <w:tcW w:w="1191"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m</w:t>
            </w:r>
            <w:r w:rsidRPr="00932FDF">
              <w:rPr>
                <w:rFonts w:ascii="Times New Roman" w:hAnsi="Times New Roman"/>
                <w:sz w:val="18"/>
                <w:szCs w:val="18"/>
                <w:vertAlign w:val="superscript"/>
                <w:lang w:eastAsia="en-GB"/>
              </w:rPr>
              <w:t>3</w:t>
            </w:r>
          </w:p>
        </w:tc>
        <w:tc>
          <w:tcPr>
            <w:tcW w:w="848" w:type="dxa"/>
            <w:tcBorders>
              <w:bottom w:val="single" w:sz="4" w:space="0" w:color="auto"/>
            </w:tcBorders>
            <w:shd w:val="clear" w:color="auto" w:fill="auto"/>
            <w:vAlign w:val="center"/>
          </w:tcPr>
          <w:p w:rsidR="00693599" w:rsidRPr="00932FDF" w:rsidRDefault="00693599" w:rsidP="008F4582">
            <w:pPr>
              <w:pStyle w:val="table"/>
              <w:rPr>
                <w:rFonts w:ascii="Times New Roman" w:hAnsi="Times New Roman"/>
                <w:sz w:val="18"/>
                <w:szCs w:val="18"/>
                <w:lang w:eastAsia="en-GB"/>
              </w:rPr>
            </w:pPr>
            <w:r w:rsidRPr="00932FDF">
              <w:rPr>
                <w:rFonts w:ascii="Times New Roman" w:hAnsi="Times New Roman"/>
                <w:sz w:val="18"/>
                <w:szCs w:val="18"/>
                <w:lang w:eastAsia="en-GB"/>
              </w:rPr>
              <w:t>0,74</w:t>
            </w:r>
          </w:p>
        </w:tc>
      </w:tr>
      <w:tr w:rsidR="0092232C" w:rsidRPr="008541C7" w:rsidTr="002665A1">
        <w:trPr>
          <w:jc w:val="center"/>
        </w:trPr>
        <w:tc>
          <w:tcPr>
            <w:tcW w:w="7230" w:type="dxa"/>
            <w:gridSpan w:val="4"/>
            <w:tcBorders>
              <w:top w:val="single" w:sz="4" w:space="0" w:color="auto"/>
              <w:bottom w:val="single" w:sz="4" w:space="0" w:color="auto"/>
            </w:tcBorders>
            <w:shd w:val="clear" w:color="auto" w:fill="auto"/>
          </w:tcPr>
          <w:p w:rsidR="0092232C" w:rsidRPr="00BD2AFA" w:rsidRDefault="0092232C" w:rsidP="00BD2AFA">
            <w:pPr>
              <w:pStyle w:val="table"/>
              <w:jc w:val="left"/>
              <w:rPr>
                <w:rFonts w:asciiTheme="majorBidi" w:hAnsiTheme="majorBidi" w:cstheme="majorBidi"/>
                <w:szCs w:val="16"/>
                <w:lang w:eastAsia="en-GB"/>
              </w:rPr>
            </w:pPr>
            <w:r w:rsidRPr="00BD2AFA">
              <w:rPr>
                <w:rFonts w:asciiTheme="majorBidi" w:hAnsiTheme="majorBidi" w:cstheme="majorBidi"/>
                <w:szCs w:val="16"/>
                <w:lang w:eastAsia="en-GB"/>
              </w:rPr>
              <w:t xml:space="preserve">* EN14511 test condition in heating mode, brine at 0 ºC and water 35 ºC with supply-return temperature difference </w:t>
            </w:r>
            <w:proofErr w:type="spellStart"/>
            <w:r w:rsidRPr="00BD2AFA">
              <w:rPr>
                <w:rFonts w:asciiTheme="majorBidi" w:hAnsiTheme="majorBidi" w:cstheme="majorBidi"/>
                <w:szCs w:val="16"/>
                <w:lang w:eastAsia="en-GB"/>
              </w:rPr>
              <w:t>Δt</w:t>
            </w:r>
            <w:proofErr w:type="spellEnd"/>
            <w:r w:rsidRPr="00BD2AFA">
              <w:rPr>
                <w:rFonts w:asciiTheme="majorBidi" w:hAnsiTheme="majorBidi" w:cstheme="majorBidi"/>
                <w:szCs w:val="16"/>
                <w:lang w:eastAsia="en-GB"/>
              </w:rPr>
              <w:t xml:space="preserve"> = 10 ºC.</w:t>
            </w:r>
          </w:p>
        </w:tc>
      </w:tr>
    </w:tbl>
    <w:p w:rsidR="00AD0E9A" w:rsidRPr="005A5E37" w:rsidRDefault="00AD0E9A" w:rsidP="00346F8C">
      <w:pPr>
        <w:jc w:val="both"/>
        <w:rPr>
          <w:lang w:val="en-GB"/>
        </w:rPr>
      </w:pPr>
    </w:p>
    <w:p w:rsidR="00084DC4" w:rsidRDefault="00084DC4">
      <w:pPr>
        <w:tabs>
          <w:tab w:val="left" w:pos="-1134"/>
          <w:tab w:val="left" w:pos="-414"/>
        </w:tabs>
        <w:suppressAutoHyphens/>
        <w:jc w:val="both"/>
        <w:rPr>
          <w:spacing w:val="-3"/>
          <w:lang w:val="en-GB"/>
        </w:rPr>
      </w:pPr>
    </w:p>
    <w:p w:rsidR="002F4534" w:rsidRDefault="00420922">
      <w:pPr>
        <w:jc w:val="both"/>
        <w:rPr>
          <w:lang w:val="en-GB"/>
        </w:rPr>
      </w:pPr>
      <w:r w:rsidRPr="00420922">
        <w:rPr>
          <w:lang w:val="en-GB"/>
        </w:rPr>
        <w:t xml:space="preserve">Previously, research was conducted on this case study, with the goal of testing the use of regression methods to aid in the progressive calibration of a Resistance-Capacitance (RC) energy model </w:t>
      </w:r>
      <w:r w:rsidRPr="00420922">
        <w:rPr>
          <w:lang w:val="en-GB"/>
        </w:rPr>
        <w:fldChar w:fldCharType="begin" w:fldLock="1"/>
      </w:r>
      <w:r w:rsidR="00C82776">
        <w:rPr>
          <w:lang w:val="en-GB"/>
        </w:rPr>
        <w:instrText>ADDIN CSL_CITATION { "citationItems" : [ { "id" : "ITEM-1", "itemData" : { "DOI" : "https://doi.org/10.1016/j.energy.2018.09.037", "ISSN" : "0360-5442", "abstract" : "Efficient buildings are an essential component of sustainability and energy transitions, which represent today a techno-economic and socio-economic problem. New paradigms are emerging both for new and existing buildings (e.g. NZEBs) and passive design strategies are becoming increasingly common. However, the adoption of these strategies in mild climates has to be carefully evaluated to prevent overheating in intermediate seasons and increasing cooling loads in summer, considering also climate change scenarios. Additionally, optimistic assumptions about building technology performance are often considered and the variability of occupant comfort preferences and behaviour is generally neglected in the design phase. The research presented aims at verifying the suitability of a simple, robust and scalable calibration approach (based on multivariate linear regression) to link design and operational performance analysis transparently, using a Passive House case study building. First, the original baseline design configuration is compared with a larger spectrum of data generated by means of parametric simulation, following a Design of Experiment (DOE) approach. After that, regression models are trained first on simulation data and then progressively calibrated on measured data during a three year monitoring period. The two fundamental objectives are evaluating the robustness of design phase performance analysis through parametric simulation (i.e. detecting potentially critical assumptions) and maintaining a continuity with operation phase performance analysis (i.e. exploiting the feed-back from measured data).", "author" : [ { "dropping-particle" : "", "family" : "Tronchin", "given" : "Lamberto", "non-dropping-particle" : "", "parse-names" : false, "suffix" : "" }, { "dropping-particle" : "", "family" : "Manfren", "given" : "Massimiliano", "non-dropping-particle" : "", "parse-names" : false, "suffix" : "" }, { "dropping-particle" : "", "family" : "James", "given" : "Patrick A B", "non-dropping-particle" : "", "parse-names" : false, "suffix" : "" } ], "container-title" : "Energy", "id" : "ITEM-1", "issued" : { "date-parts" : [ [ "2018" ] ] }, "page" : "26-40", "title" : "Linking design and operation performance analysis through model calibration: Parametric assessment on a Passive House building", "type" : "article-journal", "volume" : "165" }, "uris" : [ "http://www.mendeley.com/documents/?uuid=5b3d5843-b397-4127-a654-7c1ab5da1360" ] } ], "mendeley" : { "formattedCitation" : "[51]", "plainTextFormattedCitation" : "[51]", "previouslyFormattedCitation" : "[50]" }, "properties" : { "noteIndex" : 0 }, "schema" : "https://github.com/citation-style-language/schema/raw/master/csl-citation.json" }</w:instrText>
      </w:r>
      <w:r w:rsidRPr="00420922">
        <w:rPr>
          <w:lang w:val="en-GB"/>
        </w:rPr>
        <w:fldChar w:fldCharType="separate"/>
      </w:r>
      <w:r w:rsidR="00C82776" w:rsidRPr="00C82776">
        <w:rPr>
          <w:noProof/>
          <w:lang w:val="en-GB"/>
        </w:rPr>
        <w:t>[51]</w:t>
      </w:r>
      <w:r w:rsidRPr="00420922">
        <w:rPr>
          <w:lang w:val="en-GB"/>
        </w:rPr>
        <w:fldChar w:fldCharType="end"/>
      </w:r>
      <w:r w:rsidRPr="00420922">
        <w:rPr>
          <w:lang w:val="en-GB"/>
        </w:rPr>
        <w:t>.</w:t>
      </w:r>
      <w:r>
        <w:rPr>
          <w:lang w:val="en-GB"/>
        </w:rPr>
        <w:t xml:space="preserve"> </w:t>
      </w:r>
      <w:r w:rsidRPr="00420922">
        <w:rPr>
          <w:lang w:val="en-GB"/>
        </w:rPr>
        <w:t xml:space="preserve">The deviations between measured and simulated energy demand </w:t>
      </w:r>
      <w:proofErr w:type="gramStart"/>
      <w:r w:rsidRPr="00420922">
        <w:rPr>
          <w:lang w:val="en-GB"/>
        </w:rPr>
        <w:t>were used</w:t>
      </w:r>
      <w:proofErr w:type="gramEnd"/>
      <w:r w:rsidRPr="00420922">
        <w:rPr>
          <w:lang w:val="en-GB"/>
        </w:rPr>
        <w:t xml:space="preserve"> to control the progressive model calibration process </w:t>
      </w:r>
      <w:r w:rsidR="00CC1BC1">
        <w:rPr>
          <w:lang w:val="en-GB"/>
        </w:rPr>
        <w:t>with the aid of</w:t>
      </w:r>
      <w:r w:rsidR="00CC1BC1" w:rsidRPr="00420922">
        <w:rPr>
          <w:lang w:val="en-GB"/>
        </w:rPr>
        <w:t xml:space="preserve"> </w:t>
      </w:r>
      <w:r w:rsidRPr="00420922">
        <w:rPr>
          <w:lang w:val="en-GB"/>
        </w:rPr>
        <w:t>regression models</w:t>
      </w:r>
      <w:r w:rsidR="002F4534">
        <w:rPr>
          <w:lang w:val="en-GB"/>
        </w:rPr>
        <w:t xml:space="preserve">. In that case, </w:t>
      </w:r>
      <w:r w:rsidRPr="00420922">
        <w:rPr>
          <w:lang w:val="en-GB"/>
        </w:rPr>
        <w:t>model</w:t>
      </w:r>
      <w:r w:rsidR="00CC1BC1">
        <w:rPr>
          <w:lang w:val="en-GB"/>
        </w:rPr>
        <w:t>s</w:t>
      </w:r>
      <w:r w:rsidRPr="00420922">
        <w:rPr>
          <w:lang w:val="en-GB"/>
        </w:rPr>
        <w:t xml:space="preserve"> </w:t>
      </w:r>
      <w:proofErr w:type="gramStart"/>
      <w:r w:rsidRPr="00420922">
        <w:rPr>
          <w:lang w:val="en-GB"/>
        </w:rPr>
        <w:t>were meant</w:t>
      </w:r>
      <w:proofErr w:type="gramEnd"/>
      <w:r w:rsidRPr="00420922">
        <w:rPr>
          <w:lang w:val="en-GB"/>
        </w:rPr>
        <w:t xml:space="preserve"> to define a data envelopment of possible operational energy performance, approximating simulation output.</w:t>
      </w:r>
      <w:r w:rsidR="002F4534">
        <w:rPr>
          <w:lang w:val="en-GB"/>
        </w:rPr>
        <w:t xml:space="preserve"> It </w:t>
      </w:r>
      <w:proofErr w:type="gramStart"/>
      <w:r w:rsidR="002F4534">
        <w:rPr>
          <w:lang w:val="en-GB"/>
        </w:rPr>
        <w:t>was shown</w:t>
      </w:r>
      <w:proofErr w:type="gramEnd"/>
      <w:r w:rsidR="002F4534">
        <w:rPr>
          <w:lang w:val="en-GB"/>
        </w:rPr>
        <w:t xml:space="preserve"> how 2 years of data were necessary to reach calibration and how the design assumption were to be revise</w:t>
      </w:r>
      <w:r w:rsidR="00CC1BC1">
        <w:rPr>
          <w:lang w:val="en-GB"/>
        </w:rPr>
        <w:t>d</w:t>
      </w:r>
      <w:r w:rsidR="002F4534">
        <w:rPr>
          <w:lang w:val="en-GB"/>
        </w:rPr>
        <w:t xml:space="preserve"> in order to match model prediction with measured</w:t>
      </w:r>
      <w:r>
        <w:rPr>
          <w:lang w:val="en-GB"/>
        </w:rPr>
        <w:t xml:space="preserve"> </w:t>
      </w:r>
      <w:r w:rsidR="002F4534">
        <w:rPr>
          <w:lang w:val="en-GB"/>
        </w:rPr>
        <w:t>data.</w:t>
      </w:r>
    </w:p>
    <w:p w:rsidR="002F4534" w:rsidRDefault="002F4534">
      <w:pPr>
        <w:jc w:val="both"/>
        <w:rPr>
          <w:spacing w:val="-3"/>
          <w:lang w:val="en-GB"/>
        </w:rPr>
      </w:pPr>
      <w:r w:rsidRPr="00420922">
        <w:rPr>
          <w:lang w:val="en-GB"/>
        </w:rPr>
        <w:t>Unlike previous research on this case study, a novel model formulation</w:t>
      </w:r>
      <w:r>
        <w:rPr>
          <w:lang w:val="en-GB"/>
        </w:rPr>
        <w:t xml:space="preserve"> </w:t>
      </w:r>
      <w:proofErr w:type="gramStart"/>
      <w:r>
        <w:rPr>
          <w:lang w:val="en-GB"/>
        </w:rPr>
        <w:t>is tested</w:t>
      </w:r>
      <w:proofErr w:type="gramEnd"/>
      <w:r>
        <w:rPr>
          <w:lang w:val="en-GB"/>
        </w:rPr>
        <w:t xml:space="preserve"> in this case</w:t>
      </w:r>
      <w:r w:rsidRPr="00420922">
        <w:rPr>
          <w:lang w:val="en-GB"/>
        </w:rPr>
        <w:t xml:space="preserve">, which </w:t>
      </w:r>
      <w:r>
        <w:rPr>
          <w:lang w:val="en-GB"/>
        </w:rPr>
        <w:t>has been presented</w:t>
      </w:r>
      <w:r w:rsidRPr="00420922">
        <w:rPr>
          <w:lang w:val="en-GB"/>
        </w:rPr>
        <w:t xml:space="preserve"> </w:t>
      </w:r>
      <w:r>
        <w:rPr>
          <w:lang w:val="en-GB"/>
        </w:rPr>
        <w:t xml:space="preserve">in </w:t>
      </w:r>
      <w:r w:rsidRPr="00420922">
        <w:rPr>
          <w:lang w:val="en-GB"/>
        </w:rPr>
        <w:t xml:space="preserve">Section </w:t>
      </w:r>
      <w:r>
        <w:rPr>
          <w:lang w:val="en-GB"/>
        </w:rPr>
        <w:t>4</w:t>
      </w:r>
      <w:r w:rsidRPr="00420922">
        <w:rPr>
          <w:lang w:val="en-GB"/>
        </w:rPr>
        <w:t>.</w:t>
      </w:r>
      <w:r>
        <w:rPr>
          <w:lang w:val="en-GB"/>
        </w:rPr>
        <w:t>1</w:t>
      </w:r>
      <w:r w:rsidRPr="00420922">
        <w:rPr>
          <w:lang w:val="en-GB"/>
        </w:rPr>
        <w:t>.</w:t>
      </w:r>
      <w:r>
        <w:rPr>
          <w:lang w:val="en-GB"/>
        </w:rPr>
        <w:t xml:space="preserve"> </w:t>
      </w:r>
      <w:r w:rsidRPr="005A5E37">
        <w:rPr>
          <w:lang w:val="en-GB"/>
        </w:rPr>
        <w:t>The monitoring period chosen for model training and calibration is 3</w:t>
      </w:r>
      <w:r w:rsidRPr="005A5E37">
        <w:rPr>
          <w:b/>
          <w:lang w:val="en-GB"/>
        </w:rPr>
        <w:t xml:space="preserve"> </w:t>
      </w:r>
      <w:r w:rsidRPr="005A5E37">
        <w:rPr>
          <w:lang w:val="en-GB"/>
        </w:rPr>
        <w:t>years</w:t>
      </w:r>
      <w:r>
        <w:rPr>
          <w:b/>
          <w:lang w:val="en-GB"/>
        </w:rPr>
        <w:t xml:space="preserve"> </w:t>
      </w:r>
      <w:r w:rsidRPr="005A5E37">
        <w:rPr>
          <w:lang w:val="en-GB"/>
        </w:rPr>
        <w:t>and</w:t>
      </w:r>
      <w:r w:rsidRPr="005A5E37">
        <w:rPr>
          <w:b/>
          <w:lang w:val="en-GB"/>
        </w:rPr>
        <w:t xml:space="preserve"> </w:t>
      </w:r>
      <w:r w:rsidRPr="005A5E37">
        <w:rPr>
          <w:spacing w:val="-3"/>
          <w:lang w:val="en-GB"/>
        </w:rPr>
        <w:t>the measured energy demand data</w:t>
      </w:r>
      <w:r>
        <w:rPr>
          <w:spacing w:val="-3"/>
          <w:lang w:val="en-GB"/>
        </w:rPr>
        <w:t xml:space="preserve">set </w:t>
      </w:r>
      <w:proofErr w:type="gramStart"/>
      <w:r>
        <w:rPr>
          <w:spacing w:val="-3"/>
          <w:lang w:val="en-GB"/>
        </w:rPr>
        <w:t>are reported</w:t>
      </w:r>
      <w:proofErr w:type="gramEnd"/>
      <w:r>
        <w:rPr>
          <w:spacing w:val="-3"/>
          <w:lang w:val="en-GB"/>
        </w:rPr>
        <w:t xml:space="preserve"> in Table 7.</w:t>
      </w:r>
    </w:p>
    <w:p w:rsidR="002F4534" w:rsidRPr="008B349B" w:rsidRDefault="002F4534">
      <w:pPr>
        <w:jc w:val="both"/>
        <w:rPr>
          <w:b/>
          <w:lang w:val="en-GB"/>
        </w:rPr>
      </w:pPr>
    </w:p>
    <w:p w:rsidR="002F4534" w:rsidRPr="008B349B" w:rsidRDefault="002F4534" w:rsidP="002F4534">
      <w:pPr>
        <w:jc w:val="center"/>
        <w:rPr>
          <w:i/>
          <w:color w:val="000000"/>
          <w:lang w:val="en-GB"/>
        </w:rPr>
      </w:pPr>
      <w:r w:rsidRPr="0042042F">
        <w:rPr>
          <w:i/>
          <w:color w:val="000000"/>
          <w:lang w:val="en-GB"/>
        </w:rPr>
        <w:t xml:space="preserve">Table </w:t>
      </w:r>
      <w:r w:rsidRPr="0042042F">
        <w:rPr>
          <w:i/>
          <w:lang w:val="en-GB"/>
        </w:rPr>
        <w:fldChar w:fldCharType="begin"/>
      </w:r>
      <w:r w:rsidRPr="0042042F">
        <w:rPr>
          <w:i/>
          <w:lang w:val="en-GB"/>
        </w:rPr>
        <w:instrText xml:space="preserve"> SEQ Table \* ARABIC </w:instrText>
      </w:r>
      <w:r w:rsidRPr="0042042F">
        <w:rPr>
          <w:i/>
          <w:lang w:val="en-GB"/>
        </w:rPr>
        <w:fldChar w:fldCharType="separate"/>
      </w:r>
      <w:r>
        <w:rPr>
          <w:i/>
          <w:noProof/>
          <w:lang w:val="en-GB"/>
        </w:rPr>
        <w:t>7</w:t>
      </w:r>
      <w:r w:rsidRPr="0042042F">
        <w:rPr>
          <w:i/>
          <w:lang w:val="en-GB"/>
        </w:rPr>
        <w:fldChar w:fldCharType="end"/>
      </w:r>
      <w:r w:rsidRPr="0042042F">
        <w:rPr>
          <w:i/>
          <w:color w:val="000000"/>
          <w:lang w:val="en-GB"/>
        </w:rPr>
        <w:t xml:space="preserve">: </w:t>
      </w:r>
      <w:r w:rsidRPr="008B349B">
        <w:rPr>
          <w:i/>
          <w:color w:val="000000"/>
          <w:lang w:val="en-GB"/>
        </w:rPr>
        <w:t>Dataset</w:t>
      </w:r>
      <w:r w:rsidRPr="0042042F">
        <w:rPr>
          <w:i/>
          <w:color w:val="000000"/>
          <w:lang w:val="en-GB"/>
        </w:rPr>
        <w:t>s</w:t>
      </w:r>
      <w:r w:rsidRPr="008B349B">
        <w:rPr>
          <w:i/>
          <w:color w:val="000000"/>
          <w:lang w:val="en-GB"/>
        </w:rPr>
        <w:t xml:space="preserve"> used in </w:t>
      </w:r>
      <w:r w:rsidRPr="0042042F">
        <w:rPr>
          <w:i/>
          <w:color w:val="000000"/>
          <w:lang w:val="en-GB"/>
        </w:rPr>
        <w:t>research</w:t>
      </w:r>
    </w:p>
    <w:tbl>
      <w:tblPr>
        <w:tblW w:w="0" w:type="auto"/>
        <w:jc w:val="center"/>
        <w:tblLayout w:type="fixed"/>
        <w:tblLook w:val="04A0" w:firstRow="1" w:lastRow="0" w:firstColumn="1" w:lastColumn="0" w:noHBand="0" w:noVBand="1"/>
      </w:tblPr>
      <w:tblGrid>
        <w:gridCol w:w="1417"/>
        <w:gridCol w:w="2071"/>
        <w:gridCol w:w="1191"/>
        <w:gridCol w:w="1700"/>
      </w:tblGrid>
      <w:tr w:rsidR="002F4534" w:rsidRPr="008B349B" w:rsidTr="002665A1">
        <w:trPr>
          <w:jc w:val="center"/>
        </w:trPr>
        <w:tc>
          <w:tcPr>
            <w:tcW w:w="1417" w:type="dxa"/>
            <w:tcBorders>
              <w:top w:val="single" w:sz="4" w:space="0" w:color="auto"/>
            </w:tcBorders>
            <w:shd w:val="clear" w:color="auto" w:fill="auto"/>
            <w:vAlign w:val="center"/>
          </w:tcPr>
          <w:p w:rsidR="002F4534" w:rsidRPr="0042042F" w:rsidRDefault="002F4534" w:rsidP="002665A1">
            <w:pPr>
              <w:pStyle w:val="table"/>
              <w:jc w:val="left"/>
              <w:rPr>
                <w:rFonts w:asciiTheme="majorBidi" w:hAnsiTheme="majorBidi" w:cstheme="majorBidi"/>
                <w:b/>
                <w:sz w:val="18"/>
                <w:szCs w:val="18"/>
                <w:lang w:eastAsia="en-GB"/>
              </w:rPr>
            </w:pPr>
            <w:r w:rsidRPr="0042042F">
              <w:rPr>
                <w:rFonts w:asciiTheme="majorBidi" w:hAnsiTheme="majorBidi" w:cstheme="majorBidi"/>
                <w:b/>
                <w:sz w:val="18"/>
                <w:szCs w:val="18"/>
                <w:lang w:eastAsia="en-GB"/>
              </w:rPr>
              <w:t>Dataset</w:t>
            </w:r>
          </w:p>
        </w:tc>
        <w:tc>
          <w:tcPr>
            <w:tcW w:w="2071" w:type="dxa"/>
            <w:tcBorders>
              <w:top w:val="single" w:sz="4" w:space="0" w:color="auto"/>
              <w:bottom w:val="single" w:sz="4" w:space="0" w:color="auto"/>
            </w:tcBorders>
            <w:shd w:val="clear" w:color="auto" w:fill="auto"/>
            <w:vAlign w:val="center"/>
          </w:tcPr>
          <w:p w:rsidR="002F4534" w:rsidRPr="0042042F" w:rsidRDefault="002F4534" w:rsidP="002665A1">
            <w:pPr>
              <w:pStyle w:val="table"/>
              <w:jc w:val="left"/>
              <w:rPr>
                <w:rFonts w:asciiTheme="majorBidi" w:hAnsiTheme="majorBidi" w:cstheme="majorBidi"/>
                <w:b/>
                <w:sz w:val="18"/>
                <w:szCs w:val="18"/>
                <w:lang w:eastAsia="en-GB"/>
              </w:rPr>
            </w:pPr>
            <w:r w:rsidRPr="0042042F">
              <w:rPr>
                <w:rFonts w:asciiTheme="majorBidi" w:hAnsiTheme="majorBidi" w:cstheme="majorBidi"/>
                <w:b/>
                <w:sz w:val="18"/>
                <w:szCs w:val="18"/>
                <w:lang w:eastAsia="en-GB"/>
              </w:rPr>
              <w:t>End-use</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b/>
                <w:sz w:val="18"/>
                <w:szCs w:val="18"/>
                <w:lang w:eastAsia="en-GB"/>
              </w:rPr>
            </w:pPr>
            <w:r w:rsidRPr="0042042F">
              <w:rPr>
                <w:rFonts w:asciiTheme="majorBidi" w:hAnsiTheme="majorBidi" w:cstheme="majorBidi"/>
                <w:b/>
                <w:sz w:val="18"/>
                <w:szCs w:val="18"/>
                <w:lang w:eastAsia="en-GB"/>
              </w:rPr>
              <w:t>Interval</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b/>
                <w:sz w:val="18"/>
                <w:szCs w:val="18"/>
                <w:lang w:eastAsia="en-GB"/>
              </w:rPr>
            </w:pPr>
            <w:r w:rsidRPr="0042042F">
              <w:rPr>
                <w:rFonts w:asciiTheme="majorBidi" w:hAnsiTheme="majorBidi" w:cstheme="majorBidi"/>
                <w:b/>
                <w:sz w:val="18"/>
                <w:szCs w:val="18"/>
                <w:lang w:eastAsia="en-GB"/>
              </w:rPr>
              <w:t>Monitoring period</w:t>
            </w:r>
          </w:p>
        </w:tc>
      </w:tr>
      <w:tr w:rsidR="002F4534" w:rsidRPr="008B349B" w:rsidTr="002665A1">
        <w:trPr>
          <w:jc w:val="center"/>
        </w:trPr>
        <w:tc>
          <w:tcPr>
            <w:tcW w:w="1417" w:type="dxa"/>
            <w:tcBorders>
              <w:top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Electric energy</w:t>
            </w:r>
          </w:p>
        </w:tc>
        <w:tc>
          <w:tcPr>
            <w:tcW w:w="2071" w:type="dxa"/>
            <w:tcBorders>
              <w:top w:val="single" w:sz="4" w:space="0" w:color="auto"/>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Total</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Monthly</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3 years</w:t>
            </w:r>
          </w:p>
        </w:tc>
      </w:tr>
      <w:tr w:rsidR="002F4534" w:rsidRPr="008B349B" w:rsidTr="002665A1">
        <w:trPr>
          <w:jc w:val="center"/>
        </w:trPr>
        <w:tc>
          <w:tcPr>
            <w:tcW w:w="1417" w:type="dxa"/>
            <w:shd w:val="clear" w:color="auto" w:fill="auto"/>
          </w:tcPr>
          <w:p w:rsidR="002F4534" w:rsidRPr="0042042F" w:rsidRDefault="002F4534" w:rsidP="002665A1">
            <w:pPr>
              <w:pStyle w:val="table"/>
              <w:jc w:val="left"/>
              <w:rPr>
                <w:rFonts w:asciiTheme="majorBidi" w:hAnsiTheme="majorBidi" w:cstheme="majorBidi"/>
                <w:sz w:val="18"/>
                <w:szCs w:val="18"/>
                <w:lang w:eastAsia="en-GB"/>
              </w:rPr>
            </w:pPr>
          </w:p>
        </w:tc>
        <w:tc>
          <w:tcPr>
            <w:tcW w:w="2071" w:type="dxa"/>
            <w:tcBorders>
              <w:top w:val="single" w:sz="4" w:space="0" w:color="auto"/>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HVAC, DHW</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Monthly</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3 years</w:t>
            </w:r>
          </w:p>
        </w:tc>
      </w:tr>
      <w:tr w:rsidR="002F4534" w:rsidRPr="008B349B" w:rsidTr="002665A1">
        <w:trPr>
          <w:jc w:val="center"/>
        </w:trPr>
        <w:tc>
          <w:tcPr>
            <w:tcW w:w="1417" w:type="dxa"/>
            <w:tcBorders>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p>
        </w:tc>
        <w:tc>
          <w:tcPr>
            <w:tcW w:w="2071" w:type="dxa"/>
            <w:tcBorders>
              <w:top w:val="single" w:sz="4" w:space="0" w:color="auto"/>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Appliances and lighting</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Monthly</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3 years</w:t>
            </w:r>
          </w:p>
        </w:tc>
      </w:tr>
      <w:tr w:rsidR="002F4534" w:rsidRPr="008B349B" w:rsidTr="002665A1">
        <w:trPr>
          <w:jc w:val="center"/>
        </w:trPr>
        <w:tc>
          <w:tcPr>
            <w:tcW w:w="1417" w:type="dxa"/>
            <w:tcBorders>
              <w:top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Thermal energy</w:t>
            </w:r>
          </w:p>
        </w:tc>
        <w:tc>
          <w:tcPr>
            <w:tcW w:w="2071" w:type="dxa"/>
            <w:tcBorders>
              <w:top w:val="single" w:sz="4" w:space="0" w:color="auto"/>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Heating</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Monthly</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3 years</w:t>
            </w:r>
          </w:p>
        </w:tc>
      </w:tr>
      <w:tr w:rsidR="002F4534" w:rsidRPr="008B349B" w:rsidTr="002665A1">
        <w:trPr>
          <w:trHeight w:val="70"/>
          <w:jc w:val="center"/>
        </w:trPr>
        <w:tc>
          <w:tcPr>
            <w:tcW w:w="1417" w:type="dxa"/>
            <w:tcBorders>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p>
        </w:tc>
        <w:tc>
          <w:tcPr>
            <w:tcW w:w="2071" w:type="dxa"/>
            <w:tcBorders>
              <w:top w:val="single" w:sz="4" w:space="0" w:color="auto"/>
              <w:bottom w:val="single" w:sz="4" w:space="0" w:color="auto"/>
            </w:tcBorders>
            <w:shd w:val="clear" w:color="auto" w:fill="auto"/>
          </w:tcPr>
          <w:p w:rsidR="002F4534" w:rsidRPr="0042042F" w:rsidRDefault="002F4534" w:rsidP="002665A1">
            <w:pPr>
              <w:pStyle w:val="table"/>
              <w:jc w:val="left"/>
              <w:rPr>
                <w:rFonts w:asciiTheme="majorBidi" w:hAnsiTheme="majorBidi" w:cstheme="majorBidi"/>
                <w:sz w:val="18"/>
                <w:szCs w:val="18"/>
                <w:lang w:eastAsia="en-GB"/>
              </w:rPr>
            </w:pPr>
            <w:r w:rsidRPr="0042042F">
              <w:rPr>
                <w:rFonts w:asciiTheme="majorBidi" w:hAnsiTheme="majorBidi" w:cstheme="majorBidi"/>
                <w:sz w:val="18"/>
                <w:szCs w:val="18"/>
              </w:rPr>
              <w:t>Cooling</w:t>
            </w:r>
          </w:p>
        </w:tc>
        <w:tc>
          <w:tcPr>
            <w:tcW w:w="1191"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Monthly</w:t>
            </w:r>
          </w:p>
        </w:tc>
        <w:tc>
          <w:tcPr>
            <w:tcW w:w="1700" w:type="dxa"/>
            <w:tcBorders>
              <w:top w:val="single" w:sz="4" w:space="0" w:color="auto"/>
              <w:bottom w:val="single" w:sz="4" w:space="0" w:color="auto"/>
            </w:tcBorders>
            <w:shd w:val="clear" w:color="auto" w:fill="auto"/>
            <w:vAlign w:val="center"/>
          </w:tcPr>
          <w:p w:rsidR="002F4534" w:rsidRPr="0042042F" w:rsidRDefault="002F4534" w:rsidP="002665A1">
            <w:pPr>
              <w:pStyle w:val="table"/>
              <w:rPr>
                <w:rFonts w:asciiTheme="majorBidi" w:hAnsiTheme="majorBidi" w:cstheme="majorBidi"/>
                <w:sz w:val="18"/>
                <w:szCs w:val="18"/>
                <w:lang w:eastAsia="en-GB"/>
              </w:rPr>
            </w:pPr>
            <w:r w:rsidRPr="0042042F">
              <w:rPr>
                <w:rFonts w:asciiTheme="majorBidi" w:hAnsiTheme="majorBidi" w:cstheme="majorBidi"/>
                <w:sz w:val="18"/>
                <w:szCs w:val="18"/>
                <w:lang w:eastAsia="en-GB"/>
              </w:rPr>
              <w:t>3 years</w:t>
            </w:r>
          </w:p>
        </w:tc>
      </w:tr>
    </w:tbl>
    <w:p w:rsidR="00B10592" w:rsidRDefault="00B10592" w:rsidP="00346F8C">
      <w:pPr>
        <w:jc w:val="both"/>
        <w:rPr>
          <w:lang w:val="en-GB"/>
        </w:rPr>
      </w:pPr>
    </w:p>
    <w:p w:rsidR="00420922" w:rsidRDefault="00420922" w:rsidP="00346F8C">
      <w:pPr>
        <w:jc w:val="both"/>
        <w:rPr>
          <w:lang w:val="en-GB"/>
        </w:rPr>
      </w:pPr>
    </w:p>
    <w:p w:rsidR="00E770E0" w:rsidRPr="00C36C26" w:rsidRDefault="000630BE" w:rsidP="00E770E0">
      <w:pPr>
        <w:pStyle w:val="Heading1"/>
      </w:pPr>
      <w:bookmarkStart w:id="21" w:name="_Toc98498000"/>
      <w:r>
        <w:t>Results and discussion</w:t>
      </w:r>
      <w:bookmarkEnd w:id="21"/>
    </w:p>
    <w:p w:rsidR="00F77B18" w:rsidRPr="00BD2AFA" w:rsidRDefault="00BA5985">
      <w:pPr>
        <w:jc w:val="both"/>
        <w:rPr>
          <w:lang w:val="en-GB"/>
        </w:rPr>
      </w:pPr>
      <w:r w:rsidRPr="00BA5985">
        <w:rPr>
          <w:lang w:val="en-GB"/>
        </w:rPr>
        <w:t xml:space="preserve">This study </w:t>
      </w:r>
      <w:r>
        <w:rPr>
          <w:lang w:val="en-GB"/>
        </w:rPr>
        <w:t>aims</w:t>
      </w:r>
      <w:r w:rsidRPr="00BA5985">
        <w:rPr>
          <w:lang w:val="en-GB"/>
        </w:rPr>
        <w:t xml:space="preserve"> the test, as </w:t>
      </w:r>
      <w:r>
        <w:rPr>
          <w:lang w:val="en-GB"/>
        </w:rPr>
        <w:t>introduced</w:t>
      </w:r>
      <w:r w:rsidRPr="00BA5985">
        <w:rPr>
          <w:lang w:val="en-GB"/>
        </w:rPr>
        <w:t xml:space="preserve"> in Section 4.1, a novel formulation of the regression-based approach used in previous research.</w:t>
      </w:r>
      <w:r>
        <w:rPr>
          <w:lang w:val="en-GB"/>
        </w:rPr>
        <w:t xml:space="preserve"> </w:t>
      </w:r>
      <w:r w:rsidR="00F77B18" w:rsidRPr="00903759">
        <w:rPr>
          <w:lang w:val="en-GB"/>
        </w:rPr>
        <w:t xml:space="preserve">This formulation </w:t>
      </w:r>
      <w:proofErr w:type="gramStart"/>
      <w:r w:rsidR="00F77B18" w:rsidRPr="00903759">
        <w:rPr>
          <w:lang w:val="en-GB"/>
        </w:rPr>
        <w:t>is proposed</w:t>
      </w:r>
      <w:proofErr w:type="gramEnd"/>
      <w:r w:rsidR="00F77B18" w:rsidRPr="00903759">
        <w:rPr>
          <w:lang w:val="en-GB"/>
        </w:rPr>
        <w:t xml:space="preserve"> with the goal of incorporating it into an interpretable data-driven building ener</w:t>
      </w:r>
      <w:r>
        <w:rPr>
          <w:lang w:val="en-GB"/>
        </w:rPr>
        <w:t>g</w:t>
      </w:r>
      <w:r w:rsidR="00F77B18" w:rsidRPr="00903759">
        <w:rPr>
          <w:lang w:val="en-GB"/>
        </w:rPr>
        <w:t>y modelling workflow that can supplement other state-of-the-art techniques and tools and evolve potentially into a system of interconnected model</w:t>
      </w:r>
      <w:r w:rsidR="00CC1BC1">
        <w:rPr>
          <w:lang w:val="en-GB"/>
        </w:rPr>
        <w:t>s</w:t>
      </w:r>
      <w:r w:rsidR="00F77B18" w:rsidRPr="00903759">
        <w:rPr>
          <w:lang w:val="en-GB"/>
        </w:rPr>
        <w:t xml:space="preserve">, </w:t>
      </w:r>
      <w:r>
        <w:rPr>
          <w:lang w:val="en-GB"/>
        </w:rPr>
        <w:t>leveraging</w:t>
      </w:r>
      <w:r w:rsidRPr="00903759">
        <w:rPr>
          <w:lang w:val="en-GB"/>
        </w:rPr>
        <w:t xml:space="preserve"> </w:t>
      </w:r>
      <w:r>
        <w:rPr>
          <w:lang w:val="en-GB"/>
        </w:rPr>
        <w:t>the</w:t>
      </w:r>
      <w:r w:rsidRPr="00903759">
        <w:rPr>
          <w:lang w:val="en-GB"/>
        </w:rPr>
        <w:t xml:space="preserve"> </w:t>
      </w:r>
      <w:r w:rsidR="00F77B18" w:rsidRPr="00903759">
        <w:rPr>
          <w:lang w:val="en-GB"/>
        </w:rPr>
        <w:t>fundamental features</w:t>
      </w:r>
      <w:r w:rsidR="00903759" w:rsidRPr="00BD2AFA">
        <w:rPr>
          <w:lang w:val="en-GB"/>
        </w:rPr>
        <w:t xml:space="preserve"> </w:t>
      </w:r>
      <w:r>
        <w:rPr>
          <w:lang w:val="en-GB"/>
        </w:rPr>
        <w:t>presented</w:t>
      </w:r>
      <w:r w:rsidR="00903759" w:rsidRPr="00BD2AFA">
        <w:rPr>
          <w:lang w:val="en-GB"/>
        </w:rPr>
        <w:t xml:space="preserve"> in Section 3</w:t>
      </w:r>
      <w:r w:rsidR="00F77B18" w:rsidRPr="00903759">
        <w:rPr>
          <w:lang w:val="en-GB"/>
        </w:rPr>
        <w:t xml:space="preserve">. </w:t>
      </w:r>
      <w:r w:rsidR="00903759" w:rsidRPr="00903759">
        <w:rPr>
          <w:lang w:val="en-GB"/>
        </w:rPr>
        <w:t xml:space="preserve">Section 6.1 discusses the results of model training from both a visual and numerical standpoint, </w:t>
      </w:r>
      <w:r w:rsidR="00F77B18" w:rsidRPr="00903759">
        <w:rPr>
          <w:lang w:val="en-GB"/>
        </w:rPr>
        <w:t>emphasiz</w:t>
      </w:r>
      <w:r w:rsidR="00903759" w:rsidRPr="00BD2AFA">
        <w:rPr>
          <w:lang w:val="en-GB"/>
        </w:rPr>
        <w:t>ing</w:t>
      </w:r>
      <w:r w:rsidR="00F77B18" w:rsidRPr="00903759">
        <w:rPr>
          <w:lang w:val="en-GB"/>
        </w:rPr>
        <w:t xml:space="preserve"> the importance of the "human-in-the-loop" approach for machine learning</w:t>
      </w:r>
      <w:r w:rsidR="001C14EB">
        <w:rPr>
          <w:lang w:val="en-GB"/>
        </w:rPr>
        <w:t xml:space="preserve"> </w:t>
      </w:r>
      <w:r w:rsidR="00F77B18" w:rsidRPr="00903759">
        <w:rPr>
          <w:lang w:val="en-GB"/>
        </w:rPr>
        <w:t xml:space="preserve">methods. </w:t>
      </w:r>
      <w:r>
        <w:rPr>
          <w:lang w:val="en-GB"/>
        </w:rPr>
        <w:t>After that</w:t>
      </w:r>
      <w:r w:rsidR="00F77B18" w:rsidRPr="00903759">
        <w:rPr>
          <w:lang w:val="en-GB"/>
        </w:rPr>
        <w:t xml:space="preserve">, in Section </w:t>
      </w:r>
      <w:r w:rsidR="00903759" w:rsidRPr="00BD2AFA">
        <w:rPr>
          <w:lang w:val="en-GB"/>
        </w:rPr>
        <w:t>6</w:t>
      </w:r>
      <w:r w:rsidR="00F77B18" w:rsidRPr="00903759">
        <w:rPr>
          <w:lang w:val="en-GB"/>
        </w:rPr>
        <w:t>.</w:t>
      </w:r>
      <w:r w:rsidR="00903759" w:rsidRPr="00BD2AFA">
        <w:rPr>
          <w:lang w:val="en-GB"/>
        </w:rPr>
        <w:t>2</w:t>
      </w:r>
      <w:r w:rsidR="00F77B18" w:rsidRPr="00903759">
        <w:rPr>
          <w:lang w:val="en-GB"/>
        </w:rPr>
        <w:t>, the limitations of the techniques at this stage</w:t>
      </w:r>
      <w:r w:rsidR="00903759" w:rsidRPr="00BD2AFA">
        <w:rPr>
          <w:lang w:val="en-GB"/>
        </w:rPr>
        <w:t xml:space="preserve"> </w:t>
      </w:r>
      <w:proofErr w:type="gramStart"/>
      <w:r w:rsidR="00903759" w:rsidRPr="00BD2AFA">
        <w:rPr>
          <w:lang w:val="en-GB"/>
        </w:rPr>
        <w:t>are discussed</w:t>
      </w:r>
      <w:proofErr w:type="gramEnd"/>
      <w:r w:rsidR="00903759" w:rsidRPr="00BD2AFA">
        <w:rPr>
          <w:lang w:val="en-GB"/>
        </w:rPr>
        <w:t xml:space="preserve"> and</w:t>
      </w:r>
      <w:r>
        <w:rPr>
          <w:lang w:val="en-GB"/>
        </w:rPr>
        <w:t xml:space="preserve"> finally</w:t>
      </w:r>
      <w:r w:rsidR="00903759" w:rsidRPr="00BD2AFA">
        <w:rPr>
          <w:lang w:val="en-GB"/>
        </w:rPr>
        <w:t xml:space="preserve"> </w:t>
      </w:r>
      <w:r w:rsidRPr="0042042F">
        <w:rPr>
          <w:lang w:val="en-GB"/>
        </w:rPr>
        <w:t>future research possibilities</w:t>
      </w:r>
      <w:r w:rsidRPr="00903759">
        <w:rPr>
          <w:lang w:val="en-GB"/>
        </w:rPr>
        <w:t xml:space="preserve"> </w:t>
      </w:r>
      <w:r>
        <w:rPr>
          <w:lang w:val="en-GB"/>
        </w:rPr>
        <w:t xml:space="preserve">are </w:t>
      </w:r>
      <w:r w:rsidR="00903759" w:rsidRPr="00BD2AFA">
        <w:rPr>
          <w:lang w:val="en-GB"/>
        </w:rPr>
        <w:t xml:space="preserve">presented in </w:t>
      </w:r>
      <w:r w:rsidR="00F77B18" w:rsidRPr="00903759">
        <w:rPr>
          <w:lang w:val="en-GB"/>
        </w:rPr>
        <w:t xml:space="preserve">Section </w:t>
      </w:r>
      <w:r w:rsidR="003D7E10">
        <w:rPr>
          <w:lang w:val="en-GB"/>
        </w:rPr>
        <w:t>7</w:t>
      </w:r>
      <w:r w:rsidR="00F77B18" w:rsidRPr="00903759">
        <w:rPr>
          <w:lang w:val="en-GB"/>
        </w:rPr>
        <w:t>.</w:t>
      </w:r>
    </w:p>
    <w:p w:rsidR="00E47A20" w:rsidRDefault="00E47A20" w:rsidP="00693599">
      <w:pPr>
        <w:tabs>
          <w:tab w:val="left" w:pos="-1134"/>
          <w:tab w:val="left" w:pos="-414"/>
        </w:tabs>
        <w:suppressAutoHyphens/>
        <w:jc w:val="both"/>
        <w:rPr>
          <w:spacing w:val="-3"/>
          <w:highlight w:val="yellow"/>
          <w:lang w:val="en-GB"/>
        </w:rPr>
      </w:pPr>
    </w:p>
    <w:p w:rsidR="00420466" w:rsidRPr="00DF7724" w:rsidRDefault="00B95D9D" w:rsidP="007B774A">
      <w:pPr>
        <w:pStyle w:val="Heading2"/>
        <w:rPr>
          <w:lang w:val="en-GB"/>
        </w:rPr>
      </w:pPr>
      <w:bookmarkStart w:id="22" w:name="_Toc97815716"/>
      <w:bookmarkStart w:id="23" w:name="_Toc97816767"/>
      <w:bookmarkStart w:id="24" w:name="_Toc97890590"/>
      <w:bookmarkStart w:id="25" w:name="_Toc98158617"/>
      <w:bookmarkStart w:id="26" w:name="_Toc98341609"/>
      <w:bookmarkStart w:id="27" w:name="_Toc98431536"/>
      <w:bookmarkStart w:id="28" w:name="_Toc98498001"/>
      <w:bookmarkStart w:id="29" w:name="_Toc97815717"/>
      <w:bookmarkStart w:id="30" w:name="_Toc97816768"/>
      <w:bookmarkStart w:id="31" w:name="_Toc97890591"/>
      <w:bookmarkStart w:id="32" w:name="_Toc98158618"/>
      <w:bookmarkStart w:id="33" w:name="_Toc98341610"/>
      <w:bookmarkStart w:id="34" w:name="_Toc98431537"/>
      <w:bookmarkStart w:id="35" w:name="_Toc98498002"/>
      <w:bookmarkStart w:id="36" w:name="_Toc97815718"/>
      <w:bookmarkStart w:id="37" w:name="_Toc97816769"/>
      <w:bookmarkStart w:id="38" w:name="_Toc97890592"/>
      <w:bookmarkStart w:id="39" w:name="_Toc98158619"/>
      <w:bookmarkStart w:id="40" w:name="_Toc98341611"/>
      <w:bookmarkStart w:id="41" w:name="_Toc98431538"/>
      <w:bookmarkStart w:id="42" w:name="_Toc98498003"/>
      <w:bookmarkStart w:id="43" w:name="_Toc97815719"/>
      <w:bookmarkStart w:id="44" w:name="_Toc97816770"/>
      <w:bookmarkStart w:id="45" w:name="_Toc97890593"/>
      <w:bookmarkStart w:id="46" w:name="_Toc98158620"/>
      <w:bookmarkStart w:id="47" w:name="_Toc98341612"/>
      <w:bookmarkStart w:id="48" w:name="_Toc98431539"/>
      <w:bookmarkStart w:id="49" w:name="_Toc98498004"/>
      <w:bookmarkStart w:id="50" w:name="_Toc97815720"/>
      <w:bookmarkStart w:id="51" w:name="_Toc97816771"/>
      <w:bookmarkStart w:id="52" w:name="_Toc97890594"/>
      <w:bookmarkStart w:id="53" w:name="_Toc98158621"/>
      <w:bookmarkStart w:id="54" w:name="_Toc98341613"/>
      <w:bookmarkStart w:id="55" w:name="_Toc98431540"/>
      <w:bookmarkStart w:id="56" w:name="_Toc98498005"/>
      <w:bookmarkStart w:id="57" w:name="_Toc97815721"/>
      <w:bookmarkStart w:id="58" w:name="_Toc97816772"/>
      <w:bookmarkStart w:id="59" w:name="_Toc97890595"/>
      <w:bookmarkStart w:id="60" w:name="_Toc98158622"/>
      <w:bookmarkStart w:id="61" w:name="_Toc98341614"/>
      <w:bookmarkStart w:id="62" w:name="_Toc98431541"/>
      <w:bookmarkStart w:id="63" w:name="_Toc98498006"/>
      <w:bookmarkStart w:id="64" w:name="_Toc97815722"/>
      <w:bookmarkStart w:id="65" w:name="_Toc97816773"/>
      <w:bookmarkStart w:id="66" w:name="_Toc97890596"/>
      <w:bookmarkStart w:id="67" w:name="_Toc98158623"/>
      <w:bookmarkStart w:id="68" w:name="_Toc98341615"/>
      <w:bookmarkStart w:id="69" w:name="_Toc98431542"/>
      <w:bookmarkStart w:id="70" w:name="_Toc98498007"/>
      <w:bookmarkStart w:id="71" w:name="_Toc97815723"/>
      <w:bookmarkStart w:id="72" w:name="_Toc97816774"/>
      <w:bookmarkStart w:id="73" w:name="_Toc97890597"/>
      <w:bookmarkStart w:id="74" w:name="_Toc98158624"/>
      <w:bookmarkStart w:id="75" w:name="_Toc98341616"/>
      <w:bookmarkStart w:id="76" w:name="_Toc98431543"/>
      <w:bookmarkStart w:id="77" w:name="_Toc98498008"/>
      <w:bookmarkStart w:id="78" w:name="_Toc97815724"/>
      <w:bookmarkStart w:id="79" w:name="_Toc97816775"/>
      <w:bookmarkStart w:id="80" w:name="_Toc97890598"/>
      <w:bookmarkStart w:id="81" w:name="_Toc98158625"/>
      <w:bookmarkStart w:id="82" w:name="_Toc98341617"/>
      <w:bookmarkStart w:id="83" w:name="_Toc98431544"/>
      <w:bookmarkStart w:id="84" w:name="_Toc98498009"/>
      <w:bookmarkStart w:id="85" w:name="_Toc97815725"/>
      <w:bookmarkStart w:id="86" w:name="_Toc97816776"/>
      <w:bookmarkStart w:id="87" w:name="_Toc97890599"/>
      <w:bookmarkStart w:id="88" w:name="_Toc98158626"/>
      <w:bookmarkStart w:id="89" w:name="_Toc98341618"/>
      <w:bookmarkStart w:id="90" w:name="_Toc98431545"/>
      <w:bookmarkStart w:id="91" w:name="_Toc98498010"/>
      <w:bookmarkStart w:id="92" w:name="_Toc97815726"/>
      <w:bookmarkStart w:id="93" w:name="_Toc97816777"/>
      <w:bookmarkStart w:id="94" w:name="_Toc97890600"/>
      <w:bookmarkStart w:id="95" w:name="_Toc98158627"/>
      <w:bookmarkStart w:id="96" w:name="_Toc98341619"/>
      <w:bookmarkStart w:id="97" w:name="_Toc98431546"/>
      <w:bookmarkStart w:id="98" w:name="_Toc98498011"/>
      <w:bookmarkStart w:id="99" w:name="_Toc97815727"/>
      <w:bookmarkStart w:id="100" w:name="_Toc97816778"/>
      <w:bookmarkStart w:id="101" w:name="_Toc97890601"/>
      <w:bookmarkStart w:id="102" w:name="_Toc98158628"/>
      <w:bookmarkStart w:id="103" w:name="_Toc98341620"/>
      <w:bookmarkStart w:id="104" w:name="_Toc98431547"/>
      <w:bookmarkStart w:id="105" w:name="_Toc98498012"/>
      <w:bookmarkStart w:id="106" w:name="_Toc97815736"/>
      <w:bookmarkStart w:id="107" w:name="_Toc97816787"/>
      <w:bookmarkStart w:id="108" w:name="_Toc97890610"/>
      <w:bookmarkStart w:id="109" w:name="_Toc98158637"/>
      <w:bookmarkStart w:id="110" w:name="_Toc98341629"/>
      <w:bookmarkStart w:id="111" w:name="_Toc98431556"/>
      <w:bookmarkStart w:id="112" w:name="_Toc98498021"/>
      <w:bookmarkStart w:id="113" w:name="_Toc97815744"/>
      <w:bookmarkStart w:id="114" w:name="_Toc97816795"/>
      <w:bookmarkStart w:id="115" w:name="_Toc97890618"/>
      <w:bookmarkStart w:id="116" w:name="_Toc98158645"/>
      <w:bookmarkStart w:id="117" w:name="_Toc98341637"/>
      <w:bookmarkStart w:id="118" w:name="_Toc98431564"/>
      <w:bookmarkStart w:id="119" w:name="_Toc98498029"/>
      <w:bookmarkStart w:id="120" w:name="_Toc97815752"/>
      <w:bookmarkStart w:id="121" w:name="_Toc97816803"/>
      <w:bookmarkStart w:id="122" w:name="_Toc97890626"/>
      <w:bookmarkStart w:id="123" w:name="_Toc98158653"/>
      <w:bookmarkStart w:id="124" w:name="_Toc98341645"/>
      <w:bookmarkStart w:id="125" w:name="_Toc98431572"/>
      <w:bookmarkStart w:id="126" w:name="_Toc98498037"/>
      <w:bookmarkStart w:id="127" w:name="_Toc97815756"/>
      <w:bookmarkStart w:id="128" w:name="_Toc97816807"/>
      <w:bookmarkStart w:id="129" w:name="_Toc97890630"/>
      <w:bookmarkStart w:id="130" w:name="_Toc98158657"/>
      <w:bookmarkStart w:id="131" w:name="_Toc98341649"/>
      <w:bookmarkStart w:id="132" w:name="_Toc98431576"/>
      <w:bookmarkStart w:id="133" w:name="_Toc98498041"/>
      <w:bookmarkStart w:id="134" w:name="_Toc97815757"/>
      <w:bookmarkStart w:id="135" w:name="_Toc97816808"/>
      <w:bookmarkStart w:id="136" w:name="_Toc97890631"/>
      <w:bookmarkStart w:id="137" w:name="_Toc98158658"/>
      <w:bookmarkStart w:id="138" w:name="_Toc98341650"/>
      <w:bookmarkStart w:id="139" w:name="_Toc98431577"/>
      <w:bookmarkStart w:id="140" w:name="_Toc98498042"/>
      <w:bookmarkStart w:id="141" w:name="_Toc97815766"/>
      <w:bookmarkStart w:id="142" w:name="_Toc97816817"/>
      <w:bookmarkStart w:id="143" w:name="_Toc97890640"/>
      <w:bookmarkStart w:id="144" w:name="_Toc98158667"/>
      <w:bookmarkStart w:id="145" w:name="_Toc98341659"/>
      <w:bookmarkStart w:id="146" w:name="_Toc98431586"/>
      <w:bookmarkStart w:id="147" w:name="_Toc98498051"/>
      <w:bookmarkStart w:id="148" w:name="_Toc97815774"/>
      <w:bookmarkStart w:id="149" w:name="_Toc97816825"/>
      <w:bookmarkStart w:id="150" w:name="_Toc97890648"/>
      <w:bookmarkStart w:id="151" w:name="_Toc98158675"/>
      <w:bookmarkStart w:id="152" w:name="_Toc98341667"/>
      <w:bookmarkStart w:id="153" w:name="_Toc98431594"/>
      <w:bookmarkStart w:id="154" w:name="_Toc98498059"/>
      <w:bookmarkStart w:id="155" w:name="_Toc97815782"/>
      <w:bookmarkStart w:id="156" w:name="_Toc97816833"/>
      <w:bookmarkStart w:id="157" w:name="_Toc97890656"/>
      <w:bookmarkStart w:id="158" w:name="_Toc98158683"/>
      <w:bookmarkStart w:id="159" w:name="_Toc98341675"/>
      <w:bookmarkStart w:id="160" w:name="_Toc98431602"/>
      <w:bookmarkStart w:id="161" w:name="_Toc98498067"/>
      <w:bookmarkStart w:id="162" w:name="_Toc97815786"/>
      <w:bookmarkStart w:id="163" w:name="_Toc97816837"/>
      <w:bookmarkStart w:id="164" w:name="_Toc97890660"/>
      <w:bookmarkStart w:id="165" w:name="_Toc98158687"/>
      <w:bookmarkStart w:id="166" w:name="_Toc98341679"/>
      <w:bookmarkStart w:id="167" w:name="_Toc98431606"/>
      <w:bookmarkStart w:id="168" w:name="_Toc98498071"/>
      <w:bookmarkStart w:id="169" w:name="_Toc97815787"/>
      <w:bookmarkStart w:id="170" w:name="_Toc97816838"/>
      <w:bookmarkStart w:id="171" w:name="_Toc97890661"/>
      <w:bookmarkStart w:id="172" w:name="_Toc98158688"/>
      <w:bookmarkStart w:id="173" w:name="_Toc98341680"/>
      <w:bookmarkStart w:id="174" w:name="_Toc98431607"/>
      <w:bookmarkStart w:id="175" w:name="_Toc98498072"/>
      <w:bookmarkStart w:id="176" w:name="_Toc97815788"/>
      <w:bookmarkStart w:id="177" w:name="_Toc97816839"/>
      <w:bookmarkStart w:id="178" w:name="_Toc97890662"/>
      <w:bookmarkStart w:id="179" w:name="_Toc98158689"/>
      <w:bookmarkStart w:id="180" w:name="_Toc98341681"/>
      <w:bookmarkStart w:id="181" w:name="_Toc98431608"/>
      <w:bookmarkStart w:id="182" w:name="_Toc98498073"/>
      <w:bookmarkStart w:id="183" w:name="_Toc97815789"/>
      <w:bookmarkStart w:id="184" w:name="_Toc97816840"/>
      <w:bookmarkStart w:id="185" w:name="_Toc97890663"/>
      <w:bookmarkStart w:id="186" w:name="_Toc98158690"/>
      <w:bookmarkStart w:id="187" w:name="_Toc98341682"/>
      <w:bookmarkStart w:id="188" w:name="_Toc98431609"/>
      <w:bookmarkStart w:id="189" w:name="_Toc98498074"/>
      <w:bookmarkStart w:id="190" w:name="_Toc97815802"/>
      <w:bookmarkStart w:id="191" w:name="_Toc97816853"/>
      <w:bookmarkStart w:id="192" w:name="_Toc97890676"/>
      <w:bookmarkStart w:id="193" w:name="_Toc98158703"/>
      <w:bookmarkStart w:id="194" w:name="_Toc98341695"/>
      <w:bookmarkStart w:id="195" w:name="_Toc98431622"/>
      <w:bookmarkStart w:id="196" w:name="_Toc98498087"/>
      <w:bookmarkStart w:id="197" w:name="_Toc97815814"/>
      <w:bookmarkStart w:id="198" w:name="_Toc97816865"/>
      <w:bookmarkStart w:id="199" w:name="_Toc97890688"/>
      <w:bookmarkStart w:id="200" w:name="_Toc98158715"/>
      <w:bookmarkStart w:id="201" w:name="_Toc98341707"/>
      <w:bookmarkStart w:id="202" w:name="_Toc98431634"/>
      <w:bookmarkStart w:id="203" w:name="_Toc98498099"/>
      <w:bookmarkStart w:id="204" w:name="_Toc97815820"/>
      <w:bookmarkStart w:id="205" w:name="_Toc97816871"/>
      <w:bookmarkStart w:id="206" w:name="_Toc97890694"/>
      <w:bookmarkStart w:id="207" w:name="_Toc98158721"/>
      <w:bookmarkStart w:id="208" w:name="_Toc98341713"/>
      <w:bookmarkStart w:id="209" w:name="_Toc98431640"/>
      <w:bookmarkStart w:id="210" w:name="_Toc98498105"/>
      <w:bookmarkStart w:id="211" w:name="_Toc97815821"/>
      <w:bookmarkStart w:id="212" w:name="_Toc97816872"/>
      <w:bookmarkStart w:id="213" w:name="_Toc97890695"/>
      <w:bookmarkStart w:id="214" w:name="_Toc98158722"/>
      <w:bookmarkStart w:id="215" w:name="_Toc98341714"/>
      <w:bookmarkStart w:id="216" w:name="_Toc98431641"/>
      <w:bookmarkStart w:id="217" w:name="_Toc98498106"/>
      <w:bookmarkStart w:id="218" w:name="_Toc97815822"/>
      <w:bookmarkStart w:id="219" w:name="_Toc97816873"/>
      <w:bookmarkStart w:id="220" w:name="_Toc97890696"/>
      <w:bookmarkStart w:id="221" w:name="_Toc98158723"/>
      <w:bookmarkStart w:id="222" w:name="_Toc98341715"/>
      <w:bookmarkStart w:id="223" w:name="_Toc98431642"/>
      <w:bookmarkStart w:id="224" w:name="_Toc98498107"/>
      <w:bookmarkStart w:id="225" w:name="_Toc984981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DF7724">
        <w:rPr>
          <w:lang w:val="en-GB"/>
        </w:rPr>
        <w:t>Model training and calibration</w:t>
      </w:r>
      <w:bookmarkEnd w:id="225"/>
    </w:p>
    <w:p w:rsidR="00903759" w:rsidRDefault="00903759">
      <w:pPr>
        <w:tabs>
          <w:tab w:val="left" w:pos="-1134"/>
          <w:tab w:val="left" w:pos="-414"/>
        </w:tabs>
        <w:suppressAutoHyphens/>
        <w:jc w:val="both"/>
        <w:rPr>
          <w:spacing w:val="-3"/>
          <w:lang w:val="en-GB"/>
        </w:rPr>
      </w:pPr>
      <w:r w:rsidRPr="00903759">
        <w:rPr>
          <w:spacing w:val="-3"/>
          <w:lang w:val="en-GB"/>
        </w:rPr>
        <w:t xml:space="preserve">The </w:t>
      </w:r>
      <w:r>
        <w:rPr>
          <w:spacing w:val="-3"/>
          <w:lang w:val="en-GB"/>
        </w:rPr>
        <w:t xml:space="preserve">data-driven energy modelling process </w:t>
      </w:r>
      <w:proofErr w:type="gramStart"/>
      <w:r w:rsidRPr="00903759">
        <w:rPr>
          <w:spacing w:val="-3"/>
          <w:lang w:val="en-GB"/>
        </w:rPr>
        <w:t>is presented</w:t>
      </w:r>
      <w:proofErr w:type="gramEnd"/>
      <w:r w:rsidRPr="00903759">
        <w:rPr>
          <w:spacing w:val="-3"/>
          <w:lang w:val="en-GB"/>
        </w:rPr>
        <w:t xml:space="preserve"> in this </w:t>
      </w:r>
      <w:r>
        <w:rPr>
          <w:spacing w:val="-3"/>
          <w:lang w:val="en-GB"/>
        </w:rPr>
        <w:t>S</w:t>
      </w:r>
      <w:r w:rsidRPr="00903759">
        <w:rPr>
          <w:spacing w:val="-3"/>
          <w:lang w:val="en-GB"/>
        </w:rPr>
        <w:t>ection, beginning with regression models fitted to energy signature data, for the various types of energy demands considered in this research, namely:</w:t>
      </w:r>
    </w:p>
    <w:p w:rsidR="00F177C3" w:rsidRPr="00F177C3" w:rsidRDefault="00F177C3" w:rsidP="00F177C3">
      <w:pPr>
        <w:pStyle w:val="ListParagraph"/>
        <w:numPr>
          <w:ilvl w:val="0"/>
          <w:numId w:val="11"/>
        </w:numPr>
        <w:tabs>
          <w:tab w:val="left" w:pos="-1134"/>
          <w:tab w:val="left" w:pos="-414"/>
        </w:tabs>
        <w:suppressAutoHyphens/>
        <w:spacing w:after="0" w:line="240" w:lineRule="auto"/>
        <w:jc w:val="both"/>
        <w:rPr>
          <w:rFonts w:asciiTheme="majorBidi" w:hAnsiTheme="majorBidi" w:cstheme="majorBidi"/>
          <w:spacing w:val="-3"/>
          <w:sz w:val="24"/>
          <w:szCs w:val="24"/>
        </w:rPr>
      </w:pPr>
      <w:r w:rsidRPr="00F177C3">
        <w:rPr>
          <w:rFonts w:asciiTheme="majorBidi" w:hAnsiTheme="majorBidi" w:cstheme="majorBidi"/>
          <w:spacing w:val="-3"/>
          <w:sz w:val="24"/>
          <w:szCs w:val="24"/>
        </w:rPr>
        <w:t>total electricity demand;</w:t>
      </w:r>
    </w:p>
    <w:p w:rsidR="00F177C3" w:rsidRPr="00F177C3" w:rsidRDefault="00F177C3" w:rsidP="00F177C3">
      <w:pPr>
        <w:pStyle w:val="ListParagraph"/>
        <w:numPr>
          <w:ilvl w:val="0"/>
          <w:numId w:val="11"/>
        </w:numPr>
        <w:tabs>
          <w:tab w:val="left" w:pos="-1134"/>
          <w:tab w:val="left" w:pos="-414"/>
        </w:tabs>
        <w:suppressAutoHyphens/>
        <w:spacing w:after="0" w:line="240" w:lineRule="auto"/>
        <w:jc w:val="both"/>
        <w:rPr>
          <w:rFonts w:asciiTheme="majorBidi" w:hAnsiTheme="majorBidi" w:cstheme="majorBidi"/>
          <w:spacing w:val="-3"/>
          <w:sz w:val="24"/>
          <w:szCs w:val="24"/>
        </w:rPr>
      </w:pPr>
      <w:r w:rsidRPr="00F177C3">
        <w:rPr>
          <w:rFonts w:asciiTheme="majorBidi" w:hAnsiTheme="majorBidi" w:cstheme="majorBidi"/>
          <w:spacing w:val="-3"/>
          <w:sz w:val="24"/>
          <w:szCs w:val="24"/>
        </w:rPr>
        <w:t>electricity demand for HVAC and DHW;</w:t>
      </w:r>
    </w:p>
    <w:p w:rsidR="00F177C3" w:rsidRPr="00F177C3" w:rsidRDefault="00F177C3" w:rsidP="00F177C3">
      <w:pPr>
        <w:pStyle w:val="ListParagraph"/>
        <w:numPr>
          <w:ilvl w:val="0"/>
          <w:numId w:val="11"/>
        </w:numPr>
        <w:tabs>
          <w:tab w:val="left" w:pos="-1134"/>
          <w:tab w:val="left" w:pos="-414"/>
        </w:tabs>
        <w:suppressAutoHyphens/>
        <w:spacing w:after="0" w:line="240" w:lineRule="auto"/>
        <w:jc w:val="both"/>
        <w:rPr>
          <w:rFonts w:asciiTheme="majorBidi" w:hAnsiTheme="majorBidi" w:cstheme="majorBidi"/>
          <w:spacing w:val="-3"/>
          <w:sz w:val="24"/>
          <w:szCs w:val="24"/>
        </w:rPr>
      </w:pPr>
      <w:r w:rsidRPr="00F177C3">
        <w:rPr>
          <w:rFonts w:asciiTheme="majorBidi" w:hAnsiTheme="majorBidi" w:cstheme="majorBidi"/>
          <w:spacing w:val="-3"/>
          <w:sz w:val="24"/>
          <w:szCs w:val="24"/>
        </w:rPr>
        <w:t>electricity demand for appliances and lighting;</w:t>
      </w:r>
    </w:p>
    <w:p w:rsidR="00F177C3" w:rsidRPr="00F177C3" w:rsidRDefault="00F177C3" w:rsidP="00F177C3">
      <w:pPr>
        <w:pStyle w:val="ListParagraph"/>
        <w:numPr>
          <w:ilvl w:val="0"/>
          <w:numId w:val="11"/>
        </w:numPr>
        <w:tabs>
          <w:tab w:val="left" w:pos="-1134"/>
          <w:tab w:val="left" w:pos="-414"/>
        </w:tabs>
        <w:suppressAutoHyphens/>
        <w:spacing w:after="0" w:line="240" w:lineRule="auto"/>
        <w:jc w:val="both"/>
        <w:rPr>
          <w:rFonts w:asciiTheme="majorBidi" w:hAnsiTheme="majorBidi" w:cstheme="majorBidi"/>
          <w:spacing w:val="-3"/>
          <w:sz w:val="24"/>
          <w:szCs w:val="24"/>
        </w:rPr>
      </w:pPr>
      <w:r w:rsidRPr="00F177C3">
        <w:rPr>
          <w:rFonts w:asciiTheme="majorBidi" w:hAnsiTheme="majorBidi" w:cstheme="majorBidi"/>
          <w:spacing w:val="-3"/>
          <w:sz w:val="24"/>
          <w:szCs w:val="24"/>
        </w:rPr>
        <w:lastRenderedPageBreak/>
        <w:t>thermal demand for heating;</w:t>
      </w:r>
    </w:p>
    <w:p w:rsidR="00F177C3" w:rsidRPr="00F177C3" w:rsidRDefault="00F177C3" w:rsidP="00F177C3">
      <w:pPr>
        <w:pStyle w:val="ListParagraph"/>
        <w:numPr>
          <w:ilvl w:val="0"/>
          <w:numId w:val="11"/>
        </w:numPr>
        <w:tabs>
          <w:tab w:val="left" w:pos="-1134"/>
          <w:tab w:val="left" w:pos="-414"/>
        </w:tabs>
        <w:suppressAutoHyphens/>
        <w:spacing w:after="0" w:line="240" w:lineRule="auto"/>
        <w:jc w:val="both"/>
        <w:rPr>
          <w:rFonts w:asciiTheme="majorBidi" w:hAnsiTheme="majorBidi" w:cstheme="majorBidi"/>
          <w:spacing w:val="-3"/>
          <w:sz w:val="24"/>
          <w:szCs w:val="24"/>
        </w:rPr>
      </w:pPr>
      <w:proofErr w:type="gramStart"/>
      <w:r w:rsidRPr="00F177C3">
        <w:rPr>
          <w:rFonts w:asciiTheme="majorBidi" w:hAnsiTheme="majorBidi" w:cstheme="majorBidi"/>
          <w:spacing w:val="-3"/>
          <w:sz w:val="24"/>
          <w:szCs w:val="24"/>
        </w:rPr>
        <w:t>thermal</w:t>
      </w:r>
      <w:proofErr w:type="gramEnd"/>
      <w:r w:rsidRPr="00F177C3">
        <w:rPr>
          <w:rFonts w:asciiTheme="majorBidi" w:hAnsiTheme="majorBidi" w:cstheme="majorBidi"/>
          <w:spacing w:val="-3"/>
          <w:sz w:val="24"/>
          <w:szCs w:val="24"/>
        </w:rPr>
        <w:t xml:space="preserve"> demand for cooling.</w:t>
      </w:r>
    </w:p>
    <w:p w:rsidR="00F177C3" w:rsidRDefault="00F177C3" w:rsidP="00314B5D">
      <w:pPr>
        <w:tabs>
          <w:tab w:val="left" w:pos="-1134"/>
          <w:tab w:val="left" w:pos="-414"/>
        </w:tabs>
        <w:suppressAutoHyphens/>
        <w:jc w:val="both"/>
        <w:rPr>
          <w:spacing w:val="-3"/>
          <w:lang w:val="en-GB"/>
        </w:rPr>
      </w:pPr>
    </w:p>
    <w:p w:rsidR="00F177C3" w:rsidRDefault="00F177C3">
      <w:pPr>
        <w:tabs>
          <w:tab w:val="left" w:pos="-1134"/>
          <w:tab w:val="left" w:pos="-414"/>
        </w:tabs>
        <w:suppressAutoHyphens/>
        <w:jc w:val="both"/>
        <w:rPr>
          <w:spacing w:val="-3"/>
          <w:lang w:val="en-GB"/>
        </w:rPr>
      </w:pPr>
      <w:r w:rsidRPr="00F177C3">
        <w:rPr>
          <w:spacing w:val="-3"/>
          <w:lang w:val="en-GB"/>
        </w:rPr>
        <w:t>As introduced in Section 3, energy signature is calculated by dividing the original energy data by the amount of operating hours in the interval considered, thereby determining an average power value for the interval of analysis (monthly in the case, for 36 months, 3 years).</w:t>
      </w:r>
      <w:r w:rsidRPr="00314B5D">
        <w:rPr>
          <w:spacing w:val="-3"/>
          <w:lang w:val="en-GB"/>
        </w:rPr>
        <w:t xml:space="preserve"> </w:t>
      </w:r>
      <w:r w:rsidR="00314B5D" w:rsidRPr="00314B5D">
        <w:rPr>
          <w:spacing w:val="-3"/>
          <w:lang w:val="en-GB"/>
        </w:rPr>
        <w:t>Then, measured and predicted energy demand</w:t>
      </w:r>
      <w:r w:rsidR="00B51221">
        <w:rPr>
          <w:spacing w:val="-3"/>
          <w:lang w:val="en-GB"/>
        </w:rPr>
        <w:t xml:space="preserve"> </w:t>
      </w:r>
      <w:proofErr w:type="gramStart"/>
      <w:r w:rsidR="00B51221">
        <w:rPr>
          <w:spacing w:val="-3"/>
          <w:lang w:val="en-GB"/>
        </w:rPr>
        <w:t>is compared</w:t>
      </w:r>
      <w:proofErr w:type="gramEnd"/>
      <w:r w:rsidR="00314B5D" w:rsidRPr="00314B5D">
        <w:rPr>
          <w:spacing w:val="-3"/>
          <w:lang w:val="en-GB"/>
        </w:rPr>
        <w:t xml:space="preserve"> by multiplying the energy signature by the number of operating hours in the specific time interval of analysis.</w:t>
      </w:r>
    </w:p>
    <w:p w:rsidR="00D54B13" w:rsidRDefault="00314B5D">
      <w:pPr>
        <w:tabs>
          <w:tab w:val="left" w:pos="-1134"/>
          <w:tab w:val="left" w:pos="-414"/>
        </w:tabs>
        <w:suppressAutoHyphens/>
        <w:jc w:val="both"/>
        <w:rPr>
          <w:lang w:val="en-GB"/>
        </w:rPr>
      </w:pPr>
      <w:r w:rsidRPr="00314B5D">
        <w:rPr>
          <w:spacing w:val="-3"/>
          <w:lang w:val="en-GB"/>
        </w:rPr>
        <w:t xml:space="preserve">The comparison </w:t>
      </w:r>
      <w:proofErr w:type="gramStart"/>
      <w:r w:rsidRPr="00314B5D">
        <w:rPr>
          <w:spacing w:val="-3"/>
          <w:lang w:val="en-GB"/>
        </w:rPr>
        <w:t>is performed</w:t>
      </w:r>
      <w:proofErr w:type="gramEnd"/>
      <w:r w:rsidRPr="00314B5D">
        <w:rPr>
          <w:spacing w:val="-3"/>
          <w:lang w:val="en-GB"/>
        </w:rPr>
        <w:t xml:space="preserve"> both numerically and visually, considering thresholds of statistical indicators representing the goodness of fit of models (i.e. indicating practical limits for their acceptability)</w:t>
      </w:r>
      <w:r w:rsidR="00F177C3">
        <w:rPr>
          <w:spacing w:val="-3"/>
          <w:lang w:val="en-GB"/>
        </w:rPr>
        <w:t xml:space="preserve">, reported in </w:t>
      </w:r>
      <w:r w:rsidR="00F177C3" w:rsidRPr="003D7E10">
        <w:rPr>
          <w:spacing w:val="-3"/>
          <w:lang w:val="en-GB"/>
        </w:rPr>
        <w:t xml:space="preserve">Table 5 in Section </w:t>
      </w:r>
      <w:r w:rsidR="003D7E10" w:rsidRPr="003D7E10">
        <w:rPr>
          <w:spacing w:val="-3"/>
          <w:lang w:val="en-GB"/>
        </w:rPr>
        <w:t>4</w:t>
      </w:r>
      <w:r w:rsidR="00F177C3" w:rsidRPr="003D7E10">
        <w:rPr>
          <w:spacing w:val="-3"/>
          <w:lang w:val="en-GB"/>
        </w:rPr>
        <w:t>.</w:t>
      </w:r>
      <w:r w:rsidR="003D7E10" w:rsidRPr="003D7E10">
        <w:rPr>
          <w:spacing w:val="-3"/>
          <w:lang w:val="en-GB"/>
        </w:rPr>
        <w:t>2</w:t>
      </w:r>
      <w:r w:rsidRPr="003D7E10">
        <w:rPr>
          <w:spacing w:val="-3"/>
          <w:lang w:val="en-GB"/>
        </w:rPr>
        <w:t>.</w:t>
      </w:r>
      <w:r w:rsidRPr="00314B5D">
        <w:rPr>
          <w:spacing w:val="-3"/>
          <w:lang w:val="en-GB"/>
        </w:rPr>
        <w:t xml:space="preserve"> T</w:t>
      </w:r>
      <w:r w:rsidRPr="00314B5D">
        <w:rPr>
          <w:lang w:val="en-GB"/>
        </w:rPr>
        <w:t>he regression models developed are independent on the specific weather data used, as weather data are the independent variables (air temperature and solar radiation in this case</w:t>
      </w:r>
      <w:r w:rsidR="00F177C3">
        <w:rPr>
          <w:lang w:val="en-GB"/>
        </w:rPr>
        <w:t>, for the reasons described in the introduction and in Section 3</w:t>
      </w:r>
      <w:r w:rsidRPr="00314B5D">
        <w:rPr>
          <w:lang w:val="en-GB"/>
        </w:rPr>
        <w:t>), while the</w:t>
      </w:r>
      <w:r w:rsidR="00F177C3">
        <w:rPr>
          <w:lang w:val="en-GB"/>
        </w:rPr>
        <w:t xml:space="preserve"> energy signature</w:t>
      </w:r>
      <w:r w:rsidRPr="00314B5D">
        <w:rPr>
          <w:lang w:val="en-GB"/>
        </w:rPr>
        <w:t xml:space="preserve"> </w:t>
      </w:r>
      <w:r w:rsidR="00F177C3">
        <w:rPr>
          <w:lang w:val="en-GB"/>
        </w:rPr>
        <w:t xml:space="preserve">(i.e. </w:t>
      </w:r>
      <w:r w:rsidRPr="00314B5D">
        <w:rPr>
          <w:lang w:val="en-GB"/>
        </w:rPr>
        <w:t>average power</w:t>
      </w:r>
      <w:r w:rsidR="00F177C3">
        <w:rPr>
          <w:lang w:val="en-GB"/>
        </w:rPr>
        <w:t xml:space="preserve"> over the time interval)</w:t>
      </w:r>
      <w:r w:rsidRPr="00314B5D">
        <w:rPr>
          <w:lang w:val="en-GB"/>
        </w:rPr>
        <w:t xml:space="preserve"> is the dependent variable. </w:t>
      </w:r>
    </w:p>
    <w:p w:rsidR="00D91374" w:rsidRDefault="00D91374" w:rsidP="00314B5D">
      <w:pPr>
        <w:tabs>
          <w:tab w:val="left" w:pos="-1134"/>
          <w:tab w:val="left" w:pos="-414"/>
        </w:tabs>
        <w:suppressAutoHyphens/>
        <w:jc w:val="both"/>
        <w:rPr>
          <w:spacing w:val="-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253F1" w:rsidRPr="00F177C3" w:rsidTr="00BD2AFA">
        <w:trPr>
          <w:trHeight w:val="3679"/>
        </w:trPr>
        <w:tc>
          <w:tcPr>
            <w:tcW w:w="4247" w:type="dxa"/>
          </w:tcPr>
          <w:p w:rsidR="005253F1" w:rsidRPr="00F177C3" w:rsidRDefault="008541C7" w:rsidP="00C23A31">
            <w:pPr>
              <w:jc w:val="center"/>
              <w:rPr>
                <w:lang w:val="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05pt;height:206.65pt">
                  <v:imagedata r:id="rId9" o:title="1"/>
                </v:shape>
              </w:pict>
            </w:r>
          </w:p>
        </w:tc>
        <w:tc>
          <w:tcPr>
            <w:tcW w:w="4247" w:type="dxa"/>
          </w:tcPr>
          <w:p w:rsidR="005253F1" w:rsidRPr="00F177C3" w:rsidRDefault="008541C7" w:rsidP="0060174D">
            <w:pPr>
              <w:jc w:val="center"/>
              <w:rPr>
                <w:lang w:val="en-GB"/>
              </w:rPr>
            </w:pPr>
            <w:r>
              <w:pict>
                <v:shape id="_x0000_i1026" type="#_x0000_t75" style="width:199.15pt;height:205.7pt">
                  <v:imagedata r:id="rId10" o:title="1"/>
                </v:shape>
              </w:pict>
            </w:r>
          </w:p>
        </w:tc>
      </w:tr>
      <w:tr w:rsidR="005253F1" w:rsidRPr="00F177C3" w:rsidTr="00BD2AFA">
        <w:trPr>
          <w:trHeight w:val="3679"/>
        </w:trPr>
        <w:tc>
          <w:tcPr>
            <w:tcW w:w="4247" w:type="dxa"/>
          </w:tcPr>
          <w:p w:rsidR="005253F1" w:rsidRPr="00F177C3" w:rsidRDefault="008541C7" w:rsidP="005253F1">
            <w:pPr>
              <w:jc w:val="center"/>
              <w:rPr>
                <w:lang w:val="en-GB"/>
              </w:rPr>
            </w:pPr>
            <w:r>
              <w:pict>
                <v:shape id="_x0000_i1027" type="#_x0000_t75" style="width:194.5pt;height:198.25pt">
                  <v:imagedata r:id="rId11" o:title="1"/>
                </v:shape>
              </w:pict>
            </w:r>
          </w:p>
        </w:tc>
        <w:tc>
          <w:tcPr>
            <w:tcW w:w="4247" w:type="dxa"/>
          </w:tcPr>
          <w:p w:rsidR="005253F1" w:rsidRPr="00F177C3" w:rsidRDefault="008541C7" w:rsidP="005253F1">
            <w:pPr>
              <w:jc w:val="center"/>
              <w:rPr>
                <w:lang w:val="en-GB"/>
              </w:rPr>
            </w:pPr>
            <w:r>
              <w:pict>
                <v:shape id="_x0000_i1028" type="#_x0000_t75" style="width:198.25pt;height:195.45pt">
                  <v:imagedata r:id="rId12" o:title="1"/>
                </v:shape>
              </w:pict>
            </w:r>
          </w:p>
        </w:tc>
      </w:tr>
    </w:tbl>
    <w:p w:rsidR="00D91374" w:rsidRDefault="00D91374" w:rsidP="00D91374">
      <w:pPr>
        <w:jc w:val="center"/>
        <w:rPr>
          <w:spacing w:val="-3"/>
          <w:lang w:val="en-GB"/>
        </w:rPr>
      </w:pPr>
      <w:r w:rsidRPr="005A4664">
        <w:rPr>
          <w:i/>
          <w:color w:val="000000"/>
          <w:lang w:val="en-GB"/>
        </w:rPr>
        <w:t xml:space="preserve">Figure </w:t>
      </w:r>
      <w:r w:rsidRPr="005A4664">
        <w:rPr>
          <w:i/>
          <w:lang w:val="en-GB"/>
        </w:rPr>
        <w:fldChar w:fldCharType="begin"/>
      </w:r>
      <w:r w:rsidRPr="005A4664">
        <w:rPr>
          <w:i/>
          <w:lang w:val="en-GB"/>
        </w:rPr>
        <w:instrText xml:space="preserve"> SEQ Figure \* ARABIC </w:instrText>
      </w:r>
      <w:r w:rsidRPr="005A4664">
        <w:rPr>
          <w:i/>
          <w:lang w:val="en-GB"/>
        </w:rPr>
        <w:fldChar w:fldCharType="separate"/>
      </w:r>
      <w:r w:rsidR="00F324A0">
        <w:rPr>
          <w:i/>
          <w:noProof/>
          <w:lang w:val="en-GB"/>
        </w:rPr>
        <w:t>2</w:t>
      </w:r>
      <w:r w:rsidRPr="005A4664">
        <w:rPr>
          <w:i/>
          <w:lang w:val="en-GB"/>
        </w:rPr>
        <w:fldChar w:fldCharType="end"/>
      </w:r>
      <w:r w:rsidRPr="005A4664">
        <w:rPr>
          <w:i/>
          <w:color w:val="000000"/>
          <w:lang w:val="en-GB"/>
        </w:rPr>
        <w:t>: Electricity and thermal demand signature – monthly values</w:t>
      </w:r>
      <w:r w:rsidR="005235B4">
        <w:rPr>
          <w:i/>
          <w:color w:val="000000"/>
          <w:lang w:val="en-GB"/>
        </w:rPr>
        <w:t>, model type 1 on the left, model type 2 on the right</w:t>
      </w:r>
    </w:p>
    <w:p w:rsidR="00464C05" w:rsidRDefault="00464C05" w:rsidP="0066571B">
      <w:pPr>
        <w:tabs>
          <w:tab w:val="left" w:pos="-1134"/>
          <w:tab w:val="left" w:pos="-414"/>
        </w:tabs>
        <w:suppressAutoHyphens/>
        <w:jc w:val="both"/>
        <w:rPr>
          <w:lang w:val="en-GB"/>
        </w:rPr>
      </w:pPr>
    </w:p>
    <w:p w:rsidR="009D0D7E" w:rsidRDefault="00464C05">
      <w:pPr>
        <w:tabs>
          <w:tab w:val="left" w:pos="-1134"/>
          <w:tab w:val="left" w:pos="-414"/>
        </w:tabs>
        <w:suppressAutoHyphens/>
        <w:jc w:val="both"/>
        <w:rPr>
          <w:spacing w:val="-2"/>
          <w:highlight w:val="yellow"/>
          <w:lang w:val="en-GB"/>
        </w:rPr>
      </w:pPr>
      <w:r w:rsidRPr="00FC5F62">
        <w:rPr>
          <w:lang w:val="en-GB"/>
        </w:rPr>
        <w:t xml:space="preserve">In </w:t>
      </w:r>
      <w:r>
        <w:rPr>
          <w:lang w:val="en-GB"/>
        </w:rPr>
        <w:t>Figure</w:t>
      </w:r>
      <w:r w:rsidRPr="00FC5F62">
        <w:rPr>
          <w:lang w:val="en-GB"/>
        </w:rPr>
        <w:t xml:space="preserve"> </w:t>
      </w:r>
      <w:r>
        <w:rPr>
          <w:lang w:val="en-GB"/>
        </w:rPr>
        <w:t>2</w:t>
      </w:r>
      <w:r w:rsidRPr="00FC5F62">
        <w:rPr>
          <w:lang w:val="en-GB"/>
        </w:rPr>
        <w:t xml:space="preserve"> energy signatures of electricity demands (above) and thermal demands (below)</w:t>
      </w:r>
      <w:r>
        <w:rPr>
          <w:lang w:val="en-GB"/>
        </w:rPr>
        <w:t xml:space="preserve"> are represented</w:t>
      </w:r>
      <w:r w:rsidRPr="00FC5F62">
        <w:rPr>
          <w:lang w:val="en-GB"/>
        </w:rPr>
        <w:t xml:space="preserve"> as a function of outdoor air temperature because it represents the </w:t>
      </w:r>
      <w:r w:rsidRPr="00FC5F62">
        <w:rPr>
          <w:lang w:val="en-GB"/>
        </w:rPr>
        <w:lastRenderedPageBreak/>
        <w:t xml:space="preserve">most relevant variable for weather normalization and is frequently used as the only variable in regression-based approaches (i.e. temperature response functions </w:t>
      </w:r>
      <w:r w:rsidRPr="00FC5F62">
        <w:fldChar w:fldCharType="begin" w:fldLock="1"/>
      </w:r>
      <w:r>
        <w:rPr>
          <w:lang w:val="en-GB"/>
        </w:rPr>
        <w:instrText>ADDIN CSL_CITATION { "citationItems" : [ { "id" : "ITEM-1", "itemData" : { "DOI" : "https://doi.org/10.1016/j.uclim.2016.01.001", "ISSN" : "2212-0955", "abstract" : "Climate is a major influence on residential energy demand and energy demand patterns. A better understanding of the link between climate and energy demand responses is crucial to improve energy forecasting outcomes and to evaluate the potential of climate change adaptation strategies. This paper reviews models of residential energy demand to temperature. We classify the models used in papers published in peer-reviewed journals and observe that the credibility of energy demand projections hinges in part on the assumption that the shape and type of the temperature response function is stationary. The evidence of acclimatization to warmer conditions may oppose this assumption. While the studies reviewed here only tested the impact of changes in the temperature thresholds and the shape of temperature response functions, a comprehensive understanding of changes in energy demand patterns and climate adaptation potentials requires knowledge of building stock turnover rates and associated changes in technology and behavioral responses of building occupants. These are not yet part of the standard repertoire of temperature-based demand models.", "author" : [ { "dropping-particle" : "", "family" : "Fazeli", "given" : "Reza", "non-dropping-particle" : "", "parse-names" : false, "suffix" : "" }, { "dropping-particle" : "", "family" : "Ruth", "given" : "Matthias", "non-dropping-particle" : "", "parse-names" : false, "suffix" : "" }, { "dropping-particle" : "", "family" : "Davidsdottir", "given" : "Brynhildur", "non-dropping-particle" : "", "parse-names" : false, "suffix" : "" } ], "container-title" : "Urban Climate", "id" : "ITEM-1", "issued" : { "date-parts" : [ [ "2016" ] ] }, "page" : "45-59", "title" : "Temperature response functions for residential energy demand \u2013 A review of models", "type" : "article-journal", "volume" : "15" }, "uris" : [ "http://www.mendeley.com/documents/?uuid=4ddc57c2-5a2b-4880-a22a-8c69d041e5c3" ] } ], "mendeley" : { "formattedCitation" : "[12]", "plainTextFormattedCitation" : "[12]", "previouslyFormattedCitation" : "[12]" }, "properties" : { "noteIndex" : 0 }, "schema" : "https://github.com/citation-style-language/schema/raw/master/csl-citation.json" }</w:instrText>
      </w:r>
      <w:r w:rsidRPr="00FC5F62">
        <w:fldChar w:fldCharType="separate"/>
      </w:r>
      <w:r w:rsidRPr="00FC5F62">
        <w:rPr>
          <w:noProof/>
          <w:lang w:val="en-GB"/>
        </w:rPr>
        <w:t>[12]</w:t>
      </w:r>
      <w:r w:rsidRPr="00FC5F62">
        <w:fldChar w:fldCharType="end"/>
      </w:r>
      <w:r w:rsidRPr="00FC5F62">
        <w:rPr>
          <w:lang w:val="en-GB"/>
        </w:rPr>
        <w:t>), as explained in the introduction and Section 3.</w:t>
      </w:r>
      <w:r>
        <w:rPr>
          <w:lang w:val="en-GB"/>
        </w:rPr>
        <w:t xml:space="preserve"> The results of regression models type 1 (illustrated in Table 3, Section 4.1) are reported on the left, while the ones of regression models type 2 (illustrated in Table 4, Section 4.1) on the right. Model type 1 is clearly a simple piecewise linear model (points are on straight lines, with change-points) as a function of 1 input variable, outdoor air temperature, while model type 2 points are more scattered and able to approximate the measured data even better.</w:t>
      </w:r>
    </w:p>
    <w:p w:rsidR="00D54B13" w:rsidRDefault="00D54B13" w:rsidP="00D54B13">
      <w:pPr>
        <w:tabs>
          <w:tab w:val="left" w:pos="-1134"/>
          <w:tab w:val="left" w:pos="-414"/>
        </w:tabs>
        <w:suppressAutoHyphens/>
        <w:jc w:val="both"/>
        <w:rPr>
          <w:spacing w:val="-2"/>
          <w:lang w:val="en-GB"/>
        </w:rPr>
      </w:pPr>
      <w:r>
        <w:rPr>
          <w:lang w:val="en-GB"/>
        </w:rPr>
        <w:t>Furthermore, c</w:t>
      </w:r>
      <w:r>
        <w:rPr>
          <w:spacing w:val="-2"/>
          <w:lang w:val="en-GB"/>
        </w:rPr>
        <w:t xml:space="preserve">onsidering the change-points (i.e. the balance point temperatures for heating and cooling respectively) of the piecewise linear model type 1, an alternative visualization of the thermal demand for heating and cooling can be provided, using variable-based degree-days </w:t>
      </w:r>
      <w:r>
        <w:rPr>
          <w:spacing w:val="-2"/>
          <w:lang w:val="en-GB"/>
        </w:rPr>
        <w:fldChar w:fldCharType="begin" w:fldLock="1"/>
      </w:r>
      <w:r w:rsidR="006A236D">
        <w:rPr>
          <w:spacing w:val="-2"/>
          <w:lang w:val="en-GB"/>
        </w:rPr>
        <w:instrText>ADDIN CSL_CITATION { "citationItems" : [ { "id" : "ITEM-1", "itemData" : { "id" : "ITEM-1", "issued" : { "date-parts" : [ [ "0" ] ] }, "title" : "ISO 15927-6:2007 Hygrothermal performance of buildings \u2014 Calculation and presentation of climatic data \u2014 Part 6: Accumulated temperature differences (degree-days)", "type" : "article" }, "uris" : [ "http://www.mendeley.com/documents/?uuid=7680507c-40a2-4252-808f-38254f788d5b" ] } ], "mendeley" : { "formattedCitation" : "[35]", "plainTextFormattedCitation" : "[35]", "previouslyFormattedCitation" : "[35]" }, "properties" : { "noteIndex" : 0 }, "schema" : "https://github.com/citation-style-language/schema/raw/master/csl-citation.json" }</w:instrText>
      </w:r>
      <w:r>
        <w:rPr>
          <w:spacing w:val="-2"/>
          <w:lang w:val="en-GB"/>
        </w:rPr>
        <w:fldChar w:fldCharType="separate"/>
      </w:r>
      <w:r w:rsidR="0023172C" w:rsidRPr="0023172C">
        <w:rPr>
          <w:noProof/>
          <w:spacing w:val="-2"/>
          <w:lang w:val="en-GB"/>
        </w:rPr>
        <w:t>[35]</w:t>
      </w:r>
      <w:r>
        <w:rPr>
          <w:spacing w:val="-2"/>
          <w:lang w:val="en-GB"/>
        </w:rPr>
        <w:fldChar w:fldCharType="end"/>
      </w:r>
      <w:r>
        <w:rPr>
          <w:spacing w:val="-2"/>
          <w:lang w:val="en-GB"/>
        </w:rPr>
        <w:t>, computed on a monthly base, in Figure 3. This visualization also confirms in general the goodness of fit of the models presented.</w:t>
      </w:r>
    </w:p>
    <w:p w:rsidR="00D54B13" w:rsidRDefault="00D54B13" w:rsidP="0066571B">
      <w:pPr>
        <w:tabs>
          <w:tab w:val="left" w:pos="-1134"/>
          <w:tab w:val="left" w:pos="-414"/>
        </w:tabs>
        <w:suppressAutoHyphens/>
        <w:jc w:val="both"/>
        <w:rPr>
          <w:spacing w:val="-2"/>
          <w:highlight w:val="yellow"/>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9D0D7E" w:rsidRPr="00F177C3" w:rsidTr="00BD2AFA">
        <w:trPr>
          <w:trHeight w:val="3679"/>
        </w:trPr>
        <w:tc>
          <w:tcPr>
            <w:tcW w:w="4247" w:type="dxa"/>
          </w:tcPr>
          <w:p w:rsidR="009D0D7E" w:rsidRPr="00F177C3" w:rsidRDefault="0060174D" w:rsidP="003F1861">
            <w:pPr>
              <w:jc w:val="center"/>
              <w:rPr>
                <w:lang w:val="en-GB"/>
              </w:rPr>
            </w:pPr>
            <w:r>
              <w:rPr>
                <w:noProof/>
                <w:lang w:val="en-GB" w:eastAsia="zh-CN"/>
              </w:rPr>
              <w:drawing>
                <wp:inline distT="0" distB="0" distL="0" distR="0">
                  <wp:extent cx="2552065" cy="2360295"/>
                  <wp:effectExtent l="0" t="0" r="635" b="1905"/>
                  <wp:docPr id="1" name="Picture 1" descr="C:\Users\mm1a17\AppData\Local\Microsoft\Windows\INetCache\Content.Word\2.1_HDD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m1a17\AppData\Local\Microsoft\Windows\INetCache\Content.Word\2.1_HDD_cro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065" cy="2360295"/>
                          </a:xfrm>
                          <a:prstGeom prst="rect">
                            <a:avLst/>
                          </a:prstGeom>
                          <a:noFill/>
                          <a:ln>
                            <a:noFill/>
                          </a:ln>
                        </pic:spPr>
                      </pic:pic>
                    </a:graphicData>
                  </a:graphic>
                </wp:inline>
              </w:drawing>
            </w:r>
          </w:p>
        </w:tc>
        <w:tc>
          <w:tcPr>
            <w:tcW w:w="4247" w:type="dxa"/>
          </w:tcPr>
          <w:p w:rsidR="009D0D7E" w:rsidRPr="00F177C3" w:rsidRDefault="008541C7" w:rsidP="00FF6B2B">
            <w:pPr>
              <w:jc w:val="center"/>
              <w:rPr>
                <w:lang w:val="en-GB"/>
              </w:rPr>
            </w:pPr>
            <w:r>
              <w:pict>
                <v:shape id="_x0000_i1029" type="#_x0000_t75" style="width:201.05pt;height:187.95pt">
                  <v:imagedata r:id="rId14" o:title="2"/>
                </v:shape>
              </w:pict>
            </w:r>
          </w:p>
        </w:tc>
      </w:tr>
    </w:tbl>
    <w:p w:rsidR="009D0D7E" w:rsidRDefault="009D0D7E" w:rsidP="009D0D7E">
      <w:pPr>
        <w:jc w:val="center"/>
        <w:rPr>
          <w:spacing w:val="-3"/>
          <w:lang w:val="en-GB"/>
        </w:rPr>
      </w:pPr>
      <w:r w:rsidRPr="005A4664">
        <w:rPr>
          <w:i/>
          <w:color w:val="000000"/>
          <w:lang w:val="en-GB"/>
        </w:rPr>
        <w:t xml:space="preserve">Figure </w:t>
      </w:r>
      <w:r w:rsidRPr="005A4664">
        <w:rPr>
          <w:i/>
          <w:lang w:val="en-GB"/>
        </w:rPr>
        <w:fldChar w:fldCharType="begin"/>
      </w:r>
      <w:r w:rsidRPr="005A4664">
        <w:rPr>
          <w:i/>
          <w:lang w:val="en-GB"/>
        </w:rPr>
        <w:instrText xml:space="preserve"> SEQ Figure \* ARABIC </w:instrText>
      </w:r>
      <w:r w:rsidRPr="005A4664">
        <w:rPr>
          <w:i/>
          <w:lang w:val="en-GB"/>
        </w:rPr>
        <w:fldChar w:fldCharType="separate"/>
      </w:r>
      <w:r w:rsidR="00F324A0">
        <w:rPr>
          <w:i/>
          <w:noProof/>
          <w:lang w:val="en-GB"/>
        </w:rPr>
        <w:t>3</w:t>
      </w:r>
      <w:r w:rsidRPr="005A4664">
        <w:rPr>
          <w:i/>
          <w:lang w:val="en-GB"/>
        </w:rPr>
        <w:fldChar w:fldCharType="end"/>
      </w:r>
      <w:r w:rsidRPr="005A4664">
        <w:rPr>
          <w:i/>
          <w:color w:val="000000"/>
          <w:lang w:val="en-GB"/>
        </w:rPr>
        <w:t xml:space="preserve">: </w:t>
      </w:r>
      <w:r>
        <w:rPr>
          <w:i/>
          <w:color w:val="000000"/>
          <w:lang w:val="en-GB"/>
        </w:rPr>
        <w:t>Thermal energy demand</w:t>
      </w:r>
      <w:r w:rsidRPr="005A4664">
        <w:rPr>
          <w:i/>
          <w:color w:val="000000"/>
          <w:lang w:val="en-GB"/>
        </w:rPr>
        <w:t xml:space="preserve"> – </w:t>
      </w:r>
      <w:r>
        <w:rPr>
          <w:i/>
          <w:color w:val="000000"/>
          <w:lang w:val="en-GB"/>
        </w:rPr>
        <w:t>Variable-base degree-days</w:t>
      </w:r>
      <w:r w:rsidR="005235B4">
        <w:rPr>
          <w:i/>
          <w:color w:val="000000"/>
          <w:lang w:val="en-GB"/>
        </w:rPr>
        <w:t>, heating demand on the left, cooling demand on the right</w:t>
      </w:r>
    </w:p>
    <w:p w:rsidR="003916E4" w:rsidRDefault="003916E4" w:rsidP="0066571B">
      <w:pPr>
        <w:tabs>
          <w:tab w:val="left" w:pos="-1134"/>
          <w:tab w:val="left" w:pos="-414"/>
        </w:tabs>
        <w:suppressAutoHyphens/>
        <w:jc w:val="both"/>
        <w:rPr>
          <w:spacing w:val="-3"/>
          <w:highlight w:val="yellow"/>
          <w:lang w:val="en-GB"/>
        </w:rPr>
      </w:pPr>
    </w:p>
    <w:p w:rsidR="000A1FE3" w:rsidRDefault="005F5267">
      <w:pPr>
        <w:tabs>
          <w:tab w:val="left" w:pos="-1134"/>
          <w:tab w:val="left" w:pos="-414"/>
        </w:tabs>
        <w:suppressAutoHyphens/>
        <w:jc w:val="both"/>
        <w:rPr>
          <w:spacing w:val="-2"/>
          <w:lang w:val="en-GB"/>
        </w:rPr>
      </w:pPr>
      <w:proofErr w:type="gramStart"/>
      <w:r w:rsidRPr="00314B5D">
        <w:rPr>
          <w:spacing w:val="-2"/>
          <w:lang w:val="en-GB"/>
        </w:rPr>
        <w:t>The model formulation</w:t>
      </w:r>
      <w:r>
        <w:rPr>
          <w:spacing w:val="-2"/>
          <w:lang w:val="en-GB"/>
        </w:rPr>
        <w:t>s</w:t>
      </w:r>
      <w:r w:rsidRPr="00314B5D">
        <w:rPr>
          <w:spacing w:val="-2"/>
          <w:lang w:val="en-GB"/>
        </w:rPr>
        <w:t xml:space="preserve"> (obtained as the sum of the sub-models</w:t>
      </w:r>
      <w:r>
        <w:rPr>
          <w:spacing w:val="-2"/>
          <w:lang w:val="en-GB"/>
        </w:rPr>
        <w:t>, using dummy variables</w:t>
      </w:r>
      <w:r w:rsidRPr="00314B5D">
        <w:rPr>
          <w:spacing w:val="-2"/>
          <w:lang w:val="en-GB"/>
        </w:rPr>
        <w:t xml:space="preserve">) presented in Table </w:t>
      </w:r>
      <w:r>
        <w:rPr>
          <w:spacing w:val="-2"/>
          <w:lang w:val="en-GB"/>
        </w:rPr>
        <w:t>3 and 4 respectively for model type 1 and type 2, are</w:t>
      </w:r>
      <w:r w:rsidRPr="00314B5D">
        <w:rPr>
          <w:spacing w:val="-2"/>
          <w:lang w:val="en-GB"/>
        </w:rPr>
        <w:t xml:space="preserve"> able to fit all the five different datasets (total electricity, electricity for HVAC and DHW, electricity for appliances and lighting, thermal demand for heating, thermal demand for cooling) </w:t>
      </w:r>
      <w:r w:rsidR="002822B9">
        <w:rPr>
          <w:spacing w:val="-2"/>
          <w:lang w:val="en-GB"/>
        </w:rPr>
        <w:t xml:space="preserve">reasonably well, as indicated in Tables </w:t>
      </w:r>
      <w:r w:rsidR="00B92F2D">
        <w:rPr>
          <w:spacing w:val="-2"/>
          <w:lang w:val="en-GB"/>
        </w:rPr>
        <w:t xml:space="preserve">8 </w:t>
      </w:r>
      <w:r w:rsidR="002822B9">
        <w:rPr>
          <w:spacing w:val="-2"/>
          <w:lang w:val="en-GB"/>
        </w:rPr>
        <w:t xml:space="preserve">and </w:t>
      </w:r>
      <w:r w:rsidR="00B92F2D">
        <w:rPr>
          <w:spacing w:val="-2"/>
          <w:lang w:val="en-GB"/>
        </w:rPr>
        <w:t>9</w:t>
      </w:r>
      <w:r w:rsidR="002822B9">
        <w:rPr>
          <w:spacing w:val="-2"/>
          <w:lang w:val="en-GB"/>
        </w:rPr>
        <w:t>, again respectively for model type 1 and type 2.</w:t>
      </w:r>
      <w:proofErr w:type="gramEnd"/>
      <w:r w:rsidR="002822B9">
        <w:rPr>
          <w:spacing w:val="-2"/>
          <w:lang w:val="en-GB"/>
        </w:rPr>
        <w:t xml:space="preserve"> In general, </w:t>
      </w:r>
      <w:r w:rsidRPr="00314B5D">
        <w:rPr>
          <w:i/>
          <w:iCs/>
          <w:spacing w:val="-2"/>
          <w:lang w:val="en-GB"/>
        </w:rPr>
        <w:t>R</w:t>
      </w:r>
      <w:r w:rsidRPr="00314B5D">
        <w:rPr>
          <w:i/>
          <w:iCs/>
          <w:spacing w:val="-2"/>
          <w:vertAlign w:val="superscript"/>
          <w:lang w:val="en-GB"/>
        </w:rPr>
        <w:t>2</w:t>
      </w:r>
      <w:r w:rsidR="002822B9">
        <w:rPr>
          <w:i/>
          <w:iCs/>
          <w:spacing w:val="-2"/>
          <w:lang w:val="en-GB"/>
        </w:rPr>
        <w:t xml:space="preserve"> </w:t>
      </w:r>
      <w:r w:rsidR="002822B9" w:rsidRPr="002822B9">
        <w:rPr>
          <w:iCs/>
          <w:spacing w:val="-2"/>
          <w:lang w:val="en-GB"/>
        </w:rPr>
        <w:t>values</w:t>
      </w:r>
      <w:r w:rsidR="002822B9">
        <w:rPr>
          <w:spacing w:val="-2"/>
          <w:lang w:val="en-GB"/>
        </w:rPr>
        <w:t xml:space="preserve"> are high in all cases (&gt; 80 %), with the notable exception </w:t>
      </w:r>
      <w:proofErr w:type="gramStart"/>
      <w:r w:rsidR="002822B9">
        <w:rPr>
          <w:spacing w:val="-2"/>
          <w:lang w:val="en-GB"/>
        </w:rPr>
        <w:t xml:space="preserve">of </w:t>
      </w:r>
      <w:r w:rsidR="002822B9" w:rsidRPr="002822B9">
        <w:rPr>
          <w:spacing w:val="-2"/>
          <w:lang w:val="en-GB"/>
        </w:rPr>
        <w:t xml:space="preserve"> </w:t>
      </w:r>
      <w:r w:rsidR="002822B9">
        <w:rPr>
          <w:spacing w:val="-2"/>
          <w:lang w:val="en-GB"/>
        </w:rPr>
        <w:t>the</w:t>
      </w:r>
      <w:proofErr w:type="gramEnd"/>
      <w:r w:rsidR="002822B9">
        <w:rPr>
          <w:spacing w:val="-2"/>
          <w:lang w:val="en-GB"/>
        </w:rPr>
        <w:t xml:space="preserve"> </w:t>
      </w:r>
      <w:r w:rsidRPr="00314B5D">
        <w:rPr>
          <w:spacing w:val="-2"/>
          <w:lang w:val="en-GB"/>
        </w:rPr>
        <w:t>electricity for lighting and appliances</w:t>
      </w:r>
      <w:r>
        <w:rPr>
          <w:spacing w:val="-2"/>
          <w:lang w:val="en-GB"/>
        </w:rPr>
        <w:t xml:space="preserve"> for model type 1 (</w:t>
      </w:r>
      <w:r w:rsidR="002822B9">
        <w:rPr>
          <w:spacing w:val="-2"/>
          <w:lang w:val="en-GB"/>
        </w:rPr>
        <w:t>67.34 %</w:t>
      </w:r>
      <w:r>
        <w:rPr>
          <w:spacing w:val="-2"/>
          <w:lang w:val="en-GB"/>
        </w:rPr>
        <w:t>)</w:t>
      </w:r>
      <w:r w:rsidRPr="00314B5D">
        <w:rPr>
          <w:spacing w:val="-2"/>
          <w:lang w:val="en-GB"/>
        </w:rPr>
        <w:t>.</w:t>
      </w:r>
    </w:p>
    <w:p w:rsidR="002822B9" w:rsidRPr="002822B9" w:rsidRDefault="002822B9">
      <w:pPr>
        <w:tabs>
          <w:tab w:val="left" w:pos="-1134"/>
          <w:tab w:val="left" w:pos="-414"/>
        </w:tabs>
        <w:suppressAutoHyphens/>
        <w:jc w:val="both"/>
        <w:rPr>
          <w:spacing w:val="-2"/>
          <w:lang w:val="en-GB"/>
        </w:rPr>
      </w:pPr>
      <w:r>
        <w:rPr>
          <w:spacing w:val="-2"/>
          <w:lang w:val="en-GB"/>
        </w:rPr>
        <w:t xml:space="preserve">Electricity for appliances and lighting is highly dependent on user behaviour and less dependent on weather, essentially only on the amount of daylight hours (from sunrise to sunset) for lighting. </w:t>
      </w:r>
      <w:r w:rsidR="005F5267" w:rsidRPr="00314B5D">
        <w:rPr>
          <w:spacing w:val="-2"/>
          <w:lang w:val="en-GB"/>
        </w:rPr>
        <w:t xml:space="preserve">The thresholds of acceptability </w:t>
      </w:r>
      <w:r>
        <w:rPr>
          <w:spacing w:val="-2"/>
          <w:lang w:val="en-GB"/>
        </w:rPr>
        <w:t xml:space="preserve">for model calibration (according to M&amp;V protocols reported in Section </w:t>
      </w:r>
      <w:r w:rsidR="003D7E10">
        <w:rPr>
          <w:spacing w:val="-2"/>
          <w:lang w:val="en-GB"/>
        </w:rPr>
        <w:t>4.2</w:t>
      </w:r>
      <w:r>
        <w:rPr>
          <w:spacing w:val="-2"/>
          <w:lang w:val="en-GB"/>
        </w:rPr>
        <w:t xml:space="preserve">), </w:t>
      </w:r>
      <w:r w:rsidR="005F5267" w:rsidRPr="00314B5D">
        <w:rPr>
          <w:spacing w:val="-2"/>
          <w:lang w:val="en-GB"/>
        </w:rPr>
        <w:t xml:space="preserve">specified in Table </w:t>
      </w:r>
      <w:r>
        <w:rPr>
          <w:spacing w:val="-2"/>
          <w:lang w:val="en-GB"/>
        </w:rPr>
        <w:t>5</w:t>
      </w:r>
      <w:r w:rsidR="005F5267" w:rsidRPr="00314B5D">
        <w:rPr>
          <w:spacing w:val="-2"/>
          <w:lang w:val="en-GB"/>
        </w:rPr>
        <w:t xml:space="preserve"> are </w:t>
      </w:r>
      <w:r>
        <w:rPr>
          <w:spacing w:val="-2"/>
          <w:lang w:val="en-GB"/>
        </w:rPr>
        <w:t>satisfied in all the case</w:t>
      </w:r>
      <w:r w:rsidR="00CE6226">
        <w:rPr>
          <w:spacing w:val="-2"/>
          <w:lang w:val="en-GB"/>
        </w:rPr>
        <w:t>s</w:t>
      </w:r>
      <w:r>
        <w:rPr>
          <w:spacing w:val="-2"/>
          <w:lang w:val="en-GB"/>
        </w:rPr>
        <w:t xml:space="preserve">, except for model type 1 trained on HVAC and DHW electricity demand, where the </w:t>
      </w:r>
      <w:proofErr w:type="spellStart"/>
      <w:r w:rsidRPr="002822B9">
        <w:rPr>
          <w:i/>
          <w:spacing w:val="-2"/>
          <w:lang w:val="en-GB"/>
        </w:rPr>
        <w:t>Cv</w:t>
      </w:r>
      <w:proofErr w:type="spellEnd"/>
      <w:r w:rsidRPr="002822B9">
        <w:rPr>
          <w:i/>
          <w:spacing w:val="-2"/>
          <w:lang w:val="en-GB"/>
        </w:rPr>
        <w:t>(RMSE)</w:t>
      </w:r>
      <w:r>
        <w:rPr>
          <w:i/>
          <w:spacing w:val="-2"/>
          <w:lang w:val="en-GB"/>
        </w:rPr>
        <w:t xml:space="preserve"> </w:t>
      </w:r>
      <w:r w:rsidRPr="002822B9">
        <w:rPr>
          <w:spacing w:val="-2"/>
          <w:lang w:val="en-GB"/>
        </w:rPr>
        <w:t>is greater than 15 % (17.35 %).</w:t>
      </w:r>
      <w:r w:rsidRPr="002822B9">
        <w:rPr>
          <w:i/>
          <w:spacing w:val="-2"/>
          <w:lang w:val="en-GB"/>
        </w:rPr>
        <w:t xml:space="preserve"> </w:t>
      </w:r>
      <w:r w:rsidRPr="002822B9">
        <w:rPr>
          <w:i/>
          <w:iCs/>
          <w:spacing w:val="-2"/>
          <w:lang w:val="en-GB"/>
        </w:rPr>
        <w:t xml:space="preserve">NMBE </w:t>
      </w:r>
      <w:r w:rsidRPr="002822B9">
        <w:rPr>
          <w:iCs/>
          <w:spacing w:val="-2"/>
          <w:lang w:val="en-GB"/>
        </w:rPr>
        <w:t>is very small in all cases (</w:t>
      </w:r>
      <w:r>
        <w:rPr>
          <w:iCs/>
          <w:spacing w:val="-2"/>
          <w:lang w:val="en-GB"/>
        </w:rPr>
        <w:t>the maximum value found is</w:t>
      </w:r>
      <w:r w:rsidRPr="002822B9">
        <w:rPr>
          <w:iCs/>
          <w:spacing w:val="-2"/>
          <w:lang w:val="en-GB"/>
        </w:rPr>
        <w:t xml:space="preserve"> 1.51 %</w:t>
      </w:r>
      <w:r>
        <w:rPr>
          <w:iCs/>
          <w:spacing w:val="-2"/>
          <w:lang w:val="en-GB"/>
        </w:rPr>
        <w:t xml:space="preserve">, for thermal demand for cooling, using model type 1) and the maximum value of </w:t>
      </w:r>
      <w:r w:rsidRPr="002822B9">
        <w:rPr>
          <w:i/>
          <w:iCs/>
          <w:spacing w:val="-2"/>
          <w:lang w:val="en-GB"/>
        </w:rPr>
        <w:t>MAPE</w:t>
      </w:r>
      <w:r w:rsidRPr="002822B9">
        <w:rPr>
          <w:iCs/>
          <w:spacing w:val="-2"/>
          <w:lang w:val="en-GB"/>
        </w:rPr>
        <w:t xml:space="preserve"> is</w:t>
      </w:r>
      <w:r w:rsidRPr="002822B9">
        <w:rPr>
          <w:i/>
          <w:iCs/>
          <w:spacing w:val="-2"/>
          <w:lang w:val="en-GB"/>
        </w:rPr>
        <w:t xml:space="preserve"> </w:t>
      </w:r>
      <w:r>
        <w:rPr>
          <w:iCs/>
          <w:spacing w:val="-2"/>
          <w:lang w:val="en-GB"/>
        </w:rPr>
        <w:t>13.46 %</w:t>
      </w:r>
      <w:r w:rsidR="00CE6226">
        <w:rPr>
          <w:iCs/>
          <w:spacing w:val="-2"/>
          <w:lang w:val="en-GB"/>
        </w:rPr>
        <w:t>, showing how the models are overall able to fit all the dataset well.</w:t>
      </w:r>
    </w:p>
    <w:p w:rsidR="00464C05" w:rsidRDefault="00464C05">
      <w:pPr>
        <w:rPr>
          <w:spacing w:val="-3"/>
          <w:highlight w:val="yellow"/>
          <w:lang w:val="en-GB"/>
        </w:rPr>
      </w:pPr>
      <w:r>
        <w:rPr>
          <w:spacing w:val="-3"/>
          <w:highlight w:val="yellow"/>
          <w:lang w:val="en-GB"/>
        </w:rPr>
        <w:br w:type="page"/>
      </w:r>
    </w:p>
    <w:p w:rsidR="00066145" w:rsidRDefault="00066145" w:rsidP="00066145">
      <w:pPr>
        <w:jc w:val="center"/>
        <w:rPr>
          <w:i/>
          <w:color w:val="000000"/>
          <w:lang w:val="en-GB"/>
        </w:rPr>
      </w:pPr>
      <w:r w:rsidRPr="00E7318F">
        <w:rPr>
          <w:i/>
          <w:color w:val="000000"/>
          <w:lang w:val="en-GB"/>
        </w:rPr>
        <w:lastRenderedPageBreak/>
        <w:t xml:space="preserve">Table </w:t>
      </w:r>
      <w:r w:rsidRPr="00E7318F">
        <w:rPr>
          <w:i/>
          <w:lang w:val="en-GB"/>
        </w:rPr>
        <w:fldChar w:fldCharType="begin"/>
      </w:r>
      <w:r w:rsidRPr="00E7318F">
        <w:rPr>
          <w:i/>
          <w:lang w:val="en-GB"/>
        </w:rPr>
        <w:instrText xml:space="preserve"> SEQ Table \* ARABIC </w:instrText>
      </w:r>
      <w:r w:rsidRPr="00E7318F">
        <w:rPr>
          <w:i/>
          <w:lang w:val="en-GB"/>
        </w:rPr>
        <w:fldChar w:fldCharType="separate"/>
      </w:r>
      <w:r w:rsidR="00F324A0">
        <w:rPr>
          <w:i/>
          <w:noProof/>
          <w:lang w:val="en-GB"/>
        </w:rPr>
        <w:t>8</w:t>
      </w:r>
      <w:r w:rsidRPr="00E7318F">
        <w:rPr>
          <w:i/>
          <w:lang w:val="en-GB"/>
        </w:rPr>
        <w:fldChar w:fldCharType="end"/>
      </w:r>
      <w:r w:rsidRPr="00E7318F">
        <w:rPr>
          <w:i/>
          <w:color w:val="000000"/>
          <w:lang w:val="en-GB"/>
        </w:rPr>
        <w:t xml:space="preserve">: </w:t>
      </w:r>
      <w:r w:rsidRPr="00FE01AF">
        <w:rPr>
          <w:i/>
          <w:color w:val="000000"/>
          <w:lang w:val="en-GB"/>
        </w:rPr>
        <w:t>Results of analysis of measured and predicted data for the monitoring period</w:t>
      </w:r>
      <w:r>
        <w:rPr>
          <w:i/>
          <w:color w:val="000000"/>
          <w:lang w:val="en-GB"/>
        </w:rPr>
        <w:t xml:space="preserve"> – Model type </w:t>
      </w:r>
      <w:r w:rsidR="00E162D2">
        <w:rPr>
          <w:i/>
          <w:color w:val="000000"/>
          <w:lang w:val="en-GB"/>
        </w:rPr>
        <w:t>1</w:t>
      </w:r>
    </w:p>
    <w:tbl>
      <w:tblPr>
        <w:tblW w:w="7797" w:type="dxa"/>
        <w:jc w:val="center"/>
        <w:tblCellMar>
          <w:left w:w="0" w:type="dxa"/>
          <w:right w:w="0" w:type="dxa"/>
        </w:tblCellMar>
        <w:tblLook w:val="04A0" w:firstRow="1" w:lastRow="0" w:firstColumn="1" w:lastColumn="0" w:noHBand="0" w:noVBand="1"/>
      </w:tblPr>
      <w:tblGrid>
        <w:gridCol w:w="816"/>
        <w:gridCol w:w="1404"/>
        <w:gridCol w:w="1032"/>
        <w:gridCol w:w="1000"/>
        <w:gridCol w:w="756"/>
        <w:gridCol w:w="799"/>
        <w:gridCol w:w="886"/>
        <w:gridCol w:w="1104"/>
      </w:tblGrid>
      <w:tr w:rsidR="00066145" w:rsidRPr="00EA468B" w:rsidTr="00E162D2">
        <w:trPr>
          <w:trHeight w:val="270"/>
          <w:jc w:val="center"/>
        </w:trPr>
        <w:tc>
          <w:tcPr>
            <w:tcW w:w="816" w:type="dxa"/>
            <w:tcBorders>
              <w:top w:val="single" w:sz="8" w:space="0" w:color="000000"/>
              <w:left w:val="nil"/>
              <w:bottom w:val="nil"/>
              <w:right w:val="nil"/>
            </w:tcBorders>
            <w:vAlign w:val="center"/>
          </w:tcPr>
          <w:p w:rsidR="00066145" w:rsidRPr="00EA468B" w:rsidRDefault="00066145" w:rsidP="008F4582">
            <w:pPr>
              <w:tabs>
                <w:tab w:val="left" w:pos="-1134"/>
                <w:tab w:val="left" w:pos="-414"/>
              </w:tabs>
              <w:suppressAutoHyphens/>
              <w:jc w:val="both"/>
              <w:rPr>
                <w:b/>
                <w:bCs/>
                <w:spacing w:val="-3"/>
                <w:sz w:val="20"/>
                <w:szCs w:val="20"/>
              </w:rPr>
            </w:pPr>
            <w:proofErr w:type="spellStart"/>
            <w:r>
              <w:rPr>
                <w:b/>
                <w:bCs/>
                <w:spacing w:val="-3"/>
                <w:sz w:val="20"/>
                <w:szCs w:val="20"/>
              </w:rPr>
              <w:t>Dataset</w:t>
            </w:r>
            <w:proofErr w:type="spellEnd"/>
          </w:p>
        </w:tc>
        <w:tc>
          <w:tcPr>
            <w:tcW w:w="140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066145" w:rsidRPr="00EA468B" w:rsidRDefault="00066145" w:rsidP="008F4582">
            <w:pPr>
              <w:tabs>
                <w:tab w:val="left" w:pos="-1134"/>
                <w:tab w:val="left" w:pos="-414"/>
              </w:tabs>
              <w:suppressAutoHyphens/>
              <w:jc w:val="both"/>
              <w:rPr>
                <w:b/>
                <w:bCs/>
                <w:spacing w:val="-3"/>
                <w:sz w:val="20"/>
                <w:szCs w:val="20"/>
              </w:rPr>
            </w:pPr>
            <w:r>
              <w:rPr>
                <w:b/>
                <w:bCs/>
                <w:spacing w:val="-3"/>
                <w:sz w:val="20"/>
                <w:szCs w:val="20"/>
              </w:rPr>
              <w:t>End-use</w:t>
            </w:r>
          </w:p>
        </w:tc>
        <w:tc>
          <w:tcPr>
            <w:tcW w:w="2032"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8F4582">
            <w:pPr>
              <w:tabs>
                <w:tab w:val="left" w:pos="-1134"/>
                <w:tab w:val="left" w:pos="-414"/>
              </w:tabs>
              <w:suppressAutoHyphens/>
              <w:jc w:val="center"/>
              <w:rPr>
                <w:b/>
                <w:bCs/>
                <w:spacing w:val="-3"/>
                <w:sz w:val="20"/>
                <w:szCs w:val="20"/>
              </w:rPr>
            </w:pPr>
            <w:r w:rsidRPr="00EA468B">
              <w:rPr>
                <w:b/>
                <w:bCs/>
                <w:spacing w:val="-3"/>
                <w:sz w:val="20"/>
                <w:szCs w:val="20"/>
              </w:rPr>
              <w:t xml:space="preserve">Energy </w:t>
            </w:r>
            <w:proofErr w:type="spellStart"/>
            <w:r w:rsidRPr="00EA468B">
              <w:rPr>
                <w:b/>
                <w:bCs/>
                <w:spacing w:val="-3"/>
                <w:sz w:val="20"/>
                <w:szCs w:val="20"/>
              </w:rPr>
              <w:t>indicators</w:t>
            </w:r>
            <w:proofErr w:type="spellEnd"/>
          </w:p>
        </w:tc>
        <w:tc>
          <w:tcPr>
            <w:tcW w:w="3545" w:type="dxa"/>
            <w:gridSpan w:val="4"/>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8F4582">
            <w:pPr>
              <w:tabs>
                <w:tab w:val="left" w:pos="-1134"/>
                <w:tab w:val="left" w:pos="-414"/>
              </w:tabs>
              <w:suppressAutoHyphens/>
              <w:jc w:val="center"/>
              <w:rPr>
                <w:b/>
                <w:bCs/>
                <w:i/>
                <w:iCs/>
                <w:spacing w:val="-3"/>
                <w:sz w:val="20"/>
                <w:szCs w:val="20"/>
              </w:rPr>
            </w:pPr>
            <w:r w:rsidRPr="00EA468B">
              <w:rPr>
                <w:b/>
                <w:bCs/>
                <w:spacing w:val="-3"/>
                <w:sz w:val="20"/>
                <w:szCs w:val="20"/>
              </w:rPr>
              <w:t xml:space="preserve">Statistical </w:t>
            </w:r>
            <w:proofErr w:type="spellStart"/>
            <w:r w:rsidRPr="00EA468B">
              <w:rPr>
                <w:b/>
                <w:bCs/>
                <w:spacing w:val="-3"/>
                <w:sz w:val="20"/>
                <w:szCs w:val="20"/>
              </w:rPr>
              <w:t>indicators</w:t>
            </w:r>
            <w:proofErr w:type="spellEnd"/>
          </w:p>
        </w:tc>
      </w:tr>
      <w:tr w:rsidR="00066145" w:rsidRPr="00EA468B" w:rsidTr="00E162D2">
        <w:trPr>
          <w:trHeight w:val="270"/>
          <w:jc w:val="center"/>
        </w:trPr>
        <w:tc>
          <w:tcPr>
            <w:tcW w:w="816" w:type="dxa"/>
            <w:tcBorders>
              <w:top w:val="single" w:sz="8" w:space="0" w:color="000000"/>
              <w:left w:val="nil"/>
              <w:bottom w:val="nil"/>
              <w:right w:val="nil"/>
            </w:tcBorders>
            <w:vAlign w:val="center"/>
          </w:tcPr>
          <w:p w:rsidR="00066145" w:rsidRPr="00EA468B" w:rsidRDefault="00066145" w:rsidP="008F4582">
            <w:pPr>
              <w:tabs>
                <w:tab w:val="left" w:pos="-1134"/>
                <w:tab w:val="left" w:pos="-414"/>
              </w:tabs>
              <w:suppressAutoHyphens/>
              <w:jc w:val="both"/>
              <w:rPr>
                <w:b/>
                <w:bCs/>
                <w:spacing w:val="-3"/>
                <w:sz w:val="20"/>
                <w:szCs w:val="20"/>
              </w:rPr>
            </w:pPr>
          </w:p>
        </w:tc>
        <w:tc>
          <w:tcPr>
            <w:tcW w:w="140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066145" w:rsidRPr="00EA468B" w:rsidRDefault="00066145" w:rsidP="008F4582">
            <w:pPr>
              <w:tabs>
                <w:tab w:val="left" w:pos="-1134"/>
                <w:tab w:val="left" w:pos="-414"/>
              </w:tabs>
              <w:suppressAutoHyphens/>
              <w:jc w:val="both"/>
              <w:rPr>
                <w:b/>
                <w:bCs/>
                <w:spacing w:val="-3"/>
                <w:sz w:val="20"/>
                <w:szCs w:val="20"/>
              </w:rPr>
            </w:pPr>
          </w:p>
        </w:tc>
        <w:tc>
          <w:tcPr>
            <w:tcW w:w="103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spacing w:val="-3"/>
                <w:sz w:val="20"/>
                <w:szCs w:val="20"/>
              </w:rPr>
              <w:t xml:space="preserve">Energy </w:t>
            </w:r>
            <w:proofErr w:type="spellStart"/>
            <w:r w:rsidRPr="00EA468B">
              <w:rPr>
                <w:b/>
                <w:bCs/>
                <w:spacing w:val="-3"/>
                <w:sz w:val="20"/>
                <w:szCs w:val="20"/>
              </w:rPr>
              <w:t>measured</w:t>
            </w:r>
            <w:proofErr w:type="spellEnd"/>
          </w:p>
        </w:tc>
        <w:tc>
          <w:tcPr>
            <w:tcW w:w="10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spacing w:val="-3"/>
                <w:sz w:val="20"/>
                <w:szCs w:val="20"/>
              </w:rPr>
              <w:t xml:space="preserve">Energy </w:t>
            </w:r>
            <w:proofErr w:type="spellStart"/>
            <w:r w:rsidRPr="00EA468B">
              <w:rPr>
                <w:b/>
                <w:bCs/>
                <w:spacing w:val="-3"/>
                <w:sz w:val="20"/>
                <w:szCs w:val="20"/>
              </w:rPr>
              <w:t>predicted</w:t>
            </w:r>
            <w:proofErr w:type="spellEnd"/>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i/>
                <w:iCs/>
                <w:spacing w:val="-3"/>
                <w:sz w:val="20"/>
                <w:szCs w:val="20"/>
              </w:rPr>
              <w:t>R</w:t>
            </w:r>
            <w:r w:rsidRPr="00EA468B">
              <w:rPr>
                <w:b/>
                <w:bCs/>
                <w:i/>
                <w:iCs/>
                <w:spacing w:val="-3"/>
                <w:sz w:val="20"/>
                <w:szCs w:val="20"/>
                <w:vertAlign w:val="superscript"/>
              </w:rPr>
              <w:t>2</w:t>
            </w:r>
          </w:p>
        </w:tc>
        <w:tc>
          <w:tcPr>
            <w:tcW w:w="79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i/>
                <w:iCs/>
                <w:spacing w:val="-3"/>
                <w:sz w:val="20"/>
                <w:szCs w:val="20"/>
              </w:rPr>
              <w:t>MAPE</w:t>
            </w:r>
          </w:p>
        </w:tc>
        <w:tc>
          <w:tcPr>
            <w:tcW w:w="88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i/>
                <w:iCs/>
                <w:spacing w:val="-3"/>
                <w:sz w:val="20"/>
                <w:szCs w:val="20"/>
              </w:rPr>
              <w:t>NMBE</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066145" w:rsidRPr="00EA468B" w:rsidRDefault="00066145" w:rsidP="00066145">
            <w:pPr>
              <w:tabs>
                <w:tab w:val="left" w:pos="-1134"/>
                <w:tab w:val="left" w:pos="-414"/>
              </w:tabs>
              <w:suppressAutoHyphens/>
              <w:rPr>
                <w:spacing w:val="-3"/>
                <w:sz w:val="20"/>
                <w:szCs w:val="20"/>
              </w:rPr>
            </w:pPr>
            <w:r w:rsidRPr="00EA468B">
              <w:rPr>
                <w:b/>
                <w:bCs/>
                <w:i/>
                <w:iCs/>
                <w:spacing w:val="-3"/>
                <w:sz w:val="20"/>
                <w:szCs w:val="20"/>
              </w:rPr>
              <w:t>Cv(RMSE)</w:t>
            </w:r>
          </w:p>
        </w:tc>
      </w:tr>
      <w:tr w:rsidR="00066145" w:rsidRPr="00EA468B" w:rsidTr="00E162D2">
        <w:trPr>
          <w:trHeight w:val="270"/>
          <w:jc w:val="center"/>
        </w:trPr>
        <w:tc>
          <w:tcPr>
            <w:tcW w:w="816" w:type="dxa"/>
            <w:tcBorders>
              <w:top w:val="nil"/>
              <w:left w:val="nil"/>
              <w:bottom w:val="single" w:sz="8" w:space="0" w:color="000000"/>
              <w:right w:val="nil"/>
            </w:tcBorders>
          </w:tcPr>
          <w:p w:rsidR="00066145" w:rsidRPr="00EA468B" w:rsidRDefault="00066145" w:rsidP="008F4582">
            <w:pPr>
              <w:tabs>
                <w:tab w:val="left" w:pos="-1134"/>
                <w:tab w:val="left" w:pos="-414"/>
              </w:tabs>
              <w:suppressAutoHyphens/>
              <w:jc w:val="both"/>
              <w:rPr>
                <w:b/>
                <w:bCs/>
                <w:spacing w:val="-3"/>
                <w:sz w:val="20"/>
                <w:szCs w:val="20"/>
              </w:rPr>
            </w:pPr>
          </w:p>
        </w:tc>
        <w:tc>
          <w:tcPr>
            <w:tcW w:w="140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066145" w:rsidRPr="00EA468B" w:rsidRDefault="00066145" w:rsidP="008F4582">
            <w:pPr>
              <w:tabs>
                <w:tab w:val="left" w:pos="-1134"/>
                <w:tab w:val="left" w:pos="-414"/>
              </w:tabs>
              <w:suppressAutoHyphens/>
              <w:jc w:val="both"/>
              <w:rPr>
                <w:spacing w:val="-3"/>
                <w:sz w:val="20"/>
                <w:szCs w:val="20"/>
              </w:rPr>
            </w:pPr>
            <w:r w:rsidRPr="00EA468B">
              <w:rPr>
                <w:b/>
                <w:bCs/>
                <w:spacing w:val="-3"/>
                <w:sz w:val="20"/>
                <w:szCs w:val="20"/>
              </w:rPr>
              <w:t> </w:t>
            </w:r>
          </w:p>
        </w:tc>
        <w:tc>
          <w:tcPr>
            <w:tcW w:w="103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066145" w:rsidRPr="00615D19" w:rsidRDefault="00066145" w:rsidP="00066145">
            <w:pPr>
              <w:tabs>
                <w:tab w:val="left" w:pos="-1134"/>
                <w:tab w:val="left" w:pos="-414"/>
              </w:tabs>
              <w:suppressAutoHyphens/>
              <w:rPr>
                <w:spacing w:val="-3"/>
                <w:sz w:val="20"/>
                <w:szCs w:val="20"/>
              </w:rPr>
            </w:pPr>
            <w:proofErr w:type="gramStart"/>
            <w:r w:rsidRPr="00615D19">
              <w:rPr>
                <w:spacing w:val="-3"/>
                <w:sz w:val="20"/>
                <w:szCs w:val="20"/>
              </w:rPr>
              <w:t>kWh</w:t>
            </w:r>
            <w:proofErr w:type="gramEnd"/>
          </w:p>
        </w:tc>
        <w:tc>
          <w:tcPr>
            <w:tcW w:w="10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066145" w:rsidRPr="00615D19" w:rsidRDefault="00066145" w:rsidP="00066145">
            <w:pPr>
              <w:tabs>
                <w:tab w:val="left" w:pos="-1134"/>
                <w:tab w:val="left" w:pos="-414"/>
              </w:tabs>
              <w:suppressAutoHyphens/>
              <w:rPr>
                <w:spacing w:val="-3"/>
                <w:sz w:val="20"/>
                <w:szCs w:val="20"/>
              </w:rPr>
            </w:pPr>
            <w:proofErr w:type="gramStart"/>
            <w:r w:rsidRPr="00615D19">
              <w:rPr>
                <w:spacing w:val="-3"/>
                <w:sz w:val="20"/>
                <w:szCs w:val="20"/>
              </w:rPr>
              <w:t>kWh</w:t>
            </w:r>
            <w:proofErr w:type="gramEnd"/>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066145" w:rsidRPr="00615D19" w:rsidRDefault="00066145" w:rsidP="00066145">
            <w:pPr>
              <w:tabs>
                <w:tab w:val="left" w:pos="-1134"/>
                <w:tab w:val="left" w:pos="-414"/>
              </w:tabs>
              <w:suppressAutoHyphens/>
              <w:rPr>
                <w:spacing w:val="-3"/>
                <w:sz w:val="20"/>
                <w:szCs w:val="20"/>
              </w:rPr>
            </w:pPr>
            <w:r w:rsidRPr="00615D19">
              <w:rPr>
                <w:b/>
                <w:bCs/>
                <w:spacing w:val="-3"/>
                <w:sz w:val="20"/>
                <w:szCs w:val="20"/>
              </w:rPr>
              <w:t>%</w:t>
            </w:r>
          </w:p>
        </w:tc>
        <w:tc>
          <w:tcPr>
            <w:tcW w:w="79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066145" w:rsidRPr="00615D19" w:rsidRDefault="00066145" w:rsidP="00066145">
            <w:pPr>
              <w:tabs>
                <w:tab w:val="left" w:pos="-1134"/>
                <w:tab w:val="left" w:pos="-414"/>
              </w:tabs>
              <w:suppressAutoHyphens/>
              <w:rPr>
                <w:spacing w:val="-3"/>
                <w:sz w:val="20"/>
                <w:szCs w:val="20"/>
              </w:rPr>
            </w:pPr>
            <w:r w:rsidRPr="00615D19">
              <w:rPr>
                <w:b/>
                <w:bCs/>
                <w:spacing w:val="-3"/>
                <w:sz w:val="20"/>
                <w:szCs w:val="20"/>
              </w:rPr>
              <w:t>%</w:t>
            </w:r>
          </w:p>
        </w:tc>
        <w:tc>
          <w:tcPr>
            <w:tcW w:w="88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066145" w:rsidRPr="00615D19" w:rsidRDefault="00066145" w:rsidP="00066145">
            <w:pPr>
              <w:tabs>
                <w:tab w:val="left" w:pos="-1134"/>
                <w:tab w:val="left" w:pos="-414"/>
              </w:tabs>
              <w:suppressAutoHyphens/>
              <w:rPr>
                <w:spacing w:val="-3"/>
                <w:sz w:val="20"/>
                <w:szCs w:val="20"/>
              </w:rPr>
            </w:pPr>
            <w:r w:rsidRPr="00615D19">
              <w:rPr>
                <w:b/>
                <w:bCs/>
                <w:spacing w:val="-3"/>
                <w:sz w:val="20"/>
                <w:szCs w:val="20"/>
              </w:rPr>
              <w:t>%</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066145" w:rsidRPr="00615D19" w:rsidRDefault="00066145" w:rsidP="00066145">
            <w:pPr>
              <w:tabs>
                <w:tab w:val="left" w:pos="-1134"/>
                <w:tab w:val="left" w:pos="-414"/>
              </w:tabs>
              <w:suppressAutoHyphens/>
              <w:rPr>
                <w:spacing w:val="-3"/>
                <w:sz w:val="20"/>
                <w:szCs w:val="20"/>
              </w:rPr>
            </w:pPr>
            <w:r w:rsidRPr="00615D19">
              <w:rPr>
                <w:b/>
                <w:bCs/>
                <w:spacing w:val="-3"/>
                <w:sz w:val="20"/>
                <w:szCs w:val="20"/>
              </w:rPr>
              <w:t>%</w:t>
            </w:r>
          </w:p>
        </w:tc>
      </w:tr>
      <w:tr w:rsidR="00E162D2" w:rsidRPr="00EA468B" w:rsidTr="00E162D2">
        <w:trPr>
          <w:jc w:val="center"/>
        </w:trPr>
        <w:tc>
          <w:tcPr>
            <w:tcW w:w="816" w:type="dxa"/>
            <w:tcBorders>
              <w:top w:val="single" w:sz="8" w:space="0" w:color="000000"/>
              <w:left w:val="nil"/>
              <w:bottom w:val="nil"/>
              <w:right w:val="nil"/>
            </w:tcBorders>
            <w:vAlign w:val="center"/>
          </w:tcPr>
          <w:p w:rsidR="00E162D2" w:rsidRPr="005A40CD" w:rsidRDefault="00E162D2" w:rsidP="00E162D2">
            <w:pPr>
              <w:jc w:val="both"/>
              <w:rPr>
                <w:sz w:val="20"/>
                <w:szCs w:val="20"/>
              </w:rPr>
            </w:pPr>
            <w:proofErr w:type="spellStart"/>
            <w:r>
              <w:rPr>
                <w:sz w:val="20"/>
                <w:szCs w:val="20"/>
              </w:rPr>
              <w:t>Electric</w:t>
            </w:r>
            <w:proofErr w:type="spellEnd"/>
            <w:r>
              <w:rPr>
                <w:sz w:val="20"/>
                <w:szCs w:val="20"/>
              </w:rPr>
              <w:t xml:space="preserve"> </w:t>
            </w:r>
            <w:proofErr w:type="spellStart"/>
            <w:r>
              <w:rPr>
                <w:sz w:val="20"/>
                <w:szCs w:val="20"/>
              </w:rPr>
              <w:t>energy</w:t>
            </w:r>
            <w:proofErr w:type="spellEnd"/>
          </w:p>
        </w:tc>
        <w:tc>
          <w:tcPr>
            <w:tcW w:w="140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E162D2">
            <w:pPr>
              <w:jc w:val="both"/>
              <w:rPr>
                <w:sz w:val="20"/>
                <w:szCs w:val="20"/>
              </w:rPr>
            </w:pPr>
            <w:r>
              <w:rPr>
                <w:sz w:val="20"/>
                <w:szCs w:val="20"/>
              </w:rPr>
              <w:t>Total</w:t>
            </w:r>
          </w:p>
        </w:tc>
        <w:tc>
          <w:tcPr>
            <w:tcW w:w="1032"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35130</w:t>
            </w:r>
          </w:p>
        </w:tc>
        <w:tc>
          <w:tcPr>
            <w:tcW w:w="1000"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34819</w:t>
            </w:r>
          </w:p>
        </w:tc>
        <w:tc>
          <w:tcPr>
            <w:tcW w:w="756"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84.41</w:t>
            </w:r>
          </w:p>
        </w:tc>
        <w:tc>
          <w:tcPr>
            <w:tcW w:w="79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10.33</w:t>
            </w:r>
          </w:p>
        </w:tc>
        <w:tc>
          <w:tcPr>
            <w:tcW w:w="886"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-0.88</w:t>
            </w:r>
          </w:p>
        </w:tc>
        <w:tc>
          <w:tcPr>
            <w:tcW w:w="110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12.12</w:t>
            </w:r>
          </w:p>
        </w:tc>
      </w:tr>
      <w:tr w:rsidR="00E162D2" w:rsidRPr="00EA468B" w:rsidTr="00E162D2">
        <w:trPr>
          <w:jc w:val="center"/>
        </w:trPr>
        <w:tc>
          <w:tcPr>
            <w:tcW w:w="816" w:type="dxa"/>
            <w:tcBorders>
              <w:top w:val="nil"/>
              <w:left w:val="nil"/>
              <w:bottom w:val="nil"/>
              <w:right w:val="nil"/>
            </w:tcBorders>
            <w:vAlign w:val="center"/>
          </w:tcPr>
          <w:p w:rsidR="00E162D2" w:rsidRPr="005A40CD" w:rsidRDefault="00E162D2" w:rsidP="00E162D2">
            <w:pPr>
              <w:jc w:val="both"/>
              <w:rPr>
                <w:sz w:val="20"/>
                <w:szCs w:val="20"/>
              </w:rPr>
            </w:pPr>
          </w:p>
        </w:tc>
        <w:tc>
          <w:tcPr>
            <w:tcW w:w="1404" w:type="dxa"/>
            <w:tcBorders>
              <w:top w:val="nil"/>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E162D2">
            <w:pPr>
              <w:jc w:val="both"/>
              <w:rPr>
                <w:sz w:val="20"/>
                <w:szCs w:val="20"/>
              </w:rPr>
            </w:pPr>
            <w:r>
              <w:rPr>
                <w:sz w:val="20"/>
                <w:szCs w:val="20"/>
              </w:rPr>
              <w:t>HVAC, DHW</w:t>
            </w:r>
          </w:p>
        </w:tc>
        <w:tc>
          <w:tcPr>
            <w:tcW w:w="1032"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12270</w:t>
            </w:r>
          </w:p>
        </w:tc>
        <w:tc>
          <w:tcPr>
            <w:tcW w:w="1000"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12139</w:t>
            </w:r>
          </w:p>
        </w:tc>
        <w:tc>
          <w:tcPr>
            <w:tcW w:w="756"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91.23</w:t>
            </w:r>
          </w:p>
        </w:tc>
        <w:tc>
          <w:tcPr>
            <w:tcW w:w="799"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12.59</w:t>
            </w:r>
          </w:p>
        </w:tc>
        <w:tc>
          <w:tcPr>
            <w:tcW w:w="886"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-1.07</w:t>
            </w:r>
          </w:p>
        </w:tc>
        <w:tc>
          <w:tcPr>
            <w:tcW w:w="1104"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17.35</w:t>
            </w:r>
          </w:p>
        </w:tc>
      </w:tr>
      <w:tr w:rsidR="00E162D2" w:rsidRPr="00EA468B" w:rsidTr="00E162D2">
        <w:trPr>
          <w:jc w:val="center"/>
        </w:trPr>
        <w:tc>
          <w:tcPr>
            <w:tcW w:w="816" w:type="dxa"/>
            <w:tcBorders>
              <w:top w:val="nil"/>
              <w:left w:val="nil"/>
              <w:bottom w:val="single" w:sz="4" w:space="0" w:color="auto"/>
              <w:right w:val="nil"/>
            </w:tcBorders>
            <w:vAlign w:val="center"/>
          </w:tcPr>
          <w:p w:rsidR="00E162D2" w:rsidRPr="005A40CD" w:rsidRDefault="00E162D2" w:rsidP="00E162D2">
            <w:pPr>
              <w:jc w:val="both"/>
              <w:rPr>
                <w:sz w:val="20"/>
                <w:szCs w:val="20"/>
              </w:rPr>
            </w:pPr>
          </w:p>
        </w:tc>
        <w:tc>
          <w:tcPr>
            <w:tcW w:w="1404"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5A40CD" w:rsidRDefault="00E162D2" w:rsidP="00E162D2">
            <w:pPr>
              <w:jc w:val="both"/>
              <w:rPr>
                <w:sz w:val="20"/>
                <w:szCs w:val="20"/>
              </w:rPr>
            </w:pPr>
            <w:proofErr w:type="spellStart"/>
            <w:r>
              <w:rPr>
                <w:sz w:val="20"/>
                <w:szCs w:val="20"/>
              </w:rPr>
              <w:t>Appliances</w:t>
            </w:r>
            <w:proofErr w:type="spellEnd"/>
            <w:r>
              <w:rPr>
                <w:sz w:val="20"/>
                <w:szCs w:val="20"/>
              </w:rPr>
              <w:t xml:space="preserve"> and </w:t>
            </w:r>
            <w:proofErr w:type="spellStart"/>
            <w:r>
              <w:rPr>
                <w:sz w:val="20"/>
                <w:szCs w:val="20"/>
              </w:rPr>
              <w:t>lighting</w:t>
            </w:r>
            <w:proofErr w:type="spellEnd"/>
          </w:p>
        </w:tc>
        <w:tc>
          <w:tcPr>
            <w:tcW w:w="1032"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22860</w:t>
            </w:r>
          </w:p>
        </w:tc>
        <w:tc>
          <w:tcPr>
            <w:tcW w:w="1000"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22868</w:t>
            </w:r>
          </w:p>
        </w:tc>
        <w:tc>
          <w:tcPr>
            <w:tcW w:w="756"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67.34</w:t>
            </w:r>
          </w:p>
        </w:tc>
        <w:tc>
          <w:tcPr>
            <w:tcW w:w="799"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9.50</w:t>
            </w:r>
          </w:p>
        </w:tc>
        <w:tc>
          <w:tcPr>
            <w:tcW w:w="886"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0.04</w:t>
            </w:r>
          </w:p>
        </w:tc>
        <w:tc>
          <w:tcPr>
            <w:tcW w:w="1104"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10.56</w:t>
            </w:r>
          </w:p>
        </w:tc>
      </w:tr>
      <w:tr w:rsidR="00E162D2" w:rsidRPr="00EA468B" w:rsidTr="00E162D2">
        <w:trPr>
          <w:jc w:val="center"/>
        </w:trPr>
        <w:tc>
          <w:tcPr>
            <w:tcW w:w="816" w:type="dxa"/>
            <w:tcBorders>
              <w:top w:val="single" w:sz="4" w:space="0" w:color="auto"/>
              <w:left w:val="nil"/>
              <w:bottom w:val="nil"/>
              <w:right w:val="nil"/>
            </w:tcBorders>
            <w:vAlign w:val="center"/>
          </w:tcPr>
          <w:p w:rsidR="00E162D2" w:rsidRPr="005A40CD" w:rsidRDefault="00E162D2" w:rsidP="00E162D2">
            <w:pPr>
              <w:jc w:val="both"/>
              <w:rPr>
                <w:sz w:val="20"/>
                <w:szCs w:val="20"/>
              </w:rPr>
            </w:pPr>
            <w:r>
              <w:rPr>
                <w:sz w:val="20"/>
                <w:szCs w:val="20"/>
              </w:rPr>
              <w:t xml:space="preserve">Thermal </w:t>
            </w:r>
            <w:proofErr w:type="spellStart"/>
            <w:r>
              <w:rPr>
                <w:sz w:val="20"/>
                <w:szCs w:val="20"/>
              </w:rPr>
              <w:t>energy</w:t>
            </w:r>
            <w:proofErr w:type="spellEnd"/>
          </w:p>
        </w:tc>
        <w:tc>
          <w:tcPr>
            <w:tcW w:w="140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E162D2">
            <w:pPr>
              <w:jc w:val="both"/>
              <w:rPr>
                <w:sz w:val="20"/>
                <w:szCs w:val="20"/>
              </w:rPr>
            </w:pPr>
            <w:proofErr w:type="spellStart"/>
            <w:r>
              <w:rPr>
                <w:sz w:val="20"/>
                <w:szCs w:val="20"/>
              </w:rPr>
              <w:t>Heating</w:t>
            </w:r>
            <w:proofErr w:type="spellEnd"/>
          </w:p>
        </w:tc>
        <w:tc>
          <w:tcPr>
            <w:tcW w:w="1032"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23790</w:t>
            </w:r>
          </w:p>
        </w:tc>
        <w:tc>
          <w:tcPr>
            <w:tcW w:w="1000"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23795</w:t>
            </w:r>
          </w:p>
        </w:tc>
        <w:tc>
          <w:tcPr>
            <w:tcW w:w="756"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98.29</w:t>
            </w:r>
          </w:p>
        </w:tc>
        <w:tc>
          <w:tcPr>
            <w:tcW w:w="799"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12.83</w:t>
            </w:r>
          </w:p>
        </w:tc>
        <w:tc>
          <w:tcPr>
            <w:tcW w:w="886"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0.02</w:t>
            </w:r>
          </w:p>
        </w:tc>
        <w:tc>
          <w:tcPr>
            <w:tcW w:w="110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11.68</w:t>
            </w:r>
          </w:p>
        </w:tc>
      </w:tr>
      <w:tr w:rsidR="00E162D2" w:rsidRPr="00EA468B" w:rsidTr="00E162D2">
        <w:trPr>
          <w:jc w:val="center"/>
        </w:trPr>
        <w:tc>
          <w:tcPr>
            <w:tcW w:w="816" w:type="dxa"/>
            <w:tcBorders>
              <w:top w:val="nil"/>
              <w:left w:val="nil"/>
              <w:bottom w:val="single" w:sz="8" w:space="0" w:color="000000"/>
              <w:right w:val="nil"/>
            </w:tcBorders>
            <w:vAlign w:val="center"/>
          </w:tcPr>
          <w:p w:rsidR="00E162D2" w:rsidRPr="005A40CD" w:rsidRDefault="00E162D2" w:rsidP="00E162D2">
            <w:pPr>
              <w:jc w:val="both"/>
              <w:rPr>
                <w:sz w:val="20"/>
                <w:szCs w:val="20"/>
              </w:rPr>
            </w:pPr>
          </w:p>
        </w:tc>
        <w:tc>
          <w:tcPr>
            <w:tcW w:w="1404"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5A40CD" w:rsidRDefault="00E162D2" w:rsidP="00E162D2">
            <w:pPr>
              <w:jc w:val="both"/>
              <w:rPr>
                <w:sz w:val="20"/>
                <w:szCs w:val="20"/>
              </w:rPr>
            </w:pPr>
            <w:proofErr w:type="spellStart"/>
            <w:r>
              <w:rPr>
                <w:sz w:val="20"/>
                <w:szCs w:val="20"/>
              </w:rPr>
              <w:t>Cooling</w:t>
            </w:r>
            <w:proofErr w:type="spellEnd"/>
          </w:p>
        </w:tc>
        <w:tc>
          <w:tcPr>
            <w:tcW w:w="1032"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6838</w:t>
            </w:r>
          </w:p>
        </w:tc>
        <w:tc>
          <w:tcPr>
            <w:tcW w:w="100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6735</w:t>
            </w:r>
          </w:p>
        </w:tc>
        <w:tc>
          <w:tcPr>
            <w:tcW w:w="756"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97.01</w:t>
            </w:r>
          </w:p>
        </w:tc>
        <w:tc>
          <w:tcPr>
            <w:tcW w:w="799"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5.48</w:t>
            </w:r>
          </w:p>
        </w:tc>
        <w:tc>
          <w:tcPr>
            <w:tcW w:w="886"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-1.51</w:t>
            </w:r>
          </w:p>
        </w:tc>
        <w:tc>
          <w:tcPr>
            <w:tcW w:w="1104"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E162D2">
            <w:pPr>
              <w:tabs>
                <w:tab w:val="left" w:pos="-720"/>
              </w:tabs>
              <w:suppressAutoHyphens/>
              <w:rPr>
                <w:spacing w:val="-3"/>
                <w:sz w:val="20"/>
                <w:szCs w:val="20"/>
              </w:rPr>
            </w:pPr>
            <w:r w:rsidRPr="00E162D2">
              <w:rPr>
                <w:spacing w:val="-3"/>
                <w:sz w:val="20"/>
                <w:szCs w:val="20"/>
              </w:rPr>
              <w:t>13.52</w:t>
            </w:r>
          </w:p>
        </w:tc>
      </w:tr>
    </w:tbl>
    <w:p w:rsidR="00066145" w:rsidRDefault="00066145" w:rsidP="00066145">
      <w:pPr>
        <w:jc w:val="both"/>
      </w:pPr>
    </w:p>
    <w:p w:rsidR="00E162D2" w:rsidRDefault="00E162D2" w:rsidP="00E162D2">
      <w:pPr>
        <w:jc w:val="center"/>
        <w:rPr>
          <w:i/>
          <w:color w:val="000000"/>
          <w:lang w:val="en-GB"/>
        </w:rPr>
      </w:pPr>
      <w:r w:rsidRPr="00E7318F">
        <w:rPr>
          <w:i/>
          <w:color w:val="000000"/>
          <w:lang w:val="en-GB"/>
        </w:rPr>
        <w:t xml:space="preserve">Table </w:t>
      </w:r>
      <w:r w:rsidRPr="00E7318F">
        <w:rPr>
          <w:i/>
          <w:lang w:val="en-GB"/>
        </w:rPr>
        <w:fldChar w:fldCharType="begin"/>
      </w:r>
      <w:r w:rsidRPr="00E7318F">
        <w:rPr>
          <w:i/>
          <w:lang w:val="en-GB"/>
        </w:rPr>
        <w:instrText xml:space="preserve"> SEQ Table \* ARABIC </w:instrText>
      </w:r>
      <w:r w:rsidRPr="00E7318F">
        <w:rPr>
          <w:i/>
          <w:lang w:val="en-GB"/>
        </w:rPr>
        <w:fldChar w:fldCharType="separate"/>
      </w:r>
      <w:r w:rsidR="00F324A0">
        <w:rPr>
          <w:i/>
          <w:noProof/>
          <w:lang w:val="en-GB"/>
        </w:rPr>
        <w:t>9</w:t>
      </w:r>
      <w:r w:rsidRPr="00E7318F">
        <w:rPr>
          <w:i/>
          <w:lang w:val="en-GB"/>
        </w:rPr>
        <w:fldChar w:fldCharType="end"/>
      </w:r>
      <w:r w:rsidRPr="00E7318F">
        <w:rPr>
          <w:i/>
          <w:color w:val="000000"/>
          <w:lang w:val="en-GB"/>
        </w:rPr>
        <w:t xml:space="preserve">: </w:t>
      </w:r>
      <w:r w:rsidRPr="00FE01AF">
        <w:rPr>
          <w:i/>
          <w:color w:val="000000"/>
          <w:lang w:val="en-GB"/>
        </w:rPr>
        <w:t>Results of analysis of measured and predicted data for the monitoring period</w:t>
      </w:r>
      <w:r>
        <w:rPr>
          <w:i/>
          <w:color w:val="000000"/>
          <w:lang w:val="en-GB"/>
        </w:rPr>
        <w:t xml:space="preserve"> – Model type 2</w:t>
      </w:r>
    </w:p>
    <w:tbl>
      <w:tblPr>
        <w:tblW w:w="7655" w:type="dxa"/>
        <w:jc w:val="center"/>
        <w:tblCellMar>
          <w:left w:w="0" w:type="dxa"/>
          <w:right w:w="0" w:type="dxa"/>
        </w:tblCellMar>
        <w:tblLook w:val="04A0" w:firstRow="1" w:lastRow="0" w:firstColumn="1" w:lastColumn="0" w:noHBand="0" w:noVBand="1"/>
      </w:tblPr>
      <w:tblGrid>
        <w:gridCol w:w="808"/>
        <w:gridCol w:w="1279"/>
        <w:gridCol w:w="1031"/>
        <w:gridCol w:w="1000"/>
        <w:gridCol w:w="756"/>
        <w:gridCol w:w="797"/>
        <w:gridCol w:w="880"/>
        <w:gridCol w:w="1104"/>
      </w:tblGrid>
      <w:tr w:rsidR="00E162D2" w:rsidRPr="00EA468B" w:rsidTr="00F77B18">
        <w:trPr>
          <w:trHeight w:val="270"/>
          <w:jc w:val="center"/>
        </w:trPr>
        <w:tc>
          <w:tcPr>
            <w:tcW w:w="808" w:type="dxa"/>
            <w:tcBorders>
              <w:top w:val="single" w:sz="8" w:space="0" w:color="000000"/>
              <w:left w:val="nil"/>
              <w:bottom w:val="nil"/>
              <w:right w:val="nil"/>
            </w:tcBorders>
            <w:vAlign w:val="center"/>
          </w:tcPr>
          <w:p w:rsidR="00E162D2" w:rsidRPr="00EA468B" w:rsidRDefault="00E162D2" w:rsidP="00F77B18">
            <w:pPr>
              <w:tabs>
                <w:tab w:val="left" w:pos="-1134"/>
                <w:tab w:val="left" w:pos="-414"/>
              </w:tabs>
              <w:suppressAutoHyphens/>
              <w:jc w:val="both"/>
              <w:rPr>
                <w:b/>
                <w:bCs/>
                <w:spacing w:val="-3"/>
                <w:sz w:val="20"/>
                <w:szCs w:val="20"/>
              </w:rPr>
            </w:pPr>
            <w:proofErr w:type="spellStart"/>
            <w:r>
              <w:rPr>
                <w:b/>
                <w:bCs/>
                <w:spacing w:val="-3"/>
                <w:sz w:val="20"/>
                <w:szCs w:val="20"/>
              </w:rPr>
              <w:t>Dataset</w:t>
            </w:r>
            <w:proofErr w:type="spellEnd"/>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jc w:val="both"/>
              <w:rPr>
                <w:b/>
                <w:bCs/>
                <w:spacing w:val="-3"/>
                <w:sz w:val="20"/>
                <w:szCs w:val="20"/>
              </w:rPr>
            </w:pPr>
            <w:r>
              <w:rPr>
                <w:b/>
                <w:bCs/>
                <w:spacing w:val="-3"/>
                <w:sz w:val="20"/>
                <w:szCs w:val="20"/>
              </w:rPr>
              <w:t>End-use</w:t>
            </w:r>
          </w:p>
        </w:tc>
        <w:tc>
          <w:tcPr>
            <w:tcW w:w="2031"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jc w:val="center"/>
              <w:rPr>
                <w:b/>
                <w:bCs/>
                <w:spacing w:val="-3"/>
                <w:sz w:val="20"/>
                <w:szCs w:val="20"/>
              </w:rPr>
            </w:pPr>
            <w:r w:rsidRPr="00EA468B">
              <w:rPr>
                <w:b/>
                <w:bCs/>
                <w:spacing w:val="-3"/>
                <w:sz w:val="20"/>
                <w:szCs w:val="20"/>
              </w:rPr>
              <w:t xml:space="preserve">Energy </w:t>
            </w:r>
            <w:proofErr w:type="spellStart"/>
            <w:r w:rsidRPr="00EA468B">
              <w:rPr>
                <w:b/>
                <w:bCs/>
                <w:spacing w:val="-3"/>
                <w:sz w:val="20"/>
                <w:szCs w:val="20"/>
              </w:rPr>
              <w:t>indicators</w:t>
            </w:r>
            <w:proofErr w:type="spellEnd"/>
          </w:p>
        </w:tc>
        <w:tc>
          <w:tcPr>
            <w:tcW w:w="3537" w:type="dxa"/>
            <w:gridSpan w:val="4"/>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jc w:val="center"/>
              <w:rPr>
                <w:b/>
                <w:bCs/>
                <w:i/>
                <w:iCs/>
                <w:spacing w:val="-3"/>
                <w:sz w:val="20"/>
                <w:szCs w:val="20"/>
              </w:rPr>
            </w:pPr>
            <w:r w:rsidRPr="00EA468B">
              <w:rPr>
                <w:b/>
                <w:bCs/>
                <w:spacing w:val="-3"/>
                <w:sz w:val="20"/>
                <w:szCs w:val="20"/>
              </w:rPr>
              <w:t xml:space="preserve">Statistical </w:t>
            </w:r>
            <w:proofErr w:type="spellStart"/>
            <w:r w:rsidRPr="00EA468B">
              <w:rPr>
                <w:b/>
                <w:bCs/>
                <w:spacing w:val="-3"/>
                <w:sz w:val="20"/>
                <w:szCs w:val="20"/>
              </w:rPr>
              <w:t>indicators</w:t>
            </w:r>
            <w:proofErr w:type="spellEnd"/>
          </w:p>
        </w:tc>
      </w:tr>
      <w:tr w:rsidR="00E162D2" w:rsidRPr="00EA468B" w:rsidTr="00F77B18">
        <w:trPr>
          <w:trHeight w:val="270"/>
          <w:jc w:val="center"/>
        </w:trPr>
        <w:tc>
          <w:tcPr>
            <w:tcW w:w="808" w:type="dxa"/>
            <w:tcBorders>
              <w:top w:val="single" w:sz="8" w:space="0" w:color="000000"/>
              <w:left w:val="nil"/>
              <w:bottom w:val="nil"/>
              <w:right w:val="nil"/>
            </w:tcBorders>
            <w:vAlign w:val="center"/>
          </w:tcPr>
          <w:p w:rsidR="00E162D2" w:rsidRPr="00EA468B" w:rsidRDefault="00E162D2" w:rsidP="00F77B18">
            <w:pPr>
              <w:tabs>
                <w:tab w:val="left" w:pos="-1134"/>
                <w:tab w:val="left" w:pos="-414"/>
              </w:tabs>
              <w:suppressAutoHyphens/>
              <w:jc w:val="both"/>
              <w:rPr>
                <w:b/>
                <w:bCs/>
                <w:spacing w:val="-3"/>
                <w:sz w:val="20"/>
                <w:szCs w:val="20"/>
              </w:rPr>
            </w:pPr>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jc w:val="both"/>
              <w:rPr>
                <w:b/>
                <w:bCs/>
                <w:spacing w:val="-3"/>
                <w:sz w:val="20"/>
                <w:szCs w:val="20"/>
              </w:rPr>
            </w:pPr>
          </w:p>
        </w:tc>
        <w:tc>
          <w:tcPr>
            <w:tcW w:w="103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spacing w:val="-3"/>
                <w:sz w:val="20"/>
                <w:szCs w:val="20"/>
              </w:rPr>
              <w:t xml:space="preserve">Energy </w:t>
            </w:r>
            <w:proofErr w:type="spellStart"/>
            <w:r w:rsidRPr="00EA468B">
              <w:rPr>
                <w:b/>
                <w:bCs/>
                <w:spacing w:val="-3"/>
                <w:sz w:val="20"/>
                <w:szCs w:val="20"/>
              </w:rPr>
              <w:t>measured</w:t>
            </w:r>
            <w:proofErr w:type="spellEnd"/>
          </w:p>
        </w:tc>
        <w:tc>
          <w:tcPr>
            <w:tcW w:w="10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spacing w:val="-3"/>
                <w:sz w:val="20"/>
                <w:szCs w:val="20"/>
              </w:rPr>
              <w:t xml:space="preserve">Energy </w:t>
            </w:r>
            <w:proofErr w:type="spellStart"/>
            <w:r w:rsidRPr="00EA468B">
              <w:rPr>
                <w:b/>
                <w:bCs/>
                <w:spacing w:val="-3"/>
                <w:sz w:val="20"/>
                <w:szCs w:val="20"/>
              </w:rPr>
              <w:t>predicted</w:t>
            </w:r>
            <w:proofErr w:type="spellEnd"/>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i/>
                <w:iCs/>
                <w:spacing w:val="-3"/>
                <w:sz w:val="20"/>
                <w:szCs w:val="20"/>
              </w:rPr>
              <w:t>R</w:t>
            </w:r>
            <w:r w:rsidRPr="00EA468B">
              <w:rPr>
                <w:b/>
                <w:bCs/>
                <w:i/>
                <w:iCs/>
                <w:spacing w:val="-3"/>
                <w:sz w:val="20"/>
                <w:szCs w:val="20"/>
                <w:vertAlign w:val="superscript"/>
              </w:rPr>
              <w:t>2</w:t>
            </w:r>
          </w:p>
        </w:tc>
        <w:tc>
          <w:tcPr>
            <w:tcW w:w="7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i/>
                <w:iCs/>
                <w:spacing w:val="-3"/>
                <w:sz w:val="20"/>
                <w:szCs w:val="20"/>
              </w:rPr>
              <w:t>MAPE</w:t>
            </w:r>
          </w:p>
        </w:tc>
        <w:tc>
          <w:tcPr>
            <w:tcW w:w="8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i/>
                <w:iCs/>
                <w:spacing w:val="-3"/>
                <w:sz w:val="20"/>
                <w:szCs w:val="20"/>
              </w:rPr>
              <w:t>NMBE</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162D2" w:rsidRPr="00EA468B" w:rsidRDefault="00E162D2" w:rsidP="00F77B18">
            <w:pPr>
              <w:tabs>
                <w:tab w:val="left" w:pos="-1134"/>
                <w:tab w:val="left" w:pos="-414"/>
              </w:tabs>
              <w:suppressAutoHyphens/>
              <w:rPr>
                <w:spacing w:val="-3"/>
                <w:sz w:val="20"/>
                <w:szCs w:val="20"/>
              </w:rPr>
            </w:pPr>
            <w:r w:rsidRPr="00EA468B">
              <w:rPr>
                <w:b/>
                <w:bCs/>
                <w:i/>
                <w:iCs/>
                <w:spacing w:val="-3"/>
                <w:sz w:val="20"/>
                <w:szCs w:val="20"/>
              </w:rPr>
              <w:t>Cv(RMSE)</w:t>
            </w:r>
          </w:p>
        </w:tc>
      </w:tr>
      <w:tr w:rsidR="00E162D2" w:rsidRPr="00EA468B" w:rsidTr="00F77B18">
        <w:trPr>
          <w:trHeight w:val="270"/>
          <w:jc w:val="center"/>
        </w:trPr>
        <w:tc>
          <w:tcPr>
            <w:tcW w:w="808" w:type="dxa"/>
            <w:tcBorders>
              <w:top w:val="nil"/>
              <w:left w:val="nil"/>
              <w:bottom w:val="single" w:sz="8" w:space="0" w:color="000000"/>
              <w:right w:val="nil"/>
            </w:tcBorders>
          </w:tcPr>
          <w:p w:rsidR="00E162D2" w:rsidRPr="00EA468B" w:rsidRDefault="00E162D2" w:rsidP="00F77B18">
            <w:pPr>
              <w:tabs>
                <w:tab w:val="left" w:pos="-1134"/>
                <w:tab w:val="left" w:pos="-414"/>
              </w:tabs>
              <w:suppressAutoHyphens/>
              <w:jc w:val="both"/>
              <w:rPr>
                <w:b/>
                <w:bCs/>
                <w:spacing w:val="-3"/>
                <w:sz w:val="20"/>
                <w:szCs w:val="20"/>
              </w:rPr>
            </w:pPr>
          </w:p>
        </w:tc>
        <w:tc>
          <w:tcPr>
            <w:tcW w:w="127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E162D2" w:rsidRPr="00EA468B" w:rsidRDefault="00E162D2" w:rsidP="00F77B18">
            <w:pPr>
              <w:tabs>
                <w:tab w:val="left" w:pos="-1134"/>
                <w:tab w:val="left" w:pos="-414"/>
              </w:tabs>
              <w:suppressAutoHyphens/>
              <w:jc w:val="both"/>
              <w:rPr>
                <w:spacing w:val="-3"/>
                <w:sz w:val="20"/>
                <w:szCs w:val="20"/>
              </w:rPr>
            </w:pPr>
            <w:r w:rsidRPr="00EA468B">
              <w:rPr>
                <w:b/>
                <w:bCs/>
                <w:spacing w:val="-3"/>
                <w:sz w:val="20"/>
                <w:szCs w:val="20"/>
              </w:rPr>
              <w:t> </w:t>
            </w:r>
          </w:p>
        </w:tc>
        <w:tc>
          <w:tcPr>
            <w:tcW w:w="103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E162D2" w:rsidRPr="00615D19" w:rsidRDefault="00E162D2" w:rsidP="00F77B18">
            <w:pPr>
              <w:tabs>
                <w:tab w:val="left" w:pos="-1134"/>
                <w:tab w:val="left" w:pos="-414"/>
              </w:tabs>
              <w:suppressAutoHyphens/>
              <w:rPr>
                <w:spacing w:val="-3"/>
                <w:sz w:val="20"/>
                <w:szCs w:val="20"/>
              </w:rPr>
            </w:pPr>
            <w:proofErr w:type="gramStart"/>
            <w:r w:rsidRPr="00615D19">
              <w:rPr>
                <w:spacing w:val="-3"/>
                <w:sz w:val="20"/>
                <w:szCs w:val="20"/>
              </w:rPr>
              <w:t>kWh</w:t>
            </w:r>
            <w:proofErr w:type="gramEnd"/>
          </w:p>
        </w:tc>
        <w:tc>
          <w:tcPr>
            <w:tcW w:w="10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E162D2" w:rsidRPr="00615D19" w:rsidRDefault="00E162D2" w:rsidP="00F77B18">
            <w:pPr>
              <w:tabs>
                <w:tab w:val="left" w:pos="-1134"/>
                <w:tab w:val="left" w:pos="-414"/>
              </w:tabs>
              <w:suppressAutoHyphens/>
              <w:rPr>
                <w:spacing w:val="-3"/>
                <w:sz w:val="20"/>
                <w:szCs w:val="20"/>
              </w:rPr>
            </w:pPr>
            <w:proofErr w:type="gramStart"/>
            <w:r w:rsidRPr="00615D19">
              <w:rPr>
                <w:spacing w:val="-3"/>
                <w:sz w:val="20"/>
                <w:szCs w:val="20"/>
              </w:rPr>
              <w:t>kWh</w:t>
            </w:r>
            <w:proofErr w:type="gramEnd"/>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E162D2" w:rsidRPr="00615D19" w:rsidRDefault="00E162D2" w:rsidP="00F77B18">
            <w:pPr>
              <w:tabs>
                <w:tab w:val="left" w:pos="-1134"/>
                <w:tab w:val="left" w:pos="-414"/>
              </w:tabs>
              <w:suppressAutoHyphens/>
              <w:rPr>
                <w:spacing w:val="-3"/>
                <w:sz w:val="20"/>
                <w:szCs w:val="20"/>
              </w:rPr>
            </w:pPr>
            <w:r w:rsidRPr="00615D19">
              <w:rPr>
                <w:b/>
                <w:bCs/>
                <w:spacing w:val="-3"/>
                <w:sz w:val="20"/>
                <w:szCs w:val="20"/>
              </w:rPr>
              <w:t>%</w:t>
            </w:r>
          </w:p>
        </w:tc>
        <w:tc>
          <w:tcPr>
            <w:tcW w:w="7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E162D2" w:rsidRPr="00615D19" w:rsidRDefault="00E162D2" w:rsidP="00F77B18">
            <w:pPr>
              <w:tabs>
                <w:tab w:val="left" w:pos="-1134"/>
                <w:tab w:val="left" w:pos="-414"/>
              </w:tabs>
              <w:suppressAutoHyphens/>
              <w:rPr>
                <w:spacing w:val="-3"/>
                <w:sz w:val="20"/>
                <w:szCs w:val="20"/>
              </w:rPr>
            </w:pPr>
            <w:r w:rsidRPr="00615D19">
              <w:rPr>
                <w:b/>
                <w:bCs/>
                <w:spacing w:val="-3"/>
                <w:sz w:val="20"/>
                <w:szCs w:val="20"/>
              </w:rPr>
              <w:t>%</w:t>
            </w:r>
          </w:p>
        </w:tc>
        <w:tc>
          <w:tcPr>
            <w:tcW w:w="8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E162D2" w:rsidRPr="00615D19" w:rsidRDefault="00E162D2" w:rsidP="00F77B18">
            <w:pPr>
              <w:tabs>
                <w:tab w:val="left" w:pos="-1134"/>
                <w:tab w:val="left" w:pos="-414"/>
              </w:tabs>
              <w:suppressAutoHyphens/>
              <w:rPr>
                <w:spacing w:val="-3"/>
                <w:sz w:val="20"/>
                <w:szCs w:val="20"/>
              </w:rPr>
            </w:pPr>
            <w:r w:rsidRPr="00615D19">
              <w:rPr>
                <w:b/>
                <w:bCs/>
                <w:spacing w:val="-3"/>
                <w:sz w:val="20"/>
                <w:szCs w:val="20"/>
              </w:rPr>
              <w:t>%</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E162D2" w:rsidRPr="00615D19" w:rsidRDefault="00E162D2" w:rsidP="00F77B18">
            <w:pPr>
              <w:tabs>
                <w:tab w:val="left" w:pos="-1134"/>
                <w:tab w:val="left" w:pos="-414"/>
              </w:tabs>
              <w:suppressAutoHyphens/>
              <w:rPr>
                <w:spacing w:val="-3"/>
                <w:sz w:val="20"/>
                <w:szCs w:val="20"/>
              </w:rPr>
            </w:pPr>
            <w:r w:rsidRPr="00615D19">
              <w:rPr>
                <w:b/>
                <w:bCs/>
                <w:spacing w:val="-3"/>
                <w:sz w:val="20"/>
                <w:szCs w:val="20"/>
              </w:rPr>
              <w:t>%</w:t>
            </w:r>
          </w:p>
        </w:tc>
      </w:tr>
      <w:tr w:rsidR="00E162D2" w:rsidRPr="00EA468B" w:rsidTr="00F77B18">
        <w:trPr>
          <w:jc w:val="center"/>
        </w:trPr>
        <w:tc>
          <w:tcPr>
            <w:tcW w:w="808" w:type="dxa"/>
            <w:tcBorders>
              <w:top w:val="single" w:sz="8" w:space="0" w:color="000000"/>
              <w:left w:val="nil"/>
              <w:bottom w:val="nil"/>
              <w:right w:val="nil"/>
            </w:tcBorders>
            <w:vAlign w:val="center"/>
          </w:tcPr>
          <w:p w:rsidR="00E162D2" w:rsidRPr="005A40CD" w:rsidRDefault="00E162D2" w:rsidP="00F77B18">
            <w:pPr>
              <w:jc w:val="both"/>
              <w:rPr>
                <w:sz w:val="20"/>
                <w:szCs w:val="20"/>
              </w:rPr>
            </w:pPr>
            <w:proofErr w:type="spellStart"/>
            <w:r>
              <w:rPr>
                <w:sz w:val="20"/>
                <w:szCs w:val="20"/>
              </w:rPr>
              <w:t>Electric</w:t>
            </w:r>
            <w:proofErr w:type="spellEnd"/>
            <w:r>
              <w:rPr>
                <w:sz w:val="20"/>
                <w:szCs w:val="20"/>
              </w:rPr>
              <w:t xml:space="preserve"> </w:t>
            </w:r>
            <w:proofErr w:type="spellStart"/>
            <w:r>
              <w:rPr>
                <w:sz w:val="20"/>
                <w:szCs w:val="20"/>
              </w:rPr>
              <w:t>energy</w:t>
            </w:r>
            <w:proofErr w:type="spellEnd"/>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F77B18">
            <w:pPr>
              <w:jc w:val="both"/>
              <w:rPr>
                <w:sz w:val="20"/>
                <w:szCs w:val="20"/>
              </w:rPr>
            </w:pPr>
            <w:r>
              <w:rPr>
                <w:sz w:val="20"/>
                <w:szCs w:val="20"/>
              </w:rPr>
              <w:t>Total</w:t>
            </w:r>
          </w:p>
        </w:tc>
        <w:tc>
          <w:tcPr>
            <w:tcW w:w="1031"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35130</w:t>
            </w:r>
          </w:p>
        </w:tc>
        <w:tc>
          <w:tcPr>
            <w:tcW w:w="1000"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34849</w:t>
            </w:r>
          </w:p>
        </w:tc>
        <w:tc>
          <w:tcPr>
            <w:tcW w:w="756"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92.24</w:t>
            </w:r>
          </w:p>
        </w:tc>
        <w:tc>
          <w:tcPr>
            <w:tcW w:w="797"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6.73</w:t>
            </w:r>
          </w:p>
        </w:tc>
        <w:tc>
          <w:tcPr>
            <w:tcW w:w="880"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-0.80</w:t>
            </w:r>
          </w:p>
        </w:tc>
        <w:tc>
          <w:tcPr>
            <w:tcW w:w="110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8.88</w:t>
            </w:r>
          </w:p>
        </w:tc>
      </w:tr>
      <w:tr w:rsidR="00E162D2" w:rsidRPr="00EA468B" w:rsidTr="00F77B18">
        <w:trPr>
          <w:jc w:val="center"/>
        </w:trPr>
        <w:tc>
          <w:tcPr>
            <w:tcW w:w="808" w:type="dxa"/>
            <w:tcBorders>
              <w:top w:val="nil"/>
              <w:left w:val="nil"/>
              <w:bottom w:val="nil"/>
              <w:right w:val="nil"/>
            </w:tcBorders>
            <w:vAlign w:val="center"/>
          </w:tcPr>
          <w:p w:rsidR="00E162D2" w:rsidRPr="005A40CD" w:rsidRDefault="00E162D2" w:rsidP="00F77B18">
            <w:pPr>
              <w:jc w:val="both"/>
              <w:rPr>
                <w:sz w:val="20"/>
                <w:szCs w:val="20"/>
              </w:rPr>
            </w:pPr>
          </w:p>
        </w:tc>
        <w:tc>
          <w:tcPr>
            <w:tcW w:w="1279" w:type="dxa"/>
            <w:tcBorders>
              <w:top w:val="nil"/>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F77B18">
            <w:pPr>
              <w:jc w:val="both"/>
              <w:rPr>
                <w:sz w:val="20"/>
                <w:szCs w:val="20"/>
              </w:rPr>
            </w:pPr>
            <w:r>
              <w:rPr>
                <w:sz w:val="20"/>
                <w:szCs w:val="20"/>
              </w:rPr>
              <w:t>HVAC, DHW</w:t>
            </w:r>
          </w:p>
        </w:tc>
        <w:tc>
          <w:tcPr>
            <w:tcW w:w="1031"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12270</w:t>
            </w:r>
          </w:p>
        </w:tc>
        <w:tc>
          <w:tcPr>
            <w:tcW w:w="1000"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12195</w:t>
            </w:r>
          </w:p>
        </w:tc>
        <w:tc>
          <w:tcPr>
            <w:tcW w:w="756"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95.53</w:t>
            </w:r>
          </w:p>
        </w:tc>
        <w:tc>
          <w:tcPr>
            <w:tcW w:w="797"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13.46</w:t>
            </w:r>
          </w:p>
        </w:tc>
        <w:tc>
          <w:tcPr>
            <w:tcW w:w="880"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-0.61</w:t>
            </w:r>
          </w:p>
        </w:tc>
        <w:tc>
          <w:tcPr>
            <w:tcW w:w="1104" w:type="dxa"/>
            <w:tcBorders>
              <w:top w:val="nil"/>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12.75</w:t>
            </w:r>
          </w:p>
        </w:tc>
      </w:tr>
      <w:tr w:rsidR="00E162D2" w:rsidRPr="00EA468B" w:rsidTr="00F77B18">
        <w:trPr>
          <w:jc w:val="center"/>
        </w:trPr>
        <w:tc>
          <w:tcPr>
            <w:tcW w:w="808" w:type="dxa"/>
            <w:tcBorders>
              <w:top w:val="nil"/>
              <w:left w:val="nil"/>
              <w:bottom w:val="single" w:sz="4" w:space="0" w:color="auto"/>
              <w:right w:val="nil"/>
            </w:tcBorders>
            <w:vAlign w:val="center"/>
          </w:tcPr>
          <w:p w:rsidR="00E162D2" w:rsidRPr="005A40CD" w:rsidRDefault="00E162D2" w:rsidP="00F77B18">
            <w:pPr>
              <w:jc w:val="both"/>
              <w:rPr>
                <w:sz w:val="20"/>
                <w:szCs w:val="20"/>
              </w:rPr>
            </w:pPr>
          </w:p>
        </w:tc>
        <w:tc>
          <w:tcPr>
            <w:tcW w:w="1279"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5A40CD" w:rsidRDefault="00E162D2" w:rsidP="00F77B18">
            <w:pPr>
              <w:jc w:val="both"/>
              <w:rPr>
                <w:sz w:val="20"/>
                <w:szCs w:val="20"/>
              </w:rPr>
            </w:pPr>
            <w:proofErr w:type="spellStart"/>
            <w:r>
              <w:rPr>
                <w:sz w:val="20"/>
                <w:szCs w:val="20"/>
              </w:rPr>
              <w:t>Appliances</w:t>
            </w:r>
            <w:proofErr w:type="spellEnd"/>
            <w:r>
              <w:rPr>
                <w:sz w:val="20"/>
                <w:szCs w:val="20"/>
              </w:rPr>
              <w:t xml:space="preserve"> and </w:t>
            </w:r>
            <w:proofErr w:type="spellStart"/>
            <w:r>
              <w:rPr>
                <w:sz w:val="20"/>
                <w:szCs w:val="20"/>
              </w:rPr>
              <w:t>lighting</w:t>
            </w:r>
            <w:proofErr w:type="spellEnd"/>
          </w:p>
        </w:tc>
        <w:tc>
          <w:tcPr>
            <w:tcW w:w="1031"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22860</w:t>
            </w:r>
          </w:p>
        </w:tc>
        <w:tc>
          <w:tcPr>
            <w:tcW w:w="1000"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22872</w:t>
            </w:r>
          </w:p>
        </w:tc>
        <w:tc>
          <w:tcPr>
            <w:tcW w:w="756"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85.26</w:t>
            </w:r>
          </w:p>
        </w:tc>
        <w:tc>
          <w:tcPr>
            <w:tcW w:w="797"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6.21</w:t>
            </w:r>
          </w:p>
        </w:tc>
        <w:tc>
          <w:tcPr>
            <w:tcW w:w="880"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0.05</w:t>
            </w:r>
          </w:p>
        </w:tc>
        <w:tc>
          <w:tcPr>
            <w:tcW w:w="1104"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7.31</w:t>
            </w:r>
          </w:p>
        </w:tc>
      </w:tr>
      <w:tr w:rsidR="00E162D2" w:rsidRPr="00EA468B" w:rsidTr="00F77B18">
        <w:trPr>
          <w:jc w:val="center"/>
        </w:trPr>
        <w:tc>
          <w:tcPr>
            <w:tcW w:w="808" w:type="dxa"/>
            <w:tcBorders>
              <w:top w:val="single" w:sz="4" w:space="0" w:color="auto"/>
              <w:left w:val="nil"/>
              <w:bottom w:val="nil"/>
              <w:right w:val="nil"/>
            </w:tcBorders>
            <w:vAlign w:val="center"/>
          </w:tcPr>
          <w:p w:rsidR="00E162D2" w:rsidRPr="005A40CD" w:rsidRDefault="00E162D2" w:rsidP="00F77B18">
            <w:pPr>
              <w:jc w:val="both"/>
              <w:rPr>
                <w:sz w:val="20"/>
                <w:szCs w:val="20"/>
              </w:rPr>
            </w:pPr>
            <w:r>
              <w:rPr>
                <w:sz w:val="20"/>
                <w:szCs w:val="20"/>
              </w:rPr>
              <w:t xml:space="preserve">Thermal </w:t>
            </w:r>
            <w:proofErr w:type="spellStart"/>
            <w:r>
              <w:rPr>
                <w:sz w:val="20"/>
                <w:szCs w:val="20"/>
              </w:rPr>
              <w:t>energy</w:t>
            </w:r>
            <w:proofErr w:type="spellEnd"/>
          </w:p>
        </w:tc>
        <w:tc>
          <w:tcPr>
            <w:tcW w:w="1279"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5A40CD" w:rsidRDefault="00E162D2" w:rsidP="00F77B18">
            <w:pPr>
              <w:jc w:val="both"/>
              <w:rPr>
                <w:sz w:val="20"/>
                <w:szCs w:val="20"/>
              </w:rPr>
            </w:pPr>
            <w:proofErr w:type="spellStart"/>
            <w:r>
              <w:rPr>
                <w:sz w:val="20"/>
                <w:szCs w:val="20"/>
              </w:rPr>
              <w:t>Heating</w:t>
            </w:r>
            <w:proofErr w:type="spellEnd"/>
          </w:p>
        </w:tc>
        <w:tc>
          <w:tcPr>
            <w:tcW w:w="1031"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23790</w:t>
            </w:r>
          </w:p>
        </w:tc>
        <w:tc>
          <w:tcPr>
            <w:tcW w:w="1000"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23798</w:t>
            </w:r>
          </w:p>
        </w:tc>
        <w:tc>
          <w:tcPr>
            <w:tcW w:w="756"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99.30</w:t>
            </w:r>
          </w:p>
        </w:tc>
        <w:tc>
          <w:tcPr>
            <w:tcW w:w="797"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9.26</w:t>
            </w:r>
          </w:p>
        </w:tc>
        <w:tc>
          <w:tcPr>
            <w:tcW w:w="880"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0.03</w:t>
            </w:r>
          </w:p>
        </w:tc>
        <w:tc>
          <w:tcPr>
            <w:tcW w:w="110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6.20</w:t>
            </w:r>
          </w:p>
        </w:tc>
      </w:tr>
      <w:tr w:rsidR="00E162D2" w:rsidRPr="00EA468B" w:rsidTr="00F77B18">
        <w:trPr>
          <w:jc w:val="center"/>
        </w:trPr>
        <w:tc>
          <w:tcPr>
            <w:tcW w:w="808" w:type="dxa"/>
            <w:tcBorders>
              <w:top w:val="nil"/>
              <w:left w:val="nil"/>
              <w:bottom w:val="single" w:sz="8" w:space="0" w:color="000000"/>
              <w:right w:val="nil"/>
            </w:tcBorders>
            <w:vAlign w:val="center"/>
          </w:tcPr>
          <w:p w:rsidR="00E162D2" w:rsidRPr="005A40CD" w:rsidRDefault="00E162D2" w:rsidP="00F77B18">
            <w:pPr>
              <w:jc w:val="both"/>
              <w:rPr>
                <w:sz w:val="20"/>
                <w:szCs w:val="20"/>
              </w:rPr>
            </w:pPr>
          </w:p>
        </w:tc>
        <w:tc>
          <w:tcPr>
            <w:tcW w:w="1279"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5A40CD" w:rsidRDefault="00E162D2" w:rsidP="00F77B18">
            <w:pPr>
              <w:jc w:val="both"/>
              <w:rPr>
                <w:sz w:val="20"/>
                <w:szCs w:val="20"/>
              </w:rPr>
            </w:pPr>
            <w:proofErr w:type="spellStart"/>
            <w:r>
              <w:rPr>
                <w:sz w:val="20"/>
                <w:szCs w:val="20"/>
              </w:rPr>
              <w:t>Cooling</w:t>
            </w:r>
            <w:proofErr w:type="spellEnd"/>
          </w:p>
        </w:tc>
        <w:tc>
          <w:tcPr>
            <w:tcW w:w="1031"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6838</w:t>
            </w:r>
          </w:p>
        </w:tc>
        <w:tc>
          <w:tcPr>
            <w:tcW w:w="100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6827</w:t>
            </w:r>
          </w:p>
        </w:tc>
        <w:tc>
          <w:tcPr>
            <w:tcW w:w="756"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96.47</w:t>
            </w:r>
          </w:p>
        </w:tc>
        <w:tc>
          <w:tcPr>
            <w:tcW w:w="797"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3.65</w:t>
            </w:r>
          </w:p>
        </w:tc>
        <w:tc>
          <w:tcPr>
            <w:tcW w:w="88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-0.16</w:t>
            </w:r>
          </w:p>
        </w:tc>
        <w:tc>
          <w:tcPr>
            <w:tcW w:w="1104"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162D2" w:rsidRPr="00E162D2" w:rsidRDefault="00E162D2" w:rsidP="00F77B18">
            <w:pPr>
              <w:tabs>
                <w:tab w:val="left" w:pos="-720"/>
              </w:tabs>
              <w:suppressAutoHyphens/>
              <w:rPr>
                <w:spacing w:val="-3"/>
                <w:sz w:val="20"/>
                <w:szCs w:val="20"/>
              </w:rPr>
            </w:pPr>
            <w:r w:rsidRPr="00E162D2">
              <w:rPr>
                <w:spacing w:val="-3"/>
                <w:sz w:val="20"/>
                <w:szCs w:val="20"/>
              </w:rPr>
              <w:t>11.93</w:t>
            </w:r>
          </w:p>
        </w:tc>
      </w:tr>
    </w:tbl>
    <w:p w:rsidR="00E162D2" w:rsidRDefault="00E162D2" w:rsidP="00E162D2">
      <w:pPr>
        <w:jc w:val="both"/>
      </w:pPr>
    </w:p>
    <w:p w:rsidR="000A1FE3" w:rsidRDefault="002822B9">
      <w:pPr>
        <w:jc w:val="both"/>
        <w:rPr>
          <w:spacing w:val="-2"/>
          <w:lang w:val="en-GB"/>
        </w:rPr>
      </w:pPr>
      <w:proofErr w:type="gramStart"/>
      <w:r>
        <w:rPr>
          <w:spacing w:val="-2"/>
          <w:lang w:val="en-GB"/>
        </w:rPr>
        <w:t>However, d</w:t>
      </w:r>
      <w:r w:rsidR="003A7D4A" w:rsidRPr="002822B9">
        <w:rPr>
          <w:spacing w:val="-2"/>
          <w:lang w:val="en-GB"/>
        </w:rPr>
        <w:t>ue to the fact that t</w:t>
      </w:r>
      <w:r w:rsidRPr="002822B9">
        <w:rPr>
          <w:spacing w:val="-2"/>
          <w:lang w:val="en-GB"/>
        </w:rPr>
        <w:t>he</w:t>
      </w:r>
      <w:r>
        <w:rPr>
          <w:spacing w:val="-2"/>
          <w:lang w:val="en-GB"/>
        </w:rPr>
        <w:t xml:space="preserve"> </w:t>
      </w:r>
      <w:r w:rsidR="000A1FE3">
        <w:rPr>
          <w:spacing w:val="-2"/>
          <w:lang w:val="en-GB"/>
        </w:rPr>
        <w:t xml:space="preserve">results of </w:t>
      </w:r>
      <w:r>
        <w:rPr>
          <w:spacing w:val="-2"/>
          <w:lang w:val="en-GB"/>
        </w:rPr>
        <w:t>model</w:t>
      </w:r>
      <w:r w:rsidR="00CE6226">
        <w:rPr>
          <w:spacing w:val="-2"/>
          <w:lang w:val="en-GB"/>
        </w:rPr>
        <w:t xml:space="preserve"> formulation</w:t>
      </w:r>
      <w:r w:rsidR="000A1FE3">
        <w:rPr>
          <w:spacing w:val="-2"/>
          <w:lang w:val="en-GB"/>
        </w:rPr>
        <w:t>s reported</w:t>
      </w:r>
      <w:r w:rsidR="00CE6226">
        <w:rPr>
          <w:spacing w:val="-2"/>
          <w:lang w:val="en-GB"/>
        </w:rPr>
        <w:t xml:space="preserve"> in Tables </w:t>
      </w:r>
      <w:r w:rsidR="00B92F2D">
        <w:rPr>
          <w:spacing w:val="-2"/>
          <w:lang w:val="en-GB"/>
        </w:rPr>
        <w:t xml:space="preserve">8 </w:t>
      </w:r>
      <w:r w:rsidR="00CE6226">
        <w:rPr>
          <w:spacing w:val="-2"/>
          <w:lang w:val="en-GB"/>
        </w:rPr>
        <w:t xml:space="preserve">and </w:t>
      </w:r>
      <w:r w:rsidR="00B92F2D">
        <w:rPr>
          <w:spacing w:val="-2"/>
          <w:lang w:val="en-GB"/>
        </w:rPr>
        <w:t xml:space="preserve">9 </w:t>
      </w:r>
      <w:r w:rsidR="00CE6226">
        <w:rPr>
          <w:spacing w:val="-2"/>
          <w:lang w:val="en-GB"/>
        </w:rPr>
        <w:t>use dummy variables (0-1)</w:t>
      </w:r>
      <w:r w:rsidR="000A1FE3">
        <w:rPr>
          <w:spacing w:val="-2"/>
          <w:lang w:val="en-GB"/>
        </w:rPr>
        <w:t xml:space="preserve">, which </w:t>
      </w:r>
      <w:r w:rsidR="00CE6226">
        <w:rPr>
          <w:spacing w:val="-2"/>
          <w:lang w:val="en-GB"/>
        </w:rPr>
        <w:t>are used essentially to include/exclude (turn on-off) part of the models</w:t>
      </w:r>
      <w:r w:rsidR="000A1FE3">
        <w:rPr>
          <w:spacing w:val="-2"/>
          <w:lang w:val="en-GB"/>
        </w:rPr>
        <w:t>,</w:t>
      </w:r>
      <w:r w:rsidR="00CE6226">
        <w:rPr>
          <w:spacing w:val="-2"/>
          <w:lang w:val="en-GB"/>
        </w:rPr>
        <w:t xml:space="preserve"> </w:t>
      </w:r>
      <w:r w:rsidR="00DE0CF6" w:rsidRPr="00BD2AFA">
        <w:rPr>
          <w:spacing w:val="-2"/>
          <w:lang w:val="en-GB"/>
        </w:rPr>
        <w:t>there are</w:t>
      </w:r>
      <w:r w:rsidR="00CE6226" w:rsidRPr="00DE0CF6">
        <w:rPr>
          <w:spacing w:val="-2"/>
          <w:lang w:val="en-GB"/>
        </w:rPr>
        <w:t xml:space="preserve"> conditions where the output is 0, in particul</w:t>
      </w:r>
      <w:r w:rsidR="00CE6226">
        <w:rPr>
          <w:spacing w:val="-2"/>
          <w:lang w:val="en-GB"/>
        </w:rPr>
        <w:t xml:space="preserve">ar for the thermal model for heating in summer (no-heating) and, </w:t>
      </w:r>
      <w:proofErr w:type="spellStart"/>
      <w:r w:rsidR="00CE6226">
        <w:rPr>
          <w:spacing w:val="-2"/>
          <w:lang w:val="en-GB"/>
        </w:rPr>
        <w:t>viceversa</w:t>
      </w:r>
      <w:proofErr w:type="spellEnd"/>
      <w:r w:rsidR="00CE6226">
        <w:rPr>
          <w:spacing w:val="-2"/>
          <w:lang w:val="en-GB"/>
        </w:rPr>
        <w:t>, the thermal model for cooling in winter (no-cooling).</w:t>
      </w:r>
      <w:proofErr w:type="gramEnd"/>
      <w:r w:rsidR="00CE6226">
        <w:rPr>
          <w:spacing w:val="-2"/>
          <w:lang w:val="en-GB"/>
        </w:rPr>
        <w:t xml:space="preserve"> </w:t>
      </w:r>
    </w:p>
    <w:p w:rsidR="002822B9" w:rsidRPr="002822B9" w:rsidRDefault="00CE6226">
      <w:pPr>
        <w:jc w:val="both"/>
        <w:rPr>
          <w:spacing w:val="-2"/>
          <w:lang w:val="en-GB"/>
        </w:rPr>
      </w:pPr>
      <w:r>
        <w:rPr>
          <w:spacing w:val="-2"/>
          <w:lang w:val="en-GB"/>
        </w:rPr>
        <w:t>This effect determines a series of point</w:t>
      </w:r>
      <w:r w:rsidR="00716C32">
        <w:rPr>
          <w:spacing w:val="-2"/>
          <w:lang w:val="en-GB"/>
        </w:rPr>
        <w:t>s</w:t>
      </w:r>
      <w:r>
        <w:rPr>
          <w:spacing w:val="-2"/>
          <w:lang w:val="en-GB"/>
        </w:rPr>
        <w:t xml:space="preserve"> (</w:t>
      </w:r>
      <w:r w:rsidR="000A1FE3">
        <w:rPr>
          <w:spacing w:val="-2"/>
          <w:lang w:val="en-GB"/>
        </w:rPr>
        <w:t xml:space="preserve">with </w:t>
      </w:r>
      <w:r>
        <w:rPr>
          <w:spacing w:val="-2"/>
          <w:lang w:val="en-GB"/>
        </w:rPr>
        <w:t xml:space="preserve">output equal to 0) that have to </w:t>
      </w:r>
      <w:proofErr w:type="gramStart"/>
      <w:r>
        <w:rPr>
          <w:spacing w:val="-2"/>
          <w:lang w:val="en-GB"/>
        </w:rPr>
        <w:t>be excluded</w:t>
      </w:r>
      <w:proofErr w:type="gramEnd"/>
      <w:r>
        <w:rPr>
          <w:spacing w:val="-2"/>
          <w:lang w:val="en-GB"/>
        </w:rPr>
        <w:t xml:space="preserve"> from the computation of statistical indicators. For this reason, statistical indicators </w:t>
      </w:r>
      <w:proofErr w:type="gramStart"/>
      <w:r>
        <w:rPr>
          <w:spacing w:val="-2"/>
          <w:lang w:val="en-GB"/>
        </w:rPr>
        <w:t xml:space="preserve">are re-computed by excluding zeros and reported in Table </w:t>
      </w:r>
      <w:r w:rsidR="00B92F2D">
        <w:rPr>
          <w:spacing w:val="-2"/>
          <w:lang w:val="en-GB"/>
        </w:rPr>
        <w:t xml:space="preserve">10 </w:t>
      </w:r>
      <w:r>
        <w:rPr>
          <w:spacing w:val="-2"/>
          <w:lang w:val="en-GB"/>
        </w:rPr>
        <w:t>hereafter for the thermal demand (heating and cooling) sub-models</w:t>
      </w:r>
      <w:proofErr w:type="gramEnd"/>
      <w:r>
        <w:rPr>
          <w:spacing w:val="-2"/>
          <w:lang w:val="en-GB"/>
        </w:rPr>
        <w:t xml:space="preserve">. The statistical indicators present some differences but all the models </w:t>
      </w:r>
      <w:proofErr w:type="gramStart"/>
      <w:r>
        <w:rPr>
          <w:spacing w:val="-2"/>
          <w:lang w:val="en-GB"/>
        </w:rPr>
        <w:t>are still calibrated</w:t>
      </w:r>
      <w:proofErr w:type="gramEnd"/>
      <w:r>
        <w:rPr>
          <w:spacing w:val="-2"/>
          <w:lang w:val="en-GB"/>
        </w:rPr>
        <w:t xml:space="preserve"> according to thresholds in Table 5, except for type 1 cooling model.</w:t>
      </w:r>
    </w:p>
    <w:p w:rsidR="002822B9" w:rsidRDefault="002822B9" w:rsidP="005A4664">
      <w:pPr>
        <w:rPr>
          <w:spacing w:val="-2"/>
          <w:highlight w:val="yellow"/>
          <w:lang w:val="en-GB"/>
        </w:rPr>
      </w:pPr>
    </w:p>
    <w:p w:rsidR="00E162D2" w:rsidRDefault="00E162D2" w:rsidP="00E162D2">
      <w:pPr>
        <w:jc w:val="center"/>
        <w:rPr>
          <w:i/>
          <w:color w:val="000000"/>
          <w:lang w:val="en-GB"/>
        </w:rPr>
      </w:pPr>
      <w:r w:rsidRPr="00E7318F">
        <w:rPr>
          <w:i/>
          <w:color w:val="000000"/>
          <w:lang w:val="en-GB"/>
        </w:rPr>
        <w:t xml:space="preserve">Table </w:t>
      </w:r>
      <w:r w:rsidRPr="00E7318F">
        <w:rPr>
          <w:i/>
          <w:lang w:val="en-GB"/>
        </w:rPr>
        <w:fldChar w:fldCharType="begin"/>
      </w:r>
      <w:r w:rsidRPr="00E7318F">
        <w:rPr>
          <w:i/>
          <w:lang w:val="en-GB"/>
        </w:rPr>
        <w:instrText xml:space="preserve"> SEQ Table \* ARABIC </w:instrText>
      </w:r>
      <w:r w:rsidRPr="00E7318F">
        <w:rPr>
          <w:i/>
          <w:lang w:val="en-GB"/>
        </w:rPr>
        <w:fldChar w:fldCharType="separate"/>
      </w:r>
      <w:r w:rsidR="00F324A0">
        <w:rPr>
          <w:i/>
          <w:noProof/>
          <w:lang w:val="en-GB"/>
        </w:rPr>
        <w:t>10</w:t>
      </w:r>
      <w:r w:rsidRPr="00E7318F">
        <w:rPr>
          <w:i/>
          <w:lang w:val="en-GB"/>
        </w:rPr>
        <w:fldChar w:fldCharType="end"/>
      </w:r>
      <w:r w:rsidRPr="00E7318F">
        <w:rPr>
          <w:i/>
          <w:color w:val="000000"/>
          <w:lang w:val="en-GB"/>
        </w:rPr>
        <w:t xml:space="preserve">: </w:t>
      </w:r>
      <w:r w:rsidRPr="00FE01AF">
        <w:rPr>
          <w:i/>
          <w:color w:val="000000"/>
          <w:lang w:val="en-GB"/>
        </w:rPr>
        <w:t>Results of analysis of measured and predicted data for the monitoring period</w:t>
      </w:r>
      <w:r>
        <w:rPr>
          <w:i/>
          <w:color w:val="000000"/>
          <w:lang w:val="en-GB"/>
        </w:rPr>
        <w:t xml:space="preserve"> – Statistical indicators recomputed for thermal demand sub-models</w:t>
      </w:r>
    </w:p>
    <w:tbl>
      <w:tblPr>
        <w:tblW w:w="5624" w:type="dxa"/>
        <w:jc w:val="center"/>
        <w:tblCellMar>
          <w:left w:w="0" w:type="dxa"/>
          <w:right w:w="0" w:type="dxa"/>
        </w:tblCellMar>
        <w:tblLook w:val="04A0" w:firstRow="1" w:lastRow="0" w:firstColumn="1" w:lastColumn="0" w:noHBand="0" w:noVBand="1"/>
      </w:tblPr>
      <w:tblGrid>
        <w:gridCol w:w="808"/>
        <w:gridCol w:w="1279"/>
        <w:gridCol w:w="756"/>
        <w:gridCol w:w="797"/>
        <w:gridCol w:w="880"/>
        <w:gridCol w:w="1104"/>
      </w:tblGrid>
      <w:tr w:rsidR="00412B4B" w:rsidRPr="00EA468B" w:rsidTr="00F77B18">
        <w:trPr>
          <w:trHeight w:val="270"/>
          <w:jc w:val="center"/>
        </w:trPr>
        <w:tc>
          <w:tcPr>
            <w:tcW w:w="808" w:type="dxa"/>
            <w:tcBorders>
              <w:top w:val="single" w:sz="8" w:space="0" w:color="000000"/>
              <w:left w:val="nil"/>
              <w:bottom w:val="nil"/>
              <w:right w:val="nil"/>
            </w:tcBorders>
            <w:vAlign w:val="center"/>
          </w:tcPr>
          <w:p w:rsidR="00412B4B" w:rsidRPr="00EA468B" w:rsidRDefault="00412B4B" w:rsidP="00F77B18">
            <w:pPr>
              <w:tabs>
                <w:tab w:val="left" w:pos="-1134"/>
                <w:tab w:val="left" w:pos="-414"/>
              </w:tabs>
              <w:suppressAutoHyphens/>
              <w:jc w:val="both"/>
              <w:rPr>
                <w:b/>
                <w:bCs/>
                <w:spacing w:val="-3"/>
                <w:sz w:val="20"/>
                <w:szCs w:val="20"/>
              </w:rPr>
            </w:pPr>
            <w:r>
              <w:rPr>
                <w:b/>
                <w:bCs/>
                <w:spacing w:val="-3"/>
                <w:sz w:val="20"/>
                <w:szCs w:val="20"/>
              </w:rPr>
              <w:t>Model</w:t>
            </w:r>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jc w:val="both"/>
              <w:rPr>
                <w:b/>
                <w:bCs/>
                <w:spacing w:val="-3"/>
                <w:sz w:val="20"/>
                <w:szCs w:val="20"/>
              </w:rPr>
            </w:pPr>
            <w:r>
              <w:rPr>
                <w:b/>
                <w:bCs/>
                <w:spacing w:val="-3"/>
                <w:sz w:val="20"/>
                <w:szCs w:val="20"/>
              </w:rPr>
              <w:t>End-use</w:t>
            </w:r>
          </w:p>
        </w:tc>
        <w:tc>
          <w:tcPr>
            <w:tcW w:w="3537" w:type="dxa"/>
            <w:gridSpan w:val="4"/>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jc w:val="center"/>
              <w:rPr>
                <w:b/>
                <w:bCs/>
                <w:i/>
                <w:iCs/>
                <w:spacing w:val="-3"/>
                <w:sz w:val="20"/>
                <w:szCs w:val="20"/>
              </w:rPr>
            </w:pPr>
            <w:r w:rsidRPr="00EA468B">
              <w:rPr>
                <w:b/>
                <w:bCs/>
                <w:spacing w:val="-3"/>
                <w:sz w:val="20"/>
                <w:szCs w:val="20"/>
              </w:rPr>
              <w:t xml:space="preserve">Statistical </w:t>
            </w:r>
            <w:proofErr w:type="spellStart"/>
            <w:r w:rsidRPr="00EA468B">
              <w:rPr>
                <w:b/>
                <w:bCs/>
                <w:spacing w:val="-3"/>
                <w:sz w:val="20"/>
                <w:szCs w:val="20"/>
              </w:rPr>
              <w:t>indicators</w:t>
            </w:r>
            <w:proofErr w:type="spellEnd"/>
          </w:p>
        </w:tc>
      </w:tr>
      <w:tr w:rsidR="00412B4B" w:rsidRPr="00EA468B" w:rsidTr="00F77B18">
        <w:trPr>
          <w:trHeight w:val="270"/>
          <w:jc w:val="center"/>
        </w:trPr>
        <w:tc>
          <w:tcPr>
            <w:tcW w:w="808" w:type="dxa"/>
            <w:tcBorders>
              <w:top w:val="single" w:sz="8" w:space="0" w:color="000000"/>
              <w:left w:val="nil"/>
              <w:bottom w:val="nil"/>
              <w:right w:val="nil"/>
            </w:tcBorders>
            <w:vAlign w:val="center"/>
          </w:tcPr>
          <w:p w:rsidR="00412B4B" w:rsidRPr="00EA468B" w:rsidRDefault="00412B4B" w:rsidP="00F77B18">
            <w:pPr>
              <w:tabs>
                <w:tab w:val="left" w:pos="-1134"/>
                <w:tab w:val="left" w:pos="-414"/>
              </w:tabs>
              <w:suppressAutoHyphens/>
              <w:jc w:val="both"/>
              <w:rPr>
                <w:b/>
                <w:bCs/>
                <w:spacing w:val="-3"/>
                <w:sz w:val="20"/>
                <w:szCs w:val="20"/>
              </w:rPr>
            </w:pPr>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jc w:val="both"/>
              <w:rPr>
                <w:b/>
                <w:bCs/>
                <w:spacing w:val="-3"/>
                <w:sz w:val="20"/>
                <w:szCs w:val="20"/>
              </w:rPr>
            </w:pPr>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rPr>
                <w:spacing w:val="-3"/>
                <w:sz w:val="20"/>
                <w:szCs w:val="20"/>
              </w:rPr>
            </w:pPr>
            <w:r w:rsidRPr="00EA468B">
              <w:rPr>
                <w:b/>
                <w:bCs/>
                <w:i/>
                <w:iCs/>
                <w:spacing w:val="-3"/>
                <w:sz w:val="20"/>
                <w:szCs w:val="20"/>
              </w:rPr>
              <w:t>R</w:t>
            </w:r>
            <w:r w:rsidRPr="00EA468B">
              <w:rPr>
                <w:b/>
                <w:bCs/>
                <w:i/>
                <w:iCs/>
                <w:spacing w:val="-3"/>
                <w:sz w:val="20"/>
                <w:szCs w:val="20"/>
                <w:vertAlign w:val="superscript"/>
              </w:rPr>
              <w:t>2</w:t>
            </w:r>
          </w:p>
        </w:tc>
        <w:tc>
          <w:tcPr>
            <w:tcW w:w="7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rPr>
                <w:spacing w:val="-3"/>
                <w:sz w:val="20"/>
                <w:szCs w:val="20"/>
              </w:rPr>
            </w:pPr>
            <w:r w:rsidRPr="00EA468B">
              <w:rPr>
                <w:b/>
                <w:bCs/>
                <w:i/>
                <w:iCs/>
                <w:spacing w:val="-3"/>
                <w:sz w:val="20"/>
                <w:szCs w:val="20"/>
              </w:rPr>
              <w:t>MAPE</w:t>
            </w:r>
          </w:p>
        </w:tc>
        <w:tc>
          <w:tcPr>
            <w:tcW w:w="8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rPr>
                <w:spacing w:val="-3"/>
                <w:sz w:val="20"/>
                <w:szCs w:val="20"/>
              </w:rPr>
            </w:pPr>
            <w:r w:rsidRPr="00EA468B">
              <w:rPr>
                <w:b/>
                <w:bCs/>
                <w:i/>
                <w:iCs/>
                <w:spacing w:val="-3"/>
                <w:sz w:val="20"/>
                <w:szCs w:val="20"/>
              </w:rPr>
              <w:t>NMBE</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412B4B" w:rsidRPr="00EA468B" w:rsidRDefault="00412B4B" w:rsidP="00F77B18">
            <w:pPr>
              <w:tabs>
                <w:tab w:val="left" w:pos="-1134"/>
                <w:tab w:val="left" w:pos="-414"/>
              </w:tabs>
              <w:suppressAutoHyphens/>
              <w:rPr>
                <w:spacing w:val="-3"/>
                <w:sz w:val="20"/>
                <w:szCs w:val="20"/>
              </w:rPr>
            </w:pPr>
            <w:r w:rsidRPr="00EA468B">
              <w:rPr>
                <w:b/>
                <w:bCs/>
                <w:i/>
                <w:iCs/>
                <w:spacing w:val="-3"/>
                <w:sz w:val="20"/>
                <w:szCs w:val="20"/>
              </w:rPr>
              <w:t>Cv(RMSE)</w:t>
            </w:r>
          </w:p>
        </w:tc>
      </w:tr>
      <w:tr w:rsidR="00412B4B" w:rsidRPr="00EA468B" w:rsidTr="00F77B18">
        <w:trPr>
          <w:trHeight w:val="270"/>
          <w:jc w:val="center"/>
        </w:trPr>
        <w:tc>
          <w:tcPr>
            <w:tcW w:w="808" w:type="dxa"/>
            <w:tcBorders>
              <w:top w:val="nil"/>
              <w:left w:val="nil"/>
              <w:bottom w:val="single" w:sz="8" w:space="0" w:color="000000"/>
              <w:right w:val="nil"/>
            </w:tcBorders>
          </w:tcPr>
          <w:p w:rsidR="00412B4B" w:rsidRPr="00EA468B" w:rsidRDefault="00412B4B" w:rsidP="00F77B18">
            <w:pPr>
              <w:tabs>
                <w:tab w:val="left" w:pos="-1134"/>
                <w:tab w:val="left" w:pos="-414"/>
              </w:tabs>
              <w:suppressAutoHyphens/>
              <w:jc w:val="both"/>
              <w:rPr>
                <w:b/>
                <w:bCs/>
                <w:spacing w:val="-3"/>
                <w:sz w:val="20"/>
                <w:szCs w:val="20"/>
              </w:rPr>
            </w:pPr>
          </w:p>
        </w:tc>
        <w:tc>
          <w:tcPr>
            <w:tcW w:w="127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412B4B" w:rsidRPr="00EA468B" w:rsidRDefault="00412B4B" w:rsidP="00F77B18">
            <w:pPr>
              <w:tabs>
                <w:tab w:val="left" w:pos="-1134"/>
                <w:tab w:val="left" w:pos="-414"/>
              </w:tabs>
              <w:suppressAutoHyphens/>
              <w:jc w:val="both"/>
              <w:rPr>
                <w:spacing w:val="-3"/>
                <w:sz w:val="20"/>
                <w:szCs w:val="20"/>
              </w:rPr>
            </w:pPr>
            <w:r w:rsidRPr="00EA468B">
              <w:rPr>
                <w:b/>
                <w:bCs/>
                <w:spacing w:val="-3"/>
                <w:sz w:val="20"/>
                <w:szCs w:val="20"/>
              </w:rPr>
              <w:t> </w:t>
            </w:r>
          </w:p>
        </w:tc>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412B4B" w:rsidRPr="00615D19" w:rsidRDefault="00412B4B" w:rsidP="00F77B18">
            <w:pPr>
              <w:tabs>
                <w:tab w:val="left" w:pos="-1134"/>
                <w:tab w:val="left" w:pos="-414"/>
              </w:tabs>
              <w:suppressAutoHyphens/>
              <w:rPr>
                <w:spacing w:val="-3"/>
                <w:sz w:val="20"/>
                <w:szCs w:val="20"/>
              </w:rPr>
            </w:pPr>
            <w:r w:rsidRPr="00615D19">
              <w:rPr>
                <w:b/>
                <w:bCs/>
                <w:spacing w:val="-3"/>
                <w:sz w:val="20"/>
                <w:szCs w:val="20"/>
              </w:rPr>
              <w:t>%</w:t>
            </w:r>
          </w:p>
        </w:tc>
        <w:tc>
          <w:tcPr>
            <w:tcW w:w="7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412B4B" w:rsidRPr="00615D19" w:rsidRDefault="00412B4B" w:rsidP="00F77B18">
            <w:pPr>
              <w:tabs>
                <w:tab w:val="left" w:pos="-1134"/>
                <w:tab w:val="left" w:pos="-414"/>
              </w:tabs>
              <w:suppressAutoHyphens/>
              <w:rPr>
                <w:spacing w:val="-3"/>
                <w:sz w:val="20"/>
                <w:szCs w:val="20"/>
              </w:rPr>
            </w:pPr>
            <w:r w:rsidRPr="00615D19">
              <w:rPr>
                <w:b/>
                <w:bCs/>
                <w:spacing w:val="-3"/>
                <w:sz w:val="20"/>
                <w:szCs w:val="20"/>
              </w:rPr>
              <w:t>%</w:t>
            </w:r>
          </w:p>
        </w:tc>
        <w:tc>
          <w:tcPr>
            <w:tcW w:w="8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412B4B" w:rsidRPr="00615D19" w:rsidRDefault="00412B4B" w:rsidP="00F77B18">
            <w:pPr>
              <w:tabs>
                <w:tab w:val="left" w:pos="-1134"/>
                <w:tab w:val="left" w:pos="-414"/>
              </w:tabs>
              <w:suppressAutoHyphens/>
              <w:rPr>
                <w:spacing w:val="-3"/>
                <w:sz w:val="20"/>
                <w:szCs w:val="20"/>
              </w:rPr>
            </w:pPr>
            <w:r w:rsidRPr="00615D19">
              <w:rPr>
                <w:b/>
                <w:bCs/>
                <w:spacing w:val="-3"/>
                <w:sz w:val="20"/>
                <w:szCs w:val="20"/>
              </w:rPr>
              <w:t>%</w:t>
            </w:r>
          </w:p>
        </w:tc>
        <w:tc>
          <w:tcPr>
            <w:tcW w:w="11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412B4B" w:rsidRPr="00615D19" w:rsidRDefault="00412B4B" w:rsidP="00F77B18">
            <w:pPr>
              <w:tabs>
                <w:tab w:val="left" w:pos="-1134"/>
                <w:tab w:val="left" w:pos="-414"/>
              </w:tabs>
              <w:suppressAutoHyphens/>
              <w:rPr>
                <w:spacing w:val="-3"/>
                <w:sz w:val="20"/>
                <w:szCs w:val="20"/>
              </w:rPr>
            </w:pPr>
            <w:r w:rsidRPr="00615D19">
              <w:rPr>
                <w:b/>
                <w:bCs/>
                <w:spacing w:val="-3"/>
                <w:sz w:val="20"/>
                <w:szCs w:val="20"/>
              </w:rPr>
              <w:t>%</w:t>
            </w:r>
          </w:p>
        </w:tc>
      </w:tr>
      <w:tr w:rsidR="004938D0" w:rsidRPr="00EA468B" w:rsidTr="00F77B18">
        <w:trPr>
          <w:jc w:val="center"/>
        </w:trPr>
        <w:tc>
          <w:tcPr>
            <w:tcW w:w="808" w:type="dxa"/>
            <w:tcBorders>
              <w:top w:val="single" w:sz="8" w:space="0" w:color="000000"/>
              <w:left w:val="nil"/>
              <w:bottom w:val="nil"/>
              <w:right w:val="nil"/>
            </w:tcBorders>
            <w:vAlign w:val="center"/>
          </w:tcPr>
          <w:p w:rsidR="004938D0" w:rsidRPr="005A40CD" w:rsidRDefault="004938D0" w:rsidP="004938D0">
            <w:pPr>
              <w:jc w:val="both"/>
              <w:rPr>
                <w:sz w:val="20"/>
                <w:szCs w:val="20"/>
              </w:rPr>
            </w:pPr>
            <w:proofErr w:type="spellStart"/>
            <w:r>
              <w:rPr>
                <w:sz w:val="20"/>
                <w:szCs w:val="20"/>
              </w:rPr>
              <w:t>Type</w:t>
            </w:r>
            <w:proofErr w:type="spellEnd"/>
            <w:r>
              <w:rPr>
                <w:sz w:val="20"/>
                <w:szCs w:val="20"/>
              </w:rPr>
              <w:t xml:space="preserve"> 1</w:t>
            </w:r>
          </w:p>
        </w:tc>
        <w:tc>
          <w:tcPr>
            <w:tcW w:w="1279"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rsidR="004938D0" w:rsidRPr="005A40CD" w:rsidRDefault="004938D0" w:rsidP="004938D0">
            <w:pPr>
              <w:jc w:val="both"/>
              <w:rPr>
                <w:sz w:val="20"/>
                <w:szCs w:val="20"/>
              </w:rPr>
            </w:pPr>
            <w:proofErr w:type="spellStart"/>
            <w:r>
              <w:rPr>
                <w:sz w:val="20"/>
                <w:szCs w:val="20"/>
              </w:rPr>
              <w:t>Heating</w:t>
            </w:r>
            <w:proofErr w:type="spellEnd"/>
          </w:p>
        </w:tc>
        <w:tc>
          <w:tcPr>
            <w:tcW w:w="756" w:type="dxa"/>
            <w:tcBorders>
              <w:top w:val="single" w:sz="8" w:space="0" w:color="000000"/>
              <w:left w:val="nil"/>
              <w:bottom w:val="nil"/>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98.32</w:t>
            </w:r>
          </w:p>
        </w:tc>
        <w:tc>
          <w:tcPr>
            <w:tcW w:w="797" w:type="dxa"/>
            <w:tcBorders>
              <w:top w:val="single" w:sz="8" w:space="0" w:color="000000"/>
              <w:left w:val="nil"/>
              <w:bottom w:val="nil"/>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13.47</w:t>
            </w:r>
          </w:p>
        </w:tc>
        <w:tc>
          <w:tcPr>
            <w:tcW w:w="880" w:type="dxa"/>
            <w:tcBorders>
              <w:top w:val="single" w:sz="8" w:space="0" w:color="000000"/>
              <w:left w:val="nil"/>
              <w:bottom w:val="nil"/>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0.03</w:t>
            </w:r>
          </w:p>
        </w:tc>
        <w:tc>
          <w:tcPr>
            <w:tcW w:w="1104" w:type="dxa"/>
            <w:tcBorders>
              <w:top w:val="single" w:sz="8" w:space="0" w:color="000000"/>
              <w:left w:val="nil"/>
              <w:bottom w:val="nil"/>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7.96</w:t>
            </w:r>
          </w:p>
        </w:tc>
      </w:tr>
      <w:tr w:rsidR="004938D0" w:rsidRPr="00EA468B" w:rsidTr="00F77B18">
        <w:trPr>
          <w:jc w:val="center"/>
        </w:trPr>
        <w:tc>
          <w:tcPr>
            <w:tcW w:w="808" w:type="dxa"/>
            <w:tcBorders>
              <w:top w:val="nil"/>
              <w:left w:val="nil"/>
              <w:bottom w:val="single" w:sz="4" w:space="0" w:color="auto"/>
              <w:right w:val="nil"/>
            </w:tcBorders>
            <w:vAlign w:val="center"/>
          </w:tcPr>
          <w:p w:rsidR="004938D0" w:rsidRPr="005A40CD" w:rsidRDefault="004938D0" w:rsidP="004938D0">
            <w:pPr>
              <w:jc w:val="both"/>
              <w:rPr>
                <w:sz w:val="20"/>
                <w:szCs w:val="20"/>
              </w:rPr>
            </w:pPr>
          </w:p>
        </w:tc>
        <w:tc>
          <w:tcPr>
            <w:tcW w:w="1279"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4938D0" w:rsidRPr="005A40CD" w:rsidRDefault="004938D0" w:rsidP="004938D0">
            <w:pPr>
              <w:jc w:val="both"/>
              <w:rPr>
                <w:sz w:val="20"/>
                <w:szCs w:val="20"/>
              </w:rPr>
            </w:pPr>
            <w:proofErr w:type="spellStart"/>
            <w:r>
              <w:rPr>
                <w:sz w:val="20"/>
                <w:szCs w:val="20"/>
              </w:rPr>
              <w:t>Cooling</w:t>
            </w:r>
            <w:proofErr w:type="spellEnd"/>
          </w:p>
        </w:tc>
        <w:tc>
          <w:tcPr>
            <w:tcW w:w="756" w:type="dxa"/>
            <w:tcBorders>
              <w:top w:val="nil"/>
              <w:left w:val="nil"/>
              <w:bottom w:val="single" w:sz="4" w:space="0" w:color="auto"/>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92.48</w:t>
            </w:r>
          </w:p>
        </w:tc>
        <w:tc>
          <w:tcPr>
            <w:tcW w:w="797" w:type="dxa"/>
            <w:tcBorders>
              <w:top w:val="nil"/>
              <w:left w:val="nil"/>
              <w:bottom w:val="single" w:sz="4" w:space="0" w:color="auto"/>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10.85</w:t>
            </w:r>
          </w:p>
        </w:tc>
        <w:tc>
          <w:tcPr>
            <w:tcW w:w="880" w:type="dxa"/>
            <w:tcBorders>
              <w:top w:val="nil"/>
              <w:left w:val="nil"/>
              <w:bottom w:val="single" w:sz="4" w:space="0" w:color="auto"/>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2.78</w:t>
            </w:r>
          </w:p>
        </w:tc>
        <w:tc>
          <w:tcPr>
            <w:tcW w:w="1104" w:type="dxa"/>
            <w:tcBorders>
              <w:top w:val="nil"/>
              <w:left w:val="nil"/>
              <w:bottom w:val="single" w:sz="4" w:space="0" w:color="auto"/>
              <w:right w:val="nil"/>
            </w:tcBorders>
            <w:shd w:val="clear" w:color="auto" w:fill="auto"/>
            <w:tcMar>
              <w:top w:w="15" w:type="dxa"/>
              <w:left w:w="108" w:type="dxa"/>
              <w:bottom w:w="0" w:type="dxa"/>
              <w:right w:w="108" w:type="dxa"/>
            </w:tcMar>
          </w:tcPr>
          <w:p w:rsidR="004938D0" w:rsidRPr="004938D0" w:rsidRDefault="004938D0" w:rsidP="004938D0">
            <w:pPr>
              <w:tabs>
                <w:tab w:val="left" w:pos="-720"/>
              </w:tabs>
              <w:suppressAutoHyphens/>
              <w:rPr>
                <w:spacing w:val="-3"/>
                <w:sz w:val="20"/>
                <w:szCs w:val="20"/>
              </w:rPr>
            </w:pPr>
            <w:r w:rsidRPr="004938D0">
              <w:rPr>
                <w:spacing w:val="-3"/>
                <w:sz w:val="20"/>
                <w:szCs w:val="20"/>
              </w:rPr>
              <w:t>17.88</w:t>
            </w:r>
          </w:p>
        </w:tc>
      </w:tr>
      <w:tr w:rsidR="00F6183B" w:rsidRPr="00EA468B" w:rsidTr="00F77B18">
        <w:trPr>
          <w:jc w:val="center"/>
        </w:trPr>
        <w:tc>
          <w:tcPr>
            <w:tcW w:w="808" w:type="dxa"/>
            <w:tcBorders>
              <w:top w:val="single" w:sz="4" w:space="0" w:color="auto"/>
              <w:left w:val="nil"/>
              <w:bottom w:val="nil"/>
              <w:right w:val="nil"/>
            </w:tcBorders>
            <w:vAlign w:val="center"/>
          </w:tcPr>
          <w:p w:rsidR="00F6183B" w:rsidRPr="005A40CD" w:rsidRDefault="00F6183B" w:rsidP="00F6183B">
            <w:pPr>
              <w:jc w:val="both"/>
              <w:rPr>
                <w:sz w:val="20"/>
                <w:szCs w:val="20"/>
              </w:rPr>
            </w:pPr>
            <w:proofErr w:type="spellStart"/>
            <w:r>
              <w:rPr>
                <w:sz w:val="20"/>
                <w:szCs w:val="20"/>
              </w:rPr>
              <w:t>Type</w:t>
            </w:r>
            <w:proofErr w:type="spellEnd"/>
            <w:r>
              <w:rPr>
                <w:sz w:val="20"/>
                <w:szCs w:val="20"/>
              </w:rPr>
              <w:t xml:space="preserve"> 2</w:t>
            </w:r>
          </w:p>
        </w:tc>
        <w:tc>
          <w:tcPr>
            <w:tcW w:w="1279"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F6183B" w:rsidRPr="005A40CD" w:rsidRDefault="00F6183B" w:rsidP="00F6183B">
            <w:pPr>
              <w:jc w:val="both"/>
              <w:rPr>
                <w:sz w:val="20"/>
                <w:szCs w:val="20"/>
              </w:rPr>
            </w:pPr>
            <w:proofErr w:type="spellStart"/>
            <w:r>
              <w:rPr>
                <w:sz w:val="20"/>
                <w:szCs w:val="20"/>
              </w:rPr>
              <w:t>Heating</w:t>
            </w:r>
            <w:proofErr w:type="spellEnd"/>
          </w:p>
        </w:tc>
        <w:tc>
          <w:tcPr>
            <w:tcW w:w="756" w:type="dxa"/>
            <w:tcBorders>
              <w:top w:val="single" w:sz="4" w:space="0" w:color="auto"/>
              <w:left w:val="nil"/>
              <w:bottom w:val="nil"/>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95.91</w:t>
            </w:r>
          </w:p>
        </w:tc>
        <w:tc>
          <w:tcPr>
            <w:tcW w:w="797" w:type="dxa"/>
            <w:tcBorders>
              <w:top w:val="single" w:sz="4" w:space="0" w:color="auto"/>
              <w:left w:val="nil"/>
              <w:bottom w:val="nil"/>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20.28</w:t>
            </w:r>
          </w:p>
        </w:tc>
        <w:tc>
          <w:tcPr>
            <w:tcW w:w="880" w:type="dxa"/>
            <w:tcBorders>
              <w:top w:val="single" w:sz="4" w:space="0" w:color="auto"/>
              <w:left w:val="nil"/>
              <w:bottom w:val="nil"/>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0.02</w:t>
            </w:r>
          </w:p>
        </w:tc>
        <w:tc>
          <w:tcPr>
            <w:tcW w:w="1104" w:type="dxa"/>
            <w:tcBorders>
              <w:top w:val="single" w:sz="4" w:space="0" w:color="auto"/>
              <w:left w:val="nil"/>
              <w:bottom w:val="nil"/>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12.42</w:t>
            </w:r>
          </w:p>
        </w:tc>
      </w:tr>
      <w:tr w:rsidR="00F6183B" w:rsidRPr="00EA468B" w:rsidTr="00F77B18">
        <w:trPr>
          <w:jc w:val="center"/>
        </w:trPr>
        <w:tc>
          <w:tcPr>
            <w:tcW w:w="808" w:type="dxa"/>
            <w:tcBorders>
              <w:top w:val="nil"/>
              <w:left w:val="nil"/>
              <w:bottom w:val="single" w:sz="8" w:space="0" w:color="000000"/>
              <w:right w:val="nil"/>
            </w:tcBorders>
            <w:vAlign w:val="center"/>
          </w:tcPr>
          <w:p w:rsidR="00F6183B" w:rsidRPr="005A40CD" w:rsidRDefault="00F6183B" w:rsidP="00F6183B">
            <w:pPr>
              <w:jc w:val="both"/>
              <w:rPr>
                <w:sz w:val="20"/>
                <w:szCs w:val="20"/>
              </w:rPr>
            </w:pPr>
          </w:p>
        </w:tc>
        <w:tc>
          <w:tcPr>
            <w:tcW w:w="1279"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rsidR="00F6183B" w:rsidRPr="005A40CD" w:rsidRDefault="00F6183B" w:rsidP="00F6183B">
            <w:pPr>
              <w:jc w:val="both"/>
              <w:rPr>
                <w:sz w:val="20"/>
                <w:szCs w:val="20"/>
              </w:rPr>
            </w:pPr>
            <w:proofErr w:type="spellStart"/>
            <w:r>
              <w:rPr>
                <w:sz w:val="20"/>
                <w:szCs w:val="20"/>
              </w:rPr>
              <w:t>Cooling</w:t>
            </w:r>
            <w:proofErr w:type="spellEnd"/>
          </w:p>
        </w:tc>
        <w:tc>
          <w:tcPr>
            <w:tcW w:w="756" w:type="dxa"/>
            <w:tcBorders>
              <w:top w:val="nil"/>
              <w:left w:val="nil"/>
              <w:bottom w:val="single" w:sz="8" w:space="0" w:color="000000"/>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90.91</w:t>
            </w:r>
          </w:p>
        </w:tc>
        <w:tc>
          <w:tcPr>
            <w:tcW w:w="797" w:type="dxa"/>
            <w:tcBorders>
              <w:top w:val="nil"/>
              <w:left w:val="nil"/>
              <w:bottom w:val="single" w:sz="8" w:space="0" w:color="000000"/>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19.19</w:t>
            </w:r>
          </w:p>
        </w:tc>
        <w:tc>
          <w:tcPr>
            <w:tcW w:w="880" w:type="dxa"/>
            <w:tcBorders>
              <w:top w:val="nil"/>
              <w:left w:val="nil"/>
              <w:bottom w:val="single" w:sz="8" w:space="0" w:color="000000"/>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-1.51</w:t>
            </w:r>
          </w:p>
        </w:tc>
        <w:tc>
          <w:tcPr>
            <w:tcW w:w="1104" w:type="dxa"/>
            <w:tcBorders>
              <w:top w:val="nil"/>
              <w:left w:val="nil"/>
              <w:bottom w:val="single" w:sz="8" w:space="0" w:color="000000"/>
              <w:right w:val="nil"/>
            </w:tcBorders>
            <w:shd w:val="clear" w:color="auto" w:fill="auto"/>
            <w:tcMar>
              <w:top w:w="15" w:type="dxa"/>
              <w:left w:w="108" w:type="dxa"/>
              <w:bottom w:w="0" w:type="dxa"/>
              <w:right w:w="108" w:type="dxa"/>
            </w:tcMar>
          </w:tcPr>
          <w:p w:rsidR="00F6183B" w:rsidRPr="00F6183B" w:rsidRDefault="00F6183B" w:rsidP="00F6183B">
            <w:pPr>
              <w:tabs>
                <w:tab w:val="left" w:pos="-720"/>
              </w:tabs>
              <w:suppressAutoHyphens/>
              <w:rPr>
                <w:spacing w:val="-3"/>
                <w:sz w:val="20"/>
                <w:szCs w:val="20"/>
              </w:rPr>
            </w:pPr>
            <w:r w:rsidRPr="00F6183B">
              <w:rPr>
                <w:spacing w:val="-3"/>
                <w:sz w:val="20"/>
                <w:szCs w:val="20"/>
              </w:rPr>
              <w:t>17.77</w:t>
            </w:r>
          </w:p>
        </w:tc>
      </w:tr>
    </w:tbl>
    <w:p w:rsidR="005869BB" w:rsidRDefault="005869BB" w:rsidP="00BD2AFA">
      <w:pPr>
        <w:jc w:val="both"/>
        <w:rPr>
          <w:spacing w:val="-3"/>
          <w:lang w:val="en-GB"/>
        </w:rPr>
      </w:pPr>
      <w:r w:rsidRPr="00314B5D">
        <w:rPr>
          <w:spacing w:val="-3"/>
          <w:lang w:val="en-GB"/>
        </w:rPr>
        <w:lastRenderedPageBreak/>
        <w:t xml:space="preserve">After that, </w:t>
      </w:r>
      <w:r w:rsidRPr="00391769">
        <w:rPr>
          <w:spacing w:val="-3"/>
          <w:lang w:val="en-GB"/>
        </w:rPr>
        <w:t>the</w:t>
      </w:r>
      <w:r w:rsidRPr="00314B5D">
        <w:rPr>
          <w:spacing w:val="-3"/>
          <w:lang w:val="en-GB"/>
        </w:rPr>
        <w:t xml:space="preserve"> regression models fitted </w:t>
      </w:r>
      <w:r>
        <w:rPr>
          <w:spacing w:val="-3"/>
          <w:lang w:val="en-GB"/>
        </w:rPr>
        <w:t xml:space="preserve">to energy signatures </w:t>
      </w:r>
      <w:proofErr w:type="gramStart"/>
      <w:r>
        <w:rPr>
          <w:spacing w:val="-3"/>
          <w:lang w:val="en-GB"/>
        </w:rPr>
        <w:t>are used</w:t>
      </w:r>
      <w:proofErr w:type="gramEnd"/>
      <w:r>
        <w:rPr>
          <w:spacing w:val="-3"/>
          <w:lang w:val="en-GB"/>
        </w:rPr>
        <w:t xml:space="preserve"> as a basis to compute a monthly time series of energy demand data for the </w:t>
      </w:r>
      <w:r w:rsidRPr="00314B5D">
        <w:rPr>
          <w:spacing w:val="-3"/>
          <w:lang w:val="en-GB"/>
        </w:rPr>
        <w:t>monitoring period (36 months</w:t>
      </w:r>
      <w:r>
        <w:rPr>
          <w:spacing w:val="-3"/>
          <w:lang w:val="en-GB"/>
        </w:rPr>
        <w:t xml:space="preserve">, 3 years) as shown </w:t>
      </w:r>
      <w:r w:rsidRPr="00314B5D">
        <w:rPr>
          <w:spacing w:val="-3"/>
          <w:lang w:val="en-GB"/>
        </w:rPr>
        <w:t xml:space="preserve">in </w:t>
      </w:r>
      <w:r>
        <w:rPr>
          <w:spacing w:val="-3"/>
          <w:lang w:val="en-GB"/>
        </w:rPr>
        <w:t xml:space="preserve">Figures 4. In this </w:t>
      </w:r>
      <w:proofErr w:type="gramStart"/>
      <w:r>
        <w:rPr>
          <w:spacing w:val="-3"/>
          <w:lang w:val="en-GB"/>
        </w:rPr>
        <w:t>case</w:t>
      </w:r>
      <w:proofErr w:type="gramEnd"/>
      <w:r>
        <w:rPr>
          <w:spacing w:val="-3"/>
          <w:lang w:val="en-GB"/>
        </w:rPr>
        <w:t xml:space="preserve"> also, t</w:t>
      </w:r>
      <w:r w:rsidRPr="003A2DAA">
        <w:rPr>
          <w:spacing w:val="-3"/>
          <w:lang w:val="en-GB"/>
        </w:rPr>
        <w:t>he results of regression models type 1 are reported on the left, while the on</w:t>
      </w:r>
      <w:r>
        <w:rPr>
          <w:spacing w:val="-3"/>
          <w:lang w:val="en-GB"/>
        </w:rPr>
        <w:t xml:space="preserve">es of regression models type 2 are reported on the right, with the electricity demand above and the </w:t>
      </w:r>
      <w:r w:rsidRPr="00314B5D">
        <w:rPr>
          <w:spacing w:val="-3"/>
          <w:lang w:val="en-GB"/>
        </w:rPr>
        <w:t xml:space="preserve">thermal demand </w:t>
      </w:r>
      <w:r>
        <w:rPr>
          <w:spacing w:val="-3"/>
          <w:lang w:val="en-GB"/>
        </w:rPr>
        <w:t>below</w:t>
      </w:r>
      <w:r w:rsidRPr="00314B5D">
        <w:rPr>
          <w:spacing w:val="-3"/>
          <w:lang w:val="en-GB"/>
        </w:rPr>
        <w:t xml:space="preserve">. The difference between measured and predicted energy demand </w:t>
      </w:r>
      <w:r>
        <w:rPr>
          <w:spacing w:val="-3"/>
          <w:lang w:val="en-GB"/>
        </w:rPr>
        <w:t>is very small in all the cases.</w:t>
      </w:r>
    </w:p>
    <w:p w:rsidR="005869BB" w:rsidRDefault="005869BB" w:rsidP="00BD2AFA">
      <w:pPr>
        <w:jc w:val="both"/>
        <w:rPr>
          <w:spacing w:val="-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A4664" w:rsidTr="00BD2AFA">
        <w:trPr>
          <w:trHeight w:val="3679"/>
        </w:trPr>
        <w:tc>
          <w:tcPr>
            <w:tcW w:w="4247" w:type="dxa"/>
          </w:tcPr>
          <w:p w:rsidR="005A4664" w:rsidRDefault="008541C7" w:rsidP="005A4664">
            <w:pPr>
              <w:jc w:val="center"/>
            </w:pPr>
            <w:r>
              <w:pict>
                <v:shape id="_x0000_i1030" type="#_x0000_t75" style="width:199.15pt;height:202.9pt">
                  <v:imagedata r:id="rId15" o:title="3"/>
                </v:shape>
              </w:pict>
            </w:r>
          </w:p>
        </w:tc>
        <w:tc>
          <w:tcPr>
            <w:tcW w:w="4247" w:type="dxa"/>
          </w:tcPr>
          <w:p w:rsidR="005A4664" w:rsidRDefault="008541C7" w:rsidP="005A4664">
            <w:pPr>
              <w:jc w:val="center"/>
            </w:pPr>
            <w:r>
              <w:pict>
                <v:shape id="_x0000_i1031" type="#_x0000_t75" style="width:201.05pt;height:205.7pt">
                  <v:imagedata r:id="rId16" o:title="3"/>
                </v:shape>
              </w:pict>
            </w:r>
          </w:p>
        </w:tc>
      </w:tr>
      <w:tr w:rsidR="005A4664" w:rsidTr="00BD2AFA">
        <w:trPr>
          <w:trHeight w:val="3679"/>
        </w:trPr>
        <w:tc>
          <w:tcPr>
            <w:tcW w:w="4247" w:type="dxa"/>
          </w:tcPr>
          <w:p w:rsidR="005A4664" w:rsidRDefault="008541C7" w:rsidP="005A4664">
            <w:pPr>
              <w:jc w:val="center"/>
            </w:pPr>
            <w:r>
              <w:pict>
                <v:shape id="_x0000_i1032" type="#_x0000_t75" style="width:201.05pt;height:194.5pt">
                  <v:imagedata r:id="rId17" o:title="3"/>
                </v:shape>
              </w:pict>
            </w:r>
          </w:p>
        </w:tc>
        <w:tc>
          <w:tcPr>
            <w:tcW w:w="4247" w:type="dxa"/>
          </w:tcPr>
          <w:p w:rsidR="005A4664" w:rsidRDefault="008541C7" w:rsidP="005A4664">
            <w:pPr>
              <w:jc w:val="center"/>
            </w:pPr>
            <w:r>
              <w:pict>
                <v:shape id="_x0000_i1033" type="#_x0000_t75" style="width:201.05pt;height:193.55pt">
                  <v:imagedata r:id="rId18" o:title="3"/>
                </v:shape>
              </w:pict>
            </w:r>
          </w:p>
        </w:tc>
      </w:tr>
    </w:tbl>
    <w:p w:rsidR="009D0D7E" w:rsidRDefault="009D0D7E" w:rsidP="009D0D7E">
      <w:pPr>
        <w:jc w:val="center"/>
        <w:rPr>
          <w:spacing w:val="-3"/>
          <w:lang w:val="en-GB"/>
        </w:rPr>
      </w:pPr>
      <w:r w:rsidRPr="00852965">
        <w:rPr>
          <w:i/>
          <w:color w:val="000000"/>
          <w:lang w:val="en-GB"/>
        </w:rPr>
        <w:t xml:space="preserve">Figure </w:t>
      </w:r>
      <w:r w:rsidRPr="00852965">
        <w:rPr>
          <w:i/>
          <w:lang w:val="en-GB"/>
        </w:rPr>
        <w:fldChar w:fldCharType="begin"/>
      </w:r>
      <w:r w:rsidRPr="00852965">
        <w:rPr>
          <w:i/>
          <w:lang w:val="en-GB"/>
        </w:rPr>
        <w:instrText xml:space="preserve"> SEQ Figure \* ARABIC </w:instrText>
      </w:r>
      <w:r w:rsidRPr="00852965">
        <w:rPr>
          <w:i/>
          <w:lang w:val="en-GB"/>
        </w:rPr>
        <w:fldChar w:fldCharType="separate"/>
      </w:r>
      <w:r w:rsidR="00F324A0">
        <w:rPr>
          <w:i/>
          <w:noProof/>
          <w:lang w:val="en-GB"/>
        </w:rPr>
        <w:t>4</w:t>
      </w:r>
      <w:r w:rsidRPr="00852965">
        <w:rPr>
          <w:i/>
          <w:lang w:val="en-GB"/>
        </w:rPr>
        <w:fldChar w:fldCharType="end"/>
      </w:r>
      <w:r w:rsidRPr="00852965">
        <w:rPr>
          <w:i/>
          <w:color w:val="000000"/>
          <w:lang w:val="en-GB"/>
        </w:rPr>
        <w:t xml:space="preserve">: Electricity </w:t>
      </w:r>
      <w:r>
        <w:rPr>
          <w:i/>
          <w:color w:val="000000"/>
          <w:lang w:val="en-GB"/>
        </w:rPr>
        <w:t xml:space="preserve">and thermal </w:t>
      </w:r>
      <w:r w:rsidRPr="00852965">
        <w:rPr>
          <w:i/>
          <w:color w:val="000000"/>
          <w:lang w:val="en-GB"/>
        </w:rPr>
        <w:t>demand time series – monthly values</w:t>
      </w:r>
      <w:r w:rsidR="005235B4">
        <w:rPr>
          <w:i/>
          <w:color w:val="000000"/>
          <w:lang w:val="en-GB"/>
        </w:rPr>
        <w:t>, model type 1 on the left, model type 2 on the right</w:t>
      </w:r>
    </w:p>
    <w:p w:rsidR="005869BB" w:rsidRDefault="005869BB" w:rsidP="00314B5D">
      <w:pPr>
        <w:tabs>
          <w:tab w:val="left" w:pos="-720"/>
        </w:tabs>
        <w:suppressAutoHyphens/>
        <w:jc w:val="both"/>
        <w:rPr>
          <w:spacing w:val="-3"/>
          <w:lang w:val="en-GB"/>
        </w:rPr>
      </w:pPr>
    </w:p>
    <w:p w:rsidR="00EF6D06" w:rsidRDefault="005869BB" w:rsidP="00BD2AFA">
      <w:pPr>
        <w:tabs>
          <w:tab w:val="left" w:pos="-720"/>
        </w:tabs>
        <w:suppressAutoHyphens/>
        <w:jc w:val="both"/>
        <w:rPr>
          <w:spacing w:val="-3"/>
          <w:lang w:val="en-GB"/>
        </w:rPr>
      </w:pPr>
      <w:r>
        <w:rPr>
          <w:spacing w:val="-3"/>
          <w:lang w:val="en-GB"/>
        </w:rPr>
        <w:t>The next step is the visual analysis</w:t>
      </w:r>
      <w:r w:rsidR="00D37952">
        <w:rPr>
          <w:spacing w:val="-3"/>
          <w:lang w:val="en-GB"/>
        </w:rPr>
        <w:t xml:space="preserve"> which</w:t>
      </w:r>
      <w:r>
        <w:rPr>
          <w:spacing w:val="-3"/>
          <w:lang w:val="en-GB"/>
        </w:rPr>
        <w:t xml:space="preserve"> involves plotting the differences between measured and predicted data (i.e. residuals, error term) as a function of both outdoor air temperature (the most important input variable) and time (monthly intervals of the monitoring period), to highlight potential patterns in residuals. </w:t>
      </w:r>
      <w:r w:rsidR="002863B2">
        <w:rPr>
          <w:spacing w:val="-3"/>
          <w:lang w:val="en-GB"/>
        </w:rPr>
        <w:t xml:space="preserve">The error term </w:t>
      </w:r>
      <w:proofErr w:type="gramStart"/>
      <w:r w:rsidR="002863B2">
        <w:rPr>
          <w:spacing w:val="-3"/>
          <w:lang w:val="en-GB"/>
        </w:rPr>
        <w:t>is plotted</w:t>
      </w:r>
      <w:proofErr w:type="gramEnd"/>
      <w:r w:rsidR="002863B2">
        <w:rPr>
          <w:spacing w:val="-3"/>
          <w:lang w:val="en-GB"/>
        </w:rPr>
        <w:t xml:space="preserve"> in Figures </w:t>
      </w:r>
      <w:r w:rsidR="00416DE9">
        <w:rPr>
          <w:spacing w:val="-3"/>
          <w:lang w:val="en-GB"/>
        </w:rPr>
        <w:t xml:space="preserve">5 </w:t>
      </w:r>
      <w:r w:rsidR="002863B2">
        <w:rPr>
          <w:spacing w:val="-3"/>
          <w:lang w:val="en-GB"/>
        </w:rPr>
        <w:t xml:space="preserve">and </w:t>
      </w:r>
      <w:r w:rsidR="00416DE9">
        <w:rPr>
          <w:spacing w:val="-3"/>
          <w:lang w:val="en-GB"/>
        </w:rPr>
        <w:t>6</w:t>
      </w:r>
      <w:r w:rsidR="002863B2">
        <w:rPr>
          <w:spacing w:val="-3"/>
          <w:lang w:val="en-GB"/>
        </w:rPr>
        <w:t>, respectively for outdoor air temperature dependence and time dependence.</w:t>
      </w:r>
      <w:r w:rsidR="002B56EA">
        <w:rPr>
          <w:spacing w:val="-3"/>
          <w:lang w:val="en-GB"/>
        </w:rPr>
        <w:t xml:space="preserve"> Again, model type 1 results </w:t>
      </w:r>
      <w:proofErr w:type="gramStart"/>
      <w:r w:rsidR="002B56EA">
        <w:rPr>
          <w:spacing w:val="-3"/>
          <w:lang w:val="en-GB"/>
        </w:rPr>
        <w:t>are reported</w:t>
      </w:r>
      <w:proofErr w:type="gramEnd"/>
      <w:r w:rsidR="002B56EA">
        <w:rPr>
          <w:spacing w:val="-3"/>
          <w:lang w:val="en-GB"/>
        </w:rPr>
        <w:t xml:space="preserve"> on the left, while model type 2 results are reported on the right.</w:t>
      </w:r>
    </w:p>
    <w:p w:rsidR="00EF6D06" w:rsidRDefault="00EF6D06" w:rsidP="00314B5D">
      <w:pPr>
        <w:tabs>
          <w:tab w:val="left" w:pos="-720"/>
        </w:tabs>
        <w:suppressAutoHyphens/>
        <w:jc w:val="both"/>
        <w:rPr>
          <w:spacing w:val="-3"/>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A4664" w:rsidRPr="002B56EA" w:rsidTr="00BD2AFA">
        <w:trPr>
          <w:trHeight w:val="3679"/>
        </w:trPr>
        <w:tc>
          <w:tcPr>
            <w:tcW w:w="4247" w:type="dxa"/>
          </w:tcPr>
          <w:p w:rsidR="005A4664" w:rsidRPr="002B56EA" w:rsidRDefault="008541C7" w:rsidP="005A4664">
            <w:pPr>
              <w:jc w:val="center"/>
            </w:pPr>
            <w:r>
              <w:lastRenderedPageBreak/>
              <w:pict>
                <v:shape id="_x0000_i1034" type="#_x0000_t75" style="width:201.05pt;height:190.75pt">
                  <v:imagedata r:id="rId19" o:title="4"/>
                </v:shape>
              </w:pict>
            </w:r>
          </w:p>
        </w:tc>
        <w:tc>
          <w:tcPr>
            <w:tcW w:w="4247" w:type="dxa"/>
          </w:tcPr>
          <w:p w:rsidR="005A4664" w:rsidRPr="002B56EA" w:rsidRDefault="008541C7" w:rsidP="005A4664">
            <w:pPr>
              <w:jc w:val="center"/>
            </w:pPr>
            <w:r>
              <w:pict>
                <v:shape id="_x0000_i1035" type="#_x0000_t75" style="width:201.05pt;height:188.9pt">
                  <v:imagedata r:id="rId20" o:title="4"/>
                </v:shape>
              </w:pict>
            </w:r>
          </w:p>
        </w:tc>
      </w:tr>
      <w:tr w:rsidR="005A4664" w:rsidTr="00BD2AFA">
        <w:trPr>
          <w:trHeight w:val="3679"/>
        </w:trPr>
        <w:tc>
          <w:tcPr>
            <w:tcW w:w="4247" w:type="dxa"/>
          </w:tcPr>
          <w:p w:rsidR="005A4664" w:rsidRPr="002B56EA" w:rsidRDefault="008541C7" w:rsidP="005A4664">
            <w:pPr>
              <w:jc w:val="center"/>
            </w:pPr>
            <w:r>
              <w:pict>
                <v:shape id="_x0000_i1036" type="#_x0000_t75" style="width:199.15pt;height:184.2pt">
                  <v:imagedata r:id="rId21" o:title="4"/>
                </v:shape>
              </w:pict>
            </w:r>
          </w:p>
        </w:tc>
        <w:tc>
          <w:tcPr>
            <w:tcW w:w="4247" w:type="dxa"/>
          </w:tcPr>
          <w:p w:rsidR="005A4664" w:rsidRDefault="008541C7" w:rsidP="005A4664">
            <w:pPr>
              <w:jc w:val="center"/>
            </w:pPr>
            <w:r>
              <w:pict>
                <v:shape id="_x0000_i1037" type="#_x0000_t75" style="width:199.15pt;height:187.95pt">
                  <v:imagedata r:id="rId22" o:title="4"/>
                </v:shape>
              </w:pict>
            </w:r>
          </w:p>
        </w:tc>
      </w:tr>
    </w:tbl>
    <w:p w:rsidR="005A4664" w:rsidRDefault="009D0D7E" w:rsidP="002863B2">
      <w:pPr>
        <w:jc w:val="center"/>
        <w:rPr>
          <w:spacing w:val="-3"/>
          <w:lang w:val="en-GB"/>
        </w:rPr>
      </w:pPr>
      <w:r w:rsidRPr="005A4664">
        <w:rPr>
          <w:i/>
          <w:color w:val="000000"/>
          <w:lang w:val="en-GB"/>
        </w:rPr>
        <w:t xml:space="preserve">Figure </w:t>
      </w:r>
      <w:r w:rsidRPr="005A4664">
        <w:rPr>
          <w:i/>
          <w:lang w:val="en-GB"/>
        </w:rPr>
        <w:fldChar w:fldCharType="begin"/>
      </w:r>
      <w:r w:rsidRPr="005A4664">
        <w:rPr>
          <w:i/>
          <w:lang w:val="en-GB"/>
        </w:rPr>
        <w:instrText xml:space="preserve"> SEQ Figure \* ARABIC </w:instrText>
      </w:r>
      <w:r w:rsidRPr="005A4664">
        <w:rPr>
          <w:i/>
          <w:lang w:val="en-GB"/>
        </w:rPr>
        <w:fldChar w:fldCharType="separate"/>
      </w:r>
      <w:r w:rsidR="00F324A0">
        <w:rPr>
          <w:i/>
          <w:noProof/>
          <w:lang w:val="en-GB"/>
        </w:rPr>
        <w:t>5</w:t>
      </w:r>
      <w:r w:rsidRPr="005A4664">
        <w:rPr>
          <w:i/>
          <w:lang w:val="en-GB"/>
        </w:rPr>
        <w:fldChar w:fldCharType="end"/>
      </w:r>
      <w:r w:rsidRPr="005A4664">
        <w:rPr>
          <w:i/>
          <w:color w:val="000000"/>
          <w:lang w:val="en-GB"/>
        </w:rPr>
        <w:t>: Error term of energy signature models of electric and thermal demand</w:t>
      </w:r>
      <w:r w:rsidR="00CA06F3">
        <w:rPr>
          <w:i/>
          <w:color w:val="000000"/>
          <w:lang w:val="en-GB"/>
        </w:rPr>
        <w:t xml:space="preserve"> </w:t>
      </w:r>
      <w:r w:rsidRPr="005A4664">
        <w:rPr>
          <w:i/>
          <w:color w:val="000000"/>
          <w:lang w:val="en-GB"/>
        </w:rPr>
        <w:t>– monthly values</w:t>
      </w:r>
      <w:r w:rsidR="005235B4">
        <w:rPr>
          <w:i/>
          <w:color w:val="000000"/>
          <w:lang w:val="en-GB"/>
        </w:rPr>
        <w:t xml:space="preserve">, model type 1 on the left, </w:t>
      </w:r>
      <w:proofErr w:type="gramStart"/>
      <w:r w:rsidR="005235B4">
        <w:rPr>
          <w:i/>
          <w:color w:val="000000"/>
          <w:lang w:val="en-GB"/>
        </w:rPr>
        <w:t>model</w:t>
      </w:r>
      <w:proofErr w:type="gramEnd"/>
      <w:r w:rsidR="005235B4">
        <w:rPr>
          <w:i/>
          <w:color w:val="000000"/>
          <w:lang w:val="en-GB"/>
        </w:rPr>
        <w:t xml:space="preserve"> type 2 on the right</w:t>
      </w:r>
    </w:p>
    <w:p w:rsidR="002863B2" w:rsidRPr="002863B2" w:rsidRDefault="002863B2" w:rsidP="002863B2">
      <w:pPr>
        <w:jc w:val="center"/>
        <w:rPr>
          <w:spacing w:val="-3"/>
          <w:lang w:val="en-GB"/>
        </w:rPr>
      </w:pPr>
    </w:p>
    <w:p w:rsidR="002863B2" w:rsidRDefault="002B56EA">
      <w:pPr>
        <w:tabs>
          <w:tab w:val="left" w:pos="-414"/>
        </w:tabs>
        <w:suppressAutoHyphens/>
        <w:autoSpaceDE w:val="0"/>
        <w:autoSpaceDN w:val="0"/>
        <w:jc w:val="both"/>
        <w:rPr>
          <w:bCs/>
          <w:spacing w:val="-3"/>
          <w:lang w:val="en-GB" w:eastAsia="en-US"/>
        </w:rPr>
      </w:pPr>
      <w:r w:rsidRPr="002B56EA">
        <w:rPr>
          <w:bCs/>
          <w:spacing w:val="-3"/>
          <w:lang w:val="en-GB" w:eastAsia="en-US"/>
        </w:rPr>
        <w:t xml:space="preserve">The residuals with respect to temperature (Figure </w:t>
      </w:r>
      <w:r w:rsidR="00416DE9">
        <w:rPr>
          <w:bCs/>
          <w:spacing w:val="-3"/>
          <w:lang w:val="en-GB" w:eastAsia="en-US"/>
        </w:rPr>
        <w:t>5</w:t>
      </w:r>
      <w:r>
        <w:rPr>
          <w:bCs/>
          <w:spacing w:val="-3"/>
          <w:lang w:val="en-GB" w:eastAsia="en-US"/>
        </w:rPr>
        <w:t>)</w:t>
      </w:r>
      <w:r w:rsidR="00F06DFB">
        <w:rPr>
          <w:bCs/>
          <w:spacing w:val="-3"/>
          <w:lang w:val="en-GB" w:eastAsia="en-US"/>
        </w:rPr>
        <w:t xml:space="preserve"> seem relatively uniform with some exception at lower temperature, around 4°C</w:t>
      </w:r>
      <w:r w:rsidR="0085067C">
        <w:rPr>
          <w:bCs/>
          <w:spacing w:val="-3"/>
          <w:lang w:val="en-GB" w:eastAsia="en-US"/>
        </w:rPr>
        <w:t xml:space="preserve"> (model type 1 and 2)</w:t>
      </w:r>
      <w:r w:rsidR="00F06DFB">
        <w:rPr>
          <w:bCs/>
          <w:spacing w:val="-3"/>
          <w:lang w:val="en-GB" w:eastAsia="en-US"/>
        </w:rPr>
        <w:t>, and higher temperature, around 24 °C</w:t>
      </w:r>
      <w:r w:rsidR="0085067C">
        <w:rPr>
          <w:bCs/>
          <w:spacing w:val="-3"/>
          <w:lang w:val="en-GB" w:eastAsia="en-US"/>
        </w:rPr>
        <w:t xml:space="preserve"> (model type 1)</w:t>
      </w:r>
      <w:r w:rsidR="00F06DFB">
        <w:rPr>
          <w:bCs/>
          <w:spacing w:val="-3"/>
          <w:lang w:val="en-GB" w:eastAsia="en-US"/>
        </w:rPr>
        <w:t xml:space="preserve">. As expected, the spread of data around the mean (equal to zero) is larger in model type </w:t>
      </w:r>
      <w:proofErr w:type="gramStart"/>
      <w:r w:rsidR="00F06DFB">
        <w:rPr>
          <w:bCs/>
          <w:spacing w:val="-3"/>
          <w:lang w:val="en-GB" w:eastAsia="en-US"/>
        </w:rPr>
        <w:t>1</w:t>
      </w:r>
      <w:proofErr w:type="gramEnd"/>
      <w:r w:rsidR="00F06DFB">
        <w:rPr>
          <w:bCs/>
          <w:spacing w:val="-3"/>
          <w:lang w:val="en-GB" w:eastAsia="en-US"/>
        </w:rPr>
        <w:t xml:space="preserve"> compared to model type 2. The error term for the thermal models (heating and cooling) is equal to zero in </w:t>
      </w:r>
      <w:proofErr w:type="gramStart"/>
      <w:r w:rsidR="00F06DFB">
        <w:rPr>
          <w:bCs/>
          <w:spacing w:val="-3"/>
          <w:lang w:val="en-GB" w:eastAsia="en-US"/>
        </w:rPr>
        <w:t>many point</w:t>
      </w:r>
      <w:proofErr w:type="gramEnd"/>
      <w:r w:rsidR="00F06DFB">
        <w:rPr>
          <w:bCs/>
          <w:spacing w:val="-3"/>
          <w:lang w:val="en-GB" w:eastAsia="en-US"/>
        </w:rPr>
        <w:t xml:space="preserve"> because of the model formulation using dummy variables, as explained before in relation to the necessity of re-computing the statistical indicators, reported in Table </w:t>
      </w:r>
      <w:r w:rsidR="00B92F2D">
        <w:rPr>
          <w:bCs/>
          <w:spacing w:val="-3"/>
          <w:lang w:val="en-GB" w:eastAsia="en-US"/>
        </w:rPr>
        <w:t>10</w:t>
      </w:r>
      <w:r w:rsidR="00F06DFB">
        <w:rPr>
          <w:bCs/>
          <w:spacing w:val="-3"/>
          <w:lang w:val="en-GB" w:eastAsia="en-US"/>
        </w:rPr>
        <w:t>.</w:t>
      </w:r>
      <w:r w:rsidR="00854C2F">
        <w:rPr>
          <w:bCs/>
          <w:spacing w:val="-3"/>
          <w:lang w:val="en-GB" w:eastAsia="en-US"/>
        </w:rPr>
        <w:t xml:space="preserve"> The residuals (error term) with respect to time (Figure </w:t>
      </w:r>
      <w:r w:rsidR="00416DE9">
        <w:rPr>
          <w:bCs/>
          <w:spacing w:val="-3"/>
          <w:lang w:val="en-GB" w:eastAsia="en-US"/>
        </w:rPr>
        <w:t>6</w:t>
      </w:r>
      <w:r w:rsidR="00854C2F">
        <w:rPr>
          <w:bCs/>
          <w:spacing w:val="-3"/>
          <w:lang w:val="en-GB" w:eastAsia="en-US"/>
        </w:rPr>
        <w:t>), highlight how the electricity demand was lower than the one predicted by the models in the first months of the monitoring period (1-5 in particular)</w:t>
      </w:r>
      <w:r w:rsidR="00D37952">
        <w:rPr>
          <w:bCs/>
          <w:spacing w:val="-3"/>
          <w:lang w:val="en-GB" w:eastAsia="en-US"/>
        </w:rPr>
        <w:t>, for both type 1 and 2 models</w:t>
      </w:r>
      <w:r w:rsidR="00854C2F">
        <w:rPr>
          <w:bCs/>
          <w:spacing w:val="-3"/>
          <w:lang w:val="en-GB" w:eastAsia="en-US"/>
        </w:rPr>
        <w:t>, while the distribution in the case of thermal demands seems more uniform.</w:t>
      </w:r>
    </w:p>
    <w:p w:rsidR="00DE0CF6" w:rsidRPr="002B56EA" w:rsidRDefault="00DE0CF6">
      <w:pPr>
        <w:tabs>
          <w:tab w:val="left" w:pos="-414"/>
        </w:tabs>
        <w:suppressAutoHyphens/>
        <w:autoSpaceDE w:val="0"/>
        <w:autoSpaceDN w:val="0"/>
        <w:jc w:val="both"/>
        <w:rPr>
          <w:bCs/>
          <w:spacing w:val="-3"/>
          <w:lang w:val="en-GB" w:eastAsia="en-U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7D2FBD" w:rsidRPr="002B56EA" w:rsidTr="00BD2AFA">
        <w:trPr>
          <w:trHeight w:val="3679"/>
        </w:trPr>
        <w:tc>
          <w:tcPr>
            <w:tcW w:w="4247" w:type="dxa"/>
          </w:tcPr>
          <w:p w:rsidR="007D2FBD" w:rsidRPr="002B56EA" w:rsidRDefault="007D2FBD" w:rsidP="00010BC8">
            <w:pPr>
              <w:jc w:val="center"/>
            </w:pPr>
            <w:r>
              <w:rPr>
                <w:noProof/>
                <w:lang w:val="en-GB" w:eastAsia="zh-CN"/>
              </w:rPr>
              <w:lastRenderedPageBreak/>
              <w:drawing>
                <wp:inline distT="0" distB="0" distL="0" distR="0">
                  <wp:extent cx="2543175" cy="2428875"/>
                  <wp:effectExtent l="0" t="0" r="9525" b="9525"/>
                  <wp:docPr id="5" name="Picture 5" descr="C:\Users\mm1a17\AppData\Local\Microsoft\Windows\INetCache\Content.Word\4.1_type1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m1a17\AppData\Local\Microsoft\Windows\INetCache\Content.Word\4.1_type1_cro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2428875"/>
                          </a:xfrm>
                          <a:prstGeom prst="rect">
                            <a:avLst/>
                          </a:prstGeom>
                          <a:noFill/>
                          <a:ln>
                            <a:noFill/>
                          </a:ln>
                        </pic:spPr>
                      </pic:pic>
                    </a:graphicData>
                  </a:graphic>
                </wp:inline>
              </w:drawing>
            </w:r>
          </w:p>
        </w:tc>
        <w:tc>
          <w:tcPr>
            <w:tcW w:w="4247" w:type="dxa"/>
          </w:tcPr>
          <w:p w:rsidR="007D2FBD" w:rsidRPr="002B56EA" w:rsidRDefault="007D2FBD" w:rsidP="00010BC8">
            <w:pPr>
              <w:jc w:val="center"/>
            </w:pPr>
            <w:r>
              <w:rPr>
                <w:noProof/>
                <w:lang w:val="en-GB" w:eastAsia="zh-CN"/>
              </w:rPr>
              <w:drawing>
                <wp:inline distT="0" distB="0" distL="0" distR="0">
                  <wp:extent cx="2552700" cy="2409825"/>
                  <wp:effectExtent l="0" t="0" r="0" b="9525"/>
                  <wp:docPr id="4" name="Picture 4" descr="C:\Users\mm1a17\AppData\Local\Microsoft\Windows\INetCache\Content.Word\4.1_type2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m1a17\AppData\Local\Microsoft\Windows\INetCache\Content.Word\4.1_type2_cro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2409825"/>
                          </a:xfrm>
                          <a:prstGeom prst="rect">
                            <a:avLst/>
                          </a:prstGeom>
                          <a:noFill/>
                          <a:ln>
                            <a:noFill/>
                          </a:ln>
                        </pic:spPr>
                      </pic:pic>
                    </a:graphicData>
                  </a:graphic>
                </wp:inline>
              </w:drawing>
            </w:r>
          </w:p>
        </w:tc>
      </w:tr>
      <w:tr w:rsidR="007D2FBD" w:rsidTr="00BD2AFA">
        <w:trPr>
          <w:trHeight w:val="3679"/>
        </w:trPr>
        <w:tc>
          <w:tcPr>
            <w:tcW w:w="4247" w:type="dxa"/>
          </w:tcPr>
          <w:p w:rsidR="007D2FBD" w:rsidRPr="002B56EA" w:rsidRDefault="007D2FBD" w:rsidP="00010BC8">
            <w:pPr>
              <w:jc w:val="center"/>
            </w:pPr>
            <w:r>
              <w:rPr>
                <w:noProof/>
                <w:lang w:val="en-GB" w:eastAsia="zh-CN"/>
              </w:rPr>
              <w:drawing>
                <wp:inline distT="0" distB="0" distL="0" distR="0">
                  <wp:extent cx="2543175" cy="2333625"/>
                  <wp:effectExtent l="0" t="0" r="9525" b="9525"/>
                  <wp:docPr id="3" name="Picture 3" descr="C:\Users\mm1a17\AppData\Local\Microsoft\Windows\INetCache\Content.Word\4.2_type1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m1a17\AppData\Local\Microsoft\Windows\INetCache\Content.Word\4.2_type1_cro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175" cy="2333625"/>
                          </a:xfrm>
                          <a:prstGeom prst="rect">
                            <a:avLst/>
                          </a:prstGeom>
                          <a:noFill/>
                          <a:ln>
                            <a:noFill/>
                          </a:ln>
                        </pic:spPr>
                      </pic:pic>
                    </a:graphicData>
                  </a:graphic>
                </wp:inline>
              </w:drawing>
            </w:r>
          </w:p>
        </w:tc>
        <w:tc>
          <w:tcPr>
            <w:tcW w:w="4247" w:type="dxa"/>
          </w:tcPr>
          <w:p w:rsidR="007D2FBD" w:rsidRDefault="007D2FBD" w:rsidP="00010BC8">
            <w:pPr>
              <w:jc w:val="center"/>
            </w:pPr>
            <w:r>
              <w:rPr>
                <w:noProof/>
                <w:lang w:val="en-GB" w:eastAsia="zh-CN"/>
              </w:rPr>
              <w:drawing>
                <wp:inline distT="0" distB="0" distL="0" distR="0">
                  <wp:extent cx="2543175" cy="2371725"/>
                  <wp:effectExtent l="0" t="0" r="9525" b="9525"/>
                  <wp:docPr id="2" name="Picture 2" descr="C:\Users\mm1a17\AppData\Local\Microsoft\Windows\INetCache\Content.Word\4.2_type2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mm1a17\AppData\Local\Microsoft\Windows\INetCache\Content.Word\4.2_type2_cro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2371725"/>
                          </a:xfrm>
                          <a:prstGeom prst="rect">
                            <a:avLst/>
                          </a:prstGeom>
                          <a:noFill/>
                          <a:ln>
                            <a:noFill/>
                          </a:ln>
                        </pic:spPr>
                      </pic:pic>
                    </a:graphicData>
                  </a:graphic>
                </wp:inline>
              </w:drawing>
            </w:r>
          </w:p>
        </w:tc>
      </w:tr>
    </w:tbl>
    <w:p w:rsidR="007D2FBD" w:rsidRDefault="007D2FBD" w:rsidP="005A4664">
      <w:pPr>
        <w:jc w:val="center"/>
        <w:rPr>
          <w:i/>
          <w:color w:val="000000"/>
          <w:lang w:val="en-GB"/>
        </w:rPr>
      </w:pPr>
    </w:p>
    <w:p w:rsidR="005A4664" w:rsidRDefault="005A4664">
      <w:pPr>
        <w:jc w:val="center"/>
        <w:rPr>
          <w:b/>
          <w:bCs/>
          <w:spacing w:val="-3"/>
          <w:lang w:val="en-GB" w:eastAsia="en-US"/>
        </w:rPr>
      </w:pPr>
      <w:r w:rsidRPr="00852965">
        <w:rPr>
          <w:i/>
          <w:color w:val="000000"/>
          <w:lang w:val="en-GB"/>
        </w:rPr>
        <w:t xml:space="preserve">Figure </w:t>
      </w:r>
      <w:r w:rsidRPr="00852965">
        <w:rPr>
          <w:i/>
          <w:lang w:val="en-GB"/>
        </w:rPr>
        <w:fldChar w:fldCharType="begin"/>
      </w:r>
      <w:r w:rsidRPr="00852965">
        <w:rPr>
          <w:i/>
          <w:lang w:val="en-GB"/>
        </w:rPr>
        <w:instrText xml:space="preserve"> SEQ Figure \* ARABIC </w:instrText>
      </w:r>
      <w:r w:rsidRPr="00852965">
        <w:rPr>
          <w:i/>
          <w:lang w:val="en-GB"/>
        </w:rPr>
        <w:fldChar w:fldCharType="separate"/>
      </w:r>
      <w:r w:rsidR="00F324A0">
        <w:rPr>
          <w:i/>
          <w:noProof/>
          <w:lang w:val="en-GB"/>
        </w:rPr>
        <w:t>6</w:t>
      </w:r>
      <w:r w:rsidRPr="00852965">
        <w:rPr>
          <w:i/>
          <w:lang w:val="en-GB"/>
        </w:rPr>
        <w:fldChar w:fldCharType="end"/>
      </w:r>
      <w:r w:rsidRPr="00852965">
        <w:rPr>
          <w:i/>
          <w:color w:val="000000"/>
          <w:lang w:val="en-GB"/>
        </w:rPr>
        <w:t xml:space="preserve">: </w:t>
      </w:r>
      <w:r w:rsidRPr="005A4664">
        <w:rPr>
          <w:i/>
          <w:color w:val="000000"/>
          <w:lang w:val="en-GB"/>
        </w:rPr>
        <w:t xml:space="preserve">Error term of </w:t>
      </w:r>
      <w:r w:rsidR="00CA06F3">
        <w:rPr>
          <w:i/>
          <w:color w:val="000000"/>
          <w:lang w:val="en-GB"/>
        </w:rPr>
        <w:t>e</w:t>
      </w:r>
      <w:r w:rsidR="00CA06F3" w:rsidRPr="00CA06F3">
        <w:rPr>
          <w:i/>
          <w:color w:val="000000"/>
          <w:lang w:val="en-GB"/>
        </w:rPr>
        <w:t xml:space="preserve">lectricity and thermal demand time series </w:t>
      </w:r>
      <w:r w:rsidRPr="005A4664">
        <w:rPr>
          <w:i/>
          <w:color w:val="000000"/>
          <w:lang w:val="en-GB"/>
        </w:rPr>
        <w:t>–</w:t>
      </w:r>
      <w:r w:rsidR="00CA06F3">
        <w:rPr>
          <w:i/>
          <w:color w:val="000000"/>
          <w:lang w:val="en-GB"/>
        </w:rPr>
        <w:t xml:space="preserve"> </w:t>
      </w:r>
      <w:r w:rsidRPr="005A4664">
        <w:rPr>
          <w:i/>
          <w:color w:val="000000"/>
          <w:lang w:val="en-GB"/>
        </w:rPr>
        <w:t>monthly values</w:t>
      </w:r>
      <w:r w:rsidR="005235B4">
        <w:rPr>
          <w:i/>
          <w:color w:val="000000"/>
          <w:lang w:val="en-GB"/>
        </w:rPr>
        <w:t>, model type 1 on the left, model type 2 on the right</w:t>
      </w:r>
    </w:p>
    <w:p w:rsidR="005A4664" w:rsidRDefault="005A4664" w:rsidP="00B95D9D">
      <w:pPr>
        <w:tabs>
          <w:tab w:val="left" w:pos="-414"/>
        </w:tabs>
        <w:suppressAutoHyphens/>
        <w:autoSpaceDE w:val="0"/>
        <w:autoSpaceDN w:val="0"/>
        <w:jc w:val="both"/>
        <w:rPr>
          <w:b/>
          <w:bCs/>
          <w:spacing w:val="-3"/>
          <w:lang w:val="en-GB" w:eastAsia="en-US"/>
        </w:rPr>
      </w:pPr>
    </w:p>
    <w:p w:rsidR="003979A8" w:rsidRDefault="00F64F0C">
      <w:pPr>
        <w:suppressAutoHyphens/>
        <w:jc w:val="both"/>
        <w:rPr>
          <w:lang w:val="en-GB"/>
        </w:rPr>
      </w:pPr>
      <w:r w:rsidRPr="00687CBC">
        <w:rPr>
          <w:lang w:val="en-GB"/>
        </w:rPr>
        <w:t xml:space="preserve">The </w:t>
      </w:r>
      <w:r w:rsidR="00854C2F" w:rsidRPr="00687CBC">
        <w:rPr>
          <w:lang w:val="en-GB"/>
        </w:rPr>
        <w:t>f</w:t>
      </w:r>
      <w:r w:rsidR="00E52636">
        <w:rPr>
          <w:lang w:val="en-GB"/>
        </w:rPr>
        <w:t>inal step of the visual anal</w:t>
      </w:r>
      <w:r w:rsidR="00854C2F" w:rsidRPr="00687CBC">
        <w:rPr>
          <w:lang w:val="en-GB"/>
        </w:rPr>
        <w:t>ysis of residuals (error term), can be performed using</w:t>
      </w:r>
      <w:r w:rsidR="00854C2F">
        <w:rPr>
          <w:lang w:val="en-GB"/>
        </w:rPr>
        <w:t xml:space="preserve"> </w:t>
      </w:r>
      <w:r w:rsidR="00687CBC">
        <w:rPr>
          <w:lang w:val="en-GB"/>
        </w:rPr>
        <w:t xml:space="preserve">a control chart </w:t>
      </w:r>
      <w:r w:rsidR="003979A8">
        <w:rPr>
          <w:lang w:val="en-GB"/>
        </w:rPr>
        <w:fldChar w:fldCharType="begin" w:fldLock="1"/>
      </w:r>
      <w:r w:rsidR="006A236D">
        <w:rPr>
          <w:lang w:val="en-GB"/>
        </w:rPr>
        <w:instrText>ADDIN CSL_CITATION { "citationItems" : [ { "id" : "ITEM-1", "itemData" : { "DOI" : "10.3390/math8010058", "ISBN" : "2227-7390", "abstract" : "This study proposes a control chart based on functional data to detect anomalies and estimate the normal output of industrial processes and services such as those related to the energy efficiency domain. Companies providing statistical consultancy services in the fields of energy efficiency; heating, ventilation and air conditioning (HVAC); installation and control; and big data for buildings, have been striving to solve the problem of automatic anomaly detection in buildings controlled by sensors. Given the functional nature of the critical to quality (CTQ) variables, this study proposed a new functional data analysis (FDA) control chart method based on the concept of data depth. Specifically, it developed a control methodology, including the Phase I and II control charts. It is based on the calculation of the depth of functional data, the identification of outliers by smooth bootstrap resampling and the customization of nonparametric rank control charts. A comprehensive simulation study, comprising scenarios defined with different degrees of dependence between curves, was conducted to evaluate the control procedure. The proposed statistical process control procedure was also applied to detect energy efficiency anomalies in the stores of a textile company in the Panama City. In this case, energy consumption has been defined as the CTQ variable of the HVAC system. Briefly, the proposed methodology, which combines FDA and multivariate techniques, adapts the concept of the control chart based on a specific case of functional data and thereby presents a novel alternative for controlling facilities in which the data are obtained by continuous monitoring, as is the case with a great deal of process in the framework of Industry 4.0.", "author" : [ { "dropping-particle" : "", "family" : "Flores", "given" : "Miguel", "non-dropping-particle" : "", "parse-names" : false, "suffix" : "" }, { "dropping-particle" : "", "family" : "Naya", "given" : "Salvador", "non-dropping-particle" : "", "parse-names" : false, "suffix" : "" }, { "dropping-particle" : "", "family" : "Fern\u00e1ndez-Casal", "given" : "Rub\u00e9n", "non-dropping-particle" : "", "parse-names" : false, "suffix" : "" }, { "dropping-particle" : "", "family" : "Zaragoza", "given" : "Sonia", "non-dropping-particle" : "", "parse-names" : false, "suffix" : "" }, { "dropping-particle" : "", "family" : "Ra\u00f1a", "given" : "Paula", "non-dropping-particle" : "", "parse-names" : false, "suffix" : "" }, { "dropping-particle" : "", "family" : "Tarr\u00edo-Saavedra", "given" : "Javier", "non-dropping-particle" : "", "parse-names" : false, "suffix" : "" } ], "container-title" : "Mathematics ", "id" : "ITEM-1", "issue" : "1", "issued" : { "date-parts" : [ [ "2020" ] ] }, "title" : "Constructing a Control Chart Using Functional Data", "type" : "article", "volume" : "8" }, "uris" : [ "http://www.mendeley.com/documents/?uuid=f1caaa6d-c0e8-4571-9177-2dd02d1ddc9a" ] } ], "mendeley" : { "formattedCitation" : "[45]", "plainTextFormattedCitation" : "[45]", "previouslyFormattedCitation" : "[45]" }, "properties" : { "noteIndex" : 0 }, "schema" : "https://github.com/citation-style-language/schema/raw/master/csl-citation.json" }</w:instrText>
      </w:r>
      <w:r w:rsidR="003979A8">
        <w:rPr>
          <w:lang w:val="en-GB"/>
        </w:rPr>
        <w:fldChar w:fldCharType="separate"/>
      </w:r>
      <w:r w:rsidR="0023172C" w:rsidRPr="0023172C">
        <w:rPr>
          <w:noProof/>
          <w:lang w:val="en-GB"/>
        </w:rPr>
        <w:t>[45]</w:t>
      </w:r>
      <w:r w:rsidR="003979A8">
        <w:rPr>
          <w:lang w:val="en-GB"/>
        </w:rPr>
        <w:fldChar w:fldCharType="end"/>
      </w:r>
      <w:r w:rsidR="003979A8">
        <w:rPr>
          <w:lang w:val="en-GB"/>
        </w:rPr>
        <w:t xml:space="preserve"> </w:t>
      </w:r>
      <w:r w:rsidR="00687CBC">
        <w:rPr>
          <w:lang w:val="en-GB"/>
        </w:rPr>
        <w:t>as in Statistical Process Control (SPC)</w:t>
      </w:r>
      <w:r w:rsidR="003979A8">
        <w:rPr>
          <w:lang w:val="en-GB"/>
        </w:rPr>
        <w:t xml:space="preserve"> </w:t>
      </w:r>
      <w:r w:rsidR="003979A8">
        <w:rPr>
          <w:lang w:val="en-GB"/>
        </w:rPr>
        <w:fldChar w:fldCharType="begin" w:fldLock="1"/>
      </w:r>
      <w:r w:rsidR="006A236D">
        <w:rPr>
          <w:lang w:val="en-GB"/>
        </w:rPr>
        <w:instrText>ADDIN CSL_CITATION { "citationItems" : [ { "id" : "ITEM-1", "itemData" : { "DOI" : "https://doi.org/10.1016/j.enbuild.2013.05.002", "ISSN" : "0378-7788", "abstract" : "A statistical process control based system and scheme for monitoring, assessment and tracking of energy consumption is presented. The proposed strategy is set up using a Multichannel Structure to model and estimate statistics profile (average and uncertainty) of the energy consumption of a building during a predetermined cycle, e.g. a week period. These statistics profile is analyzed with statistical process control (SPC) techniques for signaling alarms or reporting interpreted faults of unpredicted or unusual behavior of energy demand. Identification of deviations from predicted or programed consumption profiles modeled by a Multichannel Structure are shown to be easily designed, tuned and implemented with low computation demand of memory and processing speed. Simulated results illustrate the Multichannel Structure programing and parameters tuning. Experimental results are presented to exemplify the proposed strategy.", "author" : [ { "dropping-particle" : "", "family" : "Braga", "given" : "L C", "non-dropping-particle" : "", "parse-names" : false, "suffix" : "" }, { "dropping-particle" : "", "family" : "Braga", "given" : "A R", "non-dropping-particle" : "", "parse-names" : false, "suffix" : "" }, { "dropping-particle" : "", "family" : "Braga", "given" : "C M P", "non-dropping-particle" : "", "parse-names" : false, "suffix" : "" } ], "container-title" : "Energy and Buildings", "id" : "ITEM-1", "issued" : { "date-parts" : [ [ "2013" ] ] }, "page" : "205-219", "title" : "On the characterization and monitoring of building energy demand using statistical process control methodologies", "type" : "article-journal", "volume" : "65" }, "uris" : [ "http://www.mendeley.com/documents/?uuid=1b90a75e-b5c6-4466-8338-440dfc54ad17" ] } ], "mendeley" : { "formattedCitation" : "[44]", "plainTextFormattedCitation" : "[44]", "previouslyFormattedCitation" : "[44]" }, "properties" : { "noteIndex" : 0 }, "schema" : "https://github.com/citation-style-language/schema/raw/master/csl-citation.json" }</w:instrText>
      </w:r>
      <w:r w:rsidR="003979A8">
        <w:rPr>
          <w:lang w:val="en-GB"/>
        </w:rPr>
        <w:fldChar w:fldCharType="separate"/>
      </w:r>
      <w:r w:rsidR="0023172C" w:rsidRPr="0023172C">
        <w:rPr>
          <w:noProof/>
          <w:lang w:val="en-GB"/>
        </w:rPr>
        <w:t>[44]</w:t>
      </w:r>
      <w:r w:rsidR="003979A8">
        <w:rPr>
          <w:lang w:val="en-GB"/>
        </w:rPr>
        <w:fldChar w:fldCharType="end"/>
      </w:r>
      <w:r w:rsidR="00687CBC">
        <w:rPr>
          <w:lang w:val="en-GB"/>
        </w:rPr>
        <w:t>. In this case</w:t>
      </w:r>
      <w:r w:rsidR="00DE0CF6">
        <w:rPr>
          <w:lang w:val="en-GB"/>
        </w:rPr>
        <w:t xml:space="preserve">, </w:t>
      </w:r>
      <w:r w:rsidR="00E52636">
        <w:rPr>
          <w:lang w:val="en-GB"/>
        </w:rPr>
        <w:t>for</w:t>
      </w:r>
      <w:r w:rsidR="00DE0CF6">
        <w:rPr>
          <w:lang w:val="en-GB"/>
        </w:rPr>
        <w:t xml:space="preserve"> the sake of</w:t>
      </w:r>
      <w:r w:rsidR="00E52636">
        <w:rPr>
          <w:lang w:val="en-GB"/>
        </w:rPr>
        <w:t xml:space="preserve"> simplicity</w:t>
      </w:r>
      <w:r w:rsidR="00DE0CF6">
        <w:rPr>
          <w:lang w:val="en-GB"/>
        </w:rPr>
        <w:t>, only</w:t>
      </w:r>
      <w:r w:rsidR="00E52636">
        <w:rPr>
          <w:lang w:val="en-GB"/>
        </w:rPr>
        <w:t xml:space="preserve"> the control chart for </w:t>
      </w:r>
      <w:r w:rsidR="001858DA">
        <w:rPr>
          <w:lang w:val="en-GB"/>
        </w:rPr>
        <w:t xml:space="preserve">the </w:t>
      </w:r>
      <w:r w:rsidR="00546AF2">
        <w:rPr>
          <w:lang w:val="en-GB"/>
        </w:rPr>
        <w:t>residuals</w:t>
      </w:r>
      <w:r w:rsidR="001858DA">
        <w:rPr>
          <w:lang w:val="en-GB"/>
        </w:rPr>
        <w:t xml:space="preserve"> of </w:t>
      </w:r>
      <w:r w:rsidR="00E52636">
        <w:rPr>
          <w:lang w:val="en-GB"/>
        </w:rPr>
        <w:t xml:space="preserve">total electricity demand </w:t>
      </w:r>
      <w:proofErr w:type="gramStart"/>
      <w:r w:rsidR="00DE0CF6">
        <w:rPr>
          <w:lang w:val="en-GB"/>
        </w:rPr>
        <w:t>is presented</w:t>
      </w:r>
      <w:proofErr w:type="gramEnd"/>
      <w:r w:rsidR="00DE0CF6">
        <w:rPr>
          <w:lang w:val="en-GB"/>
        </w:rPr>
        <w:t xml:space="preserve"> </w:t>
      </w:r>
      <w:r w:rsidR="00E52636">
        <w:rPr>
          <w:lang w:val="en-GB"/>
        </w:rPr>
        <w:t xml:space="preserve">in Figure </w:t>
      </w:r>
      <w:r w:rsidR="00416DE9">
        <w:rPr>
          <w:lang w:val="en-GB"/>
        </w:rPr>
        <w:t>7</w:t>
      </w:r>
      <w:r w:rsidR="001858DA">
        <w:rPr>
          <w:lang w:val="en-GB"/>
        </w:rPr>
        <w:t>. However, th</w:t>
      </w:r>
      <w:r w:rsidR="00E52636">
        <w:rPr>
          <w:lang w:val="en-GB"/>
        </w:rPr>
        <w:t xml:space="preserve">e technique </w:t>
      </w:r>
      <w:proofErr w:type="gramStart"/>
      <w:r w:rsidR="00E52636">
        <w:rPr>
          <w:lang w:val="en-GB"/>
        </w:rPr>
        <w:t>can be used</w:t>
      </w:r>
      <w:proofErr w:type="gramEnd"/>
      <w:r w:rsidR="00E52636">
        <w:rPr>
          <w:lang w:val="en-GB"/>
        </w:rPr>
        <w:t xml:space="preserve"> for </w:t>
      </w:r>
      <w:r w:rsidR="001858DA">
        <w:rPr>
          <w:lang w:val="en-GB"/>
        </w:rPr>
        <w:t xml:space="preserve">all </w:t>
      </w:r>
      <w:r w:rsidR="00E52636">
        <w:rPr>
          <w:lang w:val="en-GB"/>
        </w:rPr>
        <w:t xml:space="preserve">the other datasets </w:t>
      </w:r>
      <w:r w:rsidR="008E7A6D">
        <w:rPr>
          <w:lang w:val="en-GB"/>
        </w:rPr>
        <w:t>to analyse</w:t>
      </w:r>
      <w:r w:rsidR="00DE0CF6">
        <w:rPr>
          <w:lang w:val="en-GB"/>
        </w:rPr>
        <w:t xml:space="preserve"> performance anomalies at multiple levels in the </w:t>
      </w:r>
      <w:r w:rsidR="008E7A6D">
        <w:rPr>
          <w:lang w:val="en-GB"/>
        </w:rPr>
        <w:t>building (</w:t>
      </w:r>
      <w:r w:rsidR="00DE0CF6">
        <w:rPr>
          <w:lang w:val="en-GB"/>
        </w:rPr>
        <w:t>when sub-metering data are available</w:t>
      </w:r>
      <w:r w:rsidR="008E7A6D">
        <w:rPr>
          <w:lang w:val="en-GB"/>
        </w:rPr>
        <w:t>)</w:t>
      </w:r>
      <w:r w:rsidR="00E52636">
        <w:rPr>
          <w:lang w:val="en-GB"/>
        </w:rPr>
        <w:t xml:space="preserve">. </w:t>
      </w:r>
      <w:r w:rsidR="001858DA">
        <w:rPr>
          <w:lang w:val="en-GB"/>
        </w:rPr>
        <w:t xml:space="preserve">Further, </w:t>
      </w:r>
      <w:r w:rsidR="00546AF2">
        <w:rPr>
          <w:lang w:val="en-GB"/>
        </w:rPr>
        <w:t>it</w:t>
      </w:r>
      <w:r w:rsidR="001858DA">
        <w:rPr>
          <w:lang w:val="en-GB"/>
        </w:rPr>
        <w:t xml:space="preserve"> can</w:t>
      </w:r>
      <w:r w:rsidR="00546AF2">
        <w:rPr>
          <w:lang w:val="en-GB"/>
        </w:rPr>
        <w:t xml:space="preserve"> be</w:t>
      </w:r>
      <w:r w:rsidR="003979A8" w:rsidRPr="001858DA">
        <w:rPr>
          <w:lang w:val="en-GB"/>
        </w:rPr>
        <w:t xml:space="preserve"> combined with </w:t>
      </w:r>
      <w:r w:rsidR="001858DA">
        <w:rPr>
          <w:lang w:val="en-GB"/>
        </w:rPr>
        <w:t xml:space="preserve">the visualization of the </w:t>
      </w:r>
      <w:r w:rsidR="003979A8" w:rsidRPr="001858DA">
        <w:rPr>
          <w:lang w:val="en-GB"/>
        </w:rPr>
        <w:t>cumulative sum</w:t>
      </w:r>
      <w:r w:rsidR="00BA5F9D" w:rsidRPr="00BD2AFA">
        <w:rPr>
          <w:lang w:val="en-GB"/>
        </w:rPr>
        <w:t xml:space="preserve"> of differences between measured and predicted</w:t>
      </w:r>
      <w:r w:rsidR="001858DA">
        <w:rPr>
          <w:lang w:val="en-GB"/>
        </w:rPr>
        <w:t xml:space="preserve"> values</w:t>
      </w:r>
      <w:r w:rsidR="003979A8" w:rsidRPr="001858DA">
        <w:rPr>
          <w:lang w:val="en-GB"/>
        </w:rPr>
        <w:t xml:space="preserve"> (CUSUM)</w:t>
      </w:r>
      <w:r w:rsidR="00BA5F9D" w:rsidRPr="00BD2AFA">
        <w:rPr>
          <w:lang w:val="en-GB"/>
        </w:rPr>
        <w:t xml:space="preserve"> </w:t>
      </w:r>
      <w:r w:rsidR="00BA5F9D" w:rsidRPr="00BD2AFA">
        <w:rPr>
          <w:lang w:val="en-GB"/>
        </w:rPr>
        <w:fldChar w:fldCharType="begin" w:fldLock="1"/>
      </w:r>
      <w:r w:rsidR="006A236D">
        <w:rPr>
          <w:lang w:val="en-GB"/>
        </w:rPr>
        <w:instrText>ADDIN CSL_CITATION { "citationItems" : [ { "id" : "ITEM-1", "itemData" : { "DOI" : "https://doi.org/10.1016/j.dibe.2020.100024", "ISSN" : "2666-1659", "abstract" : "The International Standards ISO 50001 and ISO 50006 can be easily transferred to organizations, which outputs consist of tangible products. However, it is equally important to build an energy management system tailored to public organizations, whose outputs are often immaterial goods and in which buildings highly affect the overall energy performances. Commonly, energy performances of buildings are assessed by comparison with sector-based benchmarks, whilst monitoring and control practises are often overlooked. Under these premises, this paper aims at proposing a common framework for an energy management system tailored to public organizations in which buildings play a pivotal role in targeting energy performance improvement. The proposed energy management system also relies on the effective exploitation of monitoring and control tools to promptly identify deviations from the expected energy performance values and to evaluate improvements over time.", "author" : [ { "dropping-particle" : "", "family" : "Fichera", "given" : "Alberto", "non-dropping-particle" : "", "parse-names" : false, "suffix" : "" }, { "dropping-particle" : "", "family" : "Volpe", "given" : "Rosaria", "non-dropping-particle" : "", "parse-names" : false, "suffix" : "" }, { "dropping-particle" : "", "family" : "Cutore", "given" : "Emanuele", "non-dropping-particle" : "", "parse-names" : false, "suffix" : "" } ], "container-title" : "Developments in the Built Environment", "id" : "ITEM-1", "issued" : { "date-parts" : [ [ "2020" ] ] }, "page" : "100024", "title" : "Energy performance measurement, monitoring and control for buildings of public organizations: Standardized practises compliant with the ISO 50001 and ISO 50006", "type" : "article-journal", "volume" : "4" }, "uris" : [ "http://www.mendeley.com/documents/?uuid=12709b6d-bec1-42e1-99f2-f34ab6637248" ] } ], "mendeley" : { "formattedCitation" : "[46]", "plainTextFormattedCitation" : "[46]", "previouslyFormattedCitation" : "[46]" }, "properties" : { "noteIndex" : 0 }, "schema" : "https://github.com/citation-style-language/schema/raw/master/csl-citation.json" }</w:instrText>
      </w:r>
      <w:r w:rsidR="00BA5F9D" w:rsidRPr="00BD2AFA">
        <w:rPr>
          <w:lang w:val="en-GB"/>
        </w:rPr>
        <w:fldChar w:fldCharType="separate"/>
      </w:r>
      <w:r w:rsidR="0023172C" w:rsidRPr="0023172C">
        <w:rPr>
          <w:noProof/>
          <w:lang w:val="en-GB"/>
        </w:rPr>
        <w:t>[46]</w:t>
      </w:r>
      <w:r w:rsidR="00BA5F9D" w:rsidRPr="00BD2AFA">
        <w:rPr>
          <w:lang w:val="en-GB"/>
        </w:rPr>
        <w:fldChar w:fldCharType="end"/>
      </w:r>
      <w:r w:rsidR="001858DA">
        <w:rPr>
          <w:lang w:val="en-GB"/>
        </w:rPr>
        <w:t xml:space="preserve"> and other </w:t>
      </w:r>
      <w:r w:rsidR="00546AF2">
        <w:rPr>
          <w:lang w:val="en-GB"/>
        </w:rPr>
        <w:t xml:space="preserve">innovative </w:t>
      </w:r>
      <w:r w:rsidR="001858DA">
        <w:rPr>
          <w:lang w:val="en-GB"/>
        </w:rPr>
        <w:t xml:space="preserve">related techniques when additional explanatory variables (covariates) are present </w:t>
      </w:r>
      <w:r w:rsidR="00E01DAD">
        <w:rPr>
          <w:lang w:val="en-GB"/>
        </w:rPr>
        <w:fldChar w:fldCharType="begin" w:fldLock="1"/>
      </w:r>
      <w:r w:rsidR="00C82776">
        <w:rPr>
          <w:lang w:val="en-GB"/>
        </w:rPr>
        <w:instrText>ADDIN CSL_CITATION { "citationItems" : [ { "id" : "ITEM-1", "itemData" : { "DOI" : "10.1080/00401706.2020.1753581", "ISSN" : "0040-1706", "author" : [ { "dropping-particle" : "", "family" : "Centofanti", "given" : "Fabio", "non-dropping-particle" : "", "parse-names" : false, "suffix" : "" }, { "dropping-particle" : "", "family" : "Lepore", "given" : "Antonio", "non-dropping-particle" : "", "parse-names" : false, "suffix" : "" }, { "dropping-particle" : "", "family" : "Menafoglio", "given" : "Alessandra", "non-dropping-particle" : "", "parse-names" : false, "suffix" : "" }, { "dropping-particle" : "", "family" : "Palumbo", "given" : "Biagio", "non-dropping-particle" : "", "parse-names" : false, "suffix" : "" }, { "dropping-particle" : "", "family" : "Vantini", "given" : "Simone", "non-dropping-particle" : "", "parse-names" : false, "suffix" : "" } ], "container-title" : "Technometrics", "id" : "ITEM-1", "issue" : "3", "issued" : { "date-parts" : [ [ "2021", "7", "3" ] ] }, "note" : "doi: 10.1080/00401706.2020.1753581", "page" : "281-294", "publisher" : "Taylor &amp; Francis", "title" : "Functional Regression Control Chart", "type" : "article-journal", "volume" : "63" }, "uris" : [ "http://www.mendeley.com/documents/?uuid=70b8ba9a-b175-43e0-a5a8-f40e426db23f" ] } ], "mendeley" : { "formattedCitation" : "[57]", "plainTextFormattedCitation" : "[57]", "previouslyFormattedCitation" : "[56]" }, "properties" : { "noteIndex" : 0 }, "schema" : "https://github.com/citation-style-language/schema/raw/master/csl-citation.json" }</w:instrText>
      </w:r>
      <w:r w:rsidR="00E01DAD">
        <w:rPr>
          <w:lang w:val="en-GB"/>
        </w:rPr>
        <w:fldChar w:fldCharType="separate"/>
      </w:r>
      <w:r w:rsidR="00C82776" w:rsidRPr="00C82776">
        <w:rPr>
          <w:noProof/>
          <w:lang w:val="en-GB"/>
        </w:rPr>
        <w:t>[57]</w:t>
      </w:r>
      <w:r w:rsidR="00E01DAD">
        <w:rPr>
          <w:lang w:val="en-GB"/>
        </w:rPr>
        <w:fldChar w:fldCharType="end"/>
      </w:r>
      <w:r w:rsidR="003979A8" w:rsidRPr="001858DA">
        <w:rPr>
          <w:lang w:val="en-GB"/>
        </w:rPr>
        <w:t>.</w:t>
      </w:r>
    </w:p>
    <w:p w:rsidR="003979A8" w:rsidRDefault="00E52636">
      <w:pPr>
        <w:suppressAutoHyphens/>
        <w:jc w:val="both"/>
        <w:rPr>
          <w:lang w:val="en-GB"/>
        </w:rPr>
      </w:pPr>
      <w:r>
        <w:rPr>
          <w:lang w:val="en-GB"/>
        </w:rPr>
        <w:t xml:space="preserve">In a control chart, the error term </w:t>
      </w:r>
      <w:proofErr w:type="gramStart"/>
      <w:r>
        <w:rPr>
          <w:lang w:val="en-GB"/>
        </w:rPr>
        <w:t>is plotted</w:t>
      </w:r>
      <w:proofErr w:type="gramEnd"/>
      <w:r>
        <w:rPr>
          <w:lang w:val="en-GB"/>
        </w:rPr>
        <w:t xml:space="preserve"> with respect to the</w:t>
      </w:r>
      <w:r w:rsidR="00546AF2">
        <w:rPr>
          <w:lang w:val="en-GB"/>
        </w:rPr>
        <w:t xml:space="preserve"> number (1, 2 and 3) of</w:t>
      </w:r>
      <w:r>
        <w:rPr>
          <w:lang w:val="en-GB"/>
        </w:rPr>
        <w:t xml:space="preserve"> standard deviations </w:t>
      </w:r>
      <w:r w:rsidRPr="00E52636">
        <w:rPr>
          <w:i/>
          <w:lang w:val="en-GB"/>
        </w:rPr>
        <w:t>σ</w:t>
      </w:r>
      <w:r>
        <w:rPr>
          <w:lang w:val="en-GB"/>
        </w:rPr>
        <w:t xml:space="preserve"> from the mean (equal to zero</w:t>
      </w:r>
      <w:r w:rsidR="00546AF2">
        <w:rPr>
          <w:lang w:val="en-GB"/>
        </w:rPr>
        <w:t>)</w:t>
      </w:r>
      <w:r>
        <w:rPr>
          <w:lang w:val="en-GB"/>
        </w:rPr>
        <w:t>. In general</w:t>
      </w:r>
      <w:r w:rsidR="00C37602">
        <w:rPr>
          <w:lang w:val="en-GB"/>
        </w:rPr>
        <w:t>,</w:t>
      </w:r>
      <w:r>
        <w:rPr>
          <w:lang w:val="en-GB"/>
        </w:rPr>
        <w:t xml:space="preserve"> the limit of </w:t>
      </w:r>
      <w:proofErr w:type="gramStart"/>
      <w:r>
        <w:rPr>
          <w:lang w:val="en-GB"/>
        </w:rPr>
        <w:t>3</w:t>
      </w:r>
      <w:proofErr w:type="gramEnd"/>
      <w:r>
        <w:rPr>
          <w:lang w:val="en-GB"/>
        </w:rPr>
        <w:t xml:space="preserve"> standard deviations from the mean is considered as an indicator of anomaly in the series of residuals.</w:t>
      </w:r>
      <w:r w:rsidR="00DF5BCA">
        <w:rPr>
          <w:lang w:val="en-GB"/>
        </w:rPr>
        <w:t xml:space="preserve"> </w:t>
      </w:r>
      <w:r>
        <w:rPr>
          <w:lang w:val="en-GB"/>
        </w:rPr>
        <w:t xml:space="preserve">As </w:t>
      </w:r>
      <w:proofErr w:type="gramStart"/>
      <w:r>
        <w:rPr>
          <w:lang w:val="en-GB"/>
        </w:rPr>
        <w:t>can be seen</w:t>
      </w:r>
      <w:proofErr w:type="gramEnd"/>
      <w:r>
        <w:rPr>
          <w:lang w:val="en-GB"/>
        </w:rPr>
        <w:t xml:space="preserve"> in Figure </w:t>
      </w:r>
      <w:r w:rsidR="00416DE9">
        <w:rPr>
          <w:lang w:val="en-GB"/>
        </w:rPr>
        <w:t>7</w:t>
      </w:r>
      <w:r>
        <w:rPr>
          <w:lang w:val="en-GB"/>
        </w:rPr>
        <w:t xml:space="preserve">, both models type 1 and 2 indicate that months 1 and 9 have larger deviations from the mean, and </w:t>
      </w:r>
      <w:r w:rsidR="003A5BFA">
        <w:rPr>
          <w:lang w:val="en-GB"/>
        </w:rPr>
        <w:t>month 9</w:t>
      </w:r>
      <w:r>
        <w:rPr>
          <w:lang w:val="en-GB"/>
        </w:rPr>
        <w:t xml:space="preserve"> is flagged as an anomaly (&gt; 3 </w:t>
      </w:r>
      <w:r w:rsidRPr="00E52636">
        <w:rPr>
          <w:i/>
          <w:lang w:val="en-GB"/>
        </w:rPr>
        <w:t>σ</w:t>
      </w:r>
      <w:r w:rsidRPr="00E52636">
        <w:rPr>
          <w:lang w:val="en-GB"/>
        </w:rPr>
        <w:t>)</w:t>
      </w:r>
      <w:r>
        <w:rPr>
          <w:lang w:val="en-GB"/>
        </w:rPr>
        <w:t xml:space="preserve"> by model type 2.</w:t>
      </w:r>
      <w:r w:rsidR="003A5BFA">
        <w:rPr>
          <w:lang w:val="en-GB"/>
        </w:rPr>
        <w:t xml:space="preserve"> </w:t>
      </w:r>
      <w:r>
        <w:rPr>
          <w:lang w:val="en-GB"/>
        </w:rPr>
        <w:t>The spread of residuals is much smaller for model type 2 (as expected) and this implies that this model can indicate tighter boundaries for the statistical control of energy performance in time.</w:t>
      </w:r>
    </w:p>
    <w:p w:rsidR="00854C2F" w:rsidRDefault="00BB2C24">
      <w:pPr>
        <w:suppressAutoHyphens/>
        <w:jc w:val="both"/>
        <w:rPr>
          <w:lang w:val="en-GB"/>
        </w:rPr>
      </w:pPr>
      <w:r>
        <w:rPr>
          <w:lang w:val="en-GB"/>
        </w:rPr>
        <w:t>As a conclusion, b</w:t>
      </w:r>
      <w:r w:rsidRPr="00BB2C24">
        <w:rPr>
          <w:lang w:val="en-GB"/>
        </w:rPr>
        <w:t xml:space="preserve">oth visual and numerical data analysis </w:t>
      </w:r>
      <w:proofErr w:type="gramStart"/>
      <w:r>
        <w:rPr>
          <w:lang w:val="en-GB"/>
        </w:rPr>
        <w:t>i</w:t>
      </w:r>
      <w:r w:rsidR="008E7A6D">
        <w:rPr>
          <w:lang w:val="en-GB"/>
        </w:rPr>
        <w:t>s considered</w:t>
      </w:r>
      <w:proofErr w:type="gramEnd"/>
      <w:r w:rsidR="008E7A6D">
        <w:rPr>
          <w:lang w:val="en-GB"/>
        </w:rPr>
        <w:t xml:space="preserve"> in</w:t>
      </w:r>
      <w:r>
        <w:rPr>
          <w:lang w:val="en-GB"/>
        </w:rPr>
        <w:t xml:space="preserve"> the workflow aimed at model testing; the models were calibrated in most of the conditions but, beyond </w:t>
      </w:r>
      <w:r>
        <w:rPr>
          <w:lang w:val="en-GB"/>
        </w:rPr>
        <w:lastRenderedPageBreak/>
        <w:t xml:space="preserve">calibration, </w:t>
      </w:r>
      <w:r w:rsidR="008E7A6D">
        <w:rPr>
          <w:lang w:val="en-GB"/>
        </w:rPr>
        <w:t xml:space="preserve">one of the essential </w:t>
      </w:r>
      <w:r w:rsidRPr="008E7A6D">
        <w:rPr>
          <w:lang w:val="en-GB"/>
        </w:rPr>
        <w:t>goal</w:t>
      </w:r>
      <w:r w:rsidR="008E7A6D">
        <w:rPr>
          <w:lang w:val="en-GB"/>
        </w:rPr>
        <w:t>s</w:t>
      </w:r>
      <w:r>
        <w:rPr>
          <w:lang w:val="en-GB"/>
        </w:rPr>
        <w:t xml:space="preserve"> wa</w:t>
      </w:r>
      <w:r w:rsidR="00214724">
        <w:rPr>
          <w:lang w:val="en-GB"/>
        </w:rPr>
        <w:t>s</w:t>
      </w:r>
      <w:r>
        <w:rPr>
          <w:lang w:val="en-GB"/>
        </w:rPr>
        <w:t xml:space="preserve"> to test how simple, </w:t>
      </w:r>
      <w:r w:rsidRPr="00BB2C24">
        <w:rPr>
          <w:lang w:val="en-GB"/>
        </w:rPr>
        <w:t xml:space="preserve">intuitive and interpretable (in a "human in the loop" approach) </w:t>
      </w:r>
      <w:r>
        <w:rPr>
          <w:lang w:val="en-GB"/>
        </w:rPr>
        <w:t>the workflow could be</w:t>
      </w:r>
      <w:r w:rsidRPr="00BB2C24">
        <w:rPr>
          <w:lang w:val="en-GB"/>
        </w:rPr>
        <w:t>.</w:t>
      </w:r>
    </w:p>
    <w:p w:rsidR="008E7A6D" w:rsidRDefault="008E7A6D">
      <w:pPr>
        <w:suppressAutoHyphens/>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781CAE" w:rsidTr="00BD2AFA">
        <w:trPr>
          <w:trHeight w:val="4246"/>
        </w:trPr>
        <w:tc>
          <w:tcPr>
            <w:tcW w:w="4247" w:type="dxa"/>
          </w:tcPr>
          <w:p w:rsidR="00781CAE" w:rsidRDefault="008541C7" w:rsidP="00F77B18">
            <w:pPr>
              <w:jc w:val="center"/>
            </w:pPr>
            <w:r>
              <w:pict>
                <v:shape id="_x0000_i1038" type="#_x0000_t75" style="width:201.05pt;height:214.15pt">
                  <v:imagedata r:id="rId27" o:title="6"/>
                </v:shape>
              </w:pict>
            </w:r>
          </w:p>
        </w:tc>
        <w:tc>
          <w:tcPr>
            <w:tcW w:w="4247" w:type="dxa"/>
          </w:tcPr>
          <w:p w:rsidR="00781CAE" w:rsidRDefault="008541C7" w:rsidP="00705848">
            <w:r>
              <w:pict>
                <v:shape id="_x0000_i1039" type="#_x0000_t75" style="width:201.05pt;height:214.15pt">
                  <v:imagedata r:id="rId28" o:title="6"/>
                </v:shape>
              </w:pict>
            </w:r>
          </w:p>
        </w:tc>
      </w:tr>
    </w:tbl>
    <w:p w:rsidR="005A4664" w:rsidRDefault="005A4664">
      <w:pPr>
        <w:jc w:val="center"/>
        <w:rPr>
          <w:b/>
          <w:bCs/>
          <w:spacing w:val="-3"/>
          <w:lang w:val="en-GB" w:eastAsia="en-US"/>
        </w:rPr>
      </w:pPr>
      <w:r w:rsidRPr="00852965">
        <w:rPr>
          <w:i/>
          <w:color w:val="000000"/>
          <w:lang w:val="en-GB"/>
        </w:rPr>
        <w:t xml:space="preserve">Figure </w:t>
      </w:r>
      <w:r w:rsidRPr="00852965">
        <w:rPr>
          <w:i/>
          <w:lang w:val="en-GB"/>
        </w:rPr>
        <w:fldChar w:fldCharType="begin"/>
      </w:r>
      <w:r w:rsidRPr="00852965">
        <w:rPr>
          <w:i/>
          <w:lang w:val="en-GB"/>
        </w:rPr>
        <w:instrText xml:space="preserve"> SEQ Figure \* ARABIC </w:instrText>
      </w:r>
      <w:r w:rsidRPr="00852965">
        <w:rPr>
          <w:i/>
          <w:lang w:val="en-GB"/>
        </w:rPr>
        <w:fldChar w:fldCharType="separate"/>
      </w:r>
      <w:r w:rsidR="00F324A0">
        <w:rPr>
          <w:i/>
          <w:noProof/>
          <w:lang w:val="en-GB"/>
        </w:rPr>
        <w:t>7</w:t>
      </w:r>
      <w:r w:rsidRPr="00852965">
        <w:rPr>
          <w:i/>
          <w:lang w:val="en-GB"/>
        </w:rPr>
        <w:fldChar w:fldCharType="end"/>
      </w:r>
      <w:r w:rsidRPr="00852965">
        <w:rPr>
          <w:i/>
          <w:color w:val="000000"/>
          <w:lang w:val="en-GB"/>
        </w:rPr>
        <w:t xml:space="preserve">: </w:t>
      </w:r>
      <w:r>
        <w:rPr>
          <w:i/>
          <w:color w:val="000000"/>
          <w:lang w:val="en-GB"/>
        </w:rPr>
        <w:t>Statistical process control of total electricity demand</w:t>
      </w:r>
      <w:r w:rsidR="001858DA">
        <w:rPr>
          <w:i/>
          <w:color w:val="000000"/>
          <w:lang w:val="en-GB"/>
        </w:rPr>
        <w:t xml:space="preserve"> </w:t>
      </w:r>
      <w:r w:rsidR="003753C0">
        <w:rPr>
          <w:i/>
          <w:color w:val="000000"/>
          <w:lang w:val="en-GB"/>
        </w:rPr>
        <w:t>residuals</w:t>
      </w:r>
      <w:r>
        <w:rPr>
          <w:i/>
          <w:color w:val="000000"/>
          <w:lang w:val="en-GB"/>
        </w:rPr>
        <w:t xml:space="preserve"> – monthly values</w:t>
      </w:r>
      <w:r w:rsidR="005235B4">
        <w:rPr>
          <w:i/>
          <w:color w:val="000000"/>
          <w:lang w:val="en-GB"/>
        </w:rPr>
        <w:t>, model type 1 on the left, model type 2 on the right</w:t>
      </w:r>
    </w:p>
    <w:p w:rsidR="005A4664" w:rsidRDefault="005A4664" w:rsidP="00B95D9D">
      <w:pPr>
        <w:tabs>
          <w:tab w:val="left" w:pos="-414"/>
        </w:tabs>
        <w:suppressAutoHyphens/>
        <w:autoSpaceDE w:val="0"/>
        <w:autoSpaceDN w:val="0"/>
        <w:jc w:val="both"/>
        <w:rPr>
          <w:b/>
          <w:bCs/>
          <w:spacing w:val="-3"/>
          <w:lang w:val="en-GB" w:eastAsia="en-US"/>
        </w:rPr>
      </w:pPr>
    </w:p>
    <w:p w:rsidR="00B95D9D" w:rsidRPr="00C36C26" w:rsidRDefault="00B95D9D" w:rsidP="00B95D9D">
      <w:pPr>
        <w:pStyle w:val="Heading2"/>
        <w:rPr>
          <w:lang w:val="en-GB"/>
        </w:rPr>
      </w:pPr>
      <w:bookmarkStart w:id="226" w:name="_Toc98498109"/>
      <w:r>
        <w:rPr>
          <w:lang w:val="en-GB"/>
        </w:rPr>
        <w:t>Limitations</w:t>
      </w:r>
      <w:bookmarkEnd w:id="226"/>
    </w:p>
    <w:p w:rsidR="00402668" w:rsidRDefault="00402668">
      <w:pPr>
        <w:tabs>
          <w:tab w:val="left" w:pos="-414"/>
        </w:tabs>
        <w:suppressAutoHyphens/>
        <w:autoSpaceDE w:val="0"/>
        <w:autoSpaceDN w:val="0"/>
        <w:jc w:val="both"/>
        <w:rPr>
          <w:bCs/>
          <w:spacing w:val="-3"/>
          <w:lang w:val="en-GB" w:eastAsia="en-US"/>
        </w:rPr>
      </w:pPr>
      <w:r w:rsidRPr="00402668">
        <w:rPr>
          <w:bCs/>
          <w:spacing w:val="-3"/>
          <w:lang w:val="en-GB" w:eastAsia="en-US"/>
        </w:rPr>
        <w:t xml:space="preserve">The fundamental limitations of the approach proposed in this study </w:t>
      </w:r>
      <w:proofErr w:type="gramStart"/>
      <w:r w:rsidRPr="00402668">
        <w:rPr>
          <w:bCs/>
          <w:spacing w:val="-3"/>
          <w:lang w:val="en-GB" w:eastAsia="en-US"/>
        </w:rPr>
        <w:t>are based</w:t>
      </w:r>
      <w:proofErr w:type="gramEnd"/>
      <w:r w:rsidRPr="00402668">
        <w:rPr>
          <w:bCs/>
          <w:spacing w:val="-3"/>
          <w:lang w:val="en-GB" w:eastAsia="en-US"/>
        </w:rPr>
        <w:t xml:space="preserve"> on the requirement for rules to define dummy variables.</w:t>
      </w:r>
      <w:r>
        <w:rPr>
          <w:bCs/>
          <w:spacing w:val="-3"/>
          <w:lang w:val="en-GB" w:eastAsia="en-US"/>
        </w:rPr>
        <w:t xml:space="preserve"> </w:t>
      </w:r>
      <w:r w:rsidRPr="00402668">
        <w:rPr>
          <w:bCs/>
          <w:spacing w:val="-3"/>
          <w:lang w:val="en-GB" w:eastAsia="en-US"/>
        </w:rPr>
        <w:t xml:space="preserve">As </w:t>
      </w:r>
      <w:r w:rsidR="00D56621">
        <w:rPr>
          <w:bCs/>
          <w:spacing w:val="-3"/>
          <w:lang w:val="en-GB" w:eastAsia="en-US"/>
        </w:rPr>
        <w:t>such</w:t>
      </w:r>
      <w:r w:rsidRPr="00402668">
        <w:rPr>
          <w:bCs/>
          <w:spacing w:val="-3"/>
          <w:lang w:val="en-GB" w:eastAsia="en-US"/>
        </w:rPr>
        <w:t>, the approach is semi-automated.</w:t>
      </w:r>
      <w:r>
        <w:rPr>
          <w:bCs/>
          <w:spacing w:val="-3"/>
          <w:lang w:val="en-GB" w:eastAsia="en-US"/>
        </w:rPr>
        <w:t xml:space="preserve"> </w:t>
      </w:r>
      <w:r w:rsidRPr="00402668">
        <w:rPr>
          <w:bCs/>
          <w:spacing w:val="-3"/>
          <w:lang w:val="en-GB" w:eastAsia="en-US"/>
        </w:rPr>
        <w:t xml:space="preserve">In any case, the rules are stated </w:t>
      </w:r>
      <w:r w:rsidRPr="000414F5">
        <w:rPr>
          <w:rFonts w:asciiTheme="majorBidi" w:hAnsiTheme="majorBidi" w:cstheme="majorBidi"/>
          <w:bCs/>
          <w:spacing w:val="-3"/>
          <w:lang w:val="en-GB"/>
        </w:rPr>
        <w:t>transparent</w:t>
      </w:r>
      <w:r>
        <w:rPr>
          <w:rFonts w:asciiTheme="majorBidi" w:hAnsiTheme="majorBidi" w:cstheme="majorBidi"/>
          <w:bCs/>
          <w:spacing w:val="-3"/>
          <w:lang w:val="en-GB"/>
        </w:rPr>
        <w:t>ly</w:t>
      </w:r>
      <w:r w:rsidRPr="00402668">
        <w:rPr>
          <w:bCs/>
          <w:spacing w:val="-3"/>
          <w:lang w:val="en-GB" w:eastAsia="en-US"/>
        </w:rPr>
        <w:t xml:space="preserve"> and are intrinsically linked to the approximated physical interpretation</w:t>
      </w:r>
      <w:r>
        <w:rPr>
          <w:bCs/>
          <w:spacing w:val="-3"/>
          <w:lang w:val="en-GB" w:eastAsia="en-US"/>
        </w:rPr>
        <w:t xml:space="preserve"> of the regression coefficients</w:t>
      </w:r>
      <w:r w:rsidR="007E63A9">
        <w:rPr>
          <w:bCs/>
          <w:spacing w:val="-3"/>
          <w:lang w:val="en-GB" w:eastAsia="en-US"/>
        </w:rPr>
        <w:t xml:space="preserve"> </w:t>
      </w:r>
      <w:r w:rsidR="007E63A9">
        <w:rPr>
          <w:bCs/>
          <w:spacing w:val="-3"/>
          <w:lang w:val="en-GB" w:eastAsia="en-US"/>
        </w:rPr>
        <w:fldChar w:fldCharType="begin" w:fldLock="1"/>
      </w:r>
      <w:r w:rsidR="006A236D">
        <w:rPr>
          <w:bCs/>
          <w:spacing w:val="-3"/>
          <w:lang w:val="en-GB" w:eastAsia="en-US"/>
        </w:rPr>
        <w:instrText>ADDIN CSL_CITATION { "citationItems" : [ { "id" : "ITEM-1", "itemData" : { "DOI" : "https://doi.org/10.1016/j.egypro.2018.11.313", "ISSN" : "1876-6102", "abstract" : "The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 "author" : [ { "dropping-particle" : "", "family" : "Tronchin", "given" : "Lamberto", "non-dropping-particle" : "", "parse-names" : false, "suffix" : "" }, { "dropping-particle" : "", "family" : "Manfren", "given" : "Massimiliano", "non-dropping-particle" : "", "parse-names" : false, "suffix" : "" }, { "dropping-particle" : "", "family" : "Nastasi", "given" : "Benedetto", "non-dropping-particle" : "", "parse-names" : false, "suffix" : "" } ], "container-title" : "Energy Procedia", "id" : "ITEM-1", "issued" : { "date-parts" : [ [ "2019" ] ] }, "page" : "1486-1493", "title" : "Energy analytics for supporting built environment decarbonisation", "type" : "article-journal", "volume" : "157" }, "uris" : [ "http://www.mendeley.com/documents/?uuid=c531e4f6-cfd4-4f77-8f3f-65d876701933" ] } ], "mendeley" : { "formattedCitation" : "[24]", "plainTextFormattedCitation" : "[24]", "previouslyFormattedCitation" : "[24]" }, "properties" : { "noteIndex" : 0 }, "schema" : "https://github.com/citation-style-language/schema/raw/master/csl-citation.json" }</w:instrText>
      </w:r>
      <w:r w:rsidR="007E63A9">
        <w:rPr>
          <w:bCs/>
          <w:spacing w:val="-3"/>
          <w:lang w:val="en-GB" w:eastAsia="en-US"/>
        </w:rPr>
        <w:fldChar w:fldCharType="separate"/>
      </w:r>
      <w:r w:rsidR="0023172C" w:rsidRPr="0023172C">
        <w:rPr>
          <w:bCs/>
          <w:noProof/>
          <w:spacing w:val="-3"/>
          <w:lang w:val="en-GB" w:eastAsia="en-US"/>
        </w:rPr>
        <w:t>[24]</w:t>
      </w:r>
      <w:r w:rsidR="007E63A9">
        <w:rPr>
          <w:bCs/>
          <w:spacing w:val="-3"/>
          <w:lang w:val="en-GB" w:eastAsia="en-US"/>
        </w:rPr>
        <w:fldChar w:fldCharType="end"/>
      </w:r>
      <w:r>
        <w:rPr>
          <w:bCs/>
          <w:spacing w:val="-3"/>
          <w:lang w:val="en-GB" w:eastAsia="en-US"/>
        </w:rPr>
        <w:t>.</w:t>
      </w:r>
    </w:p>
    <w:p w:rsidR="007E63A9" w:rsidRDefault="007E63A9">
      <w:pPr>
        <w:tabs>
          <w:tab w:val="left" w:pos="-414"/>
        </w:tabs>
        <w:suppressAutoHyphens/>
        <w:autoSpaceDE w:val="0"/>
        <w:autoSpaceDN w:val="0"/>
        <w:jc w:val="both"/>
        <w:rPr>
          <w:bCs/>
          <w:spacing w:val="-3"/>
          <w:lang w:val="en-GB" w:eastAsia="en-US"/>
        </w:rPr>
      </w:pPr>
      <w:r w:rsidRPr="007E63A9">
        <w:rPr>
          <w:bCs/>
          <w:spacing w:val="-3"/>
          <w:lang w:val="en-GB" w:eastAsia="en-US"/>
        </w:rPr>
        <w:t>Furthermore, solar radiation data are generally less widely a</w:t>
      </w:r>
      <w:r>
        <w:rPr>
          <w:bCs/>
          <w:spacing w:val="-3"/>
          <w:lang w:val="en-GB" w:eastAsia="en-US"/>
        </w:rPr>
        <w:t>vailable than temperature data. However</w:t>
      </w:r>
      <w:r w:rsidRPr="007E63A9">
        <w:rPr>
          <w:bCs/>
          <w:spacing w:val="-3"/>
          <w:lang w:val="en-GB" w:eastAsia="en-US"/>
        </w:rPr>
        <w:t xml:space="preserve">, solar </w:t>
      </w:r>
      <w:r>
        <w:rPr>
          <w:bCs/>
          <w:spacing w:val="-3"/>
          <w:lang w:val="en-GB" w:eastAsia="en-US"/>
        </w:rPr>
        <w:t>radiation variable is</w:t>
      </w:r>
      <w:r w:rsidRPr="007E63A9">
        <w:rPr>
          <w:bCs/>
          <w:spacing w:val="-3"/>
          <w:lang w:val="en-GB" w:eastAsia="en-US"/>
        </w:rPr>
        <w:t xml:space="preserve"> critical to improving model performance for very efficient buildings, in which passive solar gains play a critical role.</w:t>
      </w:r>
      <w:r>
        <w:rPr>
          <w:bCs/>
          <w:spacing w:val="-3"/>
          <w:lang w:val="en-GB" w:eastAsia="en-US"/>
        </w:rPr>
        <w:t xml:space="preserve"> </w:t>
      </w:r>
      <w:r w:rsidRPr="007E63A9">
        <w:rPr>
          <w:bCs/>
          <w:spacing w:val="-3"/>
          <w:lang w:val="en-GB" w:eastAsia="en-US"/>
        </w:rPr>
        <w:t xml:space="preserve">To overcome this limitation, </w:t>
      </w:r>
      <w:r>
        <w:rPr>
          <w:bCs/>
          <w:spacing w:val="-3"/>
          <w:lang w:val="en-GB" w:eastAsia="en-US"/>
        </w:rPr>
        <w:t xml:space="preserve">it is possible to </w:t>
      </w:r>
      <w:r w:rsidRPr="007E63A9">
        <w:rPr>
          <w:bCs/>
          <w:spacing w:val="-3"/>
          <w:lang w:val="en-GB" w:eastAsia="en-US"/>
        </w:rPr>
        <w:t>consider the relationship between temperature and time of year with solar radiat</w:t>
      </w:r>
      <w:r>
        <w:rPr>
          <w:bCs/>
          <w:spacing w:val="-3"/>
          <w:lang w:val="en-GB" w:eastAsia="en-US"/>
        </w:rPr>
        <w:t>ion</w:t>
      </w:r>
      <w:r w:rsidRPr="007E63A9">
        <w:rPr>
          <w:bCs/>
          <w:spacing w:val="-3"/>
          <w:lang w:val="en-GB" w:eastAsia="en-US"/>
        </w:rPr>
        <w:t xml:space="preserve"> </w:t>
      </w:r>
      <w:r>
        <w:rPr>
          <w:bCs/>
          <w:spacing w:val="-3"/>
          <w:lang w:val="en-GB" w:eastAsia="en-US"/>
        </w:rPr>
        <w:fldChar w:fldCharType="begin" w:fldLock="1"/>
      </w:r>
      <w:r w:rsidR="00C82776">
        <w:rPr>
          <w:bCs/>
          <w:spacing w:val="-3"/>
          <w:lang w:val="en-GB" w:eastAsia="en-US"/>
        </w:rPr>
        <w:instrText>ADDIN CSL_CITATION { "citationItems" : [ { "id" : "ITEM-1", "itemData" : { "DOI" : "https://doi.org/10.1016/j.enbuild.2016.04.040", "ISSN" : "0378-7788", "abstract" : "The use of regression analysis for the identification of building performance parameters based on measurements is often difficult due to collinearity between the outdoor temperature and the global solar radiation (S). This study proposes a method to overcome this issue. The proposed method is based on using the seasonal symmetry of S to pair data from time-periods equidistant from the winter solstice. In addition, a method to utilize synthetic data to fine-tune the paired-data approach is presented. To evaluate the paired-data approach, two years data from a multifamily building in Ume\u00e5 was used to estimate the heat loss factor (air-to-air transmission including air leakage). The results were compared with results obtained when S was very low (S\u22480). It was found that, the fine-tuned paired-data approach resulted in a modest deviation in the heat loss factor with an average absolute deviation of 4.0%. The small deviation indicates that the paired-data approach can extend the use of single-variate regression models for accurate identification of heat loss factors to situations where the solar gain is substantial. The paired-data approach was also used to calibrate a commercial energy building simulation tool.", "author" : [ { "dropping-particle" : "", "family" : "Vesterberg", "given" : "Jimmy", "non-dropping-particle" : "", "parse-names" : false, "suffix" : "" }, { "dropping-particle" : "", "family" : "Andersson", "given" : "Staffan", "non-dropping-particle" : "", "parse-names" : false, "suffix" : "" }, { "dropping-particle" : "", "family" : "Olofsson", "given" : "Thomas", "non-dropping-particle" : "", "parse-names" : false, "suffix" : "" } ], "container-title" : "Energy and Buildings", "id" : "ITEM-1", "issued" : { "date-parts" : [ [ "2016" ] ] }, "page" : "185-191", "title" : "A single-variate building energy signature approach for periods with substantial solar gain", "type" : "article-journal", "volume" : "122" }, "uris" : [ "http://www.mendeley.com/documents/?uuid=411fb4d1-0ffc-4151-929e-2bdc462b1a38" ] } ], "mendeley" : { "formattedCitation" : "[58]", "plainTextFormattedCitation" : "[58]", "previouslyFormattedCitation" : "[57]" }, "properties" : { "noteIndex" : 0 }, "schema" : "https://github.com/citation-style-language/schema/raw/master/csl-citation.json" }</w:instrText>
      </w:r>
      <w:r>
        <w:rPr>
          <w:bCs/>
          <w:spacing w:val="-3"/>
          <w:lang w:val="en-GB" w:eastAsia="en-US"/>
        </w:rPr>
        <w:fldChar w:fldCharType="separate"/>
      </w:r>
      <w:r w:rsidR="00C82776" w:rsidRPr="00C82776">
        <w:rPr>
          <w:bCs/>
          <w:noProof/>
          <w:spacing w:val="-3"/>
          <w:lang w:val="en-GB" w:eastAsia="en-US"/>
        </w:rPr>
        <w:t>[58]</w:t>
      </w:r>
      <w:r>
        <w:rPr>
          <w:bCs/>
          <w:spacing w:val="-3"/>
          <w:lang w:val="en-GB" w:eastAsia="en-US"/>
        </w:rPr>
        <w:fldChar w:fldCharType="end"/>
      </w:r>
      <w:r>
        <w:rPr>
          <w:bCs/>
          <w:spacing w:val="-3"/>
          <w:lang w:val="en-GB" w:eastAsia="en-US"/>
        </w:rPr>
        <w:t xml:space="preserve"> and use additional models to perform a reconstruction of solar data</w:t>
      </w:r>
      <w:r w:rsidR="00D56621">
        <w:rPr>
          <w:bCs/>
          <w:spacing w:val="-3"/>
          <w:lang w:val="en-GB" w:eastAsia="en-US"/>
        </w:rPr>
        <w:t>, in case they are not directly available</w:t>
      </w:r>
      <w:r>
        <w:rPr>
          <w:bCs/>
          <w:spacing w:val="-3"/>
          <w:lang w:val="en-GB" w:eastAsia="en-US"/>
        </w:rPr>
        <w:t>.</w:t>
      </w:r>
    </w:p>
    <w:p w:rsidR="007E63A9" w:rsidRDefault="007E63A9">
      <w:pPr>
        <w:tabs>
          <w:tab w:val="left" w:pos="-414"/>
        </w:tabs>
        <w:suppressAutoHyphens/>
        <w:autoSpaceDE w:val="0"/>
        <w:autoSpaceDN w:val="0"/>
        <w:jc w:val="both"/>
        <w:rPr>
          <w:bCs/>
          <w:spacing w:val="-3"/>
          <w:lang w:val="en-GB" w:eastAsia="en-US"/>
        </w:rPr>
      </w:pPr>
      <w:r w:rsidRPr="007E63A9">
        <w:rPr>
          <w:bCs/>
          <w:spacing w:val="-3"/>
          <w:lang w:val="en-GB" w:eastAsia="en-US"/>
        </w:rPr>
        <w:t xml:space="preserve">Additionally, sub-metering data </w:t>
      </w:r>
      <w:proofErr w:type="gramStart"/>
      <w:r w:rsidRPr="007E63A9">
        <w:rPr>
          <w:bCs/>
          <w:spacing w:val="-3"/>
          <w:lang w:val="en-GB" w:eastAsia="en-US"/>
        </w:rPr>
        <w:t>are used</w:t>
      </w:r>
      <w:proofErr w:type="gramEnd"/>
      <w:r w:rsidRPr="007E63A9">
        <w:rPr>
          <w:bCs/>
          <w:spacing w:val="-3"/>
          <w:lang w:val="en-GB" w:eastAsia="en-US"/>
        </w:rPr>
        <w:t xml:space="preserve"> in this study to test the approach at multiple levels within the building.</w:t>
      </w:r>
      <w:r>
        <w:rPr>
          <w:bCs/>
          <w:spacing w:val="-3"/>
          <w:lang w:val="en-GB" w:eastAsia="en-US"/>
        </w:rPr>
        <w:t xml:space="preserve"> </w:t>
      </w:r>
      <w:r w:rsidRPr="007E63A9">
        <w:rPr>
          <w:bCs/>
          <w:spacing w:val="-3"/>
          <w:lang w:val="en-GB" w:eastAsia="en-US"/>
        </w:rPr>
        <w:t>This level of detail may not be available on a large scale</w:t>
      </w:r>
      <w:r w:rsidR="00713144">
        <w:rPr>
          <w:bCs/>
          <w:spacing w:val="-3"/>
          <w:lang w:val="en-GB" w:eastAsia="en-US"/>
        </w:rPr>
        <w:t xml:space="preserve"> basis</w:t>
      </w:r>
      <w:r w:rsidRPr="007E63A9">
        <w:rPr>
          <w:bCs/>
          <w:spacing w:val="-3"/>
          <w:lang w:val="en-GB" w:eastAsia="en-US"/>
        </w:rPr>
        <w:t xml:space="preserve">, but </w:t>
      </w:r>
      <w:r w:rsidRPr="004E680B">
        <w:rPr>
          <w:bCs/>
          <w:spacing w:val="-3"/>
          <w:lang w:val="en-GB" w:eastAsia="en-US"/>
        </w:rPr>
        <w:t>disaggregation techniques</w:t>
      </w:r>
      <w:r w:rsidR="004E680B" w:rsidRPr="004E680B">
        <w:rPr>
          <w:bCs/>
          <w:spacing w:val="-3"/>
          <w:lang w:val="en-GB" w:eastAsia="en-US"/>
        </w:rPr>
        <w:t xml:space="preserve"> </w:t>
      </w:r>
      <w:r w:rsidR="004E680B" w:rsidRPr="00D53DAD">
        <w:rPr>
          <w:bCs/>
          <w:spacing w:val="-3"/>
          <w:lang w:val="en-GB" w:eastAsia="en-US"/>
        </w:rPr>
        <w:fldChar w:fldCharType="begin" w:fldLock="1"/>
      </w:r>
      <w:r w:rsidR="006A236D">
        <w:rPr>
          <w:bCs/>
          <w:spacing w:val="-3"/>
          <w:lang w:val="en-GB" w:eastAsia="en-US"/>
        </w:rPr>
        <w:instrText>ADDIN CSL_CITATION { "citationItems" : [ { "id" : "ITEM-1", "itemData" : { "DOI" : "10.1108/IJBPA-02-2019-0022", "ISSN" : "2398-4708", "abstract" : "Purpose The purpose of this paper is to identify the impact of traditionally unmonitored energy sources and sinks on assessment of the as-built thermal performance of occupied homes. The analysis aims to demonstrate the potential scale of uncertainties introduced in a heat balance estimation of the heat transfer coefficient (HTC) when using in-use monitored data. Design/methodology/approach Energy flows for two UK homes \u2013 one a 1930s dwelling with high heat loss, the second a higher-performing 2014-built home \u2013 are predicted using the UK Government\u2019s standard assessment procedure (SAP) and visualised using Sankey diagrams. Selected modelled energy flows are used as inputs in a quasi-steady state heat balance to calculate in-use HTCs as if from measured data sets gathered in occupied homes. The estimated in-use HTCs are compared against SAP-calculated values to illustrate the impact of including or omitting various heat sources and sinks. Findings The results demonstrate that for dwellings with low heat loss, the increased proportion of heating demand met by unmetered internal and solar gains informs a greater sensitivity of a heat balance estimation of the HTC to their omission. While simple quasi-steady state heat balance methods may be appropriate for dwellings with very high heat loss, alternative approaches are likely to be required for those with lower heat loss. Originality/value A need to understand the impacts of unmetered heat flows on the accuracy with which a building\u2019s thermal performance may be inferred from in-use monitored data is identified: this paper illustrates the scale of these impacts for two homes at opposite ends of the energy performance scale.", "author" : [ { "dropping-particle" : "", "family" : "Li", "given" : "Matthew", "non-dropping-particle" : "", "parse-names" : false, "suffix" : "" }, { "dropping-particle" : "", "family" : "Allinson", "given" : "David", "non-dropping-particle" : "", "parse-names" : false, "suffix" : "" }, { "dropping-particle" : "", "family" : "Lomas", "given" : "Kevin", "non-dropping-particle" : "", "parse-names" : false, "suffix" : "" } ], "container-title" : "International Journal of Building Pathology and Adaptation", "id" : "ITEM-1", "issue" : "1", "issued" : { "date-parts" : [ [ "2020", "1", "1" ] ] }, "page" : "38-50", "publisher" : "Emerald Publishing Limited", "title" : "Estimation of building heat transfer coefficients from in-use data", "type" : "article-journal", "volume" : "38" }, "uris" : [ "http://www.mendeley.com/documents/?uuid=fa47ccdd-c973-44aa-8efc-8b016624a223" ] } ], "mendeley" : { "formattedCitation" : "[41]", "plainTextFormattedCitation" : "[41]", "previouslyFormattedCitation" : "[41]" }, "properties" : { "noteIndex" : 0 }, "schema" : "https://github.com/citation-style-language/schema/raw/master/csl-citation.json" }</w:instrText>
      </w:r>
      <w:r w:rsidR="004E680B" w:rsidRPr="00D53DAD">
        <w:rPr>
          <w:bCs/>
          <w:spacing w:val="-3"/>
          <w:lang w:val="en-GB" w:eastAsia="en-US"/>
        </w:rPr>
        <w:fldChar w:fldCharType="separate"/>
      </w:r>
      <w:r w:rsidR="0023172C" w:rsidRPr="0023172C">
        <w:rPr>
          <w:bCs/>
          <w:noProof/>
          <w:spacing w:val="-3"/>
          <w:lang w:val="en-GB" w:eastAsia="en-US"/>
        </w:rPr>
        <w:t>[41]</w:t>
      </w:r>
      <w:r w:rsidR="004E680B" w:rsidRPr="00D53DAD">
        <w:rPr>
          <w:bCs/>
          <w:spacing w:val="-3"/>
          <w:lang w:val="en-GB" w:eastAsia="en-US"/>
        </w:rPr>
        <w:fldChar w:fldCharType="end"/>
      </w:r>
      <w:r w:rsidRPr="004E680B">
        <w:rPr>
          <w:bCs/>
          <w:spacing w:val="-3"/>
          <w:lang w:val="en-GB" w:eastAsia="en-US"/>
        </w:rPr>
        <w:t xml:space="preserve">, supplemented by analytical formulations of the building energy balance </w:t>
      </w:r>
      <w:r w:rsidR="004E680B" w:rsidRPr="00D53DAD">
        <w:rPr>
          <w:bCs/>
          <w:spacing w:val="-3"/>
          <w:lang w:val="en-GB" w:eastAsia="en-US"/>
        </w:rPr>
        <w:fldChar w:fldCharType="begin" w:fldLock="1"/>
      </w:r>
      <w:r w:rsidR="006A236D">
        <w:rPr>
          <w:bCs/>
          <w:spacing w:val="-3"/>
          <w:lang w:val="en-GB" w:eastAsia="en-US"/>
        </w:rPr>
        <w:instrText>ADDIN CSL_CITATION { "citationItems" : [ { "id" : "ITEM-1", "itemData" : { "DOI" : "https://doi.org/10.1016/j.enbuild.2014.06.035", "ISSN" : "0378-7788", "abstract" : "An approach, able to easily and effectively integrate field measured data in whole building energy simulation (BES) models is crucial to increase simulation accuracy for existing buildings. In this paper, the robustness of a linear regression method for extracting transmission losses above ground (including air leakage) and ground heat loss parameters are analyzed. The regression method is evaluated on two documented and monitored multifamily buildings with mechanical supply and exhaust ventilation systems, with and without heat recovery. The obtained results are found to be robust, with variations less than 2% in the extracted estimates of transmission losses above ground (including air leakage) and with a high goodness of fit (R2&gt;0.96) against measured data from two years. In addition, the estimations of the buildings ground heat loss were in good agreement with calculations in accordance with EN ISO 13370:2007. The high quality output from the used regression method serves as good prerequisites for the method to be used in conjunction with BES models to aid the analyst in a BES calibration process.", "author" : [ { "dropping-particle" : "", "family" : "Vesterberg", "given" : "Jimmy", "non-dropping-particle" : "", "parse-names" : false, "suffix" : "" }, { "dropping-particle" : "", "family" : "Andersson", "given" : "Staffan", "non-dropping-particle" : "", "parse-names" : false, "suffix" : "" }, { "dropping-particle" : "", "family" : "Olofsson", "given" : "Thomas", "non-dropping-particle" : "", "parse-names" : false, "suffix" : "" } ], "container-title" : "Energy and Buildings", "id" : "ITEM-1", "issued" : { "date-parts" : [ [ "2014" ] ] }, "page" : "430-434", "title" : "Robustness of a regression approach, aimed for calibration of whole building energy simulation tools", "type" : "article-journal", "volume" : "81" }, "uris" : [ "http://www.mendeley.com/documents/?uuid=5e9b90db-76fb-4003-b49e-7c86c9aafa43" ] } ], "mendeley" : { "formattedCitation" : "[43]", "plainTextFormattedCitation" : "[43]", "previouslyFormattedCitation" : "[43]" }, "properties" : { "noteIndex" : 0 }, "schema" : "https://github.com/citation-style-language/schema/raw/master/csl-citation.json" }</w:instrText>
      </w:r>
      <w:r w:rsidR="004E680B" w:rsidRPr="00D53DAD">
        <w:rPr>
          <w:bCs/>
          <w:spacing w:val="-3"/>
          <w:lang w:val="en-GB" w:eastAsia="en-US"/>
        </w:rPr>
        <w:fldChar w:fldCharType="separate"/>
      </w:r>
      <w:r w:rsidR="0023172C" w:rsidRPr="0023172C">
        <w:rPr>
          <w:bCs/>
          <w:noProof/>
          <w:spacing w:val="-3"/>
          <w:lang w:val="en-GB" w:eastAsia="en-US"/>
        </w:rPr>
        <w:t>[43]</w:t>
      </w:r>
      <w:r w:rsidR="004E680B" w:rsidRPr="00D53DAD">
        <w:rPr>
          <w:bCs/>
          <w:spacing w:val="-3"/>
          <w:lang w:val="en-GB" w:eastAsia="en-US"/>
        </w:rPr>
        <w:fldChar w:fldCharType="end"/>
      </w:r>
      <w:r w:rsidRPr="004E680B">
        <w:rPr>
          <w:bCs/>
          <w:spacing w:val="-3"/>
          <w:lang w:val="en-GB" w:eastAsia="en-US"/>
        </w:rPr>
        <w:t>, can be used instead</w:t>
      </w:r>
      <w:r w:rsidR="00D56621">
        <w:rPr>
          <w:bCs/>
          <w:spacing w:val="-3"/>
          <w:lang w:val="en-GB" w:eastAsia="en-US"/>
        </w:rPr>
        <w:t xml:space="preserve"> and </w:t>
      </w:r>
      <w:r w:rsidR="00713144">
        <w:rPr>
          <w:bCs/>
          <w:spacing w:val="-3"/>
          <w:lang w:val="en-GB" w:eastAsia="en-US"/>
        </w:rPr>
        <w:t>can be</w:t>
      </w:r>
      <w:r w:rsidR="00D56621">
        <w:rPr>
          <w:bCs/>
          <w:spacing w:val="-3"/>
          <w:lang w:val="en-GB" w:eastAsia="en-US"/>
        </w:rPr>
        <w:t xml:space="preserve"> part of future research</w:t>
      </w:r>
      <w:r w:rsidRPr="004E680B">
        <w:rPr>
          <w:bCs/>
          <w:spacing w:val="-3"/>
          <w:lang w:val="en-GB" w:eastAsia="en-US"/>
        </w:rPr>
        <w:t>.</w:t>
      </w:r>
    </w:p>
    <w:p w:rsidR="000A2C39" w:rsidRDefault="000A2C39">
      <w:pPr>
        <w:tabs>
          <w:tab w:val="left" w:pos="-414"/>
        </w:tabs>
        <w:suppressAutoHyphens/>
        <w:autoSpaceDE w:val="0"/>
        <w:autoSpaceDN w:val="0"/>
        <w:jc w:val="both"/>
        <w:rPr>
          <w:bCs/>
          <w:spacing w:val="-3"/>
          <w:lang w:val="en-GB" w:eastAsia="en-US"/>
        </w:rPr>
      </w:pPr>
      <w:r w:rsidRPr="000A2C39">
        <w:rPr>
          <w:bCs/>
          <w:spacing w:val="-3"/>
          <w:lang w:val="en-GB" w:eastAsia="en-US"/>
        </w:rPr>
        <w:t xml:space="preserve">Finally, monthly interval data </w:t>
      </w:r>
      <w:proofErr w:type="gramStart"/>
      <w:r w:rsidRPr="000A2C39">
        <w:rPr>
          <w:bCs/>
          <w:spacing w:val="-3"/>
          <w:lang w:val="en-GB" w:eastAsia="en-US"/>
        </w:rPr>
        <w:t>were used</w:t>
      </w:r>
      <w:proofErr w:type="gramEnd"/>
      <w:r w:rsidRPr="000A2C39">
        <w:rPr>
          <w:bCs/>
          <w:spacing w:val="-3"/>
          <w:lang w:val="en-GB" w:eastAsia="en-US"/>
        </w:rPr>
        <w:t xml:space="preserve"> in this study rather than daily, hourly, or sub-hourly data.</w:t>
      </w:r>
      <w:r>
        <w:rPr>
          <w:bCs/>
          <w:spacing w:val="-3"/>
          <w:lang w:val="en-GB" w:eastAsia="en-US"/>
        </w:rPr>
        <w:t xml:space="preserve"> </w:t>
      </w:r>
      <w:r w:rsidRPr="000A2C39">
        <w:rPr>
          <w:bCs/>
          <w:spacing w:val="-3"/>
          <w:lang w:val="en-GB" w:eastAsia="en-US"/>
        </w:rPr>
        <w:t xml:space="preserve">Even though building performance simulation tools can provide hourly and sub-hourly outputs, the calibration of building energy models using monthly data remains widespread, as evidenced by systematic reviews by Coakley et al. </w:t>
      </w:r>
      <w:r w:rsidRPr="009E6AC3">
        <w:rPr>
          <w:bCs/>
          <w:spacing w:val="-3"/>
          <w:lang w:val="en-GB" w:eastAsia="en-US"/>
        </w:rPr>
        <w:fldChar w:fldCharType="begin" w:fldLock="1"/>
      </w:r>
      <w:r w:rsidRPr="009E6AC3">
        <w:rPr>
          <w:bCs/>
          <w:spacing w:val="-3"/>
          <w:lang w:val="en-GB" w:eastAsia="en-US"/>
        </w:rPr>
        <w:instrText>ADDIN CSL_CITATION { "citationItems" : [ { "id" : "ITEM-1", "itemData" : { "DOI" : "http://dx.doi.org/10.1016/j.rser.2014.05.007", "ISSN" : "1364-0321", "author" : [ { "dropping-particle" : "", "family" : "Coakley", "given" : "Daniel", "non-dropping-particle" : "", "parse-names" : false, "suffix" : "" }, { "dropping-particle" : "", "family" : "Raftery", "given" : "Paul", "non-dropping-particle" : "", "parse-names" : false, "suffix" : "" }, { "dropping-particle" : "", "family" : "Keane", "given" : "Marcus", "non-dropping-particle" : "", "parse-names" : false, "suffix" : "" } ], "container-title" : "Renewable and Sustainable Energy Reviews", "id" : "ITEM-1", "issued" : { "date-parts" : [ [ "2014" ] ] }, "page" : "123-141", "title" : "A review of methods to match building energy simulation models to measured data", "type" : "article-journal", "volume" : "37" }, "uris" : [ "http://www.mendeley.com/documents/?uuid=25bf6c44-a20f-408c-9c23-6f4b2f6d7be6" ] } ], "mendeley" : { "formattedCitation" : "[10]", "plainTextFormattedCitation" : "[10]", "previouslyFormattedCitation" : "[10]" }, "properties" : { "noteIndex" : 0 }, "schema" : "https://github.com/citation-style-language/schema/raw/master/csl-citation.json" }</w:instrText>
      </w:r>
      <w:r w:rsidRPr="009E6AC3">
        <w:rPr>
          <w:bCs/>
          <w:spacing w:val="-3"/>
          <w:lang w:val="en-GB" w:eastAsia="en-US"/>
        </w:rPr>
        <w:fldChar w:fldCharType="separate"/>
      </w:r>
      <w:r w:rsidRPr="009E6AC3">
        <w:rPr>
          <w:bCs/>
          <w:noProof/>
          <w:spacing w:val="-3"/>
          <w:lang w:val="en-GB" w:eastAsia="en-US"/>
        </w:rPr>
        <w:t>[10]</w:t>
      </w:r>
      <w:r w:rsidRPr="009E6AC3">
        <w:rPr>
          <w:bCs/>
          <w:spacing w:val="-3"/>
          <w:lang w:val="en-GB" w:eastAsia="en-US"/>
        </w:rPr>
        <w:fldChar w:fldCharType="end"/>
      </w:r>
      <w:r w:rsidRPr="009E6AC3">
        <w:rPr>
          <w:bCs/>
          <w:spacing w:val="-3"/>
          <w:lang w:val="en-GB" w:eastAsia="en-US"/>
        </w:rPr>
        <w:t xml:space="preserve"> </w:t>
      </w:r>
      <w:r w:rsidRPr="000A2C39">
        <w:rPr>
          <w:bCs/>
          <w:spacing w:val="-3"/>
          <w:lang w:val="en-GB" w:eastAsia="en-US"/>
        </w:rPr>
        <w:t xml:space="preserve">and, more recently, Chong et al. </w:t>
      </w:r>
      <w:r w:rsidRPr="00DE0D58">
        <w:rPr>
          <w:bCs/>
          <w:spacing w:val="-3"/>
          <w:lang w:val="en-GB" w:eastAsia="en-US"/>
        </w:rPr>
        <w:fldChar w:fldCharType="begin" w:fldLock="1"/>
      </w:r>
      <w:r w:rsidRPr="00DE0D58">
        <w:rPr>
          <w:bCs/>
          <w:spacing w:val="-3"/>
          <w:lang w:val="en-GB" w:eastAsia="en-US"/>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"[11]", "plainTextFormattedCitation" : "[11]", "previouslyFormattedCitation" : "[11]" }, "properties" : { "noteIndex" : 0 }, "schema" : "https://github.com/citation-style-language/schema/raw/master/csl-citation.json" }</w:instrText>
      </w:r>
      <w:r w:rsidRPr="00DE0D58">
        <w:rPr>
          <w:bCs/>
          <w:spacing w:val="-3"/>
          <w:lang w:val="en-GB" w:eastAsia="en-US"/>
        </w:rPr>
        <w:fldChar w:fldCharType="separate"/>
      </w:r>
      <w:r w:rsidRPr="00DE0D58">
        <w:rPr>
          <w:bCs/>
          <w:noProof/>
          <w:spacing w:val="-3"/>
          <w:lang w:val="en-GB" w:eastAsia="en-US"/>
        </w:rPr>
        <w:t>[11]</w:t>
      </w:r>
      <w:r w:rsidRPr="00DE0D58">
        <w:rPr>
          <w:bCs/>
          <w:spacing w:val="-3"/>
          <w:lang w:val="en-GB" w:eastAsia="en-US"/>
        </w:rPr>
        <w:fldChar w:fldCharType="end"/>
      </w:r>
      <w:r>
        <w:rPr>
          <w:bCs/>
          <w:spacing w:val="-3"/>
          <w:lang w:val="en-GB" w:eastAsia="en-US"/>
        </w:rPr>
        <w:t xml:space="preserve">. </w:t>
      </w:r>
      <w:r w:rsidRPr="000A2C39">
        <w:rPr>
          <w:bCs/>
          <w:spacing w:val="-3"/>
          <w:lang w:val="en-GB" w:eastAsia="en-US"/>
        </w:rPr>
        <w:t>In fact, data collected on a monthly bas</w:t>
      </w:r>
      <w:r w:rsidR="00D56621">
        <w:rPr>
          <w:bCs/>
          <w:spacing w:val="-3"/>
          <w:lang w:val="en-GB" w:eastAsia="en-US"/>
        </w:rPr>
        <w:t>e</w:t>
      </w:r>
      <w:r w:rsidRPr="000A2C39">
        <w:rPr>
          <w:bCs/>
          <w:spacing w:val="-3"/>
          <w:lang w:val="en-GB" w:eastAsia="en-US"/>
        </w:rPr>
        <w:t xml:space="preserve"> are simpler to </w:t>
      </w:r>
      <w:r>
        <w:rPr>
          <w:bCs/>
          <w:spacing w:val="-3"/>
          <w:lang w:val="en-GB" w:eastAsia="en-US"/>
        </w:rPr>
        <w:t>found</w:t>
      </w:r>
      <w:r w:rsidRPr="000A2C39">
        <w:rPr>
          <w:bCs/>
          <w:spacing w:val="-3"/>
          <w:lang w:val="en-GB" w:eastAsia="en-US"/>
        </w:rPr>
        <w:t xml:space="preserve"> (</w:t>
      </w:r>
      <w:r w:rsidR="00ED2076">
        <w:rPr>
          <w:bCs/>
          <w:spacing w:val="-3"/>
          <w:lang w:val="en-GB" w:eastAsia="en-US"/>
        </w:rPr>
        <w:t>e.g</w:t>
      </w:r>
      <w:r w:rsidRPr="000A2C39">
        <w:rPr>
          <w:bCs/>
          <w:spacing w:val="-3"/>
          <w:lang w:val="en-GB" w:eastAsia="en-US"/>
        </w:rPr>
        <w:t>. by digitalizing utility bill</w:t>
      </w:r>
      <w:r w:rsidR="00713144">
        <w:rPr>
          <w:bCs/>
          <w:spacing w:val="-3"/>
          <w:lang w:val="en-GB" w:eastAsia="en-US"/>
        </w:rPr>
        <w:t>ing</w:t>
      </w:r>
      <w:r w:rsidRPr="000A2C39">
        <w:rPr>
          <w:bCs/>
          <w:spacing w:val="-3"/>
          <w:lang w:val="en-GB" w:eastAsia="en-US"/>
        </w:rPr>
        <w:t xml:space="preserve"> data).</w:t>
      </w:r>
      <w:r>
        <w:rPr>
          <w:bCs/>
          <w:spacing w:val="-3"/>
          <w:lang w:val="en-GB" w:eastAsia="en-US"/>
        </w:rPr>
        <w:t xml:space="preserve"> </w:t>
      </w:r>
      <w:r w:rsidRPr="000A2C39">
        <w:rPr>
          <w:bCs/>
          <w:spacing w:val="-3"/>
          <w:lang w:val="en-GB" w:eastAsia="en-US"/>
        </w:rPr>
        <w:t>While monthly-based models do not fully exploit the possibilities provided by higher data granularity, they are computationally inexpensive and can still provide useful insights on energy performance if calibrated.</w:t>
      </w:r>
      <w:r>
        <w:rPr>
          <w:bCs/>
          <w:spacing w:val="-3"/>
          <w:lang w:val="en-GB" w:eastAsia="en-US"/>
        </w:rPr>
        <w:t xml:space="preserve"> </w:t>
      </w:r>
    </w:p>
    <w:p w:rsidR="00480EB2" w:rsidRDefault="000A2C39" w:rsidP="007D4B5A">
      <w:pPr>
        <w:tabs>
          <w:tab w:val="left" w:pos="-414"/>
        </w:tabs>
        <w:suppressAutoHyphens/>
        <w:autoSpaceDE w:val="0"/>
        <w:autoSpaceDN w:val="0"/>
        <w:jc w:val="both"/>
        <w:rPr>
          <w:b/>
          <w:bCs/>
          <w:spacing w:val="-3"/>
          <w:lang w:val="en-GB" w:eastAsia="en-US"/>
        </w:rPr>
      </w:pPr>
      <w:r w:rsidRPr="000A2C39">
        <w:rPr>
          <w:bCs/>
          <w:spacing w:val="-3"/>
          <w:lang w:val="en-GB" w:eastAsia="en-US"/>
        </w:rPr>
        <w:t xml:space="preserve">Following the discussion of current limitations and the underlying potential for further development, the following Section provides indications </w:t>
      </w:r>
      <w:r w:rsidR="00D56621">
        <w:rPr>
          <w:bCs/>
          <w:spacing w:val="-3"/>
          <w:lang w:val="en-GB" w:eastAsia="en-US"/>
        </w:rPr>
        <w:t>for</w:t>
      </w:r>
      <w:r w:rsidRPr="000A2C39">
        <w:rPr>
          <w:bCs/>
          <w:spacing w:val="-3"/>
          <w:lang w:val="en-GB" w:eastAsia="en-US"/>
        </w:rPr>
        <w:t xml:space="preserve"> future research</w:t>
      </w:r>
      <w:r w:rsidR="00D56621">
        <w:rPr>
          <w:bCs/>
          <w:spacing w:val="-3"/>
          <w:lang w:val="en-GB" w:eastAsia="en-US"/>
        </w:rPr>
        <w:t>.</w:t>
      </w:r>
    </w:p>
    <w:p w:rsidR="00314B5D" w:rsidRDefault="00314B5D" w:rsidP="007D4B5A">
      <w:pPr>
        <w:tabs>
          <w:tab w:val="left" w:pos="-414"/>
        </w:tabs>
        <w:suppressAutoHyphens/>
        <w:autoSpaceDE w:val="0"/>
        <w:autoSpaceDN w:val="0"/>
        <w:jc w:val="both"/>
        <w:rPr>
          <w:b/>
          <w:bCs/>
          <w:spacing w:val="-3"/>
          <w:lang w:val="en-GB" w:eastAsia="en-US"/>
        </w:rPr>
      </w:pPr>
    </w:p>
    <w:p w:rsidR="000A2C39" w:rsidRDefault="000A2C39" w:rsidP="007D4B5A">
      <w:pPr>
        <w:tabs>
          <w:tab w:val="left" w:pos="-414"/>
        </w:tabs>
        <w:suppressAutoHyphens/>
        <w:autoSpaceDE w:val="0"/>
        <w:autoSpaceDN w:val="0"/>
        <w:jc w:val="both"/>
        <w:rPr>
          <w:b/>
          <w:bCs/>
          <w:spacing w:val="-3"/>
          <w:lang w:val="en-GB" w:eastAsia="en-US"/>
        </w:rPr>
      </w:pPr>
    </w:p>
    <w:p w:rsidR="00B93C3B" w:rsidRPr="0034537C" w:rsidRDefault="00314B5D" w:rsidP="00066145">
      <w:pPr>
        <w:pStyle w:val="Heading1"/>
      </w:pPr>
      <w:bookmarkStart w:id="227" w:name="_Toc98498110"/>
      <w:r w:rsidRPr="0034537C">
        <w:lastRenderedPageBreak/>
        <w:t>Further research</w:t>
      </w:r>
      <w:r w:rsidR="00066145" w:rsidRPr="0034537C">
        <w:t xml:space="preserve"> potential</w:t>
      </w:r>
      <w:bookmarkEnd w:id="227"/>
    </w:p>
    <w:p w:rsidR="00DA3404" w:rsidRDefault="000A0385">
      <w:pPr>
        <w:suppressAutoHyphens/>
        <w:jc w:val="both"/>
        <w:rPr>
          <w:lang w:val="en-GB"/>
        </w:rPr>
      </w:pPr>
      <w:r w:rsidRPr="000A0385">
        <w:rPr>
          <w:lang w:val="en-GB"/>
        </w:rPr>
        <w:t xml:space="preserve">Further research </w:t>
      </w:r>
      <w:proofErr w:type="gramStart"/>
      <w:r w:rsidRPr="000A0385">
        <w:rPr>
          <w:lang w:val="en-GB"/>
        </w:rPr>
        <w:t>can be developed</w:t>
      </w:r>
      <w:proofErr w:type="gramEnd"/>
      <w:r w:rsidRPr="000A0385">
        <w:rPr>
          <w:lang w:val="en-GB"/>
        </w:rPr>
        <w:t xml:space="preserve"> in a variety of directions based on the results presented and discussed in the preceding </w:t>
      </w:r>
      <w:r w:rsidR="00DF1932">
        <w:rPr>
          <w:lang w:val="en-GB"/>
        </w:rPr>
        <w:t>S</w:t>
      </w:r>
      <w:r w:rsidR="00DF1932" w:rsidRPr="000A0385">
        <w:rPr>
          <w:lang w:val="en-GB"/>
        </w:rPr>
        <w:t>ection</w:t>
      </w:r>
      <w:r w:rsidRPr="000A0385">
        <w:rPr>
          <w:lang w:val="en-GB"/>
        </w:rPr>
        <w:t>.</w:t>
      </w:r>
      <w:r>
        <w:rPr>
          <w:lang w:val="en-GB"/>
        </w:rPr>
        <w:t xml:space="preserve"> </w:t>
      </w:r>
      <w:r w:rsidRPr="000A0385">
        <w:rPr>
          <w:lang w:val="en-GB"/>
        </w:rPr>
        <w:t xml:space="preserve">The first development path </w:t>
      </w:r>
      <w:proofErr w:type="gramStart"/>
      <w:r w:rsidRPr="000A0385">
        <w:rPr>
          <w:lang w:val="en-GB"/>
        </w:rPr>
        <w:t>can be focused</w:t>
      </w:r>
      <w:proofErr w:type="gramEnd"/>
      <w:r w:rsidRPr="000A0385">
        <w:rPr>
          <w:lang w:val="en-GB"/>
        </w:rPr>
        <w:t xml:space="preserve"> on scalability (both temporal and spatial) and integration across life cycle phases (from early design to operation).</w:t>
      </w:r>
      <w:r>
        <w:rPr>
          <w:lang w:val="en-GB"/>
        </w:rPr>
        <w:t xml:space="preserve"> In fact, r</w:t>
      </w:r>
      <w:r w:rsidR="00060FB0" w:rsidRPr="00314B5D">
        <w:rPr>
          <w:lang w:val="en-GB"/>
        </w:rPr>
        <w:t>egression-based approaches can be applied to energy signature data with monthly, daily, and hourly</w:t>
      </w:r>
      <w:r>
        <w:rPr>
          <w:lang w:val="en-GB"/>
        </w:rPr>
        <w:t>/sub-hourly</w:t>
      </w:r>
      <w:r w:rsidR="00060FB0" w:rsidRPr="00314B5D">
        <w:rPr>
          <w:lang w:val="en-GB"/>
        </w:rPr>
        <w:t xml:space="preserve"> time intervals (temporal scalability), but also at multiple levels in energy models (spatial scalability), as shown in previous research</w:t>
      </w:r>
      <w:r w:rsidR="00DA3404">
        <w:rPr>
          <w:lang w:val="en-GB"/>
        </w:rPr>
        <w:t xml:space="preserve"> </w:t>
      </w:r>
      <w:r w:rsidR="00DA3404">
        <w:rPr>
          <w:lang w:val="en-GB"/>
        </w:rPr>
        <w:fldChar w:fldCharType="begin" w:fldLock="1"/>
      </w:r>
      <w:r w:rsidR="00DA3404">
        <w:rPr>
          <w:lang w:val="en-GB"/>
        </w:rPr>
        <w:instrText>ADDIN CSL_CITATION { "citationItems" : [ { "id" : "ITEM-1", "itemData" : { "DOI" : "10.3390/en14030679", "ISBN" : "1996-1073", "abstract" : "Decarbonisation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 "author" : [ { "dropping-particle" : "", "family" : "Manfren", "given" : "Massimiliano", "non-dropping-particle" : "", "parse-names" : false, "suffix" : "" }, { "dropping-particle" : "", "family" : "Sibilla", "given" : "Maurizio", "non-dropping-particle" : "", "parse-names" : false, "suffix" : "" }, { "dropping-particle" : "", "family" : "Tronchin", "given" : "Lamberto", "non-dropping-particle" : "", "parse-names" : false, "suffix" : "" } ], "container-title" : "Energies ", "id" : "ITEM-1", "issue" : "3", "issued" : { "date-parts" : [ [ "2021" ] ] }, "title" : "Energy Modelling and Analytics in the Built Environment\u2014A Review of Their Role for Energy Transitions in the Construction Sector", "type" : "article", "volume" : "14" }, "uris" : [ "http://www.mendeley.com/documents/?uuid=544059d3-6610-48a0-adb9-0f24d6920827" ] } ], "mendeley" : { "formattedCitation" : "[15]", "plainTextFormattedCitation" : "[15]", "previouslyFormattedCitation" : "[15]" }, "properties" : { "noteIndex" : 0 }, "schema" : "https://github.com/citation-style-language/schema/raw/master/csl-citation.json" }</w:instrText>
      </w:r>
      <w:r w:rsidR="00DA3404">
        <w:rPr>
          <w:lang w:val="en-GB"/>
        </w:rPr>
        <w:fldChar w:fldCharType="separate"/>
      </w:r>
      <w:r w:rsidR="00DA3404" w:rsidRPr="00DA3404">
        <w:rPr>
          <w:noProof/>
          <w:lang w:val="en-GB"/>
        </w:rPr>
        <w:t>[15]</w:t>
      </w:r>
      <w:r w:rsidR="00DA3404">
        <w:rPr>
          <w:lang w:val="en-GB"/>
        </w:rPr>
        <w:fldChar w:fldCharType="end"/>
      </w:r>
      <w:r w:rsidR="00060FB0" w:rsidRPr="00314B5D">
        <w:rPr>
          <w:lang w:val="en-GB"/>
        </w:rPr>
        <w:t>, thereby adapting them based on the scope and on the granularity of data available.</w:t>
      </w:r>
    </w:p>
    <w:p w:rsidR="00DA3404" w:rsidRPr="00507FC3" w:rsidRDefault="00DA3404" w:rsidP="00BD2AFA">
      <w:pPr>
        <w:tabs>
          <w:tab w:val="left" w:pos="-414"/>
        </w:tabs>
        <w:suppressAutoHyphens/>
        <w:autoSpaceDE w:val="0"/>
        <w:autoSpaceDN w:val="0"/>
        <w:jc w:val="both"/>
        <w:rPr>
          <w:bCs/>
          <w:spacing w:val="-3"/>
          <w:lang w:val="en-GB" w:eastAsia="en-US"/>
        </w:rPr>
      </w:pPr>
      <w:r w:rsidRPr="00DA3404">
        <w:rPr>
          <w:bCs/>
          <w:spacing w:val="-3"/>
          <w:lang w:val="en-GB" w:eastAsia="en-US"/>
        </w:rPr>
        <w:t>In general, using data at higher resolution (daily, hourly, sub-hourly) could aid in increasing the complexity and capabilities of models</w:t>
      </w:r>
      <w:r w:rsidR="0075049A">
        <w:rPr>
          <w:bCs/>
          <w:spacing w:val="-3"/>
          <w:lang w:val="en-GB" w:eastAsia="en-US"/>
        </w:rPr>
        <w:t xml:space="preserve"> (e.g. load profiles modelling, DSM events modelling</w:t>
      </w:r>
      <w:r w:rsidR="00ED2076">
        <w:rPr>
          <w:bCs/>
          <w:spacing w:val="-3"/>
          <w:lang w:val="en-GB" w:eastAsia="en-US"/>
        </w:rPr>
        <w:t>, etc.</w:t>
      </w:r>
      <w:r w:rsidR="0075049A">
        <w:rPr>
          <w:bCs/>
          <w:spacing w:val="-3"/>
          <w:lang w:val="en-GB" w:eastAsia="en-US"/>
        </w:rPr>
        <w:t>)</w:t>
      </w:r>
      <w:r w:rsidRPr="00DA3404">
        <w:rPr>
          <w:bCs/>
          <w:spacing w:val="-3"/>
          <w:lang w:val="en-GB" w:eastAsia="en-US"/>
        </w:rPr>
        <w:t>.</w:t>
      </w:r>
      <w:r>
        <w:rPr>
          <w:bCs/>
          <w:spacing w:val="-3"/>
          <w:lang w:val="en-GB" w:eastAsia="en-US"/>
        </w:rPr>
        <w:t xml:space="preserve"> </w:t>
      </w:r>
      <w:r w:rsidR="00E777A9">
        <w:rPr>
          <w:bCs/>
          <w:spacing w:val="-3"/>
          <w:lang w:val="en-GB" w:eastAsia="en-US"/>
        </w:rPr>
        <w:t>However</w:t>
      </w:r>
      <w:r w:rsidRPr="00DA3404">
        <w:rPr>
          <w:bCs/>
          <w:spacing w:val="-3"/>
          <w:lang w:val="en-GB" w:eastAsia="en-US"/>
        </w:rPr>
        <w:t xml:space="preserve">, maintaining a certain degree of comparability with models built </w:t>
      </w:r>
      <w:r w:rsidR="0075049A">
        <w:rPr>
          <w:bCs/>
          <w:spacing w:val="-3"/>
          <w:lang w:val="en-GB" w:eastAsia="en-US"/>
        </w:rPr>
        <w:t>using</w:t>
      </w:r>
      <w:r w:rsidRPr="00DA3404">
        <w:rPr>
          <w:bCs/>
          <w:spacing w:val="-3"/>
          <w:lang w:val="en-GB" w:eastAsia="en-US"/>
        </w:rPr>
        <w:t xml:space="preserve"> monthly data is critical to enabling the</w:t>
      </w:r>
      <w:r>
        <w:rPr>
          <w:bCs/>
          <w:spacing w:val="-3"/>
          <w:lang w:val="en-GB" w:eastAsia="en-US"/>
        </w:rPr>
        <w:t xml:space="preserve"> effective</w:t>
      </w:r>
      <w:r w:rsidRPr="00DA3404">
        <w:rPr>
          <w:bCs/>
          <w:spacing w:val="-3"/>
          <w:lang w:val="en-GB" w:eastAsia="en-US"/>
        </w:rPr>
        <w:t xml:space="preserve"> integration of short-term and high-frequency data with long-term and low-frequency data</w:t>
      </w:r>
      <w:r w:rsidR="0075049A">
        <w:rPr>
          <w:bCs/>
          <w:spacing w:val="-3"/>
          <w:lang w:val="en-GB" w:eastAsia="en-US"/>
        </w:rPr>
        <w:t xml:space="preserve"> (i.e. alternating different monitoring strategies)</w:t>
      </w:r>
      <w:r w:rsidRPr="00DA3404">
        <w:rPr>
          <w:bCs/>
          <w:spacing w:val="-3"/>
          <w:lang w:val="en-GB" w:eastAsia="en-US"/>
        </w:rPr>
        <w:t xml:space="preserve">, as demonstrated in ASHRAE 1404-RP </w:t>
      </w:r>
      <w:r>
        <w:rPr>
          <w:bCs/>
          <w:spacing w:val="-3"/>
          <w:lang w:val="en-GB" w:eastAsia="en-US"/>
        </w:rPr>
        <w:fldChar w:fldCharType="begin" w:fldLock="1"/>
      </w:r>
      <w:r w:rsidR="00C82776">
        <w:rPr>
          <w:bCs/>
          <w:spacing w:val="-3"/>
          <w:lang w:val="en-GB" w:eastAsia="en-US"/>
        </w:rPr>
        <w:instrText>ADDIN CSL_CITATION { "citationItems" : [ { "id" : "ITEM-1", "itemData" : { "author" : [ { "dropping-particle" : "", "family" : "Abushakra", "given" : "B", "non-dropping-particle" : "", "parse-names" : false, "suffix" : "" }, { "dropping-particle" : "", "family" : "Reddy", "given" : "A", "non-dropping-particle" : "", "parse-names" : false, "suffix" : "" }, { "dropping-particle" : "", "family" : "Singh", "given" : "Vipul.", "non-dropping-particle" : "", "parse-names" : false, "suffix" : "" } ], "id" : "ITEM-1", "issued" : { "date-parts" : [ [ "2012" ] ] }, "title" : "ASHRAE Research Project Report 1404-RP, Measurement, Modeling, Analysis and Reporting Protocols for Short-term M&amp;V of Whole Building Energy Performance, Arizona State University, USA", "type" : "report" }, "uris" : [ "http://www.mendeley.com/documents/?uuid=3b143258-aa04-4551-aa35-5244a6bac7ea" ] } ], "mendeley" : { "formattedCitation" : "[59]", "plainTextFormattedCitation" : "[59]", "previouslyFormattedCitation" : "[58]" }, "properties" : { "noteIndex" : 0 }, "schema" : "https://github.com/citation-style-language/schema/raw/master/csl-citation.json" }</w:instrText>
      </w:r>
      <w:r>
        <w:rPr>
          <w:bCs/>
          <w:spacing w:val="-3"/>
          <w:lang w:val="en-GB" w:eastAsia="en-US"/>
        </w:rPr>
        <w:fldChar w:fldCharType="separate"/>
      </w:r>
      <w:r w:rsidR="00C82776" w:rsidRPr="00C82776">
        <w:rPr>
          <w:bCs/>
          <w:noProof/>
          <w:spacing w:val="-3"/>
          <w:lang w:val="en-GB" w:eastAsia="en-US"/>
        </w:rPr>
        <w:t>[59]</w:t>
      </w:r>
      <w:r>
        <w:rPr>
          <w:bCs/>
          <w:spacing w:val="-3"/>
          <w:lang w:val="en-GB" w:eastAsia="en-US"/>
        </w:rPr>
        <w:fldChar w:fldCharType="end"/>
      </w:r>
      <w:r>
        <w:rPr>
          <w:bCs/>
          <w:spacing w:val="-3"/>
          <w:lang w:val="en-GB" w:eastAsia="en-US"/>
        </w:rPr>
        <w:t>.</w:t>
      </w:r>
    </w:p>
    <w:p w:rsidR="008C544E" w:rsidRDefault="00E777A9" w:rsidP="00BD2AFA">
      <w:pPr>
        <w:tabs>
          <w:tab w:val="left" w:pos="-414"/>
        </w:tabs>
        <w:suppressAutoHyphens/>
        <w:autoSpaceDE w:val="0"/>
        <w:autoSpaceDN w:val="0"/>
        <w:jc w:val="both"/>
        <w:rPr>
          <w:lang w:val="en-GB"/>
        </w:rPr>
      </w:pPr>
      <w:r w:rsidRPr="00E777A9">
        <w:rPr>
          <w:bCs/>
          <w:spacing w:val="-3"/>
          <w:lang w:val="en-GB" w:eastAsia="en-US"/>
        </w:rPr>
        <w:t xml:space="preserve">Nonetheless, </w:t>
      </w:r>
      <w:proofErr w:type="gramStart"/>
      <w:r w:rsidRPr="00E777A9">
        <w:rPr>
          <w:bCs/>
          <w:spacing w:val="-3"/>
          <w:lang w:val="en-GB" w:eastAsia="en-US"/>
        </w:rPr>
        <w:t>m</w:t>
      </w:r>
      <w:r w:rsidR="00DA3404" w:rsidRPr="00BD2AFA">
        <w:rPr>
          <w:bCs/>
          <w:spacing w:val="-3"/>
          <w:lang w:val="en-GB" w:eastAsia="en-US"/>
        </w:rPr>
        <w:t>ore sophisticated models</w:t>
      </w:r>
      <w:proofErr w:type="gramEnd"/>
      <w:r w:rsidR="00DA3404" w:rsidRPr="00BD2AFA">
        <w:rPr>
          <w:bCs/>
          <w:spacing w:val="-3"/>
          <w:lang w:val="en-GB" w:eastAsia="en-US"/>
        </w:rPr>
        <w:t xml:space="preserve"> can perform a variety of functions, potentially being integrated as a system. In particular, they may evolve into </w:t>
      </w:r>
      <w:r w:rsidRPr="00BD2AFA">
        <w:rPr>
          <w:bCs/>
          <w:spacing w:val="-3"/>
          <w:lang w:val="en-GB" w:eastAsia="en-US"/>
        </w:rPr>
        <w:t>“</w:t>
      </w:r>
      <w:r w:rsidR="00DA3404" w:rsidRPr="00BD2AFA">
        <w:rPr>
          <w:bCs/>
          <w:spacing w:val="-3"/>
          <w:lang w:val="en-GB" w:eastAsia="en-US"/>
        </w:rPr>
        <w:t>digital twins</w:t>
      </w:r>
      <w:r w:rsidRPr="00BD2AFA">
        <w:rPr>
          <w:bCs/>
          <w:spacing w:val="-3"/>
          <w:lang w:val="en-GB" w:eastAsia="en-US"/>
        </w:rPr>
        <w:t>”</w:t>
      </w:r>
      <w:r w:rsidR="00DA3404" w:rsidRPr="00BD2AFA">
        <w:rPr>
          <w:bCs/>
          <w:spacing w:val="-3"/>
          <w:lang w:val="en-GB" w:eastAsia="en-US"/>
        </w:rPr>
        <w:t xml:space="preserve">, which can supplement building performance simulation tools and track the evolution of building performance across life cycle phases, starting from parametric simulation in design phase, to initial commissioning, and up continuous monitoring/commissioning. </w:t>
      </w:r>
      <w:r w:rsidR="00060FB0" w:rsidRPr="00314B5D">
        <w:rPr>
          <w:lang w:val="en-GB"/>
        </w:rPr>
        <w:t>Overall, the possibility to use flexible and interpretable models calibrated on measured data</w:t>
      </w:r>
      <w:r>
        <w:rPr>
          <w:lang w:val="en-GB"/>
        </w:rPr>
        <w:t xml:space="preserve"> (at different intervals)</w:t>
      </w:r>
      <w:r w:rsidR="00060FB0" w:rsidRPr="00314B5D">
        <w:rPr>
          <w:lang w:val="en-GB"/>
        </w:rPr>
        <w:t xml:space="preserve"> could </w:t>
      </w:r>
      <w:r w:rsidR="00060FB0" w:rsidRPr="00314B5D">
        <w:rPr>
          <w:spacing w:val="-3"/>
          <w:lang w:val="en-GB"/>
        </w:rPr>
        <w:t xml:space="preserve">enable multiple feedback loops in design and operation practices in the built environment, in a continuous improvement </w:t>
      </w:r>
      <w:r w:rsidR="00060FB0" w:rsidRPr="00314B5D">
        <w:rPr>
          <w:lang w:val="en-GB"/>
        </w:rPr>
        <w:t xml:space="preserve">logic </w:t>
      </w:r>
      <w:r w:rsidR="00060FB0" w:rsidRPr="00794950">
        <w:fldChar w:fldCharType="begin" w:fldLock="1"/>
      </w:r>
      <w:r w:rsidR="006A236D">
        <w:rPr>
          <w:lang w:val="en-GB"/>
        </w:rPr>
        <w:instrText>ADDIN CSL_CITATION { "citationItems" : [ { "id" : "ITEM-1", "itemData" : { "abstract" : "stakeholder (admitted term) person or organization (3.1.1) that can affect, be affected by, or perceive itself to be affected by a decision or activitystakeholder (admitted term) person or organization (3.1.1) that can affect, be affected by, or perceive itself to be affected by a decision or activity", "id" : "ITEM-1", "issued" : { "date-parts" : [ [ "2018" ] ] }, "title" : "ISO 50001:2018, Energy management systems - Requirements with guidance for use", "type" : "article" }, "uris" : [ "http://www.mendeley.com/documents/?uuid=501498f4-3265-4fe8-96c2-d373dfbd55a1" ] } ], "mendeley" : { "formattedCitation" : "[38]", "plainTextFormattedCitation" : "[38]", "previouslyFormattedCitation" : "[38]" }, "properties" : { "noteIndex" : 0 }, "schema" : "https://github.com/citation-style-language/schema/raw/master/csl-citation.json" }</w:instrText>
      </w:r>
      <w:r w:rsidR="00060FB0" w:rsidRPr="00794950">
        <w:fldChar w:fldCharType="separate"/>
      </w:r>
      <w:r w:rsidR="0023172C" w:rsidRPr="0023172C">
        <w:rPr>
          <w:noProof/>
          <w:lang w:val="en-GB"/>
        </w:rPr>
        <w:t>[38]</w:t>
      </w:r>
      <w:r w:rsidR="00060FB0" w:rsidRPr="00794950">
        <w:fldChar w:fldCharType="end"/>
      </w:r>
      <w:r w:rsidR="00060FB0" w:rsidRPr="00314B5D">
        <w:rPr>
          <w:lang w:val="en-GB"/>
        </w:rPr>
        <w:t>.</w:t>
      </w:r>
      <w:r w:rsidR="005C23F2">
        <w:rPr>
          <w:lang w:val="en-GB"/>
        </w:rPr>
        <w:t xml:space="preserve"> </w:t>
      </w:r>
    </w:p>
    <w:p w:rsidR="00E777A9" w:rsidRDefault="000A0385">
      <w:pPr>
        <w:suppressAutoHyphens/>
        <w:jc w:val="both"/>
        <w:rPr>
          <w:lang w:val="en-GB"/>
        </w:rPr>
      </w:pPr>
      <w:r>
        <w:rPr>
          <w:lang w:val="en-GB"/>
        </w:rPr>
        <w:t xml:space="preserve">A second </w:t>
      </w:r>
      <w:r w:rsidR="005C23F2">
        <w:rPr>
          <w:lang w:val="en-GB"/>
        </w:rPr>
        <w:t xml:space="preserve">path of development can be the one making use of the approximated physical interpretation of regression-models’ coefficients. </w:t>
      </w:r>
      <w:r w:rsidR="00573BF8" w:rsidRPr="00573BF8">
        <w:rPr>
          <w:lang w:val="en-GB"/>
        </w:rPr>
        <w:t>Indeed, identifying lumped thermo-physical properties for buildings is critical to understanding the performance of building technologies</w:t>
      </w:r>
      <w:r w:rsidR="00E777A9">
        <w:rPr>
          <w:lang w:val="en-GB"/>
        </w:rPr>
        <w:t xml:space="preserve">. </w:t>
      </w:r>
    </w:p>
    <w:p w:rsidR="00E777A9" w:rsidRDefault="00E777A9">
      <w:pPr>
        <w:suppressAutoHyphens/>
        <w:jc w:val="both"/>
        <w:rPr>
          <w:lang w:val="en-GB"/>
        </w:rPr>
      </w:pPr>
      <w:r w:rsidRPr="00E777A9">
        <w:rPr>
          <w:lang w:val="en-GB"/>
        </w:rPr>
        <w:t xml:space="preserve">This was the case, for example, </w:t>
      </w:r>
      <w:r w:rsidR="0075049A">
        <w:rPr>
          <w:lang w:val="en-GB"/>
        </w:rPr>
        <w:t>of</w:t>
      </w:r>
      <w:r w:rsidRPr="00E777A9">
        <w:rPr>
          <w:lang w:val="en-GB"/>
        </w:rPr>
        <w:t xml:space="preserve"> previous research aimed at incrementally calibrating a Resistance Capacitance (RC) </w:t>
      </w:r>
      <w:r w:rsidRPr="00B60397">
        <w:rPr>
          <w:bCs/>
          <w:spacing w:val="-3"/>
          <w:lang w:val="en-GB" w:eastAsia="en-US"/>
        </w:rPr>
        <w:fldChar w:fldCharType="begin" w:fldLock="1"/>
      </w:r>
      <w:r w:rsidR="00C82776">
        <w:rPr>
          <w:bCs/>
          <w:spacing w:val="-3"/>
          <w:lang w:val="en-GB" w:eastAsia="en-US"/>
        </w:rPr>
        <w:instrText>ADDIN CSL_CITATION { "citationItems" : [ { "id" : "ITEM-1", "itemData" : { "DOI" : "https://doi.org/10.1016/j.energy.2018.09.037", "ISSN" : "0360-5442", "abstract" : "Efficient buildings are an essential component of sustainability and energy transitions, which represent today a techno-economic and socio-economic problem. New paradigms are emerging both for new and existing buildings (e.g. NZEBs) and passive design strategies are becoming increasingly common. However, the adoption of these strategies in mild climates has to be carefully evaluated to prevent overheating in intermediate seasons and increasing cooling loads in summer, considering also climate change scenarios. Additionally, optimistic assumptions about building technology performance are often considered and the variability of occupant comfort preferences and behaviour is generally neglected in the design phase. The research presented aims at verifying the suitability of a simple, robust and scalable calibration approach (based on multivariate linear regression) to link design and operational performance analysis transparently, using a Passive House case study building. First, the original baseline design configuration is compared with a larger spectrum of data generated by means of parametric simulation, following a Design of Experiment (DOE) approach. After that, regression models are trained first on simulation data and then progressively calibrated on measured data during a three year monitoring period. The two fundamental objectives are evaluating the robustness of design phase performance analysis through parametric simulation (i.e. detecting potentially critical assumptions) and maintaining a continuity with operation phase performance analysis (i.e. exploiting the feed-back from measured data).", "author" : [ { "dropping-particle" : "", "family" : "Tronchin", "given" : "Lamberto", "non-dropping-particle" : "", "parse-names" : false, "suffix" : "" }, { "dropping-particle" : "", "family" : "Manfren", "given" : "Massimiliano", "non-dropping-particle" : "", "parse-names" : false, "suffix" : "" }, { "dropping-particle" : "", "family" : "James", "given" : "Patrick A B", "non-dropping-particle" : "", "parse-names" : false, "suffix" : "" } ], "container-title" : "Energy", "id" : "ITEM-1", "issued" : { "date-parts" : [ [ "2018" ] ] }, "page" : "26-40", "title" : "Linking design and operation performance analysis through model calibration: Parametric assessment on a Passive House building", "type" : "article-journal", "volume" : "165" }, "uris" : [ "http://www.mendeley.com/documents/?uuid=5b3d5843-b397-4127-a654-7c1ab5da1360" ] } ], "mendeley" : { "formattedCitation" : "[51]", "plainTextFormattedCitation" : "[51]", "previouslyFormattedCitation" : "[50]" }, "properties" : { "noteIndex" : 0 }, "schema" : "https://github.com/citation-style-language/schema/raw/master/csl-citation.json" }</w:instrText>
      </w:r>
      <w:r w:rsidRPr="00B60397">
        <w:rPr>
          <w:bCs/>
          <w:spacing w:val="-3"/>
          <w:lang w:val="en-GB" w:eastAsia="en-US"/>
        </w:rPr>
        <w:fldChar w:fldCharType="separate"/>
      </w:r>
      <w:r w:rsidR="00C82776" w:rsidRPr="00C82776">
        <w:rPr>
          <w:bCs/>
          <w:noProof/>
          <w:spacing w:val="-3"/>
          <w:lang w:val="en-GB" w:eastAsia="en-US"/>
        </w:rPr>
        <w:t>[51]</w:t>
      </w:r>
      <w:r w:rsidRPr="00B60397">
        <w:rPr>
          <w:bCs/>
          <w:spacing w:val="-3"/>
          <w:lang w:val="en-GB" w:eastAsia="en-US"/>
        </w:rPr>
        <w:fldChar w:fldCharType="end"/>
      </w:r>
      <w:r w:rsidR="00D83CFE">
        <w:rPr>
          <w:bCs/>
          <w:spacing w:val="-3"/>
          <w:lang w:val="en-GB" w:eastAsia="en-US"/>
        </w:rPr>
        <w:t xml:space="preserve"> </w:t>
      </w:r>
      <w:r w:rsidRPr="00E777A9">
        <w:rPr>
          <w:lang w:val="en-GB"/>
        </w:rPr>
        <w:t>building energy model on the same case study building</w:t>
      </w:r>
      <w:r w:rsidR="0075049A">
        <w:rPr>
          <w:lang w:val="en-GB"/>
        </w:rPr>
        <w:t xml:space="preserve">; </w:t>
      </w:r>
      <w:r w:rsidRPr="00E777A9">
        <w:rPr>
          <w:lang w:val="en-GB"/>
        </w:rPr>
        <w:t xml:space="preserve">similar examples can be found in recent literature </w:t>
      </w:r>
      <w:r w:rsidRPr="005A5401">
        <w:rPr>
          <w:bCs/>
          <w:spacing w:val="-3"/>
          <w:lang w:val="en-GB" w:eastAsia="en-US"/>
        </w:rPr>
        <w:fldChar w:fldCharType="begin" w:fldLock="1"/>
      </w:r>
      <w:r w:rsidR="00C82776">
        <w:rPr>
          <w:bCs/>
          <w:spacing w:val="-3"/>
          <w:lang w:val="en-GB" w:eastAsia="en-US"/>
        </w:rPr>
        <w:instrText>ADDIN CSL_CITATION { "citationItems" : [ { "id" : "ITEM-1", "itemData" : { "DOI" : "https://doi.org/10.1016/j.jobe.2021.102874", "ISSN" : "2352-7102", "abstract" : "When thinking on retrofitting a building, energy models are used to estimate energy consumption for the different options. However, the accuracy of the model may vary depending on the accuracy of the input parameters. To minimize the uncertainty of the input parameters a calibration process is needed. As a mean to reduce the time for calibration, a methodology using a regression analysis with parameters or independent variables that are a function of the physical driving forces for energy performance is proposed. The main novelty of the approach is that it can be considered a quasi-physical statistical approach that has advantage over pure traditional statistical approaches. This is achieved by incorporating the physical driven forces of the parameters contributing to the energy consumption. Other advantage is that it uses the well know and easy to implement multiple regression analysis and system of equations. The approach also can be implemented in stages based on a prioritized list of parameters; that is, a few parameters with more impact are first used for a coarse tuning, and then additional parameters are used for fine tuning. The approach is applied by running a series of simulations with the design input parameters to obtain data for a multiple regression analysis. Then, the regression coefficients are used in a system of equations which solution gives the magnitude of the parameters. The results of the methodology were compared with the traditional Bayesian approach as a mean to validate the approach. Results show that the proposed approach is as accurate as the Bayesian approach.", "author" : [ { "dropping-particle" : "", "family" : "Fumo", "given" : "Nelson", "non-dropping-particle" : "", "parse-names" : false, "suffix" : "" }, { "dropping-particle" : "", "family" : "Torres", "given" : "Maria Josefina", "non-dropping-particle" : "", "parse-names" : false, "suffix" : "" }, { "dropping-particle" : "", "family" : "Broomfield", "given" : "Kayla", "non-dropping-particle" : "", "parse-names" : false, "suffix" : "" } ], "container-title" : "Journal of Building Engineering", "id" : "ITEM-1", "issued" : { "date-parts" : [ [ "2021" ] ] }, "page" : "102874", "title" : "A multiple regression approach for calibration of residential building energy models", "type" : "article-journal", "volume" : "43" }, "uris" : [ "http://www.mendeley.com/documents/?uuid=219ed3b0-f096-4375-8d17-b611e7865275" ] } ], "mendeley" : { "formattedCitation" : "[52]", "plainTextFormattedCitation" : "[52]", "previouslyFormattedCitation" : "[51]" }, "properties" : { "noteIndex" : 0 }, "schema" : "https://github.com/citation-style-language/schema/raw/master/csl-citation.json" }</w:instrText>
      </w:r>
      <w:r w:rsidRPr="005A5401">
        <w:rPr>
          <w:bCs/>
          <w:spacing w:val="-3"/>
          <w:lang w:val="en-GB" w:eastAsia="en-US"/>
        </w:rPr>
        <w:fldChar w:fldCharType="separate"/>
      </w:r>
      <w:r w:rsidR="00C82776" w:rsidRPr="00C82776">
        <w:rPr>
          <w:bCs/>
          <w:noProof/>
          <w:spacing w:val="-3"/>
          <w:lang w:val="en-GB" w:eastAsia="en-US"/>
        </w:rPr>
        <w:t>[52]</w:t>
      </w:r>
      <w:r w:rsidRPr="005A5401">
        <w:rPr>
          <w:bCs/>
          <w:spacing w:val="-3"/>
          <w:lang w:val="en-GB" w:eastAsia="en-US"/>
        </w:rPr>
        <w:fldChar w:fldCharType="end"/>
      </w:r>
      <w:r w:rsidRPr="00E777A9">
        <w:rPr>
          <w:lang w:val="en-GB"/>
        </w:rPr>
        <w:t>.</w:t>
      </w:r>
      <w:r>
        <w:rPr>
          <w:lang w:val="en-GB"/>
        </w:rPr>
        <w:t xml:space="preserve"> </w:t>
      </w:r>
      <w:r w:rsidRPr="00E777A9">
        <w:rPr>
          <w:lang w:val="en-GB"/>
        </w:rPr>
        <w:t>Using the rigorous and harmonised rules</w:t>
      </w:r>
      <w:r w:rsidR="0075049A">
        <w:rPr>
          <w:lang w:val="en-GB"/>
        </w:rPr>
        <w:t xml:space="preserve">, which </w:t>
      </w:r>
      <w:r w:rsidRPr="00E777A9">
        <w:rPr>
          <w:lang w:val="en-GB"/>
        </w:rPr>
        <w:t>serve as the foundation of M&amp;V protocols</w:t>
      </w:r>
      <w:r w:rsidR="0075049A">
        <w:rPr>
          <w:lang w:val="en-GB"/>
        </w:rPr>
        <w:t>,</w:t>
      </w:r>
      <w:r w:rsidRPr="00E777A9">
        <w:rPr>
          <w:lang w:val="en-GB"/>
        </w:rPr>
        <w:t xml:space="preserve"> in conjunction with other standards</w:t>
      </w:r>
      <w:r w:rsidR="0075049A">
        <w:rPr>
          <w:lang w:val="en-GB"/>
        </w:rPr>
        <w:t>,</w:t>
      </w:r>
      <w:r w:rsidRPr="00E777A9">
        <w:rPr>
          <w:lang w:val="en-GB"/>
        </w:rPr>
        <w:t xml:space="preserve"> focus</w:t>
      </w:r>
      <w:r w:rsidR="0075049A">
        <w:rPr>
          <w:lang w:val="en-GB"/>
        </w:rPr>
        <w:t>ed</w:t>
      </w:r>
      <w:r w:rsidRPr="00E777A9">
        <w:rPr>
          <w:lang w:val="en-GB"/>
        </w:rPr>
        <w:t xml:space="preserve"> on building performance simulation</w:t>
      </w:r>
      <w:r w:rsidR="0075049A">
        <w:rPr>
          <w:lang w:val="en-GB"/>
        </w:rPr>
        <w:t>,</w:t>
      </w:r>
      <w:r w:rsidRPr="00E777A9">
        <w:rPr>
          <w:lang w:val="en-GB"/>
        </w:rPr>
        <w:t xml:space="preserve"> can help improve the energy modelling process through empirically grounded and tested methods.</w:t>
      </w:r>
    </w:p>
    <w:p w:rsidR="00452700" w:rsidRDefault="00573BF8" w:rsidP="00452700">
      <w:pPr>
        <w:suppressAutoHyphens/>
        <w:jc w:val="both"/>
        <w:rPr>
          <w:lang w:val="en-GB"/>
        </w:rPr>
      </w:pPr>
      <w:r w:rsidRPr="00452700">
        <w:rPr>
          <w:lang w:val="en-GB"/>
        </w:rPr>
        <w:t xml:space="preserve">The third direction </w:t>
      </w:r>
      <w:proofErr w:type="gramStart"/>
      <w:r w:rsidRPr="00452700">
        <w:rPr>
          <w:lang w:val="en-GB"/>
        </w:rPr>
        <w:t>is related</w:t>
      </w:r>
      <w:proofErr w:type="gramEnd"/>
      <w:r w:rsidRPr="00452700">
        <w:rPr>
          <w:lang w:val="en-GB"/>
        </w:rPr>
        <w:t xml:space="preserve"> to heat pump performance analytics and electric grid interaction. </w:t>
      </w:r>
      <w:proofErr w:type="gramStart"/>
      <w:r w:rsidR="00452700" w:rsidRPr="00452700">
        <w:rPr>
          <w:lang w:val="en-GB"/>
        </w:rPr>
        <w:t xml:space="preserve">The regression model results can be used to implement a calculation of the part load ratio (PLR) of a heat pump based on the actual balance-point temperature of the building (which may vary significantly depending on building characteristics) rather than a fixed reference point (i.e. 16 </w:t>
      </w:r>
      <w:r w:rsidR="00452700" w:rsidRPr="00BD2AFA">
        <w:rPr>
          <w:rFonts w:asciiTheme="majorBidi" w:hAnsiTheme="majorBidi" w:cstheme="majorBidi"/>
          <w:lang w:val="en-GB"/>
        </w:rPr>
        <w:t>º</w:t>
      </w:r>
      <w:r w:rsidR="00452700" w:rsidRPr="00BD2AFA">
        <w:rPr>
          <w:lang w:val="en-GB"/>
        </w:rPr>
        <w:t>C</w:t>
      </w:r>
      <w:r w:rsidR="00452700" w:rsidRPr="00452700">
        <w:rPr>
          <w:lang w:val="en-GB"/>
        </w:rPr>
        <w:t>) as in current technical standards dealing with heat pump test conditions</w:t>
      </w:r>
      <w:r w:rsidR="00452700" w:rsidRPr="00BD2AFA">
        <w:rPr>
          <w:lang w:val="en-GB"/>
        </w:rPr>
        <w:t xml:space="preserve"> </w:t>
      </w:r>
      <w:r w:rsidR="00452700" w:rsidRPr="00BD2AFA">
        <w:rPr>
          <w:lang w:val="en-GB"/>
        </w:rPr>
        <w:fldChar w:fldCharType="begin" w:fldLock="1"/>
      </w:r>
      <w:r w:rsidR="00C82776">
        <w:rPr>
          <w:lang w:val="en-GB"/>
        </w:rPr>
        <w:instrText>ADDIN CSL_CITATION { "citationItems" : [ { "id" : "ITEM-1", "itemData" : { "id" : "ITEM-1", "issued" : { "date-parts" : [ [ "0" ] ] }, "title" : "EN 14511-2:2018 Air conditioners, liquid chilling packages and heat pumps for space heating and cooling and process chillers, with electrically driven compressors. Test conditions.", "type" : "article" }, "uris" : [ "http://www.mendeley.com/documents/?uuid=5ceb4362-c7bd-40cd-bc2a-cb74183536ed" ] } ], "mendeley" : { "formattedCitation" : "[60]", "plainTextFormattedCitation" : "[60]", "previouslyFormattedCitation" : "[59]" }, "properties" : { "noteIndex" : 0 }, "schema" : "https://github.com/citation-style-language/schema/raw/master/csl-citation.json" }</w:instrText>
      </w:r>
      <w:r w:rsidR="00452700" w:rsidRPr="00BD2AFA">
        <w:rPr>
          <w:lang w:val="en-GB"/>
        </w:rPr>
        <w:fldChar w:fldCharType="separate"/>
      </w:r>
      <w:r w:rsidR="00C82776" w:rsidRPr="00C82776">
        <w:rPr>
          <w:noProof/>
          <w:lang w:val="en-GB"/>
        </w:rPr>
        <w:t>[60]</w:t>
      </w:r>
      <w:r w:rsidR="00452700" w:rsidRPr="00BD2AFA">
        <w:rPr>
          <w:lang w:val="en-GB"/>
        </w:rPr>
        <w:fldChar w:fldCharType="end"/>
      </w:r>
      <w:r w:rsidR="00452700" w:rsidRPr="00452700">
        <w:rPr>
          <w:lang w:val="en-GB"/>
        </w:rPr>
        <w:t xml:space="preserve"> and performance assessment at part-load and on a seasonal basis</w:t>
      </w:r>
      <w:r w:rsidR="00452700" w:rsidRPr="00BD2AFA">
        <w:rPr>
          <w:lang w:val="en-GB"/>
        </w:rPr>
        <w:t xml:space="preserve"> </w:t>
      </w:r>
      <w:r w:rsidR="00452700" w:rsidRPr="00BD2AFA">
        <w:rPr>
          <w:lang w:val="en-GB"/>
        </w:rPr>
        <w:fldChar w:fldCharType="begin" w:fldLock="1"/>
      </w:r>
      <w:r w:rsidR="00C82776">
        <w:rPr>
          <w:lang w:val="en-GB"/>
        </w:rPr>
        <w:instrText>ADDIN CSL_CITATION { "citationItems" : [ { "id" : "ITEM-1", "itemData" : { "id" : "ITEM-1", "issued" : { "date-parts" : [ [ "0" ] ] }, "title" : "EN 14825:2018 Air conditioners, liquid chilling packages and heat pumps, with electrically driven compressors, for space heating and cooling. Testing and rating at part load conditions and calculation of seasonal performance", "type" : "article" }, "uris" : [ "http://www.mendeley.com/documents/?uuid=75335a5e-823a-48d8-a6d5-9b9e4515c216" ] } ], "mendeley" : { "formattedCitation" : "[61]", "plainTextFormattedCitation" : "[61]", "previouslyFormattedCitation" : "[60]" }, "properties" : { "noteIndex" : 0 }, "schema" : "https://github.com/citation-style-language/schema/raw/master/csl-citation.json" }</w:instrText>
      </w:r>
      <w:r w:rsidR="00452700" w:rsidRPr="00BD2AFA">
        <w:rPr>
          <w:lang w:val="en-GB"/>
        </w:rPr>
        <w:fldChar w:fldCharType="separate"/>
      </w:r>
      <w:r w:rsidR="00C82776" w:rsidRPr="00C82776">
        <w:rPr>
          <w:noProof/>
          <w:lang w:val="en-GB"/>
        </w:rPr>
        <w:t>[61]</w:t>
      </w:r>
      <w:r w:rsidR="00452700" w:rsidRPr="00BD2AFA">
        <w:rPr>
          <w:lang w:val="en-GB"/>
        </w:rPr>
        <w:fldChar w:fldCharType="end"/>
      </w:r>
      <w:r w:rsidR="00452700" w:rsidRPr="00452700">
        <w:rPr>
          <w:lang w:val="en-GB"/>
        </w:rPr>
        <w:t>.</w:t>
      </w:r>
      <w:proofErr w:type="gramEnd"/>
    </w:p>
    <w:p w:rsidR="00452700" w:rsidRDefault="00314B5D">
      <w:pPr>
        <w:suppressAutoHyphens/>
        <w:jc w:val="both"/>
        <w:rPr>
          <w:lang w:val="en-GB"/>
        </w:rPr>
      </w:pPr>
      <w:r w:rsidRPr="00314B5D">
        <w:rPr>
          <w:lang w:val="en-GB"/>
        </w:rPr>
        <w:t xml:space="preserve">In the latter, part load ratio is defined as the outdoor temperature in the interval of calculation minus 16 °C, divided by the reference design temperature minus 16 °C, assuming the same value both for heating and cooling, when the heat pump is reversible (like in this case, providing both heating and cooling services). This is not the case in real building operation (as shown also </w:t>
      </w:r>
      <w:r w:rsidR="00573BF8">
        <w:rPr>
          <w:lang w:val="en-GB"/>
        </w:rPr>
        <w:t>in this research</w:t>
      </w:r>
      <w:r w:rsidRPr="00314B5D">
        <w:rPr>
          <w:lang w:val="en-GB"/>
        </w:rPr>
        <w:t>) and regression models can improve the accuracy of analytical methods that are present in technical standardi</w:t>
      </w:r>
      <w:r w:rsidR="00060FB0">
        <w:rPr>
          <w:lang w:val="en-GB"/>
        </w:rPr>
        <w:t>zation at the state-of-the-art.</w:t>
      </w:r>
      <w:r w:rsidR="00573BF8">
        <w:rPr>
          <w:lang w:val="en-GB"/>
        </w:rPr>
        <w:t xml:space="preserve"> By exploiting the scalability of the modelling </w:t>
      </w:r>
      <w:r w:rsidR="00573BF8" w:rsidRPr="005F7142">
        <w:rPr>
          <w:lang w:val="en-GB"/>
        </w:rPr>
        <w:t>approach, it could be possible to evaluate and forecast much better the performance of heat pumps and their interaction with the electric grid at large scale.</w:t>
      </w:r>
    </w:p>
    <w:p w:rsidR="00452700" w:rsidRDefault="00452700">
      <w:pPr>
        <w:suppressAutoHyphens/>
        <w:jc w:val="both"/>
        <w:rPr>
          <w:lang w:val="en-GB"/>
        </w:rPr>
      </w:pPr>
      <w:r w:rsidRPr="00452700">
        <w:rPr>
          <w:lang w:val="en-GB"/>
        </w:rPr>
        <w:lastRenderedPageBreak/>
        <w:t>Overall, these examples of research development paths are clearly not exhaustive, but the evolution of interpretable data-driven modelling approaches into "digital twins" characterised by systems of interacting models is a promising research direction that could help to accelerate building stock decarbonisation through innovative services and technologies</w:t>
      </w:r>
      <w:r w:rsidR="00481D90">
        <w:rPr>
          <w:lang w:val="en-GB"/>
        </w:rPr>
        <w:t xml:space="preserve"> </w:t>
      </w:r>
      <w:r w:rsidR="006A236D">
        <w:rPr>
          <w:lang w:val="en-GB"/>
        </w:rPr>
        <w:fldChar w:fldCharType="begin" w:fldLock="1"/>
      </w:r>
      <w:r w:rsidR="00C82776">
        <w:rPr>
          <w:lang w:val="en-GB"/>
        </w:rPr>
        <w:instrText>ADDIN CSL_CITATION { "citationItems" : [ { "id" : "ITEM-1", "itemData" : { "DOI" : "https://doi.org/10.1016/j.rser.2021.111490", "ISSN" : "1364-0321", "abstract" : "Smart energy services and technologies are key components of energy transition and decarbonisation strategies for the built environment. On the one hand, the technical potential of the building stock in terms of energy, emissions and cost savings is large and exploited only partially at present. On the other hand, the increasing availability of data generated by smart meters, smart devices, sensors and building management systems can help monitoring, verifying and tracking building energy performance improvements in a transparent way. In particular, energy modelling and data analytics can provide empirically grounded and tested methods to standardize the way energy performance is measured and reported. Further, techno-economic analysis is crucial to ensure the feasibility of innovative business models. For these reasons, this paper aims to address the role of techno-economic analysis and energy modelling as key enablers for next-generation energy services and technologies. In terms of methods, scientific literature selection criteria are derived from previous research and are focused on limitations and bottlenecks to the achievement of innovative business models, which are motivated, at their very basics, by energy, emission and cost savings. Additionally, besides these potential savings, smart energy services and technologies can provide multiple additional benefits such as improved Indoor Environmental Quality (IEQ) and energy flexibility on the demand side, with respect to energy infrastructures. First, the research identifies the key elements that are necessary to integrate and to streamline techno-economic analysis and energy modelling processes. After that, it highlights potential advances in the broad area of energy transitions and decarbonisation of the built environment that can be achieved as an evolution of current practices and processes. Finally, it envisions the creation of \u201ceco-systems\u201d of interacting models for the building sector that share common underlying principles.", "author" : [ { "dropping-particle" : "", "family" : "Manfren", "given" : "Massimiliano", "non-dropping-particle" : "", "parse-names" : false, "suffix" : "" }, { "dropping-particle" : "", "family" : "Nastasi", "given" : "Benedetto", "non-dropping-particle" : "", "parse-names" : false, "suffix" : "" }, { "dropping-particle" : "", "family" : "Tronchin", "given" : "Lamberto", "non-dropping-particle" : "", "parse-names" : false, "suffix" : "" }, { "dropping-particle" : "", "family" : "Groppi", "given" : "Daniele", "non-dropping-particle" : "", "parse-names" : false, "suffix" : "" }, { "dropping-particle" : "", "family" : "Garcia", "given" : "Davide Astiaso", "non-dropping-particle" : "", "parse-names" : false, "suffix" : "" } ], "container-title" : "Renewable and Sustainable Energy Reviews", "id" : "ITEM-1", "issued" : { "date-parts" : [ [ "2021" ] ] }, "page" : "111490", "title" : "Techno-economic analysis and energy modelling as a key enablers for smart energy services and technologies in buildings", "type" : "article-journal", "volume" : "150" }, "uris" : [ "http://www.mendeley.com/documents/?uuid=6e7bf7d0-8b85-4770-b079-c945883f6f0b" ] } ], "mendeley" : { "formattedCitation" : "[62]", "plainTextFormattedCitation" : "[62]", "previouslyFormattedCitation" : "[61]" }, "properties" : { "noteIndex" : 0 }, "schema" : "https://github.com/citation-style-language/schema/raw/master/csl-citation.json" }</w:instrText>
      </w:r>
      <w:r w:rsidR="006A236D">
        <w:rPr>
          <w:lang w:val="en-GB"/>
        </w:rPr>
        <w:fldChar w:fldCharType="separate"/>
      </w:r>
      <w:r w:rsidR="00C82776" w:rsidRPr="00C82776">
        <w:rPr>
          <w:noProof/>
          <w:lang w:val="en-GB"/>
        </w:rPr>
        <w:t>[62]</w:t>
      </w:r>
      <w:r w:rsidR="006A236D">
        <w:rPr>
          <w:lang w:val="en-GB"/>
        </w:rPr>
        <w:fldChar w:fldCharType="end"/>
      </w:r>
      <w:r w:rsidRPr="00452700">
        <w:rPr>
          <w:lang w:val="en-GB"/>
        </w:rPr>
        <w:t>.</w:t>
      </w:r>
    </w:p>
    <w:p w:rsidR="005F7142" w:rsidRDefault="005F7142" w:rsidP="005F7142">
      <w:pPr>
        <w:suppressAutoHyphens/>
        <w:jc w:val="both"/>
        <w:rPr>
          <w:lang w:val="en-GB"/>
        </w:rPr>
      </w:pPr>
    </w:p>
    <w:p w:rsidR="00B93C3B" w:rsidRPr="00B93C3B" w:rsidRDefault="00B93C3B" w:rsidP="00B93C3B">
      <w:pPr>
        <w:rPr>
          <w:lang w:val="en-GB" w:eastAsia="x-none"/>
        </w:rPr>
      </w:pPr>
    </w:p>
    <w:p w:rsidR="0020521B" w:rsidRPr="0034537C" w:rsidRDefault="00476474" w:rsidP="00AD0E9A">
      <w:pPr>
        <w:pStyle w:val="Heading1"/>
      </w:pPr>
      <w:bookmarkStart w:id="228" w:name="_Toc98498111"/>
      <w:r w:rsidRPr="0034537C">
        <w:t>Conclusion</w:t>
      </w:r>
      <w:bookmarkEnd w:id="228"/>
    </w:p>
    <w:p w:rsidR="00D80504" w:rsidRPr="008541C7" w:rsidRDefault="00D80504" w:rsidP="00BD2AFA">
      <w:pPr>
        <w:suppressAutoHyphens/>
        <w:jc w:val="both"/>
        <w:rPr>
          <w:b/>
          <w:bCs/>
          <w:lang w:val="en-GB" w:eastAsia="ja-JP"/>
        </w:rPr>
      </w:pPr>
      <w:r w:rsidRPr="00D80504">
        <w:rPr>
          <w:lang w:val="en-GB" w:eastAsia="ja-JP"/>
        </w:rPr>
        <w:t>Data-driven building energy modelling approaches based on machine learning have proven to be effective in a variety of applications.</w:t>
      </w:r>
      <w:r>
        <w:rPr>
          <w:lang w:val="en-GB" w:eastAsia="ja-JP"/>
        </w:rPr>
        <w:t xml:space="preserve"> H</w:t>
      </w:r>
      <w:r w:rsidRPr="00D80504">
        <w:rPr>
          <w:lang w:val="en-GB" w:eastAsia="ja-JP"/>
        </w:rPr>
        <w:t>owever, there are numerous issues to consider in today's research.</w:t>
      </w:r>
      <w:r>
        <w:rPr>
          <w:lang w:val="en-GB" w:eastAsia="ja-JP"/>
        </w:rPr>
        <w:t xml:space="preserve"> </w:t>
      </w:r>
      <w:r w:rsidRPr="00D80504">
        <w:rPr>
          <w:lang w:val="en-GB" w:eastAsia="ja-JP"/>
        </w:rPr>
        <w:t xml:space="preserve">To begin with, multiple "performance gaps" (differences between expected and measured performance) </w:t>
      </w:r>
      <w:proofErr w:type="gramStart"/>
      <w:r w:rsidRPr="00D80504">
        <w:rPr>
          <w:lang w:val="en-GB" w:eastAsia="ja-JP"/>
        </w:rPr>
        <w:t>are commonly found</w:t>
      </w:r>
      <w:proofErr w:type="gramEnd"/>
      <w:r w:rsidRPr="00D80504">
        <w:rPr>
          <w:lang w:val="en-GB" w:eastAsia="ja-JP"/>
        </w:rPr>
        <w:t xml:space="preserve"> in buildings, and appropriate analysis techniques should be used.</w:t>
      </w:r>
      <w:r>
        <w:rPr>
          <w:lang w:val="en-GB" w:eastAsia="ja-JP"/>
        </w:rPr>
        <w:t xml:space="preserve"> </w:t>
      </w:r>
      <w:r w:rsidRPr="00D80504">
        <w:rPr>
          <w:lang w:val="en-GB" w:eastAsia="ja-JP"/>
        </w:rPr>
        <w:t>Among those using machine learning, the issue of generalisation (i.e. a model's ability to perform adequately on previously unseen data) is a major topic.</w:t>
      </w:r>
    </w:p>
    <w:p w:rsidR="00324493" w:rsidRPr="008541C7" w:rsidRDefault="00D80504" w:rsidP="00BD2AFA">
      <w:pPr>
        <w:suppressAutoHyphens/>
        <w:jc w:val="both"/>
        <w:rPr>
          <w:lang w:val="en-GB" w:eastAsia="ja-JP"/>
        </w:rPr>
      </w:pPr>
      <w:r w:rsidRPr="00D80504">
        <w:rPr>
          <w:lang w:val="en-GB" w:eastAsia="ja-JP"/>
        </w:rPr>
        <w:t xml:space="preserve">Other critical issues, in addition to generalisation, are interpretability and </w:t>
      </w:r>
      <w:proofErr w:type="spellStart"/>
      <w:r w:rsidRPr="00D80504">
        <w:rPr>
          <w:lang w:val="en-GB" w:eastAsia="ja-JP"/>
        </w:rPr>
        <w:t>explainability</w:t>
      </w:r>
      <w:proofErr w:type="spellEnd"/>
      <w:r w:rsidRPr="00D80504">
        <w:rPr>
          <w:lang w:val="en-GB" w:eastAsia="ja-JP"/>
        </w:rPr>
        <w:t xml:space="preserve">; interpretability (i.e., the ability for humans to understand the rationale behind model output and inspect the algorithmic logic) in particular is critical to fostering a "human-in-the-loop" approach. </w:t>
      </w:r>
    </w:p>
    <w:p w:rsidR="0075049A" w:rsidRDefault="00B62AC9">
      <w:pPr>
        <w:suppressAutoHyphens/>
        <w:jc w:val="both"/>
        <w:rPr>
          <w:lang w:val="en-GB" w:eastAsia="ja-JP"/>
        </w:rPr>
      </w:pPr>
      <w:r w:rsidRPr="00B62AC9">
        <w:rPr>
          <w:lang w:val="en-GB" w:eastAsia="ja-JP"/>
        </w:rPr>
        <w:t xml:space="preserve">In response to these issues, </w:t>
      </w:r>
      <w:r w:rsidR="00D80504" w:rsidRPr="00B62AC9">
        <w:rPr>
          <w:lang w:val="en-GB" w:eastAsia="ja-JP"/>
        </w:rPr>
        <w:t xml:space="preserve">in this study </w:t>
      </w:r>
      <w:r w:rsidRPr="00B62AC9">
        <w:rPr>
          <w:lang w:val="en-GB" w:eastAsia="ja-JP"/>
        </w:rPr>
        <w:t>we examined a Passive House building with two primary objectives.</w:t>
      </w:r>
      <w:r>
        <w:rPr>
          <w:lang w:val="en-GB" w:eastAsia="ja-JP"/>
        </w:rPr>
        <w:t xml:space="preserve"> </w:t>
      </w:r>
      <w:r w:rsidR="00314B5D" w:rsidRPr="00314B5D">
        <w:rPr>
          <w:lang w:val="en-GB"/>
        </w:rPr>
        <w:t>The f</w:t>
      </w:r>
      <w:r w:rsidR="00314B5D" w:rsidRPr="00314B5D">
        <w:rPr>
          <w:lang w:val="en-GB" w:eastAsia="ja-JP"/>
        </w:rPr>
        <w:t>irst one was</w:t>
      </w:r>
      <w:r w:rsidR="00314B5D" w:rsidRPr="00314B5D">
        <w:rPr>
          <w:b/>
          <w:bCs/>
          <w:lang w:val="en-GB" w:eastAsia="ja-JP"/>
        </w:rPr>
        <w:t xml:space="preserve"> </w:t>
      </w:r>
      <w:r w:rsidR="00314B5D" w:rsidRPr="00314B5D">
        <w:rPr>
          <w:lang w:val="en-GB" w:eastAsia="ja-JP"/>
        </w:rPr>
        <w:t xml:space="preserve">creating a </w:t>
      </w:r>
      <w:r w:rsidR="00324493">
        <w:rPr>
          <w:lang w:val="en-GB" w:eastAsia="ja-JP"/>
        </w:rPr>
        <w:t xml:space="preserve">simple and </w:t>
      </w:r>
      <w:r w:rsidR="00314B5D" w:rsidRPr="00314B5D">
        <w:rPr>
          <w:lang w:val="en-GB" w:eastAsia="ja-JP"/>
        </w:rPr>
        <w:t xml:space="preserve">flexible regression model formulation (i.e. able to fit multiple energy datasets, maintaining the same </w:t>
      </w:r>
      <w:r w:rsidR="0039747F">
        <w:rPr>
          <w:lang w:val="en-GB" w:eastAsia="ja-JP"/>
        </w:rPr>
        <w:t>underlying structure</w:t>
      </w:r>
      <w:r w:rsidR="00314B5D" w:rsidRPr="00314B5D">
        <w:rPr>
          <w:lang w:val="en-GB" w:eastAsia="ja-JP"/>
        </w:rPr>
        <w:t xml:space="preserve">), using dummy variables, and indicating a way to automate the process of model performance comparison and selection. </w:t>
      </w:r>
    </w:p>
    <w:p w:rsidR="00CE68CB" w:rsidRDefault="00314B5D">
      <w:pPr>
        <w:suppressAutoHyphens/>
        <w:jc w:val="both"/>
        <w:rPr>
          <w:lang w:val="en-GB" w:eastAsia="ja-JP"/>
        </w:rPr>
      </w:pPr>
      <w:r w:rsidRPr="00314B5D">
        <w:rPr>
          <w:lang w:val="en-GB" w:eastAsia="ja-JP"/>
        </w:rPr>
        <w:t xml:space="preserve">Statistical indicators </w:t>
      </w:r>
      <w:proofErr w:type="gramStart"/>
      <w:r w:rsidRPr="00314B5D">
        <w:rPr>
          <w:lang w:val="en-GB" w:eastAsia="ja-JP"/>
        </w:rPr>
        <w:t>were employed</w:t>
      </w:r>
      <w:proofErr w:type="gramEnd"/>
      <w:r w:rsidRPr="00314B5D">
        <w:rPr>
          <w:lang w:val="en-GB" w:eastAsia="ja-JP"/>
        </w:rPr>
        <w:t xml:space="preserve"> to this end, considering general ones and M&amp;V specific ones</w:t>
      </w:r>
      <w:r w:rsidR="00DE0CF6">
        <w:rPr>
          <w:lang w:val="en-GB" w:eastAsia="ja-JP"/>
        </w:rPr>
        <w:t xml:space="preserve"> (i.e. energy model calibration criteria)</w:t>
      </w:r>
      <w:r w:rsidRPr="00314B5D">
        <w:rPr>
          <w:lang w:val="en-GB" w:eastAsia="ja-JP"/>
        </w:rPr>
        <w:t>.</w:t>
      </w:r>
      <w:r w:rsidR="00ED2076">
        <w:rPr>
          <w:lang w:val="en-GB" w:eastAsia="ja-JP"/>
        </w:rPr>
        <w:t xml:space="preserve"> </w:t>
      </w:r>
      <w:r w:rsidRPr="00314B5D">
        <w:rPr>
          <w:lang w:val="en-GB" w:eastAsia="ja-JP"/>
        </w:rPr>
        <w:t xml:space="preserve">Dummy variables </w:t>
      </w:r>
      <w:r w:rsidR="009501AA">
        <w:rPr>
          <w:lang w:val="en-GB" w:eastAsia="ja-JP"/>
        </w:rPr>
        <w:t>were</w:t>
      </w:r>
      <w:r w:rsidR="009501AA" w:rsidRPr="00314B5D">
        <w:rPr>
          <w:lang w:val="en-GB" w:eastAsia="ja-JP"/>
        </w:rPr>
        <w:t xml:space="preserve"> </w:t>
      </w:r>
      <w:r w:rsidRPr="00314B5D">
        <w:rPr>
          <w:lang w:val="en-GB" w:eastAsia="ja-JP"/>
        </w:rPr>
        <w:t xml:space="preserve">included in the datasets by means of interpretable rules that can satisfy the fundamental constraints considered as the motivation of this research (i.e. using interpretable models as a way </w:t>
      </w:r>
      <w:r w:rsidR="00033B72">
        <w:rPr>
          <w:lang w:val="en-GB" w:eastAsia="ja-JP"/>
        </w:rPr>
        <w:t xml:space="preserve">to </w:t>
      </w:r>
      <w:r w:rsidRPr="00314B5D">
        <w:rPr>
          <w:lang w:val="en-GB" w:eastAsia="ja-JP"/>
        </w:rPr>
        <w:t>en</w:t>
      </w:r>
      <w:r w:rsidR="0039747F">
        <w:rPr>
          <w:lang w:val="en-GB" w:eastAsia="ja-JP"/>
        </w:rPr>
        <w:t>hance the “human-in-the-loop” approach</w:t>
      </w:r>
      <w:r w:rsidRPr="00314B5D">
        <w:rPr>
          <w:lang w:val="en-GB" w:eastAsia="ja-JP"/>
        </w:rPr>
        <w:t xml:space="preserve"> and </w:t>
      </w:r>
      <w:r w:rsidR="0039747F">
        <w:rPr>
          <w:lang w:val="en-GB" w:eastAsia="ja-JP"/>
        </w:rPr>
        <w:t>referring to</w:t>
      </w:r>
      <w:r w:rsidRPr="00314B5D">
        <w:rPr>
          <w:lang w:val="en-GB" w:eastAsia="ja-JP"/>
        </w:rPr>
        <w:t xml:space="preserve"> harmonized</w:t>
      </w:r>
      <w:r w:rsidR="0039747F">
        <w:rPr>
          <w:lang w:val="en-GB" w:eastAsia="ja-JP"/>
        </w:rPr>
        <w:t xml:space="preserve"> procedures to improve model reproducibility and standardization</w:t>
      </w:r>
      <w:r w:rsidRPr="00314B5D">
        <w:rPr>
          <w:lang w:val="en-GB" w:eastAsia="ja-JP"/>
        </w:rPr>
        <w:t>).</w:t>
      </w:r>
    </w:p>
    <w:p w:rsidR="005C3E31" w:rsidRDefault="00EF6D06">
      <w:pPr>
        <w:suppressAutoHyphens/>
        <w:jc w:val="both"/>
        <w:rPr>
          <w:lang w:val="en-GB" w:eastAsia="ja-JP"/>
        </w:rPr>
      </w:pPr>
      <w:r>
        <w:rPr>
          <w:lang w:val="en-GB" w:eastAsia="ja-JP"/>
        </w:rPr>
        <w:t xml:space="preserve">Despite their simplicity, the model formulations proposed are able to fit the data reasonably well and </w:t>
      </w:r>
      <w:proofErr w:type="gramStart"/>
      <w:r>
        <w:rPr>
          <w:lang w:val="en-GB" w:eastAsia="ja-JP"/>
        </w:rPr>
        <w:t>can be considered</w:t>
      </w:r>
      <w:proofErr w:type="gramEnd"/>
      <w:r>
        <w:rPr>
          <w:lang w:val="en-GB" w:eastAsia="ja-JP"/>
        </w:rPr>
        <w:t xml:space="preserve"> calibrated, following M&amp;V procedures, in most of the cases.</w:t>
      </w:r>
      <w:r w:rsidR="009501AA">
        <w:rPr>
          <w:lang w:val="en-GB"/>
        </w:rPr>
        <w:t xml:space="preserve"> </w:t>
      </w:r>
      <w:r w:rsidR="009501AA" w:rsidRPr="009501AA">
        <w:rPr>
          <w:lang w:val="en-GB" w:eastAsia="ja-JP"/>
        </w:rPr>
        <w:t xml:space="preserve">Indeed, even with limited information, such as monthly interval data (utility bills and temperatures), the proposed model formulations are appropriate for quick and low-cost </w:t>
      </w:r>
      <w:r w:rsidR="00D80504">
        <w:rPr>
          <w:lang w:val="en-GB" w:eastAsia="ja-JP"/>
        </w:rPr>
        <w:t xml:space="preserve">(but robust being based on M&amp;V) </w:t>
      </w:r>
      <w:r w:rsidR="009501AA" w:rsidRPr="009501AA">
        <w:rPr>
          <w:lang w:val="en-GB" w:eastAsia="ja-JP"/>
        </w:rPr>
        <w:t xml:space="preserve">performance evaluation, which can support the design of energy efficiency measures to meet decarbonisation targets and </w:t>
      </w:r>
      <w:r w:rsidR="00D80504">
        <w:rPr>
          <w:lang w:val="en-GB" w:eastAsia="ja-JP"/>
        </w:rPr>
        <w:t xml:space="preserve">to </w:t>
      </w:r>
      <w:r w:rsidR="009501AA" w:rsidRPr="009501AA">
        <w:rPr>
          <w:lang w:val="en-GB" w:eastAsia="ja-JP"/>
        </w:rPr>
        <w:t>reduce reliance on fossil fuels.</w:t>
      </w:r>
      <w:r w:rsidR="00CE68CB">
        <w:rPr>
          <w:lang w:val="en-GB" w:eastAsia="ja-JP"/>
        </w:rPr>
        <w:t xml:space="preserve"> F</w:t>
      </w:r>
      <w:r w:rsidR="00D80504">
        <w:rPr>
          <w:lang w:val="en-GB" w:eastAsia="ja-JP"/>
        </w:rPr>
        <w:t>urther, it can provide a low cost</w:t>
      </w:r>
      <w:r w:rsidR="00CE68CB">
        <w:rPr>
          <w:lang w:val="en-GB" w:eastAsia="ja-JP"/>
        </w:rPr>
        <w:t xml:space="preserve"> “entry-level” “digital twin” for the building, which can then evolve including more information</w:t>
      </w:r>
      <w:r w:rsidR="00D80504">
        <w:rPr>
          <w:lang w:val="en-GB" w:eastAsia="ja-JP"/>
        </w:rPr>
        <w:t xml:space="preserve"> and a more sophisticated </w:t>
      </w:r>
      <w:proofErr w:type="spellStart"/>
      <w:r w:rsidR="00D80504">
        <w:rPr>
          <w:lang w:val="en-GB" w:eastAsia="ja-JP"/>
        </w:rPr>
        <w:t>modeling</w:t>
      </w:r>
      <w:proofErr w:type="spellEnd"/>
      <w:r w:rsidR="00CE68CB">
        <w:rPr>
          <w:lang w:val="en-GB" w:eastAsia="ja-JP"/>
        </w:rPr>
        <w:t xml:space="preserve"> strategy (i.e. employing daily, hourly, sub-hourly interval data</w:t>
      </w:r>
      <w:r w:rsidR="00D80504">
        <w:rPr>
          <w:lang w:val="en-GB" w:eastAsia="ja-JP"/>
        </w:rPr>
        <w:t>, as indicated in Section 7</w:t>
      </w:r>
      <w:r w:rsidR="00CE68CB">
        <w:rPr>
          <w:lang w:val="en-GB" w:eastAsia="ja-JP"/>
        </w:rPr>
        <w:t>).</w:t>
      </w:r>
    </w:p>
    <w:p w:rsidR="005C3E31" w:rsidRDefault="009501AA">
      <w:pPr>
        <w:suppressAutoHyphens/>
        <w:jc w:val="both"/>
        <w:rPr>
          <w:lang w:val="en-GB" w:eastAsia="ja-JP"/>
        </w:rPr>
      </w:pPr>
      <w:r w:rsidRPr="009501AA">
        <w:rPr>
          <w:lang w:val="en-GB" w:eastAsia="ja-JP"/>
        </w:rPr>
        <w:t xml:space="preserve">The second </w:t>
      </w:r>
      <w:r w:rsidR="00CE68CB">
        <w:rPr>
          <w:lang w:val="en-GB" w:eastAsia="ja-JP"/>
        </w:rPr>
        <w:t>objective</w:t>
      </w:r>
      <w:r w:rsidRPr="009501AA">
        <w:rPr>
          <w:lang w:val="en-GB" w:eastAsia="ja-JP"/>
        </w:rPr>
        <w:t xml:space="preserve"> was to identify future research </w:t>
      </w:r>
      <w:r>
        <w:rPr>
          <w:lang w:val="en-GB" w:eastAsia="ja-JP"/>
        </w:rPr>
        <w:t>paths</w:t>
      </w:r>
      <w:r w:rsidRPr="009501AA">
        <w:rPr>
          <w:lang w:val="en-GB" w:eastAsia="ja-JP"/>
        </w:rPr>
        <w:t xml:space="preserve"> based on the first objective's research outcomes and to evaluate them in light of current research developments in the broad area of data-driven building energy modelling.</w:t>
      </w:r>
      <w:r>
        <w:rPr>
          <w:lang w:val="en-GB" w:eastAsia="ja-JP"/>
        </w:rPr>
        <w:t xml:space="preserve"> </w:t>
      </w:r>
      <w:r w:rsidR="00625E26" w:rsidRPr="00625E26">
        <w:rPr>
          <w:lang w:val="en-GB" w:eastAsia="ja-JP"/>
        </w:rPr>
        <w:t>The first path</w:t>
      </w:r>
      <w:r w:rsidR="00CE68CB">
        <w:rPr>
          <w:lang w:val="en-GB" w:eastAsia="ja-JP"/>
        </w:rPr>
        <w:t xml:space="preserve"> identified</w:t>
      </w:r>
      <w:r w:rsidR="00625E26" w:rsidRPr="00625E26">
        <w:rPr>
          <w:lang w:val="en-GB" w:eastAsia="ja-JP"/>
        </w:rPr>
        <w:t xml:space="preserve"> </w:t>
      </w:r>
      <w:proofErr w:type="gramStart"/>
      <w:r w:rsidR="00625E26" w:rsidRPr="00625E26">
        <w:rPr>
          <w:lang w:val="en-GB" w:eastAsia="ja-JP"/>
        </w:rPr>
        <w:t>is based</w:t>
      </w:r>
      <w:proofErr w:type="gramEnd"/>
      <w:r w:rsidR="00625E26" w:rsidRPr="00625E26">
        <w:rPr>
          <w:lang w:val="en-GB" w:eastAsia="ja-JP"/>
        </w:rPr>
        <w:t xml:space="preserve"> on temporal and spatial scalability</w:t>
      </w:r>
      <w:r w:rsidR="00CE68CB">
        <w:rPr>
          <w:lang w:val="en-GB" w:eastAsia="ja-JP"/>
        </w:rPr>
        <w:t xml:space="preserve"> of techniques</w:t>
      </w:r>
      <w:r w:rsidR="00625E26" w:rsidRPr="00625E26">
        <w:rPr>
          <w:lang w:val="en-GB" w:eastAsia="ja-JP"/>
        </w:rPr>
        <w:t xml:space="preserve">, as well as </w:t>
      </w:r>
      <w:r w:rsidR="00CE68CB">
        <w:rPr>
          <w:lang w:val="en-GB" w:eastAsia="ja-JP"/>
        </w:rPr>
        <w:t xml:space="preserve">on </w:t>
      </w:r>
      <w:r w:rsidR="00625E26" w:rsidRPr="00625E26">
        <w:rPr>
          <w:lang w:val="en-GB" w:eastAsia="ja-JP"/>
        </w:rPr>
        <w:t>model integration across building life cycle</w:t>
      </w:r>
      <w:r w:rsidR="00CE68CB">
        <w:rPr>
          <w:lang w:val="en-GB" w:eastAsia="ja-JP"/>
        </w:rPr>
        <w:t xml:space="preserve"> phases</w:t>
      </w:r>
      <w:r w:rsidR="00625E26" w:rsidRPr="00625E26">
        <w:rPr>
          <w:lang w:val="en-GB" w:eastAsia="ja-JP"/>
        </w:rPr>
        <w:t>.</w:t>
      </w:r>
      <w:r w:rsidR="00625E26">
        <w:rPr>
          <w:lang w:val="en-GB" w:eastAsia="ja-JP"/>
        </w:rPr>
        <w:t xml:space="preserve"> </w:t>
      </w:r>
      <w:r w:rsidR="00625E26" w:rsidRPr="00625E26">
        <w:rPr>
          <w:lang w:val="en-GB" w:eastAsia="ja-JP"/>
        </w:rPr>
        <w:t xml:space="preserve">The second </w:t>
      </w:r>
      <w:r w:rsidR="00CE68CB">
        <w:rPr>
          <w:lang w:val="en-GB" w:eastAsia="ja-JP"/>
        </w:rPr>
        <w:t xml:space="preserve">path </w:t>
      </w:r>
      <w:r w:rsidR="00625E26" w:rsidRPr="00625E26">
        <w:rPr>
          <w:lang w:val="en-GB" w:eastAsia="ja-JP"/>
        </w:rPr>
        <w:t xml:space="preserve">relies on the approximated physical interpretation of regression-model coefficients and </w:t>
      </w:r>
      <w:r w:rsidR="00D80504">
        <w:rPr>
          <w:lang w:val="en-GB" w:eastAsia="ja-JP"/>
        </w:rPr>
        <w:t xml:space="preserve">on the </w:t>
      </w:r>
      <w:r w:rsidR="00625E26" w:rsidRPr="00625E26">
        <w:rPr>
          <w:lang w:val="en-GB" w:eastAsia="ja-JP"/>
        </w:rPr>
        <w:t>related analytical formulations (e.g. on the thermo-physical parameters of the building).</w:t>
      </w:r>
      <w:r w:rsidR="00625E26">
        <w:rPr>
          <w:lang w:val="en-GB" w:eastAsia="ja-JP"/>
        </w:rPr>
        <w:t xml:space="preserve"> </w:t>
      </w:r>
      <w:r w:rsidR="00625E26" w:rsidRPr="00625E26">
        <w:rPr>
          <w:lang w:val="en-GB" w:eastAsia="ja-JP"/>
        </w:rPr>
        <w:t xml:space="preserve">The third path is concerned with heat pump performance analytics and electric grid </w:t>
      </w:r>
      <w:r w:rsidR="00625E26">
        <w:rPr>
          <w:lang w:val="en-GB" w:eastAsia="ja-JP"/>
        </w:rPr>
        <w:t>interaction</w:t>
      </w:r>
      <w:r w:rsidR="00625E26" w:rsidRPr="00625E26">
        <w:rPr>
          <w:lang w:val="en-GB" w:eastAsia="ja-JP"/>
        </w:rPr>
        <w:t>, both of which are critical to meeting decarbonisation targets</w:t>
      </w:r>
      <w:r w:rsidR="00CE68CB">
        <w:rPr>
          <w:lang w:val="en-GB" w:eastAsia="ja-JP"/>
        </w:rPr>
        <w:t xml:space="preserve"> (by means of electrification of heating but considering electric grid supply constraints</w:t>
      </w:r>
      <w:r w:rsidR="0075049A">
        <w:rPr>
          <w:lang w:val="en-GB" w:eastAsia="ja-JP"/>
        </w:rPr>
        <w:t xml:space="preserve"> as well</w:t>
      </w:r>
      <w:r w:rsidR="00CE68CB">
        <w:rPr>
          <w:lang w:val="en-GB" w:eastAsia="ja-JP"/>
        </w:rPr>
        <w:t>)</w:t>
      </w:r>
      <w:r w:rsidR="00625E26" w:rsidRPr="00625E26">
        <w:rPr>
          <w:lang w:val="en-GB" w:eastAsia="ja-JP"/>
        </w:rPr>
        <w:t>.</w:t>
      </w:r>
    </w:p>
    <w:p w:rsidR="00A856AF" w:rsidRPr="00A856AF" w:rsidRDefault="005C3E31">
      <w:pPr>
        <w:suppressAutoHyphens/>
        <w:jc w:val="both"/>
        <w:rPr>
          <w:lang w:val="en-GB"/>
        </w:rPr>
      </w:pPr>
      <w:r w:rsidRPr="005C3E31">
        <w:rPr>
          <w:lang w:val="en-GB"/>
        </w:rPr>
        <w:lastRenderedPageBreak/>
        <w:t>Overall</w:t>
      </w:r>
      <w:r w:rsidR="009501AA">
        <w:rPr>
          <w:lang w:val="en-GB"/>
        </w:rPr>
        <w:t>, the</w:t>
      </w:r>
      <w:r w:rsidRPr="005C3E31">
        <w:rPr>
          <w:lang w:val="en-GB"/>
        </w:rPr>
        <w:t xml:space="preserve"> future research paths </w:t>
      </w:r>
      <w:r w:rsidR="009501AA">
        <w:rPr>
          <w:lang w:val="en-GB"/>
        </w:rPr>
        <w:t xml:space="preserve">indicated </w:t>
      </w:r>
      <w:r w:rsidRPr="005C3E31">
        <w:rPr>
          <w:lang w:val="en-GB"/>
        </w:rPr>
        <w:t xml:space="preserve">are </w:t>
      </w:r>
      <w:r w:rsidR="009501AA">
        <w:rPr>
          <w:lang w:val="en-GB"/>
        </w:rPr>
        <w:t xml:space="preserve">clearly </w:t>
      </w:r>
      <w:r w:rsidRPr="005C3E31">
        <w:rPr>
          <w:lang w:val="en-GB"/>
        </w:rPr>
        <w:t xml:space="preserve">not exhaustive, but they aim to highlight the potential of systems of interacting (interpretable data-driven) models that can evolve into "digital twins" </w:t>
      </w:r>
      <w:r w:rsidR="009501AA">
        <w:rPr>
          <w:lang w:val="en-GB"/>
        </w:rPr>
        <w:t>which</w:t>
      </w:r>
      <w:r w:rsidRPr="005C3E31">
        <w:rPr>
          <w:lang w:val="en-GB"/>
        </w:rPr>
        <w:t xml:space="preserve"> can help accelerate the transition to a more efficient and decarbonized building stock. Simultaneously, systems of interacting models can assist in addressing important issues such as generalisation, interpretability, and </w:t>
      </w:r>
      <w:proofErr w:type="spellStart"/>
      <w:r w:rsidRPr="005C3E31">
        <w:rPr>
          <w:lang w:val="en-GB"/>
        </w:rPr>
        <w:t>explainability</w:t>
      </w:r>
      <w:proofErr w:type="spellEnd"/>
      <w:r w:rsidRPr="005C3E31">
        <w:rPr>
          <w:lang w:val="en-GB"/>
        </w:rPr>
        <w:t>, overcoming limitations inherent in</w:t>
      </w:r>
      <w:r w:rsidR="00D80504">
        <w:rPr>
          <w:lang w:val="en-GB"/>
        </w:rPr>
        <w:t xml:space="preserve"> the use of</w:t>
      </w:r>
      <w:r w:rsidRPr="005C3E31">
        <w:rPr>
          <w:lang w:val="en-GB"/>
        </w:rPr>
        <w:t xml:space="preserve"> machine learning models and promoting a "human-in-the-loop" approach to a wider audience, not just the research community. </w:t>
      </w:r>
    </w:p>
    <w:p w:rsidR="005F7142" w:rsidRDefault="005F7142" w:rsidP="0095142D">
      <w:pPr>
        <w:jc w:val="both"/>
        <w:rPr>
          <w:lang w:val="en-GB"/>
        </w:rPr>
      </w:pPr>
    </w:p>
    <w:p w:rsidR="00DC3B99" w:rsidRPr="00C36C26" w:rsidRDefault="00DC3B99" w:rsidP="0095142D">
      <w:pPr>
        <w:jc w:val="both"/>
        <w:rPr>
          <w:lang w:val="en-GB"/>
        </w:rPr>
      </w:pPr>
    </w:p>
    <w:p w:rsidR="00A606AA" w:rsidRDefault="00F545CA" w:rsidP="006E7106">
      <w:pPr>
        <w:pStyle w:val="Heading1"/>
        <w:numPr>
          <w:ilvl w:val="0"/>
          <w:numId w:val="0"/>
        </w:numPr>
        <w:ind w:left="432" w:hanging="432"/>
      </w:pPr>
      <w:bookmarkStart w:id="229" w:name="_Toc98498112"/>
      <w:r w:rsidRPr="00C36C26">
        <w:t>References</w:t>
      </w:r>
      <w:bookmarkEnd w:id="229"/>
    </w:p>
    <w:p w:rsidR="00C82776" w:rsidRPr="00C82776" w:rsidRDefault="0072587C" w:rsidP="00C82776">
      <w:pPr>
        <w:widowControl w:val="0"/>
        <w:autoSpaceDE w:val="0"/>
        <w:autoSpaceDN w:val="0"/>
        <w:adjustRightInd w:val="0"/>
        <w:ind w:left="640" w:hanging="640"/>
        <w:rPr>
          <w:noProof/>
        </w:rPr>
      </w:pPr>
      <w:r>
        <w:rPr>
          <w:lang w:val="en-GB" w:eastAsia="x-none"/>
        </w:rPr>
        <w:fldChar w:fldCharType="begin" w:fldLock="1"/>
      </w:r>
      <w:r>
        <w:rPr>
          <w:lang w:val="en-GB" w:eastAsia="x-none"/>
        </w:rPr>
        <w:instrText xml:space="preserve">ADDIN Mendeley Bibliography CSL_BIBLIOGRAPHY </w:instrText>
      </w:r>
      <w:r>
        <w:rPr>
          <w:lang w:val="en-GB" w:eastAsia="x-none"/>
        </w:rPr>
        <w:fldChar w:fldCharType="separate"/>
      </w:r>
      <w:r w:rsidR="00C82776" w:rsidRPr="00C82776">
        <w:rPr>
          <w:noProof/>
        </w:rPr>
        <w:t>[1]</w:t>
      </w:r>
      <w:r w:rsidR="00C82776" w:rsidRPr="00C82776">
        <w:rPr>
          <w:noProof/>
        </w:rPr>
        <w:tab/>
        <w:t>Hong T, Wang Z, Luo X, Zhang W. State-of-the-art on research and applications of machine learning in the building life cycle. Energy Build 2020;212:109831. https://doi.org/https://doi.org/10.1016/j.enbuild.2020.109831.</w:t>
      </w:r>
    </w:p>
    <w:p w:rsidR="00C82776" w:rsidRPr="00C82776" w:rsidRDefault="00C82776" w:rsidP="00C82776">
      <w:pPr>
        <w:widowControl w:val="0"/>
        <w:autoSpaceDE w:val="0"/>
        <w:autoSpaceDN w:val="0"/>
        <w:adjustRightInd w:val="0"/>
        <w:ind w:left="640" w:hanging="640"/>
        <w:rPr>
          <w:noProof/>
        </w:rPr>
      </w:pPr>
      <w:r w:rsidRPr="00C82776">
        <w:rPr>
          <w:noProof/>
        </w:rPr>
        <w:t>[2]</w:t>
      </w:r>
      <w:r w:rsidRPr="00C82776">
        <w:rPr>
          <w:noProof/>
        </w:rPr>
        <w:tab/>
        <w:t>Westermann P, Evins R. Surrogate modelling for sustainable building design – A review. Energy Build 2019;198:170–86. https://doi.org/https://doi.org/10.1016/j.enbuild.2019.05.057.</w:t>
      </w:r>
    </w:p>
    <w:p w:rsidR="00C82776" w:rsidRPr="00C82776" w:rsidRDefault="00C82776" w:rsidP="00C82776">
      <w:pPr>
        <w:widowControl w:val="0"/>
        <w:autoSpaceDE w:val="0"/>
        <w:autoSpaceDN w:val="0"/>
        <w:adjustRightInd w:val="0"/>
        <w:ind w:left="640" w:hanging="640"/>
        <w:rPr>
          <w:noProof/>
        </w:rPr>
      </w:pPr>
      <w:r w:rsidRPr="00C82776">
        <w:rPr>
          <w:noProof/>
        </w:rPr>
        <w:t>[3]</w:t>
      </w:r>
      <w:r w:rsidRPr="00C82776">
        <w:rPr>
          <w:noProof/>
        </w:rPr>
        <w:tab/>
        <w:t>Manfren M, Nastasi B, Tronchin L. Linking Design and Operation Phase Energy Performance Analysis Through Regression-Based Approaches. Front Energy Res 2020;8:288. https://doi.org/10.3389/fenrg.2020.557649.</w:t>
      </w:r>
    </w:p>
    <w:p w:rsidR="00C82776" w:rsidRPr="00C82776" w:rsidRDefault="00C82776" w:rsidP="00C82776">
      <w:pPr>
        <w:widowControl w:val="0"/>
        <w:autoSpaceDE w:val="0"/>
        <w:autoSpaceDN w:val="0"/>
        <w:adjustRightInd w:val="0"/>
        <w:ind w:left="640" w:hanging="640"/>
        <w:rPr>
          <w:noProof/>
        </w:rPr>
      </w:pPr>
      <w:r w:rsidRPr="00C82776">
        <w:rPr>
          <w:noProof/>
        </w:rPr>
        <w:t>[4]</w:t>
      </w:r>
      <w:r w:rsidRPr="00C82776">
        <w:rPr>
          <w:noProof/>
        </w:rPr>
        <w:tab/>
        <w:t>Miller C. More Buildings Make More Generalizable Models—Benchmarking Prediction Methods on Open Electrical Meter Data. Mach Learn Knowl Extr  2019;1. https://doi.org/10.3390/make1030056.</w:t>
      </w:r>
    </w:p>
    <w:p w:rsidR="00C82776" w:rsidRPr="00C82776" w:rsidRDefault="00C82776" w:rsidP="00C82776">
      <w:pPr>
        <w:widowControl w:val="0"/>
        <w:autoSpaceDE w:val="0"/>
        <w:autoSpaceDN w:val="0"/>
        <w:adjustRightInd w:val="0"/>
        <w:ind w:left="640" w:hanging="640"/>
        <w:rPr>
          <w:noProof/>
        </w:rPr>
      </w:pPr>
      <w:r w:rsidRPr="00C82776">
        <w:rPr>
          <w:noProof/>
        </w:rPr>
        <w:t>[5]</w:t>
      </w:r>
      <w:r w:rsidRPr="00C82776">
        <w:rPr>
          <w:noProof/>
        </w:rPr>
        <w:tab/>
        <w:t>de Wilde P. The gap between predicted and measured energy performance of buildings: A framework for investigation. Autom Constr 2014;41:40–9. https://doi.org/http://doi.org/10.1016/j.autcon.2014.02.009.</w:t>
      </w:r>
    </w:p>
    <w:p w:rsidR="00C82776" w:rsidRPr="00C82776" w:rsidRDefault="00C82776" w:rsidP="00C82776">
      <w:pPr>
        <w:widowControl w:val="0"/>
        <w:autoSpaceDE w:val="0"/>
        <w:autoSpaceDN w:val="0"/>
        <w:adjustRightInd w:val="0"/>
        <w:ind w:left="640" w:hanging="640"/>
        <w:rPr>
          <w:noProof/>
        </w:rPr>
      </w:pPr>
      <w:r w:rsidRPr="00C82776">
        <w:rPr>
          <w:noProof/>
        </w:rPr>
        <w:t>[6]</w:t>
      </w:r>
      <w:r w:rsidRPr="00C82776">
        <w:rPr>
          <w:noProof/>
        </w:rPr>
        <w:tab/>
        <w:t>Imam S, Coley DA, Walker I. The building performance gap: Are modellers literate? Build Serv Eng Res Technol 2017;38:351–75. https://doi.org/10.1177/0143624416684641.</w:t>
      </w:r>
    </w:p>
    <w:p w:rsidR="00C82776" w:rsidRPr="00C82776" w:rsidRDefault="00C82776" w:rsidP="00C82776">
      <w:pPr>
        <w:widowControl w:val="0"/>
        <w:autoSpaceDE w:val="0"/>
        <w:autoSpaceDN w:val="0"/>
        <w:adjustRightInd w:val="0"/>
        <w:ind w:left="640" w:hanging="640"/>
        <w:rPr>
          <w:noProof/>
        </w:rPr>
      </w:pPr>
      <w:r w:rsidRPr="00C82776">
        <w:rPr>
          <w:noProof/>
        </w:rPr>
        <w:t>[7]</w:t>
      </w:r>
      <w:r w:rsidRPr="00C82776">
        <w:rPr>
          <w:noProof/>
        </w:rPr>
        <w:tab/>
        <w:t>de Wilde P. “The building performance gap: Are modellers literate?” Build Serv Eng Res Technol 2017;38:757–9. https://doi.org/10.1177/0143624417728431.</w:t>
      </w:r>
    </w:p>
    <w:p w:rsidR="00C82776" w:rsidRPr="00C82776" w:rsidRDefault="00C82776" w:rsidP="00C82776">
      <w:pPr>
        <w:widowControl w:val="0"/>
        <w:autoSpaceDE w:val="0"/>
        <w:autoSpaceDN w:val="0"/>
        <w:adjustRightInd w:val="0"/>
        <w:ind w:left="640" w:hanging="640"/>
        <w:rPr>
          <w:noProof/>
        </w:rPr>
      </w:pPr>
      <w:r w:rsidRPr="00C82776">
        <w:rPr>
          <w:noProof/>
        </w:rPr>
        <w:t>[8]</w:t>
      </w:r>
      <w:r w:rsidRPr="00C82776">
        <w:rPr>
          <w:noProof/>
        </w:rPr>
        <w:tab/>
        <w:t>van Dronkelaar C, Dowson M, Burman E, Spataru C, Mumovic D. A Review of the Energy Performance Gap and Its Underlying Causes in Non-Domestic Buildings. Front Mech Eng 2016;1:17. https://doi.org/10.3389/fmech.2015.00017.</w:t>
      </w:r>
    </w:p>
    <w:p w:rsidR="00C82776" w:rsidRPr="00C82776" w:rsidRDefault="00C82776" w:rsidP="00C82776">
      <w:pPr>
        <w:widowControl w:val="0"/>
        <w:autoSpaceDE w:val="0"/>
        <w:autoSpaceDN w:val="0"/>
        <w:adjustRightInd w:val="0"/>
        <w:ind w:left="640" w:hanging="640"/>
        <w:rPr>
          <w:noProof/>
        </w:rPr>
      </w:pPr>
      <w:r w:rsidRPr="00C82776">
        <w:rPr>
          <w:noProof/>
        </w:rPr>
        <w:t>[9]</w:t>
      </w:r>
      <w:r w:rsidRPr="00C82776">
        <w:rPr>
          <w:noProof/>
        </w:rPr>
        <w:tab/>
        <w:t>Yoshino H, Hong T, Nord N. IEA EBC annex 53: Total energy use in buildings—Analysis and evaluation methods. Energy Build 2017;152:124–36. https://doi.org/https://doi.org/10.1016/j.enbuild.2017.07.038.</w:t>
      </w:r>
    </w:p>
    <w:p w:rsidR="00C82776" w:rsidRPr="00C82776" w:rsidRDefault="00C82776" w:rsidP="00C82776">
      <w:pPr>
        <w:widowControl w:val="0"/>
        <w:autoSpaceDE w:val="0"/>
        <w:autoSpaceDN w:val="0"/>
        <w:adjustRightInd w:val="0"/>
        <w:ind w:left="640" w:hanging="640"/>
        <w:rPr>
          <w:noProof/>
        </w:rPr>
      </w:pPr>
      <w:r w:rsidRPr="00C82776">
        <w:rPr>
          <w:noProof/>
        </w:rPr>
        <w:t>[10]</w:t>
      </w:r>
      <w:r w:rsidRPr="00C82776">
        <w:rPr>
          <w:noProof/>
        </w:rPr>
        <w:tab/>
        <w:t>Coakley D, Raftery P, Keane M. A review of methods to match building energy simulation models to measured data. Renew Sustain Energy Rev 2014;37:123–41. https://doi.org/http://dx.doi.org/10.1016/j.rser.2014.05.007.</w:t>
      </w:r>
    </w:p>
    <w:p w:rsidR="00C82776" w:rsidRPr="00C82776" w:rsidRDefault="00C82776" w:rsidP="00C82776">
      <w:pPr>
        <w:widowControl w:val="0"/>
        <w:autoSpaceDE w:val="0"/>
        <w:autoSpaceDN w:val="0"/>
        <w:adjustRightInd w:val="0"/>
        <w:ind w:left="640" w:hanging="640"/>
        <w:rPr>
          <w:noProof/>
        </w:rPr>
      </w:pPr>
      <w:r w:rsidRPr="00C82776">
        <w:rPr>
          <w:noProof/>
        </w:rPr>
        <w:t>[11]</w:t>
      </w:r>
      <w:r w:rsidRPr="00C82776">
        <w:rPr>
          <w:noProof/>
        </w:rPr>
        <w:tab/>
        <w:t>Chong A, Gu Y, Jia H. Calibrating building energy simulation models: A review of the basics to guide future work. Energy Build 2021;253:111533. https://doi.org/https://doi.org/10.1016/j.enbuild.2021.111533.</w:t>
      </w:r>
    </w:p>
    <w:p w:rsidR="00C82776" w:rsidRPr="00C82776" w:rsidRDefault="00C82776" w:rsidP="00C82776">
      <w:pPr>
        <w:widowControl w:val="0"/>
        <w:autoSpaceDE w:val="0"/>
        <w:autoSpaceDN w:val="0"/>
        <w:adjustRightInd w:val="0"/>
        <w:ind w:left="640" w:hanging="640"/>
        <w:rPr>
          <w:noProof/>
        </w:rPr>
      </w:pPr>
      <w:r w:rsidRPr="00C82776">
        <w:rPr>
          <w:noProof/>
        </w:rPr>
        <w:t>[12]</w:t>
      </w:r>
      <w:r w:rsidRPr="00C82776">
        <w:rPr>
          <w:noProof/>
        </w:rPr>
        <w:tab/>
        <w:t>Fazeli R, Ruth M, Davidsdottir B. Temperature response functions for residential energy demand – A review of models. Urban Clim 2016;15:45–59. https://doi.org/https://doi.org/10.1016/j.uclim.2016.01.001.</w:t>
      </w:r>
    </w:p>
    <w:p w:rsidR="00C82776" w:rsidRPr="00C82776" w:rsidRDefault="00C82776" w:rsidP="00C82776">
      <w:pPr>
        <w:widowControl w:val="0"/>
        <w:autoSpaceDE w:val="0"/>
        <w:autoSpaceDN w:val="0"/>
        <w:adjustRightInd w:val="0"/>
        <w:ind w:left="640" w:hanging="640"/>
        <w:rPr>
          <w:noProof/>
        </w:rPr>
      </w:pPr>
      <w:r w:rsidRPr="00C82776">
        <w:rPr>
          <w:noProof/>
        </w:rPr>
        <w:t>[13]</w:t>
      </w:r>
      <w:r w:rsidRPr="00C82776">
        <w:rPr>
          <w:noProof/>
        </w:rPr>
        <w:tab/>
        <w:t>ISO/IEC TR 29119-11:2020(en) Software and systems engineering — Software testing — Part 11: Guidelines on the testing of AI-based systems.</w:t>
      </w:r>
    </w:p>
    <w:p w:rsidR="00C82776" w:rsidRPr="00C82776" w:rsidRDefault="00C82776" w:rsidP="00C82776">
      <w:pPr>
        <w:widowControl w:val="0"/>
        <w:autoSpaceDE w:val="0"/>
        <w:autoSpaceDN w:val="0"/>
        <w:adjustRightInd w:val="0"/>
        <w:ind w:left="640" w:hanging="640"/>
        <w:rPr>
          <w:noProof/>
        </w:rPr>
      </w:pPr>
      <w:r w:rsidRPr="00C82776">
        <w:rPr>
          <w:noProof/>
        </w:rPr>
        <w:t>[14]</w:t>
      </w:r>
      <w:r w:rsidRPr="00C82776">
        <w:rPr>
          <w:noProof/>
        </w:rPr>
        <w:tab/>
        <w:t xml:space="preserve">Lipton ZC. The Mythos of Model Interpretability: In machine learning, the </w:t>
      </w:r>
      <w:r w:rsidRPr="00C82776">
        <w:rPr>
          <w:noProof/>
        </w:rPr>
        <w:lastRenderedPageBreak/>
        <w:t>concept of interpretability is both important and slippery. Queue 2018;16:31–57.</w:t>
      </w:r>
    </w:p>
    <w:p w:rsidR="00C82776" w:rsidRPr="00C82776" w:rsidRDefault="00C82776" w:rsidP="00C82776">
      <w:pPr>
        <w:widowControl w:val="0"/>
        <w:autoSpaceDE w:val="0"/>
        <w:autoSpaceDN w:val="0"/>
        <w:adjustRightInd w:val="0"/>
        <w:ind w:left="640" w:hanging="640"/>
        <w:rPr>
          <w:noProof/>
        </w:rPr>
      </w:pPr>
      <w:r w:rsidRPr="00C82776">
        <w:rPr>
          <w:noProof/>
        </w:rPr>
        <w:t>[15]</w:t>
      </w:r>
      <w:r w:rsidRPr="00C82776">
        <w:rPr>
          <w:noProof/>
        </w:rPr>
        <w:tab/>
        <w:t>Manfren M, Sibilla M, Tronchin L. Energy Modelling and Analytics in the Built Environment—A Review of Their Role for Energy Transitions in the Construction Sector. Energies  2021;14. https://doi.org/10.3390/en14030679.</w:t>
      </w:r>
    </w:p>
    <w:p w:rsidR="00C82776" w:rsidRPr="00C82776" w:rsidRDefault="00C82776" w:rsidP="00C82776">
      <w:pPr>
        <w:widowControl w:val="0"/>
        <w:autoSpaceDE w:val="0"/>
        <w:autoSpaceDN w:val="0"/>
        <w:adjustRightInd w:val="0"/>
        <w:ind w:left="640" w:hanging="640"/>
        <w:rPr>
          <w:noProof/>
        </w:rPr>
      </w:pPr>
      <w:r w:rsidRPr="00C82776">
        <w:rPr>
          <w:noProof/>
        </w:rPr>
        <w:t>[16]</w:t>
      </w:r>
      <w:r w:rsidRPr="00C82776">
        <w:rPr>
          <w:noProof/>
        </w:rPr>
        <w:tab/>
        <w:t>Pfenninger S, Hirth L, Schlecht I, Schmid E, Wiese F, Brown T, et al. Opening the black box of energy modelling: Strategies and lessons learned. Energy Strateg Rev 2018;19:63–71. https://doi.org/https://doi.org/10.1016/j.esr.2017.12.002.</w:t>
      </w:r>
    </w:p>
    <w:p w:rsidR="00C82776" w:rsidRPr="00C82776" w:rsidRDefault="00C82776" w:rsidP="00C82776">
      <w:pPr>
        <w:widowControl w:val="0"/>
        <w:autoSpaceDE w:val="0"/>
        <w:autoSpaceDN w:val="0"/>
        <w:adjustRightInd w:val="0"/>
        <w:ind w:left="640" w:hanging="640"/>
        <w:rPr>
          <w:noProof/>
        </w:rPr>
      </w:pPr>
      <w:r w:rsidRPr="00C82776">
        <w:rPr>
          <w:noProof/>
        </w:rPr>
        <w:t>[17]</w:t>
      </w:r>
      <w:r w:rsidRPr="00C82776">
        <w:rPr>
          <w:noProof/>
        </w:rPr>
        <w:tab/>
        <w:t>Hong S-M, Paterson G, Burman E, Steadman P, Mumovic D. A comparative study of benchmarking approaches for non-domestic buildings: Part 1 – Top-down approach. Int J Sustain Built Environ 2013;2:119–30. https://doi.org/https://doi.org/10.1016/j.ijsbe.2014.04.001.</w:t>
      </w:r>
    </w:p>
    <w:p w:rsidR="00C82776" w:rsidRPr="00C82776" w:rsidRDefault="00C82776" w:rsidP="00C82776">
      <w:pPr>
        <w:widowControl w:val="0"/>
        <w:autoSpaceDE w:val="0"/>
        <w:autoSpaceDN w:val="0"/>
        <w:adjustRightInd w:val="0"/>
        <w:ind w:left="640" w:hanging="640"/>
        <w:rPr>
          <w:noProof/>
        </w:rPr>
      </w:pPr>
      <w:r w:rsidRPr="00C82776">
        <w:rPr>
          <w:noProof/>
        </w:rPr>
        <w:t>[18]</w:t>
      </w:r>
      <w:r w:rsidRPr="00C82776">
        <w:rPr>
          <w:noProof/>
        </w:rPr>
        <w:tab/>
        <w:t>Burman E, Hong S-M, Paterson G, Kimpian J, Mumovic D. A comparative study of benchmarking approaches for non-domestic buildings: Part 2 – Bottom-up approach. Int J Sustain Built Environ 2014;3:247–61. https://doi.org/https://doi.org/10.1016/j.ijsbe.2014.12.001.</w:t>
      </w:r>
    </w:p>
    <w:p w:rsidR="00C82776" w:rsidRPr="00C82776" w:rsidRDefault="00C82776" w:rsidP="00C82776">
      <w:pPr>
        <w:widowControl w:val="0"/>
        <w:autoSpaceDE w:val="0"/>
        <w:autoSpaceDN w:val="0"/>
        <w:adjustRightInd w:val="0"/>
        <w:ind w:left="640" w:hanging="640"/>
        <w:rPr>
          <w:noProof/>
        </w:rPr>
      </w:pPr>
      <w:r w:rsidRPr="00C82776">
        <w:rPr>
          <w:noProof/>
        </w:rPr>
        <w:t>[19]</w:t>
      </w:r>
      <w:r w:rsidRPr="00C82776">
        <w:rPr>
          <w:noProof/>
        </w:rPr>
        <w:tab/>
        <w:t>Miller C, Meggers F. The Building Data Genome Project: An open, public data set from non-residential building electrical meters. Energy Procedia 2017;122:439–44. https://doi.org/https://doi.org/10.1016/j.egypro.2017.07.400.</w:t>
      </w:r>
    </w:p>
    <w:p w:rsidR="00C82776" w:rsidRPr="00C82776" w:rsidRDefault="00C82776" w:rsidP="00C82776">
      <w:pPr>
        <w:widowControl w:val="0"/>
        <w:autoSpaceDE w:val="0"/>
        <w:autoSpaceDN w:val="0"/>
        <w:adjustRightInd w:val="0"/>
        <w:ind w:left="640" w:hanging="640"/>
        <w:rPr>
          <w:noProof/>
        </w:rPr>
      </w:pPr>
      <w:r w:rsidRPr="00C82776">
        <w:rPr>
          <w:noProof/>
        </w:rPr>
        <w:t>[20]</w:t>
      </w:r>
      <w:r w:rsidRPr="00C82776">
        <w:rPr>
          <w:noProof/>
        </w:rPr>
        <w:tab/>
        <w:t>Miller C, Kathirgamanathan A, Picchetti B, Arjunan P, Park JY, Nagy Z, et al. The Building Data Genome Project 2, energy meter data from the ASHRAE Great Energy Predictor III competition. Sci Data 2020;7:368. https://doi.org/10.1038/s41597-020-00712-x.</w:t>
      </w:r>
    </w:p>
    <w:p w:rsidR="00C82776" w:rsidRPr="00C82776" w:rsidRDefault="00C82776" w:rsidP="00C82776">
      <w:pPr>
        <w:widowControl w:val="0"/>
        <w:autoSpaceDE w:val="0"/>
        <w:autoSpaceDN w:val="0"/>
        <w:adjustRightInd w:val="0"/>
        <w:ind w:left="640" w:hanging="640"/>
        <w:rPr>
          <w:noProof/>
        </w:rPr>
      </w:pPr>
      <w:r w:rsidRPr="00C82776">
        <w:rPr>
          <w:noProof/>
        </w:rPr>
        <w:t>[21]</w:t>
      </w:r>
      <w:r w:rsidRPr="00C82776">
        <w:rPr>
          <w:noProof/>
        </w:rPr>
        <w:tab/>
        <w:t>Robertson C, Mumovic D, Hong SM. Crowd-sourced building intelligence: the potential to go beyond existing benchmarks for effective insight, feedback and targeting. Intell Build Int 2015;7:147–60. https://doi.org/10.1080/17508975.2014.987639.</w:t>
      </w:r>
    </w:p>
    <w:p w:rsidR="00C82776" w:rsidRPr="00C82776" w:rsidRDefault="00C82776" w:rsidP="00C82776">
      <w:pPr>
        <w:widowControl w:val="0"/>
        <w:autoSpaceDE w:val="0"/>
        <w:autoSpaceDN w:val="0"/>
        <w:adjustRightInd w:val="0"/>
        <w:ind w:left="640" w:hanging="640"/>
        <w:rPr>
          <w:noProof/>
        </w:rPr>
      </w:pPr>
      <w:r w:rsidRPr="00C82776">
        <w:rPr>
          <w:noProof/>
        </w:rPr>
        <w:t>[22]</w:t>
      </w:r>
      <w:r w:rsidRPr="00C82776">
        <w:rPr>
          <w:noProof/>
        </w:rPr>
        <w:tab/>
        <w:t>Manfren M, Nastasi B, Groppi D, Astiaso Garcia D. Open data and energy analytics - An analysis of essential information for energy system planning, design and operation. Energy 2020;213. https://doi.org/10.1016/j.energy.2020.118803.</w:t>
      </w:r>
    </w:p>
    <w:p w:rsidR="00C82776" w:rsidRPr="00C82776" w:rsidRDefault="00C82776" w:rsidP="00C82776">
      <w:pPr>
        <w:widowControl w:val="0"/>
        <w:autoSpaceDE w:val="0"/>
        <w:autoSpaceDN w:val="0"/>
        <w:adjustRightInd w:val="0"/>
        <w:ind w:left="640" w:hanging="640"/>
        <w:rPr>
          <w:noProof/>
        </w:rPr>
      </w:pPr>
      <w:r w:rsidRPr="00C82776">
        <w:rPr>
          <w:noProof/>
        </w:rPr>
        <w:t>[23]</w:t>
      </w:r>
      <w:r w:rsidRPr="00C82776">
        <w:rPr>
          <w:noProof/>
        </w:rPr>
        <w:tab/>
        <w:t>Manfren M, Nastasi B. From in-situ measurement to regression and time series models: An overview of trends and prospects for building performance modelling. AIP Conf Proc 2019;2123:20100. https://doi.org/10.1063/1.5117027.</w:t>
      </w:r>
    </w:p>
    <w:p w:rsidR="00C82776" w:rsidRPr="00C82776" w:rsidRDefault="00C82776" w:rsidP="00C82776">
      <w:pPr>
        <w:widowControl w:val="0"/>
        <w:autoSpaceDE w:val="0"/>
        <w:autoSpaceDN w:val="0"/>
        <w:adjustRightInd w:val="0"/>
        <w:ind w:left="640" w:hanging="640"/>
        <w:rPr>
          <w:noProof/>
        </w:rPr>
      </w:pPr>
      <w:r w:rsidRPr="00C82776">
        <w:rPr>
          <w:noProof/>
        </w:rPr>
        <w:t>[24]</w:t>
      </w:r>
      <w:r w:rsidRPr="00C82776">
        <w:rPr>
          <w:noProof/>
        </w:rPr>
        <w:tab/>
        <w:t>Tronchin L, Manfren M, Nastasi B. Energy analytics for supporting built environment decarbonisation. Energy Procedia 2019;157:1486–93. https://doi.org/https://doi.org/10.1016/j.egypro.2018.11.313.</w:t>
      </w:r>
    </w:p>
    <w:p w:rsidR="00C82776" w:rsidRPr="00BD2AFA" w:rsidRDefault="00C82776" w:rsidP="00C82776">
      <w:pPr>
        <w:widowControl w:val="0"/>
        <w:autoSpaceDE w:val="0"/>
        <w:autoSpaceDN w:val="0"/>
        <w:adjustRightInd w:val="0"/>
        <w:ind w:left="640" w:hanging="640"/>
        <w:rPr>
          <w:noProof/>
          <w:lang w:val="en-GB"/>
        </w:rPr>
      </w:pPr>
      <w:r w:rsidRPr="00C82776">
        <w:rPr>
          <w:noProof/>
        </w:rPr>
        <w:t>[25]</w:t>
      </w:r>
      <w:r w:rsidRPr="00C82776">
        <w:rPr>
          <w:noProof/>
        </w:rPr>
        <w:tab/>
        <w:t xml:space="preserve">ASHRAE. </w:t>
      </w:r>
      <w:r w:rsidRPr="00BD2AFA">
        <w:rPr>
          <w:noProof/>
          <w:lang w:val="en-GB"/>
        </w:rPr>
        <w:t>ASHRAE Guideline 14-2014: Measurement of Energy, Demand, and Water Savings; American Society of Heating, Refrigerating and Air-Conditioning Engineers: Atlanta, GA, USA, 2014.</w:t>
      </w:r>
    </w:p>
    <w:p w:rsidR="00C82776" w:rsidRPr="00BD2AFA" w:rsidRDefault="00C82776" w:rsidP="00C82776">
      <w:pPr>
        <w:widowControl w:val="0"/>
        <w:autoSpaceDE w:val="0"/>
        <w:autoSpaceDN w:val="0"/>
        <w:adjustRightInd w:val="0"/>
        <w:ind w:left="640" w:hanging="640"/>
        <w:rPr>
          <w:noProof/>
          <w:lang w:val="en-GB"/>
        </w:rPr>
      </w:pPr>
      <w:r w:rsidRPr="00C82776">
        <w:rPr>
          <w:noProof/>
        </w:rPr>
        <w:t>[26]</w:t>
      </w:r>
      <w:r w:rsidRPr="00C82776">
        <w:rPr>
          <w:noProof/>
        </w:rPr>
        <w:tab/>
        <w:t xml:space="preserve">EVO. IPMVP New Construction Subcommittee. </w:t>
      </w:r>
      <w:r w:rsidRPr="00BD2AFA">
        <w:rPr>
          <w:noProof/>
          <w:lang w:val="en-GB"/>
        </w:rPr>
        <w:t>International Performance Measurement &amp; Verification Protocol: Concepts and Option for Determining Energy Savings in New Construction, Volume III; Efficiency Valuation Organization (EVO): Washington, DC, USA, 2003.</w:t>
      </w:r>
    </w:p>
    <w:p w:rsidR="00C82776" w:rsidRPr="00C82776" w:rsidRDefault="00C82776" w:rsidP="00C82776">
      <w:pPr>
        <w:widowControl w:val="0"/>
        <w:autoSpaceDE w:val="0"/>
        <w:autoSpaceDN w:val="0"/>
        <w:adjustRightInd w:val="0"/>
        <w:ind w:left="640" w:hanging="640"/>
        <w:rPr>
          <w:noProof/>
        </w:rPr>
      </w:pPr>
      <w:r w:rsidRPr="00C82776">
        <w:rPr>
          <w:noProof/>
        </w:rPr>
        <w:t>[27]</w:t>
      </w:r>
      <w:r w:rsidRPr="00C82776">
        <w:rPr>
          <w:noProof/>
        </w:rPr>
        <w:tab/>
        <w:t>FEMP. FEMP. Federal Energy Management Program, M&amp;V Guidelines: Measurement and Verification for Federal Energy Projects Version 3.0, U.S. Department of Energy Federal Energy Management Program 2008.</w:t>
      </w:r>
    </w:p>
    <w:p w:rsidR="00C82776" w:rsidRPr="00C82776" w:rsidRDefault="00C82776" w:rsidP="00C82776">
      <w:pPr>
        <w:widowControl w:val="0"/>
        <w:autoSpaceDE w:val="0"/>
        <w:autoSpaceDN w:val="0"/>
        <w:adjustRightInd w:val="0"/>
        <w:ind w:left="640" w:hanging="640"/>
        <w:rPr>
          <w:noProof/>
        </w:rPr>
      </w:pPr>
      <w:r w:rsidRPr="00C82776">
        <w:rPr>
          <w:noProof/>
        </w:rPr>
        <w:t>[28]</w:t>
      </w:r>
      <w:r w:rsidRPr="00C82776">
        <w:rPr>
          <w:noProof/>
        </w:rPr>
        <w:tab/>
        <w:t>Jayaweera T, Haeri H, Gowans D. The Uniform Methods Project: Methods for Determining Energy Efficiency Savings for Specific Measures. Contract 2013;303:275–3000.</w:t>
      </w:r>
    </w:p>
    <w:p w:rsidR="00C82776" w:rsidRPr="00C82776" w:rsidRDefault="00C82776" w:rsidP="00C82776">
      <w:pPr>
        <w:widowControl w:val="0"/>
        <w:autoSpaceDE w:val="0"/>
        <w:autoSpaceDN w:val="0"/>
        <w:adjustRightInd w:val="0"/>
        <w:ind w:left="640" w:hanging="640"/>
        <w:rPr>
          <w:noProof/>
        </w:rPr>
      </w:pPr>
      <w:r w:rsidRPr="00C82776">
        <w:rPr>
          <w:noProof/>
        </w:rPr>
        <w:t>[29]</w:t>
      </w:r>
      <w:r w:rsidRPr="00C82776">
        <w:rPr>
          <w:noProof/>
        </w:rPr>
        <w:tab/>
        <w:t xml:space="preserve">Investor Confidence Project (https://europe.eeperformance.org/), accessed </w:t>
      </w:r>
      <w:r w:rsidRPr="00C82776">
        <w:rPr>
          <w:noProof/>
        </w:rPr>
        <w:lastRenderedPageBreak/>
        <w:t>31/08/2020 n.d.</w:t>
      </w:r>
    </w:p>
    <w:p w:rsidR="00C82776" w:rsidRPr="00C82776" w:rsidRDefault="00C82776" w:rsidP="00C82776">
      <w:pPr>
        <w:widowControl w:val="0"/>
        <w:autoSpaceDE w:val="0"/>
        <w:autoSpaceDN w:val="0"/>
        <w:adjustRightInd w:val="0"/>
        <w:ind w:left="640" w:hanging="640"/>
        <w:rPr>
          <w:noProof/>
        </w:rPr>
      </w:pPr>
      <w:r w:rsidRPr="00C82776">
        <w:rPr>
          <w:noProof/>
        </w:rPr>
        <w:t>[30]</w:t>
      </w:r>
      <w:r w:rsidRPr="00C82776">
        <w:rPr>
          <w:noProof/>
        </w:rPr>
        <w:tab/>
        <w:t>Price P. Methods for analyzing electric load shape and its variability, Lawrence Berkeley National Laboratory Report LBNL-3713E. 2010.</w:t>
      </w:r>
    </w:p>
    <w:p w:rsidR="00C82776" w:rsidRPr="00C82776" w:rsidRDefault="00C82776" w:rsidP="00C82776">
      <w:pPr>
        <w:widowControl w:val="0"/>
        <w:autoSpaceDE w:val="0"/>
        <w:autoSpaceDN w:val="0"/>
        <w:adjustRightInd w:val="0"/>
        <w:ind w:left="640" w:hanging="640"/>
        <w:rPr>
          <w:noProof/>
        </w:rPr>
      </w:pPr>
      <w:r w:rsidRPr="00C82776">
        <w:rPr>
          <w:noProof/>
        </w:rPr>
        <w:t>[31]</w:t>
      </w:r>
      <w:r w:rsidRPr="00C82776">
        <w:rPr>
          <w:noProof/>
        </w:rPr>
        <w:tab/>
        <w:t>Mathieu JL, Price PN, Kiliccote S, Piette MA. Quantifying changes in building electricity use, with application to demand response. IEEE Trans Smart Grid 2011;2:507–18.</w:t>
      </w:r>
    </w:p>
    <w:p w:rsidR="00C82776" w:rsidRPr="00C82776" w:rsidRDefault="00C82776" w:rsidP="00C82776">
      <w:pPr>
        <w:widowControl w:val="0"/>
        <w:autoSpaceDE w:val="0"/>
        <w:autoSpaceDN w:val="0"/>
        <w:adjustRightInd w:val="0"/>
        <w:ind w:left="640" w:hanging="640"/>
        <w:rPr>
          <w:noProof/>
        </w:rPr>
      </w:pPr>
      <w:r w:rsidRPr="00C82776">
        <w:rPr>
          <w:noProof/>
        </w:rPr>
        <w:t>[32]</w:t>
      </w:r>
      <w:r w:rsidRPr="00C82776">
        <w:rPr>
          <w:noProof/>
        </w:rPr>
        <w:tab/>
        <w:t>Kissock JK, Haberl JS, Claridge DE. Inverse modeling toolkit: numerical algorithms. ASHRAE Trans 2003;109:425.</w:t>
      </w:r>
    </w:p>
    <w:p w:rsidR="00C82776" w:rsidRPr="00C82776" w:rsidRDefault="00C82776" w:rsidP="00C82776">
      <w:pPr>
        <w:widowControl w:val="0"/>
        <w:autoSpaceDE w:val="0"/>
        <w:autoSpaceDN w:val="0"/>
        <w:adjustRightInd w:val="0"/>
        <w:ind w:left="640" w:hanging="640"/>
        <w:rPr>
          <w:noProof/>
        </w:rPr>
      </w:pPr>
      <w:r w:rsidRPr="00C82776">
        <w:rPr>
          <w:noProof/>
        </w:rPr>
        <w:t>[33]</w:t>
      </w:r>
      <w:r w:rsidRPr="00C82776">
        <w:rPr>
          <w:noProof/>
        </w:rPr>
        <w:tab/>
        <w:t>Paulus MT, Claridge DE, Culp C. Algorithm for automating the selection of a temperature dependent change point model. Energy Build 2015;87:95–104. https://doi.org/https://doi.org/10.1016/j.enbuild.2014.11.033.</w:t>
      </w:r>
    </w:p>
    <w:p w:rsidR="00C82776" w:rsidRPr="00C82776" w:rsidRDefault="00C82776" w:rsidP="00C82776">
      <w:pPr>
        <w:widowControl w:val="0"/>
        <w:autoSpaceDE w:val="0"/>
        <w:autoSpaceDN w:val="0"/>
        <w:adjustRightInd w:val="0"/>
        <w:ind w:left="640" w:hanging="640"/>
        <w:rPr>
          <w:noProof/>
        </w:rPr>
      </w:pPr>
      <w:r w:rsidRPr="00C82776">
        <w:rPr>
          <w:noProof/>
        </w:rPr>
        <w:t>[34]</w:t>
      </w:r>
      <w:r w:rsidRPr="00C82776">
        <w:rPr>
          <w:noProof/>
        </w:rPr>
        <w:tab/>
        <w:t>Paulus MT. Algorithm for explicit solution to the three parameter linear change-point regression model. Sci Technol Built Environ 2017;23:1026–35.</w:t>
      </w:r>
    </w:p>
    <w:p w:rsidR="00C82776" w:rsidRPr="00C82776" w:rsidRDefault="00C82776" w:rsidP="00C82776">
      <w:pPr>
        <w:widowControl w:val="0"/>
        <w:autoSpaceDE w:val="0"/>
        <w:autoSpaceDN w:val="0"/>
        <w:adjustRightInd w:val="0"/>
        <w:ind w:left="640" w:hanging="640"/>
        <w:rPr>
          <w:noProof/>
        </w:rPr>
      </w:pPr>
      <w:r w:rsidRPr="00C82776">
        <w:rPr>
          <w:noProof/>
        </w:rPr>
        <w:t>[35]</w:t>
      </w:r>
      <w:r w:rsidRPr="00C82776">
        <w:rPr>
          <w:noProof/>
        </w:rPr>
        <w:tab/>
        <w:t>ISO 15927-6:2007 Hygrothermal performance of buildings — Calculation and presentation of climatic data — Part 6: Accumulated temperature differences (degree-days).</w:t>
      </w:r>
    </w:p>
    <w:p w:rsidR="00C82776" w:rsidRPr="00C82776" w:rsidRDefault="00C82776" w:rsidP="00C82776">
      <w:pPr>
        <w:widowControl w:val="0"/>
        <w:autoSpaceDE w:val="0"/>
        <w:autoSpaceDN w:val="0"/>
        <w:adjustRightInd w:val="0"/>
        <w:ind w:left="640" w:hanging="640"/>
        <w:rPr>
          <w:noProof/>
        </w:rPr>
      </w:pPr>
      <w:r w:rsidRPr="00C82776">
        <w:rPr>
          <w:noProof/>
        </w:rPr>
        <w:t>[36]</w:t>
      </w:r>
      <w:r w:rsidRPr="00C82776">
        <w:rPr>
          <w:noProof/>
        </w:rPr>
        <w:tab/>
        <w:t>ISO 50006:2014, Energy management systems — Measuring energy performance using energy baselines (EnB) and energy performance indicators (EnPI) — General principles and guidance.</w:t>
      </w:r>
    </w:p>
    <w:p w:rsidR="00C82776" w:rsidRPr="00C82776" w:rsidRDefault="00C82776" w:rsidP="00C82776">
      <w:pPr>
        <w:widowControl w:val="0"/>
        <w:autoSpaceDE w:val="0"/>
        <w:autoSpaceDN w:val="0"/>
        <w:adjustRightInd w:val="0"/>
        <w:ind w:left="640" w:hanging="640"/>
        <w:rPr>
          <w:noProof/>
        </w:rPr>
      </w:pPr>
      <w:r w:rsidRPr="00C82776">
        <w:rPr>
          <w:noProof/>
        </w:rPr>
        <w:t>[37]</w:t>
      </w:r>
      <w:r w:rsidRPr="00C82776">
        <w:rPr>
          <w:noProof/>
        </w:rPr>
        <w:tab/>
        <w:t>ISO 16346:2013, Energy performance of buildings — Assessment of overall energy performance.</w:t>
      </w:r>
    </w:p>
    <w:p w:rsidR="00C82776" w:rsidRPr="00C82776" w:rsidRDefault="00C82776" w:rsidP="00C82776">
      <w:pPr>
        <w:widowControl w:val="0"/>
        <w:autoSpaceDE w:val="0"/>
        <w:autoSpaceDN w:val="0"/>
        <w:adjustRightInd w:val="0"/>
        <w:ind w:left="640" w:hanging="640"/>
        <w:rPr>
          <w:noProof/>
        </w:rPr>
      </w:pPr>
      <w:r w:rsidRPr="00C82776">
        <w:rPr>
          <w:noProof/>
        </w:rPr>
        <w:t>[38]</w:t>
      </w:r>
      <w:r w:rsidRPr="00C82776">
        <w:rPr>
          <w:noProof/>
        </w:rPr>
        <w:tab/>
        <w:t>ISO 50001:2018, Energy management systems - Requirements with guidance for use.</w:t>
      </w:r>
    </w:p>
    <w:p w:rsidR="00C82776" w:rsidRPr="00C82776" w:rsidRDefault="00C82776" w:rsidP="00C82776">
      <w:pPr>
        <w:widowControl w:val="0"/>
        <w:autoSpaceDE w:val="0"/>
        <w:autoSpaceDN w:val="0"/>
        <w:adjustRightInd w:val="0"/>
        <w:ind w:left="640" w:hanging="640"/>
        <w:rPr>
          <w:noProof/>
        </w:rPr>
      </w:pPr>
      <w:r w:rsidRPr="00C82776">
        <w:rPr>
          <w:noProof/>
        </w:rPr>
        <w:t>[39]</w:t>
      </w:r>
      <w:r w:rsidRPr="00C82776">
        <w:rPr>
          <w:noProof/>
        </w:rPr>
        <w:tab/>
        <w:t>Bauwens G, Roels S. Co-heating test: A state-of-the-art. Energy Build 2014;82:163–72. https://doi.org/https://doi.org/10.1016/j.enbuild.2014.04.039.</w:t>
      </w:r>
    </w:p>
    <w:p w:rsidR="00C82776" w:rsidRPr="00C82776" w:rsidRDefault="00C82776" w:rsidP="00C82776">
      <w:pPr>
        <w:widowControl w:val="0"/>
        <w:autoSpaceDE w:val="0"/>
        <w:autoSpaceDN w:val="0"/>
        <w:adjustRightInd w:val="0"/>
        <w:ind w:left="640" w:hanging="640"/>
        <w:rPr>
          <w:noProof/>
        </w:rPr>
      </w:pPr>
      <w:r w:rsidRPr="00C82776">
        <w:rPr>
          <w:noProof/>
        </w:rPr>
        <w:t>[40]</w:t>
      </w:r>
      <w:r w:rsidRPr="00C82776">
        <w:rPr>
          <w:noProof/>
        </w:rPr>
        <w:tab/>
        <w:t>Jack R, Loveday D, Allinson D, Lomas K. First evidence for the reliability of building co-heating tests. Build Res Inf 2018;46:383–401. https://doi.org/10.1080/09613218.2017.1299523.</w:t>
      </w:r>
    </w:p>
    <w:p w:rsidR="00C82776" w:rsidRPr="00C82776" w:rsidRDefault="00C82776" w:rsidP="00C82776">
      <w:pPr>
        <w:widowControl w:val="0"/>
        <w:autoSpaceDE w:val="0"/>
        <w:autoSpaceDN w:val="0"/>
        <w:adjustRightInd w:val="0"/>
        <w:ind w:left="640" w:hanging="640"/>
        <w:rPr>
          <w:noProof/>
        </w:rPr>
      </w:pPr>
      <w:r w:rsidRPr="00C82776">
        <w:rPr>
          <w:noProof/>
        </w:rPr>
        <w:t>[41]</w:t>
      </w:r>
      <w:r w:rsidRPr="00C82776">
        <w:rPr>
          <w:noProof/>
        </w:rPr>
        <w:tab/>
        <w:t>Li M, Allinson D, Lomas K. Estimation of building heat transfer coefficients from in-use data. Int J Build Pathol Adapt 2020;38:38–50. https://doi.org/10.1108/IJBPA-02-2019-0022.</w:t>
      </w:r>
    </w:p>
    <w:p w:rsidR="00C82776" w:rsidRPr="00C82776" w:rsidRDefault="00C82776" w:rsidP="00C82776">
      <w:pPr>
        <w:widowControl w:val="0"/>
        <w:autoSpaceDE w:val="0"/>
        <w:autoSpaceDN w:val="0"/>
        <w:adjustRightInd w:val="0"/>
        <w:ind w:left="640" w:hanging="640"/>
        <w:rPr>
          <w:noProof/>
        </w:rPr>
      </w:pPr>
      <w:r w:rsidRPr="00C82776">
        <w:rPr>
          <w:noProof/>
        </w:rPr>
        <w:t>[42]</w:t>
      </w:r>
      <w:r w:rsidRPr="00C82776">
        <w:rPr>
          <w:noProof/>
        </w:rPr>
        <w:tab/>
        <w:t>Tronchin L, Manfren M, Tagliabue LC. Optimization of building energy performance by means of multi-scale analysis – Lessons learned from case studies. Sustain Cities Soc 2016;27:296–306. https://doi.org/https://doi.org/10.1016/j.scs.2015.11.003.</w:t>
      </w:r>
    </w:p>
    <w:p w:rsidR="00C82776" w:rsidRPr="00C82776" w:rsidRDefault="00C82776" w:rsidP="00C82776">
      <w:pPr>
        <w:widowControl w:val="0"/>
        <w:autoSpaceDE w:val="0"/>
        <w:autoSpaceDN w:val="0"/>
        <w:adjustRightInd w:val="0"/>
        <w:ind w:left="640" w:hanging="640"/>
        <w:rPr>
          <w:noProof/>
        </w:rPr>
      </w:pPr>
      <w:r w:rsidRPr="00C82776">
        <w:rPr>
          <w:noProof/>
        </w:rPr>
        <w:t>[43]</w:t>
      </w:r>
      <w:r w:rsidRPr="00C82776">
        <w:rPr>
          <w:noProof/>
        </w:rPr>
        <w:tab/>
        <w:t>Vesterberg J, Andersson S, Olofsson T. Robustness of a regression approach, aimed for calibration of whole building energy simulation tools. Energy Build 2014;81:430–4. https://doi.org/https://doi.org/10.1016/j.enbuild.2014.06.035.</w:t>
      </w:r>
    </w:p>
    <w:p w:rsidR="00C82776" w:rsidRPr="00C82776" w:rsidRDefault="00C82776" w:rsidP="00C82776">
      <w:pPr>
        <w:widowControl w:val="0"/>
        <w:autoSpaceDE w:val="0"/>
        <w:autoSpaceDN w:val="0"/>
        <w:adjustRightInd w:val="0"/>
        <w:ind w:left="640" w:hanging="640"/>
        <w:rPr>
          <w:noProof/>
        </w:rPr>
      </w:pPr>
      <w:r w:rsidRPr="00C82776">
        <w:rPr>
          <w:noProof/>
        </w:rPr>
        <w:t>[44]</w:t>
      </w:r>
      <w:r w:rsidRPr="00C82776">
        <w:rPr>
          <w:noProof/>
        </w:rPr>
        <w:tab/>
        <w:t>Braga LC, Braga AR, Braga CMP. On the characterization and monitoring of building energy demand using statistical process control methodologies. Energy Build 2013;65:205–19. https://doi.org/https://doi.org/10.1016/j.enbuild.2013.05.002.</w:t>
      </w:r>
    </w:p>
    <w:p w:rsidR="00C82776" w:rsidRPr="00C82776" w:rsidRDefault="00C82776" w:rsidP="00C82776">
      <w:pPr>
        <w:widowControl w:val="0"/>
        <w:autoSpaceDE w:val="0"/>
        <w:autoSpaceDN w:val="0"/>
        <w:adjustRightInd w:val="0"/>
        <w:ind w:left="640" w:hanging="640"/>
        <w:rPr>
          <w:noProof/>
        </w:rPr>
      </w:pPr>
      <w:r w:rsidRPr="00C82776">
        <w:rPr>
          <w:noProof/>
        </w:rPr>
        <w:t>[45]</w:t>
      </w:r>
      <w:r w:rsidRPr="00C82776">
        <w:rPr>
          <w:noProof/>
        </w:rPr>
        <w:tab/>
        <w:t>Flores M, Naya S, Fernández-Casal R, Zaragoza S, Raña P, Tarrío-Saavedra J. Constructing a Control Chart Using Functional Data. Math  2020;8. https://doi.org/10.3390/math8010058.</w:t>
      </w:r>
    </w:p>
    <w:p w:rsidR="00C82776" w:rsidRPr="00C82776" w:rsidRDefault="00C82776" w:rsidP="00C82776">
      <w:pPr>
        <w:widowControl w:val="0"/>
        <w:autoSpaceDE w:val="0"/>
        <w:autoSpaceDN w:val="0"/>
        <w:adjustRightInd w:val="0"/>
        <w:ind w:left="640" w:hanging="640"/>
        <w:rPr>
          <w:noProof/>
        </w:rPr>
      </w:pPr>
      <w:r w:rsidRPr="00C82776">
        <w:rPr>
          <w:noProof/>
        </w:rPr>
        <w:t>[46]</w:t>
      </w:r>
      <w:r w:rsidRPr="00C82776">
        <w:rPr>
          <w:noProof/>
        </w:rPr>
        <w:tab/>
        <w:t>Fichera A, Volpe R, Cutore E. Energy performance measurement, monitoring and control for buildings of public organizations: Standardized practises compliant with the ISO 50001 and ISO 50006. Dev Built Environ 2020;4:100024. https://doi.org/https://doi.org/10.1016/j.dibe.2020.100024.</w:t>
      </w:r>
    </w:p>
    <w:p w:rsidR="00C82776" w:rsidRPr="00C82776" w:rsidRDefault="00C82776" w:rsidP="00C82776">
      <w:pPr>
        <w:widowControl w:val="0"/>
        <w:autoSpaceDE w:val="0"/>
        <w:autoSpaceDN w:val="0"/>
        <w:adjustRightInd w:val="0"/>
        <w:ind w:left="640" w:hanging="640"/>
        <w:rPr>
          <w:noProof/>
        </w:rPr>
      </w:pPr>
      <w:r w:rsidRPr="00C82776">
        <w:rPr>
          <w:noProof/>
        </w:rPr>
        <w:t>[47]</w:t>
      </w:r>
      <w:r w:rsidRPr="00C82776">
        <w:rPr>
          <w:noProof/>
        </w:rPr>
        <w:tab/>
        <w:t xml:space="preserve">Lin M-H, Carlsson JG, Ge D, Shi J, Tsai J-F. A Review of Piecewise </w:t>
      </w:r>
      <w:r w:rsidRPr="00C82776">
        <w:rPr>
          <w:noProof/>
        </w:rPr>
        <w:lastRenderedPageBreak/>
        <w:t>Linearization Methods. Math Probl Eng 2013;2013:101376. https://doi.org/10.1155/2013/101376.</w:t>
      </w:r>
    </w:p>
    <w:p w:rsidR="00C82776" w:rsidRPr="00C82776" w:rsidRDefault="00C82776" w:rsidP="00C82776">
      <w:pPr>
        <w:widowControl w:val="0"/>
        <w:autoSpaceDE w:val="0"/>
        <w:autoSpaceDN w:val="0"/>
        <w:adjustRightInd w:val="0"/>
        <w:ind w:left="640" w:hanging="640"/>
        <w:rPr>
          <w:noProof/>
        </w:rPr>
      </w:pPr>
      <w:r w:rsidRPr="00C82776">
        <w:rPr>
          <w:noProof/>
        </w:rPr>
        <w:t>[48]</w:t>
      </w:r>
      <w:r w:rsidRPr="00C82776">
        <w:rPr>
          <w:noProof/>
        </w:rPr>
        <w:tab/>
        <w:t>Bemporad A. Piecewise linear regression and classification 2021. https://doi.org/10.48550/ARXIV.2103.06189.</w:t>
      </w:r>
    </w:p>
    <w:p w:rsidR="00C82776" w:rsidRPr="00C82776" w:rsidRDefault="00C82776" w:rsidP="00C82776">
      <w:pPr>
        <w:widowControl w:val="0"/>
        <w:autoSpaceDE w:val="0"/>
        <w:autoSpaceDN w:val="0"/>
        <w:adjustRightInd w:val="0"/>
        <w:ind w:left="640" w:hanging="640"/>
        <w:rPr>
          <w:noProof/>
        </w:rPr>
      </w:pPr>
      <w:r w:rsidRPr="00C82776">
        <w:rPr>
          <w:noProof/>
        </w:rPr>
        <w:t>[49]</w:t>
      </w:r>
      <w:r w:rsidRPr="00C82776">
        <w:rPr>
          <w:noProof/>
        </w:rPr>
        <w:tab/>
        <w:t>Borgeson SD. Targeted efficiency: Using customer meter data to improve efficiency program outcomes. University of California, Berkeley; 2013.</w:t>
      </w:r>
    </w:p>
    <w:p w:rsidR="00C82776" w:rsidRPr="00C82776" w:rsidRDefault="00C82776" w:rsidP="00C82776">
      <w:pPr>
        <w:widowControl w:val="0"/>
        <w:autoSpaceDE w:val="0"/>
        <w:autoSpaceDN w:val="0"/>
        <w:adjustRightInd w:val="0"/>
        <w:ind w:left="640" w:hanging="640"/>
        <w:rPr>
          <w:noProof/>
        </w:rPr>
      </w:pPr>
      <w:r w:rsidRPr="00C82776">
        <w:rPr>
          <w:noProof/>
        </w:rPr>
        <w:t>[50]</w:t>
      </w:r>
      <w:r w:rsidRPr="00C82776">
        <w:rPr>
          <w:noProof/>
        </w:rPr>
        <w:tab/>
        <w:t>Bollinger LA, Davis CB, Evins R, Chappin EJL, Nikolic I. Multi-model ecologies for shaping future energy systems: Design patterns and development paths. Renew Sustain Energy Rev 2018;82:3441–51. https://doi.org/https://doi.org/10.1016/j.rser.2017.10.047.</w:t>
      </w:r>
    </w:p>
    <w:p w:rsidR="00C82776" w:rsidRPr="00C82776" w:rsidRDefault="00C82776" w:rsidP="00C82776">
      <w:pPr>
        <w:widowControl w:val="0"/>
        <w:autoSpaceDE w:val="0"/>
        <w:autoSpaceDN w:val="0"/>
        <w:adjustRightInd w:val="0"/>
        <w:ind w:left="640" w:hanging="640"/>
        <w:rPr>
          <w:noProof/>
        </w:rPr>
      </w:pPr>
      <w:r w:rsidRPr="00C82776">
        <w:rPr>
          <w:noProof/>
        </w:rPr>
        <w:t>[51]</w:t>
      </w:r>
      <w:r w:rsidRPr="00C82776">
        <w:rPr>
          <w:noProof/>
        </w:rPr>
        <w:tab/>
        <w:t>Tronchin L, Manfren M, James PAB. Linking design and operation performance analysis through model calibration: Parametric assessment on a Passive House building. Energy 2018;165:26–40. https://doi.org/https://doi.org/10.1016/j.energy.2018.09.037.</w:t>
      </w:r>
    </w:p>
    <w:p w:rsidR="00C82776" w:rsidRPr="00C82776" w:rsidRDefault="00C82776" w:rsidP="00C82776">
      <w:pPr>
        <w:widowControl w:val="0"/>
        <w:autoSpaceDE w:val="0"/>
        <w:autoSpaceDN w:val="0"/>
        <w:adjustRightInd w:val="0"/>
        <w:ind w:left="640" w:hanging="640"/>
        <w:rPr>
          <w:noProof/>
        </w:rPr>
      </w:pPr>
      <w:r w:rsidRPr="00C82776">
        <w:rPr>
          <w:noProof/>
        </w:rPr>
        <w:t>[52]</w:t>
      </w:r>
      <w:r w:rsidRPr="00C82776">
        <w:rPr>
          <w:noProof/>
        </w:rPr>
        <w:tab/>
        <w:t>Fumo N, Torres MJ, Broomfield K. A multiple regression approach for calibration of residential building energy models. J Build Eng 2021;43:102874. https://doi.org/https://doi.org/10.1016/j.jobe.2021.102874.</w:t>
      </w:r>
    </w:p>
    <w:p w:rsidR="00C82776" w:rsidRPr="00C82776" w:rsidRDefault="00C82776" w:rsidP="00C82776">
      <w:pPr>
        <w:widowControl w:val="0"/>
        <w:autoSpaceDE w:val="0"/>
        <w:autoSpaceDN w:val="0"/>
        <w:adjustRightInd w:val="0"/>
        <w:ind w:left="640" w:hanging="640"/>
        <w:rPr>
          <w:noProof/>
        </w:rPr>
      </w:pPr>
      <w:r w:rsidRPr="00C82776">
        <w:rPr>
          <w:noProof/>
        </w:rPr>
        <w:t>[53]</w:t>
      </w:r>
      <w:r w:rsidRPr="00C82776">
        <w:rPr>
          <w:noProof/>
        </w:rPr>
        <w:tab/>
        <w:t>Lee K, Baek H-J, Cho C. The Estimation of Base Temperature for Heating and Cooling Degree-Days for South Korea. J Appl Meteorol Climatol 2014;53:300–9.</w:t>
      </w:r>
    </w:p>
    <w:p w:rsidR="00C82776" w:rsidRPr="00C82776" w:rsidRDefault="00C82776" w:rsidP="00C82776">
      <w:pPr>
        <w:widowControl w:val="0"/>
        <w:autoSpaceDE w:val="0"/>
        <w:autoSpaceDN w:val="0"/>
        <w:adjustRightInd w:val="0"/>
        <w:ind w:left="640" w:hanging="640"/>
        <w:rPr>
          <w:noProof/>
        </w:rPr>
      </w:pPr>
      <w:r w:rsidRPr="00C82776">
        <w:rPr>
          <w:noProof/>
        </w:rPr>
        <w:t>[54]</w:t>
      </w:r>
      <w:r w:rsidRPr="00C82776">
        <w:rPr>
          <w:noProof/>
        </w:rPr>
        <w:tab/>
        <w:t>Meng Q, Mourshed M. Degree-day based non-domestic building energy analytics and modelling should use building and type specific base temperatures. Energy Build 2017;155:260–8. https://doi.org/https://doi.org/10.1016/j.enbuild.2017.09.034.</w:t>
      </w:r>
    </w:p>
    <w:p w:rsidR="00C82776" w:rsidRPr="00C82776" w:rsidRDefault="00C82776" w:rsidP="00C82776">
      <w:pPr>
        <w:widowControl w:val="0"/>
        <w:autoSpaceDE w:val="0"/>
        <w:autoSpaceDN w:val="0"/>
        <w:adjustRightInd w:val="0"/>
        <w:ind w:left="640" w:hanging="640"/>
        <w:rPr>
          <w:noProof/>
        </w:rPr>
      </w:pPr>
      <w:r w:rsidRPr="00C82776">
        <w:rPr>
          <w:noProof/>
        </w:rPr>
        <w:t>[55]</w:t>
      </w:r>
      <w:r w:rsidRPr="00C82776">
        <w:rPr>
          <w:noProof/>
        </w:rPr>
        <w:tab/>
        <w:t>Peña Suárez JN, del Campo Díaz VJ. Degree-days in a Caribbean and tropical country: the Dominican Republic’s case. Int J Ambient Energy 2021;42:795–800. https://doi.org/10.1080/01430750.2019.1566175.</w:t>
      </w:r>
    </w:p>
    <w:p w:rsidR="00C82776" w:rsidRPr="00C82776" w:rsidRDefault="00C82776" w:rsidP="00C82776">
      <w:pPr>
        <w:widowControl w:val="0"/>
        <w:autoSpaceDE w:val="0"/>
        <w:autoSpaceDN w:val="0"/>
        <w:adjustRightInd w:val="0"/>
        <w:ind w:left="640" w:hanging="640"/>
        <w:rPr>
          <w:noProof/>
        </w:rPr>
      </w:pPr>
      <w:r w:rsidRPr="00C82776">
        <w:rPr>
          <w:noProof/>
        </w:rPr>
        <w:t>[56]</w:t>
      </w:r>
      <w:r w:rsidRPr="00C82776">
        <w:rPr>
          <w:noProof/>
        </w:rPr>
        <w:tab/>
        <w:t>Uncertainty Assessment for IPMVP, International Performance Measurement &amp; Verification Protocol, Efficiency Valuation Organization (EVO) n.d.</w:t>
      </w:r>
    </w:p>
    <w:p w:rsidR="00C82776" w:rsidRPr="00C82776" w:rsidRDefault="00C82776" w:rsidP="00C82776">
      <w:pPr>
        <w:widowControl w:val="0"/>
        <w:autoSpaceDE w:val="0"/>
        <w:autoSpaceDN w:val="0"/>
        <w:adjustRightInd w:val="0"/>
        <w:ind w:left="640" w:hanging="640"/>
        <w:rPr>
          <w:noProof/>
        </w:rPr>
      </w:pPr>
      <w:r w:rsidRPr="00C82776">
        <w:rPr>
          <w:noProof/>
        </w:rPr>
        <w:t>[57]</w:t>
      </w:r>
      <w:r w:rsidRPr="00C82776">
        <w:rPr>
          <w:noProof/>
        </w:rPr>
        <w:tab/>
        <w:t>Centofanti F, Lepore A, Menafoglio A, Palumbo B, Vantini S. Functional Regression Control Chart. Technometrics 2021;63:281–94. https://doi.org/10.1080/00401706.2020.1753581.</w:t>
      </w:r>
    </w:p>
    <w:p w:rsidR="00C82776" w:rsidRPr="00C82776" w:rsidRDefault="00C82776" w:rsidP="00C82776">
      <w:pPr>
        <w:widowControl w:val="0"/>
        <w:autoSpaceDE w:val="0"/>
        <w:autoSpaceDN w:val="0"/>
        <w:adjustRightInd w:val="0"/>
        <w:ind w:left="640" w:hanging="640"/>
        <w:rPr>
          <w:noProof/>
        </w:rPr>
      </w:pPr>
      <w:r w:rsidRPr="00C82776">
        <w:rPr>
          <w:noProof/>
        </w:rPr>
        <w:t>[58]</w:t>
      </w:r>
      <w:r w:rsidRPr="00C82776">
        <w:rPr>
          <w:noProof/>
        </w:rPr>
        <w:tab/>
        <w:t>Vesterberg J, Andersson S, Olofsson T. A single-variate building energy signature approach for periods with substantial solar gain. Energy Build 2016;122:185–91. https://doi.org/https://doi.org/10.1016/j.enbuild.2016.04.040.</w:t>
      </w:r>
    </w:p>
    <w:p w:rsidR="00C82776" w:rsidRPr="00C82776" w:rsidRDefault="00C82776" w:rsidP="00C82776">
      <w:pPr>
        <w:widowControl w:val="0"/>
        <w:autoSpaceDE w:val="0"/>
        <w:autoSpaceDN w:val="0"/>
        <w:adjustRightInd w:val="0"/>
        <w:ind w:left="640" w:hanging="640"/>
        <w:rPr>
          <w:noProof/>
        </w:rPr>
      </w:pPr>
      <w:r w:rsidRPr="00C82776">
        <w:rPr>
          <w:noProof/>
        </w:rPr>
        <w:t>[59]</w:t>
      </w:r>
      <w:r w:rsidRPr="00C82776">
        <w:rPr>
          <w:noProof/>
        </w:rPr>
        <w:tab/>
        <w:t>Abushakra B, Reddy A, Singh V. ASHRAE Research Project Report 1404-RP, Measurement, Modeling, Analysis and Reporting Protocols for Short-term M&amp;V of Whole Building Energy Performance, Arizona State University, USA. 2012.</w:t>
      </w:r>
    </w:p>
    <w:p w:rsidR="00C82776" w:rsidRPr="00C82776" w:rsidRDefault="00C82776" w:rsidP="00C82776">
      <w:pPr>
        <w:widowControl w:val="0"/>
        <w:autoSpaceDE w:val="0"/>
        <w:autoSpaceDN w:val="0"/>
        <w:adjustRightInd w:val="0"/>
        <w:ind w:left="640" w:hanging="640"/>
        <w:rPr>
          <w:noProof/>
        </w:rPr>
      </w:pPr>
      <w:r w:rsidRPr="00C82776">
        <w:rPr>
          <w:noProof/>
        </w:rPr>
        <w:t>[60]</w:t>
      </w:r>
      <w:r w:rsidRPr="00C82776">
        <w:rPr>
          <w:noProof/>
        </w:rPr>
        <w:tab/>
        <w:t>EN 14511-2:2018 Air conditioners, liquid chilling packages and heat pumps for space heating and cooling and process chillers, with electrically driven compressors. Test conditions.</w:t>
      </w:r>
    </w:p>
    <w:p w:rsidR="00C82776" w:rsidRPr="00BD2AFA" w:rsidRDefault="00C82776" w:rsidP="00C82776">
      <w:pPr>
        <w:widowControl w:val="0"/>
        <w:autoSpaceDE w:val="0"/>
        <w:autoSpaceDN w:val="0"/>
        <w:adjustRightInd w:val="0"/>
        <w:ind w:left="640" w:hanging="640"/>
        <w:rPr>
          <w:noProof/>
          <w:lang w:val="en-GB"/>
        </w:rPr>
      </w:pPr>
      <w:r w:rsidRPr="00C82776">
        <w:rPr>
          <w:noProof/>
        </w:rPr>
        <w:t>[61]</w:t>
      </w:r>
      <w:r w:rsidRPr="00C82776">
        <w:rPr>
          <w:noProof/>
        </w:rPr>
        <w:tab/>
        <w:t xml:space="preserve">EN 14825:2018 Air conditioners, liquid chilling packages and heat pumps, with electrically driven compressors, for space heating and cooling. </w:t>
      </w:r>
      <w:r w:rsidRPr="00BD2AFA">
        <w:rPr>
          <w:noProof/>
          <w:lang w:val="en-GB"/>
        </w:rPr>
        <w:t>Testing and rating at part load conditions and calculation of seasonal performance.</w:t>
      </w:r>
    </w:p>
    <w:p w:rsidR="00C82776" w:rsidRPr="00C82776" w:rsidRDefault="00C82776" w:rsidP="00C82776">
      <w:pPr>
        <w:widowControl w:val="0"/>
        <w:autoSpaceDE w:val="0"/>
        <w:autoSpaceDN w:val="0"/>
        <w:adjustRightInd w:val="0"/>
        <w:ind w:left="640" w:hanging="640"/>
        <w:rPr>
          <w:noProof/>
        </w:rPr>
      </w:pPr>
      <w:r w:rsidRPr="00C82776">
        <w:rPr>
          <w:noProof/>
        </w:rPr>
        <w:t>[62]</w:t>
      </w:r>
      <w:r w:rsidRPr="00C82776">
        <w:rPr>
          <w:noProof/>
        </w:rPr>
        <w:tab/>
        <w:t>Manfren M, Nastasi B, Tronchin L, Groppi D, Garcia DA. Techno-economic analysis and energy modelling as a key enablers for smart energy services and technologies in buildings. Renew Sustain Energy Rev 2021;150:111490. https://doi.org/https://doi.org/10.1016/j.rser.2021.111490.</w:t>
      </w:r>
    </w:p>
    <w:p w:rsidR="00D60FEC" w:rsidRPr="00D60FEC" w:rsidRDefault="0072587C" w:rsidP="0072587C">
      <w:pPr>
        <w:rPr>
          <w:lang w:val="en-GB" w:eastAsia="x-none"/>
        </w:rPr>
      </w:pPr>
      <w:r>
        <w:rPr>
          <w:lang w:val="en-GB" w:eastAsia="x-none"/>
        </w:rPr>
        <w:fldChar w:fldCharType="end"/>
      </w:r>
    </w:p>
    <w:sectPr w:rsidR="00D60FEC" w:rsidRPr="00D60FEC" w:rsidSect="00E47BE8">
      <w:footerReference w:type="even" r:id="rId29"/>
      <w:footerReference w:type="default" r:id="rId30"/>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5A1" w:rsidRDefault="002665A1">
      <w:r>
        <w:separator/>
      </w:r>
    </w:p>
  </w:endnote>
  <w:endnote w:type="continuationSeparator" w:id="0">
    <w:p w:rsidR="002665A1" w:rsidRDefault="00266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tar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slon Book BE Regular">
    <w:altName w:val="Caslon Book BE Regular"/>
    <w:panose1 w:val="00000000000000000000"/>
    <w:charset w:val="00"/>
    <w:family w:val="roman"/>
    <w:notTrueType/>
    <w:pitch w:val="default"/>
    <w:sig w:usb0="00000003" w:usb1="00000000" w:usb2="00000000" w:usb3="00000000" w:csb0="00000001" w:csb1="00000000"/>
  </w:font>
  <w:font w:name="EUAlbertina">
    <w:altName w:val="EU Albertina"/>
    <w:charset w:val="00"/>
    <w:family w:val="roman"/>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A1" w:rsidRDefault="002665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65A1" w:rsidRDefault="00266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A1" w:rsidRDefault="002665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41C7">
      <w:rPr>
        <w:rStyle w:val="PageNumber"/>
        <w:noProof/>
      </w:rPr>
      <w:t>4</w:t>
    </w:r>
    <w:r>
      <w:rPr>
        <w:rStyle w:val="PageNumber"/>
      </w:rPr>
      <w:fldChar w:fldCharType="end"/>
    </w:r>
  </w:p>
  <w:p w:rsidR="002665A1" w:rsidRDefault="00266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5A1" w:rsidRDefault="002665A1">
      <w:r>
        <w:separator/>
      </w:r>
    </w:p>
  </w:footnote>
  <w:footnote w:type="continuationSeparator" w:id="0">
    <w:p w:rsidR="002665A1" w:rsidRDefault="002665A1">
      <w:r>
        <w:continuationSeparator/>
      </w:r>
    </w:p>
  </w:footnote>
  <w:footnote w:id="1">
    <w:p w:rsidR="002665A1" w:rsidRPr="00EF7A21" w:rsidRDefault="002665A1" w:rsidP="00EF7A21">
      <w:pPr>
        <w:pStyle w:val="FootnoteText"/>
        <w:rPr>
          <w:lang w:val="en-GB"/>
        </w:rPr>
      </w:pPr>
      <w:r w:rsidRPr="00EF7A21">
        <w:rPr>
          <w:rStyle w:val="FootnoteReference"/>
          <w:lang w:val="en-GB"/>
        </w:rPr>
        <w:t>*</w:t>
      </w:r>
      <w:r w:rsidRPr="00EF7A21">
        <w:rPr>
          <w:lang w:val="en-GB"/>
        </w:rPr>
        <w:t xml:space="preserve"> Corresponding author:</w:t>
      </w:r>
    </w:p>
    <w:p w:rsidR="002665A1" w:rsidRPr="00EF7A21" w:rsidRDefault="002665A1" w:rsidP="00EF7A21">
      <w:pPr>
        <w:pStyle w:val="FootnoteText"/>
        <w:rPr>
          <w:lang w:val="en-GB"/>
        </w:rPr>
      </w:pPr>
      <w:r w:rsidRPr="00EF7A21">
        <w:rPr>
          <w:lang w:val="en-GB"/>
        </w:rPr>
        <w:t>Tel: +39 0512093384; fax: +39 0512093384</w:t>
      </w:r>
    </w:p>
    <w:p w:rsidR="002665A1" w:rsidRPr="00EF7A21" w:rsidRDefault="002665A1" w:rsidP="00EF7A21">
      <w:pPr>
        <w:pStyle w:val="FootnoteText"/>
        <w:rPr>
          <w:lang w:val="en-GB"/>
        </w:rPr>
      </w:pPr>
      <w:r w:rsidRPr="00EF7A21">
        <w:rPr>
          <w:lang w:val="en-GB"/>
        </w:rPr>
        <w:t>e-mail: lamberto.tronchin@unibo.it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color w:val="000000"/>
      </w:rPr>
    </w:lvl>
    <w:lvl w:ilvl="1">
      <w:start w:val="1"/>
      <w:numFmt w:val="bullet"/>
      <w:lvlText w:val=""/>
      <w:lvlJc w:val="left"/>
      <w:pPr>
        <w:tabs>
          <w:tab w:val="num" w:pos="1080"/>
        </w:tabs>
        <w:ind w:left="1080" w:hanging="360"/>
      </w:pPr>
      <w:rPr>
        <w:rFonts w:ascii="Wingdings 2" w:hAnsi="Wingdings 2" w:cs="Bookman Old Style"/>
        <w:sz w:val="18"/>
        <w:szCs w:val="18"/>
      </w:rPr>
    </w:lvl>
    <w:lvl w:ilvl="2">
      <w:start w:val="1"/>
      <w:numFmt w:val="bullet"/>
      <w:lvlText w:val="■"/>
      <w:lvlJc w:val="left"/>
      <w:pPr>
        <w:tabs>
          <w:tab w:val="num" w:pos="1440"/>
        </w:tabs>
        <w:ind w:left="1440" w:hanging="360"/>
      </w:pPr>
      <w:rPr>
        <w:rFonts w:ascii="StarSymbol" w:hAnsi="StarSymbol" w:cs="Bookman Old Style"/>
        <w:sz w:val="18"/>
        <w:szCs w:val="18"/>
      </w:rPr>
    </w:lvl>
    <w:lvl w:ilvl="3">
      <w:start w:val="1"/>
      <w:numFmt w:val="bullet"/>
      <w:lvlText w:val=""/>
      <w:lvlJc w:val="left"/>
      <w:pPr>
        <w:tabs>
          <w:tab w:val="num" w:pos="1800"/>
        </w:tabs>
        <w:ind w:left="1800" w:hanging="360"/>
      </w:pPr>
      <w:rPr>
        <w:rFonts w:ascii="Wingdings" w:hAnsi="Wingdings" w:cs="Bookman Old Style"/>
        <w:sz w:val="18"/>
        <w:szCs w:val="18"/>
      </w:rPr>
    </w:lvl>
    <w:lvl w:ilvl="4">
      <w:start w:val="1"/>
      <w:numFmt w:val="bullet"/>
      <w:lvlText w:val=""/>
      <w:lvlJc w:val="left"/>
      <w:pPr>
        <w:tabs>
          <w:tab w:val="num" w:pos="2160"/>
        </w:tabs>
        <w:ind w:left="2160" w:hanging="360"/>
      </w:pPr>
      <w:rPr>
        <w:rFonts w:ascii="Wingdings 2" w:hAnsi="Wingdings 2" w:cs="Bookman Old Style"/>
        <w:sz w:val="18"/>
        <w:szCs w:val="18"/>
      </w:rPr>
    </w:lvl>
    <w:lvl w:ilvl="5">
      <w:start w:val="1"/>
      <w:numFmt w:val="bullet"/>
      <w:lvlText w:val="■"/>
      <w:lvlJc w:val="left"/>
      <w:pPr>
        <w:tabs>
          <w:tab w:val="num" w:pos="2520"/>
        </w:tabs>
        <w:ind w:left="2520" w:hanging="360"/>
      </w:pPr>
      <w:rPr>
        <w:rFonts w:ascii="StarSymbol" w:hAnsi="StarSymbol" w:cs="Bookman Old Style"/>
        <w:sz w:val="18"/>
        <w:szCs w:val="18"/>
      </w:rPr>
    </w:lvl>
    <w:lvl w:ilvl="6">
      <w:start w:val="1"/>
      <w:numFmt w:val="bullet"/>
      <w:lvlText w:val=""/>
      <w:lvlJc w:val="left"/>
      <w:pPr>
        <w:tabs>
          <w:tab w:val="num" w:pos="2880"/>
        </w:tabs>
        <w:ind w:left="2880" w:hanging="360"/>
      </w:pPr>
      <w:rPr>
        <w:rFonts w:ascii="Wingdings" w:hAnsi="Wingdings" w:cs="Bookman Old Style"/>
        <w:sz w:val="18"/>
        <w:szCs w:val="18"/>
      </w:rPr>
    </w:lvl>
    <w:lvl w:ilvl="7">
      <w:start w:val="1"/>
      <w:numFmt w:val="bullet"/>
      <w:lvlText w:val=""/>
      <w:lvlJc w:val="left"/>
      <w:pPr>
        <w:tabs>
          <w:tab w:val="num" w:pos="3240"/>
        </w:tabs>
        <w:ind w:left="3240" w:hanging="360"/>
      </w:pPr>
      <w:rPr>
        <w:rFonts w:ascii="Wingdings 2" w:hAnsi="Wingdings 2" w:cs="Bookman Old Style"/>
        <w:sz w:val="18"/>
        <w:szCs w:val="18"/>
      </w:rPr>
    </w:lvl>
    <w:lvl w:ilvl="8">
      <w:start w:val="1"/>
      <w:numFmt w:val="bullet"/>
      <w:lvlText w:val="■"/>
      <w:lvlJc w:val="left"/>
      <w:pPr>
        <w:tabs>
          <w:tab w:val="num" w:pos="3600"/>
        </w:tabs>
        <w:ind w:left="3600" w:hanging="360"/>
      </w:pPr>
      <w:rPr>
        <w:rFonts w:ascii="StarSymbol" w:hAnsi="StarSymbol" w:cs="Bookman Old Style"/>
        <w:sz w:val="18"/>
        <w:szCs w:val="18"/>
      </w:rPr>
    </w:lvl>
  </w:abstractNum>
  <w:abstractNum w:abstractNumId="1" w15:restartNumberingAfterBreak="0">
    <w:nsid w:val="03B32BFA"/>
    <w:multiLevelType w:val="hybridMultilevel"/>
    <w:tmpl w:val="F69E9B9C"/>
    <w:lvl w:ilvl="0" w:tplc="AABEE7F2">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92733F"/>
    <w:multiLevelType w:val="hybridMultilevel"/>
    <w:tmpl w:val="FEF6C9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0F4599"/>
    <w:multiLevelType w:val="hybridMultilevel"/>
    <w:tmpl w:val="A48E5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A3C6C"/>
    <w:multiLevelType w:val="hybridMultilevel"/>
    <w:tmpl w:val="4E2C6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FB0CD1"/>
    <w:multiLevelType w:val="hybridMultilevel"/>
    <w:tmpl w:val="DE1A4D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EA1743"/>
    <w:multiLevelType w:val="hybridMultilevel"/>
    <w:tmpl w:val="4FF01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F237D1"/>
    <w:multiLevelType w:val="multilevel"/>
    <w:tmpl w:val="7ECA8512"/>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0" w:firstLine="340"/>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9" w15:restartNumberingAfterBreak="0">
    <w:nsid w:val="460B4669"/>
    <w:multiLevelType w:val="hybridMultilevel"/>
    <w:tmpl w:val="BCD24A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E71632D"/>
    <w:multiLevelType w:val="hybridMultilevel"/>
    <w:tmpl w:val="FD601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C032E5"/>
    <w:multiLevelType w:val="hybridMultilevel"/>
    <w:tmpl w:val="4E2C6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10"/>
  </w:num>
  <w:num w:numId="3">
    <w:abstractNumId w:val="13"/>
  </w:num>
  <w:num w:numId="4">
    <w:abstractNumId w:val="6"/>
  </w:num>
  <w:num w:numId="5">
    <w:abstractNumId w:val="7"/>
  </w:num>
  <w:num w:numId="6">
    <w:abstractNumId w:val="9"/>
  </w:num>
  <w:num w:numId="7">
    <w:abstractNumId w:val="12"/>
  </w:num>
  <w:num w:numId="8">
    <w:abstractNumId w:val="8"/>
  </w:num>
  <w:num w:numId="9">
    <w:abstractNumId w:val="2"/>
  </w:num>
  <w:num w:numId="10">
    <w:abstractNumId w:val="1"/>
  </w:num>
  <w:num w:numId="11">
    <w:abstractNumId w:val="4"/>
  </w:num>
  <w:num w:numId="12">
    <w:abstractNumId w:val="11"/>
  </w:num>
  <w:num w:numId="13">
    <w:abstractNumId w:val="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fren M.">
    <w15:presenceInfo w15:providerId="AD" w15:userId="S-1-5-21-2015846570-11164191-355810188-90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ctiveWritingStyle w:appName="MSWord" w:lang="it-IT" w:vendorID="64" w:dllVersion="131078" w:nlCheck="1" w:checkStyle="0"/>
  <w:activeWritingStyle w:appName="MSWord" w:lang="fr-FR" w:vendorID="64" w:dllVersion="131078" w:nlCheck="1" w:checkStyle="1"/>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s-ES" w:vendorID="64" w:dllVersion="131078" w:nlCheck="1" w:checkStyle="1"/>
  <w:proofState w:spelling="clean" w:grammar="clean"/>
  <w:defaultTabStop w:val="709"/>
  <w:hyphenationZone w:val="283"/>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newable Sustain Energy Rev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B5C37"/>
    <w:rsid w:val="00000212"/>
    <w:rsid w:val="00000247"/>
    <w:rsid w:val="00000429"/>
    <w:rsid w:val="000006F7"/>
    <w:rsid w:val="000006FA"/>
    <w:rsid w:val="0000080F"/>
    <w:rsid w:val="00000C7C"/>
    <w:rsid w:val="00000F5B"/>
    <w:rsid w:val="000011A0"/>
    <w:rsid w:val="000013A7"/>
    <w:rsid w:val="000015BA"/>
    <w:rsid w:val="00001B5B"/>
    <w:rsid w:val="00001B5E"/>
    <w:rsid w:val="00001C7E"/>
    <w:rsid w:val="0000257B"/>
    <w:rsid w:val="000025BE"/>
    <w:rsid w:val="000027C3"/>
    <w:rsid w:val="0000301E"/>
    <w:rsid w:val="00003091"/>
    <w:rsid w:val="000032B8"/>
    <w:rsid w:val="00003676"/>
    <w:rsid w:val="00003695"/>
    <w:rsid w:val="000036CB"/>
    <w:rsid w:val="000036D4"/>
    <w:rsid w:val="0000372E"/>
    <w:rsid w:val="00003B23"/>
    <w:rsid w:val="00003C96"/>
    <w:rsid w:val="00003CAC"/>
    <w:rsid w:val="00003EFC"/>
    <w:rsid w:val="00004169"/>
    <w:rsid w:val="000041B1"/>
    <w:rsid w:val="00004274"/>
    <w:rsid w:val="000044F7"/>
    <w:rsid w:val="0000451C"/>
    <w:rsid w:val="000048A3"/>
    <w:rsid w:val="00004BAC"/>
    <w:rsid w:val="00004E7E"/>
    <w:rsid w:val="00004EFA"/>
    <w:rsid w:val="0000500F"/>
    <w:rsid w:val="00005190"/>
    <w:rsid w:val="00005261"/>
    <w:rsid w:val="000053DE"/>
    <w:rsid w:val="000055B9"/>
    <w:rsid w:val="000057A6"/>
    <w:rsid w:val="00005868"/>
    <w:rsid w:val="000058D5"/>
    <w:rsid w:val="000059BF"/>
    <w:rsid w:val="000059F3"/>
    <w:rsid w:val="00005AB6"/>
    <w:rsid w:val="00005D8C"/>
    <w:rsid w:val="00005FA6"/>
    <w:rsid w:val="000061B7"/>
    <w:rsid w:val="00006531"/>
    <w:rsid w:val="0000659B"/>
    <w:rsid w:val="000066CC"/>
    <w:rsid w:val="00006927"/>
    <w:rsid w:val="00006A35"/>
    <w:rsid w:val="00006C46"/>
    <w:rsid w:val="00006F47"/>
    <w:rsid w:val="0000728C"/>
    <w:rsid w:val="000074FF"/>
    <w:rsid w:val="0000770F"/>
    <w:rsid w:val="000078F1"/>
    <w:rsid w:val="00007B92"/>
    <w:rsid w:val="00007C5D"/>
    <w:rsid w:val="00007CB6"/>
    <w:rsid w:val="00007F3B"/>
    <w:rsid w:val="00007FF0"/>
    <w:rsid w:val="00010672"/>
    <w:rsid w:val="0001069F"/>
    <w:rsid w:val="000107D6"/>
    <w:rsid w:val="00010832"/>
    <w:rsid w:val="0001084D"/>
    <w:rsid w:val="000108CA"/>
    <w:rsid w:val="00010920"/>
    <w:rsid w:val="00010978"/>
    <w:rsid w:val="00010AF4"/>
    <w:rsid w:val="00010BC8"/>
    <w:rsid w:val="00010E96"/>
    <w:rsid w:val="0001104C"/>
    <w:rsid w:val="000113B7"/>
    <w:rsid w:val="00011768"/>
    <w:rsid w:val="00011AE5"/>
    <w:rsid w:val="00011BF7"/>
    <w:rsid w:val="00011CA5"/>
    <w:rsid w:val="00012276"/>
    <w:rsid w:val="00012310"/>
    <w:rsid w:val="00012623"/>
    <w:rsid w:val="000126A5"/>
    <w:rsid w:val="000126AE"/>
    <w:rsid w:val="000126B6"/>
    <w:rsid w:val="000127D3"/>
    <w:rsid w:val="0001294A"/>
    <w:rsid w:val="00012DC2"/>
    <w:rsid w:val="00012DC4"/>
    <w:rsid w:val="00012F16"/>
    <w:rsid w:val="00013100"/>
    <w:rsid w:val="0001312A"/>
    <w:rsid w:val="0001312C"/>
    <w:rsid w:val="00013497"/>
    <w:rsid w:val="000135E6"/>
    <w:rsid w:val="00013672"/>
    <w:rsid w:val="0001375F"/>
    <w:rsid w:val="000139A1"/>
    <w:rsid w:val="00013CDE"/>
    <w:rsid w:val="00013D90"/>
    <w:rsid w:val="00013ECB"/>
    <w:rsid w:val="00013F1A"/>
    <w:rsid w:val="00013FD0"/>
    <w:rsid w:val="00014049"/>
    <w:rsid w:val="0001405D"/>
    <w:rsid w:val="000141D4"/>
    <w:rsid w:val="0001432A"/>
    <w:rsid w:val="00014404"/>
    <w:rsid w:val="000145AD"/>
    <w:rsid w:val="00014790"/>
    <w:rsid w:val="000148C6"/>
    <w:rsid w:val="00014940"/>
    <w:rsid w:val="00014B68"/>
    <w:rsid w:val="00014BA1"/>
    <w:rsid w:val="00014DE8"/>
    <w:rsid w:val="000151DB"/>
    <w:rsid w:val="00015352"/>
    <w:rsid w:val="000155D4"/>
    <w:rsid w:val="0001560D"/>
    <w:rsid w:val="000156C3"/>
    <w:rsid w:val="00015784"/>
    <w:rsid w:val="000159D7"/>
    <w:rsid w:val="00015A55"/>
    <w:rsid w:val="00015A84"/>
    <w:rsid w:val="00015C01"/>
    <w:rsid w:val="00015E3A"/>
    <w:rsid w:val="00015E90"/>
    <w:rsid w:val="00016574"/>
    <w:rsid w:val="00016627"/>
    <w:rsid w:val="000166F3"/>
    <w:rsid w:val="00016C92"/>
    <w:rsid w:val="00016F31"/>
    <w:rsid w:val="00017180"/>
    <w:rsid w:val="0001760C"/>
    <w:rsid w:val="0001777D"/>
    <w:rsid w:val="0001785F"/>
    <w:rsid w:val="00017A7A"/>
    <w:rsid w:val="00017B57"/>
    <w:rsid w:val="00017BD9"/>
    <w:rsid w:val="00017C0C"/>
    <w:rsid w:val="00017C18"/>
    <w:rsid w:val="00017D17"/>
    <w:rsid w:val="00017DAF"/>
    <w:rsid w:val="00017E60"/>
    <w:rsid w:val="00017E75"/>
    <w:rsid w:val="000201E4"/>
    <w:rsid w:val="00020399"/>
    <w:rsid w:val="00020A9F"/>
    <w:rsid w:val="00020AD0"/>
    <w:rsid w:val="00020C4B"/>
    <w:rsid w:val="00020C4F"/>
    <w:rsid w:val="00020CCF"/>
    <w:rsid w:val="00020D21"/>
    <w:rsid w:val="00020E77"/>
    <w:rsid w:val="00020E90"/>
    <w:rsid w:val="00021723"/>
    <w:rsid w:val="000217A9"/>
    <w:rsid w:val="0002182B"/>
    <w:rsid w:val="000218AC"/>
    <w:rsid w:val="0002193E"/>
    <w:rsid w:val="00021A94"/>
    <w:rsid w:val="00021C6F"/>
    <w:rsid w:val="00021D14"/>
    <w:rsid w:val="00021DA5"/>
    <w:rsid w:val="00021E1B"/>
    <w:rsid w:val="000220E9"/>
    <w:rsid w:val="00022266"/>
    <w:rsid w:val="00022378"/>
    <w:rsid w:val="000224E1"/>
    <w:rsid w:val="000226AD"/>
    <w:rsid w:val="000227CF"/>
    <w:rsid w:val="00022AAB"/>
    <w:rsid w:val="00022B28"/>
    <w:rsid w:val="00022C5D"/>
    <w:rsid w:val="00022FCB"/>
    <w:rsid w:val="0002350C"/>
    <w:rsid w:val="0002357C"/>
    <w:rsid w:val="000235D2"/>
    <w:rsid w:val="0002367F"/>
    <w:rsid w:val="00023B9D"/>
    <w:rsid w:val="00023C30"/>
    <w:rsid w:val="00023E2B"/>
    <w:rsid w:val="00023FE2"/>
    <w:rsid w:val="0002401B"/>
    <w:rsid w:val="000242A9"/>
    <w:rsid w:val="00024381"/>
    <w:rsid w:val="00024420"/>
    <w:rsid w:val="00024526"/>
    <w:rsid w:val="0002484B"/>
    <w:rsid w:val="000248A0"/>
    <w:rsid w:val="000249C3"/>
    <w:rsid w:val="00024BF3"/>
    <w:rsid w:val="00024D78"/>
    <w:rsid w:val="00025070"/>
    <w:rsid w:val="00025666"/>
    <w:rsid w:val="000258BB"/>
    <w:rsid w:val="00025AD0"/>
    <w:rsid w:val="00025B19"/>
    <w:rsid w:val="00025CBB"/>
    <w:rsid w:val="00025DF9"/>
    <w:rsid w:val="00026055"/>
    <w:rsid w:val="000261F4"/>
    <w:rsid w:val="000262C4"/>
    <w:rsid w:val="0002635A"/>
    <w:rsid w:val="000266AE"/>
    <w:rsid w:val="00026A62"/>
    <w:rsid w:val="00026BD5"/>
    <w:rsid w:val="00026D5C"/>
    <w:rsid w:val="00026DAF"/>
    <w:rsid w:val="00026F30"/>
    <w:rsid w:val="00027161"/>
    <w:rsid w:val="0002716C"/>
    <w:rsid w:val="00027507"/>
    <w:rsid w:val="000276B3"/>
    <w:rsid w:val="000279BA"/>
    <w:rsid w:val="00027BC9"/>
    <w:rsid w:val="00027C78"/>
    <w:rsid w:val="00027E88"/>
    <w:rsid w:val="0003001D"/>
    <w:rsid w:val="00030145"/>
    <w:rsid w:val="000304CE"/>
    <w:rsid w:val="0003053B"/>
    <w:rsid w:val="00030593"/>
    <w:rsid w:val="00030739"/>
    <w:rsid w:val="00030827"/>
    <w:rsid w:val="00030A64"/>
    <w:rsid w:val="00030D74"/>
    <w:rsid w:val="00030F59"/>
    <w:rsid w:val="000310CA"/>
    <w:rsid w:val="000311DB"/>
    <w:rsid w:val="0003128A"/>
    <w:rsid w:val="0003144E"/>
    <w:rsid w:val="00031477"/>
    <w:rsid w:val="00031674"/>
    <w:rsid w:val="00031AEE"/>
    <w:rsid w:val="00031BE0"/>
    <w:rsid w:val="00031E34"/>
    <w:rsid w:val="00031EE8"/>
    <w:rsid w:val="000320D0"/>
    <w:rsid w:val="000322B5"/>
    <w:rsid w:val="00032456"/>
    <w:rsid w:val="000325B3"/>
    <w:rsid w:val="000326EE"/>
    <w:rsid w:val="00032A0E"/>
    <w:rsid w:val="00032A55"/>
    <w:rsid w:val="00032CD8"/>
    <w:rsid w:val="00032CF0"/>
    <w:rsid w:val="00032E9A"/>
    <w:rsid w:val="000331B1"/>
    <w:rsid w:val="000334BF"/>
    <w:rsid w:val="00033B72"/>
    <w:rsid w:val="00033E43"/>
    <w:rsid w:val="00034197"/>
    <w:rsid w:val="0003430B"/>
    <w:rsid w:val="000346EB"/>
    <w:rsid w:val="00034985"/>
    <w:rsid w:val="00034D2E"/>
    <w:rsid w:val="000350E8"/>
    <w:rsid w:val="00035112"/>
    <w:rsid w:val="00035268"/>
    <w:rsid w:val="000353D2"/>
    <w:rsid w:val="0003573E"/>
    <w:rsid w:val="000357F2"/>
    <w:rsid w:val="0003581D"/>
    <w:rsid w:val="00035865"/>
    <w:rsid w:val="0003586F"/>
    <w:rsid w:val="0003588B"/>
    <w:rsid w:val="00035895"/>
    <w:rsid w:val="000359D6"/>
    <w:rsid w:val="00035B0D"/>
    <w:rsid w:val="00035BEB"/>
    <w:rsid w:val="00035CE4"/>
    <w:rsid w:val="00035F37"/>
    <w:rsid w:val="0003606F"/>
    <w:rsid w:val="00036599"/>
    <w:rsid w:val="0003667A"/>
    <w:rsid w:val="0003678F"/>
    <w:rsid w:val="00036AAA"/>
    <w:rsid w:val="00036B42"/>
    <w:rsid w:val="00036E7E"/>
    <w:rsid w:val="00036FA0"/>
    <w:rsid w:val="0003731F"/>
    <w:rsid w:val="00037360"/>
    <w:rsid w:val="00037B1F"/>
    <w:rsid w:val="00037C03"/>
    <w:rsid w:val="00037EAA"/>
    <w:rsid w:val="00037F2C"/>
    <w:rsid w:val="0004086B"/>
    <w:rsid w:val="000409A4"/>
    <w:rsid w:val="000409EE"/>
    <w:rsid w:val="00040AF3"/>
    <w:rsid w:val="00040BC0"/>
    <w:rsid w:val="00040D2D"/>
    <w:rsid w:val="00040D46"/>
    <w:rsid w:val="00040F19"/>
    <w:rsid w:val="000411B5"/>
    <w:rsid w:val="00041680"/>
    <w:rsid w:val="00041686"/>
    <w:rsid w:val="00041704"/>
    <w:rsid w:val="0004185F"/>
    <w:rsid w:val="00041C91"/>
    <w:rsid w:val="000424C5"/>
    <w:rsid w:val="000428BC"/>
    <w:rsid w:val="00042A30"/>
    <w:rsid w:val="0004331F"/>
    <w:rsid w:val="00043658"/>
    <w:rsid w:val="00043849"/>
    <w:rsid w:val="000438FD"/>
    <w:rsid w:val="00043965"/>
    <w:rsid w:val="000439B5"/>
    <w:rsid w:val="00043B89"/>
    <w:rsid w:val="00043EAA"/>
    <w:rsid w:val="0004448E"/>
    <w:rsid w:val="00044C99"/>
    <w:rsid w:val="00044FC0"/>
    <w:rsid w:val="00045036"/>
    <w:rsid w:val="000450EE"/>
    <w:rsid w:val="00045645"/>
    <w:rsid w:val="00045861"/>
    <w:rsid w:val="00046339"/>
    <w:rsid w:val="0004648D"/>
    <w:rsid w:val="000464BF"/>
    <w:rsid w:val="000465A3"/>
    <w:rsid w:val="0004674C"/>
    <w:rsid w:val="00046787"/>
    <w:rsid w:val="000468F0"/>
    <w:rsid w:val="0004692A"/>
    <w:rsid w:val="00046B36"/>
    <w:rsid w:val="00046E31"/>
    <w:rsid w:val="00047286"/>
    <w:rsid w:val="00047365"/>
    <w:rsid w:val="0004770D"/>
    <w:rsid w:val="00047716"/>
    <w:rsid w:val="00047C2C"/>
    <w:rsid w:val="00047D36"/>
    <w:rsid w:val="000500FA"/>
    <w:rsid w:val="00050169"/>
    <w:rsid w:val="000501CE"/>
    <w:rsid w:val="000503BB"/>
    <w:rsid w:val="000505A6"/>
    <w:rsid w:val="00050645"/>
    <w:rsid w:val="000507D5"/>
    <w:rsid w:val="000507DD"/>
    <w:rsid w:val="00050948"/>
    <w:rsid w:val="00050B2B"/>
    <w:rsid w:val="00050CBB"/>
    <w:rsid w:val="00050ED1"/>
    <w:rsid w:val="00051098"/>
    <w:rsid w:val="00051298"/>
    <w:rsid w:val="000516C0"/>
    <w:rsid w:val="00051740"/>
    <w:rsid w:val="000518E7"/>
    <w:rsid w:val="00051927"/>
    <w:rsid w:val="0005195F"/>
    <w:rsid w:val="00051D95"/>
    <w:rsid w:val="00051E12"/>
    <w:rsid w:val="00051F6F"/>
    <w:rsid w:val="000521CA"/>
    <w:rsid w:val="000523FF"/>
    <w:rsid w:val="0005247E"/>
    <w:rsid w:val="000525B7"/>
    <w:rsid w:val="00052A9B"/>
    <w:rsid w:val="00052B19"/>
    <w:rsid w:val="00052C57"/>
    <w:rsid w:val="00052E7F"/>
    <w:rsid w:val="00052F2A"/>
    <w:rsid w:val="00052F49"/>
    <w:rsid w:val="00053023"/>
    <w:rsid w:val="0005304D"/>
    <w:rsid w:val="0005322D"/>
    <w:rsid w:val="00053277"/>
    <w:rsid w:val="000536E6"/>
    <w:rsid w:val="00053747"/>
    <w:rsid w:val="00053975"/>
    <w:rsid w:val="00053A55"/>
    <w:rsid w:val="00053B5B"/>
    <w:rsid w:val="00053FE4"/>
    <w:rsid w:val="00054077"/>
    <w:rsid w:val="000540B0"/>
    <w:rsid w:val="0005424B"/>
    <w:rsid w:val="000542CD"/>
    <w:rsid w:val="000542E4"/>
    <w:rsid w:val="000545A4"/>
    <w:rsid w:val="00054747"/>
    <w:rsid w:val="0005485E"/>
    <w:rsid w:val="0005494A"/>
    <w:rsid w:val="00054A98"/>
    <w:rsid w:val="00054B3E"/>
    <w:rsid w:val="00054BF6"/>
    <w:rsid w:val="00054E03"/>
    <w:rsid w:val="00054E27"/>
    <w:rsid w:val="000551E6"/>
    <w:rsid w:val="000552B0"/>
    <w:rsid w:val="00055383"/>
    <w:rsid w:val="000554ED"/>
    <w:rsid w:val="00055904"/>
    <w:rsid w:val="00055B74"/>
    <w:rsid w:val="00056033"/>
    <w:rsid w:val="0005606A"/>
    <w:rsid w:val="00056420"/>
    <w:rsid w:val="00056579"/>
    <w:rsid w:val="00056712"/>
    <w:rsid w:val="0005681B"/>
    <w:rsid w:val="00056B7A"/>
    <w:rsid w:val="00057078"/>
    <w:rsid w:val="00057126"/>
    <w:rsid w:val="000572D2"/>
    <w:rsid w:val="000572F1"/>
    <w:rsid w:val="000573C6"/>
    <w:rsid w:val="00057445"/>
    <w:rsid w:val="00057810"/>
    <w:rsid w:val="00057A75"/>
    <w:rsid w:val="00057D0C"/>
    <w:rsid w:val="00057E5E"/>
    <w:rsid w:val="00057EF7"/>
    <w:rsid w:val="00057F42"/>
    <w:rsid w:val="000600E9"/>
    <w:rsid w:val="00060614"/>
    <w:rsid w:val="00060814"/>
    <w:rsid w:val="00060B13"/>
    <w:rsid w:val="00060B44"/>
    <w:rsid w:val="00060B7D"/>
    <w:rsid w:val="00060C9A"/>
    <w:rsid w:val="00060CED"/>
    <w:rsid w:val="00060D3D"/>
    <w:rsid w:val="00060FB0"/>
    <w:rsid w:val="0006113C"/>
    <w:rsid w:val="00061247"/>
    <w:rsid w:val="00061261"/>
    <w:rsid w:val="000613BB"/>
    <w:rsid w:val="0006148B"/>
    <w:rsid w:val="000616AF"/>
    <w:rsid w:val="00061798"/>
    <w:rsid w:val="00061A9B"/>
    <w:rsid w:val="00061BFD"/>
    <w:rsid w:val="000620C3"/>
    <w:rsid w:val="00062139"/>
    <w:rsid w:val="000627AE"/>
    <w:rsid w:val="00062B20"/>
    <w:rsid w:val="00062E37"/>
    <w:rsid w:val="000630BE"/>
    <w:rsid w:val="000633FC"/>
    <w:rsid w:val="0006385F"/>
    <w:rsid w:val="0006391A"/>
    <w:rsid w:val="00063AE1"/>
    <w:rsid w:val="00063AE3"/>
    <w:rsid w:val="00063B69"/>
    <w:rsid w:val="00063CDA"/>
    <w:rsid w:val="00063E9D"/>
    <w:rsid w:val="0006410E"/>
    <w:rsid w:val="00064200"/>
    <w:rsid w:val="00064217"/>
    <w:rsid w:val="0006434C"/>
    <w:rsid w:val="00064859"/>
    <w:rsid w:val="00064868"/>
    <w:rsid w:val="00064C4A"/>
    <w:rsid w:val="00064D25"/>
    <w:rsid w:val="00064D9D"/>
    <w:rsid w:val="00064E16"/>
    <w:rsid w:val="0006526A"/>
    <w:rsid w:val="000656E5"/>
    <w:rsid w:val="0006594F"/>
    <w:rsid w:val="00065BBF"/>
    <w:rsid w:val="00065BF5"/>
    <w:rsid w:val="00065CD4"/>
    <w:rsid w:val="00066123"/>
    <w:rsid w:val="00066145"/>
    <w:rsid w:val="00066579"/>
    <w:rsid w:val="000665D6"/>
    <w:rsid w:val="000665DD"/>
    <w:rsid w:val="00066670"/>
    <w:rsid w:val="000667AA"/>
    <w:rsid w:val="00066897"/>
    <w:rsid w:val="00066B0D"/>
    <w:rsid w:val="00066BFD"/>
    <w:rsid w:val="00067063"/>
    <w:rsid w:val="00067195"/>
    <w:rsid w:val="000671DF"/>
    <w:rsid w:val="000678A3"/>
    <w:rsid w:val="00067AD4"/>
    <w:rsid w:val="00067AEE"/>
    <w:rsid w:val="00067D37"/>
    <w:rsid w:val="00067DDE"/>
    <w:rsid w:val="000701D2"/>
    <w:rsid w:val="0007034C"/>
    <w:rsid w:val="00070457"/>
    <w:rsid w:val="00070510"/>
    <w:rsid w:val="0007062B"/>
    <w:rsid w:val="0007089A"/>
    <w:rsid w:val="000709E2"/>
    <w:rsid w:val="00070A85"/>
    <w:rsid w:val="00070B6B"/>
    <w:rsid w:val="00070D74"/>
    <w:rsid w:val="000712BF"/>
    <w:rsid w:val="00071569"/>
    <w:rsid w:val="00071672"/>
    <w:rsid w:val="00071769"/>
    <w:rsid w:val="000717CF"/>
    <w:rsid w:val="000719A7"/>
    <w:rsid w:val="000719D6"/>
    <w:rsid w:val="00071E20"/>
    <w:rsid w:val="00071E70"/>
    <w:rsid w:val="00071E9F"/>
    <w:rsid w:val="00072104"/>
    <w:rsid w:val="0007213E"/>
    <w:rsid w:val="00072223"/>
    <w:rsid w:val="00072628"/>
    <w:rsid w:val="00072A30"/>
    <w:rsid w:val="00072A96"/>
    <w:rsid w:val="00072C9B"/>
    <w:rsid w:val="00072CD0"/>
    <w:rsid w:val="00072D08"/>
    <w:rsid w:val="00073071"/>
    <w:rsid w:val="00073092"/>
    <w:rsid w:val="00073133"/>
    <w:rsid w:val="000739BC"/>
    <w:rsid w:val="00073BE0"/>
    <w:rsid w:val="0007406B"/>
    <w:rsid w:val="00074184"/>
    <w:rsid w:val="000743B0"/>
    <w:rsid w:val="0007469E"/>
    <w:rsid w:val="00074CC3"/>
    <w:rsid w:val="00074E14"/>
    <w:rsid w:val="00074F1D"/>
    <w:rsid w:val="00075050"/>
    <w:rsid w:val="00075432"/>
    <w:rsid w:val="00075517"/>
    <w:rsid w:val="00075668"/>
    <w:rsid w:val="00075800"/>
    <w:rsid w:val="00075811"/>
    <w:rsid w:val="0007595C"/>
    <w:rsid w:val="00075971"/>
    <w:rsid w:val="000759C4"/>
    <w:rsid w:val="000759FE"/>
    <w:rsid w:val="00075ABC"/>
    <w:rsid w:val="000763C0"/>
    <w:rsid w:val="00076484"/>
    <w:rsid w:val="000767F9"/>
    <w:rsid w:val="00076E6D"/>
    <w:rsid w:val="00076E9F"/>
    <w:rsid w:val="00077069"/>
    <w:rsid w:val="000770F5"/>
    <w:rsid w:val="0007719F"/>
    <w:rsid w:val="00077203"/>
    <w:rsid w:val="000774B8"/>
    <w:rsid w:val="000777CE"/>
    <w:rsid w:val="000778A3"/>
    <w:rsid w:val="00077A87"/>
    <w:rsid w:val="00077AB7"/>
    <w:rsid w:val="00077B14"/>
    <w:rsid w:val="00077F74"/>
    <w:rsid w:val="0008004D"/>
    <w:rsid w:val="00080231"/>
    <w:rsid w:val="0008039F"/>
    <w:rsid w:val="00080638"/>
    <w:rsid w:val="000806E9"/>
    <w:rsid w:val="00080A73"/>
    <w:rsid w:val="00080ADC"/>
    <w:rsid w:val="00080B39"/>
    <w:rsid w:val="00080C95"/>
    <w:rsid w:val="00080E0A"/>
    <w:rsid w:val="00080F3A"/>
    <w:rsid w:val="00081188"/>
    <w:rsid w:val="000815A8"/>
    <w:rsid w:val="0008166E"/>
    <w:rsid w:val="00081681"/>
    <w:rsid w:val="00081A91"/>
    <w:rsid w:val="00081C1B"/>
    <w:rsid w:val="00081D04"/>
    <w:rsid w:val="00081DB3"/>
    <w:rsid w:val="00081E04"/>
    <w:rsid w:val="000821DC"/>
    <w:rsid w:val="000822E3"/>
    <w:rsid w:val="00082362"/>
    <w:rsid w:val="000824A9"/>
    <w:rsid w:val="00082698"/>
    <w:rsid w:val="000826F6"/>
    <w:rsid w:val="000827BD"/>
    <w:rsid w:val="000827EA"/>
    <w:rsid w:val="00082882"/>
    <w:rsid w:val="000829D4"/>
    <w:rsid w:val="00082A52"/>
    <w:rsid w:val="00082C9A"/>
    <w:rsid w:val="00082CC0"/>
    <w:rsid w:val="00082D05"/>
    <w:rsid w:val="00082EED"/>
    <w:rsid w:val="00082FDB"/>
    <w:rsid w:val="00083389"/>
    <w:rsid w:val="000834FA"/>
    <w:rsid w:val="00083A32"/>
    <w:rsid w:val="00083BFA"/>
    <w:rsid w:val="00083C03"/>
    <w:rsid w:val="00083E5C"/>
    <w:rsid w:val="000841B4"/>
    <w:rsid w:val="0008444B"/>
    <w:rsid w:val="00084781"/>
    <w:rsid w:val="000848D6"/>
    <w:rsid w:val="00084DC4"/>
    <w:rsid w:val="00084F9C"/>
    <w:rsid w:val="000851E9"/>
    <w:rsid w:val="000854AA"/>
    <w:rsid w:val="0008551C"/>
    <w:rsid w:val="000855FE"/>
    <w:rsid w:val="00085651"/>
    <w:rsid w:val="0008568A"/>
    <w:rsid w:val="00085943"/>
    <w:rsid w:val="00085B0C"/>
    <w:rsid w:val="00085BCB"/>
    <w:rsid w:val="00085C7F"/>
    <w:rsid w:val="000860F7"/>
    <w:rsid w:val="000861B5"/>
    <w:rsid w:val="000861EC"/>
    <w:rsid w:val="00086281"/>
    <w:rsid w:val="000864E2"/>
    <w:rsid w:val="00086580"/>
    <w:rsid w:val="00086D93"/>
    <w:rsid w:val="00087050"/>
    <w:rsid w:val="00087396"/>
    <w:rsid w:val="000873A2"/>
    <w:rsid w:val="0008762F"/>
    <w:rsid w:val="00087871"/>
    <w:rsid w:val="00087A54"/>
    <w:rsid w:val="00087EF1"/>
    <w:rsid w:val="00087FD8"/>
    <w:rsid w:val="00090197"/>
    <w:rsid w:val="000901D5"/>
    <w:rsid w:val="000904BF"/>
    <w:rsid w:val="000906E5"/>
    <w:rsid w:val="0009076E"/>
    <w:rsid w:val="000908F6"/>
    <w:rsid w:val="00090AAA"/>
    <w:rsid w:val="00090CA3"/>
    <w:rsid w:val="00090CD5"/>
    <w:rsid w:val="00090DF5"/>
    <w:rsid w:val="00090FD0"/>
    <w:rsid w:val="000912F5"/>
    <w:rsid w:val="00091478"/>
    <w:rsid w:val="0009162B"/>
    <w:rsid w:val="00091E81"/>
    <w:rsid w:val="00091ECD"/>
    <w:rsid w:val="00091F99"/>
    <w:rsid w:val="00092277"/>
    <w:rsid w:val="000923EB"/>
    <w:rsid w:val="0009263E"/>
    <w:rsid w:val="00092643"/>
    <w:rsid w:val="00092A83"/>
    <w:rsid w:val="00092B96"/>
    <w:rsid w:val="00092BAC"/>
    <w:rsid w:val="00092CD2"/>
    <w:rsid w:val="00092DBD"/>
    <w:rsid w:val="00092E92"/>
    <w:rsid w:val="0009310A"/>
    <w:rsid w:val="0009378A"/>
    <w:rsid w:val="000937BB"/>
    <w:rsid w:val="00093B51"/>
    <w:rsid w:val="00093C11"/>
    <w:rsid w:val="00093C7E"/>
    <w:rsid w:val="000940B7"/>
    <w:rsid w:val="000943BB"/>
    <w:rsid w:val="000944F3"/>
    <w:rsid w:val="0009469C"/>
    <w:rsid w:val="00094984"/>
    <w:rsid w:val="00094CC2"/>
    <w:rsid w:val="00094D3F"/>
    <w:rsid w:val="00094DAD"/>
    <w:rsid w:val="00094E3E"/>
    <w:rsid w:val="00094F6A"/>
    <w:rsid w:val="00094F70"/>
    <w:rsid w:val="00095115"/>
    <w:rsid w:val="000957C1"/>
    <w:rsid w:val="000957CA"/>
    <w:rsid w:val="00095C03"/>
    <w:rsid w:val="00095DAB"/>
    <w:rsid w:val="00095F3F"/>
    <w:rsid w:val="00095F90"/>
    <w:rsid w:val="00096058"/>
    <w:rsid w:val="000966CE"/>
    <w:rsid w:val="00096811"/>
    <w:rsid w:val="000968DA"/>
    <w:rsid w:val="000968F5"/>
    <w:rsid w:val="00096A15"/>
    <w:rsid w:val="00096A7F"/>
    <w:rsid w:val="00096B87"/>
    <w:rsid w:val="00096CB9"/>
    <w:rsid w:val="00096D8B"/>
    <w:rsid w:val="00096DFF"/>
    <w:rsid w:val="0009715E"/>
    <w:rsid w:val="00097299"/>
    <w:rsid w:val="0009755D"/>
    <w:rsid w:val="00097857"/>
    <w:rsid w:val="00097DE1"/>
    <w:rsid w:val="00097EA0"/>
    <w:rsid w:val="000A0353"/>
    <w:rsid w:val="000A0385"/>
    <w:rsid w:val="000A05C7"/>
    <w:rsid w:val="000A071E"/>
    <w:rsid w:val="000A08A3"/>
    <w:rsid w:val="000A0FD2"/>
    <w:rsid w:val="000A10C3"/>
    <w:rsid w:val="000A1373"/>
    <w:rsid w:val="000A13DB"/>
    <w:rsid w:val="000A14C0"/>
    <w:rsid w:val="000A1572"/>
    <w:rsid w:val="000A17FA"/>
    <w:rsid w:val="000A18B1"/>
    <w:rsid w:val="000A1A59"/>
    <w:rsid w:val="000A1C07"/>
    <w:rsid w:val="000A1CBC"/>
    <w:rsid w:val="000A1EA8"/>
    <w:rsid w:val="000A1FDD"/>
    <w:rsid w:val="000A1FE3"/>
    <w:rsid w:val="000A203D"/>
    <w:rsid w:val="000A20DA"/>
    <w:rsid w:val="000A25BC"/>
    <w:rsid w:val="000A26EA"/>
    <w:rsid w:val="000A277B"/>
    <w:rsid w:val="000A2821"/>
    <w:rsid w:val="000A28C3"/>
    <w:rsid w:val="000A296D"/>
    <w:rsid w:val="000A2B23"/>
    <w:rsid w:val="000A2C39"/>
    <w:rsid w:val="000A2CAD"/>
    <w:rsid w:val="000A2D43"/>
    <w:rsid w:val="000A2D88"/>
    <w:rsid w:val="000A2EAA"/>
    <w:rsid w:val="000A301A"/>
    <w:rsid w:val="000A318F"/>
    <w:rsid w:val="000A319A"/>
    <w:rsid w:val="000A31CD"/>
    <w:rsid w:val="000A31D8"/>
    <w:rsid w:val="000A357F"/>
    <w:rsid w:val="000A3743"/>
    <w:rsid w:val="000A3978"/>
    <w:rsid w:val="000A3990"/>
    <w:rsid w:val="000A3D18"/>
    <w:rsid w:val="000A3F50"/>
    <w:rsid w:val="000A40E0"/>
    <w:rsid w:val="000A43E3"/>
    <w:rsid w:val="000A4580"/>
    <w:rsid w:val="000A4656"/>
    <w:rsid w:val="000A47ED"/>
    <w:rsid w:val="000A481A"/>
    <w:rsid w:val="000A4C16"/>
    <w:rsid w:val="000A4D58"/>
    <w:rsid w:val="000A4D94"/>
    <w:rsid w:val="000A4EDE"/>
    <w:rsid w:val="000A5145"/>
    <w:rsid w:val="000A5154"/>
    <w:rsid w:val="000A5310"/>
    <w:rsid w:val="000A55B7"/>
    <w:rsid w:val="000A5630"/>
    <w:rsid w:val="000A594C"/>
    <w:rsid w:val="000A598B"/>
    <w:rsid w:val="000A59E0"/>
    <w:rsid w:val="000A5A27"/>
    <w:rsid w:val="000A5D60"/>
    <w:rsid w:val="000A619C"/>
    <w:rsid w:val="000A62E0"/>
    <w:rsid w:val="000A65B0"/>
    <w:rsid w:val="000A6B55"/>
    <w:rsid w:val="000A6CF1"/>
    <w:rsid w:val="000A6EA0"/>
    <w:rsid w:val="000A6F49"/>
    <w:rsid w:val="000A6F4F"/>
    <w:rsid w:val="000A70C4"/>
    <w:rsid w:val="000A7107"/>
    <w:rsid w:val="000A72B0"/>
    <w:rsid w:val="000A74C1"/>
    <w:rsid w:val="000A7ACC"/>
    <w:rsid w:val="000A7B0F"/>
    <w:rsid w:val="000A7DAF"/>
    <w:rsid w:val="000A7FB8"/>
    <w:rsid w:val="000B01B1"/>
    <w:rsid w:val="000B0244"/>
    <w:rsid w:val="000B024F"/>
    <w:rsid w:val="000B06D3"/>
    <w:rsid w:val="000B08C8"/>
    <w:rsid w:val="000B095F"/>
    <w:rsid w:val="000B0970"/>
    <w:rsid w:val="000B0F32"/>
    <w:rsid w:val="000B1038"/>
    <w:rsid w:val="000B1078"/>
    <w:rsid w:val="000B1364"/>
    <w:rsid w:val="000B1451"/>
    <w:rsid w:val="000B15D6"/>
    <w:rsid w:val="000B19BE"/>
    <w:rsid w:val="000B1A28"/>
    <w:rsid w:val="000B1A32"/>
    <w:rsid w:val="000B1A54"/>
    <w:rsid w:val="000B1FB1"/>
    <w:rsid w:val="000B2211"/>
    <w:rsid w:val="000B241B"/>
    <w:rsid w:val="000B245F"/>
    <w:rsid w:val="000B2618"/>
    <w:rsid w:val="000B26C3"/>
    <w:rsid w:val="000B2856"/>
    <w:rsid w:val="000B2BD3"/>
    <w:rsid w:val="000B2DD8"/>
    <w:rsid w:val="000B330A"/>
    <w:rsid w:val="000B3584"/>
    <w:rsid w:val="000B389E"/>
    <w:rsid w:val="000B3ABB"/>
    <w:rsid w:val="000B4076"/>
    <w:rsid w:val="000B41DE"/>
    <w:rsid w:val="000B4329"/>
    <w:rsid w:val="000B43A5"/>
    <w:rsid w:val="000B45BE"/>
    <w:rsid w:val="000B4695"/>
    <w:rsid w:val="000B479E"/>
    <w:rsid w:val="000B490F"/>
    <w:rsid w:val="000B4DCC"/>
    <w:rsid w:val="000B50AC"/>
    <w:rsid w:val="000B53EC"/>
    <w:rsid w:val="000B550D"/>
    <w:rsid w:val="000B55C6"/>
    <w:rsid w:val="000B570E"/>
    <w:rsid w:val="000B57F2"/>
    <w:rsid w:val="000B5E3B"/>
    <w:rsid w:val="000B6281"/>
    <w:rsid w:val="000B65D3"/>
    <w:rsid w:val="000B6AB7"/>
    <w:rsid w:val="000B6CD6"/>
    <w:rsid w:val="000B6FE9"/>
    <w:rsid w:val="000B7011"/>
    <w:rsid w:val="000B71CC"/>
    <w:rsid w:val="000B724F"/>
    <w:rsid w:val="000B72DC"/>
    <w:rsid w:val="000B734D"/>
    <w:rsid w:val="000B737A"/>
    <w:rsid w:val="000B746D"/>
    <w:rsid w:val="000B74C4"/>
    <w:rsid w:val="000B75A1"/>
    <w:rsid w:val="000B78F7"/>
    <w:rsid w:val="000B7D41"/>
    <w:rsid w:val="000B7F79"/>
    <w:rsid w:val="000C0286"/>
    <w:rsid w:val="000C0472"/>
    <w:rsid w:val="000C04DB"/>
    <w:rsid w:val="000C0671"/>
    <w:rsid w:val="000C06DE"/>
    <w:rsid w:val="000C087A"/>
    <w:rsid w:val="000C0CCA"/>
    <w:rsid w:val="000C0D17"/>
    <w:rsid w:val="000C0E10"/>
    <w:rsid w:val="000C0F78"/>
    <w:rsid w:val="000C1032"/>
    <w:rsid w:val="000C1162"/>
    <w:rsid w:val="000C122B"/>
    <w:rsid w:val="000C13C7"/>
    <w:rsid w:val="000C161C"/>
    <w:rsid w:val="000C16C9"/>
    <w:rsid w:val="000C16FB"/>
    <w:rsid w:val="000C17F3"/>
    <w:rsid w:val="000C1A2E"/>
    <w:rsid w:val="000C1A35"/>
    <w:rsid w:val="000C1A91"/>
    <w:rsid w:val="000C1C45"/>
    <w:rsid w:val="000C1C56"/>
    <w:rsid w:val="000C1F13"/>
    <w:rsid w:val="000C1F52"/>
    <w:rsid w:val="000C201B"/>
    <w:rsid w:val="000C239B"/>
    <w:rsid w:val="000C2795"/>
    <w:rsid w:val="000C280C"/>
    <w:rsid w:val="000C2AB6"/>
    <w:rsid w:val="000C2AF6"/>
    <w:rsid w:val="000C2E8C"/>
    <w:rsid w:val="000C2EF5"/>
    <w:rsid w:val="000C2FC7"/>
    <w:rsid w:val="000C35C1"/>
    <w:rsid w:val="000C3619"/>
    <w:rsid w:val="000C398D"/>
    <w:rsid w:val="000C400A"/>
    <w:rsid w:val="000C4445"/>
    <w:rsid w:val="000C457E"/>
    <w:rsid w:val="000C4816"/>
    <w:rsid w:val="000C4961"/>
    <w:rsid w:val="000C4999"/>
    <w:rsid w:val="000C4B32"/>
    <w:rsid w:val="000C4BF2"/>
    <w:rsid w:val="000C4C08"/>
    <w:rsid w:val="000C4DEA"/>
    <w:rsid w:val="000C518C"/>
    <w:rsid w:val="000C51B0"/>
    <w:rsid w:val="000C53DF"/>
    <w:rsid w:val="000C53F0"/>
    <w:rsid w:val="000C57E1"/>
    <w:rsid w:val="000C5A50"/>
    <w:rsid w:val="000C5C40"/>
    <w:rsid w:val="000C5F12"/>
    <w:rsid w:val="000C5F52"/>
    <w:rsid w:val="000C61B7"/>
    <w:rsid w:val="000C6355"/>
    <w:rsid w:val="000C648F"/>
    <w:rsid w:val="000C6C1D"/>
    <w:rsid w:val="000C701E"/>
    <w:rsid w:val="000C7189"/>
    <w:rsid w:val="000C73CF"/>
    <w:rsid w:val="000C75E5"/>
    <w:rsid w:val="000C768D"/>
    <w:rsid w:val="000C76B0"/>
    <w:rsid w:val="000C7718"/>
    <w:rsid w:val="000C77A9"/>
    <w:rsid w:val="000C77E0"/>
    <w:rsid w:val="000C78F1"/>
    <w:rsid w:val="000C7C58"/>
    <w:rsid w:val="000C7C98"/>
    <w:rsid w:val="000C7FE8"/>
    <w:rsid w:val="000C7FFB"/>
    <w:rsid w:val="000D04E3"/>
    <w:rsid w:val="000D0500"/>
    <w:rsid w:val="000D0790"/>
    <w:rsid w:val="000D07FD"/>
    <w:rsid w:val="000D0B3F"/>
    <w:rsid w:val="000D0DA7"/>
    <w:rsid w:val="000D11E6"/>
    <w:rsid w:val="000D120A"/>
    <w:rsid w:val="000D170B"/>
    <w:rsid w:val="000D1973"/>
    <w:rsid w:val="000D1C25"/>
    <w:rsid w:val="000D1F2E"/>
    <w:rsid w:val="000D1FA2"/>
    <w:rsid w:val="000D2405"/>
    <w:rsid w:val="000D271D"/>
    <w:rsid w:val="000D2810"/>
    <w:rsid w:val="000D2816"/>
    <w:rsid w:val="000D2837"/>
    <w:rsid w:val="000D283F"/>
    <w:rsid w:val="000D29B6"/>
    <w:rsid w:val="000D31D9"/>
    <w:rsid w:val="000D3346"/>
    <w:rsid w:val="000D3359"/>
    <w:rsid w:val="000D38CA"/>
    <w:rsid w:val="000D3D79"/>
    <w:rsid w:val="000D3DC5"/>
    <w:rsid w:val="000D4307"/>
    <w:rsid w:val="000D431C"/>
    <w:rsid w:val="000D442E"/>
    <w:rsid w:val="000D4505"/>
    <w:rsid w:val="000D4573"/>
    <w:rsid w:val="000D45FD"/>
    <w:rsid w:val="000D46BF"/>
    <w:rsid w:val="000D4737"/>
    <w:rsid w:val="000D49ED"/>
    <w:rsid w:val="000D4A5A"/>
    <w:rsid w:val="000D4AE1"/>
    <w:rsid w:val="000D4C9A"/>
    <w:rsid w:val="000D4CB3"/>
    <w:rsid w:val="000D4E37"/>
    <w:rsid w:val="000D4EB1"/>
    <w:rsid w:val="000D4EE5"/>
    <w:rsid w:val="000D540D"/>
    <w:rsid w:val="000D556C"/>
    <w:rsid w:val="000D57A6"/>
    <w:rsid w:val="000D5B0B"/>
    <w:rsid w:val="000D5B57"/>
    <w:rsid w:val="000D5C1D"/>
    <w:rsid w:val="000D5EDA"/>
    <w:rsid w:val="000D5F6C"/>
    <w:rsid w:val="000D5F95"/>
    <w:rsid w:val="000D613B"/>
    <w:rsid w:val="000D653C"/>
    <w:rsid w:val="000D66C5"/>
    <w:rsid w:val="000D6769"/>
    <w:rsid w:val="000D6794"/>
    <w:rsid w:val="000D69DD"/>
    <w:rsid w:val="000D6B1C"/>
    <w:rsid w:val="000D6C87"/>
    <w:rsid w:val="000D6D36"/>
    <w:rsid w:val="000D6D6E"/>
    <w:rsid w:val="000D6E65"/>
    <w:rsid w:val="000D7054"/>
    <w:rsid w:val="000D70B3"/>
    <w:rsid w:val="000D71AB"/>
    <w:rsid w:val="000D73FC"/>
    <w:rsid w:val="000D7549"/>
    <w:rsid w:val="000D75D3"/>
    <w:rsid w:val="000D77CC"/>
    <w:rsid w:val="000D7CBC"/>
    <w:rsid w:val="000D7E41"/>
    <w:rsid w:val="000D7FF2"/>
    <w:rsid w:val="000E00EC"/>
    <w:rsid w:val="000E0204"/>
    <w:rsid w:val="000E069B"/>
    <w:rsid w:val="000E0918"/>
    <w:rsid w:val="000E0B3C"/>
    <w:rsid w:val="000E0C8D"/>
    <w:rsid w:val="000E0D5C"/>
    <w:rsid w:val="000E0D90"/>
    <w:rsid w:val="000E0F6F"/>
    <w:rsid w:val="000E121B"/>
    <w:rsid w:val="000E129F"/>
    <w:rsid w:val="000E12D9"/>
    <w:rsid w:val="000E16B3"/>
    <w:rsid w:val="000E16E0"/>
    <w:rsid w:val="000E18AE"/>
    <w:rsid w:val="000E1B2D"/>
    <w:rsid w:val="000E1E2D"/>
    <w:rsid w:val="000E1F49"/>
    <w:rsid w:val="000E20E4"/>
    <w:rsid w:val="000E222D"/>
    <w:rsid w:val="000E268E"/>
    <w:rsid w:val="000E2709"/>
    <w:rsid w:val="000E2AD1"/>
    <w:rsid w:val="000E2B59"/>
    <w:rsid w:val="000E2D13"/>
    <w:rsid w:val="000E3017"/>
    <w:rsid w:val="000E327C"/>
    <w:rsid w:val="000E3415"/>
    <w:rsid w:val="000E3448"/>
    <w:rsid w:val="000E3618"/>
    <w:rsid w:val="000E36A5"/>
    <w:rsid w:val="000E36CD"/>
    <w:rsid w:val="000E36E2"/>
    <w:rsid w:val="000E3B8F"/>
    <w:rsid w:val="000E3BE0"/>
    <w:rsid w:val="000E3F12"/>
    <w:rsid w:val="000E416E"/>
    <w:rsid w:val="000E43DD"/>
    <w:rsid w:val="000E444B"/>
    <w:rsid w:val="000E455B"/>
    <w:rsid w:val="000E46EA"/>
    <w:rsid w:val="000E48FD"/>
    <w:rsid w:val="000E491C"/>
    <w:rsid w:val="000E4B4C"/>
    <w:rsid w:val="000E4BEF"/>
    <w:rsid w:val="000E4EE7"/>
    <w:rsid w:val="000E4F27"/>
    <w:rsid w:val="000E52FB"/>
    <w:rsid w:val="000E53E1"/>
    <w:rsid w:val="000E5507"/>
    <w:rsid w:val="000E566E"/>
    <w:rsid w:val="000E5AED"/>
    <w:rsid w:val="000E5B00"/>
    <w:rsid w:val="000E5B06"/>
    <w:rsid w:val="000E5B1D"/>
    <w:rsid w:val="000E5BFD"/>
    <w:rsid w:val="000E5E21"/>
    <w:rsid w:val="000E628C"/>
    <w:rsid w:val="000E6546"/>
    <w:rsid w:val="000E6584"/>
    <w:rsid w:val="000E65BF"/>
    <w:rsid w:val="000E6718"/>
    <w:rsid w:val="000E6790"/>
    <w:rsid w:val="000E6945"/>
    <w:rsid w:val="000E6B2C"/>
    <w:rsid w:val="000E6C2A"/>
    <w:rsid w:val="000E6F60"/>
    <w:rsid w:val="000E72D6"/>
    <w:rsid w:val="000E7505"/>
    <w:rsid w:val="000E765B"/>
    <w:rsid w:val="000E77BA"/>
    <w:rsid w:val="000E78A8"/>
    <w:rsid w:val="000E791A"/>
    <w:rsid w:val="000E7D76"/>
    <w:rsid w:val="000E7F5D"/>
    <w:rsid w:val="000E7F8E"/>
    <w:rsid w:val="000F00EA"/>
    <w:rsid w:val="000F0625"/>
    <w:rsid w:val="000F068F"/>
    <w:rsid w:val="000F075D"/>
    <w:rsid w:val="000F0A69"/>
    <w:rsid w:val="000F0C18"/>
    <w:rsid w:val="000F1150"/>
    <w:rsid w:val="000F134C"/>
    <w:rsid w:val="000F15C0"/>
    <w:rsid w:val="000F1607"/>
    <w:rsid w:val="000F17B6"/>
    <w:rsid w:val="000F1937"/>
    <w:rsid w:val="000F196E"/>
    <w:rsid w:val="000F1BC2"/>
    <w:rsid w:val="000F1C93"/>
    <w:rsid w:val="000F1CE6"/>
    <w:rsid w:val="000F1CF4"/>
    <w:rsid w:val="000F1DBC"/>
    <w:rsid w:val="000F1DC4"/>
    <w:rsid w:val="000F1F9C"/>
    <w:rsid w:val="000F234D"/>
    <w:rsid w:val="000F2557"/>
    <w:rsid w:val="000F2572"/>
    <w:rsid w:val="000F289E"/>
    <w:rsid w:val="000F29FE"/>
    <w:rsid w:val="000F2A74"/>
    <w:rsid w:val="000F2D13"/>
    <w:rsid w:val="000F2D8E"/>
    <w:rsid w:val="000F2F31"/>
    <w:rsid w:val="000F2F98"/>
    <w:rsid w:val="000F2FAE"/>
    <w:rsid w:val="000F3298"/>
    <w:rsid w:val="000F334D"/>
    <w:rsid w:val="000F33BD"/>
    <w:rsid w:val="000F33ED"/>
    <w:rsid w:val="000F3528"/>
    <w:rsid w:val="000F378C"/>
    <w:rsid w:val="000F387F"/>
    <w:rsid w:val="000F3A3E"/>
    <w:rsid w:val="000F3B4F"/>
    <w:rsid w:val="000F3BC6"/>
    <w:rsid w:val="000F3BF2"/>
    <w:rsid w:val="000F3F4B"/>
    <w:rsid w:val="000F4287"/>
    <w:rsid w:val="000F42C9"/>
    <w:rsid w:val="000F4656"/>
    <w:rsid w:val="000F4913"/>
    <w:rsid w:val="000F4DE2"/>
    <w:rsid w:val="000F4E85"/>
    <w:rsid w:val="000F4F38"/>
    <w:rsid w:val="000F500C"/>
    <w:rsid w:val="000F5820"/>
    <w:rsid w:val="000F587E"/>
    <w:rsid w:val="000F58D7"/>
    <w:rsid w:val="000F5972"/>
    <w:rsid w:val="000F5C10"/>
    <w:rsid w:val="000F5DBE"/>
    <w:rsid w:val="000F5E65"/>
    <w:rsid w:val="000F6226"/>
    <w:rsid w:val="000F6244"/>
    <w:rsid w:val="000F6397"/>
    <w:rsid w:val="000F639F"/>
    <w:rsid w:val="000F6660"/>
    <w:rsid w:val="000F66BF"/>
    <w:rsid w:val="000F68F6"/>
    <w:rsid w:val="000F6A9D"/>
    <w:rsid w:val="000F6C2C"/>
    <w:rsid w:val="000F6CFA"/>
    <w:rsid w:val="000F6DC6"/>
    <w:rsid w:val="000F715C"/>
    <w:rsid w:val="000F7273"/>
    <w:rsid w:val="000F7499"/>
    <w:rsid w:val="000F75EE"/>
    <w:rsid w:val="000F7880"/>
    <w:rsid w:val="000F78A6"/>
    <w:rsid w:val="000F78C5"/>
    <w:rsid w:val="000F7B66"/>
    <w:rsid w:val="000F7C4E"/>
    <w:rsid w:val="000F7ECF"/>
    <w:rsid w:val="000F7F2F"/>
    <w:rsid w:val="000F7FD4"/>
    <w:rsid w:val="000F7FDC"/>
    <w:rsid w:val="00100030"/>
    <w:rsid w:val="00100171"/>
    <w:rsid w:val="00100F23"/>
    <w:rsid w:val="00100F8E"/>
    <w:rsid w:val="0010131C"/>
    <w:rsid w:val="0010146C"/>
    <w:rsid w:val="0010159C"/>
    <w:rsid w:val="00101774"/>
    <w:rsid w:val="00101851"/>
    <w:rsid w:val="0010196B"/>
    <w:rsid w:val="00101B03"/>
    <w:rsid w:val="00101B0F"/>
    <w:rsid w:val="00101BF0"/>
    <w:rsid w:val="00101D99"/>
    <w:rsid w:val="00101F53"/>
    <w:rsid w:val="0010216D"/>
    <w:rsid w:val="001021AC"/>
    <w:rsid w:val="00102299"/>
    <w:rsid w:val="001024A3"/>
    <w:rsid w:val="001026DE"/>
    <w:rsid w:val="0010274E"/>
    <w:rsid w:val="00102819"/>
    <w:rsid w:val="0010286F"/>
    <w:rsid w:val="001029B4"/>
    <w:rsid w:val="00102B04"/>
    <w:rsid w:val="00102C12"/>
    <w:rsid w:val="00102CC5"/>
    <w:rsid w:val="00102D10"/>
    <w:rsid w:val="00102DB7"/>
    <w:rsid w:val="00102E50"/>
    <w:rsid w:val="00102EC9"/>
    <w:rsid w:val="001030B9"/>
    <w:rsid w:val="00103206"/>
    <w:rsid w:val="00103299"/>
    <w:rsid w:val="00103720"/>
    <w:rsid w:val="00103835"/>
    <w:rsid w:val="00103876"/>
    <w:rsid w:val="00104029"/>
    <w:rsid w:val="0010457B"/>
    <w:rsid w:val="001045FB"/>
    <w:rsid w:val="00104629"/>
    <w:rsid w:val="00104659"/>
    <w:rsid w:val="001047FF"/>
    <w:rsid w:val="0010499A"/>
    <w:rsid w:val="00104BD0"/>
    <w:rsid w:val="00104CB8"/>
    <w:rsid w:val="00104EA3"/>
    <w:rsid w:val="00104FD4"/>
    <w:rsid w:val="0010520A"/>
    <w:rsid w:val="0010527A"/>
    <w:rsid w:val="0010527F"/>
    <w:rsid w:val="00105594"/>
    <w:rsid w:val="001055D5"/>
    <w:rsid w:val="0010566C"/>
    <w:rsid w:val="00105723"/>
    <w:rsid w:val="00105779"/>
    <w:rsid w:val="00105A5E"/>
    <w:rsid w:val="00105AF7"/>
    <w:rsid w:val="00105B48"/>
    <w:rsid w:val="00105C40"/>
    <w:rsid w:val="0010611B"/>
    <w:rsid w:val="00106235"/>
    <w:rsid w:val="0010626E"/>
    <w:rsid w:val="001068C8"/>
    <w:rsid w:val="0010692E"/>
    <w:rsid w:val="00106930"/>
    <w:rsid w:val="00106A3A"/>
    <w:rsid w:val="00106A6C"/>
    <w:rsid w:val="00106C6B"/>
    <w:rsid w:val="001070C5"/>
    <w:rsid w:val="0010719A"/>
    <w:rsid w:val="00107249"/>
    <w:rsid w:val="001072B7"/>
    <w:rsid w:val="00107302"/>
    <w:rsid w:val="001074B0"/>
    <w:rsid w:val="00107AB6"/>
    <w:rsid w:val="00107C46"/>
    <w:rsid w:val="00107D7B"/>
    <w:rsid w:val="00107DB1"/>
    <w:rsid w:val="0011012E"/>
    <w:rsid w:val="00110313"/>
    <w:rsid w:val="0011039D"/>
    <w:rsid w:val="001103CD"/>
    <w:rsid w:val="001108E5"/>
    <w:rsid w:val="001109A5"/>
    <w:rsid w:val="001109FA"/>
    <w:rsid w:val="00110A17"/>
    <w:rsid w:val="00110A70"/>
    <w:rsid w:val="00110CA9"/>
    <w:rsid w:val="00110CB4"/>
    <w:rsid w:val="00110E35"/>
    <w:rsid w:val="0011110A"/>
    <w:rsid w:val="001111D8"/>
    <w:rsid w:val="0011129D"/>
    <w:rsid w:val="001112D8"/>
    <w:rsid w:val="00111405"/>
    <w:rsid w:val="0011159A"/>
    <w:rsid w:val="001116BD"/>
    <w:rsid w:val="00111733"/>
    <w:rsid w:val="001117E8"/>
    <w:rsid w:val="0011196B"/>
    <w:rsid w:val="00111977"/>
    <w:rsid w:val="001119BE"/>
    <w:rsid w:val="00111B84"/>
    <w:rsid w:val="00111CE3"/>
    <w:rsid w:val="00111E00"/>
    <w:rsid w:val="00111F66"/>
    <w:rsid w:val="00111F8C"/>
    <w:rsid w:val="00112057"/>
    <w:rsid w:val="001125A5"/>
    <w:rsid w:val="001125B4"/>
    <w:rsid w:val="0011287D"/>
    <w:rsid w:val="00112B8B"/>
    <w:rsid w:val="00112B90"/>
    <w:rsid w:val="00112D4F"/>
    <w:rsid w:val="00112E44"/>
    <w:rsid w:val="00113071"/>
    <w:rsid w:val="001131B8"/>
    <w:rsid w:val="00113200"/>
    <w:rsid w:val="00113337"/>
    <w:rsid w:val="0011333C"/>
    <w:rsid w:val="001133B2"/>
    <w:rsid w:val="001137AE"/>
    <w:rsid w:val="001137D7"/>
    <w:rsid w:val="00113A02"/>
    <w:rsid w:val="00113A95"/>
    <w:rsid w:val="00113C86"/>
    <w:rsid w:val="00113DAF"/>
    <w:rsid w:val="0011415C"/>
    <w:rsid w:val="001142BB"/>
    <w:rsid w:val="00114305"/>
    <w:rsid w:val="00114329"/>
    <w:rsid w:val="00114564"/>
    <w:rsid w:val="0011460F"/>
    <w:rsid w:val="001147DE"/>
    <w:rsid w:val="00114A7A"/>
    <w:rsid w:val="00114D3C"/>
    <w:rsid w:val="00114F97"/>
    <w:rsid w:val="0011522E"/>
    <w:rsid w:val="00115564"/>
    <w:rsid w:val="00115737"/>
    <w:rsid w:val="0011584A"/>
    <w:rsid w:val="001159BB"/>
    <w:rsid w:val="00115B5C"/>
    <w:rsid w:val="00115C69"/>
    <w:rsid w:val="00115D17"/>
    <w:rsid w:val="00115E3D"/>
    <w:rsid w:val="00116168"/>
    <w:rsid w:val="00116172"/>
    <w:rsid w:val="00116385"/>
    <w:rsid w:val="00116423"/>
    <w:rsid w:val="00116719"/>
    <w:rsid w:val="00116A45"/>
    <w:rsid w:val="00116CAE"/>
    <w:rsid w:val="00116E88"/>
    <w:rsid w:val="00116F28"/>
    <w:rsid w:val="00117832"/>
    <w:rsid w:val="00117B30"/>
    <w:rsid w:val="00117C3E"/>
    <w:rsid w:val="00117DAA"/>
    <w:rsid w:val="00117F42"/>
    <w:rsid w:val="00120128"/>
    <w:rsid w:val="00120524"/>
    <w:rsid w:val="0012060E"/>
    <w:rsid w:val="00120648"/>
    <w:rsid w:val="001206D9"/>
    <w:rsid w:val="00120956"/>
    <w:rsid w:val="00120F2C"/>
    <w:rsid w:val="00120FDE"/>
    <w:rsid w:val="00121198"/>
    <w:rsid w:val="001212F5"/>
    <w:rsid w:val="0012142B"/>
    <w:rsid w:val="0012195A"/>
    <w:rsid w:val="00121A65"/>
    <w:rsid w:val="00121B76"/>
    <w:rsid w:val="00121CBC"/>
    <w:rsid w:val="00121CDF"/>
    <w:rsid w:val="00121D64"/>
    <w:rsid w:val="00121F0A"/>
    <w:rsid w:val="00121F34"/>
    <w:rsid w:val="00122390"/>
    <w:rsid w:val="00122555"/>
    <w:rsid w:val="00122573"/>
    <w:rsid w:val="00122618"/>
    <w:rsid w:val="0012285A"/>
    <w:rsid w:val="00122F57"/>
    <w:rsid w:val="00123004"/>
    <w:rsid w:val="0012379A"/>
    <w:rsid w:val="00123AB3"/>
    <w:rsid w:val="00123C98"/>
    <w:rsid w:val="00123D02"/>
    <w:rsid w:val="00124110"/>
    <w:rsid w:val="00124268"/>
    <w:rsid w:val="00124337"/>
    <w:rsid w:val="001243C6"/>
    <w:rsid w:val="001243FC"/>
    <w:rsid w:val="0012451D"/>
    <w:rsid w:val="001245C6"/>
    <w:rsid w:val="001245C9"/>
    <w:rsid w:val="0012477E"/>
    <w:rsid w:val="001247CA"/>
    <w:rsid w:val="00124A2B"/>
    <w:rsid w:val="00124AF9"/>
    <w:rsid w:val="00124C69"/>
    <w:rsid w:val="00124D32"/>
    <w:rsid w:val="00125165"/>
    <w:rsid w:val="001254F9"/>
    <w:rsid w:val="00125645"/>
    <w:rsid w:val="0012571B"/>
    <w:rsid w:val="00125AA1"/>
    <w:rsid w:val="00125C2E"/>
    <w:rsid w:val="00125DF8"/>
    <w:rsid w:val="00125FC4"/>
    <w:rsid w:val="00125FE1"/>
    <w:rsid w:val="0012603A"/>
    <w:rsid w:val="0012656A"/>
    <w:rsid w:val="0012666C"/>
    <w:rsid w:val="001266F4"/>
    <w:rsid w:val="00126956"/>
    <w:rsid w:val="00126B7F"/>
    <w:rsid w:val="00126CF6"/>
    <w:rsid w:val="00126CF7"/>
    <w:rsid w:val="00126E11"/>
    <w:rsid w:val="0012711D"/>
    <w:rsid w:val="00127129"/>
    <w:rsid w:val="001271FE"/>
    <w:rsid w:val="0012742A"/>
    <w:rsid w:val="00127472"/>
    <w:rsid w:val="0012751C"/>
    <w:rsid w:val="00127595"/>
    <w:rsid w:val="0012772B"/>
    <w:rsid w:val="00127883"/>
    <w:rsid w:val="00127B0D"/>
    <w:rsid w:val="00127EEF"/>
    <w:rsid w:val="00127F09"/>
    <w:rsid w:val="001302A2"/>
    <w:rsid w:val="001303FA"/>
    <w:rsid w:val="001305F8"/>
    <w:rsid w:val="001307C7"/>
    <w:rsid w:val="001309E3"/>
    <w:rsid w:val="00130A3A"/>
    <w:rsid w:val="00130C63"/>
    <w:rsid w:val="00130CDC"/>
    <w:rsid w:val="00131057"/>
    <w:rsid w:val="00131140"/>
    <w:rsid w:val="001311C9"/>
    <w:rsid w:val="0013137A"/>
    <w:rsid w:val="001315E9"/>
    <w:rsid w:val="001319FF"/>
    <w:rsid w:val="00131C1A"/>
    <w:rsid w:val="00131C8F"/>
    <w:rsid w:val="00131EDA"/>
    <w:rsid w:val="00131F63"/>
    <w:rsid w:val="001322DE"/>
    <w:rsid w:val="001323C7"/>
    <w:rsid w:val="001323CF"/>
    <w:rsid w:val="0013241E"/>
    <w:rsid w:val="00132700"/>
    <w:rsid w:val="00132C0F"/>
    <w:rsid w:val="00132F75"/>
    <w:rsid w:val="00133176"/>
    <w:rsid w:val="0013360E"/>
    <w:rsid w:val="00133736"/>
    <w:rsid w:val="00133D8F"/>
    <w:rsid w:val="00133F41"/>
    <w:rsid w:val="001344CF"/>
    <w:rsid w:val="001348CB"/>
    <w:rsid w:val="00134A68"/>
    <w:rsid w:val="00134E12"/>
    <w:rsid w:val="00135091"/>
    <w:rsid w:val="0013521A"/>
    <w:rsid w:val="0013579A"/>
    <w:rsid w:val="0013580C"/>
    <w:rsid w:val="00135A7E"/>
    <w:rsid w:val="00135B34"/>
    <w:rsid w:val="00135B5C"/>
    <w:rsid w:val="00135C05"/>
    <w:rsid w:val="00135D6E"/>
    <w:rsid w:val="00136309"/>
    <w:rsid w:val="0013643D"/>
    <w:rsid w:val="00136527"/>
    <w:rsid w:val="00136819"/>
    <w:rsid w:val="0013686B"/>
    <w:rsid w:val="0013696C"/>
    <w:rsid w:val="00136B24"/>
    <w:rsid w:val="00136D4E"/>
    <w:rsid w:val="00136E94"/>
    <w:rsid w:val="00136FF5"/>
    <w:rsid w:val="00137082"/>
    <w:rsid w:val="0013710F"/>
    <w:rsid w:val="00137465"/>
    <w:rsid w:val="00137699"/>
    <w:rsid w:val="001377C2"/>
    <w:rsid w:val="00137895"/>
    <w:rsid w:val="00137945"/>
    <w:rsid w:val="00137ACE"/>
    <w:rsid w:val="00137B47"/>
    <w:rsid w:val="00137D25"/>
    <w:rsid w:val="001400B5"/>
    <w:rsid w:val="00140151"/>
    <w:rsid w:val="00140263"/>
    <w:rsid w:val="00140633"/>
    <w:rsid w:val="00140A56"/>
    <w:rsid w:val="00140B55"/>
    <w:rsid w:val="00140BE4"/>
    <w:rsid w:val="00140E1A"/>
    <w:rsid w:val="001412D0"/>
    <w:rsid w:val="0014137C"/>
    <w:rsid w:val="001413DC"/>
    <w:rsid w:val="00141816"/>
    <w:rsid w:val="001419B9"/>
    <w:rsid w:val="00141A19"/>
    <w:rsid w:val="00141FC1"/>
    <w:rsid w:val="0014205D"/>
    <w:rsid w:val="00142389"/>
    <w:rsid w:val="00142A5C"/>
    <w:rsid w:val="00142E13"/>
    <w:rsid w:val="00142EE9"/>
    <w:rsid w:val="00143014"/>
    <w:rsid w:val="00143104"/>
    <w:rsid w:val="001431AC"/>
    <w:rsid w:val="0014325C"/>
    <w:rsid w:val="001434A5"/>
    <w:rsid w:val="00143746"/>
    <w:rsid w:val="001438C7"/>
    <w:rsid w:val="00143A6D"/>
    <w:rsid w:val="00143F35"/>
    <w:rsid w:val="00143F54"/>
    <w:rsid w:val="00143FA9"/>
    <w:rsid w:val="0014412A"/>
    <w:rsid w:val="0014423B"/>
    <w:rsid w:val="001443C3"/>
    <w:rsid w:val="0014440D"/>
    <w:rsid w:val="00144673"/>
    <w:rsid w:val="00144683"/>
    <w:rsid w:val="00144872"/>
    <w:rsid w:val="00144B0F"/>
    <w:rsid w:val="00145052"/>
    <w:rsid w:val="001450A0"/>
    <w:rsid w:val="00145D3F"/>
    <w:rsid w:val="00145DB0"/>
    <w:rsid w:val="00145F0C"/>
    <w:rsid w:val="00145F91"/>
    <w:rsid w:val="0014623D"/>
    <w:rsid w:val="0014637B"/>
    <w:rsid w:val="00146637"/>
    <w:rsid w:val="0014688D"/>
    <w:rsid w:val="001469A8"/>
    <w:rsid w:val="00146A9A"/>
    <w:rsid w:val="00146D5C"/>
    <w:rsid w:val="00146ECB"/>
    <w:rsid w:val="001470DB"/>
    <w:rsid w:val="00147417"/>
    <w:rsid w:val="00147833"/>
    <w:rsid w:val="00147C35"/>
    <w:rsid w:val="00147CAA"/>
    <w:rsid w:val="00147F15"/>
    <w:rsid w:val="00147F3A"/>
    <w:rsid w:val="0015018A"/>
    <w:rsid w:val="00150543"/>
    <w:rsid w:val="00150632"/>
    <w:rsid w:val="0015066E"/>
    <w:rsid w:val="001507D4"/>
    <w:rsid w:val="00150948"/>
    <w:rsid w:val="00150D36"/>
    <w:rsid w:val="00151350"/>
    <w:rsid w:val="001514DB"/>
    <w:rsid w:val="0015171F"/>
    <w:rsid w:val="0015175F"/>
    <w:rsid w:val="00151774"/>
    <w:rsid w:val="001518BC"/>
    <w:rsid w:val="001518D6"/>
    <w:rsid w:val="001519EB"/>
    <w:rsid w:val="00151A43"/>
    <w:rsid w:val="00151D80"/>
    <w:rsid w:val="00151DD8"/>
    <w:rsid w:val="00151F4B"/>
    <w:rsid w:val="00151F9F"/>
    <w:rsid w:val="00151FA5"/>
    <w:rsid w:val="001520A9"/>
    <w:rsid w:val="00152169"/>
    <w:rsid w:val="00152257"/>
    <w:rsid w:val="00152330"/>
    <w:rsid w:val="00152701"/>
    <w:rsid w:val="001527B2"/>
    <w:rsid w:val="00152B5A"/>
    <w:rsid w:val="00152D19"/>
    <w:rsid w:val="00152EEE"/>
    <w:rsid w:val="001530A3"/>
    <w:rsid w:val="0015350E"/>
    <w:rsid w:val="001535C4"/>
    <w:rsid w:val="001536DB"/>
    <w:rsid w:val="001536F5"/>
    <w:rsid w:val="00153931"/>
    <w:rsid w:val="001539A2"/>
    <w:rsid w:val="00153CB0"/>
    <w:rsid w:val="00153DE2"/>
    <w:rsid w:val="00153F1C"/>
    <w:rsid w:val="00153F8E"/>
    <w:rsid w:val="00154077"/>
    <w:rsid w:val="00154199"/>
    <w:rsid w:val="00154689"/>
    <w:rsid w:val="001546BE"/>
    <w:rsid w:val="00154709"/>
    <w:rsid w:val="001547D0"/>
    <w:rsid w:val="00154AA8"/>
    <w:rsid w:val="00154B75"/>
    <w:rsid w:val="00154E2F"/>
    <w:rsid w:val="00154EC0"/>
    <w:rsid w:val="00154F29"/>
    <w:rsid w:val="00155007"/>
    <w:rsid w:val="001556CB"/>
    <w:rsid w:val="00155725"/>
    <w:rsid w:val="001557CF"/>
    <w:rsid w:val="001557FB"/>
    <w:rsid w:val="00155828"/>
    <w:rsid w:val="00155B7A"/>
    <w:rsid w:val="00155D10"/>
    <w:rsid w:val="00155EFB"/>
    <w:rsid w:val="001564C8"/>
    <w:rsid w:val="00156757"/>
    <w:rsid w:val="00156907"/>
    <w:rsid w:val="00156973"/>
    <w:rsid w:val="00156976"/>
    <w:rsid w:val="00156D31"/>
    <w:rsid w:val="00156E77"/>
    <w:rsid w:val="00157084"/>
    <w:rsid w:val="00157566"/>
    <w:rsid w:val="00157819"/>
    <w:rsid w:val="00157932"/>
    <w:rsid w:val="00157978"/>
    <w:rsid w:val="001579CA"/>
    <w:rsid w:val="00157E0A"/>
    <w:rsid w:val="00157E3C"/>
    <w:rsid w:val="00157E92"/>
    <w:rsid w:val="00157F84"/>
    <w:rsid w:val="00160364"/>
    <w:rsid w:val="00160417"/>
    <w:rsid w:val="001604AA"/>
    <w:rsid w:val="00160C7E"/>
    <w:rsid w:val="00160D34"/>
    <w:rsid w:val="001610DC"/>
    <w:rsid w:val="00161307"/>
    <w:rsid w:val="00161518"/>
    <w:rsid w:val="00161777"/>
    <w:rsid w:val="001617C6"/>
    <w:rsid w:val="00161B5D"/>
    <w:rsid w:val="00161CF5"/>
    <w:rsid w:val="00161F96"/>
    <w:rsid w:val="001623A3"/>
    <w:rsid w:val="00162790"/>
    <w:rsid w:val="001629E0"/>
    <w:rsid w:val="00162A7A"/>
    <w:rsid w:val="00162B0C"/>
    <w:rsid w:val="00162F11"/>
    <w:rsid w:val="00162FF5"/>
    <w:rsid w:val="00163147"/>
    <w:rsid w:val="001631C3"/>
    <w:rsid w:val="0016325E"/>
    <w:rsid w:val="0016336D"/>
    <w:rsid w:val="00163905"/>
    <w:rsid w:val="001639CA"/>
    <w:rsid w:val="001639FA"/>
    <w:rsid w:val="00163CAB"/>
    <w:rsid w:val="00163E66"/>
    <w:rsid w:val="001640D8"/>
    <w:rsid w:val="00164296"/>
    <w:rsid w:val="001645CA"/>
    <w:rsid w:val="001646A0"/>
    <w:rsid w:val="00164755"/>
    <w:rsid w:val="001647AC"/>
    <w:rsid w:val="00164BEF"/>
    <w:rsid w:val="00164D59"/>
    <w:rsid w:val="00164E05"/>
    <w:rsid w:val="00164F05"/>
    <w:rsid w:val="00165291"/>
    <w:rsid w:val="00165368"/>
    <w:rsid w:val="001653AB"/>
    <w:rsid w:val="00165942"/>
    <w:rsid w:val="0016599E"/>
    <w:rsid w:val="00165DFF"/>
    <w:rsid w:val="00165F2F"/>
    <w:rsid w:val="001661E0"/>
    <w:rsid w:val="00166678"/>
    <w:rsid w:val="001667BD"/>
    <w:rsid w:val="00166C8B"/>
    <w:rsid w:val="00166CF8"/>
    <w:rsid w:val="00166E37"/>
    <w:rsid w:val="00166E68"/>
    <w:rsid w:val="00166E92"/>
    <w:rsid w:val="001671CE"/>
    <w:rsid w:val="00167618"/>
    <w:rsid w:val="00167710"/>
    <w:rsid w:val="001700BD"/>
    <w:rsid w:val="001701EC"/>
    <w:rsid w:val="00170350"/>
    <w:rsid w:val="001704F4"/>
    <w:rsid w:val="00170B16"/>
    <w:rsid w:val="00170E2D"/>
    <w:rsid w:val="00170ED9"/>
    <w:rsid w:val="0017119F"/>
    <w:rsid w:val="00171246"/>
    <w:rsid w:val="00171736"/>
    <w:rsid w:val="0017174C"/>
    <w:rsid w:val="00171C0B"/>
    <w:rsid w:val="00171CAE"/>
    <w:rsid w:val="00171ED8"/>
    <w:rsid w:val="00171F79"/>
    <w:rsid w:val="00172347"/>
    <w:rsid w:val="00172543"/>
    <w:rsid w:val="001726AF"/>
    <w:rsid w:val="001728D5"/>
    <w:rsid w:val="0017297B"/>
    <w:rsid w:val="00172AEE"/>
    <w:rsid w:val="00172E12"/>
    <w:rsid w:val="00173085"/>
    <w:rsid w:val="00173311"/>
    <w:rsid w:val="00173A2A"/>
    <w:rsid w:val="00173AE1"/>
    <w:rsid w:val="00173B22"/>
    <w:rsid w:val="00173C71"/>
    <w:rsid w:val="00173DDF"/>
    <w:rsid w:val="00173DF1"/>
    <w:rsid w:val="00173DF4"/>
    <w:rsid w:val="0017410E"/>
    <w:rsid w:val="001741AC"/>
    <w:rsid w:val="001741B8"/>
    <w:rsid w:val="001744C2"/>
    <w:rsid w:val="0017464B"/>
    <w:rsid w:val="0017481E"/>
    <w:rsid w:val="00174F41"/>
    <w:rsid w:val="00175FB7"/>
    <w:rsid w:val="00176076"/>
    <w:rsid w:val="00176154"/>
    <w:rsid w:val="001761BF"/>
    <w:rsid w:val="001762E5"/>
    <w:rsid w:val="0017637C"/>
    <w:rsid w:val="00176393"/>
    <w:rsid w:val="00176418"/>
    <w:rsid w:val="001764AE"/>
    <w:rsid w:val="001764EB"/>
    <w:rsid w:val="00176523"/>
    <w:rsid w:val="0017667F"/>
    <w:rsid w:val="0017668C"/>
    <w:rsid w:val="001767C9"/>
    <w:rsid w:val="0017689A"/>
    <w:rsid w:val="00176911"/>
    <w:rsid w:val="00176954"/>
    <w:rsid w:val="00176F03"/>
    <w:rsid w:val="00176FC1"/>
    <w:rsid w:val="001772B6"/>
    <w:rsid w:val="001774F9"/>
    <w:rsid w:val="00177563"/>
    <w:rsid w:val="0017757B"/>
    <w:rsid w:val="00177695"/>
    <w:rsid w:val="00177728"/>
    <w:rsid w:val="00177842"/>
    <w:rsid w:val="00177B1F"/>
    <w:rsid w:val="00180039"/>
    <w:rsid w:val="00180055"/>
    <w:rsid w:val="001800DC"/>
    <w:rsid w:val="0018035A"/>
    <w:rsid w:val="00180486"/>
    <w:rsid w:val="0018082A"/>
    <w:rsid w:val="00180F8D"/>
    <w:rsid w:val="00180FA8"/>
    <w:rsid w:val="00181044"/>
    <w:rsid w:val="001813F7"/>
    <w:rsid w:val="00181525"/>
    <w:rsid w:val="001815AD"/>
    <w:rsid w:val="00181765"/>
    <w:rsid w:val="001819A7"/>
    <w:rsid w:val="00181AB5"/>
    <w:rsid w:val="00181ABB"/>
    <w:rsid w:val="00181BBD"/>
    <w:rsid w:val="00181DB9"/>
    <w:rsid w:val="00182068"/>
    <w:rsid w:val="0018212C"/>
    <w:rsid w:val="00182159"/>
    <w:rsid w:val="0018239F"/>
    <w:rsid w:val="0018244F"/>
    <w:rsid w:val="0018270B"/>
    <w:rsid w:val="001827D3"/>
    <w:rsid w:val="001828D0"/>
    <w:rsid w:val="00182BDB"/>
    <w:rsid w:val="00182DE1"/>
    <w:rsid w:val="00182F8C"/>
    <w:rsid w:val="0018310F"/>
    <w:rsid w:val="00183298"/>
    <w:rsid w:val="0018340B"/>
    <w:rsid w:val="001834F1"/>
    <w:rsid w:val="0018350F"/>
    <w:rsid w:val="00183A25"/>
    <w:rsid w:val="00183CBD"/>
    <w:rsid w:val="00183D48"/>
    <w:rsid w:val="00183DF1"/>
    <w:rsid w:val="00183E78"/>
    <w:rsid w:val="00183FA4"/>
    <w:rsid w:val="0018403B"/>
    <w:rsid w:val="00184507"/>
    <w:rsid w:val="00184992"/>
    <w:rsid w:val="001849DA"/>
    <w:rsid w:val="00184A46"/>
    <w:rsid w:val="00184AC5"/>
    <w:rsid w:val="00184BF6"/>
    <w:rsid w:val="00184D5D"/>
    <w:rsid w:val="00184D76"/>
    <w:rsid w:val="001850B8"/>
    <w:rsid w:val="00185234"/>
    <w:rsid w:val="001852AF"/>
    <w:rsid w:val="001852B4"/>
    <w:rsid w:val="00185341"/>
    <w:rsid w:val="001858DA"/>
    <w:rsid w:val="00185AA6"/>
    <w:rsid w:val="00185D73"/>
    <w:rsid w:val="00185E1D"/>
    <w:rsid w:val="00185F5C"/>
    <w:rsid w:val="00186132"/>
    <w:rsid w:val="001865D8"/>
    <w:rsid w:val="00186968"/>
    <w:rsid w:val="00186997"/>
    <w:rsid w:val="00186B02"/>
    <w:rsid w:val="00186FB0"/>
    <w:rsid w:val="0018725D"/>
    <w:rsid w:val="001876CD"/>
    <w:rsid w:val="001878BC"/>
    <w:rsid w:val="00187A33"/>
    <w:rsid w:val="00187AEB"/>
    <w:rsid w:val="00187BF6"/>
    <w:rsid w:val="00187C38"/>
    <w:rsid w:val="0019012A"/>
    <w:rsid w:val="001904CC"/>
    <w:rsid w:val="00190701"/>
    <w:rsid w:val="00190793"/>
    <w:rsid w:val="00190F88"/>
    <w:rsid w:val="00191094"/>
    <w:rsid w:val="00191131"/>
    <w:rsid w:val="001913E1"/>
    <w:rsid w:val="00191588"/>
    <w:rsid w:val="00191598"/>
    <w:rsid w:val="00191841"/>
    <w:rsid w:val="001919F7"/>
    <w:rsid w:val="00191B14"/>
    <w:rsid w:val="00191C8E"/>
    <w:rsid w:val="00191D78"/>
    <w:rsid w:val="00191DDD"/>
    <w:rsid w:val="00191F65"/>
    <w:rsid w:val="0019217D"/>
    <w:rsid w:val="001923D9"/>
    <w:rsid w:val="00192649"/>
    <w:rsid w:val="00192AB3"/>
    <w:rsid w:val="00192C49"/>
    <w:rsid w:val="00192CC5"/>
    <w:rsid w:val="00192D80"/>
    <w:rsid w:val="00192DCD"/>
    <w:rsid w:val="00192EC7"/>
    <w:rsid w:val="00192F8A"/>
    <w:rsid w:val="0019333D"/>
    <w:rsid w:val="00193382"/>
    <w:rsid w:val="00193395"/>
    <w:rsid w:val="001934D9"/>
    <w:rsid w:val="001936B5"/>
    <w:rsid w:val="001937BD"/>
    <w:rsid w:val="00193843"/>
    <w:rsid w:val="00193BF6"/>
    <w:rsid w:val="00193C62"/>
    <w:rsid w:val="00193CD6"/>
    <w:rsid w:val="00193E9B"/>
    <w:rsid w:val="00193F03"/>
    <w:rsid w:val="00193F6D"/>
    <w:rsid w:val="0019414A"/>
    <w:rsid w:val="001941D2"/>
    <w:rsid w:val="00194223"/>
    <w:rsid w:val="001945AD"/>
    <w:rsid w:val="00194786"/>
    <w:rsid w:val="001948B1"/>
    <w:rsid w:val="001948E1"/>
    <w:rsid w:val="00194B2C"/>
    <w:rsid w:val="00195714"/>
    <w:rsid w:val="00195873"/>
    <w:rsid w:val="001959CC"/>
    <w:rsid w:val="00195A3C"/>
    <w:rsid w:val="00195B9F"/>
    <w:rsid w:val="00195E24"/>
    <w:rsid w:val="00195FBA"/>
    <w:rsid w:val="00195FF6"/>
    <w:rsid w:val="00196351"/>
    <w:rsid w:val="0019635C"/>
    <w:rsid w:val="00196399"/>
    <w:rsid w:val="001964E4"/>
    <w:rsid w:val="00196711"/>
    <w:rsid w:val="00196948"/>
    <w:rsid w:val="00196BE9"/>
    <w:rsid w:val="00196CBA"/>
    <w:rsid w:val="00196CDF"/>
    <w:rsid w:val="00196D86"/>
    <w:rsid w:val="00196F98"/>
    <w:rsid w:val="00197346"/>
    <w:rsid w:val="00197404"/>
    <w:rsid w:val="001974B5"/>
    <w:rsid w:val="001975A3"/>
    <w:rsid w:val="00197919"/>
    <w:rsid w:val="00197B5C"/>
    <w:rsid w:val="00197C26"/>
    <w:rsid w:val="00197CCC"/>
    <w:rsid w:val="00197E23"/>
    <w:rsid w:val="00197E65"/>
    <w:rsid w:val="001A01B8"/>
    <w:rsid w:val="001A037C"/>
    <w:rsid w:val="001A06F9"/>
    <w:rsid w:val="001A0700"/>
    <w:rsid w:val="001A080D"/>
    <w:rsid w:val="001A0AA8"/>
    <w:rsid w:val="001A0B75"/>
    <w:rsid w:val="001A0DBF"/>
    <w:rsid w:val="001A0DEF"/>
    <w:rsid w:val="001A0E25"/>
    <w:rsid w:val="001A0F66"/>
    <w:rsid w:val="001A0F98"/>
    <w:rsid w:val="001A12E0"/>
    <w:rsid w:val="001A150C"/>
    <w:rsid w:val="001A1B73"/>
    <w:rsid w:val="001A1BC3"/>
    <w:rsid w:val="001A1BC5"/>
    <w:rsid w:val="001A1BC7"/>
    <w:rsid w:val="001A20AB"/>
    <w:rsid w:val="001A21FA"/>
    <w:rsid w:val="001A229C"/>
    <w:rsid w:val="001A2D99"/>
    <w:rsid w:val="001A2E31"/>
    <w:rsid w:val="001A2F1A"/>
    <w:rsid w:val="001A30FF"/>
    <w:rsid w:val="001A337D"/>
    <w:rsid w:val="001A3646"/>
    <w:rsid w:val="001A382B"/>
    <w:rsid w:val="001A3AA6"/>
    <w:rsid w:val="001A3B01"/>
    <w:rsid w:val="001A3B0D"/>
    <w:rsid w:val="001A3B9A"/>
    <w:rsid w:val="001A3BD6"/>
    <w:rsid w:val="001A4009"/>
    <w:rsid w:val="001A405B"/>
    <w:rsid w:val="001A40B5"/>
    <w:rsid w:val="001A45BD"/>
    <w:rsid w:val="001A4765"/>
    <w:rsid w:val="001A4C62"/>
    <w:rsid w:val="001A4F70"/>
    <w:rsid w:val="001A5303"/>
    <w:rsid w:val="001A54F3"/>
    <w:rsid w:val="001A5651"/>
    <w:rsid w:val="001A58E2"/>
    <w:rsid w:val="001A5938"/>
    <w:rsid w:val="001A5971"/>
    <w:rsid w:val="001A5D3D"/>
    <w:rsid w:val="001A5D42"/>
    <w:rsid w:val="001A5E08"/>
    <w:rsid w:val="001A616B"/>
    <w:rsid w:val="001A6185"/>
    <w:rsid w:val="001A62EC"/>
    <w:rsid w:val="001A63F4"/>
    <w:rsid w:val="001A6490"/>
    <w:rsid w:val="001A66F6"/>
    <w:rsid w:val="001A671A"/>
    <w:rsid w:val="001A692F"/>
    <w:rsid w:val="001A69AD"/>
    <w:rsid w:val="001A6B96"/>
    <w:rsid w:val="001A6C03"/>
    <w:rsid w:val="001A6D03"/>
    <w:rsid w:val="001A6DAF"/>
    <w:rsid w:val="001A6F90"/>
    <w:rsid w:val="001A70AC"/>
    <w:rsid w:val="001A7124"/>
    <w:rsid w:val="001A71E1"/>
    <w:rsid w:val="001A72C6"/>
    <w:rsid w:val="001A73D4"/>
    <w:rsid w:val="001A778B"/>
    <w:rsid w:val="001A7795"/>
    <w:rsid w:val="001A77FE"/>
    <w:rsid w:val="001A7876"/>
    <w:rsid w:val="001A78F1"/>
    <w:rsid w:val="001A7CAA"/>
    <w:rsid w:val="001A7ECE"/>
    <w:rsid w:val="001A7EF5"/>
    <w:rsid w:val="001B05F4"/>
    <w:rsid w:val="001B0679"/>
    <w:rsid w:val="001B08E0"/>
    <w:rsid w:val="001B0DCC"/>
    <w:rsid w:val="001B1323"/>
    <w:rsid w:val="001B159D"/>
    <w:rsid w:val="001B19AF"/>
    <w:rsid w:val="001B1A79"/>
    <w:rsid w:val="001B1B23"/>
    <w:rsid w:val="001B21E2"/>
    <w:rsid w:val="001B21EB"/>
    <w:rsid w:val="001B226F"/>
    <w:rsid w:val="001B22DE"/>
    <w:rsid w:val="001B23AA"/>
    <w:rsid w:val="001B23C6"/>
    <w:rsid w:val="001B249A"/>
    <w:rsid w:val="001B2536"/>
    <w:rsid w:val="001B2A0C"/>
    <w:rsid w:val="001B2A29"/>
    <w:rsid w:val="001B2F20"/>
    <w:rsid w:val="001B31E4"/>
    <w:rsid w:val="001B3837"/>
    <w:rsid w:val="001B3841"/>
    <w:rsid w:val="001B3B08"/>
    <w:rsid w:val="001B3B48"/>
    <w:rsid w:val="001B3C02"/>
    <w:rsid w:val="001B3D2A"/>
    <w:rsid w:val="001B3E8C"/>
    <w:rsid w:val="001B3F6F"/>
    <w:rsid w:val="001B4170"/>
    <w:rsid w:val="001B420D"/>
    <w:rsid w:val="001B4483"/>
    <w:rsid w:val="001B45CF"/>
    <w:rsid w:val="001B474A"/>
    <w:rsid w:val="001B4913"/>
    <w:rsid w:val="001B497E"/>
    <w:rsid w:val="001B4C1B"/>
    <w:rsid w:val="001B4CFE"/>
    <w:rsid w:val="001B4D2F"/>
    <w:rsid w:val="001B5145"/>
    <w:rsid w:val="001B5188"/>
    <w:rsid w:val="001B54C8"/>
    <w:rsid w:val="001B5523"/>
    <w:rsid w:val="001B5669"/>
    <w:rsid w:val="001B56B9"/>
    <w:rsid w:val="001B5B04"/>
    <w:rsid w:val="001B5DA7"/>
    <w:rsid w:val="001B5F34"/>
    <w:rsid w:val="001B5F59"/>
    <w:rsid w:val="001B6101"/>
    <w:rsid w:val="001B6544"/>
    <w:rsid w:val="001B6633"/>
    <w:rsid w:val="001B66E0"/>
    <w:rsid w:val="001B68F0"/>
    <w:rsid w:val="001B699E"/>
    <w:rsid w:val="001B6B67"/>
    <w:rsid w:val="001B6CAD"/>
    <w:rsid w:val="001B6D77"/>
    <w:rsid w:val="001B6EFB"/>
    <w:rsid w:val="001B6F69"/>
    <w:rsid w:val="001B705D"/>
    <w:rsid w:val="001B70B4"/>
    <w:rsid w:val="001B70FC"/>
    <w:rsid w:val="001B7255"/>
    <w:rsid w:val="001B73CD"/>
    <w:rsid w:val="001B7470"/>
    <w:rsid w:val="001B757A"/>
    <w:rsid w:val="001B7A1F"/>
    <w:rsid w:val="001B7BB5"/>
    <w:rsid w:val="001B7BBA"/>
    <w:rsid w:val="001C00A3"/>
    <w:rsid w:val="001C034B"/>
    <w:rsid w:val="001C03FA"/>
    <w:rsid w:val="001C0405"/>
    <w:rsid w:val="001C0475"/>
    <w:rsid w:val="001C0643"/>
    <w:rsid w:val="001C0784"/>
    <w:rsid w:val="001C07F1"/>
    <w:rsid w:val="001C0824"/>
    <w:rsid w:val="001C0903"/>
    <w:rsid w:val="001C0A7E"/>
    <w:rsid w:val="001C0D2C"/>
    <w:rsid w:val="001C0FDE"/>
    <w:rsid w:val="001C11F9"/>
    <w:rsid w:val="001C1273"/>
    <w:rsid w:val="001C12CE"/>
    <w:rsid w:val="001C1316"/>
    <w:rsid w:val="001C14EB"/>
    <w:rsid w:val="001C1A19"/>
    <w:rsid w:val="001C1D7A"/>
    <w:rsid w:val="001C1E1A"/>
    <w:rsid w:val="001C1E1D"/>
    <w:rsid w:val="001C1F89"/>
    <w:rsid w:val="001C1FF2"/>
    <w:rsid w:val="001C21FB"/>
    <w:rsid w:val="001C248B"/>
    <w:rsid w:val="001C24E1"/>
    <w:rsid w:val="001C28E1"/>
    <w:rsid w:val="001C2A93"/>
    <w:rsid w:val="001C2BA9"/>
    <w:rsid w:val="001C2CC0"/>
    <w:rsid w:val="001C2E39"/>
    <w:rsid w:val="001C2EAE"/>
    <w:rsid w:val="001C327A"/>
    <w:rsid w:val="001C32D4"/>
    <w:rsid w:val="001C3472"/>
    <w:rsid w:val="001C3536"/>
    <w:rsid w:val="001C35FC"/>
    <w:rsid w:val="001C43BD"/>
    <w:rsid w:val="001C4514"/>
    <w:rsid w:val="001C4717"/>
    <w:rsid w:val="001C4B77"/>
    <w:rsid w:val="001C4C1E"/>
    <w:rsid w:val="001C4E50"/>
    <w:rsid w:val="001C532A"/>
    <w:rsid w:val="001C5358"/>
    <w:rsid w:val="001C551B"/>
    <w:rsid w:val="001C56CD"/>
    <w:rsid w:val="001C56E1"/>
    <w:rsid w:val="001C60DA"/>
    <w:rsid w:val="001C6100"/>
    <w:rsid w:val="001C65AC"/>
    <w:rsid w:val="001C66ED"/>
    <w:rsid w:val="001C6806"/>
    <w:rsid w:val="001C69C2"/>
    <w:rsid w:val="001C6A3D"/>
    <w:rsid w:val="001C6B62"/>
    <w:rsid w:val="001C6F5B"/>
    <w:rsid w:val="001C70A4"/>
    <w:rsid w:val="001C74D4"/>
    <w:rsid w:val="001C787D"/>
    <w:rsid w:val="001C78F4"/>
    <w:rsid w:val="001C7997"/>
    <w:rsid w:val="001C7B1C"/>
    <w:rsid w:val="001C7CC3"/>
    <w:rsid w:val="001D0054"/>
    <w:rsid w:val="001D037D"/>
    <w:rsid w:val="001D04A5"/>
    <w:rsid w:val="001D09B9"/>
    <w:rsid w:val="001D0B55"/>
    <w:rsid w:val="001D0C89"/>
    <w:rsid w:val="001D0E5E"/>
    <w:rsid w:val="001D1098"/>
    <w:rsid w:val="001D12C5"/>
    <w:rsid w:val="001D14DA"/>
    <w:rsid w:val="001D16F8"/>
    <w:rsid w:val="001D1A55"/>
    <w:rsid w:val="001D1F1E"/>
    <w:rsid w:val="001D2029"/>
    <w:rsid w:val="001D20F7"/>
    <w:rsid w:val="001D2100"/>
    <w:rsid w:val="001D213B"/>
    <w:rsid w:val="001D21DD"/>
    <w:rsid w:val="001D224A"/>
    <w:rsid w:val="001D22CF"/>
    <w:rsid w:val="001D23FA"/>
    <w:rsid w:val="001D24D9"/>
    <w:rsid w:val="001D2576"/>
    <w:rsid w:val="001D2689"/>
    <w:rsid w:val="001D26D5"/>
    <w:rsid w:val="001D280F"/>
    <w:rsid w:val="001D2CEE"/>
    <w:rsid w:val="001D30C9"/>
    <w:rsid w:val="001D311E"/>
    <w:rsid w:val="001D31A2"/>
    <w:rsid w:val="001D31EC"/>
    <w:rsid w:val="001D32AB"/>
    <w:rsid w:val="001D32F5"/>
    <w:rsid w:val="001D338E"/>
    <w:rsid w:val="001D3589"/>
    <w:rsid w:val="001D392A"/>
    <w:rsid w:val="001D3E93"/>
    <w:rsid w:val="001D404A"/>
    <w:rsid w:val="001D40C0"/>
    <w:rsid w:val="001D4122"/>
    <w:rsid w:val="001D4486"/>
    <w:rsid w:val="001D4605"/>
    <w:rsid w:val="001D4872"/>
    <w:rsid w:val="001D496E"/>
    <w:rsid w:val="001D49EF"/>
    <w:rsid w:val="001D4AD8"/>
    <w:rsid w:val="001D4EF3"/>
    <w:rsid w:val="001D4F8D"/>
    <w:rsid w:val="001D4FA3"/>
    <w:rsid w:val="001D5341"/>
    <w:rsid w:val="001D5419"/>
    <w:rsid w:val="001D5472"/>
    <w:rsid w:val="001D55AD"/>
    <w:rsid w:val="001D561A"/>
    <w:rsid w:val="001D57AE"/>
    <w:rsid w:val="001D57D3"/>
    <w:rsid w:val="001D5A48"/>
    <w:rsid w:val="001D5CF5"/>
    <w:rsid w:val="001D5D40"/>
    <w:rsid w:val="001D5D7B"/>
    <w:rsid w:val="001D61DA"/>
    <w:rsid w:val="001D67CB"/>
    <w:rsid w:val="001D6A5D"/>
    <w:rsid w:val="001D6BA1"/>
    <w:rsid w:val="001D7098"/>
    <w:rsid w:val="001D70C7"/>
    <w:rsid w:val="001D7644"/>
    <w:rsid w:val="001D7718"/>
    <w:rsid w:val="001D77CC"/>
    <w:rsid w:val="001D77F2"/>
    <w:rsid w:val="001D7BB9"/>
    <w:rsid w:val="001E0ACA"/>
    <w:rsid w:val="001E0B9B"/>
    <w:rsid w:val="001E1465"/>
    <w:rsid w:val="001E166E"/>
    <w:rsid w:val="001E16F2"/>
    <w:rsid w:val="001E188F"/>
    <w:rsid w:val="001E19F4"/>
    <w:rsid w:val="001E1BAE"/>
    <w:rsid w:val="001E230F"/>
    <w:rsid w:val="001E2443"/>
    <w:rsid w:val="001E2729"/>
    <w:rsid w:val="001E27BF"/>
    <w:rsid w:val="001E281F"/>
    <w:rsid w:val="001E2824"/>
    <w:rsid w:val="001E284F"/>
    <w:rsid w:val="001E2A1D"/>
    <w:rsid w:val="001E2A1E"/>
    <w:rsid w:val="001E2B08"/>
    <w:rsid w:val="001E2BF2"/>
    <w:rsid w:val="001E2CD9"/>
    <w:rsid w:val="001E306A"/>
    <w:rsid w:val="001E309A"/>
    <w:rsid w:val="001E33AC"/>
    <w:rsid w:val="001E3683"/>
    <w:rsid w:val="001E3AA6"/>
    <w:rsid w:val="001E3ABE"/>
    <w:rsid w:val="001E3BDF"/>
    <w:rsid w:val="001E3D13"/>
    <w:rsid w:val="001E3D63"/>
    <w:rsid w:val="001E3EA8"/>
    <w:rsid w:val="001E3F5E"/>
    <w:rsid w:val="001E3F94"/>
    <w:rsid w:val="001E421E"/>
    <w:rsid w:val="001E43CE"/>
    <w:rsid w:val="001E4594"/>
    <w:rsid w:val="001E462D"/>
    <w:rsid w:val="001E4CC9"/>
    <w:rsid w:val="001E4DED"/>
    <w:rsid w:val="001E4F34"/>
    <w:rsid w:val="001E508A"/>
    <w:rsid w:val="001E50AE"/>
    <w:rsid w:val="001E5230"/>
    <w:rsid w:val="001E524F"/>
    <w:rsid w:val="001E52C1"/>
    <w:rsid w:val="001E53A5"/>
    <w:rsid w:val="001E552D"/>
    <w:rsid w:val="001E55C6"/>
    <w:rsid w:val="001E5762"/>
    <w:rsid w:val="001E5B8A"/>
    <w:rsid w:val="001E660F"/>
    <w:rsid w:val="001E69EF"/>
    <w:rsid w:val="001E6AE5"/>
    <w:rsid w:val="001E6E63"/>
    <w:rsid w:val="001E7231"/>
    <w:rsid w:val="001E731C"/>
    <w:rsid w:val="001E740F"/>
    <w:rsid w:val="001E7498"/>
    <w:rsid w:val="001E74F3"/>
    <w:rsid w:val="001E7947"/>
    <w:rsid w:val="001E797C"/>
    <w:rsid w:val="001E7AE7"/>
    <w:rsid w:val="001E7BF4"/>
    <w:rsid w:val="001E7CD0"/>
    <w:rsid w:val="001E7D24"/>
    <w:rsid w:val="001E7DF3"/>
    <w:rsid w:val="001E7F5E"/>
    <w:rsid w:val="001F044C"/>
    <w:rsid w:val="001F047E"/>
    <w:rsid w:val="001F04A8"/>
    <w:rsid w:val="001F04F6"/>
    <w:rsid w:val="001F05FD"/>
    <w:rsid w:val="001F0AA1"/>
    <w:rsid w:val="001F0C0F"/>
    <w:rsid w:val="001F0C3F"/>
    <w:rsid w:val="001F0C5B"/>
    <w:rsid w:val="001F0EE7"/>
    <w:rsid w:val="001F11D0"/>
    <w:rsid w:val="001F123B"/>
    <w:rsid w:val="001F13D0"/>
    <w:rsid w:val="001F157D"/>
    <w:rsid w:val="001F1BEA"/>
    <w:rsid w:val="001F1E43"/>
    <w:rsid w:val="001F1E55"/>
    <w:rsid w:val="001F2187"/>
    <w:rsid w:val="001F22BA"/>
    <w:rsid w:val="001F2487"/>
    <w:rsid w:val="001F25C5"/>
    <w:rsid w:val="001F2608"/>
    <w:rsid w:val="001F26AD"/>
    <w:rsid w:val="001F2815"/>
    <w:rsid w:val="001F285C"/>
    <w:rsid w:val="001F2BBA"/>
    <w:rsid w:val="001F2D90"/>
    <w:rsid w:val="001F307E"/>
    <w:rsid w:val="001F3538"/>
    <w:rsid w:val="001F37C6"/>
    <w:rsid w:val="001F37D3"/>
    <w:rsid w:val="001F3838"/>
    <w:rsid w:val="001F3A29"/>
    <w:rsid w:val="001F3B64"/>
    <w:rsid w:val="001F3B9C"/>
    <w:rsid w:val="001F3BF1"/>
    <w:rsid w:val="001F3C51"/>
    <w:rsid w:val="001F3D79"/>
    <w:rsid w:val="001F3DD6"/>
    <w:rsid w:val="001F3EB5"/>
    <w:rsid w:val="001F3FDC"/>
    <w:rsid w:val="001F4024"/>
    <w:rsid w:val="001F435E"/>
    <w:rsid w:val="001F4995"/>
    <w:rsid w:val="001F5042"/>
    <w:rsid w:val="001F504E"/>
    <w:rsid w:val="001F517F"/>
    <w:rsid w:val="001F52A0"/>
    <w:rsid w:val="001F5537"/>
    <w:rsid w:val="001F59F2"/>
    <w:rsid w:val="001F5AC1"/>
    <w:rsid w:val="001F5E16"/>
    <w:rsid w:val="001F5FE0"/>
    <w:rsid w:val="001F6043"/>
    <w:rsid w:val="001F6242"/>
    <w:rsid w:val="001F64BD"/>
    <w:rsid w:val="001F671A"/>
    <w:rsid w:val="001F673F"/>
    <w:rsid w:val="001F68B4"/>
    <w:rsid w:val="001F6933"/>
    <w:rsid w:val="001F6C44"/>
    <w:rsid w:val="001F7172"/>
    <w:rsid w:val="001F71F8"/>
    <w:rsid w:val="001F74F3"/>
    <w:rsid w:val="001F7586"/>
    <w:rsid w:val="001F761B"/>
    <w:rsid w:val="001F76B4"/>
    <w:rsid w:val="001F7742"/>
    <w:rsid w:val="001F7931"/>
    <w:rsid w:val="001F7B52"/>
    <w:rsid w:val="001F7B6A"/>
    <w:rsid w:val="001F7DC7"/>
    <w:rsid w:val="001F7E41"/>
    <w:rsid w:val="001F7EA7"/>
    <w:rsid w:val="001F7F37"/>
    <w:rsid w:val="001F7F67"/>
    <w:rsid w:val="001F7F8C"/>
    <w:rsid w:val="001F7F98"/>
    <w:rsid w:val="0020003A"/>
    <w:rsid w:val="00200371"/>
    <w:rsid w:val="002006A7"/>
    <w:rsid w:val="00200A86"/>
    <w:rsid w:val="00200AF1"/>
    <w:rsid w:val="00200EBB"/>
    <w:rsid w:val="00200F33"/>
    <w:rsid w:val="0020101F"/>
    <w:rsid w:val="00201090"/>
    <w:rsid w:val="0020117D"/>
    <w:rsid w:val="002015CB"/>
    <w:rsid w:val="0020163B"/>
    <w:rsid w:val="0020165D"/>
    <w:rsid w:val="00201A0D"/>
    <w:rsid w:val="00201A43"/>
    <w:rsid w:val="00201AB8"/>
    <w:rsid w:val="00201C96"/>
    <w:rsid w:val="00201D39"/>
    <w:rsid w:val="00201E3F"/>
    <w:rsid w:val="0020200D"/>
    <w:rsid w:val="00202090"/>
    <w:rsid w:val="0020212E"/>
    <w:rsid w:val="0020239D"/>
    <w:rsid w:val="00202485"/>
    <w:rsid w:val="00202517"/>
    <w:rsid w:val="0020274C"/>
    <w:rsid w:val="0020276D"/>
    <w:rsid w:val="002027DF"/>
    <w:rsid w:val="00202A44"/>
    <w:rsid w:val="00202A49"/>
    <w:rsid w:val="00202C58"/>
    <w:rsid w:val="00202CDB"/>
    <w:rsid w:val="00202DA1"/>
    <w:rsid w:val="00202DA7"/>
    <w:rsid w:val="0020318A"/>
    <w:rsid w:val="002035E7"/>
    <w:rsid w:val="002038BE"/>
    <w:rsid w:val="00203C55"/>
    <w:rsid w:val="00203D06"/>
    <w:rsid w:val="00203E7A"/>
    <w:rsid w:val="00203FDA"/>
    <w:rsid w:val="002043BF"/>
    <w:rsid w:val="0020461B"/>
    <w:rsid w:val="0020472B"/>
    <w:rsid w:val="00204B93"/>
    <w:rsid w:val="00204BD1"/>
    <w:rsid w:val="00204E69"/>
    <w:rsid w:val="00205032"/>
    <w:rsid w:val="00205216"/>
    <w:rsid w:val="0020521B"/>
    <w:rsid w:val="00205417"/>
    <w:rsid w:val="002054A1"/>
    <w:rsid w:val="00205660"/>
    <w:rsid w:val="002057AE"/>
    <w:rsid w:val="00205C76"/>
    <w:rsid w:val="00205E4A"/>
    <w:rsid w:val="002061BF"/>
    <w:rsid w:val="002062DE"/>
    <w:rsid w:val="00206418"/>
    <w:rsid w:val="002064FC"/>
    <w:rsid w:val="00206C18"/>
    <w:rsid w:val="00206CC7"/>
    <w:rsid w:val="00206EB0"/>
    <w:rsid w:val="00206F04"/>
    <w:rsid w:val="00207114"/>
    <w:rsid w:val="00207374"/>
    <w:rsid w:val="0020737C"/>
    <w:rsid w:val="00207412"/>
    <w:rsid w:val="00207574"/>
    <w:rsid w:val="002076F0"/>
    <w:rsid w:val="00207748"/>
    <w:rsid w:val="00207C6C"/>
    <w:rsid w:val="002100D3"/>
    <w:rsid w:val="002101AE"/>
    <w:rsid w:val="00210208"/>
    <w:rsid w:val="0021036A"/>
    <w:rsid w:val="00210938"/>
    <w:rsid w:val="00210977"/>
    <w:rsid w:val="00210B64"/>
    <w:rsid w:val="00210D25"/>
    <w:rsid w:val="00210F82"/>
    <w:rsid w:val="0021110B"/>
    <w:rsid w:val="00211150"/>
    <w:rsid w:val="00211958"/>
    <w:rsid w:val="002119EE"/>
    <w:rsid w:val="00211AEA"/>
    <w:rsid w:val="00212534"/>
    <w:rsid w:val="002125C1"/>
    <w:rsid w:val="002127FB"/>
    <w:rsid w:val="0021285F"/>
    <w:rsid w:val="00212875"/>
    <w:rsid w:val="002128C0"/>
    <w:rsid w:val="00212920"/>
    <w:rsid w:val="00212A8D"/>
    <w:rsid w:val="00212FA6"/>
    <w:rsid w:val="002131D5"/>
    <w:rsid w:val="00213259"/>
    <w:rsid w:val="0021353C"/>
    <w:rsid w:val="0021374A"/>
    <w:rsid w:val="0021375F"/>
    <w:rsid w:val="00213A9C"/>
    <w:rsid w:val="00213B14"/>
    <w:rsid w:val="00213B76"/>
    <w:rsid w:val="00213BF0"/>
    <w:rsid w:val="002140F2"/>
    <w:rsid w:val="0021421B"/>
    <w:rsid w:val="00214411"/>
    <w:rsid w:val="00214724"/>
    <w:rsid w:val="0021472C"/>
    <w:rsid w:val="002147F3"/>
    <w:rsid w:val="0021483E"/>
    <w:rsid w:val="0021491E"/>
    <w:rsid w:val="00214932"/>
    <w:rsid w:val="00214C6E"/>
    <w:rsid w:val="00214D16"/>
    <w:rsid w:val="00214D5A"/>
    <w:rsid w:val="00214E8B"/>
    <w:rsid w:val="00214EDF"/>
    <w:rsid w:val="002150EF"/>
    <w:rsid w:val="00215188"/>
    <w:rsid w:val="002151E9"/>
    <w:rsid w:val="002152F1"/>
    <w:rsid w:val="0021563B"/>
    <w:rsid w:val="00215756"/>
    <w:rsid w:val="002158A0"/>
    <w:rsid w:val="002159E9"/>
    <w:rsid w:val="00215DA2"/>
    <w:rsid w:val="00215E3F"/>
    <w:rsid w:val="00216102"/>
    <w:rsid w:val="0021626A"/>
    <w:rsid w:val="002162B2"/>
    <w:rsid w:val="002163C4"/>
    <w:rsid w:val="0021650D"/>
    <w:rsid w:val="00216AEC"/>
    <w:rsid w:val="00216C9A"/>
    <w:rsid w:val="00217394"/>
    <w:rsid w:val="00217638"/>
    <w:rsid w:val="00217693"/>
    <w:rsid w:val="00217741"/>
    <w:rsid w:val="00217803"/>
    <w:rsid w:val="0021786E"/>
    <w:rsid w:val="002178FA"/>
    <w:rsid w:val="00217955"/>
    <w:rsid w:val="00217BC9"/>
    <w:rsid w:val="00217C1F"/>
    <w:rsid w:val="00217D7F"/>
    <w:rsid w:val="00217E22"/>
    <w:rsid w:val="00220543"/>
    <w:rsid w:val="002205E2"/>
    <w:rsid w:val="00220624"/>
    <w:rsid w:val="0022069E"/>
    <w:rsid w:val="0022090E"/>
    <w:rsid w:val="00220C41"/>
    <w:rsid w:val="00220CD7"/>
    <w:rsid w:val="00220DE6"/>
    <w:rsid w:val="00221060"/>
    <w:rsid w:val="00221A20"/>
    <w:rsid w:val="00221B75"/>
    <w:rsid w:val="00221D24"/>
    <w:rsid w:val="00221EE5"/>
    <w:rsid w:val="00221F35"/>
    <w:rsid w:val="00221F81"/>
    <w:rsid w:val="00222015"/>
    <w:rsid w:val="002221E5"/>
    <w:rsid w:val="002222EA"/>
    <w:rsid w:val="00222385"/>
    <w:rsid w:val="002226B8"/>
    <w:rsid w:val="00222A61"/>
    <w:rsid w:val="00222A6C"/>
    <w:rsid w:val="0022301A"/>
    <w:rsid w:val="002237F0"/>
    <w:rsid w:val="00223948"/>
    <w:rsid w:val="002239ED"/>
    <w:rsid w:val="0022414D"/>
    <w:rsid w:val="0022417D"/>
    <w:rsid w:val="002243A9"/>
    <w:rsid w:val="002244E1"/>
    <w:rsid w:val="002245BC"/>
    <w:rsid w:val="00224602"/>
    <w:rsid w:val="0022485E"/>
    <w:rsid w:val="00224D8B"/>
    <w:rsid w:val="00224E82"/>
    <w:rsid w:val="00224E87"/>
    <w:rsid w:val="00224EB9"/>
    <w:rsid w:val="00224F32"/>
    <w:rsid w:val="00224FE8"/>
    <w:rsid w:val="0022501D"/>
    <w:rsid w:val="0022510D"/>
    <w:rsid w:val="002252D8"/>
    <w:rsid w:val="00225354"/>
    <w:rsid w:val="00225453"/>
    <w:rsid w:val="00225543"/>
    <w:rsid w:val="002255B2"/>
    <w:rsid w:val="00225663"/>
    <w:rsid w:val="002256DD"/>
    <w:rsid w:val="0022585B"/>
    <w:rsid w:val="002258AF"/>
    <w:rsid w:val="002258E9"/>
    <w:rsid w:val="0022592A"/>
    <w:rsid w:val="00225DCA"/>
    <w:rsid w:val="00226214"/>
    <w:rsid w:val="0022648C"/>
    <w:rsid w:val="002264B4"/>
    <w:rsid w:val="00226667"/>
    <w:rsid w:val="002266D3"/>
    <w:rsid w:val="002267DA"/>
    <w:rsid w:val="00226B84"/>
    <w:rsid w:val="00226D8A"/>
    <w:rsid w:val="00226ED4"/>
    <w:rsid w:val="00226F2A"/>
    <w:rsid w:val="00226F7B"/>
    <w:rsid w:val="0022745A"/>
    <w:rsid w:val="0022745E"/>
    <w:rsid w:val="0022783D"/>
    <w:rsid w:val="00227A82"/>
    <w:rsid w:val="00227BCE"/>
    <w:rsid w:val="00227D40"/>
    <w:rsid w:val="00227E95"/>
    <w:rsid w:val="002302F3"/>
    <w:rsid w:val="00230423"/>
    <w:rsid w:val="002304A0"/>
    <w:rsid w:val="0023059B"/>
    <w:rsid w:val="002305F5"/>
    <w:rsid w:val="00230666"/>
    <w:rsid w:val="0023068C"/>
    <w:rsid w:val="00230979"/>
    <w:rsid w:val="00230C0D"/>
    <w:rsid w:val="00230DFC"/>
    <w:rsid w:val="00230E86"/>
    <w:rsid w:val="0023125F"/>
    <w:rsid w:val="00231286"/>
    <w:rsid w:val="002312B6"/>
    <w:rsid w:val="00231387"/>
    <w:rsid w:val="00231397"/>
    <w:rsid w:val="00231646"/>
    <w:rsid w:val="002316C6"/>
    <w:rsid w:val="0023172C"/>
    <w:rsid w:val="002319AB"/>
    <w:rsid w:val="00232092"/>
    <w:rsid w:val="002320D4"/>
    <w:rsid w:val="00232279"/>
    <w:rsid w:val="002322DE"/>
    <w:rsid w:val="0023240F"/>
    <w:rsid w:val="00232526"/>
    <w:rsid w:val="00232548"/>
    <w:rsid w:val="002327FC"/>
    <w:rsid w:val="00232908"/>
    <w:rsid w:val="00232BE4"/>
    <w:rsid w:val="00232FBA"/>
    <w:rsid w:val="0023316E"/>
    <w:rsid w:val="0023326D"/>
    <w:rsid w:val="0023331B"/>
    <w:rsid w:val="00233376"/>
    <w:rsid w:val="00233397"/>
    <w:rsid w:val="00233524"/>
    <w:rsid w:val="002335FF"/>
    <w:rsid w:val="00233887"/>
    <w:rsid w:val="00233C90"/>
    <w:rsid w:val="00233CFA"/>
    <w:rsid w:val="00233E4F"/>
    <w:rsid w:val="002340C3"/>
    <w:rsid w:val="002342DE"/>
    <w:rsid w:val="002343F8"/>
    <w:rsid w:val="0023449A"/>
    <w:rsid w:val="0023450D"/>
    <w:rsid w:val="00234778"/>
    <w:rsid w:val="00234E40"/>
    <w:rsid w:val="002350C9"/>
    <w:rsid w:val="00235295"/>
    <w:rsid w:val="002352D8"/>
    <w:rsid w:val="00235581"/>
    <w:rsid w:val="00235686"/>
    <w:rsid w:val="00235748"/>
    <w:rsid w:val="002357C1"/>
    <w:rsid w:val="002357CD"/>
    <w:rsid w:val="00235DE1"/>
    <w:rsid w:val="00235DF8"/>
    <w:rsid w:val="002361C2"/>
    <w:rsid w:val="002361CE"/>
    <w:rsid w:val="002364DB"/>
    <w:rsid w:val="002365A4"/>
    <w:rsid w:val="00236640"/>
    <w:rsid w:val="002367FF"/>
    <w:rsid w:val="00236C83"/>
    <w:rsid w:val="00236D69"/>
    <w:rsid w:val="00236D79"/>
    <w:rsid w:val="00236DF2"/>
    <w:rsid w:val="00236E65"/>
    <w:rsid w:val="0023729D"/>
    <w:rsid w:val="0023733E"/>
    <w:rsid w:val="002373BC"/>
    <w:rsid w:val="00237456"/>
    <w:rsid w:val="002374EE"/>
    <w:rsid w:val="0023779A"/>
    <w:rsid w:val="002379B7"/>
    <w:rsid w:val="00237A32"/>
    <w:rsid w:val="00237CB7"/>
    <w:rsid w:val="00237F63"/>
    <w:rsid w:val="00237F66"/>
    <w:rsid w:val="00237FD8"/>
    <w:rsid w:val="00240326"/>
    <w:rsid w:val="002403AF"/>
    <w:rsid w:val="0024044B"/>
    <w:rsid w:val="00240536"/>
    <w:rsid w:val="002405A9"/>
    <w:rsid w:val="0024076E"/>
    <w:rsid w:val="002407C6"/>
    <w:rsid w:val="00240A12"/>
    <w:rsid w:val="00240B29"/>
    <w:rsid w:val="00240B8E"/>
    <w:rsid w:val="00240DD4"/>
    <w:rsid w:val="00240E2B"/>
    <w:rsid w:val="00241228"/>
    <w:rsid w:val="002412E5"/>
    <w:rsid w:val="002416CA"/>
    <w:rsid w:val="00241833"/>
    <w:rsid w:val="00241890"/>
    <w:rsid w:val="002419BE"/>
    <w:rsid w:val="00241B70"/>
    <w:rsid w:val="00241E8C"/>
    <w:rsid w:val="00242032"/>
    <w:rsid w:val="002420CD"/>
    <w:rsid w:val="002424CB"/>
    <w:rsid w:val="002425B9"/>
    <w:rsid w:val="00242625"/>
    <w:rsid w:val="00242638"/>
    <w:rsid w:val="002426E8"/>
    <w:rsid w:val="002429DF"/>
    <w:rsid w:val="00242CBD"/>
    <w:rsid w:val="00243034"/>
    <w:rsid w:val="0024319B"/>
    <w:rsid w:val="0024335F"/>
    <w:rsid w:val="0024337C"/>
    <w:rsid w:val="00243418"/>
    <w:rsid w:val="0024343C"/>
    <w:rsid w:val="002434C5"/>
    <w:rsid w:val="002434D2"/>
    <w:rsid w:val="00244052"/>
    <w:rsid w:val="002442F1"/>
    <w:rsid w:val="00244492"/>
    <w:rsid w:val="0024460B"/>
    <w:rsid w:val="00244873"/>
    <w:rsid w:val="002448D2"/>
    <w:rsid w:val="00244935"/>
    <w:rsid w:val="00244955"/>
    <w:rsid w:val="00244CB9"/>
    <w:rsid w:val="00244E4A"/>
    <w:rsid w:val="00244F87"/>
    <w:rsid w:val="00245013"/>
    <w:rsid w:val="002450A1"/>
    <w:rsid w:val="00245444"/>
    <w:rsid w:val="002454B8"/>
    <w:rsid w:val="002454BA"/>
    <w:rsid w:val="00245565"/>
    <w:rsid w:val="00245792"/>
    <w:rsid w:val="002458C1"/>
    <w:rsid w:val="00245947"/>
    <w:rsid w:val="00245B1D"/>
    <w:rsid w:val="00245C8D"/>
    <w:rsid w:val="002460DF"/>
    <w:rsid w:val="002462A1"/>
    <w:rsid w:val="0024648A"/>
    <w:rsid w:val="002465E0"/>
    <w:rsid w:val="00246A4D"/>
    <w:rsid w:val="00246C8C"/>
    <w:rsid w:val="002475D5"/>
    <w:rsid w:val="002478EC"/>
    <w:rsid w:val="00247F24"/>
    <w:rsid w:val="0025006E"/>
    <w:rsid w:val="0025048E"/>
    <w:rsid w:val="002504D7"/>
    <w:rsid w:val="0025073C"/>
    <w:rsid w:val="002508A3"/>
    <w:rsid w:val="00250B49"/>
    <w:rsid w:val="00250D51"/>
    <w:rsid w:val="00250FC1"/>
    <w:rsid w:val="00251069"/>
    <w:rsid w:val="00251183"/>
    <w:rsid w:val="00251561"/>
    <w:rsid w:val="002515EF"/>
    <w:rsid w:val="002518ED"/>
    <w:rsid w:val="0025196F"/>
    <w:rsid w:val="00251AC0"/>
    <w:rsid w:val="00251AD2"/>
    <w:rsid w:val="00251B40"/>
    <w:rsid w:val="00251B9A"/>
    <w:rsid w:val="00251CE6"/>
    <w:rsid w:val="00251EA1"/>
    <w:rsid w:val="00251F75"/>
    <w:rsid w:val="00251FA4"/>
    <w:rsid w:val="00252048"/>
    <w:rsid w:val="00252089"/>
    <w:rsid w:val="002520D6"/>
    <w:rsid w:val="0025222E"/>
    <w:rsid w:val="00252613"/>
    <w:rsid w:val="0025270E"/>
    <w:rsid w:val="0025277C"/>
    <w:rsid w:val="0025288C"/>
    <w:rsid w:val="0025293A"/>
    <w:rsid w:val="00252B87"/>
    <w:rsid w:val="00252D76"/>
    <w:rsid w:val="0025339D"/>
    <w:rsid w:val="0025353B"/>
    <w:rsid w:val="00253687"/>
    <w:rsid w:val="002537BB"/>
    <w:rsid w:val="002538BC"/>
    <w:rsid w:val="002539B4"/>
    <w:rsid w:val="00253A53"/>
    <w:rsid w:val="00253A76"/>
    <w:rsid w:val="00253E9C"/>
    <w:rsid w:val="0025416C"/>
    <w:rsid w:val="002541F7"/>
    <w:rsid w:val="002542CC"/>
    <w:rsid w:val="002545E0"/>
    <w:rsid w:val="00254896"/>
    <w:rsid w:val="00254AE7"/>
    <w:rsid w:val="00254BFA"/>
    <w:rsid w:val="00254CBE"/>
    <w:rsid w:val="00254CF7"/>
    <w:rsid w:val="00254FA1"/>
    <w:rsid w:val="0025546C"/>
    <w:rsid w:val="002556D9"/>
    <w:rsid w:val="002557A6"/>
    <w:rsid w:val="0025597D"/>
    <w:rsid w:val="00255AA1"/>
    <w:rsid w:val="00255AF2"/>
    <w:rsid w:val="00255B57"/>
    <w:rsid w:val="00255D12"/>
    <w:rsid w:val="00255F40"/>
    <w:rsid w:val="00256074"/>
    <w:rsid w:val="002561AC"/>
    <w:rsid w:val="0025628E"/>
    <w:rsid w:val="002562C6"/>
    <w:rsid w:val="002562C7"/>
    <w:rsid w:val="002564B5"/>
    <w:rsid w:val="00256656"/>
    <w:rsid w:val="002566D1"/>
    <w:rsid w:val="0025684B"/>
    <w:rsid w:val="00256A19"/>
    <w:rsid w:val="00256BD9"/>
    <w:rsid w:val="0025719C"/>
    <w:rsid w:val="002572FB"/>
    <w:rsid w:val="0025763E"/>
    <w:rsid w:val="00257684"/>
    <w:rsid w:val="00257D5F"/>
    <w:rsid w:val="00257FB3"/>
    <w:rsid w:val="00260024"/>
    <w:rsid w:val="00260030"/>
    <w:rsid w:val="0026015C"/>
    <w:rsid w:val="002601A8"/>
    <w:rsid w:val="002601C5"/>
    <w:rsid w:val="002606D7"/>
    <w:rsid w:val="002607A9"/>
    <w:rsid w:val="002608C7"/>
    <w:rsid w:val="0026093C"/>
    <w:rsid w:val="00260A1A"/>
    <w:rsid w:val="00260B96"/>
    <w:rsid w:val="00260DE4"/>
    <w:rsid w:val="00260F64"/>
    <w:rsid w:val="00261749"/>
    <w:rsid w:val="002617E7"/>
    <w:rsid w:val="00261837"/>
    <w:rsid w:val="00261D9D"/>
    <w:rsid w:val="00262290"/>
    <w:rsid w:val="002622EC"/>
    <w:rsid w:val="00262343"/>
    <w:rsid w:val="002624CF"/>
    <w:rsid w:val="00262A00"/>
    <w:rsid w:val="00262A3F"/>
    <w:rsid w:val="00262B81"/>
    <w:rsid w:val="00262BEC"/>
    <w:rsid w:val="00262D2C"/>
    <w:rsid w:val="00262D5E"/>
    <w:rsid w:val="00263009"/>
    <w:rsid w:val="00263039"/>
    <w:rsid w:val="00263528"/>
    <w:rsid w:val="00263529"/>
    <w:rsid w:val="002635A9"/>
    <w:rsid w:val="002637C9"/>
    <w:rsid w:val="00263803"/>
    <w:rsid w:val="00263A7F"/>
    <w:rsid w:val="00263B6E"/>
    <w:rsid w:val="00263BC4"/>
    <w:rsid w:val="00263CF2"/>
    <w:rsid w:val="00263D87"/>
    <w:rsid w:val="002640FE"/>
    <w:rsid w:val="002642EF"/>
    <w:rsid w:val="00264335"/>
    <w:rsid w:val="0026452C"/>
    <w:rsid w:val="002646A2"/>
    <w:rsid w:val="00264BAB"/>
    <w:rsid w:val="0026500A"/>
    <w:rsid w:val="002657A4"/>
    <w:rsid w:val="00265C38"/>
    <w:rsid w:val="00265C69"/>
    <w:rsid w:val="00265CB5"/>
    <w:rsid w:val="00265FAD"/>
    <w:rsid w:val="002662E2"/>
    <w:rsid w:val="00266339"/>
    <w:rsid w:val="002664CE"/>
    <w:rsid w:val="00266518"/>
    <w:rsid w:val="00266565"/>
    <w:rsid w:val="002665A1"/>
    <w:rsid w:val="002666C0"/>
    <w:rsid w:val="0026678A"/>
    <w:rsid w:val="002669B7"/>
    <w:rsid w:val="002673AD"/>
    <w:rsid w:val="00267676"/>
    <w:rsid w:val="00267906"/>
    <w:rsid w:val="00267ABD"/>
    <w:rsid w:val="00267B40"/>
    <w:rsid w:val="00267BE8"/>
    <w:rsid w:val="00267EF0"/>
    <w:rsid w:val="00270099"/>
    <w:rsid w:val="002703C4"/>
    <w:rsid w:val="00270556"/>
    <w:rsid w:val="002705B5"/>
    <w:rsid w:val="00270632"/>
    <w:rsid w:val="0027080E"/>
    <w:rsid w:val="00270978"/>
    <w:rsid w:val="002709E1"/>
    <w:rsid w:val="00270D1D"/>
    <w:rsid w:val="00270D76"/>
    <w:rsid w:val="00270FA4"/>
    <w:rsid w:val="00271133"/>
    <w:rsid w:val="002712BC"/>
    <w:rsid w:val="002716BE"/>
    <w:rsid w:val="00271B16"/>
    <w:rsid w:val="00271BDE"/>
    <w:rsid w:val="00271CA7"/>
    <w:rsid w:val="00271D35"/>
    <w:rsid w:val="00271D44"/>
    <w:rsid w:val="00271E25"/>
    <w:rsid w:val="00271E5F"/>
    <w:rsid w:val="00271E60"/>
    <w:rsid w:val="00272014"/>
    <w:rsid w:val="00272169"/>
    <w:rsid w:val="00272391"/>
    <w:rsid w:val="00272493"/>
    <w:rsid w:val="0027260E"/>
    <w:rsid w:val="00272674"/>
    <w:rsid w:val="002727A7"/>
    <w:rsid w:val="00272AC7"/>
    <w:rsid w:val="00272B4B"/>
    <w:rsid w:val="00272BD7"/>
    <w:rsid w:val="00272CAA"/>
    <w:rsid w:val="00272F05"/>
    <w:rsid w:val="0027341A"/>
    <w:rsid w:val="0027342B"/>
    <w:rsid w:val="002736B4"/>
    <w:rsid w:val="002738E3"/>
    <w:rsid w:val="0027396F"/>
    <w:rsid w:val="00273B52"/>
    <w:rsid w:val="00273BA2"/>
    <w:rsid w:val="00273D6A"/>
    <w:rsid w:val="00273E10"/>
    <w:rsid w:val="00273FDE"/>
    <w:rsid w:val="00274032"/>
    <w:rsid w:val="0027413D"/>
    <w:rsid w:val="00274362"/>
    <w:rsid w:val="00274395"/>
    <w:rsid w:val="0027455B"/>
    <w:rsid w:val="00274572"/>
    <w:rsid w:val="002745A8"/>
    <w:rsid w:val="00274677"/>
    <w:rsid w:val="0027469A"/>
    <w:rsid w:val="002748B6"/>
    <w:rsid w:val="002748FD"/>
    <w:rsid w:val="00274997"/>
    <w:rsid w:val="002751F4"/>
    <w:rsid w:val="00275296"/>
    <w:rsid w:val="002752E0"/>
    <w:rsid w:val="0027534C"/>
    <w:rsid w:val="002754A8"/>
    <w:rsid w:val="00275583"/>
    <w:rsid w:val="0027562B"/>
    <w:rsid w:val="002756F5"/>
    <w:rsid w:val="0027598C"/>
    <w:rsid w:val="00275A1A"/>
    <w:rsid w:val="00275BC9"/>
    <w:rsid w:val="00275C0B"/>
    <w:rsid w:val="00275FCC"/>
    <w:rsid w:val="002760F0"/>
    <w:rsid w:val="00276107"/>
    <w:rsid w:val="00276402"/>
    <w:rsid w:val="002764E2"/>
    <w:rsid w:val="00276617"/>
    <w:rsid w:val="00276ABC"/>
    <w:rsid w:val="00276BFA"/>
    <w:rsid w:val="0027708D"/>
    <w:rsid w:val="0027711E"/>
    <w:rsid w:val="002771C5"/>
    <w:rsid w:val="002773C0"/>
    <w:rsid w:val="002775DF"/>
    <w:rsid w:val="002776DC"/>
    <w:rsid w:val="002776EA"/>
    <w:rsid w:val="002778AA"/>
    <w:rsid w:val="002778D1"/>
    <w:rsid w:val="00277A55"/>
    <w:rsid w:val="00277F13"/>
    <w:rsid w:val="00280403"/>
    <w:rsid w:val="002808AA"/>
    <w:rsid w:val="002808DC"/>
    <w:rsid w:val="00280912"/>
    <w:rsid w:val="0028093D"/>
    <w:rsid w:val="00280ABE"/>
    <w:rsid w:val="00280BFF"/>
    <w:rsid w:val="00280CF2"/>
    <w:rsid w:val="00280E4C"/>
    <w:rsid w:val="00280EB8"/>
    <w:rsid w:val="00280F9E"/>
    <w:rsid w:val="002814C5"/>
    <w:rsid w:val="002816BC"/>
    <w:rsid w:val="00281754"/>
    <w:rsid w:val="00281862"/>
    <w:rsid w:val="002819E1"/>
    <w:rsid w:val="00281A1E"/>
    <w:rsid w:val="00281B4F"/>
    <w:rsid w:val="0028208B"/>
    <w:rsid w:val="00282178"/>
    <w:rsid w:val="002822B9"/>
    <w:rsid w:val="002827CC"/>
    <w:rsid w:val="002828A4"/>
    <w:rsid w:val="00282AD9"/>
    <w:rsid w:val="00282BE4"/>
    <w:rsid w:val="00282D8B"/>
    <w:rsid w:val="00282E8F"/>
    <w:rsid w:val="00283080"/>
    <w:rsid w:val="00283298"/>
    <w:rsid w:val="0028333D"/>
    <w:rsid w:val="00283694"/>
    <w:rsid w:val="00283756"/>
    <w:rsid w:val="0028386D"/>
    <w:rsid w:val="002839C4"/>
    <w:rsid w:val="00283A76"/>
    <w:rsid w:val="00283C6F"/>
    <w:rsid w:val="00283F5A"/>
    <w:rsid w:val="002841C6"/>
    <w:rsid w:val="0028452E"/>
    <w:rsid w:val="00284C1A"/>
    <w:rsid w:val="00284D50"/>
    <w:rsid w:val="00284E6A"/>
    <w:rsid w:val="00284F52"/>
    <w:rsid w:val="002851C2"/>
    <w:rsid w:val="002857A1"/>
    <w:rsid w:val="00285876"/>
    <w:rsid w:val="00285954"/>
    <w:rsid w:val="00285A22"/>
    <w:rsid w:val="00285AC6"/>
    <w:rsid w:val="00285B05"/>
    <w:rsid w:val="00285E31"/>
    <w:rsid w:val="00285E79"/>
    <w:rsid w:val="00285F0A"/>
    <w:rsid w:val="00285FB4"/>
    <w:rsid w:val="002863B2"/>
    <w:rsid w:val="002865F7"/>
    <w:rsid w:val="002866DD"/>
    <w:rsid w:val="002866E6"/>
    <w:rsid w:val="002869B2"/>
    <w:rsid w:val="00286A7C"/>
    <w:rsid w:val="00286A97"/>
    <w:rsid w:val="00286B5E"/>
    <w:rsid w:val="00287007"/>
    <w:rsid w:val="0028768D"/>
    <w:rsid w:val="0028779F"/>
    <w:rsid w:val="002877C1"/>
    <w:rsid w:val="00287867"/>
    <w:rsid w:val="00287B55"/>
    <w:rsid w:val="00287FA9"/>
    <w:rsid w:val="00290216"/>
    <w:rsid w:val="002906F5"/>
    <w:rsid w:val="00290802"/>
    <w:rsid w:val="00290C0E"/>
    <w:rsid w:val="0029115F"/>
    <w:rsid w:val="002912BF"/>
    <w:rsid w:val="00291330"/>
    <w:rsid w:val="0029137B"/>
    <w:rsid w:val="00291577"/>
    <w:rsid w:val="0029171A"/>
    <w:rsid w:val="00291790"/>
    <w:rsid w:val="00291A56"/>
    <w:rsid w:val="00291A69"/>
    <w:rsid w:val="00291AB4"/>
    <w:rsid w:val="00291D39"/>
    <w:rsid w:val="00291FFF"/>
    <w:rsid w:val="00292064"/>
    <w:rsid w:val="00292093"/>
    <w:rsid w:val="002920EB"/>
    <w:rsid w:val="0029225C"/>
    <w:rsid w:val="0029260E"/>
    <w:rsid w:val="0029282F"/>
    <w:rsid w:val="00292D8D"/>
    <w:rsid w:val="00292F3D"/>
    <w:rsid w:val="00293270"/>
    <w:rsid w:val="002932D6"/>
    <w:rsid w:val="002932FA"/>
    <w:rsid w:val="00293758"/>
    <w:rsid w:val="0029399F"/>
    <w:rsid w:val="00293AC7"/>
    <w:rsid w:val="00293AD6"/>
    <w:rsid w:val="00293DF3"/>
    <w:rsid w:val="00293DF4"/>
    <w:rsid w:val="002941B9"/>
    <w:rsid w:val="002941F3"/>
    <w:rsid w:val="00294671"/>
    <w:rsid w:val="002946C0"/>
    <w:rsid w:val="0029472F"/>
    <w:rsid w:val="002947A2"/>
    <w:rsid w:val="002947FD"/>
    <w:rsid w:val="00294C62"/>
    <w:rsid w:val="00294D30"/>
    <w:rsid w:val="00294DB1"/>
    <w:rsid w:val="0029565F"/>
    <w:rsid w:val="0029566A"/>
    <w:rsid w:val="00295672"/>
    <w:rsid w:val="0029576E"/>
    <w:rsid w:val="0029599D"/>
    <w:rsid w:val="00295AEA"/>
    <w:rsid w:val="00295CD8"/>
    <w:rsid w:val="00295CF9"/>
    <w:rsid w:val="00295E71"/>
    <w:rsid w:val="00296491"/>
    <w:rsid w:val="0029665C"/>
    <w:rsid w:val="00296698"/>
    <w:rsid w:val="00296829"/>
    <w:rsid w:val="0029688C"/>
    <w:rsid w:val="002968DA"/>
    <w:rsid w:val="00296AC5"/>
    <w:rsid w:val="00296BAD"/>
    <w:rsid w:val="00296DD3"/>
    <w:rsid w:val="00297205"/>
    <w:rsid w:val="0029752B"/>
    <w:rsid w:val="002975B6"/>
    <w:rsid w:val="00297B30"/>
    <w:rsid w:val="00297FAB"/>
    <w:rsid w:val="002A0561"/>
    <w:rsid w:val="002A0605"/>
    <w:rsid w:val="002A0710"/>
    <w:rsid w:val="002A0A59"/>
    <w:rsid w:val="002A0C1B"/>
    <w:rsid w:val="002A0E04"/>
    <w:rsid w:val="002A0E96"/>
    <w:rsid w:val="002A10A2"/>
    <w:rsid w:val="002A12A1"/>
    <w:rsid w:val="002A15C9"/>
    <w:rsid w:val="002A17AB"/>
    <w:rsid w:val="002A17BA"/>
    <w:rsid w:val="002A1878"/>
    <w:rsid w:val="002A188D"/>
    <w:rsid w:val="002A1B66"/>
    <w:rsid w:val="002A1FAA"/>
    <w:rsid w:val="002A2042"/>
    <w:rsid w:val="002A20A8"/>
    <w:rsid w:val="002A20EF"/>
    <w:rsid w:val="002A2121"/>
    <w:rsid w:val="002A256A"/>
    <w:rsid w:val="002A2765"/>
    <w:rsid w:val="002A2783"/>
    <w:rsid w:val="002A2823"/>
    <w:rsid w:val="002A2852"/>
    <w:rsid w:val="002A2A68"/>
    <w:rsid w:val="002A2ADB"/>
    <w:rsid w:val="002A2C9B"/>
    <w:rsid w:val="002A2D26"/>
    <w:rsid w:val="002A2E88"/>
    <w:rsid w:val="002A2F94"/>
    <w:rsid w:val="002A3028"/>
    <w:rsid w:val="002A3491"/>
    <w:rsid w:val="002A34A8"/>
    <w:rsid w:val="002A3534"/>
    <w:rsid w:val="002A37AD"/>
    <w:rsid w:val="002A3A9C"/>
    <w:rsid w:val="002A3BC0"/>
    <w:rsid w:val="002A3CB4"/>
    <w:rsid w:val="002A3DD5"/>
    <w:rsid w:val="002A402C"/>
    <w:rsid w:val="002A4420"/>
    <w:rsid w:val="002A4451"/>
    <w:rsid w:val="002A4549"/>
    <w:rsid w:val="002A5178"/>
    <w:rsid w:val="002A5329"/>
    <w:rsid w:val="002A53A2"/>
    <w:rsid w:val="002A5877"/>
    <w:rsid w:val="002A599B"/>
    <w:rsid w:val="002A59E0"/>
    <w:rsid w:val="002A5A87"/>
    <w:rsid w:val="002A5C6C"/>
    <w:rsid w:val="002A5D97"/>
    <w:rsid w:val="002A60BD"/>
    <w:rsid w:val="002A6128"/>
    <w:rsid w:val="002A615E"/>
    <w:rsid w:val="002A6368"/>
    <w:rsid w:val="002A63BB"/>
    <w:rsid w:val="002A646C"/>
    <w:rsid w:val="002A6759"/>
    <w:rsid w:val="002A68DA"/>
    <w:rsid w:val="002A6906"/>
    <w:rsid w:val="002A70DD"/>
    <w:rsid w:val="002A7736"/>
    <w:rsid w:val="002A781F"/>
    <w:rsid w:val="002A796F"/>
    <w:rsid w:val="002A7D5B"/>
    <w:rsid w:val="002A7DBF"/>
    <w:rsid w:val="002A7E42"/>
    <w:rsid w:val="002A7E79"/>
    <w:rsid w:val="002B0201"/>
    <w:rsid w:val="002B046C"/>
    <w:rsid w:val="002B046F"/>
    <w:rsid w:val="002B0492"/>
    <w:rsid w:val="002B0908"/>
    <w:rsid w:val="002B0A2F"/>
    <w:rsid w:val="002B0B09"/>
    <w:rsid w:val="002B0F8E"/>
    <w:rsid w:val="002B104D"/>
    <w:rsid w:val="002B10F8"/>
    <w:rsid w:val="002B133E"/>
    <w:rsid w:val="002B1468"/>
    <w:rsid w:val="002B147B"/>
    <w:rsid w:val="002B14D8"/>
    <w:rsid w:val="002B166F"/>
    <w:rsid w:val="002B179A"/>
    <w:rsid w:val="002B198B"/>
    <w:rsid w:val="002B1A7A"/>
    <w:rsid w:val="002B1C1C"/>
    <w:rsid w:val="002B2109"/>
    <w:rsid w:val="002B2121"/>
    <w:rsid w:val="002B21D9"/>
    <w:rsid w:val="002B2358"/>
    <w:rsid w:val="002B25DD"/>
    <w:rsid w:val="002B2C4E"/>
    <w:rsid w:val="002B2C66"/>
    <w:rsid w:val="002B2CC3"/>
    <w:rsid w:val="002B2DB1"/>
    <w:rsid w:val="002B2E21"/>
    <w:rsid w:val="002B2F05"/>
    <w:rsid w:val="002B2FCD"/>
    <w:rsid w:val="002B31EA"/>
    <w:rsid w:val="002B32BF"/>
    <w:rsid w:val="002B32E4"/>
    <w:rsid w:val="002B3533"/>
    <w:rsid w:val="002B38EC"/>
    <w:rsid w:val="002B40C8"/>
    <w:rsid w:val="002B40D7"/>
    <w:rsid w:val="002B4B41"/>
    <w:rsid w:val="002B5097"/>
    <w:rsid w:val="002B522A"/>
    <w:rsid w:val="002B52BC"/>
    <w:rsid w:val="002B5316"/>
    <w:rsid w:val="002B567C"/>
    <w:rsid w:val="002B56EA"/>
    <w:rsid w:val="002B59B5"/>
    <w:rsid w:val="002B5CEE"/>
    <w:rsid w:val="002B5D5F"/>
    <w:rsid w:val="002B5F81"/>
    <w:rsid w:val="002B62EF"/>
    <w:rsid w:val="002B6534"/>
    <w:rsid w:val="002B6659"/>
    <w:rsid w:val="002B6769"/>
    <w:rsid w:val="002B6B67"/>
    <w:rsid w:val="002B6BB3"/>
    <w:rsid w:val="002B6D2C"/>
    <w:rsid w:val="002B6F88"/>
    <w:rsid w:val="002B7628"/>
    <w:rsid w:val="002B771F"/>
    <w:rsid w:val="002B78B9"/>
    <w:rsid w:val="002B7ECA"/>
    <w:rsid w:val="002C012A"/>
    <w:rsid w:val="002C02C6"/>
    <w:rsid w:val="002C039E"/>
    <w:rsid w:val="002C0493"/>
    <w:rsid w:val="002C0A88"/>
    <w:rsid w:val="002C0AB2"/>
    <w:rsid w:val="002C0BD6"/>
    <w:rsid w:val="002C0ECC"/>
    <w:rsid w:val="002C123B"/>
    <w:rsid w:val="002C13B8"/>
    <w:rsid w:val="002C1552"/>
    <w:rsid w:val="002C17CC"/>
    <w:rsid w:val="002C1CA7"/>
    <w:rsid w:val="002C1D17"/>
    <w:rsid w:val="002C1F3D"/>
    <w:rsid w:val="002C205C"/>
    <w:rsid w:val="002C219A"/>
    <w:rsid w:val="002C2459"/>
    <w:rsid w:val="002C2BCE"/>
    <w:rsid w:val="002C2E46"/>
    <w:rsid w:val="002C2EA2"/>
    <w:rsid w:val="002C2FFB"/>
    <w:rsid w:val="002C30A1"/>
    <w:rsid w:val="002C33C9"/>
    <w:rsid w:val="002C33F6"/>
    <w:rsid w:val="002C367C"/>
    <w:rsid w:val="002C36C4"/>
    <w:rsid w:val="002C38CF"/>
    <w:rsid w:val="002C39E6"/>
    <w:rsid w:val="002C3AF4"/>
    <w:rsid w:val="002C3BAA"/>
    <w:rsid w:val="002C3F10"/>
    <w:rsid w:val="002C4101"/>
    <w:rsid w:val="002C449C"/>
    <w:rsid w:val="002C4516"/>
    <w:rsid w:val="002C4675"/>
    <w:rsid w:val="002C4757"/>
    <w:rsid w:val="002C4A57"/>
    <w:rsid w:val="002C4FDC"/>
    <w:rsid w:val="002C5228"/>
    <w:rsid w:val="002C5341"/>
    <w:rsid w:val="002C53C2"/>
    <w:rsid w:val="002C552C"/>
    <w:rsid w:val="002C5629"/>
    <w:rsid w:val="002C567F"/>
    <w:rsid w:val="002C56BB"/>
    <w:rsid w:val="002C56D4"/>
    <w:rsid w:val="002C5DA1"/>
    <w:rsid w:val="002C5EC5"/>
    <w:rsid w:val="002C60AC"/>
    <w:rsid w:val="002C60F6"/>
    <w:rsid w:val="002C63C9"/>
    <w:rsid w:val="002C654D"/>
    <w:rsid w:val="002C66D3"/>
    <w:rsid w:val="002C6DA1"/>
    <w:rsid w:val="002C7240"/>
    <w:rsid w:val="002C7815"/>
    <w:rsid w:val="002C78A1"/>
    <w:rsid w:val="002C7A05"/>
    <w:rsid w:val="002C7A25"/>
    <w:rsid w:val="002C7CF4"/>
    <w:rsid w:val="002C7D4C"/>
    <w:rsid w:val="002C7D96"/>
    <w:rsid w:val="002C7E55"/>
    <w:rsid w:val="002D0279"/>
    <w:rsid w:val="002D02E7"/>
    <w:rsid w:val="002D046E"/>
    <w:rsid w:val="002D0537"/>
    <w:rsid w:val="002D0946"/>
    <w:rsid w:val="002D0AAA"/>
    <w:rsid w:val="002D0BAA"/>
    <w:rsid w:val="002D0C19"/>
    <w:rsid w:val="002D0C6C"/>
    <w:rsid w:val="002D0DE7"/>
    <w:rsid w:val="002D0FA6"/>
    <w:rsid w:val="002D1463"/>
    <w:rsid w:val="002D14A2"/>
    <w:rsid w:val="002D159C"/>
    <w:rsid w:val="002D15D6"/>
    <w:rsid w:val="002D1A94"/>
    <w:rsid w:val="002D1AAF"/>
    <w:rsid w:val="002D1B79"/>
    <w:rsid w:val="002D1BA7"/>
    <w:rsid w:val="002D1C65"/>
    <w:rsid w:val="002D1C8C"/>
    <w:rsid w:val="002D1F23"/>
    <w:rsid w:val="002D2130"/>
    <w:rsid w:val="002D22CF"/>
    <w:rsid w:val="002D23F4"/>
    <w:rsid w:val="002D24C7"/>
    <w:rsid w:val="002D24E5"/>
    <w:rsid w:val="002D25C0"/>
    <w:rsid w:val="002D2705"/>
    <w:rsid w:val="002D278F"/>
    <w:rsid w:val="002D2D29"/>
    <w:rsid w:val="002D2D67"/>
    <w:rsid w:val="002D2F91"/>
    <w:rsid w:val="002D33D9"/>
    <w:rsid w:val="002D367A"/>
    <w:rsid w:val="002D418B"/>
    <w:rsid w:val="002D433C"/>
    <w:rsid w:val="002D453C"/>
    <w:rsid w:val="002D49B8"/>
    <w:rsid w:val="002D4C71"/>
    <w:rsid w:val="002D4CC1"/>
    <w:rsid w:val="002D5008"/>
    <w:rsid w:val="002D520F"/>
    <w:rsid w:val="002D5798"/>
    <w:rsid w:val="002D5B1D"/>
    <w:rsid w:val="002D5B45"/>
    <w:rsid w:val="002D5BD2"/>
    <w:rsid w:val="002D5CB4"/>
    <w:rsid w:val="002D5CF5"/>
    <w:rsid w:val="002D5D48"/>
    <w:rsid w:val="002D5E80"/>
    <w:rsid w:val="002D5F12"/>
    <w:rsid w:val="002D601D"/>
    <w:rsid w:val="002D604A"/>
    <w:rsid w:val="002D6066"/>
    <w:rsid w:val="002D61CD"/>
    <w:rsid w:val="002D662A"/>
    <w:rsid w:val="002D6C6F"/>
    <w:rsid w:val="002D6CB1"/>
    <w:rsid w:val="002D6D27"/>
    <w:rsid w:val="002D7066"/>
    <w:rsid w:val="002D7194"/>
    <w:rsid w:val="002D72EA"/>
    <w:rsid w:val="002D7575"/>
    <w:rsid w:val="002D75A8"/>
    <w:rsid w:val="002D7B7A"/>
    <w:rsid w:val="002D7DC5"/>
    <w:rsid w:val="002D7DD0"/>
    <w:rsid w:val="002D7E2E"/>
    <w:rsid w:val="002E014A"/>
    <w:rsid w:val="002E05E6"/>
    <w:rsid w:val="002E0936"/>
    <w:rsid w:val="002E0A1F"/>
    <w:rsid w:val="002E0A28"/>
    <w:rsid w:val="002E0B61"/>
    <w:rsid w:val="002E0E53"/>
    <w:rsid w:val="002E0EC2"/>
    <w:rsid w:val="002E0F5B"/>
    <w:rsid w:val="002E1022"/>
    <w:rsid w:val="002E116D"/>
    <w:rsid w:val="002E1265"/>
    <w:rsid w:val="002E1688"/>
    <w:rsid w:val="002E19C8"/>
    <w:rsid w:val="002E1A64"/>
    <w:rsid w:val="002E1E42"/>
    <w:rsid w:val="002E20C5"/>
    <w:rsid w:val="002E2104"/>
    <w:rsid w:val="002E2489"/>
    <w:rsid w:val="002E251D"/>
    <w:rsid w:val="002E2567"/>
    <w:rsid w:val="002E2678"/>
    <w:rsid w:val="002E268B"/>
    <w:rsid w:val="002E2858"/>
    <w:rsid w:val="002E287A"/>
    <w:rsid w:val="002E2B5D"/>
    <w:rsid w:val="002E2C0D"/>
    <w:rsid w:val="002E2D70"/>
    <w:rsid w:val="002E2EEA"/>
    <w:rsid w:val="002E3020"/>
    <w:rsid w:val="002E3086"/>
    <w:rsid w:val="002E3129"/>
    <w:rsid w:val="002E315C"/>
    <w:rsid w:val="002E342E"/>
    <w:rsid w:val="002E3513"/>
    <w:rsid w:val="002E363E"/>
    <w:rsid w:val="002E3703"/>
    <w:rsid w:val="002E395E"/>
    <w:rsid w:val="002E3B70"/>
    <w:rsid w:val="002E3C78"/>
    <w:rsid w:val="002E3CAB"/>
    <w:rsid w:val="002E3DF4"/>
    <w:rsid w:val="002E3E2C"/>
    <w:rsid w:val="002E3EDD"/>
    <w:rsid w:val="002E3F5C"/>
    <w:rsid w:val="002E3FEA"/>
    <w:rsid w:val="002E4174"/>
    <w:rsid w:val="002E4446"/>
    <w:rsid w:val="002E46C5"/>
    <w:rsid w:val="002E4789"/>
    <w:rsid w:val="002E49AA"/>
    <w:rsid w:val="002E4D16"/>
    <w:rsid w:val="002E5009"/>
    <w:rsid w:val="002E5121"/>
    <w:rsid w:val="002E5466"/>
    <w:rsid w:val="002E55F0"/>
    <w:rsid w:val="002E5E04"/>
    <w:rsid w:val="002E5E18"/>
    <w:rsid w:val="002E5E37"/>
    <w:rsid w:val="002E5E50"/>
    <w:rsid w:val="002E5FD0"/>
    <w:rsid w:val="002E6062"/>
    <w:rsid w:val="002E6456"/>
    <w:rsid w:val="002E64FA"/>
    <w:rsid w:val="002E6662"/>
    <w:rsid w:val="002E68DB"/>
    <w:rsid w:val="002E6A40"/>
    <w:rsid w:val="002E6ABF"/>
    <w:rsid w:val="002E6B46"/>
    <w:rsid w:val="002E7036"/>
    <w:rsid w:val="002E7076"/>
    <w:rsid w:val="002E7079"/>
    <w:rsid w:val="002E722D"/>
    <w:rsid w:val="002E7587"/>
    <w:rsid w:val="002E76AD"/>
    <w:rsid w:val="002F0429"/>
    <w:rsid w:val="002F0736"/>
    <w:rsid w:val="002F0829"/>
    <w:rsid w:val="002F0A9F"/>
    <w:rsid w:val="002F0C02"/>
    <w:rsid w:val="002F0DAE"/>
    <w:rsid w:val="002F0EB6"/>
    <w:rsid w:val="002F1245"/>
    <w:rsid w:val="002F1431"/>
    <w:rsid w:val="002F162F"/>
    <w:rsid w:val="002F167E"/>
    <w:rsid w:val="002F1A3D"/>
    <w:rsid w:val="002F1BB7"/>
    <w:rsid w:val="002F1BE1"/>
    <w:rsid w:val="002F1F1C"/>
    <w:rsid w:val="002F211D"/>
    <w:rsid w:val="002F217A"/>
    <w:rsid w:val="002F2190"/>
    <w:rsid w:val="002F2350"/>
    <w:rsid w:val="002F2595"/>
    <w:rsid w:val="002F2707"/>
    <w:rsid w:val="002F279F"/>
    <w:rsid w:val="002F28ED"/>
    <w:rsid w:val="002F2960"/>
    <w:rsid w:val="002F2CC6"/>
    <w:rsid w:val="002F2E18"/>
    <w:rsid w:val="002F310B"/>
    <w:rsid w:val="002F31CA"/>
    <w:rsid w:val="002F3636"/>
    <w:rsid w:val="002F3845"/>
    <w:rsid w:val="002F389D"/>
    <w:rsid w:val="002F3A31"/>
    <w:rsid w:val="002F3E88"/>
    <w:rsid w:val="002F40EC"/>
    <w:rsid w:val="002F411C"/>
    <w:rsid w:val="002F412F"/>
    <w:rsid w:val="002F43F0"/>
    <w:rsid w:val="002F446F"/>
    <w:rsid w:val="002F4534"/>
    <w:rsid w:val="002F4548"/>
    <w:rsid w:val="002F47F5"/>
    <w:rsid w:val="002F4882"/>
    <w:rsid w:val="002F4A43"/>
    <w:rsid w:val="002F4B91"/>
    <w:rsid w:val="002F4E6E"/>
    <w:rsid w:val="002F4F7C"/>
    <w:rsid w:val="002F513E"/>
    <w:rsid w:val="002F52E6"/>
    <w:rsid w:val="002F5407"/>
    <w:rsid w:val="002F55AA"/>
    <w:rsid w:val="002F5717"/>
    <w:rsid w:val="002F59D8"/>
    <w:rsid w:val="002F5D27"/>
    <w:rsid w:val="002F5D82"/>
    <w:rsid w:val="002F5D91"/>
    <w:rsid w:val="002F5EA6"/>
    <w:rsid w:val="002F6434"/>
    <w:rsid w:val="002F67B8"/>
    <w:rsid w:val="002F67EE"/>
    <w:rsid w:val="002F69BF"/>
    <w:rsid w:val="002F6A39"/>
    <w:rsid w:val="002F6E3F"/>
    <w:rsid w:val="002F701C"/>
    <w:rsid w:val="002F70D2"/>
    <w:rsid w:val="002F718E"/>
    <w:rsid w:val="002F728F"/>
    <w:rsid w:val="002F7481"/>
    <w:rsid w:val="002F75B2"/>
    <w:rsid w:val="002F76F7"/>
    <w:rsid w:val="002F7875"/>
    <w:rsid w:val="002F78EE"/>
    <w:rsid w:val="002F7B1B"/>
    <w:rsid w:val="002F7E00"/>
    <w:rsid w:val="002F7F3C"/>
    <w:rsid w:val="00300374"/>
    <w:rsid w:val="00300626"/>
    <w:rsid w:val="0030090B"/>
    <w:rsid w:val="00300A22"/>
    <w:rsid w:val="00300BC2"/>
    <w:rsid w:val="00300E6B"/>
    <w:rsid w:val="00300F87"/>
    <w:rsid w:val="00300FE6"/>
    <w:rsid w:val="00301093"/>
    <w:rsid w:val="00301A70"/>
    <w:rsid w:val="00301CB4"/>
    <w:rsid w:val="00301CCD"/>
    <w:rsid w:val="00301DD1"/>
    <w:rsid w:val="00301E64"/>
    <w:rsid w:val="003020BF"/>
    <w:rsid w:val="00302126"/>
    <w:rsid w:val="003022B4"/>
    <w:rsid w:val="0030240B"/>
    <w:rsid w:val="003024F9"/>
    <w:rsid w:val="0030278B"/>
    <w:rsid w:val="00302A43"/>
    <w:rsid w:val="00303049"/>
    <w:rsid w:val="00303269"/>
    <w:rsid w:val="00303445"/>
    <w:rsid w:val="00303537"/>
    <w:rsid w:val="00303578"/>
    <w:rsid w:val="003037E5"/>
    <w:rsid w:val="003039CB"/>
    <w:rsid w:val="00303FCB"/>
    <w:rsid w:val="003040F9"/>
    <w:rsid w:val="0030424B"/>
    <w:rsid w:val="003048D3"/>
    <w:rsid w:val="003049CA"/>
    <w:rsid w:val="00304C4D"/>
    <w:rsid w:val="00304C92"/>
    <w:rsid w:val="00304E68"/>
    <w:rsid w:val="0030501B"/>
    <w:rsid w:val="00305375"/>
    <w:rsid w:val="0030538A"/>
    <w:rsid w:val="003058E4"/>
    <w:rsid w:val="00305A86"/>
    <w:rsid w:val="00305B98"/>
    <w:rsid w:val="00305C26"/>
    <w:rsid w:val="00305C5B"/>
    <w:rsid w:val="00305E2E"/>
    <w:rsid w:val="0030604A"/>
    <w:rsid w:val="00306059"/>
    <w:rsid w:val="003060B9"/>
    <w:rsid w:val="003062BF"/>
    <w:rsid w:val="00306679"/>
    <w:rsid w:val="00306A47"/>
    <w:rsid w:val="00306B52"/>
    <w:rsid w:val="00306CB9"/>
    <w:rsid w:val="003070C2"/>
    <w:rsid w:val="003072DF"/>
    <w:rsid w:val="00307498"/>
    <w:rsid w:val="00307510"/>
    <w:rsid w:val="00307575"/>
    <w:rsid w:val="0030758A"/>
    <w:rsid w:val="003077DA"/>
    <w:rsid w:val="003079B1"/>
    <w:rsid w:val="00307C19"/>
    <w:rsid w:val="00307C91"/>
    <w:rsid w:val="0031009D"/>
    <w:rsid w:val="00310148"/>
    <w:rsid w:val="003101C2"/>
    <w:rsid w:val="00310433"/>
    <w:rsid w:val="003105E7"/>
    <w:rsid w:val="0031061F"/>
    <w:rsid w:val="00310809"/>
    <w:rsid w:val="003109F7"/>
    <w:rsid w:val="00310B83"/>
    <w:rsid w:val="00310C3B"/>
    <w:rsid w:val="00310DFB"/>
    <w:rsid w:val="00310F10"/>
    <w:rsid w:val="0031111A"/>
    <w:rsid w:val="003112C1"/>
    <w:rsid w:val="003113A7"/>
    <w:rsid w:val="003115EB"/>
    <w:rsid w:val="00311694"/>
    <w:rsid w:val="003116C9"/>
    <w:rsid w:val="0031176C"/>
    <w:rsid w:val="0031189C"/>
    <w:rsid w:val="00311928"/>
    <w:rsid w:val="00311985"/>
    <w:rsid w:val="003119C4"/>
    <w:rsid w:val="00311B3D"/>
    <w:rsid w:val="00311D21"/>
    <w:rsid w:val="00311E6E"/>
    <w:rsid w:val="00311FF1"/>
    <w:rsid w:val="0031210C"/>
    <w:rsid w:val="0031217D"/>
    <w:rsid w:val="00312188"/>
    <w:rsid w:val="0031244D"/>
    <w:rsid w:val="00312583"/>
    <w:rsid w:val="00312676"/>
    <w:rsid w:val="00312762"/>
    <w:rsid w:val="003128FB"/>
    <w:rsid w:val="00312A7B"/>
    <w:rsid w:val="00312DA3"/>
    <w:rsid w:val="00313123"/>
    <w:rsid w:val="0031322D"/>
    <w:rsid w:val="00313650"/>
    <w:rsid w:val="00313658"/>
    <w:rsid w:val="00313800"/>
    <w:rsid w:val="00313B06"/>
    <w:rsid w:val="00313B0A"/>
    <w:rsid w:val="00313B88"/>
    <w:rsid w:val="00313BD0"/>
    <w:rsid w:val="00313C37"/>
    <w:rsid w:val="00313E43"/>
    <w:rsid w:val="00314498"/>
    <w:rsid w:val="003148EE"/>
    <w:rsid w:val="00314907"/>
    <w:rsid w:val="00314A03"/>
    <w:rsid w:val="00314A10"/>
    <w:rsid w:val="00314A5D"/>
    <w:rsid w:val="00314A6B"/>
    <w:rsid w:val="00314B2A"/>
    <w:rsid w:val="00314B5D"/>
    <w:rsid w:val="00314F5D"/>
    <w:rsid w:val="00314FC1"/>
    <w:rsid w:val="0031525B"/>
    <w:rsid w:val="00315669"/>
    <w:rsid w:val="003156D4"/>
    <w:rsid w:val="0031582C"/>
    <w:rsid w:val="00315883"/>
    <w:rsid w:val="00315D98"/>
    <w:rsid w:val="00315E70"/>
    <w:rsid w:val="00316058"/>
    <w:rsid w:val="00316131"/>
    <w:rsid w:val="00316348"/>
    <w:rsid w:val="0031644C"/>
    <w:rsid w:val="0031668F"/>
    <w:rsid w:val="0031687B"/>
    <w:rsid w:val="00316A47"/>
    <w:rsid w:val="00316F0B"/>
    <w:rsid w:val="00316F32"/>
    <w:rsid w:val="00317046"/>
    <w:rsid w:val="00317186"/>
    <w:rsid w:val="003172F8"/>
    <w:rsid w:val="00317583"/>
    <w:rsid w:val="00317841"/>
    <w:rsid w:val="003178B6"/>
    <w:rsid w:val="00317995"/>
    <w:rsid w:val="00317A5A"/>
    <w:rsid w:val="00317C3B"/>
    <w:rsid w:val="00317D0A"/>
    <w:rsid w:val="00320001"/>
    <w:rsid w:val="003201BF"/>
    <w:rsid w:val="00320362"/>
    <w:rsid w:val="00320763"/>
    <w:rsid w:val="0032079E"/>
    <w:rsid w:val="00320855"/>
    <w:rsid w:val="003209E0"/>
    <w:rsid w:val="00320A35"/>
    <w:rsid w:val="00320ACA"/>
    <w:rsid w:val="00320B0F"/>
    <w:rsid w:val="00320BB8"/>
    <w:rsid w:val="00320D54"/>
    <w:rsid w:val="00321046"/>
    <w:rsid w:val="00321047"/>
    <w:rsid w:val="00321171"/>
    <w:rsid w:val="003212D3"/>
    <w:rsid w:val="00321510"/>
    <w:rsid w:val="00321682"/>
    <w:rsid w:val="003216E2"/>
    <w:rsid w:val="003217B7"/>
    <w:rsid w:val="00321BF3"/>
    <w:rsid w:val="00321C3A"/>
    <w:rsid w:val="00321F9C"/>
    <w:rsid w:val="0032222A"/>
    <w:rsid w:val="00322430"/>
    <w:rsid w:val="00322867"/>
    <w:rsid w:val="003228A5"/>
    <w:rsid w:val="00322DDD"/>
    <w:rsid w:val="00322E28"/>
    <w:rsid w:val="003232E8"/>
    <w:rsid w:val="0032346B"/>
    <w:rsid w:val="00323D7B"/>
    <w:rsid w:val="00323D86"/>
    <w:rsid w:val="00323E47"/>
    <w:rsid w:val="00323FE8"/>
    <w:rsid w:val="003240A5"/>
    <w:rsid w:val="003243A5"/>
    <w:rsid w:val="0032440E"/>
    <w:rsid w:val="00324493"/>
    <w:rsid w:val="003244F1"/>
    <w:rsid w:val="003246E8"/>
    <w:rsid w:val="00324C15"/>
    <w:rsid w:val="00324E25"/>
    <w:rsid w:val="00324F3C"/>
    <w:rsid w:val="003250A0"/>
    <w:rsid w:val="003250A1"/>
    <w:rsid w:val="00325202"/>
    <w:rsid w:val="003253B7"/>
    <w:rsid w:val="00325999"/>
    <w:rsid w:val="00325C4A"/>
    <w:rsid w:val="00325C9F"/>
    <w:rsid w:val="003265B2"/>
    <w:rsid w:val="003268DD"/>
    <w:rsid w:val="003268F4"/>
    <w:rsid w:val="00326945"/>
    <w:rsid w:val="00326BE7"/>
    <w:rsid w:val="00326BE8"/>
    <w:rsid w:val="00326CA5"/>
    <w:rsid w:val="0032701A"/>
    <w:rsid w:val="0032720D"/>
    <w:rsid w:val="003273BD"/>
    <w:rsid w:val="00327542"/>
    <w:rsid w:val="003275B7"/>
    <w:rsid w:val="0032796E"/>
    <w:rsid w:val="00327979"/>
    <w:rsid w:val="00327B80"/>
    <w:rsid w:val="00327BD9"/>
    <w:rsid w:val="00327D77"/>
    <w:rsid w:val="00327DA7"/>
    <w:rsid w:val="00327F0A"/>
    <w:rsid w:val="00330081"/>
    <w:rsid w:val="003305FC"/>
    <w:rsid w:val="0033089C"/>
    <w:rsid w:val="00330C84"/>
    <w:rsid w:val="00330EA0"/>
    <w:rsid w:val="00330EE6"/>
    <w:rsid w:val="003310C2"/>
    <w:rsid w:val="003310D9"/>
    <w:rsid w:val="003311B8"/>
    <w:rsid w:val="0033136F"/>
    <w:rsid w:val="00331624"/>
    <w:rsid w:val="0033165B"/>
    <w:rsid w:val="003316A2"/>
    <w:rsid w:val="0033172F"/>
    <w:rsid w:val="00331997"/>
    <w:rsid w:val="00331AFD"/>
    <w:rsid w:val="00331EF0"/>
    <w:rsid w:val="00331F79"/>
    <w:rsid w:val="00331FE7"/>
    <w:rsid w:val="0033285B"/>
    <w:rsid w:val="00332ADA"/>
    <w:rsid w:val="00332B70"/>
    <w:rsid w:val="00332B91"/>
    <w:rsid w:val="00332C63"/>
    <w:rsid w:val="00332D43"/>
    <w:rsid w:val="00332E54"/>
    <w:rsid w:val="00332F31"/>
    <w:rsid w:val="0033303E"/>
    <w:rsid w:val="003330EB"/>
    <w:rsid w:val="003330F4"/>
    <w:rsid w:val="003331B2"/>
    <w:rsid w:val="003333E4"/>
    <w:rsid w:val="003333FB"/>
    <w:rsid w:val="00333427"/>
    <w:rsid w:val="003335EE"/>
    <w:rsid w:val="00333659"/>
    <w:rsid w:val="0033366D"/>
    <w:rsid w:val="0033369C"/>
    <w:rsid w:val="00333A55"/>
    <w:rsid w:val="00333C0D"/>
    <w:rsid w:val="00333C98"/>
    <w:rsid w:val="00333E7B"/>
    <w:rsid w:val="00333E83"/>
    <w:rsid w:val="00333EFB"/>
    <w:rsid w:val="00334113"/>
    <w:rsid w:val="003344F2"/>
    <w:rsid w:val="00334888"/>
    <w:rsid w:val="003348EE"/>
    <w:rsid w:val="00334A3C"/>
    <w:rsid w:val="00334DA1"/>
    <w:rsid w:val="003352C5"/>
    <w:rsid w:val="0033548E"/>
    <w:rsid w:val="0033562C"/>
    <w:rsid w:val="0033570A"/>
    <w:rsid w:val="0033570C"/>
    <w:rsid w:val="0033574E"/>
    <w:rsid w:val="003358CF"/>
    <w:rsid w:val="00335A0D"/>
    <w:rsid w:val="00335B38"/>
    <w:rsid w:val="00335B55"/>
    <w:rsid w:val="00336086"/>
    <w:rsid w:val="00336372"/>
    <w:rsid w:val="00336403"/>
    <w:rsid w:val="0033672E"/>
    <w:rsid w:val="00336AAC"/>
    <w:rsid w:val="00336D88"/>
    <w:rsid w:val="00336E32"/>
    <w:rsid w:val="00336F39"/>
    <w:rsid w:val="00336F73"/>
    <w:rsid w:val="003370AC"/>
    <w:rsid w:val="003370FA"/>
    <w:rsid w:val="0033722C"/>
    <w:rsid w:val="003373F7"/>
    <w:rsid w:val="00337427"/>
    <w:rsid w:val="00337958"/>
    <w:rsid w:val="00337B57"/>
    <w:rsid w:val="00337B91"/>
    <w:rsid w:val="00337CDF"/>
    <w:rsid w:val="00337DCC"/>
    <w:rsid w:val="00337F74"/>
    <w:rsid w:val="003401B1"/>
    <w:rsid w:val="003403EF"/>
    <w:rsid w:val="003404F9"/>
    <w:rsid w:val="00340541"/>
    <w:rsid w:val="00340893"/>
    <w:rsid w:val="003409BC"/>
    <w:rsid w:val="00340A6E"/>
    <w:rsid w:val="00340B10"/>
    <w:rsid w:val="00340B8C"/>
    <w:rsid w:val="00340BAF"/>
    <w:rsid w:val="00341078"/>
    <w:rsid w:val="003410E9"/>
    <w:rsid w:val="00341205"/>
    <w:rsid w:val="0034135B"/>
    <w:rsid w:val="00341492"/>
    <w:rsid w:val="00341F31"/>
    <w:rsid w:val="00341F3F"/>
    <w:rsid w:val="00342196"/>
    <w:rsid w:val="00342418"/>
    <w:rsid w:val="0034242B"/>
    <w:rsid w:val="003424AC"/>
    <w:rsid w:val="003426A2"/>
    <w:rsid w:val="00342765"/>
    <w:rsid w:val="003429AB"/>
    <w:rsid w:val="00342B17"/>
    <w:rsid w:val="00342F1B"/>
    <w:rsid w:val="0034370C"/>
    <w:rsid w:val="00343888"/>
    <w:rsid w:val="0034395B"/>
    <w:rsid w:val="00343A40"/>
    <w:rsid w:val="00343B5D"/>
    <w:rsid w:val="00343E1C"/>
    <w:rsid w:val="00343E8C"/>
    <w:rsid w:val="00343FC6"/>
    <w:rsid w:val="00344134"/>
    <w:rsid w:val="0034482A"/>
    <w:rsid w:val="00344B7D"/>
    <w:rsid w:val="00344C79"/>
    <w:rsid w:val="00345350"/>
    <w:rsid w:val="0034537C"/>
    <w:rsid w:val="00345623"/>
    <w:rsid w:val="00345647"/>
    <w:rsid w:val="0034568F"/>
    <w:rsid w:val="0034570E"/>
    <w:rsid w:val="00345824"/>
    <w:rsid w:val="00345C9E"/>
    <w:rsid w:val="00345CEC"/>
    <w:rsid w:val="00345D15"/>
    <w:rsid w:val="00345DCF"/>
    <w:rsid w:val="00345F02"/>
    <w:rsid w:val="0034605C"/>
    <w:rsid w:val="003460CF"/>
    <w:rsid w:val="0034621E"/>
    <w:rsid w:val="0034624B"/>
    <w:rsid w:val="00346342"/>
    <w:rsid w:val="0034643D"/>
    <w:rsid w:val="003469FB"/>
    <w:rsid w:val="00346BC8"/>
    <w:rsid w:val="00346CA7"/>
    <w:rsid w:val="00346E0C"/>
    <w:rsid w:val="00346E23"/>
    <w:rsid w:val="00346F8C"/>
    <w:rsid w:val="00347115"/>
    <w:rsid w:val="00347141"/>
    <w:rsid w:val="0034717F"/>
    <w:rsid w:val="003474B2"/>
    <w:rsid w:val="00347A3F"/>
    <w:rsid w:val="00347B65"/>
    <w:rsid w:val="003506C9"/>
    <w:rsid w:val="003508D0"/>
    <w:rsid w:val="00350A47"/>
    <w:rsid w:val="00350DA2"/>
    <w:rsid w:val="00350F0E"/>
    <w:rsid w:val="003510F4"/>
    <w:rsid w:val="003511BF"/>
    <w:rsid w:val="003512C6"/>
    <w:rsid w:val="0035164D"/>
    <w:rsid w:val="00351762"/>
    <w:rsid w:val="00351C35"/>
    <w:rsid w:val="00351E98"/>
    <w:rsid w:val="00352178"/>
    <w:rsid w:val="003521F0"/>
    <w:rsid w:val="00352348"/>
    <w:rsid w:val="00352368"/>
    <w:rsid w:val="00352710"/>
    <w:rsid w:val="00352757"/>
    <w:rsid w:val="00352917"/>
    <w:rsid w:val="0035299D"/>
    <w:rsid w:val="003529E6"/>
    <w:rsid w:val="00352BDC"/>
    <w:rsid w:val="00352C7E"/>
    <w:rsid w:val="00352EF3"/>
    <w:rsid w:val="00353351"/>
    <w:rsid w:val="00353479"/>
    <w:rsid w:val="003536C3"/>
    <w:rsid w:val="003538AD"/>
    <w:rsid w:val="00353C52"/>
    <w:rsid w:val="00353CA6"/>
    <w:rsid w:val="00354283"/>
    <w:rsid w:val="0035428A"/>
    <w:rsid w:val="00354B96"/>
    <w:rsid w:val="00354BD6"/>
    <w:rsid w:val="00355106"/>
    <w:rsid w:val="003555AB"/>
    <w:rsid w:val="003556AC"/>
    <w:rsid w:val="003558A4"/>
    <w:rsid w:val="00355D78"/>
    <w:rsid w:val="00355ED6"/>
    <w:rsid w:val="003562A6"/>
    <w:rsid w:val="003565CD"/>
    <w:rsid w:val="00356CF8"/>
    <w:rsid w:val="00356ECC"/>
    <w:rsid w:val="00357042"/>
    <w:rsid w:val="0035716B"/>
    <w:rsid w:val="003576D5"/>
    <w:rsid w:val="0035776A"/>
    <w:rsid w:val="00357782"/>
    <w:rsid w:val="003578EC"/>
    <w:rsid w:val="00357A36"/>
    <w:rsid w:val="00357BB5"/>
    <w:rsid w:val="00357D67"/>
    <w:rsid w:val="003601CF"/>
    <w:rsid w:val="003602A7"/>
    <w:rsid w:val="00360338"/>
    <w:rsid w:val="003603F7"/>
    <w:rsid w:val="0036046A"/>
    <w:rsid w:val="003604BF"/>
    <w:rsid w:val="003605D8"/>
    <w:rsid w:val="0036087B"/>
    <w:rsid w:val="003609F7"/>
    <w:rsid w:val="00360CBA"/>
    <w:rsid w:val="00360CF4"/>
    <w:rsid w:val="00360E4A"/>
    <w:rsid w:val="00360F10"/>
    <w:rsid w:val="003610BB"/>
    <w:rsid w:val="0036131D"/>
    <w:rsid w:val="0036147E"/>
    <w:rsid w:val="003615B6"/>
    <w:rsid w:val="003617D8"/>
    <w:rsid w:val="00361ACC"/>
    <w:rsid w:val="00361BD9"/>
    <w:rsid w:val="00361C00"/>
    <w:rsid w:val="00361CB8"/>
    <w:rsid w:val="00361D2E"/>
    <w:rsid w:val="00361E12"/>
    <w:rsid w:val="00362185"/>
    <w:rsid w:val="0036230B"/>
    <w:rsid w:val="0036281A"/>
    <w:rsid w:val="00362906"/>
    <w:rsid w:val="0036295E"/>
    <w:rsid w:val="003629AA"/>
    <w:rsid w:val="00362B77"/>
    <w:rsid w:val="0036304E"/>
    <w:rsid w:val="0036315C"/>
    <w:rsid w:val="003632BA"/>
    <w:rsid w:val="003635AD"/>
    <w:rsid w:val="00363783"/>
    <w:rsid w:val="003638A2"/>
    <w:rsid w:val="00363CAC"/>
    <w:rsid w:val="00363DD2"/>
    <w:rsid w:val="00363EA0"/>
    <w:rsid w:val="0036409E"/>
    <w:rsid w:val="003641CB"/>
    <w:rsid w:val="003644F6"/>
    <w:rsid w:val="00364699"/>
    <w:rsid w:val="003647EE"/>
    <w:rsid w:val="003647F6"/>
    <w:rsid w:val="00364A6A"/>
    <w:rsid w:val="00364DA8"/>
    <w:rsid w:val="00364DB2"/>
    <w:rsid w:val="00364E4B"/>
    <w:rsid w:val="00364E9C"/>
    <w:rsid w:val="00364FBB"/>
    <w:rsid w:val="0036524E"/>
    <w:rsid w:val="003652BE"/>
    <w:rsid w:val="00365379"/>
    <w:rsid w:val="0036549D"/>
    <w:rsid w:val="00365698"/>
    <w:rsid w:val="003657A3"/>
    <w:rsid w:val="00365AAD"/>
    <w:rsid w:val="00365ABC"/>
    <w:rsid w:val="00365C59"/>
    <w:rsid w:val="00365C87"/>
    <w:rsid w:val="00365C89"/>
    <w:rsid w:val="00365FE5"/>
    <w:rsid w:val="00366120"/>
    <w:rsid w:val="00366361"/>
    <w:rsid w:val="003664BB"/>
    <w:rsid w:val="00366AB1"/>
    <w:rsid w:val="00366C39"/>
    <w:rsid w:val="00366DBE"/>
    <w:rsid w:val="00366F39"/>
    <w:rsid w:val="00367214"/>
    <w:rsid w:val="0036760F"/>
    <w:rsid w:val="0036762E"/>
    <w:rsid w:val="00367744"/>
    <w:rsid w:val="0036775E"/>
    <w:rsid w:val="003677E0"/>
    <w:rsid w:val="00367A36"/>
    <w:rsid w:val="00367C49"/>
    <w:rsid w:val="00367D69"/>
    <w:rsid w:val="00367D6B"/>
    <w:rsid w:val="00367EB6"/>
    <w:rsid w:val="00367F04"/>
    <w:rsid w:val="00367F6A"/>
    <w:rsid w:val="00370096"/>
    <w:rsid w:val="003700CD"/>
    <w:rsid w:val="0037029E"/>
    <w:rsid w:val="00370607"/>
    <w:rsid w:val="003706A4"/>
    <w:rsid w:val="003706D8"/>
    <w:rsid w:val="00370973"/>
    <w:rsid w:val="00370A3C"/>
    <w:rsid w:val="00370B2D"/>
    <w:rsid w:val="00370C9C"/>
    <w:rsid w:val="00370D90"/>
    <w:rsid w:val="00370E7D"/>
    <w:rsid w:val="003712EA"/>
    <w:rsid w:val="0037176A"/>
    <w:rsid w:val="0037180E"/>
    <w:rsid w:val="003718DE"/>
    <w:rsid w:val="00371923"/>
    <w:rsid w:val="003719D8"/>
    <w:rsid w:val="00371B49"/>
    <w:rsid w:val="00371BCA"/>
    <w:rsid w:val="00371D40"/>
    <w:rsid w:val="00371DAF"/>
    <w:rsid w:val="00371F4C"/>
    <w:rsid w:val="00372085"/>
    <w:rsid w:val="00372387"/>
    <w:rsid w:val="0037252E"/>
    <w:rsid w:val="00372795"/>
    <w:rsid w:val="003729F8"/>
    <w:rsid w:val="00372A31"/>
    <w:rsid w:val="00372A5D"/>
    <w:rsid w:val="00372B3D"/>
    <w:rsid w:val="00372E09"/>
    <w:rsid w:val="00372F35"/>
    <w:rsid w:val="00373008"/>
    <w:rsid w:val="003732C0"/>
    <w:rsid w:val="003733E6"/>
    <w:rsid w:val="003734B5"/>
    <w:rsid w:val="0037383C"/>
    <w:rsid w:val="00373927"/>
    <w:rsid w:val="003741CB"/>
    <w:rsid w:val="0037446A"/>
    <w:rsid w:val="00374893"/>
    <w:rsid w:val="00374B48"/>
    <w:rsid w:val="00374BDE"/>
    <w:rsid w:val="00374C9D"/>
    <w:rsid w:val="00374D0F"/>
    <w:rsid w:val="00374D91"/>
    <w:rsid w:val="00374F3B"/>
    <w:rsid w:val="00374F4A"/>
    <w:rsid w:val="00374F58"/>
    <w:rsid w:val="00374F5A"/>
    <w:rsid w:val="0037510D"/>
    <w:rsid w:val="0037518D"/>
    <w:rsid w:val="0037525D"/>
    <w:rsid w:val="003752F0"/>
    <w:rsid w:val="00375316"/>
    <w:rsid w:val="003753C0"/>
    <w:rsid w:val="00375424"/>
    <w:rsid w:val="003755EA"/>
    <w:rsid w:val="0037578B"/>
    <w:rsid w:val="0037595F"/>
    <w:rsid w:val="00375BC8"/>
    <w:rsid w:val="00375E20"/>
    <w:rsid w:val="00375EC0"/>
    <w:rsid w:val="00375F5E"/>
    <w:rsid w:val="00376174"/>
    <w:rsid w:val="00376454"/>
    <w:rsid w:val="003764A7"/>
    <w:rsid w:val="003764A8"/>
    <w:rsid w:val="003764F4"/>
    <w:rsid w:val="0037657A"/>
    <w:rsid w:val="00376880"/>
    <w:rsid w:val="003769AE"/>
    <w:rsid w:val="00376B9A"/>
    <w:rsid w:val="00376C35"/>
    <w:rsid w:val="00377496"/>
    <w:rsid w:val="00377611"/>
    <w:rsid w:val="00377FDF"/>
    <w:rsid w:val="003800EE"/>
    <w:rsid w:val="003804A5"/>
    <w:rsid w:val="003806E3"/>
    <w:rsid w:val="0038088C"/>
    <w:rsid w:val="00380AC4"/>
    <w:rsid w:val="00380DB2"/>
    <w:rsid w:val="00380F0B"/>
    <w:rsid w:val="00380FBE"/>
    <w:rsid w:val="003810D1"/>
    <w:rsid w:val="00381121"/>
    <w:rsid w:val="0038113F"/>
    <w:rsid w:val="0038122F"/>
    <w:rsid w:val="0038158A"/>
    <w:rsid w:val="0038164A"/>
    <w:rsid w:val="00381C1D"/>
    <w:rsid w:val="00381C21"/>
    <w:rsid w:val="00381EB5"/>
    <w:rsid w:val="00382229"/>
    <w:rsid w:val="00382275"/>
    <w:rsid w:val="00382309"/>
    <w:rsid w:val="00382336"/>
    <w:rsid w:val="00382396"/>
    <w:rsid w:val="0038271F"/>
    <w:rsid w:val="00382A7D"/>
    <w:rsid w:val="00382DE8"/>
    <w:rsid w:val="003835E4"/>
    <w:rsid w:val="0038364E"/>
    <w:rsid w:val="003837F2"/>
    <w:rsid w:val="00383999"/>
    <w:rsid w:val="00384152"/>
    <w:rsid w:val="00384256"/>
    <w:rsid w:val="00384575"/>
    <w:rsid w:val="0038476F"/>
    <w:rsid w:val="00384FF3"/>
    <w:rsid w:val="00385147"/>
    <w:rsid w:val="00385659"/>
    <w:rsid w:val="003858E2"/>
    <w:rsid w:val="00385906"/>
    <w:rsid w:val="00385B08"/>
    <w:rsid w:val="00385B4A"/>
    <w:rsid w:val="003862AB"/>
    <w:rsid w:val="003862BE"/>
    <w:rsid w:val="003866B4"/>
    <w:rsid w:val="00386EDB"/>
    <w:rsid w:val="0038701E"/>
    <w:rsid w:val="00387177"/>
    <w:rsid w:val="003871E1"/>
    <w:rsid w:val="00387385"/>
    <w:rsid w:val="0038740D"/>
    <w:rsid w:val="0038741F"/>
    <w:rsid w:val="00387487"/>
    <w:rsid w:val="003875E2"/>
    <w:rsid w:val="003877C5"/>
    <w:rsid w:val="00387978"/>
    <w:rsid w:val="00387A26"/>
    <w:rsid w:val="00387A84"/>
    <w:rsid w:val="00387C8F"/>
    <w:rsid w:val="00387D0A"/>
    <w:rsid w:val="00387DC3"/>
    <w:rsid w:val="0039004B"/>
    <w:rsid w:val="00390183"/>
    <w:rsid w:val="003901C1"/>
    <w:rsid w:val="00390449"/>
    <w:rsid w:val="00390508"/>
    <w:rsid w:val="00390560"/>
    <w:rsid w:val="003906FC"/>
    <w:rsid w:val="00390705"/>
    <w:rsid w:val="0039078B"/>
    <w:rsid w:val="003908E1"/>
    <w:rsid w:val="003909C9"/>
    <w:rsid w:val="003910E3"/>
    <w:rsid w:val="00391141"/>
    <w:rsid w:val="0039118E"/>
    <w:rsid w:val="003916E4"/>
    <w:rsid w:val="00391753"/>
    <w:rsid w:val="003919FA"/>
    <w:rsid w:val="00392035"/>
    <w:rsid w:val="00392291"/>
    <w:rsid w:val="003927D1"/>
    <w:rsid w:val="00392A3F"/>
    <w:rsid w:val="00392BFF"/>
    <w:rsid w:val="00392F70"/>
    <w:rsid w:val="0039323B"/>
    <w:rsid w:val="003933AC"/>
    <w:rsid w:val="003934E3"/>
    <w:rsid w:val="003935C9"/>
    <w:rsid w:val="003936BD"/>
    <w:rsid w:val="003939AB"/>
    <w:rsid w:val="00393CE7"/>
    <w:rsid w:val="00393E63"/>
    <w:rsid w:val="0039401B"/>
    <w:rsid w:val="00394021"/>
    <w:rsid w:val="003940D5"/>
    <w:rsid w:val="00394202"/>
    <w:rsid w:val="0039423A"/>
    <w:rsid w:val="003944C6"/>
    <w:rsid w:val="003944D7"/>
    <w:rsid w:val="00394AFA"/>
    <w:rsid w:val="00394BB0"/>
    <w:rsid w:val="00394D5E"/>
    <w:rsid w:val="00394D6A"/>
    <w:rsid w:val="00394DC0"/>
    <w:rsid w:val="00394F89"/>
    <w:rsid w:val="003952B5"/>
    <w:rsid w:val="0039558F"/>
    <w:rsid w:val="003955ED"/>
    <w:rsid w:val="00395666"/>
    <w:rsid w:val="00395783"/>
    <w:rsid w:val="003957CF"/>
    <w:rsid w:val="00395842"/>
    <w:rsid w:val="00395903"/>
    <w:rsid w:val="00395964"/>
    <w:rsid w:val="00395A25"/>
    <w:rsid w:val="00395CB8"/>
    <w:rsid w:val="00395DB7"/>
    <w:rsid w:val="00395E04"/>
    <w:rsid w:val="00395EE4"/>
    <w:rsid w:val="00395F25"/>
    <w:rsid w:val="003960BD"/>
    <w:rsid w:val="003960C5"/>
    <w:rsid w:val="003961B9"/>
    <w:rsid w:val="003962FE"/>
    <w:rsid w:val="003963A8"/>
    <w:rsid w:val="003964AD"/>
    <w:rsid w:val="003965FE"/>
    <w:rsid w:val="0039688D"/>
    <w:rsid w:val="003969EA"/>
    <w:rsid w:val="00396C74"/>
    <w:rsid w:val="00396C85"/>
    <w:rsid w:val="00396D1D"/>
    <w:rsid w:val="00396EE6"/>
    <w:rsid w:val="00396F07"/>
    <w:rsid w:val="00397301"/>
    <w:rsid w:val="0039747F"/>
    <w:rsid w:val="003977C7"/>
    <w:rsid w:val="00397900"/>
    <w:rsid w:val="003979A8"/>
    <w:rsid w:val="00397A9B"/>
    <w:rsid w:val="00397D3F"/>
    <w:rsid w:val="00397DD2"/>
    <w:rsid w:val="00397F48"/>
    <w:rsid w:val="003A00AF"/>
    <w:rsid w:val="003A0267"/>
    <w:rsid w:val="003A02BB"/>
    <w:rsid w:val="003A02F3"/>
    <w:rsid w:val="003A0401"/>
    <w:rsid w:val="003A04FD"/>
    <w:rsid w:val="003A05D6"/>
    <w:rsid w:val="003A06AB"/>
    <w:rsid w:val="003A06AC"/>
    <w:rsid w:val="003A0735"/>
    <w:rsid w:val="003A0981"/>
    <w:rsid w:val="003A09DA"/>
    <w:rsid w:val="003A0AC1"/>
    <w:rsid w:val="003A0AFC"/>
    <w:rsid w:val="003A0ED4"/>
    <w:rsid w:val="003A1475"/>
    <w:rsid w:val="003A1501"/>
    <w:rsid w:val="003A1532"/>
    <w:rsid w:val="003A165C"/>
    <w:rsid w:val="003A16A6"/>
    <w:rsid w:val="003A175F"/>
    <w:rsid w:val="003A187A"/>
    <w:rsid w:val="003A19EE"/>
    <w:rsid w:val="003A1B04"/>
    <w:rsid w:val="003A1FE2"/>
    <w:rsid w:val="003A20A4"/>
    <w:rsid w:val="003A215F"/>
    <w:rsid w:val="003A223E"/>
    <w:rsid w:val="003A23E4"/>
    <w:rsid w:val="003A2407"/>
    <w:rsid w:val="003A2462"/>
    <w:rsid w:val="003A2668"/>
    <w:rsid w:val="003A273C"/>
    <w:rsid w:val="003A27B3"/>
    <w:rsid w:val="003A27DE"/>
    <w:rsid w:val="003A2948"/>
    <w:rsid w:val="003A2972"/>
    <w:rsid w:val="003A29C7"/>
    <w:rsid w:val="003A2C94"/>
    <w:rsid w:val="003A2DAA"/>
    <w:rsid w:val="003A2F10"/>
    <w:rsid w:val="003A2FD5"/>
    <w:rsid w:val="003A30C7"/>
    <w:rsid w:val="003A314E"/>
    <w:rsid w:val="003A3188"/>
    <w:rsid w:val="003A3376"/>
    <w:rsid w:val="003A3612"/>
    <w:rsid w:val="003A3AE6"/>
    <w:rsid w:val="003A3F27"/>
    <w:rsid w:val="003A4055"/>
    <w:rsid w:val="003A427D"/>
    <w:rsid w:val="003A4386"/>
    <w:rsid w:val="003A43FC"/>
    <w:rsid w:val="003A4422"/>
    <w:rsid w:val="003A459F"/>
    <w:rsid w:val="003A45FF"/>
    <w:rsid w:val="003A4817"/>
    <w:rsid w:val="003A485C"/>
    <w:rsid w:val="003A4C98"/>
    <w:rsid w:val="003A4D5C"/>
    <w:rsid w:val="003A4DBF"/>
    <w:rsid w:val="003A4F23"/>
    <w:rsid w:val="003A51C9"/>
    <w:rsid w:val="003A5A65"/>
    <w:rsid w:val="003A5BBE"/>
    <w:rsid w:val="003A5BFA"/>
    <w:rsid w:val="003A5E71"/>
    <w:rsid w:val="003A602E"/>
    <w:rsid w:val="003A609C"/>
    <w:rsid w:val="003A66DD"/>
    <w:rsid w:val="003A67B2"/>
    <w:rsid w:val="003A67C9"/>
    <w:rsid w:val="003A6879"/>
    <w:rsid w:val="003A68B6"/>
    <w:rsid w:val="003A6B70"/>
    <w:rsid w:val="003A6CD2"/>
    <w:rsid w:val="003A6D9C"/>
    <w:rsid w:val="003A6F31"/>
    <w:rsid w:val="003A706E"/>
    <w:rsid w:val="003A73A8"/>
    <w:rsid w:val="003A73CB"/>
    <w:rsid w:val="003A7A47"/>
    <w:rsid w:val="003A7AC4"/>
    <w:rsid w:val="003A7CFA"/>
    <w:rsid w:val="003A7D4A"/>
    <w:rsid w:val="003B01C6"/>
    <w:rsid w:val="003B0458"/>
    <w:rsid w:val="003B054B"/>
    <w:rsid w:val="003B06BE"/>
    <w:rsid w:val="003B09C1"/>
    <w:rsid w:val="003B1083"/>
    <w:rsid w:val="003B1203"/>
    <w:rsid w:val="003B12B6"/>
    <w:rsid w:val="003B154C"/>
    <w:rsid w:val="003B1A7B"/>
    <w:rsid w:val="003B1A7E"/>
    <w:rsid w:val="003B1BC7"/>
    <w:rsid w:val="003B1D7B"/>
    <w:rsid w:val="003B1E96"/>
    <w:rsid w:val="003B1FC3"/>
    <w:rsid w:val="003B2282"/>
    <w:rsid w:val="003B2648"/>
    <w:rsid w:val="003B2791"/>
    <w:rsid w:val="003B27EA"/>
    <w:rsid w:val="003B2C13"/>
    <w:rsid w:val="003B2C2C"/>
    <w:rsid w:val="003B2E61"/>
    <w:rsid w:val="003B2F3A"/>
    <w:rsid w:val="003B31AC"/>
    <w:rsid w:val="003B334A"/>
    <w:rsid w:val="003B379E"/>
    <w:rsid w:val="003B37C5"/>
    <w:rsid w:val="003B3E40"/>
    <w:rsid w:val="003B3E51"/>
    <w:rsid w:val="003B4464"/>
    <w:rsid w:val="003B45F1"/>
    <w:rsid w:val="003B4671"/>
    <w:rsid w:val="003B47D6"/>
    <w:rsid w:val="003B47E7"/>
    <w:rsid w:val="003B491A"/>
    <w:rsid w:val="003B4A3C"/>
    <w:rsid w:val="003B4EF0"/>
    <w:rsid w:val="003B4F06"/>
    <w:rsid w:val="003B4F69"/>
    <w:rsid w:val="003B4F79"/>
    <w:rsid w:val="003B50DD"/>
    <w:rsid w:val="003B52F4"/>
    <w:rsid w:val="003B54A7"/>
    <w:rsid w:val="003B54DE"/>
    <w:rsid w:val="003B58C0"/>
    <w:rsid w:val="003B5C2E"/>
    <w:rsid w:val="003B5C6C"/>
    <w:rsid w:val="003B5C74"/>
    <w:rsid w:val="003B5C8D"/>
    <w:rsid w:val="003B5C94"/>
    <w:rsid w:val="003B5F08"/>
    <w:rsid w:val="003B5F85"/>
    <w:rsid w:val="003B60A6"/>
    <w:rsid w:val="003B61AE"/>
    <w:rsid w:val="003B632A"/>
    <w:rsid w:val="003B64B1"/>
    <w:rsid w:val="003B6719"/>
    <w:rsid w:val="003B67EE"/>
    <w:rsid w:val="003B6D71"/>
    <w:rsid w:val="003B7091"/>
    <w:rsid w:val="003B71DC"/>
    <w:rsid w:val="003B71F7"/>
    <w:rsid w:val="003B7245"/>
    <w:rsid w:val="003B73CB"/>
    <w:rsid w:val="003B74D5"/>
    <w:rsid w:val="003B77F2"/>
    <w:rsid w:val="003B7A36"/>
    <w:rsid w:val="003B7AD6"/>
    <w:rsid w:val="003B7B5A"/>
    <w:rsid w:val="003B7D88"/>
    <w:rsid w:val="003C0120"/>
    <w:rsid w:val="003C0128"/>
    <w:rsid w:val="003C01A7"/>
    <w:rsid w:val="003C021F"/>
    <w:rsid w:val="003C023B"/>
    <w:rsid w:val="003C043C"/>
    <w:rsid w:val="003C065F"/>
    <w:rsid w:val="003C0AF5"/>
    <w:rsid w:val="003C0B97"/>
    <w:rsid w:val="003C0B9F"/>
    <w:rsid w:val="003C0C86"/>
    <w:rsid w:val="003C0C90"/>
    <w:rsid w:val="003C0DE2"/>
    <w:rsid w:val="003C0EB7"/>
    <w:rsid w:val="003C10C8"/>
    <w:rsid w:val="003C1131"/>
    <w:rsid w:val="003C115C"/>
    <w:rsid w:val="003C13D0"/>
    <w:rsid w:val="003C14D5"/>
    <w:rsid w:val="003C16F5"/>
    <w:rsid w:val="003C192D"/>
    <w:rsid w:val="003C1936"/>
    <w:rsid w:val="003C1999"/>
    <w:rsid w:val="003C1A4F"/>
    <w:rsid w:val="003C1AE0"/>
    <w:rsid w:val="003C1BF5"/>
    <w:rsid w:val="003C2116"/>
    <w:rsid w:val="003C23C9"/>
    <w:rsid w:val="003C28FF"/>
    <w:rsid w:val="003C292B"/>
    <w:rsid w:val="003C2BE0"/>
    <w:rsid w:val="003C2CF1"/>
    <w:rsid w:val="003C3AE1"/>
    <w:rsid w:val="003C3C91"/>
    <w:rsid w:val="003C3FD1"/>
    <w:rsid w:val="003C41AC"/>
    <w:rsid w:val="003C441F"/>
    <w:rsid w:val="003C4421"/>
    <w:rsid w:val="003C44ED"/>
    <w:rsid w:val="003C4572"/>
    <w:rsid w:val="003C48EB"/>
    <w:rsid w:val="003C4939"/>
    <w:rsid w:val="003C4C7B"/>
    <w:rsid w:val="003C4E4B"/>
    <w:rsid w:val="003C4F42"/>
    <w:rsid w:val="003C50F6"/>
    <w:rsid w:val="003C51DC"/>
    <w:rsid w:val="003C5563"/>
    <w:rsid w:val="003C5637"/>
    <w:rsid w:val="003C56CF"/>
    <w:rsid w:val="003C5854"/>
    <w:rsid w:val="003C59A4"/>
    <w:rsid w:val="003C59BA"/>
    <w:rsid w:val="003C5A3A"/>
    <w:rsid w:val="003C5B0B"/>
    <w:rsid w:val="003C5B84"/>
    <w:rsid w:val="003C5C60"/>
    <w:rsid w:val="003C5CFE"/>
    <w:rsid w:val="003C601E"/>
    <w:rsid w:val="003C644E"/>
    <w:rsid w:val="003C6BC7"/>
    <w:rsid w:val="003C6C94"/>
    <w:rsid w:val="003C6EA0"/>
    <w:rsid w:val="003C6F56"/>
    <w:rsid w:val="003C767D"/>
    <w:rsid w:val="003C76A9"/>
    <w:rsid w:val="003C770E"/>
    <w:rsid w:val="003C7A57"/>
    <w:rsid w:val="003C7ABC"/>
    <w:rsid w:val="003C7ADE"/>
    <w:rsid w:val="003C7B3F"/>
    <w:rsid w:val="003C7B62"/>
    <w:rsid w:val="003C7B66"/>
    <w:rsid w:val="003C7C3A"/>
    <w:rsid w:val="003C7D75"/>
    <w:rsid w:val="003D00FC"/>
    <w:rsid w:val="003D0112"/>
    <w:rsid w:val="003D01C8"/>
    <w:rsid w:val="003D03FE"/>
    <w:rsid w:val="003D065A"/>
    <w:rsid w:val="003D0819"/>
    <w:rsid w:val="003D0A03"/>
    <w:rsid w:val="003D0FFB"/>
    <w:rsid w:val="003D13C3"/>
    <w:rsid w:val="003D149F"/>
    <w:rsid w:val="003D15CE"/>
    <w:rsid w:val="003D15DF"/>
    <w:rsid w:val="003D1667"/>
    <w:rsid w:val="003D19DE"/>
    <w:rsid w:val="003D1D3A"/>
    <w:rsid w:val="003D220F"/>
    <w:rsid w:val="003D222F"/>
    <w:rsid w:val="003D2458"/>
    <w:rsid w:val="003D26F4"/>
    <w:rsid w:val="003D2B71"/>
    <w:rsid w:val="003D2DB2"/>
    <w:rsid w:val="003D2E47"/>
    <w:rsid w:val="003D2EE8"/>
    <w:rsid w:val="003D3280"/>
    <w:rsid w:val="003D33BE"/>
    <w:rsid w:val="003D33CB"/>
    <w:rsid w:val="003D33E3"/>
    <w:rsid w:val="003D33E5"/>
    <w:rsid w:val="003D3861"/>
    <w:rsid w:val="003D3A5E"/>
    <w:rsid w:val="003D3B0A"/>
    <w:rsid w:val="003D3B4B"/>
    <w:rsid w:val="003D3B61"/>
    <w:rsid w:val="003D3EB2"/>
    <w:rsid w:val="003D40CF"/>
    <w:rsid w:val="003D413B"/>
    <w:rsid w:val="003D4261"/>
    <w:rsid w:val="003D43F4"/>
    <w:rsid w:val="003D49B1"/>
    <w:rsid w:val="003D4D72"/>
    <w:rsid w:val="003D4D86"/>
    <w:rsid w:val="003D4E5D"/>
    <w:rsid w:val="003D51B4"/>
    <w:rsid w:val="003D51B9"/>
    <w:rsid w:val="003D552A"/>
    <w:rsid w:val="003D62D6"/>
    <w:rsid w:val="003D6500"/>
    <w:rsid w:val="003D66E5"/>
    <w:rsid w:val="003D69B3"/>
    <w:rsid w:val="003D6B95"/>
    <w:rsid w:val="003D6D55"/>
    <w:rsid w:val="003D7047"/>
    <w:rsid w:val="003D71A5"/>
    <w:rsid w:val="003D72A7"/>
    <w:rsid w:val="003D738A"/>
    <w:rsid w:val="003D76EB"/>
    <w:rsid w:val="003D77A4"/>
    <w:rsid w:val="003D79DD"/>
    <w:rsid w:val="003D7BC7"/>
    <w:rsid w:val="003D7BF5"/>
    <w:rsid w:val="003D7CBD"/>
    <w:rsid w:val="003D7E09"/>
    <w:rsid w:val="003D7E10"/>
    <w:rsid w:val="003D7F41"/>
    <w:rsid w:val="003E0096"/>
    <w:rsid w:val="003E0146"/>
    <w:rsid w:val="003E036F"/>
    <w:rsid w:val="003E045A"/>
    <w:rsid w:val="003E054B"/>
    <w:rsid w:val="003E0627"/>
    <w:rsid w:val="003E08FA"/>
    <w:rsid w:val="003E098D"/>
    <w:rsid w:val="003E0C4F"/>
    <w:rsid w:val="003E0FCB"/>
    <w:rsid w:val="003E10A4"/>
    <w:rsid w:val="003E10E9"/>
    <w:rsid w:val="003E1132"/>
    <w:rsid w:val="003E1243"/>
    <w:rsid w:val="003E13A9"/>
    <w:rsid w:val="003E1682"/>
    <w:rsid w:val="003E196B"/>
    <w:rsid w:val="003E1D66"/>
    <w:rsid w:val="003E1E8B"/>
    <w:rsid w:val="003E2003"/>
    <w:rsid w:val="003E2284"/>
    <w:rsid w:val="003E22AB"/>
    <w:rsid w:val="003E24C5"/>
    <w:rsid w:val="003E277E"/>
    <w:rsid w:val="003E293B"/>
    <w:rsid w:val="003E2B30"/>
    <w:rsid w:val="003E2D81"/>
    <w:rsid w:val="003E348F"/>
    <w:rsid w:val="003E3508"/>
    <w:rsid w:val="003E354B"/>
    <w:rsid w:val="003E36A5"/>
    <w:rsid w:val="003E39E0"/>
    <w:rsid w:val="003E3A11"/>
    <w:rsid w:val="003E3A69"/>
    <w:rsid w:val="003E3ACF"/>
    <w:rsid w:val="003E3B56"/>
    <w:rsid w:val="003E3D41"/>
    <w:rsid w:val="003E3DDB"/>
    <w:rsid w:val="003E3EEC"/>
    <w:rsid w:val="003E4171"/>
    <w:rsid w:val="003E437F"/>
    <w:rsid w:val="003E4660"/>
    <w:rsid w:val="003E49C8"/>
    <w:rsid w:val="003E4B20"/>
    <w:rsid w:val="003E4C3C"/>
    <w:rsid w:val="003E4D45"/>
    <w:rsid w:val="003E4FFB"/>
    <w:rsid w:val="003E51F6"/>
    <w:rsid w:val="003E5489"/>
    <w:rsid w:val="003E54C0"/>
    <w:rsid w:val="003E574F"/>
    <w:rsid w:val="003E577C"/>
    <w:rsid w:val="003E58F2"/>
    <w:rsid w:val="003E5CE3"/>
    <w:rsid w:val="003E5D66"/>
    <w:rsid w:val="003E5E62"/>
    <w:rsid w:val="003E5F00"/>
    <w:rsid w:val="003E6274"/>
    <w:rsid w:val="003E629C"/>
    <w:rsid w:val="003E655E"/>
    <w:rsid w:val="003E661C"/>
    <w:rsid w:val="003E663F"/>
    <w:rsid w:val="003E677D"/>
    <w:rsid w:val="003E6829"/>
    <w:rsid w:val="003E6BE5"/>
    <w:rsid w:val="003E6EC1"/>
    <w:rsid w:val="003E7017"/>
    <w:rsid w:val="003E7411"/>
    <w:rsid w:val="003E776A"/>
    <w:rsid w:val="003E7838"/>
    <w:rsid w:val="003E797B"/>
    <w:rsid w:val="003E7B95"/>
    <w:rsid w:val="003E7BCC"/>
    <w:rsid w:val="003E7D5C"/>
    <w:rsid w:val="003E7DB7"/>
    <w:rsid w:val="003E7DE4"/>
    <w:rsid w:val="003E7EB9"/>
    <w:rsid w:val="003E7F73"/>
    <w:rsid w:val="003F063F"/>
    <w:rsid w:val="003F09DE"/>
    <w:rsid w:val="003F0BD4"/>
    <w:rsid w:val="003F0CFD"/>
    <w:rsid w:val="003F0DC0"/>
    <w:rsid w:val="003F0DC6"/>
    <w:rsid w:val="003F0F6E"/>
    <w:rsid w:val="003F0F70"/>
    <w:rsid w:val="003F102B"/>
    <w:rsid w:val="003F1063"/>
    <w:rsid w:val="003F14C6"/>
    <w:rsid w:val="003F1710"/>
    <w:rsid w:val="003F17BB"/>
    <w:rsid w:val="003F1861"/>
    <w:rsid w:val="003F1B8D"/>
    <w:rsid w:val="003F210B"/>
    <w:rsid w:val="003F2324"/>
    <w:rsid w:val="003F23EF"/>
    <w:rsid w:val="003F2592"/>
    <w:rsid w:val="003F279C"/>
    <w:rsid w:val="003F2AD2"/>
    <w:rsid w:val="003F2ADD"/>
    <w:rsid w:val="003F2D33"/>
    <w:rsid w:val="003F3520"/>
    <w:rsid w:val="003F3747"/>
    <w:rsid w:val="003F3AB9"/>
    <w:rsid w:val="003F3C9C"/>
    <w:rsid w:val="003F3CB6"/>
    <w:rsid w:val="003F3E88"/>
    <w:rsid w:val="003F40F0"/>
    <w:rsid w:val="003F4469"/>
    <w:rsid w:val="003F446E"/>
    <w:rsid w:val="003F44F1"/>
    <w:rsid w:val="003F46A0"/>
    <w:rsid w:val="003F48C6"/>
    <w:rsid w:val="003F4D9F"/>
    <w:rsid w:val="003F4DB2"/>
    <w:rsid w:val="003F4E21"/>
    <w:rsid w:val="003F4E64"/>
    <w:rsid w:val="003F5092"/>
    <w:rsid w:val="003F5096"/>
    <w:rsid w:val="003F540C"/>
    <w:rsid w:val="003F5792"/>
    <w:rsid w:val="003F5BA3"/>
    <w:rsid w:val="003F5D9F"/>
    <w:rsid w:val="003F5DC0"/>
    <w:rsid w:val="003F6040"/>
    <w:rsid w:val="003F61BB"/>
    <w:rsid w:val="003F6208"/>
    <w:rsid w:val="003F6212"/>
    <w:rsid w:val="003F62D1"/>
    <w:rsid w:val="003F6383"/>
    <w:rsid w:val="003F648D"/>
    <w:rsid w:val="003F6564"/>
    <w:rsid w:val="003F6843"/>
    <w:rsid w:val="003F6861"/>
    <w:rsid w:val="003F693A"/>
    <w:rsid w:val="003F694C"/>
    <w:rsid w:val="003F6A48"/>
    <w:rsid w:val="003F6E5C"/>
    <w:rsid w:val="003F6E9A"/>
    <w:rsid w:val="003F7076"/>
    <w:rsid w:val="003F733E"/>
    <w:rsid w:val="003F7F29"/>
    <w:rsid w:val="003F7FDB"/>
    <w:rsid w:val="004001F9"/>
    <w:rsid w:val="004002B6"/>
    <w:rsid w:val="0040053D"/>
    <w:rsid w:val="0040055D"/>
    <w:rsid w:val="0040065E"/>
    <w:rsid w:val="00400E14"/>
    <w:rsid w:val="00400F99"/>
    <w:rsid w:val="0040114A"/>
    <w:rsid w:val="004013C0"/>
    <w:rsid w:val="0040161F"/>
    <w:rsid w:val="00401632"/>
    <w:rsid w:val="0040198D"/>
    <w:rsid w:val="00401ABB"/>
    <w:rsid w:val="00401C61"/>
    <w:rsid w:val="00401D4D"/>
    <w:rsid w:val="00401DCC"/>
    <w:rsid w:val="00401E2A"/>
    <w:rsid w:val="00401F5B"/>
    <w:rsid w:val="00401FD2"/>
    <w:rsid w:val="00402668"/>
    <w:rsid w:val="00402733"/>
    <w:rsid w:val="00402A97"/>
    <w:rsid w:val="00402BF5"/>
    <w:rsid w:val="00402C22"/>
    <w:rsid w:val="00402DF8"/>
    <w:rsid w:val="004030D3"/>
    <w:rsid w:val="00403351"/>
    <w:rsid w:val="00403691"/>
    <w:rsid w:val="00403AC9"/>
    <w:rsid w:val="004040F6"/>
    <w:rsid w:val="00404183"/>
    <w:rsid w:val="0040423F"/>
    <w:rsid w:val="00404380"/>
    <w:rsid w:val="0040460F"/>
    <w:rsid w:val="00404699"/>
    <w:rsid w:val="004046DB"/>
    <w:rsid w:val="004049E8"/>
    <w:rsid w:val="00404CBE"/>
    <w:rsid w:val="00404CE4"/>
    <w:rsid w:val="00404E23"/>
    <w:rsid w:val="00405054"/>
    <w:rsid w:val="0040515A"/>
    <w:rsid w:val="0040522D"/>
    <w:rsid w:val="0040524A"/>
    <w:rsid w:val="00405270"/>
    <w:rsid w:val="00405550"/>
    <w:rsid w:val="00405719"/>
    <w:rsid w:val="0040580F"/>
    <w:rsid w:val="00405BFA"/>
    <w:rsid w:val="00405CC0"/>
    <w:rsid w:val="00405CF1"/>
    <w:rsid w:val="00405D40"/>
    <w:rsid w:val="0040621F"/>
    <w:rsid w:val="004065DB"/>
    <w:rsid w:val="004066BD"/>
    <w:rsid w:val="004067E0"/>
    <w:rsid w:val="00406A83"/>
    <w:rsid w:val="00406AE7"/>
    <w:rsid w:val="0040705F"/>
    <w:rsid w:val="00407063"/>
    <w:rsid w:val="00407098"/>
    <w:rsid w:val="004073C1"/>
    <w:rsid w:val="0040750B"/>
    <w:rsid w:val="004077C4"/>
    <w:rsid w:val="00407A38"/>
    <w:rsid w:val="00407B09"/>
    <w:rsid w:val="00407EC8"/>
    <w:rsid w:val="00407FDF"/>
    <w:rsid w:val="00410285"/>
    <w:rsid w:val="00410A3C"/>
    <w:rsid w:val="00410BC8"/>
    <w:rsid w:val="00410C8B"/>
    <w:rsid w:val="00410D29"/>
    <w:rsid w:val="00410FA6"/>
    <w:rsid w:val="0041106F"/>
    <w:rsid w:val="00411092"/>
    <w:rsid w:val="00411116"/>
    <w:rsid w:val="00411529"/>
    <w:rsid w:val="004115F8"/>
    <w:rsid w:val="00411693"/>
    <w:rsid w:val="004119B8"/>
    <w:rsid w:val="00411A75"/>
    <w:rsid w:val="00411BCC"/>
    <w:rsid w:val="00411C31"/>
    <w:rsid w:val="00411C95"/>
    <w:rsid w:val="0041201C"/>
    <w:rsid w:val="004120AE"/>
    <w:rsid w:val="004121D4"/>
    <w:rsid w:val="00412232"/>
    <w:rsid w:val="00412609"/>
    <w:rsid w:val="004127A0"/>
    <w:rsid w:val="004127E9"/>
    <w:rsid w:val="004128F9"/>
    <w:rsid w:val="00412B4B"/>
    <w:rsid w:val="00412B79"/>
    <w:rsid w:val="00412CC1"/>
    <w:rsid w:val="00412E3C"/>
    <w:rsid w:val="0041307B"/>
    <w:rsid w:val="004133B3"/>
    <w:rsid w:val="00413976"/>
    <w:rsid w:val="00413A5C"/>
    <w:rsid w:val="00413C01"/>
    <w:rsid w:val="00413D1E"/>
    <w:rsid w:val="00413F32"/>
    <w:rsid w:val="0041467A"/>
    <w:rsid w:val="00414840"/>
    <w:rsid w:val="00414BA2"/>
    <w:rsid w:val="00414F55"/>
    <w:rsid w:val="00415142"/>
    <w:rsid w:val="004151C1"/>
    <w:rsid w:val="004151ED"/>
    <w:rsid w:val="00415284"/>
    <w:rsid w:val="00415548"/>
    <w:rsid w:val="00415D12"/>
    <w:rsid w:val="00415E8C"/>
    <w:rsid w:val="004160DC"/>
    <w:rsid w:val="0041664C"/>
    <w:rsid w:val="0041686A"/>
    <w:rsid w:val="00416AAB"/>
    <w:rsid w:val="00416D75"/>
    <w:rsid w:val="00416DE9"/>
    <w:rsid w:val="00416EE1"/>
    <w:rsid w:val="00417039"/>
    <w:rsid w:val="004171FE"/>
    <w:rsid w:val="0041729F"/>
    <w:rsid w:val="00417454"/>
    <w:rsid w:val="004178FF"/>
    <w:rsid w:val="0041794B"/>
    <w:rsid w:val="00417A37"/>
    <w:rsid w:val="00417AC6"/>
    <w:rsid w:val="00417DFF"/>
    <w:rsid w:val="00417E03"/>
    <w:rsid w:val="00417FBF"/>
    <w:rsid w:val="004200C8"/>
    <w:rsid w:val="00420208"/>
    <w:rsid w:val="004202CD"/>
    <w:rsid w:val="00420466"/>
    <w:rsid w:val="0042047F"/>
    <w:rsid w:val="004205A7"/>
    <w:rsid w:val="00420909"/>
    <w:rsid w:val="00420922"/>
    <w:rsid w:val="00420AD7"/>
    <w:rsid w:val="00420CA0"/>
    <w:rsid w:val="00420D62"/>
    <w:rsid w:val="00420EE9"/>
    <w:rsid w:val="00421147"/>
    <w:rsid w:val="00421600"/>
    <w:rsid w:val="004216C0"/>
    <w:rsid w:val="00421A05"/>
    <w:rsid w:val="00421A8A"/>
    <w:rsid w:val="00421AD0"/>
    <w:rsid w:val="00421C68"/>
    <w:rsid w:val="00421FA2"/>
    <w:rsid w:val="004220B3"/>
    <w:rsid w:val="004222A9"/>
    <w:rsid w:val="004222D6"/>
    <w:rsid w:val="004224A8"/>
    <w:rsid w:val="00422511"/>
    <w:rsid w:val="0042253D"/>
    <w:rsid w:val="00422696"/>
    <w:rsid w:val="0042269A"/>
    <w:rsid w:val="00422814"/>
    <w:rsid w:val="00422844"/>
    <w:rsid w:val="00422A3E"/>
    <w:rsid w:val="00422ABF"/>
    <w:rsid w:val="00422C20"/>
    <w:rsid w:val="0042312D"/>
    <w:rsid w:val="00423404"/>
    <w:rsid w:val="004235F8"/>
    <w:rsid w:val="00423625"/>
    <w:rsid w:val="00423866"/>
    <w:rsid w:val="00423997"/>
    <w:rsid w:val="00423A30"/>
    <w:rsid w:val="00423A87"/>
    <w:rsid w:val="00423ADF"/>
    <w:rsid w:val="00423FE1"/>
    <w:rsid w:val="00424080"/>
    <w:rsid w:val="0042439B"/>
    <w:rsid w:val="004243B4"/>
    <w:rsid w:val="0042477C"/>
    <w:rsid w:val="0042486C"/>
    <w:rsid w:val="00424A35"/>
    <w:rsid w:val="00424BC5"/>
    <w:rsid w:val="00424D83"/>
    <w:rsid w:val="00424D92"/>
    <w:rsid w:val="00424E29"/>
    <w:rsid w:val="00424EE7"/>
    <w:rsid w:val="00424FC9"/>
    <w:rsid w:val="00425308"/>
    <w:rsid w:val="0042531C"/>
    <w:rsid w:val="00425453"/>
    <w:rsid w:val="004255F5"/>
    <w:rsid w:val="00425A1D"/>
    <w:rsid w:val="00425AB0"/>
    <w:rsid w:val="00425BA2"/>
    <w:rsid w:val="00425C02"/>
    <w:rsid w:val="00425D23"/>
    <w:rsid w:val="00426115"/>
    <w:rsid w:val="004265C3"/>
    <w:rsid w:val="00426781"/>
    <w:rsid w:val="004267A5"/>
    <w:rsid w:val="004269EE"/>
    <w:rsid w:val="00426AC3"/>
    <w:rsid w:val="00426D3B"/>
    <w:rsid w:val="00426EC0"/>
    <w:rsid w:val="00426EC4"/>
    <w:rsid w:val="00427002"/>
    <w:rsid w:val="00427091"/>
    <w:rsid w:val="00427318"/>
    <w:rsid w:val="004273D1"/>
    <w:rsid w:val="00427444"/>
    <w:rsid w:val="00427555"/>
    <w:rsid w:val="004275F9"/>
    <w:rsid w:val="004278D2"/>
    <w:rsid w:val="00427D94"/>
    <w:rsid w:val="00430046"/>
    <w:rsid w:val="004301CA"/>
    <w:rsid w:val="004303F0"/>
    <w:rsid w:val="00430456"/>
    <w:rsid w:val="004304B2"/>
    <w:rsid w:val="0043091A"/>
    <w:rsid w:val="00430B73"/>
    <w:rsid w:val="00430B85"/>
    <w:rsid w:val="00430C0D"/>
    <w:rsid w:val="00430C71"/>
    <w:rsid w:val="00430CF9"/>
    <w:rsid w:val="00430E40"/>
    <w:rsid w:val="00430F3E"/>
    <w:rsid w:val="00430F62"/>
    <w:rsid w:val="00430FEA"/>
    <w:rsid w:val="00431495"/>
    <w:rsid w:val="004318CE"/>
    <w:rsid w:val="00431B3A"/>
    <w:rsid w:val="00431F76"/>
    <w:rsid w:val="004320F5"/>
    <w:rsid w:val="004321CE"/>
    <w:rsid w:val="004325CD"/>
    <w:rsid w:val="00432656"/>
    <w:rsid w:val="00432661"/>
    <w:rsid w:val="004329B2"/>
    <w:rsid w:val="00432DC1"/>
    <w:rsid w:val="0043317D"/>
    <w:rsid w:val="00433364"/>
    <w:rsid w:val="004334BC"/>
    <w:rsid w:val="004335F2"/>
    <w:rsid w:val="004337AF"/>
    <w:rsid w:val="004338CD"/>
    <w:rsid w:val="0043397D"/>
    <w:rsid w:val="00433A98"/>
    <w:rsid w:val="00433B2A"/>
    <w:rsid w:val="00433EC1"/>
    <w:rsid w:val="00433ED5"/>
    <w:rsid w:val="00434031"/>
    <w:rsid w:val="0043428A"/>
    <w:rsid w:val="004342AD"/>
    <w:rsid w:val="004342F3"/>
    <w:rsid w:val="004342F4"/>
    <w:rsid w:val="0043497E"/>
    <w:rsid w:val="004349BC"/>
    <w:rsid w:val="00434A13"/>
    <w:rsid w:val="00434A28"/>
    <w:rsid w:val="00434AEC"/>
    <w:rsid w:val="00434B47"/>
    <w:rsid w:val="00434C26"/>
    <w:rsid w:val="00434D15"/>
    <w:rsid w:val="00435038"/>
    <w:rsid w:val="004351E1"/>
    <w:rsid w:val="004352D2"/>
    <w:rsid w:val="004353C8"/>
    <w:rsid w:val="0043540E"/>
    <w:rsid w:val="00435601"/>
    <w:rsid w:val="00435C18"/>
    <w:rsid w:val="00435E15"/>
    <w:rsid w:val="00436003"/>
    <w:rsid w:val="0043603A"/>
    <w:rsid w:val="00436410"/>
    <w:rsid w:val="00436C5F"/>
    <w:rsid w:val="00436D3A"/>
    <w:rsid w:val="00437243"/>
    <w:rsid w:val="0043726A"/>
    <w:rsid w:val="0043733B"/>
    <w:rsid w:val="00437AC9"/>
    <w:rsid w:val="00437AEE"/>
    <w:rsid w:val="00437C2E"/>
    <w:rsid w:val="004403ED"/>
    <w:rsid w:val="004408D2"/>
    <w:rsid w:val="00440900"/>
    <w:rsid w:val="00440999"/>
    <w:rsid w:val="004409E1"/>
    <w:rsid w:val="00440A43"/>
    <w:rsid w:val="00440B87"/>
    <w:rsid w:val="00440D1A"/>
    <w:rsid w:val="00441371"/>
    <w:rsid w:val="00441739"/>
    <w:rsid w:val="004419A0"/>
    <w:rsid w:val="00441E96"/>
    <w:rsid w:val="00441FF4"/>
    <w:rsid w:val="00442401"/>
    <w:rsid w:val="00442ADE"/>
    <w:rsid w:val="00442CCC"/>
    <w:rsid w:val="00442D02"/>
    <w:rsid w:val="00442E0E"/>
    <w:rsid w:val="00442E5E"/>
    <w:rsid w:val="00442ED1"/>
    <w:rsid w:val="00443598"/>
    <w:rsid w:val="004435D4"/>
    <w:rsid w:val="004437DF"/>
    <w:rsid w:val="00443A83"/>
    <w:rsid w:val="00443B4B"/>
    <w:rsid w:val="00443E8E"/>
    <w:rsid w:val="00444288"/>
    <w:rsid w:val="00444413"/>
    <w:rsid w:val="0044443A"/>
    <w:rsid w:val="004444BA"/>
    <w:rsid w:val="00444719"/>
    <w:rsid w:val="004447DB"/>
    <w:rsid w:val="0044481B"/>
    <w:rsid w:val="00444B5A"/>
    <w:rsid w:val="00444EF6"/>
    <w:rsid w:val="004451AD"/>
    <w:rsid w:val="004451B3"/>
    <w:rsid w:val="004452E1"/>
    <w:rsid w:val="00445470"/>
    <w:rsid w:val="00445486"/>
    <w:rsid w:val="00445572"/>
    <w:rsid w:val="004456BD"/>
    <w:rsid w:val="00445859"/>
    <w:rsid w:val="00445994"/>
    <w:rsid w:val="00445A4B"/>
    <w:rsid w:val="00445C1E"/>
    <w:rsid w:val="00445DDA"/>
    <w:rsid w:val="004461A6"/>
    <w:rsid w:val="00446473"/>
    <w:rsid w:val="00446651"/>
    <w:rsid w:val="0044692C"/>
    <w:rsid w:val="00446C17"/>
    <w:rsid w:val="00446D9B"/>
    <w:rsid w:val="00446F60"/>
    <w:rsid w:val="00447004"/>
    <w:rsid w:val="0044716C"/>
    <w:rsid w:val="004471A0"/>
    <w:rsid w:val="004475DC"/>
    <w:rsid w:val="00447829"/>
    <w:rsid w:val="00447B6D"/>
    <w:rsid w:val="00447D4E"/>
    <w:rsid w:val="00447DC8"/>
    <w:rsid w:val="00447E1E"/>
    <w:rsid w:val="00447E9E"/>
    <w:rsid w:val="004501C9"/>
    <w:rsid w:val="00450377"/>
    <w:rsid w:val="0045061D"/>
    <w:rsid w:val="004509BD"/>
    <w:rsid w:val="00450BDA"/>
    <w:rsid w:val="00450CF9"/>
    <w:rsid w:val="00450F1C"/>
    <w:rsid w:val="00450FD3"/>
    <w:rsid w:val="0045132F"/>
    <w:rsid w:val="00451391"/>
    <w:rsid w:val="0045141E"/>
    <w:rsid w:val="004514A1"/>
    <w:rsid w:val="00451576"/>
    <w:rsid w:val="00451676"/>
    <w:rsid w:val="00451A2E"/>
    <w:rsid w:val="00451E6E"/>
    <w:rsid w:val="0045201E"/>
    <w:rsid w:val="0045241D"/>
    <w:rsid w:val="0045250E"/>
    <w:rsid w:val="00452523"/>
    <w:rsid w:val="00452577"/>
    <w:rsid w:val="004525FE"/>
    <w:rsid w:val="00452700"/>
    <w:rsid w:val="00452BF8"/>
    <w:rsid w:val="00452BFB"/>
    <w:rsid w:val="00452F40"/>
    <w:rsid w:val="00453121"/>
    <w:rsid w:val="00453459"/>
    <w:rsid w:val="00453461"/>
    <w:rsid w:val="00453560"/>
    <w:rsid w:val="00453A18"/>
    <w:rsid w:val="00453A25"/>
    <w:rsid w:val="00453B13"/>
    <w:rsid w:val="00453C90"/>
    <w:rsid w:val="00453CCB"/>
    <w:rsid w:val="00453E19"/>
    <w:rsid w:val="004541C4"/>
    <w:rsid w:val="004544CE"/>
    <w:rsid w:val="004544DE"/>
    <w:rsid w:val="0045459B"/>
    <w:rsid w:val="004545FD"/>
    <w:rsid w:val="00454850"/>
    <w:rsid w:val="00454AD5"/>
    <w:rsid w:val="00454B07"/>
    <w:rsid w:val="00454B32"/>
    <w:rsid w:val="00454B60"/>
    <w:rsid w:val="00454C30"/>
    <w:rsid w:val="00454DCF"/>
    <w:rsid w:val="00454DDE"/>
    <w:rsid w:val="00454F45"/>
    <w:rsid w:val="00455067"/>
    <w:rsid w:val="004552E2"/>
    <w:rsid w:val="00455324"/>
    <w:rsid w:val="00455422"/>
    <w:rsid w:val="00455584"/>
    <w:rsid w:val="00455746"/>
    <w:rsid w:val="0045582E"/>
    <w:rsid w:val="004558B1"/>
    <w:rsid w:val="00455CF6"/>
    <w:rsid w:val="00455F06"/>
    <w:rsid w:val="00455F19"/>
    <w:rsid w:val="004562FF"/>
    <w:rsid w:val="0045652A"/>
    <w:rsid w:val="00456696"/>
    <w:rsid w:val="00456771"/>
    <w:rsid w:val="004568CA"/>
    <w:rsid w:val="00456983"/>
    <w:rsid w:val="00456984"/>
    <w:rsid w:val="00456C97"/>
    <w:rsid w:val="00456E0B"/>
    <w:rsid w:val="00456F82"/>
    <w:rsid w:val="00457518"/>
    <w:rsid w:val="00457542"/>
    <w:rsid w:val="00457925"/>
    <w:rsid w:val="00457B16"/>
    <w:rsid w:val="00457B5B"/>
    <w:rsid w:val="00457E31"/>
    <w:rsid w:val="004604B7"/>
    <w:rsid w:val="00460798"/>
    <w:rsid w:val="004609A6"/>
    <w:rsid w:val="004609DC"/>
    <w:rsid w:val="00460B09"/>
    <w:rsid w:val="00460B4D"/>
    <w:rsid w:val="00460B5D"/>
    <w:rsid w:val="00460B93"/>
    <w:rsid w:val="00460D32"/>
    <w:rsid w:val="00460FE4"/>
    <w:rsid w:val="00461D13"/>
    <w:rsid w:val="00461E73"/>
    <w:rsid w:val="004620A4"/>
    <w:rsid w:val="0046217E"/>
    <w:rsid w:val="00462871"/>
    <w:rsid w:val="00462B87"/>
    <w:rsid w:val="00462E24"/>
    <w:rsid w:val="00462EE7"/>
    <w:rsid w:val="00463325"/>
    <w:rsid w:val="0046355B"/>
    <w:rsid w:val="004637D9"/>
    <w:rsid w:val="004637E5"/>
    <w:rsid w:val="00463A1B"/>
    <w:rsid w:val="00463AF4"/>
    <w:rsid w:val="00463E68"/>
    <w:rsid w:val="004643A7"/>
    <w:rsid w:val="004643BB"/>
    <w:rsid w:val="0046496F"/>
    <w:rsid w:val="00464C05"/>
    <w:rsid w:val="00464CF9"/>
    <w:rsid w:val="00464E4B"/>
    <w:rsid w:val="00465035"/>
    <w:rsid w:val="004651BB"/>
    <w:rsid w:val="0046537D"/>
    <w:rsid w:val="004653A9"/>
    <w:rsid w:val="004654A0"/>
    <w:rsid w:val="0046557D"/>
    <w:rsid w:val="004655A4"/>
    <w:rsid w:val="00465652"/>
    <w:rsid w:val="004656B0"/>
    <w:rsid w:val="004657A2"/>
    <w:rsid w:val="004658BD"/>
    <w:rsid w:val="00465A40"/>
    <w:rsid w:val="00465A80"/>
    <w:rsid w:val="004665BC"/>
    <w:rsid w:val="004665CB"/>
    <w:rsid w:val="0046695F"/>
    <w:rsid w:val="004669CA"/>
    <w:rsid w:val="00466A76"/>
    <w:rsid w:val="00466B67"/>
    <w:rsid w:val="00466DE5"/>
    <w:rsid w:val="00466EBC"/>
    <w:rsid w:val="004672EC"/>
    <w:rsid w:val="00467510"/>
    <w:rsid w:val="0046769D"/>
    <w:rsid w:val="004677EF"/>
    <w:rsid w:val="004678EE"/>
    <w:rsid w:val="004678F5"/>
    <w:rsid w:val="00467BD5"/>
    <w:rsid w:val="00467CBB"/>
    <w:rsid w:val="00467FB5"/>
    <w:rsid w:val="00470167"/>
    <w:rsid w:val="00470420"/>
    <w:rsid w:val="00470622"/>
    <w:rsid w:val="00470CD2"/>
    <w:rsid w:val="00470DE8"/>
    <w:rsid w:val="00471001"/>
    <w:rsid w:val="004710AA"/>
    <w:rsid w:val="0047124B"/>
    <w:rsid w:val="00471447"/>
    <w:rsid w:val="004714CC"/>
    <w:rsid w:val="004718B4"/>
    <w:rsid w:val="00471BCF"/>
    <w:rsid w:val="00471D5E"/>
    <w:rsid w:val="00471DC7"/>
    <w:rsid w:val="00471EDE"/>
    <w:rsid w:val="00471F02"/>
    <w:rsid w:val="00472094"/>
    <w:rsid w:val="0047230A"/>
    <w:rsid w:val="00472551"/>
    <w:rsid w:val="00472585"/>
    <w:rsid w:val="004725CC"/>
    <w:rsid w:val="00472664"/>
    <w:rsid w:val="004728D8"/>
    <w:rsid w:val="004728DD"/>
    <w:rsid w:val="00472AB4"/>
    <w:rsid w:val="00472D0F"/>
    <w:rsid w:val="00472ECE"/>
    <w:rsid w:val="00472F10"/>
    <w:rsid w:val="00472F6A"/>
    <w:rsid w:val="0047309A"/>
    <w:rsid w:val="004737DC"/>
    <w:rsid w:val="004737FC"/>
    <w:rsid w:val="00473834"/>
    <w:rsid w:val="00473B43"/>
    <w:rsid w:val="00473B72"/>
    <w:rsid w:val="00473F87"/>
    <w:rsid w:val="0047417D"/>
    <w:rsid w:val="004742E2"/>
    <w:rsid w:val="0047430C"/>
    <w:rsid w:val="004743EB"/>
    <w:rsid w:val="00474431"/>
    <w:rsid w:val="00474713"/>
    <w:rsid w:val="00474897"/>
    <w:rsid w:val="004748B9"/>
    <w:rsid w:val="00474DAF"/>
    <w:rsid w:val="00475002"/>
    <w:rsid w:val="00475263"/>
    <w:rsid w:val="00475286"/>
    <w:rsid w:val="00475B0A"/>
    <w:rsid w:val="00475B74"/>
    <w:rsid w:val="00475BE4"/>
    <w:rsid w:val="00476010"/>
    <w:rsid w:val="004763D9"/>
    <w:rsid w:val="00476474"/>
    <w:rsid w:val="004764A1"/>
    <w:rsid w:val="0047653E"/>
    <w:rsid w:val="004766CF"/>
    <w:rsid w:val="004768FA"/>
    <w:rsid w:val="00476A95"/>
    <w:rsid w:val="00476BE4"/>
    <w:rsid w:val="00476E1A"/>
    <w:rsid w:val="00476E4A"/>
    <w:rsid w:val="004771DE"/>
    <w:rsid w:val="00477268"/>
    <w:rsid w:val="004773D8"/>
    <w:rsid w:val="00477548"/>
    <w:rsid w:val="004778CC"/>
    <w:rsid w:val="00477C11"/>
    <w:rsid w:val="00477CBF"/>
    <w:rsid w:val="00477DCC"/>
    <w:rsid w:val="00477F5E"/>
    <w:rsid w:val="00477FBE"/>
    <w:rsid w:val="004804DE"/>
    <w:rsid w:val="0048093C"/>
    <w:rsid w:val="00480EB2"/>
    <w:rsid w:val="00480FB2"/>
    <w:rsid w:val="004812A6"/>
    <w:rsid w:val="004813C9"/>
    <w:rsid w:val="0048146A"/>
    <w:rsid w:val="004817A9"/>
    <w:rsid w:val="004817FB"/>
    <w:rsid w:val="00481CA1"/>
    <w:rsid w:val="00481D90"/>
    <w:rsid w:val="004821D1"/>
    <w:rsid w:val="004822F2"/>
    <w:rsid w:val="00483633"/>
    <w:rsid w:val="0048393D"/>
    <w:rsid w:val="0048394F"/>
    <w:rsid w:val="00483AC2"/>
    <w:rsid w:val="00483B3D"/>
    <w:rsid w:val="00483BDF"/>
    <w:rsid w:val="00483CDC"/>
    <w:rsid w:val="00483E4F"/>
    <w:rsid w:val="00483F60"/>
    <w:rsid w:val="00483FBC"/>
    <w:rsid w:val="0048403F"/>
    <w:rsid w:val="00484074"/>
    <w:rsid w:val="00484232"/>
    <w:rsid w:val="00484268"/>
    <w:rsid w:val="004843C4"/>
    <w:rsid w:val="004847EF"/>
    <w:rsid w:val="00484802"/>
    <w:rsid w:val="0048493B"/>
    <w:rsid w:val="00484993"/>
    <w:rsid w:val="00484BFD"/>
    <w:rsid w:val="00484D0C"/>
    <w:rsid w:val="00484E18"/>
    <w:rsid w:val="0048518E"/>
    <w:rsid w:val="0048523A"/>
    <w:rsid w:val="004853B3"/>
    <w:rsid w:val="00485706"/>
    <w:rsid w:val="0048582A"/>
    <w:rsid w:val="00485988"/>
    <w:rsid w:val="00485BB4"/>
    <w:rsid w:val="00486305"/>
    <w:rsid w:val="0048630A"/>
    <w:rsid w:val="0048644D"/>
    <w:rsid w:val="004864EE"/>
    <w:rsid w:val="004866A2"/>
    <w:rsid w:val="004866C9"/>
    <w:rsid w:val="004866DB"/>
    <w:rsid w:val="00486A00"/>
    <w:rsid w:val="00486A2C"/>
    <w:rsid w:val="00486A43"/>
    <w:rsid w:val="00486B54"/>
    <w:rsid w:val="00486BE0"/>
    <w:rsid w:val="00486E5E"/>
    <w:rsid w:val="0048713C"/>
    <w:rsid w:val="0048729D"/>
    <w:rsid w:val="0048734F"/>
    <w:rsid w:val="004878CC"/>
    <w:rsid w:val="00487A87"/>
    <w:rsid w:val="00487C43"/>
    <w:rsid w:val="00487EA7"/>
    <w:rsid w:val="004901F2"/>
    <w:rsid w:val="00490557"/>
    <w:rsid w:val="004906E8"/>
    <w:rsid w:val="00490A95"/>
    <w:rsid w:val="00490AB3"/>
    <w:rsid w:val="00490D40"/>
    <w:rsid w:val="004910EF"/>
    <w:rsid w:val="004911EB"/>
    <w:rsid w:val="004913AD"/>
    <w:rsid w:val="00491DBA"/>
    <w:rsid w:val="004920F8"/>
    <w:rsid w:val="00492338"/>
    <w:rsid w:val="0049256B"/>
    <w:rsid w:val="004926D4"/>
    <w:rsid w:val="004928F8"/>
    <w:rsid w:val="00492A7A"/>
    <w:rsid w:val="00492BAC"/>
    <w:rsid w:val="00492C98"/>
    <w:rsid w:val="00492CD0"/>
    <w:rsid w:val="004937DB"/>
    <w:rsid w:val="004938D0"/>
    <w:rsid w:val="004938EC"/>
    <w:rsid w:val="00493A1F"/>
    <w:rsid w:val="00493AB8"/>
    <w:rsid w:val="00493BB3"/>
    <w:rsid w:val="00493C6D"/>
    <w:rsid w:val="00493CF2"/>
    <w:rsid w:val="00493E49"/>
    <w:rsid w:val="00494685"/>
    <w:rsid w:val="0049473C"/>
    <w:rsid w:val="004949E1"/>
    <w:rsid w:val="004949F0"/>
    <w:rsid w:val="00494A50"/>
    <w:rsid w:val="004950B6"/>
    <w:rsid w:val="0049513D"/>
    <w:rsid w:val="004951E5"/>
    <w:rsid w:val="004953AD"/>
    <w:rsid w:val="004953FD"/>
    <w:rsid w:val="004954BB"/>
    <w:rsid w:val="00495A5B"/>
    <w:rsid w:val="00495AA4"/>
    <w:rsid w:val="00495C06"/>
    <w:rsid w:val="00495CAA"/>
    <w:rsid w:val="00495E1D"/>
    <w:rsid w:val="00495E29"/>
    <w:rsid w:val="00495E74"/>
    <w:rsid w:val="00495EDA"/>
    <w:rsid w:val="00495F2B"/>
    <w:rsid w:val="00496173"/>
    <w:rsid w:val="004962C1"/>
    <w:rsid w:val="00496384"/>
    <w:rsid w:val="0049655F"/>
    <w:rsid w:val="0049696E"/>
    <w:rsid w:val="00496BFD"/>
    <w:rsid w:val="00496BFE"/>
    <w:rsid w:val="00496F67"/>
    <w:rsid w:val="004970D1"/>
    <w:rsid w:val="004970F3"/>
    <w:rsid w:val="004975BC"/>
    <w:rsid w:val="00497881"/>
    <w:rsid w:val="00497893"/>
    <w:rsid w:val="00497A14"/>
    <w:rsid w:val="00497A7B"/>
    <w:rsid w:val="00497AC2"/>
    <w:rsid w:val="00497FB9"/>
    <w:rsid w:val="004A0123"/>
    <w:rsid w:val="004A0288"/>
    <w:rsid w:val="004A0317"/>
    <w:rsid w:val="004A0403"/>
    <w:rsid w:val="004A04DB"/>
    <w:rsid w:val="004A05DD"/>
    <w:rsid w:val="004A0819"/>
    <w:rsid w:val="004A08A4"/>
    <w:rsid w:val="004A0937"/>
    <w:rsid w:val="004A0961"/>
    <w:rsid w:val="004A0A95"/>
    <w:rsid w:val="004A0AAA"/>
    <w:rsid w:val="004A0B06"/>
    <w:rsid w:val="004A0B28"/>
    <w:rsid w:val="004A0DEE"/>
    <w:rsid w:val="004A0F2B"/>
    <w:rsid w:val="004A0FBE"/>
    <w:rsid w:val="004A13C2"/>
    <w:rsid w:val="004A163B"/>
    <w:rsid w:val="004A16E5"/>
    <w:rsid w:val="004A17AE"/>
    <w:rsid w:val="004A19E9"/>
    <w:rsid w:val="004A1EDD"/>
    <w:rsid w:val="004A2344"/>
    <w:rsid w:val="004A2674"/>
    <w:rsid w:val="004A277C"/>
    <w:rsid w:val="004A27F5"/>
    <w:rsid w:val="004A2C19"/>
    <w:rsid w:val="004A2EE2"/>
    <w:rsid w:val="004A317B"/>
    <w:rsid w:val="004A31D5"/>
    <w:rsid w:val="004A326B"/>
    <w:rsid w:val="004A33DA"/>
    <w:rsid w:val="004A34E6"/>
    <w:rsid w:val="004A3549"/>
    <w:rsid w:val="004A35DA"/>
    <w:rsid w:val="004A3A15"/>
    <w:rsid w:val="004A3A5D"/>
    <w:rsid w:val="004A3D4E"/>
    <w:rsid w:val="004A3D9F"/>
    <w:rsid w:val="004A3E4F"/>
    <w:rsid w:val="004A3EDE"/>
    <w:rsid w:val="004A4022"/>
    <w:rsid w:val="004A4037"/>
    <w:rsid w:val="004A45A3"/>
    <w:rsid w:val="004A4AA0"/>
    <w:rsid w:val="004A4DAB"/>
    <w:rsid w:val="004A505C"/>
    <w:rsid w:val="004A5159"/>
    <w:rsid w:val="004A53B0"/>
    <w:rsid w:val="004A5461"/>
    <w:rsid w:val="004A54A3"/>
    <w:rsid w:val="004A5745"/>
    <w:rsid w:val="004A5890"/>
    <w:rsid w:val="004A59FC"/>
    <w:rsid w:val="004A5C67"/>
    <w:rsid w:val="004A5C76"/>
    <w:rsid w:val="004A5D2D"/>
    <w:rsid w:val="004A5E9A"/>
    <w:rsid w:val="004A5EBA"/>
    <w:rsid w:val="004A612B"/>
    <w:rsid w:val="004A62A3"/>
    <w:rsid w:val="004A6327"/>
    <w:rsid w:val="004A634C"/>
    <w:rsid w:val="004A6585"/>
    <w:rsid w:val="004A6687"/>
    <w:rsid w:val="004A679A"/>
    <w:rsid w:val="004A6CAA"/>
    <w:rsid w:val="004A6CBD"/>
    <w:rsid w:val="004A6F38"/>
    <w:rsid w:val="004A70C1"/>
    <w:rsid w:val="004A71CF"/>
    <w:rsid w:val="004A7665"/>
    <w:rsid w:val="004A77A5"/>
    <w:rsid w:val="004A78E6"/>
    <w:rsid w:val="004A7A50"/>
    <w:rsid w:val="004A7DCB"/>
    <w:rsid w:val="004A7E73"/>
    <w:rsid w:val="004B00C2"/>
    <w:rsid w:val="004B0126"/>
    <w:rsid w:val="004B0205"/>
    <w:rsid w:val="004B04A4"/>
    <w:rsid w:val="004B063C"/>
    <w:rsid w:val="004B064C"/>
    <w:rsid w:val="004B0A2F"/>
    <w:rsid w:val="004B0B0B"/>
    <w:rsid w:val="004B0B94"/>
    <w:rsid w:val="004B0B96"/>
    <w:rsid w:val="004B0DB6"/>
    <w:rsid w:val="004B0E30"/>
    <w:rsid w:val="004B1460"/>
    <w:rsid w:val="004B1DEC"/>
    <w:rsid w:val="004B1E44"/>
    <w:rsid w:val="004B204B"/>
    <w:rsid w:val="004B210F"/>
    <w:rsid w:val="004B2325"/>
    <w:rsid w:val="004B236B"/>
    <w:rsid w:val="004B23AC"/>
    <w:rsid w:val="004B23ED"/>
    <w:rsid w:val="004B253A"/>
    <w:rsid w:val="004B25EE"/>
    <w:rsid w:val="004B2AA9"/>
    <w:rsid w:val="004B2BB7"/>
    <w:rsid w:val="004B3198"/>
    <w:rsid w:val="004B3243"/>
    <w:rsid w:val="004B35CD"/>
    <w:rsid w:val="004B36E8"/>
    <w:rsid w:val="004B38D7"/>
    <w:rsid w:val="004B3BC0"/>
    <w:rsid w:val="004B3E3D"/>
    <w:rsid w:val="004B3EDA"/>
    <w:rsid w:val="004B427D"/>
    <w:rsid w:val="004B443D"/>
    <w:rsid w:val="004B458E"/>
    <w:rsid w:val="004B477B"/>
    <w:rsid w:val="004B49CC"/>
    <w:rsid w:val="004B4B53"/>
    <w:rsid w:val="004B4F5F"/>
    <w:rsid w:val="004B59A4"/>
    <w:rsid w:val="004B5C1D"/>
    <w:rsid w:val="004B5D6E"/>
    <w:rsid w:val="004B61EA"/>
    <w:rsid w:val="004B61F0"/>
    <w:rsid w:val="004B6212"/>
    <w:rsid w:val="004B6259"/>
    <w:rsid w:val="004B62B1"/>
    <w:rsid w:val="004B6361"/>
    <w:rsid w:val="004B66B4"/>
    <w:rsid w:val="004B69B2"/>
    <w:rsid w:val="004B69BA"/>
    <w:rsid w:val="004B6B8C"/>
    <w:rsid w:val="004B6BA1"/>
    <w:rsid w:val="004B6BA3"/>
    <w:rsid w:val="004B6F84"/>
    <w:rsid w:val="004B70B1"/>
    <w:rsid w:val="004B70CF"/>
    <w:rsid w:val="004B7744"/>
    <w:rsid w:val="004B78BD"/>
    <w:rsid w:val="004B7B9E"/>
    <w:rsid w:val="004B7CAD"/>
    <w:rsid w:val="004B7DA8"/>
    <w:rsid w:val="004B7ED7"/>
    <w:rsid w:val="004B7F66"/>
    <w:rsid w:val="004C00C9"/>
    <w:rsid w:val="004C0180"/>
    <w:rsid w:val="004C0245"/>
    <w:rsid w:val="004C05C6"/>
    <w:rsid w:val="004C05D2"/>
    <w:rsid w:val="004C068E"/>
    <w:rsid w:val="004C09A2"/>
    <w:rsid w:val="004C0C98"/>
    <w:rsid w:val="004C0CE8"/>
    <w:rsid w:val="004C0E0D"/>
    <w:rsid w:val="004C1025"/>
    <w:rsid w:val="004C108C"/>
    <w:rsid w:val="004C11B1"/>
    <w:rsid w:val="004C133D"/>
    <w:rsid w:val="004C13B9"/>
    <w:rsid w:val="004C1513"/>
    <w:rsid w:val="004C15A8"/>
    <w:rsid w:val="004C16FB"/>
    <w:rsid w:val="004C18AE"/>
    <w:rsid w:val="004C1D2A"/>
    <w:rsid w:val="004C1EF4"/>
    <w:rsid w:val="004C2257"/>
    <w:rsid w:val="004C2373"/>
    <w:rsid w:val="004C24E6"/>
    <w:rsid w:val="004C28ED"/>
    <w:rsid w:val="004C2A09"/>
    <w:rsid w:val="004C2C4C"/>
    <w:rsid w:val="004C3429"/>
    <w:rsid w:val="004C360B"/>
    <w:rsid w:val="004C3619"/>
    <w:rsid w:val="004C3649"/>
    <w:rsid w:val="004C37D5"/>
    <w:rsid w:val="004C37F5"/>
    <w:rsid w:val="004C39E7"/>
    <w:rsid w:val="004C3D01"/>
    <w:rsid w:val="004C3D14"/>
    <w:rsid w:val="004C3DE4"/>
    <w:rsid w:val="004C3E54"/>
    <w:rsid w:val="004C3FC4"/>
    <w:rsid w:val="004C4055"/>
    <w:rsid w:val="004C43D6"/>
    <w:rsid w:val="004C4555"/>
    <w:rsid w:val="004C4836"/>
    <w:rsid w:val="004C4910"/>
    <w:rsid w:val="004C4B23"/>
    <w:rsid w:val="004C4E79"/>
    <w:rsid w:val="004C5111"/>
    <w:rsid w:val="004C53D6"/>
    <w:rsid w:val="004C5523"/>
    <w:rsid w:val="004C5591"/>
    <w:rsid w:val="004C5777"/>
    <w:rsid w:val="004C5793"/>
    <w:rsid w:val="004C5AE5"/>
    <w:rsid w:val="004C5E3C"/>
    <w:rsid w:val="004C675E"/>
    <w:rsid w:val="004C6A26"/>
    <w:rsid w:val="004C6D81"/>
    <w:rsid w:val="004C6DCE"/>
    <w:rsid w:val="004C6E10"/>
    <w:rsid w:val="004C7525"/>
    <w:rsid w:val="004C758F"/>
    <w:rsid w:val="004C7605"/>
    <w:rsid w:val="004C7806"/>
    <w:rsid w:val="004C7895"/>
    <w:rsid w:val="004C7D80"/>
    <w:rsid w:val="004C7FF4"/>
    <w:rsid w:val="004D045A"/>
    <w:rsid w:val="004D078F"/>
    <w:rsid w:val="004D0A40"/>
    <w:rsid w:val="004D0B7A"/>
    <w:rsid w:val="004D0CBC"/>
    <w:rsid w:val="004D11CA"/>
    <w:rsid w:val="004D1253"/>
    <w:rsid w:val="004D1474"/>
    <w:rsid w:val="004D14AB"/>
    <w:rsid w:val="004D17FF"/>
    <w:rsid w:val="004D1A7E"/>
    <w:rsid w:val="004D1AD2"/>
    <w:rsid w:val="004D1D8C"/>
    <w:rsid w:val="004D1D93"/>
    <w:rsid w:val="004D20C3"/>
    <w:rsid w:val="004D2201"/>
    <w:rsid w:val="004D23BA"/>
    <w:rsid w:val="004D23BD"/>
    <w:rsid w:val="004D253F"/>
    <w:rsid w:val="004D290C"/>
    <w:rsid w:val="004D2B60"/>
    <w:rsid w:val="004D2B9B"/>
    <w:rsid w:val="004D2EA8"/>
    <w:rsid w:val="004D2F89"/>
    <w:rsid w:val="004D31C1"/>
    <w:rsid w:val="004D35CE"/>
    <w:rsid w:val="004D3877"/>
    <w:rsid w:val="004D3888"/>
    <w:rsid w:val="004D38F9"/>
    <w:rsid w:val="004D3935"/>
    <w:rsid w:val="004D3A7A"/>
    <w:rsid w:val="004D3AEF"/>
    <w:rsid w:val="004D3B70"/>
    <w:rsid w:val="004D3EB6"/>
    <w:rsid w:val="004D3F03"/>
    <w:rsid w:val="004D3F5C"/>
    <w:rsid w:val="004D404F"/>
    <w:rsid w:val="004D4633"/>
    <w:rsid w:val="004D474A"/>
    <w:rsid w:val="004D478D"/>
    <w:rsid w:val="004D4863"/>
    <w:rsid w:val="004D4A41"/>
    <w:rsid w:val="004D4E96"/>
    <w:rsid w:val="004D4FCD"/>
    <w:rsid w:val="004D4FE1"/>
    <w:rsid w:val="004D5030"/>
    <w:rsid w:val="004D5212"/>
    <w:rsid w:val="004D5312"/>
    <w:rsid w:val="004D53F9"/>
    <w:rsid w:val="004D545D"/>
    <w:rsid w:val="004D5822"/>
    <w:rsid w:val="004D5A9C"/>
    <w:rsid w:val="004D60F1"/>
    <w:rsid w:val="004D6209"/>
    <w:rsid w:val="004D62E7"/>
    <w:rsid w:val="004D65F4"/>
    <w:rsid w:val="004D66A0"/>
    <w:rsid w:val="004D6A59"/>
    <w:rsid w:val="004D6AB0"/>
    <w:rsid w:val="004D6B97"/>
    <w:rsid w:val="004D705F"/>
    <w:rsid w:val="004D7147"/>
    <w:rsid w:val="004D71BE"/>
    <w:rsid w:val="004D7283"/>
    <w:rsid w:val="004D7379"/>
    <w:rsid w:val="004D73C4"/>
    <w:rsid w:val="004D7503"/>
    <w:rsid w:val="004D752B"/>
    <w:rsid w:val="004D770B"/>
    <w:rsid w:val="004D794B"/>
    <w:rsid w:val="004D7A81"/>
    <w:rsid w:val="004D7A9B"/>
    <w:rsid w:val="004D7BB9"/>
    <w:rsid w:val="004E0170"/>
    <w:rsid w:val="004E01D3"/>
    <w:rsid w:val="004E0787"/>
    <w:rsid w:val="004E0864"/>
    <w:rsid w:val="004E09E9"/>
    <w:rsid w:val="004E09F7"/>
    <w:rsid w:val="004E0A7F"/>
    <w:rsid w:val="004E0A86"/>
    <w:rsid w:val="004E0F0A"/>
    <w:rsid w:val="004E1794"/>
    <w:rsid w:val="004E1C04"/>
    <w:rsid w:val="004E1E75"/>
    <w:rsid w:val="004E1F45"/>
    <w:rsid w:val="004E217C"/>
    <w:rsid w:val="004E2215"/>
    <w:rsid w:val="004E2412"/>
    <w:rsid w:val="004E2743"/>
    <w:rsid w:val="004E27C0"/>
    <w:rsid w:val="004E29CE"/>
    <w:rsid w:val="004E2A09"/>
    <w:rsid w:val="004E2B4B"/>
    <w:rsid w:val="004E2B99"/>
    <w:rsid w:val="004E2BCF"/>
    <w:rsid w:val="004E333E"/>
    <w:rsid w:val="004E3367"/>
    <w:rsid w:val="004E350F"/>
    <w:rsid w:val="004E355E"/>
    <w:rsid w:val="004E368C"/>
    <w:rsid w:val="004E388F"/>
    <w:rsid w:val="004E3AB3"/>
    <w:rsid w:val="004E3B1C"/>
    <w:rsid w:val="004E3B7A"/>
    <w:rsid w:val="004E3BF4"/>
    <w:rsid w:val="004E3CD8"/>
    <w:rsid w:val="004E424B"/>
    <w:rsid w:val="004E4440"/>
    <w:rsid w:val="004E450B"/>
    <w:rsid w:val="004E470E"/>
    <w:rsid w:val="004E482F"/>
    <w:rsid w:val="004E48C8"/>
    <w:rsid w:val="004E4A54"/>
    <w:rsid w:val="004E4E8E"/>
    <w:rsid w:val="004E4F3B"/>
    <w:rsid w:val="004E4F56"/>
    <w:rsid w:val="004E4F68"/>
    <w:rsid w:val="004E5177"/>
    <w:rsid w:val="004E5528"/>
    <w:rsid w:val="004E56F7"/>
    <w:rsid w:val="004E5886"/>
    <w:rsid w:val="004E589D"/>
    <w:rsid w:val="004E5B43"/>
    <w:rsid w:val="004E5D36"/>
    <w:rsid w:val="004E5FEC"/>
    <w:rsid w:val="004E615D"/>
    <w:rsid w:val="004E6262"/>
    <w:rsid w:val="004E62DC"/>
    <w:rsid w:val="004E649B"/>
    <w:rsid w:val="004E6503"/>
    <w:rsid w:val="004E6763"/>
    <w:rsid w:val="004E6779"/>
    <w:rsid w:val="004E679B"/>
    <w:rsid w:val="004E680B"/>
    <w:rsid w:val="004E68CA"/>
    <w:rsid w:val="004E6D1B"/>
    <w:rsid w:val="004E6D48"/>
    <w:rsid w:val="004E6F6F"/>
    <w:rsid w:val="004E707E"/>
    <w:rsid w:val="004E714D"/>
    <w:rsid w:val="004E7165"/>
    <w:rsid w:val="004E7432"/>
    <w:rsid w:val="004E743A"/>
    <w:rsid w:val="004E751D"/>
    <w:rsid w:val="004E76D1"/>
    <w:rsid w:val="004E79D4"/>
    <w:rsid w:val="004E7AE6"/>
    <w:rsid w:val="004E7D88"/>
    <w:rsid w:val="004E7F38"/>
    <w:rsid w:val="004F0065"/>
    <w:rsid w:val="004F0695"/>
    <w:rsid w:val="004F0737"/>
    <w:rsid w:val="004F08AF"/>
    <w:rsid w:val="004F0AD2"/>
    <w:rsid w:val="004F166C"/>
    <w:rsid w:val="004F1A51"/>
    <w:rsid w:val="004F1EA7"/>
    <w:rsid w:val="004F223D"/>
    <w:rsid w:val="004F24A9"/>
    <w:rsid w:val="004F2D43"/>
    <w:rsid w:val="004F341A"/>
    <w:rsid w:val="004F3483"/>
    <w:rsid w:val="004F3644"/>
    <w:rsid w:val="004F37C9"/>
    <w:rsid w:val="004F3840"/>
    <w:rsid w:val="004F3A46"/>
    <w:rsid w:val="004F3C40"/>
    <w:rsid w:val="004F3F32"/>
    <w:rsid w:val="004F3F5D"/>
    <w:rsid w:val="004F3FD0"/>
    <w:rsid w:val="004F42F9"/>
    <w:rsid w:val="004F462F"/>
    <w:rsid w:val="004F4644"/>
    <w:rsid w:val="004F4853"/>
    <w:rsid w:val="004F48C5"/>
    <w:rsid w:val="004F4C52"/>
    <w:rsid w:val="004F4E70"/>
    <w:rsid w:val="004F530F"/>
    <w:rsid w:val="004F5327"/>
    <w:rsid w:val="004F5401"/>
    <w:rsid w:val="004F5804"/>
    <w:rsid w:val="004F5A27"/>
    <w:rsid w:val="004F5BB7"/>
    <w:rsid w:val="004F5C36"/>
    <w:rsid w:val="004F5FE5"/>
    <w:rsid w:val="004F628A"/>
    <w:rsid w:val="004F660E"/>
    <w:rsid w:val="004F686D"/>
    <w:rsid w:val="004F6916"/>
    <w:rsid w:val="004F6D33"/>
    <w:rsid w:val="004F6F89"/>
    <w:rsid w:val="004F7236"/>
    <w:rsid w:val="004F765F"/>
    <w:rsid w:val="004F7739"/>
    <w:rsid w:val="004F776C"/>
    <w:rsid w:val="004F7E4E"/>
    <w:rsid w:val="005000E9"/>
    <w:rsid w:val="005004B5"/>
    <w:rsid w:val="0050053D"/>
    <w:rsid w:val="005005A3"/>
    <w:rsid w:val="00500686"/>
    <w:rsid w:val="00500800"/>
    <w:rsid w:val="005008B5"/>
    <w:rsid w:val="005009D7"/>
    <w:rsid w:val="00500ABF"/>
    <w:rsid w:val="00500D82"/>
    <w:rsid w:val="00500DB3"/>
    <w:rsid w:val="00500E3C"/>
    <w:rsid w:val="00501083"/>
    <w:rsid w:val="0050109A"/>
    <w:rsid w:val="00501111"/>
    <w:rsid w:val="00501171"/>
    <w:rsid w:val="005012D9"/>
    <w:rsid w:val="005013DE"/>
    <w:rsid w:val="0050154A"/>
    <w:rsid w:val="0050157A"/>
    <w:rsid w:val="005015A2"/>
    <w:rsid w:val="00501AF0"/>
    <w:rsid w:val="00501B0B"/>
    <w:rsid w:val="00501F47"/>
    <w:rsid w:val="0050201E"/>
    <w:rsid w:val="005021F6"/>
    <w:rsid w:val="005024E2"/>
    <w:rsid w:val="005028A8"/>
    <w:rsid w:val="00502A97"/>
    <w:rsid w:val="00502CF0"/>
    <w:rsid w:val="00502E7D"/>
    <w:rsid w:val="00502ED3"/>
    <w:rsid w:val="005032A7"/>
    <w:rsid w:val="00503333"/>
    <w:rsid w:val="0050335D"/>
    <w:rsid w:val="005035F3"/>
    <w:rsid w:val="00503708"/>
    <w:rsid w:val="00503E40"/>
    <w:rsid w:val="00503E7B"/>
    <w:rsid w:val="00503EE0"/>
    <w:rsid w:val="00504607"/>
    <w:rsid w:val="00504877"/>
    <w:rsid w:val="005048DE"/>
    <w:rsid w:val="00504CD6"/>
    <w:rsid w:val="00504FD2"/>
    <w:rsid w:val="0050538D"/>
    <w:rsid w:val="0050555E"/>
    <w:rsid w:val="005055F6"/>
    <w:rsid w:val="00505686"/>
    <w:rsid w:val="005057AC"/>
    <w:rsid w:val="00505891"/>
    <w:rsid w:val="00505BC9"/>
    <w:rsid w:val="00505E34"/>
    <w:rsid w:val="0050608F"/>
    <w:rsid w:val="005060D0"/>
    <w:rsid w:val="00506141"/>
    <w:rsid w:val="00506165"/>
    <w:rsid w:val="005062B1"/>
    <w:rsid w:val="00506858"/>
    <w:rsid w:val="00506AEE"/>
    <w:rsid w:val="00507141"/>
    <w:rsid w:val="00507323"/>
    <w:rsid w:val="0050770D"/>
    <w:rsid w:val="00507903"/>
    <w:rsid w:val="005079FF"/>
    <w:rsid w:val="00507AB2"/>
    <w:rsid w:val="00507AE0"/>
    <w:rsid w:val="00507B69"/>
    <w:rsid w:val="00507F06"/>
    <w:rsid w:val="00510218"/>
    <w:rsid w:val="00510223"/>
    <w:rsid w:val="0051031D"/>
    <w:rsid w:val="0051038E"/>
    <w:rsid w:val="00510551"/>
    <w:rsid w:val="0051088F"/>
    <w:rsid w:val="005108F2"/>
    <w:rsid w:val="00510CE6"/>
    <w:rsid w:val="00510D9E"/>
    <w:rsid w:val="0051183E"/>
    <w:rsid w:val="00511B5F"/>
    <w:rsid w:val="00511CE2"/>
    <w:rsid w:val="00511F4B"/>
    <w:rsid w:val="00512039"/>
    <w:rsid w:val="00512270"/>
    <w:rsid w:val="0051233D"/>
    <w:rsid w:val="00512349"/>
    <w:rsid w:val="0051251D"/>
    <w:rsid w:val="005125E8"/>
    <w:rsid w:val="005129A3"/>
    <w:rsid w:val="00512A6B"/>
    <w:rsid w:val="00512BF0"/>
    <w:rsid w:val="00512CDD"/>
    <w:rsid w:val="00513037"/>
    <w:rsid w:val="00513103"/>
    <w:rsid w:val="00513313"/>
    <w:rsid w:val="0051344A"/>
    <w:rsid w:val="00513EEA"/>
    <w:rsid w:val="00514040"/>
    <w:rsid w:val="005143B9"/>
    <w:rsid w:val="0051443F"/>
    <w:rsid w:val="005145BD"/>
    <w:rsid w:val="005147B6"/>
    <w:rsid w:val="005147B7"/>
    <w:rsid w:val="0051498B"/>
    <w:rsid w:val="00514B8D"/>
    <w:rsid w:val="00514BAE"/>
    <w:rsid w:val="00514CA0"/>
    <w:rsid w:val="00514EBF"/>
    <w:rsid w:val="0051513F"/>
    <w:rsid w:val="0051514C"/>
    <w:rsid w:val="00515379"/>
    <w:rsid w:val="005154C7"/>
    <w:rsid w:val="00515729"/>
    <w:rsid w:val="0051581A"/>
    <w:rsid w:val="0051581B"/>
    <w:rsid w:val="00515CF2"/>
    <w:rsid w:val="00515D03"/>
    <w:rsid w:val="00515D9E"/>
    <w:rsid w:val="00515DFA"/>
    <w:rsid w:val="005160EF"/>
    <w:rsid w:val="00516267"/>
    <w:rsid w:val="005162E7"/>
    <w:rsid w:val="00516496"/>
    <w:rsid w:val="00516830"/>
    <w:rsid w:val="005168C6"/>
    <w:rsid w:val="0051694A"/>
    <w:rsid w:val="0051697D"/>
    <w:rsid w:val="00516B04"/>
    <w:rsid w:val="00516C80"/>
    <w:rsid w:val="00517122"/>
    <w:rsid w:val="005171BD"/>
    <w:rsid w:val="00517681"/>
    <w:rsid w:val="0051792E"/>
    <w:rsid w:val="005179CD"/>
    <w:rsid w:val="00517F48"/>
    <w:rsid w:val="00517FC5"/>
    <w:rsid w:val="005201A7"/>
    <w:rsid w:val="00520360"/>
    <w:rsid w:val="00520B66"/>
    <w:rsid w:val="00520BC2"/>
    <w:rsid w:val="00520DAB"/>
    <w:rsid w:val="00520EF6"/>
    <w:rsid w:val="00520F6B"/>
    <w:rsid w:val="00520FF2"/>
    <w:rsid w:val="00521160"/>
    <w:rsid w:val="0052132B"/>
    <w:rsid w:val="0052138D"/>
    <w:rsid w:val="0052154D"/>
    <w:rsid w:val="0052155F"/>
    <w:rsid w:val="00521565"/>
    <w:rsid w:val="00521AAA"/>
    <w:rsid w:val="00521B36"/>
    <w:rsid w:val="00521B5C"/>
    <w:rsid w:val="00521E66"/>
    <w:rsid w:val="00521EDB"/>
    <w:rsid w:val="00522607"/>
    <w:rsid w:val="00522623"/>
    <w:rsid w:val="005227BA"/>
    <w:rsid w:val="00522880"/>
    <w:rsid w:val="00522923"/>
    <w:rsid w:val="00522B85"/>
    <w:rsid w:val="00522C25"/>
    <w:rsid w:val="00522CC8"/>
    <w:rsid w:val="00522F88"/>
    <w:rsid w:val="005230B0"/>
    <w:rsid w:val="005230B6"/>
    <w:rsid w:val="005230B7"/>
    <w:rsid w:val="005231CD"/>
    <w:rsid w:val="00523385"/>
    <w:rsid w:val="00523440"/>
    <w:rsid w:val="005234DB"/>
    <w:rsid w:val="005235B4"/>
    <w:rsid w:val="005238B7"/>
    <w:rsid w:val="00523D35"/>
    <w:rsid w:val="00523DD9"/>
    <w:rsid w:val="00523EA5"/>
    <w:rsid w:val="005241BB"/>
    <w:rsid w:val="005242E4"/>
    <w:rsid w:val="00524571"/>
    <w:rsid w:val="00524637"/>
    <w:rsid w:val="00524830"/>
    <w:rsid w:val="005248D3"/>
    <w:rsid w:val="00524E76"/>
    <w:rsid w:val="0052520F"/>
    <w:rsid w:val="005252DC"/>
    <w:rsid w:val="005253F1"/>
    <w:rsid w:val="0052572E"/>
    <w:rsid w:val="005257FE"/>
    <w:rsid w:val="00525973"/>
    <w:rsid w:val="005259A0"/>
    <w:rsid w:val="00525A33"/>
    <w:rsid w:val="00525A81"/>
    <w:rsid w:val="00525CD9"/>
    <w:rsid w:val="00525D8C"/>
    <w:rsid w:val="00525E27"/>
    <w:rsid w:val="0052609B"/>
    <w:rsid w:val="0052634D"/>
    <w:rsid w:val="005263E0"/>
    <w:rsid w:val="005263EF"/>
    <w:rsid w:val="0052648C"/>
    <w:rsid w:val="0052649E"/>
    <w:rsid w:val="005264A9"/>
    <w:rsid w:val="00526A7D"/>
    <w:rsid w:val="00526C40"/>
    <w:rsid w:val="00526D06"/>
    <w:rsid w:val="00526D78"/>
    <w:rsid w:val="00526E87"/>
    <w:rsid w:val="00527125"/>
    <w:rsid w:val="005272B3"/>
    <w:rsid w:val="0052744F"/>
    <w:rsid w:val="00527BBA"/>
    <w:rsid w:val="00527E8B"/>
    <w:rsid w:val="00527F04"/>
    <w:rsid w:val="00530067"/>
    <w:rsid w:val="0053050B"/>
    <w:rsid w:val="005308E9"/>
    <w:rsid w:val="005309B0"/>
    <w:rsid w:val="00530AA8"/>
    <w:rsid w:val="00530CE8"/>
    <w:rsid w:val="00530EE8"/>
    <w:rsid w:val="00530EF3"/>
    <w:rsid w:val="0053107D"/>
    <w:rsid w:val="005312D7"/>
    <w:rsid w:val="0053133F"/>
    <w:rsid w:val="005313E7"/>
    <w:rsid w:val="005314DF"/>
    <w:rsid w:val="005315A3"/>
    <w:rsid w:val="00531738"/>
    <w:rsid w:val="00531819"/>
    <w:rsid w:val="005318A9"/>
    <w:rsid w:val="00531A38"/>
    <w:rsid w:val="00531A3C"/>
    <w:rsid w:val="00531BB2"/>
    <w:rsid w:val="00531BC2"/>
    <w:rsid w:val="00531FFE"/>
    <w:rsid w:val="005320A0"/>
    <w:rsid w:val="00532122"/>
    <w:rsid w:val="00532233"/>
    <w:rsid w:val="00532632"/>
    <w:rsid w:val="0053276D"/>
    <w:rsid w:val="00532BA3"/>
    <w:rsid w:val="00532C9D"/>
    <w:rsid w:val="00532ED1"/>
    <w:rsid w:val="00532F35"/>
    <w:rsid w:val="005331DA"/>
    <w:rsid w:val="005331F6"/>
    <w:rsid w:val="00533378"/>
    <w:rsid w:val="0053363B"/>
    <w:rsid w:val="0053381C"/>
    <w:rsid w:val="00533B91"/>
    <w:rsid w:val="00533D5D"/>
    <w:rsid w:val="00533DF7"/>
    <w:rsid w:val="00533E19"/>
    <w:rsid w:val="00533FBF"/>
    <w:rsid w:val="00533FEF"/>
    <w:rsid w:val="00534004"/>
    <w:rsid w:val="0053412B"/>
    <w:rsid w:val="00534145"/>
    <w:rsid w:val="005342F9"/>
    <w:rsid w:val="0053453B"/>
    <w:rsid w:val="005345EE"/>
    <w:rsid w:val="005346BF"/>
    <w:rsid w:val="0053485B"/>
    <w:rsid w:val="00534E84"/>
    <w:rsid w:val="005351FC"/>
    <w:rsid w:val="00535212"/>
    <w:rsid w:val="00535969"/>
    <w:rsid w:val="00535D4D"/>
    <w:rsid w:val="00535FD7"/>
    <w:rsid w:val="00536499"/>
    <w:rsid w:val="00536823"/>
    <w:rsid w:val="005369A1"/>
    <w:rsid w:val="00536D4D"/>
    <w:rsid w:val="00536E02"/>
    <w:rsid w:val="00536EC5"/>
    <w:rsid w:val="0053703A"/>
    <w:rsid w:val="005374C3"/>
    <w:rsid w:val="005376C0"/>
    <w:rsid w:val="005376FB"/>
    <w:rsid w:val="005377D2"/>
    <w:rsid w:val="00537829"/>
    <w:rsid w:val="00537978"/>
    <w:rsid w:val="00537A38"/>
    <w:rsid w:val="00537A5F"/>
    <w:rsid w:val="00540052"/>
    <w:rsid w:val="00540082"/>
    <w:rsid w:val="005403C2"/>
    <w:rsid w:val="00540504"/>
    <w:rsid w:val="0054056B"/>
    <w:rsid w:val="005406F9"/>
    <w:rsid w:val="005408A4"/>
    <w:rsid w:val="0054092D"/>
    <w:rsid w:val="00540AB5"/>
    <w:rsid w:val="00540CF1"/>
    <w:rsid w:val="00540D67"/>
    <w:rsid w:val="00540EC1"/>
    <w:rsid w:val="00540F3B"/>
    <w:rsid w:val="00540F3F"/>
    <w:rsid w:val="00541761"/>
    <w:rsid w:val="00541762"/>
    <w:rsid w:val="00541824"/>
    <w:rsid w:val="00541CDD"/>
    <w:rsid w:val="00541EF0"/>
    <w:rsid w:val="00541F44"/>
    <w:rsid w:val="0054201A"/>
    <w:rsid w:val="0054278D"/>
    <w:rsid w:val="0054291C"/>
    <w:rsid w:val="00542A65"/>
    <w:rsid w:val="00542B18"/>
    <w:rsid w:val="00542E1E"/>
    <w:rsid w:val="00542E5E"/>
    <w:rsid w:val="00542EA3"/>
    <w:rsid w:val="00542F48"/>
    <w:rsid w:val="00542FA5"/>
    <w:rsid w:val="00542FC1"/>
    <w:rsid w:val="005430DC"/>
    <w:rsid w:val="005430E1"/>
    <w:rsid w:val="00543124"/>
    <w:rsid w:val="0054324B"/>
    <w:rsid w:val="00543250"/>
    <w:rsid w:val="00543321"/>
    <w:rsid w:val="005435D2"/>
    <w:rsid w:val="00543C22"/>
    <w:rsid w:val="00543C90"/>
    <w:rsid w:val="00543D81"/>
    <w:rsid w:val="00543E3F"/>
    <w:rsid w:val="00543E7F"/>
    <w:rsid w:val="0054442B"/>
    <w:rsid w:val="00544437"/>
    <w:rsid w:val="005445E7"/>
    <w:rsid w:val="005446B1"/>
    <w:rsid w:val="005446B3"/>
    <w:rsid w:val="00544A4D"/>
    <w:rsid w:val="00544DB1"/>
    <w:rsid w:val="00544E76"/>
    <w:rsid w:val="00544F06"/>
    <w:rsid w:val="005450EC"/>
    <w:rsid w:val="00545289"/>
    <w:rsid w:val="00545419"/>
    <w:rsid w:val="00545767"/>
    <w:rsid w:val="005458EB"/>
    <w:rsid w:val="00545922"/>
    <w:rsid w:val="00545BA4"/>
    <w:rsid w:val="00546025"/>
    <w:rsid w:val="0054613B"/>
    <w:rsid w:val="0054629C"/>
    <w:rsid w:val="00546361"/>
    <w:rsid w:val="00546672"/>
    <w:rsid w:val="005466B0"/>
    <w:rsid w:val="005466C4"/>
    <w:rsid w:val="00546981"/>
    <w:rsid w:val="005469EC"/>
    <w:rsid w:val="00546A51"/>
    <w:rsid w:val="00546AF2"/>
    <w:rsid w:val="00546B96"/>
    <w:rsid w:val="00546BE0"/>
    <w:rsid w:val="00546E67"/>
    <w:rsid w:val="00546EAF"/>
    <w:rsid w:val="005470F9"/>
    <w:rsid w:val="00547122"/>
    <w:rsid w:val="00547123"/>
    <w:rsid w:val="00547191"/>
    <w:rsid w:val="0054723D"/>
    <w:rsid w:val="00547299"/>
    <w:rsid w:val="005472E8"/>
    <w:rsid w:val="005473E0"/>
    <w:rsid w:val="0054764A"/>
    <w:rsid w:val="005476CB"/>
    <w:rsid w:val="005477A0"/>
    <w:rsid w:val="0054791E"/>
    <w:rsid w:val="00547936"/>
    <w:rsid w:val="00547962"/>
    <w:rsid w:val="00547C27"/>
    <w:rsid w:val="00547DAC"/>
    <w:rsid w:val="00547E05"/>
    <w:rsid w:val="00547EA8"/>
    <w:rsid w:val="00547F40"/>
    <w:rsid w:val="00547F6E"/>
    <w:rsid w:val="005500BD"/>
    <w:rsid w:val="005500EF"/>
    <w:rsid w:val="005501E2"/>
    <w:rsid w:val="0055024F"/>
    <w:rsid w:val="005504BB"/>
    <w:rsid w:val="005504DB"/>
    <w:rsid w:val="00550909"/>
    <w:rsid w:val="00550A93"/>
    <w:rsid w:val="00550DA2"/>
    <w:rsid w:val="00551167"/>
    <w:rsid w:val="005512A8"/>
    <w:rsid w:val="005512DA"/>
    <w:rsid w:val="00551362"/>
    <w:rsid w:val="0055158A"/>
    <w:rsid w:val="005515A0"/>
    <w:rsid w:val="005515CC"/>
    <w:rsid w:val="00551715"/>
    <w:rsid w:val="0055171E"/>
    <w:rsid w:val="00551874"/>
    <w:rsid w:val="00551A01"/>
    <w:rsid w:val="00551A5A"/>
    <w:rsid w:val="00551BE4"/>
    <w:rsid w:val="0055221E"/>
    <w:rsid w:val="00552316"/>
    <w:rsid w:val="00552389"/>
    <w:rsid w:val="0055280C"/>
    <w:rsid w:val="00552A48"/>
    <w:rsid w:val="00552DC2"/>
    <w:rsid w:val="00552DCD"/>
    <w:rsid w:val="00552FCC"/>
    <w:rsid w:val="00553096"/>
    <w:rsid w:val="0055324D"/>
    <w:rsid w:val="005532BF"/>
    <w:rsid w:val="00553361"/>
    <w:rsid w:val="005533E3"/>
    <w:rsid w:val="00553562"/>
    <w:rsid w:val="005536BC"/>
    <w:rsid w:val="005537C0"/>
    <w:rsid w:val="0055394E"/>
    <w:rsid w:val="00553A1C"/>
    <w:rsid w:val="00553A26"/>
    <w:rsid w:val="00553A71"/>
    <w:rsid w:val="00553EDF"/>
    <w:rsid w:val="00553F82"/>
    <w:rsid w:val="00553F8B"/>
    <w:rsid w:val="005545B4"/>
    <w:rsid w:val="005546C0"/>
    <w:rsid w:val="0055476C"/>
    <w:rsid w:val="005548E9"/>
    <w:rsid w:val="00554993"/>
    <w:rsid w:val="00554A11"/>
    <w:rsid w:val="00554A5B"/>
    <w:rsid w:val="00554AB7"/>
    <w:rsid w:val="00554BE6"/>
    <w:rsid w:val="00554FF1"/>
    <w:rsid w:val="0055500B"/>
    <w:rsid w:val="005551A1"/>
    <w:rsid w:val="00555464"/>
    <w:rsid w:val="005556FA"/>
    <w:rsid w:val="00556051"/>
    <w:rsid w:val="0055613C"/>
    <w:rsid w:val="0055614C"/>
    <w:rsid w:val="0055621E"/>
    <w:rsid w:val="00556326"/>
    <w:rsid w:val="005563AA"/>
    <w:rsid w:val="00556A12"/>
    <w:rsid w:val="00556E95"/>
    <w:rsid w:val="00556EC9"/>
    <w:rsid w:val="00556EF4"/>
    <w:rsid w:val="00556F11"/>
    <w:rsid w:val="00556F38"/>
    <w:rsid w:val="00556F70"/>
    <w:rsid w:val="0055721D"/>
    <w:rsid w:val="00557362"/>
    <w:rsid w:val="00557779"/>
    <w:rsid w:val="005579A3"/>
    <w:rsid w:val="00557CFA"/>
    <w:rsid w:val="00557E2A"/>
    <w:rsid w:val="0056030C"/>
    <w:rsid w:val="0056031F"/>
    <w:rsid w:val="0056065D"/>
    <w:rsid w:val="005607AB"/>
    <w:rsid w:val="005608BF"/>
    <w:rsid w:val="0056090C"/>
    <w:rsid w:val="00560953"/>
    <w:rsid w:val="00560C1A"/>
    <w:rsid w:val="00560E15"/>
    <w:rsid w:val="0056102D"/>
    <w:rsid w:val="0056124D"/>
    <w:rsid w:val="005613BB"/>
    <w:rsid w:val="0056151E"/>
    <w:rsid w:val="0056174B"/>
    <w:rsid w:val="005618A9"/>
    <w:rsid w:val="00561972"/>
    <w:rsid w:val="00561B64"/>
    <w:rsid w:val="00561F96"/>
    <w:rsid w:val="005624A3"/>
    <w:rsid w:val="00562A6D"/>
    <w:rsid w:val="00562FF8"/>
    <w:rsid w:val="005631A7"/>
    <w:rsid w:val="00563380"/>
    <w:rsid w:val="005633DD"/>
    <w:rsid w:val="0056340E"/>
    <w:rsid w:val="005637EA"/>
    <w:rsid w:val="00563834"/>
    <w:rsid w:val="00563882"/>
    <w:rsid w:val="00563AAA"/>
    <w:rsid w:val="00563ADE"/>
    <w:rsid w:val="00563DBB"/>
    <w:rsid w:val="00564021"/>
    <w:rsid w:val="00564127"/>
    <w:rsid w:val="00564375"/>
    <w:rsid w:val="005645D2"/>
    <w:rsid w:val="00564844"/>
    <w:rsid w:val="005648BB"/>
    <w:rsid w:val="00564C05"/>
    <w:rsid w:val="00564D82"/>
    <w:rsid w:val="0056510B"/>
    <w:rsid w:val="00565274"/>
    <w:rsid w:val="005657B2"/>
    <w:rsid w:val="005657DD"/>
    <w:rsid w:val="0056583D"/>
    <w:rsid w:val="005658D7"/>
    <w:rsid w:val="00565DFC"/>
    <w:rsid w:val="00565E33"/>
    <w:rsid w:val="005660DF"/>
    <w:rsid w:val="005660E3"/>
    <w:rsid w:val="005660F7"/>
    <w:rsid w:val="0056612E"/>
    <w:rsid w:val="005661E9"/>
    <w:rsid w:val="0056621D"/>
    <w:rsid w:val="00566520"/>
    <w:rsid w:val="00566613"/>
    <w:rsid w:val="00566957"/>
    <w:rsid w:val="005669C3"/>
    <w:rsid w:val="00566B25"/>
    <w:rsid w:val="00566C9B"/>
    <w:rsid w:val="00566D7D"/>
    <w:rsid w:val="00566E70"/>
    <w:rsid w:val="0056708F"/>
    <w:rsid w:val="005671D3"/>
    <w:rsid w:val="00567265"/>
    <w:rsid w:val="005672A4"/>
    <w:rsid w:val="00567323"/>
    <w:rsid w:val="00567458"/>
    <w:rsid w:val="005674A1"/>
    <w:rsid w:val="005675D4"/>
    <w:rsid w:val="00567778"/>
    <w:rsid w:val="00567826"/>
    <w:rsid w:val="00567850"/>
    <w:rsid w:val="00567A1C"/>
    <w:rsid w:val="00567EBF"/>
    <w:rsid w:val="005701AC"/>
    <w:rsid w:val="005703CC"/>
    <w:rsid w:val="005703FF"/>
    <w:rsid w:val="005706F6"/>
    <w:rsid w:val="005706F8"/>
    <w:rsid w:val="005708F1"/>
    <w:rsid w:val="00570B0D"/>
    <w:rsid w:val="00570B90"/>
    <w:rsid w:val="00570ED3"/>
    <w:rsid w:val="00570EE5"/>
    <w:rsid w:val="00570FED"/>
    <w:rsid w:val="00571000"/>
    <w:rsid w:val="00571133"/>
    <w:rsid w:val="0057168D"/>
    <w:rsid w:val="0057170C"/>
    <w:rsid w:val="00571D6F"/>
    <w:rsid w:val="00571F3B"/>
    <w:rsid w:val="0057218B"/>
    <w:rsid w:val="005723B6"/>
    <w:rsid w:val="00572480"/>
    <w:rsid w:val="0057268A"/>
    <w:rsid w:val="005726BE"/>
    <w:rsid w:val="00572BE1"/>
    <w:rsid w:val="00572C38"/>
    <w:rsid w:val="00572F27"/>
    <w:rsid w:val="00572FFB"/>
    <w:rsid w:val="0057308E"/>
    <w:rsid w:val="005730BE"/>
    <w:rsid w:val="00573276"/>
    <w:rsid w:val="0057330C"/>
    <w:rsid w:val="005734BD"/>
    <w:rsid w:val="005735CC"/>
    <w:rsid w:val="005735D7"/>
    <w:rsid w:val="00573627"/>
    <w:rsid w:val="005736C3"/>
    <w:rsid w:val="005738C2"/>
    <w:rsid w:val="00573B9F"/>
    <w:rsid w:val="00573BF8"/>
    <w:rsid w:val="00573C5B"/>
    <w:rsid w:val="00573C96"/>
    <w:rsid w:val="00573EA3"/>
    <w:rsid w:val="00574752"/>
    <w:rsid w:val="00574886"/>
    <w:rsid w:val="00574905"/>
    <w:rsid w:val="005749E0"/>
    <w:rsid w:val="00574D4A"/>
    <w:rsid w:val="00575164"/>
    <w:rsid w:val="005753C5"/>
    <w:rsid w:val="00575478"/>
    <w:rsid w:val="0057553A"/>
    <w:rsid w:val="00575573"/>
    <w:rsid w:val="005756C2"/>
    <w:rsid w:val="00575829"/>
    <w:rsid w:val="00575852"/>
    <w:rsid w:val="005759AC"/>
    <w:rsid w:val="00575D7C"/>
    <w:rsid w:val="00575D98"/>
    <w:rsid w:val="00575DC0"/>
    <w:rsid w:val="00575EE1"/>
    <w:rsid w:val="0057610D"/>
    <w:rsid w:val="0057618D"/>
    <w:rsid w:val="00576A58"/>
    <w:rsid w:val="00576DDA"/>
    <w:rsid w:val="00576DF1"/>
    <w:rsid w:val="00576F3A"/>
    <w:rsid w:val="00577032"/>
    <w:rsid w:val="0057718D"/>
    <w:rsid w:val="005772FB"/>
    <w:rsid w:val="005773EB"/>
    <w:rsid w:val="00577454"/>
    <w:rsid w:val="0057749B"/>
    <w:rsid w:val="00577873"/>
    <w:rsid w:val="0058016C"/>
    <w:rsid w:val="005802D5"/>
    <w:rsid w:val="0058030C"/>
    <w:rsid w:val="00580339"/>
    <w:rsid w:val="00580555"/>
    <w:rsid w:val="00580CC4"/>
    <w:rsid w:val="00580CDB"/>
    <w:rsid w:val="00580F97"/>
    <w:rsid w:val="00580FD5"/>
    <w:rsid w:val="005813A1"/>
    <w:rsid w:val="0058142B"/>
    <w:rsid w:val="005818C1"/>
    <w:rsid w:val="00581AFA"/>
    <w:rsid w:val="00581B3D"/>
    <w:rsid w:val="00581D02"/>
    <w:rsid w:val="00581D1D"/>
    <w:rsid w:val="00582350"/>
    <w:rsid w:val="0058237B"/>
    <w:rsid w:val="00582692"/>
    <w:rsid w:val="005826B8"/>
    <w:rsid w:val="005826FC"/>
    <w:rsid w:val="005829EA"/>
    <w:rsid w:val="00582D59"/>
    <w:rsid w:val="00582DC3"/>
    <w:rsid w:val="00582F06"/>
    <w:rsid w:val="00582F34"/>
    <w:rsid w:val="00582FCB"/>
    <w:rsid w:val="0058344A"/>
    <w:rsid w:val="00583492"/>
    <w:rsid w:val="005835D1"/>
    <w:rsid w:val="00583970"/>
    <w:rsid w:val="00583B21"/>
    <w:rsid w:val="00583B82"/>
    <w:rsid w:val="00583C6C"/>
    <w:rsid w:val="00583CED"/>
    <w:rsid w:val="00583E6A"/>
    <w:rsid w:val="00583EE1"/>
    <w:rsid w:val="00583F42"/>
    <w:rsid w:val="00584460"/>
    <w:rsid w:val="0058449F"/>
    <w:rsid w:val="005845A0"/>
    <w:rsid w:val="00584704"/>
    <w:rsid w:val="005848D8"/>
    <w:rsid w:val="00584C51"/>
    <w:rsid w:val="00584F92"/>
    <w:rsid w:val="00584FCA"/>
    <w:rsid w:val="00585346"/>
    <w:rsid w:val="00585504"/>
    <w:rsid w:val="00585736"/>
    <w:rsid w:val="005859E7"/>
    <w:rsid w:val="00585A54"/>
    <w:rsid w:val="00585AA4"/>
    <w:rsid w:val="00585DD9"/>
    <w:rsid w:val="00585E70"/>
    <w:rsid w:val="00585EBB"/>
    <w:rsid w:val="00586103"/>
    <w:rsid w:val="005861A9"/>
    <w:rsid w:val="00586524"/>
    <w:rsid w:val="005867FD"/>
    <w:rsid w:val="005868A7"/>
    <w:rsid w:val="005869BB"/>
    <w:rsid w:val="00586B4B"/>
    <w:rsid w:val="0058705F"/>
    <w:rsid w:val="005870B4"/>
    <w:rsid w:val="00587133"/>
    <w:rsid w:val="00587239"/>
    <w:rsid w:val="005872BC"/>
    <w:rsid w:val="005878EA"/>
    <w:rsid w:val="00587BAC"/>
    <w:rsid w:val="00590172"/>
    <w:rsid w:val="005903E3"/>
    <w:rsid w:val="00590452"/>
    <w:rsid w:val="00590586"/>
    <w:rsid w:val="00590635"/>
    <w:rsid w:val="00590694"/>
    <w:rsid w:val="005907EF"/>
    <w:rsid w:val="005908A6"/>
    <w:rsid w:val="005909FE"/>
    <w:rsid w:val="00590A12"/>
    <w:rsid w:val="00590B19"/>
    <w:rsid w:val="00590BB1"/>
    <w:rsid w:val="00590C5A"/>
    <w:rsid w:val="00590D15"/>
    <w:rsid w:val="00590F0E"/>
    <w:rsid w:val="00590FFD"/>
    <w:rsid w:val="00591080"/>
    <w:rsid w:val="0059122B"/>
    <w:rsid w:val="00591317"/>
    <w:rsid w:val="005913EB"/>
    <w:rsid w:val="00591443"/>
    <w:rsid w:val="0059152B"/>
    <w:rsid w:val="005915CB"/>
    <w:rsid w:val="005916C2"/>
    <w:rsid w:val="005918D6"/>
    <w:rsid w:val="00591C97"/>
    <w:rsid w:val="00591CA3"/>
    <w:rsid w:val="00591E22"/>
    <w:rsid w:val="00591E5A"/>
    <w:rsid w:val="00592273"/>
    <w:rsid w:val="0059236B"/>
    <w:rsid w:val="00592682"/>
    <w:rsid w:val="00592900"/>
    <w:rsid w:val="00592D8B"/>
    <w:rsid w:val="00592E9D"/>
    <w:rsid w:val="00592F2D"/>
    <w:rsid w:val="005932A2"/>
    <w:rsid w:val="0059333E"/>
    <w:rsid w:val="00593559"/>
    <w:rsid w:val="00593689"/>
    <w:rsid w:val="00593692"/>
    <w:rsid w:val="005936B3"/>
    <w:rsid w:val="00593941"/>
    <w:rsid w:val="0059397A"/>
    <w:rsid w:val="00593AEE"/>
    <w:rsid w:val="00593F14"/>
    <w:rsid w:val="00594048"/>
    <w:rsid w:val="00594197"/>
    <w:rsid w:val="005941E6"/>
    <w:rsid w:val="0059422B"/>
    <w:rsid w:val="0059431D"/>
    <w:rsid w:val="00594735"/>
    <w:rsid w:val="005947F8"/>
    <w:rsid w:val="00594A99"/>
    <w:rsid w:val="00594BA8"/>
    <w:rsid w:val="00594D0B"/>
    <w:rsid w:val="00595237"/>
    <w:rsid w:val="005955D5"/>
    <w:rsid w:val="005957E9"/>
    <w:rsid w:val="005958FE"/>
    <w:rsid w:val="00595F30"/>
    <w:rsid w:val="0059601F"/>
    <w:rsid w:val="00596703"/>
    <w:rsid w:val="00596834"/>
    <w:rsid w:val="0059683E"/>
    <w:rsid w:val="00596951"/>
    <w:rsid w:val="0059724D"/>
    <w:rsid w:val="005974EE"/>
    <w:rsid w:val="005975A4"/>
    <w:rsid w:val="00597771"/>
    <w:rsid w:val="005978CF"/>
    <w:rsid w:val="00597D4E"/>
    <w:rsid w:val="00597DE8"/>
    <w:rsid w:val="00597EF4"/>
    <w:rsid w:val="005A013C"/>
    <w:rsid w:val="005A02E5"/>
    <w:rsid w:val="005A046D"/>
    <w:rsid w:val="005A0502"/>
    <w:rsid w:val="005A07E9"/>
    <w:rsid w:val="005A0933"/>
    <w:rsid w:val="005A0984"/>
    <w:rsid w:val="005A09EB"/>
    <w:rsid w:val="005A0DA3"/>
    <w:rsid w:val="005A0DAA"/>
    <w:rsid w:val="005A0DE9"/>
    <w:rsid w:val="005A0FCF"/>
    <w:rsid w:val="005A1310"/>
    <w:rsid w:val="005A1334"/>
    <w:rsid w:val="005A1481"/>
    <w:rsid w:val="005A148C"/>
    <w:rsid w:val="005A15F3"/>
    <w:rsid w:val="005A1713"/>
    <w:rsid w:val="005A179F"/>
    <w:rsid w:val="005A18AD"/>
    <w:rsid w:val="005A19DC"/>
    <w:rsid w:val="005A1A6D"/>
    <w:rsid w:val="005A1A78"/>
    <w:rsid w:val="005A1F30"/>
    <w:rsid w:val="005A2275"/>
    <w:rsid w:val="005A22D2"/>
    <w:rsid w:val="005A252B"/>
    <w:rsid w:val="005A2659"/>
    <w:rsid w:val="005A26D8"/>
    <w:rsid w:val="005A2732"/>
    <w:rsid w:val="005A2801"/>
    <w:rsid w:val="005A2BB4"/>
    <w:rsid w:val="005A2C73"/>
    <w:rsid w:val="005A2C83"/>
    <w:rsid w:val="005A2EFE"/>
    <w:rsid w:val="005A3122"/>
    <w:rsid w:val="005A3382"/>
    <w:rsid w:val="005A35AD"/>
    <w:rsid w:val="005A368B"/>
    <w:rsid w:val="005A39B1"/>
    <w:rsid w:val="005A39C3"/>
    <w:rsid w:val="005A3B11"/>
    <w:rsid w:val="005A3BE8"/>
    <w:rsid w:val="005A3E6F"/>
    <w:rsid w:val="005A3F41"/>
    <w:rsid w:val="005A401A"/>
    <w:rsid w:val="005A4517"/>
    <w:rsid w:val="005A4532"/>
    <w:rsid w:val="005A4664"/>
    <w:rsid w:val="005A486D"/>
    <w:rsid w:val="005A4A68"/>
    <w:rsid w:val="005A4ABC"/>
    <w:rsid w:val="005A4C63"/>
    <w:rsid w:val="005A4E04"/>
    <w:rsid w:val="005A5028"/>
    <w:rsid w:val="005A5171"/>
    <w:rsid w:val="005A52AF"/>
    <w:rsid w:val="005A56A3"/>
    <w:rsid w:val="005A5B50"/>
    <w:rsid w:val="005A5E32"/>
    <w:rsid w:val="005A5E37"/>
    <w:rsid w:val="005A608F"/>
    <w:rsid w:val="005A6145"/>
    <w:rsid w:val="005A6239"/>
    <w:rsid w:val="005A6254"/>
    <w:rsid w:val="005A6528"/>
    <w:rsid w:val="005A66EB"/>
    <w:rsid w:val="005A69E9"/>
    <w:rsid w:val="005A6B25"/>
    <w:rsid w:val="005A6B81"/>
    <w:rsid w:val="005A6C10"/>
    <w:rsid w:val="005A7047"/>
    <w:rsid w:val="005A709D"/>
    <w:rsid w:val="005A7171"/>
    <w:rsid w:val="005A71A0"/>
    <w:rsid w:val="005A74E5"/>
    <w:rsid w:val="005A7742"/>
    <w:rsid w:val="005A77DF"/>
    <w:rsid w:val="005A797A"/>
    <w:rsid w:val="005A7B8D"/>
    <w:rsid w:val="005A7BD1"/>
    <w:rsid w:val="005A7CBA"/>
    <w:rsid w:val="005A7D1C"/>
    <w:rsid w:val="005A7E7B"/>
    <w:rsid w:val="005A7EDB"/>
    <w:rsid w:val="005A7FC6"/>
    <w:rsid w:val="005B0051"/>
    <w:rsid w:val="005B00B4"/>
    <w:rsid w:val="005B0128"/>
    <w:rsid w:val="005B01F7"/>
    <w:rsid w:val="005B0385"/>
    <w:rsid w:val="005B05C5"/>
    <w:rsid w:val="005B05F0"/>
    <w:rsid w:val="005B0C7D"/>
    <w:rsid w:val="005B0D48"/>
    <w:rsid w:val="005B0D4A"/>
    <w:rsid w:val="005B0F15"/>
    <w:rsid w:val="005B0F36"/>
    <w:rsid w:val="005B1068"/>
    <w:rsid w:val="005B12ED"/>
    <w:rsid w:val="005B132E"/>
    <w:rsid w:val="005B147C"/>
    <w:rsid w:val="005B149C"/>
    <w:rsid w:val="005B1629"/>
    <w:rsid w:val="005B1770"/>
    <w:rsid w:val="005B17D7"/>
    <w:rsid w:val="005B1B77"/>
    <w:rsid w:val="005B1B92"/>
    <w:rsid w:val="005B1C2F"/>
    <w:rsid w:val="005B1E81"/>
    <w:rsid w:val="005B1FE1"/>
    <w:rsid w:val="005B228D"/>
    <w:rsid w:val="005B22CA"/>
    <w:rsid w:val="005B2388"/>
    <w:rsid w:val="005B23BD"/>
    <w:rsid w:val="005B2464"/>
    <w:rsid w:val="005B2467"/>
    <w:rsid w:val="005B259B"/>
    <w:rsid w:val="005B27FF"/>
    <w:rsid w:val="005B284C"/>
    <w:rsid w:val="005B292B"/>
    <w:rsid w:val="005B29DA"/>
    <w:rsid w:val="005B2A01"/>
    <w:rsid w:val="005B2A57"/>
    <w:rsid w:val="005B2AC2"/>
    <w:rsid w:val="005B2B8A"/>
    <w:rsid w:val="005B2C43"/>
    <w:rsid w:val="005B2CC7"/>
    <w:rsid w:val="005B3106"/>
    <w:rsid w:val="005B32D6"/>
    <w:rsid w:val="005B3490"/>
    <w:rsid w:val="005B3636"/>
    <w:rsid w:val="005B3637"/>
    <w:rsid w:val="005B37A5"/>
    <w:rsid w:val="005B37AA"/>
    <w:rsid w:val="005B3879"/>
    <w:rsid w:val="005B3B12"/>
    <w:rsid w:val="005B3C3F"/>
    <w:rsid w:val="005B3D06"/>
    <w:rsid w:val="005B3DE3"/>
    <w:rsid w:val="005B3DE7"/>
    <w:rsid w:val="005B3FBC"/>
    <w:rsid w:val="005B401D"/>
    <w:rsid w:val="005B4076"/>
    <w:rsid w:val="005B4419"/>
    <w:rsid w:val="005B4431"/>
    <w:rsid w:val="005B448E"/>
    <w:rsid w:val="005B44BA"/>
    <w:rsid w:val="005B44E6"/>
    <w:rsid w:val="005B485A"/>
    <w:rsid w:val="005B4A07"/>
    <w:rsid w:val="005B50C2"/>
    <w:rsid w:val="005B52EA"/>
    <w:rsid w:val="005B53B7"/>
    <w:rsid w:val="005B5405"/>
    <w:rsid w:val="005B54E6"/>
    <w:rsid w:val="005B58A5"/>
    <w:rsid w:val="005B5B67"/>
    <w:rsid w:val="005B5EFC"/>
    <w:rsid w:val="005B5F3B"/>
    <w:rsid w:val="005B6168"/>
    <w:rsid w:val="005B650D"/>
    <w:rsid w:val="005B66C9"/>
    <w:rsid w:val="005B6725"/>
    <w:rsid w:val="005B679C"/>
    <w:rsid w:val="005B691A"/>
    <w:rsid w:val="005B697A"/>
    <w:rsid w:val="005B6B9F"/>
    <w:rsid w:val="005B6C36"/>
    <w:rsid w:val="005B71D1"/>
    <w:rsid w:val="005B726D"/>
    <w:rsid w:val="005B74DE"/>
    <w:rsid w:val="005B7692"/>
    <w:rsid w:val="005B78A8"/>
    <w:rsid w:val="005B78E7"/>
    <w:rsid w:val="005B7AB9"/>
    <w:rsid w:val="005B7B62"/>
    <w:rsid w:val="005B7C03"/>
    <w:rsid w:val="005B7EAC"/>
    <w:rsid w:val="005B7EE1"/>
    <w:rsid w:val="005B7F63"/>
    <w:rsid w:val="005B7FBE"/>
    <w:rsid w:val="005C012F"/>
    <w:rsid w:val="005C035F"/>
    <w:rsid w:val="005C03D6"/>
    <w:rsid w:val="005C03D8"/>
    <w:rsid w:val="005C04DC"/>
    <w:rsid w:val="005C0560"/>
    <w:rsid w:val="005C0589"/>
    <w:rsid w:val="005C05C6"/>
    <w:rsid w:val="005C05FD"/>
    <w:rsid w:val="005C06D7"/>
    <w:rsid w:val="005C06DC"/>
    <w:rsid w:val="005C0799"/>
    <w:rsid w:val="005C098D"/>
    <w:rsid w:val="005C09A7"/>
    <w:rsid w:val="005C119D"/>
    <w:rsid w:val="005C12FF"/>
    <w:rsid w:val="005C13A3"/>
    <w:rsid w:val="005C144D"/>
    <w:rsid w:val="005C14CC"/>
    <w:rsid w:val="005C1963"/>
    <w:rsid w:val="005C1C6A"/>
    <w:rsid w:val="005C2074"/>
    <w:rsid w:val="005C23F1"/>
    <w:rsid w:val="005C23F2"/>
    <w:rsid w:val="005C2439"/>
    <w:rsid w:val="005C2481"/>
    <w:rsid w:val="005C257D"/>
    <w:rsid w:val="005C27CE"/>
    <w:rsid w:val="005C2B0A"/>
    <w:rsid w:val="005C2B97"/>
    <w:rsid w:val="005C2D5B"/>
    <w:rsid w:val="005C2F3C"/>
    <w:rsid w:val="005C2FAE"/>
    <w:rsid w:val="005C2FBA"/>
    <w:rsid w:val="005C30B3"/>
    <w:rsid w:val="005C325C"/>
    <w:rsid w:val="005C3323"/>
    <w:rsid w:val="005C37AD"/>
    <w:rsid w:val="005C37EC"/>
    <w:rsid w:val="005C3AB2"/>
    <w:rsid w:val="005C3E31"/>
    <w:rsid w:val="005C4246"/>
    <w:rsid w:val="005C42CB"/>
    <w:rsid w:val="005C45FA"/>
    <w:rsid w:val="005C46D2"/>
    <w:rsid w:val="005C4859"/>
    <w:rsid w:val="005C488B"/>
    <w:rsid w:val="005C4AFB"/>
    <w:rsid w:val="005C4B94"/>
    <w:rsid w:val="005C4E9E"/>
    <w:rsid w:val="005C5084"/>
    <w:rsid w:val="005C50F9"/>
    <w:rsid w:val="005C510F"/>
    <w:rsid w:val="005C54A5"/>
    <w:rsid w:val="005C562C"/>
    <w:rsid w:val="005C5A08"/>
    <w:rsid w:val="005C5AB5"/>
    <w:rsid w:val="005C5DBB"/>
    <w:rsid w:val="005C5DD3"/>
    <w:rsid w:val="005C6078"/>
    <w:rsid w:val="005C6406"/>
    <w:rsid w:val="005C6621"/>
    <w:rsid w:val="005C666B"/>
    <w:rsid w:val="005C6ACE"/>
    <w:rsid w:val="005C6C87"/>
    <w:rsid w:val="005C6C8B"/>
    <w:rsid w:val="005C70C8"/>
    <w:rsid w:val="005C71A5"/>
    <w:rsid w:val="005C72CD"/>
    <w:rsid w:val="005C77A4"/>
    <w:rsid w:val="005C79CA"/>
    <w:rsid w:val="005C7AE7"/>
    <w:rsid w:val="005C7CC6"/>
    <w:rsid w:val="005C7D23"/>
    <w:rsid w:val="005C7E09"/>
    <w:rsid w:val="005D00F5"/>
    <w:rsid w:val="005D013D"/>
    <w:rsid w:val="005D03D3"/>
    <w:rsid w:val="005D0DB4"/>
    <w:rsid w:val="005D118C"/>
    <w:rsid w:val="005D127E"/>
    <w:rsid w:val="005D1534"/>
    <w:rsid w:val="005D17BD"/>
    <w:rsid w:val="005D180A"/>
    <w:rsid w:val="005D1838"/>
    <w:rsid w:val="005D190D"/>
    <w:rsid w:val="005D19C4"/>
    <w:rsid w:val="005D1B47"/>
    <w:rsid w:val="005D1C04"/>
    <w:rsid w:val="005D1C06"/>
    <w:rsid w:val="005D1C1A"/>
    <w:rsid w:val="005D1CD2"/>
    <w:rsid w:val="005D1D59"/>
    <w:rsid w:val="005D1EB1"/>
    <w:rsid w:val="005D1F28"/>
    <w:rsid w:val="005D1F62"/>
    <w:rsid w:val="005D200E"/>
    <w:rsid w:val="005D20DF"/>
    <w:rsid w:val="005D2107"/>
    <w:rsid w:val="005D2112"/>
    <w:rsid w:val="005D21CC"/>
    <w:rsid w:val="005D2239"/>
    <w:rsid w:val="005D2575"/>
    <w:rsid w:val="005D2C29"/>
    <w:rsid w:val="005D2D65"/>
    <w:rsid w:val="005D2F90"/>
    <w:rsid w:val="005D3020"/>
    <w:rsid w:val="005D3462"/>
    <w:rsid w:val="005D3587"/>
    <w:rsid w:val="005D3703"/>
    <w:rsid w:val="005D373A"/>
    <w:rsid w:val="005D3997"/>
    <w:rsid w:val="005D3B43"/>
    <w:rsid w:val="005D4004"/>
    <w:rsid w:val="005D4622"/>
    <w:rsid w:val="005D4702"/>
    <w:rsid w:val="005D472F"/>
    <w:rsid w:val="005D4957"/>
    <w:rsid w:val="005D4996"/>
    <w:rsid w:val="005D4E5F"/>
    <w:rsid w:val="005D4FD2"/>
    <w:rsid w:val="005D4FE4"/>
    <w:rsid w:val="005D50BE"/>
    <w:rsid w:val="005D51DF"/>
    <w:rsid w:val="005D520F"/>
    <w:rsid w:val="005D526B"/>
    <w:rsid w:val="005D5297"/>
    <w:rsid w:val="005D52BD"/>
    <w:rsid w:val="005D55AB"/>
    <w:rsid w:val="005D5662"/>
    <w:rsid w:val="005D573B"/>
    <w:rsid w:val="005D5781"/>
    <w:rsid w:val="005D57AC"/>
    <w:rsid w:val="005D588D"/>
    <w:rsid w:val="005D5942"/>
    <w:rsid w:val="005D594D"/>
    <w:rsid w:val="005D5A69"/>
    <w:rsid w:val="005D6131"/>
    <w:rsid w:val="005D676E"/>
    <w:rsid w:val="005D681E"/>
    <w:rsid w:val="005D6EC8"/>
    <w:rsid w:val="005D6FA5"/>
    <w:rsid w:val="005D718F"/>
    <w:rsid w:val="005D728C"/>
    <w:rsid w:val="005D72CB"/>
    <w:rsid w:val="005D75DE"/>
    <w:rsid w:val="005D789F"/>
    <w:rsid w:val="005D78A6"/>
    <w:rsid w:val="005D7ACE"/>
    <w:rsid w:val="005D7AE4"/>
    <w:rsid w:val="005D7DCB"/>
    <w:rsid w:val="005D7E72"/>
    <w:rsid w:val="005E00A0"/>
    <w:rsid w:val="005E01E0"/>
    <w:rsid w:val="005E055C"/>
    <w:rsid w:val="005E06C0"/>
    <w:rsid w:val="005E08EF"/>
    <w:rsid w:val="005E09F0"/>
    <w:rsid w:val="005E0AA5"/>
    <w:rsid w:val="005E0AEB"/>
    <w:rsid w:val="005E0CC0"/>
    <w:rsid w:val="005E0D2F"/>
    <w:rsid w:val="005E0DD2"/>
    <w:rsid w:val="005E0E0C"/>
    <w:rsid w:val="005E0F78"/>
    <w:rsid w:val="005E0FEF"/>
    <w:rsid w:val="005E1236"/>
    <w:rsid w:val="005E1430"/>
    <w:rsid w:val="005E1457"/>
    <w:rsid w:val="005E1897"/>
    <w:rsid w:val="005E1BA7"/>
    <w:rsid w:val="005E1BEB"/>
    <w:rsid w:val="005E1CC2"/>
    <w:rsid w:val="005E1DBA"/>
    <w:rsid w:val="005E1DD1"/>
    <w:rsid w:val="005E2018"/>
    <w:rsid w:val="005E2120"/>
    <w:rsid w:val="005E2252"/>
    <w:rsid w:val="005E22D1"/>
    <w:rsid w:val="005E23B3"/>
    <w:rsid w:val="005E2405"/>
    <w:rsid w:val="005E36C7"/>
    <w:rsid w:val="005E36EF"/>
    <w:rsid w:val="005E3706"/>
    <w:rsid w:val="005E39A7"/>
    <w:rsid w:val="005E39B8"/>
    <w:rsid w:val="005E3A5C"/>
    <w:rsid w:val="005E3C3F"/>
    <w:rsid w:val="005E3E4E"/>
    <w:rsid w:val="005E412D"/>
    <w:rsid w:val="005E4400"/>
    <w:rsid w:val="005E4444"/>
    <w:rsid w:val="005E4804"/>
    <w:rsid w:val="005E494D"/>
    <w:rsid w:val="005E4B4C"/>
    <w:rsid w:val="005E4C93"/>
    <w:rsid w:val="005E4CA7"/>
    <w:rsid w:val="005E4CE8"/>
    <w:rsid w:val="005E4E2C"/>
    <w:rsid w:val="005E53B5"/>
    <w:rsid w:val="005E53D8"/>
    <w:rsid w:val="005E53F7"/>
    <w:rsid w:val="005E544C"/>
    <w:rsid w:val="005E558B"/>
    <w:rsid w:val="005E5776"/>
    <w:rsid w:val="005E5D26"/>
    <w:rsid w:val="005E6117"/>
    <w:rsid w:val="005E621F"/>
    <w:rsid w:val="005E627D"/>
    <w:rsid w:val="005E6333"/>
    <w:rsid w:val="005E6441"/>
    <w:rsid w:val="005E6690"/>
    <w:rsid w:val="005E6744"/>
    <w:rsid w:val="005E68B7"/>
    <w:rsid w:val="005E6945"/>
    <w:rsid w:val="005E69BA"/>
    <w:rsid w:val="005E6B94"/>
    <w:rsid w:val="005E6DBF"/>
    <w:rsid w:val="005E7056"/>
    <w:rsid w:val="005E722D"/>
    <w:rsid w:val="005E7381"/>
    <w:rsid w:val="005E73D0"/>
    <w:rsid w:val="005E786B"/>
    <w:rsid w:val="005E7950"/>
    <w:rsid w:val="005E7A65"/>
    <w:rsid w:val="005E7A71"/>
    <w:rsid w:val="005E7B92"/>
    <w:rsid w:val="005E7D85"/>
    <w:rsid w:val="005E7E4D"/>
    <w:rsid w:val="005F03A9"/>
    <w:rsid w:val="005F03C4"/>
    <w:rsid w:val="005F07C0"/>
    <w:rsid w:val="005F12FF"/>
    <w:rsid w:val="005F148B"/>
    <w:rsid w:val="005F14A7"/>
    <w:rsid w:val="005F1700"/>
    <w:rsid w:val="005F191A"/>
    <w:rsid w:val="005F1937"/>
    <w:rsid w:val="005F1993"/>
    <w:rsid w:val="005F19CD"/>
    <w:rsid w:val="005F1A1C"/>
    <w:rsid w:val="005F1B61"/>
    <w:rsid w:val="005F1D9E"/>
    <w:rsid w:val="005F1E0A"/>
    <w:rsid w:val="005F1E39"/>
    <w:rsid w:val="005F1EDE"/>
    <w:rsid w:val="005F20A4"/>
    <w:rsid w:val="005F24AF"/>
    <w:rsid w:val="005F24E3"/>
    <w:rsid w:val="005F24F0"/>
    <w:rsid w:val="005F25D3"/>
    <w:rsid w:val="005F2613"/>
    <w:rsid w:val="005F292C"/>
    <w:rsid w:val="005F29A3"/>
    <w:rsid w:val="005F2C54"/>
    <w:rsid w:val="005F2E70"/>
    <w:rsid w:val="005F3012"/>
    <w:rsid w:val="005F3029"/>
    <w:rsid w:val="005F30BE"/>
    <w:rsid w:val="005F31D8"/>
    <w:rsid w:val="005F3238"/>
    <w:rsid w:val="005F32F4"/>
    <w:rsid w:val="005F37C3"/>
    <w:rsid w:val="005F3900"/>
    <w:rsid w:val="005F39FB"/>
    <w:rsid w:val="005F3F66"/>
    <w:rsid w:val="005F3FD4"/>
    <w:rsid w:val="005F400D"/>
    <w:rsid w:val="005F40AB"/>
    <w:rsid w:val="005F4109"/>
    <w:rsid w:val="005F411E"/>
    <w:rsid w:val="005F4573"/>
    <w:rsid w:val="005F45FB"/>
    <w:rsid w:val="005F460D"/>
    <w:rsid w:val="005F463C"/>
    <w:rsid w:val="005F4BD0"/>
    <w:rsid w:val="005F4CF3"/>
    <w:rsid w:val="005F4DBD"/>
    <w:rsid w:val="005F4F13"/>
    <w:rsid w:val="005F5267"/>
    <w:rsid w:val="005F538A"/>
    <w:rsid w:val="005F5590"/>
    <w:rsid w:val="005F5710"/>
    <w:rsid w:val="005F59BF"/>
    <w:rsid w:val="005F59E3"/>
    <w:rsid w:val="005F59EC"/>
    <w:rsid w:val="005F5A6A"/>
    <w:rsid w:val="005F5B20"/>
    <w:rsid w:val="005F5C3A"/>
    <w:rsid w:val="005F5D7D"/>
    <w:rsid w:val="005F5DEB"/>
    <w:rsid w:val="005F5ED7"/>
    <w:rsid w:val="005F5FAD"/>
    <w:rsid w:val="005F61C3"/>
    <w:rsid w:val="005F6475"/>
    <w:rsid w:val="005F6675"/>
    <w:rsid w:val="005F66A8"/>
    <w:rsid w:val="005F6B1C"/>
    <w:rsid w:val="005F6BF7"/>
    <w:rsid w:val="005F6DB5"/>
    <w:rsid w:val="005F6E49"/>
    <w:rsid w:val="005F6F75"/>
    <w:rsid w:val="005F7142"/>
    <w:rsid w:val="005F7175"/>
    <w:rsid w:val="005F74B3"/>
    <w:rsid w:val="005F74E8"/>
    <w:rsid w:val="005F76E7"/>
    <w:rsid w:val="005F78D2"/>
    <w:rsid w:val="005F7A8A"/>
    <w:rsid w:val="005F7C25"/>
    <w:rsid w:val="005F7EC3"/>
    <w:rsid w:val="006003CE"/>
    <w:rsid w:val="0060054C"/>
    <w:rsid w:val="0060061B"/>
    <w:rsid w:val="006008C9"/>
    <w:rsid w:val="00600A68"/>
    <w:rsid w:val="00600C8A"/>
    <w:rsid w:val="00600C94"/>
    <w:rsid w:val="00600CC0"/>
    <w:rsid w:val="00600FC8"/>
    <w:rsid w:val="0060101A"/>
    <w:rsid w:val="006010F9"/>
    <w:rsid w:val="006013ED"/>
    <w:rsid w:val="0060174D"/>
    <w:rsid w:val="006018DB"/>
    <w:rsid w:val="0060195C"/>
    <w:rsid w:val="00601AA4"/>
    <w:rsid w:val="00601B16"/>
    <w:rsid w:val="00601CB3"/>
    <w:rsid w:val="00601E0A"/>
    <w:rsid w:val="00601EA5"/>
    <w:rsid w:val="00601FBA"/>
    <w:rsid w:val="006021CE"/>
    <w:rsid w:val="00602908"/>
    <w:rsid w:val="00602A00"/>
    <w:rsid w:val="00602ABD"/>
    <w:rsid w:val="00602C1D"/>
    <w:rsid w:val="00602ECB"/>
    <w:rsid w:val="00602EF3"/>
    <w:rsid w:val="00603113"/>
    <w:rsid w:val="00603308"/>
    <w:rsid w:val="006034A4"/>
    <w:rsid w:val="00603EEB"/>
    <w:rsid w:val="006040DE"/>
    <w:rsid w:val="00604459"/>
    <w:rsid w:val="0060449F"/>
    <w:rsid w:val="0060473B"/>
    <w:rsid w:val="0060490C"/>
    <w:rsid w:val="00604F3D"/>
    <w:rsid w:val="00604F74"/>
    <w:rsid w:val="0060510B"/>
    <w:rsid w:val="006051B6"/>
    <w:rsid w:val="00605398"/>
    <w:rsid w:val="006058E2"/>
    <w:rsid w:val="00606069"/>
    <w:rsid w:val="006060C1"/>
    <w:rsid w:val="006060F4"/>
    <w:rsid w:val="00606432"/>
    <w:rsid w:val="00606AD0"/>
    <w:rsid w:val="00606CAC"/>
    <w:rsid w:val="0060706A"/>
    <w:rsid w:val="006072C6"/>
    <w:rsid w:val="006074E1"/>
    <w:rsid w:val="00607514"/>
    <w:rsid w:val="006076AD"/>
    <w:rsid w:val="006076D8"/>
    <w:rsid w:val="00607819"/>
    <w:rsid w:val="0060795C"/>
    <w:rsid w:val="0061031B"/>
    <w:rsid w:val="00610496"/>
    <w:rsid w:val="00610ECF"/>
    <w:rsid w:val="0061119C"/>
    <w:rsid w:val="00611340"/>
    <w:rsid w:val="0061136F"/>
    <w:rsid w:val="006116A6"/>
    <w:rsid w:val="00611857"/>
    <w:rsid w:val="006118A3"/>
    <w:rsid w:val="00611C5C"/>
    <w:rsid w:val="00611E60"/>
    <w:rsid w:val="0061209F"/>
    <w:rsid w:val="00612107"/>
    <w:rsid w:val="0061232F"/>
    <w:rsid w:val="00612B4F"/>
    <w:rsid w:val="00612C99"/>
    <w:rsid w:val="00612CC7"/>
    <w:rsid w:val="00612E63"/>
    <w:rsid w:val="00612F13"/>
    <w:rsid w:val="00613482"/>
    <w:rsid w:val="00613C8F"/>
    <w:rsid w:val="00613F11"/>
    <w:rsid w:val="00613F8A"/>
    <w:rsid w:val="00614229"/>
    <w:rsid w:val="006142A3"/>
    <w:rsid w:val="00614652"/>
    <w:rsid w:val="00614804"/>
    <w:rsid w:val="00614ADB"/>
    <w:rsid w:val="00614C9C"/>
    <w:rsid w:val="00614EBC"/>
    <w:rsid w:val="00614F46"/>
    <w:rsid w:val="00615054"/>
    <w:rsid w:val="0061505D"/>
    <w:rsid w:val="006151D6"/>
    <w:rsid w:val="00615514"/>
    <w:rsid w:val="006155F5"/>
    <w:rsid w:val="00615701"/>
    <w:rsid w:val="006159A9"/>
    <w:rsid w:val="00615B71"/>
    <w:rsid w:val="00615BE2"/>
    <w:rsid w:val="00615D19"/>
    <w:rsid w:val="00615DD0"/>
    <w:rsid w:val="00616434"/>
    <w:rsid w:val="00616559"/>
    <w:rsid w:val="006165D7"/>
    <w:rsid w:val="006167FB"/>
    <w:rsid w:val="00616917"/>
    <w:rsid w:val="00616B06"/>
    <w:rsid w:val="00616C2D"/>
    <w:rsid w:val="00616FB5"/>
    <w:rsid w:val="00617156"/>
    <w:rsid w:val="00617442"/>
    <w:rsid w:val="00617BD9"/>
    <w:rsid w:val="00617C43"/>
    <w:rsid w:val="00617D3A"/>
    <w:rsid w:val="00617E6B"/>
    <w:rsid w:val="00617EEA"/>
    <w:rsid w:val="006205CB"/>
    <w:rsid w:val="00620693"/>
    <w:rsid w:val="00620A22"/>
    <w:rsid w:val="00620A3C"/>
    <w:rsid w:val="00620A9B"/>
    <w:rsid w:val="0062122A"/>
    <w:rsid w:val="00621445"/>
    <w:rsid w:val="006215C7"/>
    <w:rsid w:val="0062168F"/>
    <w:rsid w:val="006216AB"/>
    <w:rsid w:val="00621972"/>
    <w:rsid w:val="00621B24"/>
    <w:rsid w:val="00621CF1"/>
    <w:rsid w:val="00621DDE"/>
    <w:rsid w:val="00621E84"/>
    <w:rsid w:val="00621F20"/>
    <w:rsid w:val="00622555"/>
    <w:rsid w:val="006227C4"/>
    <w:rsid w:val="006229CC"/>
    <w:rsid w:val="00622BF6"/>
    <w:rsid w:val="00622C32"/>
    <w:rsid w:val="00622ED0"/>
    <w:rsid w:val="006230E5"/>
    <w:rsid w:val="0062325A"/>
    <w:rsid w:val="00623350"/>
    <w:rsid w:val="00623438"/>
    <w:rsid w:val="00623443"/>
    <w:rsid w:val="00623529"/>
    <w:rsid w:val="0062360F"/>
    <w:rsid w:val="006238E0"/>
    <w:rsid w:val="00623A02"/>
    <w:rsid w:val="00623C58"/>
    <w:rsid w:val="00623CAB"/>
    <w:rsid w:val="00623E01"/>
    <w:rsid w:val="00623F54"/>
    <w:rsid w:val="006246E3"/>
    <w:rsid w:val="00624C95"/>
    <w:rsid w:val="00624D93"/>
    <w:rsid w:val="00624EB3"/>
    <w:rsid w:val="00625091"/>
    <w:rsid w:val="0062555C"/>
    <w:rsid w:val="00625AD0"/>
    <w:rsid w:val="00625C68"/>
    <w:rsid w:val="00625C70"/>
    <w:rsid w:val="00625D60"/>
    <w:rsid w:val="00625E26"/>
    <w:rsid w:val="00625E9A"/>
    <w:rsid w:val="0062645E"/>
    <w:rsid w:val="006265C8"/>
    <w:rsid w:val="0062666C"/>
    <w:rsid w:val="00626914"/>
    <w:rsid w:val="00626E96"/>
    <w:rsid w:val="0062720C"/>
    <w:rsid w:val="006275DE"/>
    <w:rsid w:val="00627644"/>
    <w:rsid w:val="0062781F"/>
    <w:rsid w:val="006278E7"/>
    <w:rsid w:val="00627915"/>
    <w:rsid w:val="00627D09"/>
    <w:rsid w:val="00627D6C"/>
    <w:rsid w:val="00627EC8"/>
    <w:rsid w:val="00630035"/>
    <w:rsid w:val="006300BD"/>
    <w:rsid w:val="00630142"/>
    <w:rsid w:val="006301FD"/>
    <w:rsid w:val="00630561"/>
    <w:rsid w:val="00630A3D"/>
    <w:rsid w:val="00630C96"/>
    <w:rsid w:val="00630DED"/>
    <w:rsid w:val="00631011"/>
    <w:rsid w:val="00631031"/>
    <w:rsid w:val="006311E6"/>
    <w:rsid w:val="00631392"/>
    <w:rsid w:val="0063167D"/>
    <w:rsid w:val="00631B81"/>
    <w:rsid w:val="00631E6F"/>
    <w:rsid w:val="0063200F"/>
    <w:rsid w:val="00632147"/>
    <w:rsid w:val="006324C3"/>
    <w:rsid w:val="00632810"/>
    <w:rsid w:val="00632817"/>
    <w:rsid w:val="0063286C"/>
    <w:rsid w:val="006330AB"/>
    <w:rsid w:val="0063317A"/>
    <w:rsid w:val="0063325C"/>
    <w:rsid w:val="00633486"/>
    <w:rsid w:val="0063360C"/>
    <w:rsid w:val="0063371B"/>
    <w:rsid w:val="00633841"/>
    <w:rsid w:val="00633923"/>
    <w:rsid w:val="00633F1F"/>
    <w:rsid w:val="00633F55"/>
    <w:rsid w:val="006340AF"/>
    <w:rsid w:val="006343C1"/>
    <w:rsid w:val="006347D1"/>
    <w:rsid w:val="00634ACD"/>
    <w:rsid w:val="00634DF2"/>
    <w:rsid w:val="00634F47"/>
    <w:rsid w:val="00634FB2"/>
    <w:rsid w:val="006351BB"/>
    <w:rsid w:val="006351C5"/>
    <w:rsid w:val="006351D1"/>
    <w:rsid w:val="00635847"/>
    <w:rsid w:val="00635876"/>
    <w:rsid w:val="00635ECD"/>
    <w:rsid w:val="00635F20"/>
    <w:rsid w:val="006360B9"/>
    <w:rsid w:val="00636264"/>
    <w:rsid w:val="006367A4"/>
    <w:rsid w:val="00636BAD"/>
    <w:rsid w:val="00636E04"/>
    <w:rsid w:val="00637048"/>
    <w:rsid w:val="0063705E"/>
    <w:rsid w:val="00637106"/>
    <w:rsid w:val="0063716F"/>
    <w:rsid w:val="006372FA"/>
    <w:rsid w:val="0063744D"/>
    <w:rsid w:val="00637485"/>
    <w:rsid w:val="0063785B"/>
    <w:rsid w:val="00637AA1"/>
    <w:rsid w:val="00637D7A"/>
    <w:rsid w:val="00637E8B"/>
    <w:rsid w:val="00637FA7"/>
    <w:rsid w:val="00637FAE"/>
    <w:rsid w:val="00637FC7"/>
    <w:rsid w:val="0064015C"/>
    <w:rsid w:val="0064028A"/>
    <w:rsid w:val="00640381"/>
    <w:rsid w:val="00640392"/>
    <w:rsid w:val="006405BC"/>
    <w:rsid w:val="006405E3"/>
    <w:rsid w:val="00640603"/>
    <w:rsid w:val="00640710"/>
    <w:rsid w:val="006409C3"/>
    <w:rsid w:val="00640B4C"/>
    <w:rsid w:val="00640CC9"/>
    <w:rsid w:val="006415B3"/>
    <w:rsid w:val="00641620"/>
    <w:rsid w:val="00641663"/>
    <w:rsid w:val="00641A55"/>
    <w:rsid w:val="00641EBA"/>
    <w:rsid w:val="00642070"/>
    <w:rsid w:val="006421EE"/>
    <w:rsid w:val="00642584"/>
    <w:rsid w:val="006425BE"/>
    <w:rsid w:val="00642859"/>
    <w:rsid w:val="0064289F"/>
    <w:rsid w:val="00642902"/>
    <w:rsid w:val="0064292F"/>
    <w:rsid w:val="0064295A"/>
    <w:rsid w:val="00642978"/>
    <w:rsid w:val="00642B16"/>
    <w:rsid w:val="00642C0D"/>
    <w:rsid w:val="00642F6B"/>
    <w:rsid w:val="0064315C"/>
    <w:rsid w:val="00643172"/>
    <w:rsid w:val="006433D6"/>
    <w:rsid w:val="00643954"/>
    <w:rsid w:val="0064399B"/>
    <w:rsid w:val="00643CBD"/>
    <w:rsid w:val="00643D02"/>
    <w:rsid w:val="00643DC3"/>
    <w:rsid w:val="00643E9E"/>
    <w:rsid w:val="00644045"/>
    <w:rsid w:val="006441C3"/>
    <w:rsid w:val="00644211"/>
    <w:rsid w:val="00644336"/>
    <w:rsid w:val="00644440"/>
    <w:rsid w:val="00644622"/>
    <w:rsid w:val="0064480E"/>
    <w:rsid w:val="00644A73"/>
    <w:rsid w:val="00644E35"/>
    <w:rsid w:val="00644E83"/>
    <w:rsid w:val="006450A1"/>
    <w:rsid w:val="00645191"/>
    <w:rsid w:val="00645303"/>
    <w:rsid w:val="00645718"/>
    <w:rsid w:val="006459B7"/>
    <w:rsid w:val="00645B6C"/>
    <w:rsid w:val="00645C67"/>
    <w:rsid w:val="00645CA7"/>
    <w:rsid w:val="00645E91"/>
    <w:rsid w:val="00646404"/>
    <w:rsid w:val="00646643"/>
    <w:rsid w:val="0064668E"/>
    <w:rsid w:val="00646826"/>
    <w:rsid w:val="00646DB3"/>
    <w:rsid w:val="00646E2F"/>
    <w:rsid w:val="00646E8D"/>
    <w:rsid w:val="0064745E"/>
    <w:rsid w:val="006474D7"/>
    <w:rsid w:val="00647651"/>
    <w:rsid w:val="00647753"/>
    <w:rsid w:val="00647888"/>
    <w:rsid w:val="006479C5"/>
    <w:rsid w:val="00647B6B"/>
    <w:rsid w:val="00647CBB"/>
    <w:rsid w:val="00647EAC"/>
    <w:rsid w:val="00647F41"/>
    <w:rsid w:val="00647FC2"/>
    <w:rsid w:val="00647FC9"/>
    <w:rsid w:val="00650148"/>
    <w:rsid w:val="00650690"/>
    <w:rsid w:val="006507D6"/>
    <w:rsid w:val="0065090F"/>
    <w:rsid w:val="006509FB"/>
    <w:rsid w:val="00650B9C"/>
    <w:rsid w:val="00650BAD"/>
    <w:rsid w:val="00650DD5"/>
    <w:rsid w:val="00651017"/>
    <w:rsid w:val="00651072"/>
    <w:rsid w:val="006512A9"/>
    <w:rsid w:val="0065138B"/>
    <w:rsid w:val="006515F4"/>
    <w:rsid w:val="00651632"/>
    <w:rsid w:val="006518A5"/>
    <w:rsid w:val="00651A64"/>
    <w:rsid w:val="00651B41"/>
    <w:rsid w:val="00651C10"/>
    <w:rsid w:val="00651E26"/>
    <w:rsid w:val="00651FBF"/>
    <w:rsid w:val="0065224D"/>
    <w:rsid w:val="0065234A"/>
    <w:rsid w:val="00652AC9"/>
    <w:rsid w:val="00652D28"/>
    <w:rsid w:val="0065307E"/>
    <w:rsid w:val="0065321F"/>
    <w:rsid w:val="00653456"/>
    <w:rsid w:val="00653517"/>
    <w:rsid w:val="0065354A"/>
    <w:rsid w:val="006535D9"/>
    <w:rsid w:val="006537FD"/>
    <w:rsid w:val="00653949"/>
    <w:rsid w:val="006539A4"/>
    <w:rsid w:val="00653A86"/>
    <w:rsid w:val="00653C99"/>
    <w:rsid w:val="00653CAC"/>
    <w:rsid w:val="00653DF2"/>
    <w:rsid w:val="00653E7A"/>
    <w:rsid w:val="00653ED8"/>
    <w:rsid w:val="00653F45"/>
    <w:rsid w:val="0065409B"/>
    <w:rsid w:val="006540C9"/>
    <w:rsid w:val="0065417E"/>
    <w:rsid w:val="0065477F"/>
    <w:rsid w:val="006549D2"/>
    <w:rsid w:val="006549F8"/>
    <w:rsid w:val="00654A4F"/>
    <w:rsid w:val="00654BE0"/>
    <w:rsid w:val="00654CA8"/>
    <w:rsid w:val="00654E7C"/>
    <w:rsid w:val="00654EE7"/>
    <w:rsid w:val="00654F6D"/>
    <w:rsid w:val="00654F8D"/>
    <w:rsid w:val="00655118"/>
    <w:rsid w:val="0065582F"/>
    <w:rsid w:val="0065592D"/>
    <w:rsid w:val="00655B48"/>
    <w:rsid w:val="00655F68"/>
    <w:rsid w:val="0065613D"/>
    <w:rsid w:val="006562B6"/>
    <w:rsid w:val="006562D5"/>
    <w:rsid w:val="0065631F"/>
    <w:rsid w:val="006563B3"/>
    <w:rsid w:val="006563C7"/>
    <w:rsid w:val="006563D2"/>
    <w:rsid w:val="00656546"/>
    <w:rsid w:val="0065655D"/>
    <w:rsid w:val="00656750"/>
    <w:rsid w:val="006569BC"/>
    <w:rsid w:val="006569EB"/>
    <w:rsid w:val="006569EF"/>
    <w:rsid w:val="00656E64"/>
    <w:rsid w:val="00657223"/>
    <w:rsid w:val="0065751D"/>
    <w:rsid w:val="006576D7"/>
    <w:rsid w:val="006577A7"/>
    <w:rsid w:val="00657847"/>
    <w:rsid w:val="00657873"/>
    <w:rsid w:val="00657B40"/>
    <w:rsid w:val="00657DBE"/>
    <w:rsid w:val="00657F2D"/>
    <w:rsid w:val="0066009C"/>
    <w:rsid w:val="00660128"/>
    <w:rsid w:val="006601DF"/>
    <w:rsid w:val="00660257"/>
    <w:rsid w:val="006606D2"/>
    <w:rsid w:val="00660757"/>
    <w:rsid w:val="00660E04"/>
    <w:rsid w:val="00660F76"/>
    <w:rsid w:val="00661439"/>
    <w:rsid w:val="00661456"/>
    <w:rsid w:val="0066177A"/>
    <w:rsid w:val="00661C7F"/>
    <w:rsid w:val="00661E55"/>
    <w:rsid w:val="00661EDA"/>
    <w:rsid w:val="0066211F"/>
    <w:rsid w:val="0066217C"/>
    <w:rsid w:val="00662204"/>
    <w:rsid w:val="00662281"/>
    <w:rsid w:val="00662585"/>
    <w:rsid w:val="00662642"/>
    <w:rsid w:val="006626BB"/>
    <w:rsid w:val="00662E80"/>
    <w:rsid w:val="0066316E"/>
    <w:rsid w:val="006631C0"/>
    <w:rsid w:val="006631D2"/>
    <w:rsid w:val="006634F1"/>
    <w:rsid w:val="006635EC"/>
    <w:rsid w:val="00663778"/>
    <w:rsid w:val="00663805"/>
    <w:rsid w:val="00663883"/>
    <w:rsid w:val="00663A2F"/>
    <w:rsid w:val="00663BBA"/>
    <w:rsid w:val="00663D2D"/>
    <w:rsid w:val="00663DBF"/>
    <w:rsid w:val="00663E05"/>
    <w:rsid w:val="00663E10"/>
    <w:rsid w:val="00663E2E"/>
    <w:rsid w:val="00663EA1"/>
    <w:rsid w:val="00663F18"/>
    <w:rsid w:val="006642E0"/>
    <w:rsid w:val="006647D1"/>
    <w:rsid w:val="00664CCC"/>
    <w:rsid w:val="00664D10"/>
    <w:rsid w:val="00664D17"/>
    <w:rsid w:val="00664E0E"/>
    <w:rsid w:val="00664F0E"/>
    <w:rsid w:val="00664F85"/>
    <w:rsid w:val="006655B4"/>
    <w:rsid w:val="0066571B"/>
    <w:rsid w:val="00665C30"/>
    <w:rsid w:val="00665C39"/>
    <w:rsid w:val="006661DF"/>
    <w:rsid w:val="0066646F"/>
    <w:rsid w:val="00666546"/>
    <w:rsid w:val="00666AA1"/>
    <w:rsid w:val="00666AE6"/>
    <w:rsid w:val="00666B11"/>
    <w:rsid w:val="00666CD6"/>
    <w:rsid w:val="00666F88"/>
    <w:rsid w:val="0066715B"/>
    <w:rsid w:val="006674AE"/>
    <w:rsid w:val="00667734"/>
    <w:rsid w:val="00667746"/>
    <w:rsid w:val="00667CD9"/>
    <w:rsid w:val="00667E4D"/>
    <w:rsid w:val="00667E6E"/>
    <w:rsid w:val="00667FA4"/>
    <w:rsid w:val="00667FCF"/>
    <w:rsid w:val="00670237"/>
    <w:rsid w:val="0067034F"/>
    <w:rsid w:val="006703B3"/>
    <w:rsid w:val="006703DC"/>
    <w:rsid w:val="006705C8"/>
    <w:rsid w:val="0067097D"/>
    <w:rsid w:val="00670AFE"/>
    <w:rsid w:val="00670B2A"/>
    <w:rsid w:val="00670C32"/>
    <w:rsid w:val="00670FFE"/>
    <w:rsid w:val="00671009"/>
    <w:rsid w:val="006713A4"/>
    <w:rsid w:val="006713CE"/>
    <w:rsid w:val="0067149E"/>
    <w:rsid w:val="0067153A"/>
    <w:rsid w:val="00671600"/>
    <w:rsid w:val="00671AC2"/>
    <w:rsid w:val="00671ECB"/>
    <w:rsid w:val="00671ECF"/>
    <w:rsid w:val="00671F06"/>
    <w:rsid w:val="00672085"/>
    <w:rsid w:val="0067266D"/>
    <w:rsid w:val="006727BC"/>
    <w:rsid w:val="00672974"/>
    <w:rsid w:val="00672B5A"/>
    <w:rsid w:val="00672FA5"/>
    <w:rsid w:val="00673114"/>
    <w:rsid w:val="00673239"/>
    <w:rsid w:val="00673253"/>
    <w:rsid w:val="0067329A"/>
    <w:rsid w:val="006733F2"/>
    <w:rsid w:val="006735CE"/>
    <w:rsid w:val="006736DA"/>
    <w:rsid w:val="0067386A"/>
    <w:rsid w:val="00673870"/>
    <w:rsid w:val="0067389D"/>
    <w:rsid w:val="00673ABA"/>
    <w:rsid w:val="00673B91"/>
    <w:rsid w:val="00673BDA"/>
    <w:rsid w:val="00673CF2"/>
    <w:rsid w:val="00673D43"/>
    <w:rsid w:val="00673D81"/>
    <w:rsid w:val="00673FCC"/>
    <w:rsid w:val="00674028"/>
    <w:rsid w:val="00674354"/>
    <w:rsid w:val="0067439E"/>
    <w:rsid w:val="006746BC"/>
    <w:rsid w:val="00674711"/>
    <w:rsid w:val="00674753"/>
    <w:rsid w:val="00674E90"/>
    <w:rsid w:val="00674FC3"/>
    <w:rsid w:val="00674FE2"/>
    <w:rsid w:val="0067500C"/>
    <w:rsid w:val="00675155"/>
    <w:rsid w:val="006753D6"/>
    <w:rsid w:val="00675828"/>
    <w:rsid w:val="00675863"/>
    <w:rsid w:val="00675933"/>
    <w:rsid w:val="00675D73"/>
    <w:rsid w:val="00675ECF"/>
    <w:rsid w:val="00675FA6"/>
    <w:rsid w:val="00676296"/>
    <w:rsid w:val="006764B9"/>
    <w:rsid w:val="0067656C"/>
    <w:rsid w:val="00676930"/>
    <w:rsid w:val="006769BB"/>
    <w:rsid w:val="00676B82"/>
    <w:rsid w:val="00676D49"/>
    <w:rsid w:val="00677151"/>
    <w:rsid w:val="00677162"/>
    <w:rsid w:val="00677212"/>
    <w:rsid w:val="0067722F"/>
    <w:rsid w:val="00677402"/>
    <w:rsid w:val="00677428"/>
    <w:rsid w:val="00677DE2"/>
    <w:rsid w:val="00677DEC"/>
    <w:rsid w:val="00677EC0"/>
    <w:rsid w:val="00677F81"/>
    <w:rsid w:val="00680104"/>
    <w:rsid w:val="006803E4"/>
    <w:rsid w:val="00680436"/>
    <w:rsid w:val="00680541"/>
    <w:rsid w:val="006807F4"/>
    <w:rsid w:val="00680CEB"/>
    <w:rsid w:val="006812C6"/>
    <w:rsid w:val="0068136C"/>
    <w:rsid w:val="006814A3"/>
    <w:rsid w:val="006815D0"/>
    <w:rsid w:val="006815D7"/>
    <w:rsid w:val="00681973"/>
    <w:rsid w:val="00681A60"/>
    <w:rsid w:val="00681C32"/>
    <w:rsid w:val="00681E36"/>
    <w:rsid w:val="006820BB"/>
    <w:rsid w:val="006823D0"/>
    <w:rsid w:val="006825C0"/>
    <w:rsid w:val="00682892"/>
    <w:rsid w:val="00682BB7"/>
    <w:rsid w:val="00682D0A"/>
    <w:rsid w:val="00682DFE"/>
    <w:rsid w:val="00682E89"/>
    <w:rsid w:val="00682EC4"/>
    <w:rsid w:val="00683266"/>
    <w:rsid w:val="0068340C"/>
    <w:rsid w:val="00683419"/>
    <w:rsid w:val="00683425"/>
    <w:rsid w:val="006836A3"/>
    <w:rsid w:val="00683836"/>
    <w:rsid w:val="006840AA"/>
    <w:rsid w:val="0068410C"/>
    <w:rsid w:val="00684158"/>
    <w:rsid w:val="006842CC"/>
    <w:rsid w:val="006847FE"/>
    <w:rsid w:val="00684ED5"/>
    <w:rsid w:val="00684EF0"/>
    <w:rsid w:val="00684F9A"/>
    <w:rsid w:val="00684FB1"/>
    <w:rsid w:val="0068511D"/>
    <w:rsid w:val="00685B1D"/>
    <w:rsid w:val="00685E0E"/>
    <w:rsid w:val="00685ED9"/>
    <w:rsid w:val="00686469"/>
    <w:rsid w:val="006865C3"/>
    <w:rsid w:val="00686740"/>
    <w:rsid w:val="00686850"/>
    <w:rsid w:val="00686968"/>
    <w:rsid w:val="00686AB3"/>
    <w:rsid w:val="00686BD2"/>
    <w:rsid w:val="00686D14"/>
    <w:rsid w:val="00686E3B"/>
    <w:rsid w:val="00686F6B"/>
    <w:rsid w:val="00686FA8"/>
    <w:rsid w:val="00687100"/>
    <w:rsid w:val="00687358"/>
    <w:rsid w:val="00687362"/>
    <w:rsid w:val="0068753A"/>
    <w:rsid w:val="00687729"/>
    <w:rsid w:val="00687A9D"/>
    <w:rsid w:val="00687B8C"/>
    <w:rsid w:val="00687CBC"/>
    <w:rsid w:val="00687D4D"/>
    <w:rsid w:val="00687E29"/>
    <w:rsid w:val="0069043E"/>
    <w:rsid w:val="006906D1"/>
    <w:rsid w:val="006908EB"/>
    <w:rsid w:val="006908EC"/>
    <w:rsid w:val="00690D60"/>
    <w:rsid w:val="00690FF0"/>
    <w:rsid w:val="0069124A"/>
    <w:rsid w:val="006918AA"/>
    <w:rsid w:val="00691915"/>
    <w:rsid w:val="00691B5B"/>
    <w:rsid w:val="00691BE7"/>
    <w:rsid w:val="00691C0C"/>
    <w:rsid w:val="00691D63"/>
    <w:rsid w:val="00691DC6"/>
    <w:rsid w:val="0069207F"/>
    <w:rsid w:val="00692339"/>
    <w:rsid w:val="00692757"/>
    <w:rsid w:val="00692B2A"/>
    <w:rsid w:val="00692B88"/>
    <w:rsid w:val="00692C39"/>
    <w:rsid w:val="00693027"/>
    <w:rsid w:val="006931D6"/>
    <w:rsid w:val="006933F9"/>
    <w:rsid w:val="00693599"/>
    <w:rsid w:val="0069383C"/>
    <w:rsid w:val="00693934"/>
    <w:rsid w:val="00693C2C"/>
    <w:rsid w:val="00693D2B"/>
    <w:rsid w:val="0069409B"/>
    <w:rsid w:val="00694129"/>
    <w:rsid w:val="0069436F"/>
    <w:rsid w:val="006944FA"/>
    <w:rsid w:val="0069492A"/>
    <w:rsid w:val="00694A1C"/>
    <w:rsid w:val="00694A9D"/>
    <w:rsid w:val="00694D61"/>
    <w:rsid w:val="00694ED5"/>
    <w:rsid w:val="00695562"/>
    <w:rsid w:val="0069587B"/>
    <w:rsid w:val="006958BB"/>
    <w:rsid w:val="00695D09"/>
    <w:rsid w:val="00695E0E"/>
    <w:rsid w:val="00695FFA"/>
    <w:rsid w:val="0069694B"/>
    <w:rsid w:val="006969A6"/>
    <w:rsid w:val="00696A53"/>
    <w:rsid w:val="00696ACD"/>
    <w:rsid w:val="00696F93"/>
    <w:rsid w:val="006970FC"/>
    <w:rsid w:val="006972D7"/>
    <w:rsid w:val="0069793A"/>
    <w:rsid w:val="00697F35"/>
    <w:rsid w:val="00697F3D"/>
    <w:rsid w:val="006A01FE"/>
    <w:rsid w:val="006A053D"/>
    <w:rsid w:val="006A0848"/>
    <w:rsid w:val="006A0877"/>
    <w:rsid w:val="006A0910"/>
    <w:rsid w:val="006A0B76"/>
    <w:rsid w:val="006A0B79"/>
    <w:rsid w:val="006A0C49"/>
    <w:rsid w:val="006A0D86"/>
    <w:rsid w:val="006A0DC0"/>
    <w:rsid w:val="006A0F39"/>
    <w:rsid w:val="006A0F74"/>
    <w:rsid w:val="006A107E"/>
    <w:rsid w:val="006A13EE"/>
    <w:rsid w:val="006A15AA"/>
    <w:rsid w:val="006A15C7"/>
    <w:rsid w:val="006A18E1"/>
    <w:rsid w:val="006A19F9"/>
    <w:rsid w:val="006A2283"/>
    <w:rsid w:val="006A236D"/>
    <w:rsid w:val="006A24DF"/>
    <w:rsid w:val="006A2553"/>
    <w:rsid w:val="006A270D"/>
    <w:rsid w:val="006A28A5"/>
    <w:rsid w:val="006A2B7C"/>
    <w:rsid w:val="006A3298"/>
    <w:rsid w:val="006A32D6"/>
    <w:rsid w:val="006A35FF"/>
    <w:rsid w:val="006A3641"/>
    <w:rsid w:val="006A36B8"/>
    <w:rsid w:val="006A3A1E"/>
    <w:rsid w:val="006A3A68"/>
    <w:rsid w:val="006A3F1F"/>
    <w:rsid w:val="006A3FCF"/>
    <w:rsid w:val="006A427B"/>
    <w:rsid w:val="006A430B"/>
    <w:rsid w:val="006A45C3"/>
    <w:rsid w:val="006A4A73"/>
    <w:rsid w:val="006A4BA8"/>
    <w:rsid w:val="006A4CDB"/>
    <w:rsid w:val="006A4D3E"/>
    <w:rsid w:val="006A4F26"/>
    <w:rsid w:val="006A5034"/>
    <w:rsid w:val="006A5060"/>
    <w:rsid w:val="006A509D"/>
    <w:rsid w:val="006A52C1"/>
    <w:rsid w:val="006A5510"/>
    <w:rsid w:val="006A552A"/>
    <w:rsid w:val="006A5A10"/>
    <w:rsid w:val="006A5B8D"/>
    <w:rsid w:val="006A5CF8"/>
    <w:rsid w:val="006A5DB2"/>
    <w:rsid w:val="006A6023"/>
    <w:rsid w:val="006A604E"/>
    <w:rsid w:val="006A6181"/>
    <w:rsid w:val="006A62F0"/>
    <w:rsid w:val="006A6456"/>
    <w:rsid w:val="006A64F0"/>
    <w:rsid w:val="006A6A1E"/>
    <w:rsid w:val="006A6AAC"/>
    <w:rsid w:val="006A6AD2"/>
    <w:rsid w:val="006A6D83"/>
    <w:rsid w:val="006A6E0B"/>
    <w:rsid w:val="006A6E46"/>
    <w:rsid w:val="006A7194"/>
    <w:rsid w:val="006A726B"/>
    <w:rsid w:val="006A72BB"/>
    <w:rsid w:val="006A77E5"/>
    <w:rsid w:val="006A7AAA"/>
    <w:rsid w:val="006A7B5A"/>
    <w:rsid w:val="006B008E"/>
    <w:rsid w:val="006B00C5"/>
    <w:rsid w:val="006B01AB"/>
    <w:rsid w:val="006B0278"/>
    <w:rsid w:val="006B0426"/>
    <w:rsid w:val="006B0612"/>
    <w:rsid w:val="006B0616"/>
    <w:rsid w:val="006B0753"/>
    <w:rsid w:val="006B0A0F"/>
    <w:rsid w:val="006B0B90"/>
    <w:rsid w:val="006B0C44"/>
    <w:rsid w:val="006B0CF0"/>
    <w:rsid w:val="006B0E83"/>
    <w:rsid w:val="006B117E"/>
    <w:rsid w:val="006B11B7"/>
    <w:rsid w:val="006B164B"/>
    <w:rsid w:val="006B1804"/>
    <w:rsid w:val="006B1B1B"/>
    <w:rsid w:val="006B1BDF"/>
    <w:rsid w:val="006B1C3A"/>
    <w:rsid w:val="006B202B"/>
    <w:rsid w:val="006B213E"/>
    <w:rsid w:val="006B228B"/>
    <w:rsid w:val="006B231A"/>
    <w:rsid w:val="006B2577"/>
    <w:rsid w:val="006B26C8"/>
    <w:rsid w:val="006B2713"/>
    <w:rsid w:val="006B27FF"/>
    <w:rsid w:val="006B281F"/>
    <w:rsid w:val="006B2E84"/>
    <w:rsid w:val="006B2F55"/>
    <w:rsid w:val="006B30B9"/>
    <w:rsid w:val="006B319D"/>
    <w:rsid w:val="006B31F8"/>
    <w:rsid w:val="006B321B"/>
    <w:rsid w:val="006B3332"/>
    <w:rsid w:val="006B3418"/>
    <w:rsid w:val="006B355A"/>
    <w:rsid w:val="006B37B3"/>
    <w:rsid w:val="006B37C8"/>
    <w:rsid w:val="006B3B9E"/>
    <w:rsid w:val="006B3CC2"/>
    <w:rsid w:val="006B3E22"/>
    <w:rsid w:val="006B3FD1"/>
    <w:rsid w:val="006B418E"/>
    <w:rsid w:val="006B48F6"/>
    <w:rsid w:val="006B4AAA"/>
    <w:rsid w:val="006B4CC8"/>
    <w:rsid w:val="006B4EF8"/>
    <w:rsid w:val="006B53CC"/>
    <w:rsid w:val="006B5759"/>
    <w:rsid w:val="006B57B7"/>
    <w:rsid w:val="006B580F"/>
    <w:rsid w:val="006B5B3C"/>
    <w:rsid w:val="006B5C3B"/>
    <w:rsid w:val="006B5CA8"/>
    <w:rsid w:val="006B62D7"/>
    <w:rsid w:val="006B6382"/>
    <w:rsid w:val="006B661B"/>
    <w:rsid w:val="006B68F5"/>
    <w:rsid w:val="006B6C0D"/>
    <w:rsid w:val="006B6C7F"/>
    <w:rsid w:val="006B6E68"/>
    <w:rsid w:val="006B6F93"/>
    <w:rsid w:val="006B6FA1"/>
    <w:rsid w:val="006B73BF"/>
    <w:rsid w:val="006B7416"/>
    <w:rsid w:val="006B75A6"/>
    <w:rsid w:val="006B771D"/>
    <w:rsid w:val="006B77FF"/>
    <w:rsid w:val="006B7891"/>
    <w:rsid w:val="006B7AEA"/>
    <w:rsid w:val="006B7B28"/>
    <w:rsid w:val="006B7C29"/>
    <w:rsid w:val="006B7E38"/>
    <w:rsid w:val="006B7E52"/>
    <w:rsid w:val="006C01EC"/>
    <w:rsid w:val="006C0534"/>
    <w:rsid w:val="006C0542"/>
    <w:rsid w:val="006C05C8"/>
    <w:rsid w:val="006C0653"/>
    <w:rsid w:val="006C0877"/>
    <w:rsid w:val="006C0AC7"/>
    <w:rsid w:val="006C0BD0"/>
    <w:rsid w:val="006C0D04"/>
    <w:rsid w:val="006C1550"/>
    <w:rsid w:val="006C15CE"/>
    <w:rsid w:val="006C19B7"/>
    <w:rsid w:val="006C1A19"/>
    <w:rsid w:val="006C1A23"/>
    <w:rsid w:val="006C1B62"/>
    <w:rsid w:val="006C1B8A"/>
    <w:rsid w:val="006C1FBF"/>
    <w:rsid w:val="006C2253"/>
    <w:rsid w:val="006C2408"/>
    <w:rsid w:val="006C249A"/>
    <w:rsid w:val="006C28D7"/>
    <w:rsid w:val="006C2A0F"/>
    <w:rsid w:val="006C2E2B"/>
    <w:rsid w:val="006C2FBB"/>
    <w:rsid w:val="006C3078"/>
    <w:rsid w:val="006C3161"/>
    <w:rsid w:val="006C3252"/>
    <w:rsid w:val="006C32AD"/>
    <w:rsid w:val="006C38FB"/>
    <w:rsid w:val="006C397F"/>
    <w:rsid w:val="006C3DDE"/>
    <w:rsid w:val="006C3E37"/>
    <w:rsid w:val="006C4010"/>
    <w:rsid w:val="006C407A"/>
    <w:rsid w:val="006C412A"/>
    <w:rsid w:val="006C4216"/>
    <w:rsid w:val="006C435B"/>
    <w:rsid w:val="006C4369"/>
    <w:rsid w:val="006C43A8"/>
    <w:rsid w:val="006C448D"/>
    <w:rsid w:val="006C4898"/>
    <w:rsid w:val="006C4EC4"/>
    <w:rsid w:val="006C506B"/>
    <w:rsid w:val="006C5079"/>
    <w:rsid w:val="006C517E"/>
    <w:rsid w:val="006C51AC"/>
    <w:rsid w:val="006C54B7"/>
    <w:rsid w:val="006C5515"/>
    <w:rsid w:val="006C553C"/>
    <w:rsid w:val="006C581D"/>
    <w:rsid w:val="006C5839"/>
    <w:rsid w:val="006C6275"/>
    <w:rsid w:val="006C6457"/>
    <w:rsid w:val="006C6669"/>
    <w:rsid w:val="006C6A0A"/>
    <w:rsid w:val="006C6A1A"/>
    <w:rsid w:val="006C6A98"/>
    <w:rsid w:val="006C7201"/>
    <w:rsid w:val="006C7228"/>
    <w:rsid w:val="006C72C9"/>
    <w:rsid w:val="006C7316"/>
    <w:rsid w:val="006C7335"/>
    <w:rsid w:val="006C73C9"/>
    <w:rsid w:val="006C75A3"/>
    <w:rsid w:val="006C761E"/>
    <w:rsid w:val="006C7631"/>
    <w:rsid w:val="006C78CF"/>
    <w:rsid w:val="006C7909"/>
    <w:rsid w:val="006C7AEE"/>
    <w:rsid w:val="006C7B84"/>
    <w:rsid w:val="006C7D65"/>
    <w:rsid w:val="006D004F"/>
    <w:rsid w:val="006D038A"/>
    <w:rsid w:val="006D0513"/>
    <w:rsid w:val="006D0C2B"/>
    <w:rsid w:val="006D0C5D"/>
    <w:rsid w:val="006D0D81"/>
    <w:rsid w:val="006D0F2A"/>
    <w:rsid w:val="006D116E"/>
    <w:rsid w:val="006D15FB"/>
    <w:rsid w:val="006D1644"/>
    <w:rsid w:val="006D16DC"/>
    <w:rsid w:val="006D19F0"/>
    <w:rsid w:val="006D1B55"/>
    <w:rsid w:val="006D1B81"/>
    <w:rsid w:val="006D1F1E"/>
    <w:rsid w:val="006D2379"/>
    <w:rsid w:val="006D245F"/>
    <w:rsid w:val="006D24C2"/>
    <w:rsid w:val="006D2DB0"/>
    <w:rsid w:val="006D2F3F"/>
    <w:rsid w:val="006D2F5B"/>
    <w:rsid w:val="006D333A"/>
    <w:rsid w:val="006D3A24"/>
    <w:rsid w:val="006D3D6E"/>
    <w:rsid w:val="006D3F47"/>
    <w:rsid w:val="006D3F99"/>
    <w:rsid w:val="006D3FB5"/>
    <w:rsid w:val="006D3FD4"/>
    <w:rsid w:val="006D4081"/>
    <w:rsid w:val="006D42AF"/>
    <w:rsid w:val="006D4484"/>
    <w:rsid w:val="006D452B"/>
    <w:rsid w:val="006D452C"/>
    <w:rsid w:val="006D47B8"/>
    <w:rsid w:val="006D4935"/>
    <w:rsid w:val="006D49A6"/>
    <w:rsid w:val="006D4D0B"/>
    <w:rsid w:val="006D4DE2"/>
    <w:rsid w:val="006D4FE8"/>
    <w:rsid w:val="006D51BC"/>
    <w:rsid w:val="006D51D5"/>
    <w:rsid w:val="006D5214"/>
    <w:rsid w:val="006D5319"/>
    <w:rsid w:val="006D53F6"/>
    <w:rsid w:val="006D594F"/>
    <w:rsid w:val="006D5B13"/>
    <w:rsid w:val="006D5BA3"/>
    <w:rsid w:val="006D5C8C"/>
    <w:rsid w:val="006D5E7C"/>
    <w:rsid w:val="006D616A"/>
    <w:rsid w:val="006D61E3"/>
    <w:rsid w:val="006D6BD9"/>
    <w:rsid w:val="006D6C0F"/>
    <w:rsid w:val="006D719B"/>
    <w:rsid w:val="006D71BB"/>
    <w:rsid w:val="006D7380"/>
    <w:rsid w:val="006D7391"/>
    <w:rsid w:val="006D7436"/>
    <w:rsid w:val="006D76AE"/>
    <w:rsid w:val="006D7D59"/>
    <w:rsid w:val="006E0114"/>
    <w:rsid w:val="006E02B7"/>
    <w:rsid w:val="006E040E"/>
    <w:rsid w:val="006E04B6"/>
    <w:rsid w:val="006E07DD"/>
    <w:rsid w:val="006E0814"/>
    <w:rsid w:val="006E0829"/>
    <w:rsid w:val="006E0AD9"/>
    <w:rsid w:val="006E0C44"/>
    <w:rsid w:val="006E0C47"/>
    <w:rsid w:val="006E0CB7"/>
    <w:rsid w:val="006E0D4C"/>
    <w:rsid w:val="006E0D7D"/>
    <w:rsid w:val="006E0E3A"/>
    <w:rsid w:val="006E0EA5"/>
    <w:rsid w:val="006E0EDC"/>
    <w:rsid w:val="006E10C8"/>
    <w:rsid w:val="006E127A"/>
    <w:rsid w:val="006E1348"/>
    <w:rsid w:val="006E1410"/>
    <w:rsid w:val="006E1574"/>
    <w:rsid w:val="006E1872"/>
    <w:rsid w:val="006E1890"/>
    <w:rsid w:val="006E19B6"/>
    <w:rsid w:val="006E1BFB"/>
    <w:rsid w:val="006E1EFD"/>
    <w:rsid w:val="006E213D"/>
    <w:rsid w:val="006E2173"/>
    <w:rsid w:val="006E21A8"/>
    <w:rsid w:val="006E2249"/>
    <w:rsid w:val="006E237D"/>
    <w:rsid w:val="006E2387"/>
    <w:rsid w:val="006E23E1"/>
    <w:rsid w:val="006E25D3"/>
    <w:rsid w:val="006E26A0"/>
    <w:rsid w:val="006E2969"/>
    <w:rsid w:val="006E2AE8"/>
    <w:rsid w:val="006E2C0A"/>
    <w:rsid w:val="006E2D40"/>
    <w:rsid w:val="006E2F01"/>
    <w:rsid w:val="006E2F6C"/>
    <w:rsid w:val="006E324A"/>
    <w:rsid w:val="006E32DA"/>
    <w:rsid w:val="006E34CC"/>
    <w:rsid w:val="006E363C"/>
    <w:rsid w:val="006E37A9"/>
    <w:rsid w:val="006E3962"/>
    <w:rsid w:val="006E3A0E"/>
    <w:rsid w:val="006E3A3E"/>
    <w:rsid w:val="006E3A53"/>
    <w:rsid w:val="006E3A63"/>
    <w:rsid w:val="006E40E7"/>
    <w:rsid w:val="006E4162"/>
    <w:rsid w:val="006E427F"/>
    <w:rsid w:val="006E42D9"/>
    <w:rsid w:val="006E43D2"/>
    <w:rsid w:val="006E4437"/>
    <w:rsid w:val="006E45D0"/>
    <w:rsid w:val="006E4681"/>
    <w:rsid w:val="006E4682"/>
    <w:rsid w:val="006E4B70"/>
    <w:rsid w:val="006E4D50"/>
    <w:rsid w:val="006E4DF1"/>
    <w:rsid w:val="006E4EFE"/>
    <w:rsid w:val="006E506A"/>
    <w:rsid w:val="006E52C8"/>
    <w:rsid w:val="006E540C"/>
    <w:rsid w:val="006E54A0"/>
    <w:rsid w:val="006E55F1"/>
    <w:rsid w:val="006E5831"/>
    <w:rsid w:val="006E5930"/>
    <w:rsid w:val="006E5989"/>
    <w:rsid w:val="006E5B17"/>
    <w:rsid w:val="006E5CD4"/>
    <w:rsid w:val="006E5E07"/>
    <w:rsid w:val="006E5FAB"/>
    <w:rsid w:val="006E6026"/>
    <w:rsid w:val="006E61AE"/>
    <w:rsid w:val="006E627B"/>
    <w:rsid w:val="006E62C2"/>
    <w:rsid w:val="006E645D"/>
    <w:rsid w:val="006E6554"/>
    <w:rsid w:val="006E6573"/>
    <w:rsid w:val="006E6957"/>
    <w:rsid w:val="006E6968"/>
    <w:rsid w:val="006E6A2B"/>
    <w:rsid w:val="006E6B10"/>
    <w:rsid w:val="006E6C43"/>
    <w:rsid w:val="006E6CF6"/>
    <w:rsid w:val="006E6E16"/>
    <w:rsid w:val="006E6E42"/>
    <w:rsid w:val="006E6FCE"/>
    <w:rsid w:val="006E7106"/>
    <w:rsid w:val="006E742D"/>
    <w:rsid w:val="006E7484"/>
    <w:rsid w:val="006E7914"/>
    <w:rsid w:val="006E793C"/>
    <w:rsid w:val="006E7F1B"/>
    <w:rsid w:val="006E7FFC"/>
    <w:rsid w:val="006F0654"/>
    <w:rsid w:val="006F09F4"/>
    <w:rsid w:val="006F0A17"/>
    <w:rsid w:val="006F0C60"/>
    <w:rsid w:val="006F0CBC"/>
    <w:rsid w:val="006F1248"/>
    <w:rsid w:val="006F1848"/>
    <w:rsid w:val="006F1AD3"/>
    <w:rsid w:val="006F1B34"/>
    <w:rsid w:val="006F1D62"/>
    <w:rsid w:val="006F1E3B"/>
    <w:rsid w:val="006F1FF5"/>
    <w:rsid w:val="006F21B1"/>
    <w:rsid w:val="006F2A49"/>
    <w:rsid w:val="006F2BF2"/>
    <w:rsid w:val="006F2FA3"/>
    <w:rsid w:val="006F36EC"/>
    <w:rsid w:val="006F37A4"/>
    <w:rsid w:val="006F3AD2"/>
    <w:rsid w:val="006F3D6A"/>
    <w:rsid w:val="006F3D88"/>
    <w:rsid w:val="006F4235"/>
    <w:rsid w:val="006F4493"/>
    <w:rsid w:val="006F4515"/>
    <w:rsid w:val="006F4557"/>
    <w:rsid w:val="006F46A7"/>
    <w:rsid w:val="006F488A"/>
    <w:rsid w:val="006F4BD8"/>
    <w:rsid w:val="006F4D5D"/>
    <w:rsid w:val="006F50A6"/>
    <w:rsid w:val="006F50D6"/>
    <w:rsid w:val="006F512B"/>
    <w:rsid w:val="006F5287"/>
    <w:rsid w:val="006F5342"/>
    <w:rsid w:val="006F562C"/>
    <w:rsid w:val="006F56D4"/>
    <w:rsid w:val="006F5728"/>
    <w:rsid w:val="006F59C0"/>
    <w:rsid w:val="006F5DA9"/>
    <w:rsid w:val="006F5E2B"/>
    <w:rsid w:val="006F6123"/>
    <w:rsid w:val="006F6240"/>
    <w:rsid w:val="006F68C5"/>
    <w:rsid w:val="006F69E4"/>
    <w:rsid w:val="006F6B57"/>
    <w:rsid w:val="006F6E1F"/>
    <w:rsid w:val="006F6F28"/>
    <w:rsid w:val="006F70EF"/>
    <w:rsid w:val="006F7323"/>
    <w:rsid w:val="006F7485"/>
    <w:rsid w:val="006F7715"/>
    <w:rsid w:val="006F794D"/>
    <w:rsid w:val="006F7988"/>
    <w:rsid w:val="006F7DE5"/>
    <w:rsid w:val="006F7F2D"/>
    <w:rsid w:val="007003C4"/>
    <w:rsid w:val="00700809"/>
    <w:rsid w:val="00700B32"/>
    <w:rsid w:val="00700BCB"/>
    <w:rsid w:val="00701171"/>
    <w:rsid w:val="007012C6"/>
    <w:rsid w:val="007012D8"/>
    <w:rsid w:val="007013C6"/>
    <w:rsid w:val="007014AF"/>
    <w:rsid w:val="00701588"/>
    <w:rsid w:val="007015C2"/>
    <w:rsid w:val="00701604"/>
    <w:rsid w:val="00701822"/>
    <w:rsid w:val="007018E1"/>
    <w:rsid w:val="00701AEA"/>
    <w:rsid w:val="00701D00"/>
    <w:rsid w:val="00701E4C"/>
    <w:rsid w:val="00701EE3"/>
    <w:rsid w:val="007020AB"/>
    <w:rsid w:val="007020C5"/>
    <w:rsid w:val="00702377"/>
    <w:rsid w:val="0070263C"/>
    <w:rsid w:val="0070276B"/>
    <w:rsid w:val="00702ADF"/>
    <w:rsid w:val="00702D68"/>
    <w:rsid w:val="00702D97"/>
    <w:rsid w:val="00702EF2"/>
    <w:rsid w:val="00703029"/>
    <w:rsid w:val="0070315F"/>
    <w:rsid w:val="00703194"/>
    <w:rsid w:val="007031D6"/>
    <w:rsid w:val="007031F7"/>
    <w:rsid w:val="00703540"/>
    <w:rsid w:val="007037E0"/>
    <w:rsid w:val="007038E4"/>
    <w:rsid w:val="00703AC8"/>
    <w:rsid w:val="00703CCF"/>
    <w:rsid w:val="00703D94"/>
    <w:rsid w:val="00703DFF"/>
    <w:rsid w:val="0070408D"/>
    <w:rsid w:val="00704175"/>
    <w:rsid w:val="007041A3"/>
    <w:rsid w:val="0070421C"/>
    <w:rsid w:val="007045DE"/>
    <w:rsid w:val="007046FC"/>
    <w:rsid w:val="007047CB"/>
    <w:rsid w:val="00704960"/>
    <w:rsid w:val="00704A6C"/>
    <w:rsid w:val="00704E6A"/>
    <w:rsid w:val="0070526D"/>
    <w:rsid w:val="00705504"/>
    <w:rsid w:val="00705848"/>
    <w:rsid w:val="007058F9"/>
    <w:rsid w:val="00705A72"/>
    <w:rsid w:val="00705B66"/>
    <w:rsid w:val="00705BDF"/>
    <w:rsid w:val="00705C42"/>
    <w:rsid w:val="00705D59"/>
    <w:rsid w:val="00706121"/>
    <w:rsid w:val="007062BF"/>
    <w:rsid w:val="007065C5"/>
    <w:rsid w:val="007067C8"/>
    <w:rsid w:val="00706B24"/>
    <w:rsid w:val="00706B35"/>
    <w:rsid w:val="00706B59"/>
    <w:rsid w:val="00706B94"/>
    <w:rsid w:val="00706FCA"/>
    <w:rsid w:val="00706FE2"/>
    <w:rsid w:val="007072F3"/>
    <w:rsid w:val="007077F6"/>
    <w:rsid w:val="00707997"/>
    <w:rsid w:val="00707C19"/>
    <w:rsid w:val="00707D10"/>
    <w:rsid w:val="00707ECA"/>
    <w:rsid w:val="00710131"/>
    <w:rsid w:val="0071018C"/>
    <w:rsid w:val="007102F5"/>
    <w:rsid w:val="00710408"/>
    <w:rsid w:val="0071041C"/>
    <w:rsid w:val="00710892"/>
    <w:rsid w:val="00710907"/>
    <w:rsid w:val="007109E6"/>
    <w:rsid w:val="00710A07"/>
    <w:rsid w:val="00710A3C"/>
    <w:rsid w:val="00710B69"/>
    <w:rsid w:val="00710D34"/>
    <w:rsid w:val="00710EC9"/>
    <w:rsid w:val="00711194"/>
    <w:rsid w:val="007111FA"/>
    <w:rsid w:val="00711485"/>
    <w:rsid w:val="007118CA"/>
    <w:rsid w:val="007119EC"/>
    <w:rsid w:val="00711B1D"/>
    <w:rsid w:val="00711CF7"/>
    <w:rsid w:val="00711FEC"/>
    <w:rsid w:val="0071214C"/>
    <w:rsid w:val="00712244"/>
    <w:rsid w:val="0071239B"/>
    <w:rsid w:val="0071248F"/>
    <w:rsid w:val="00712787"/>
    <w:rsid w:val="0071288E"/>
    <w:rsid w:val="00712C6E"/>
    <w:rsid w:val="00712C78"/>
    <w:rsid w:val="007130A0"/>
    <w:rsid w:val="007130D9"/>
    <w:rsid w:val="00713144"/>
    <w:rsid w:val="0071352B"/>
    <w:rsid w:val="0071370D"/>
    <w:rsid w:val="00713968"/>
    <w:rsid w:val="0071399B"/>
    <w:rsid w:val="00713EF7"/>
    <w:rsid w:val="0071415B"/>
    <w:rsid w:val="007141A2"/>
    <w:rsid w:val="00714299"/>
    <w:rsid w:val="0071445C"/>
    <w:rsid w:val="007145EB"/>
    <w:rsid w:val="0071485F"/>
    <w:rsid w:val="00714B73"/>
    <w:rsid w:val="00714B94"/>
    <w:rsid w:val="00714BFF"/>
    <w:rsid w:val="00714CAB"/>
    <w:rsid w:val="00714DF7"/>
    <w:rsid w:val="00715031"/>
    <w:rsid w:val="00715043"/>
    <w:rsid w:val="007150A9"/>
    <w:rsid w:val="007151A3"/>
    <w:rsid w:val="007151A7"/>
    <w:rsid w:val="0071537B"/>
    <w:rsid w:val="00715441"/>
    <w:rsid w:val="00715648"/>
    <w:rsid w:val="00715783"/>
    <w:rsid w:val="00715C29"/>
    <w:rsid w:val="00715C39"/>
    <w:rsid w:val="00715E09"/>
    <w:rsid w:val="00716036"/>
    <w:rsid w:val="00716212"/>
    <w:rsid w:val="0071655A"/>
    <w:rsid w:val="0071680D"/>
    <w:rsid w:val="00716C32"/>
    <w:rsid w:val="00716C65"/>
    <w:rsid w:val="00716E0A"/>
    <w:rsid w:val="00716E64"/>
    <w:rsid w:val="00717024"/>
    <w:rsid w:val="0071708A"/>
    <w:rsid w:val="007170C6"/>
    <w:rsid w:val="00717189"/>
    <w:rsid w:val="007171AE"/>
    <w:rsid w:val="007172E1"/>
    <w:rsid w:val="007174F6"/>
    <w:rsid w:val="007175E9"/>
    <w:rsid w:val="00717683"/>
    <w:rsid w:val="007177EA"/>
    <w:rsid w:val="007177EF"/>
    <w:rsid w:val="00717829"/>
    <w:rsid w:val="00717F2C"/>
    <w:rsid w:val="007200C7"/>
    <w:rsid w:val="007201D0"/>
    <w:rsid w:val="007204C0"/>
    <w:rsid w:val="00720547"/>
    <w:rsid w:val="00720896"/>
    <w:rsid w:val="007209C0"/>
    <w:rsid w:val="007209F0"/>
    <w:rsid w:val="00720A07"/>
    <w:rsid w:val="00720A8A"/>
    <w:rsid w:val="00720ACC"/>
    <w:rsid w:val="00720BC9"/>
    <w:rsid w:val="00720E68"/>
    <w:rsid w:val="00721051"/>
    <w:rsid w:val="00721070"/>
    <w:rsid w:val="0072113D"/>
    <w:rsid w:val="00721335"/>
    <w:rsid w:val="00721350"/>
    <w:rsid w:val="00721432"/>
    <w:rsid w:val="0072144C"/>
    <w:rsid w:val="00721945"/>
    <w:rsid w:val="00721A0C"/>
    <w:rsid w:val="00721A8E"/>
    <w:rsid w:val="0072246A"/>
    <w:rsid w:val="00722541"/>
    <w:rsid w:val="00722F60"/>
    <w:rsid w:val="0072340D"/>
    <w:rsid w:val="0072349C"/>
    <w:rsid w:val="007235E0"/>
    <w:rsid w:val="0072371B"/>
    <w:rsid w:val="007239BB"/>
    <w:rsid w:val="007239DD"/>
    <w:rsid w:val="00723A5C"/>
    <w:rsid w:val="00723C62"/>
    <w:rsid w:val="00723DD3"/>
    <w:rsid w:val="00723E8F"/>
    <w:rsid w:val="007244F6"/>
    <w:rsid w:val="00724535"/>
    <w:rsid w:val="00724601"/>
    <w:rsid w:val="007247BB"/>
    <w:rsid w:val="007247E3"/>
    <w:rsid w:val="007248BB"/>
    <w:rsid w:val="007248FF"/>
    <w:rsid w:val="0072490F"/>
    <w:rsid w:val="00724987"/>
    <w:rsid w:val="007249C1"/>
    <w:rsid w:val="00724A54"/>
    <w:rsid w:val="00724C1D"/>
    <w:rsid w:val="00724D48"/>
    <w:rsid w:val="00724E0B"/>
    <w:rsid w:val="00724FD4"/>
    <w:rsid w:val="0072528F"/>
    <w:rsid w:val="00725375"/>
    <w:rsid w:val="007254DC"/>
    <w:rsid w:val="0072573A"/>
    <w:rsid w:val="007257CC"/>
    <w:rsid w:val="0072587C"/>
    <w:rsid w:val="00725C02"/>
    <w:rsid w:val="00725CEF"/>
    <w:rsid w:val="00725E37"/>
    <w:rsid w:val="0072622B"/>
    <w:rsid w:val="00726316"/>
    <w:rsid w:val="0072632C"/>
    <w:rsid w:val="007264CE"/>
    <w:rsid w:val="00726543"/>
    <w:rsid w:val="007265A7"/>
    <w:rsid w:val="00726A5A"/>
    <w:rsid w:val="00726A5B"/>
    <w:rsid w:val="00726BE5"/>
    <w:rsid w:val="00726D09"/>
    <w:rsid w:val="00726DD5"/>
    <w:rsid w:val="00726DF5"/>
    <w:rsid w:val="00726E98"/>
    <w:rsid w:val="00726EA5"/>
    <w:rsid w:val="00726F18"/>
    <w:rsid w:val="00726FE6"/>
    <w:rsid w:val="0072757F"/>
    <w:rsid w:val="0072775D"/>
    <w:rsid w:val="00727B0D"/>
    <w:rsid w:val="00727BB5"/>
    <w:rsid w:val="00727CFE"/>
    <w:rsid w:val="00727DFF"/>
    <w:rsid w:val="00727EEB"/>
    <w:rsid w:val="00727FC2"/>
    <w:rsid w:val="007302BF"/>
    <w:rsid w:val="00730466"/>
    <w:rsid w:val="007304ED"/>
    <w:rsid w:val="0073064A"/>
    <w:rsid w:val="007306B7"/>
    <w:rsid w:val="007308AD"/>
    <w:rsid w:val="00730AE8"/>
    <w:rsid w:val="00730BB4"/>
    <w:rsid w:val="00730C08"/>
    <w:rsid w:val="00730D61"/>
    <w:rsid w:val="007311D3"/>
    <w:rsid w:val="0073135E"/>
    <w:rsid w:val="00731440"/>
    <w:rsid w:val="00731472"/>
    <w:rsid w:val="00731823"/>
    <w:rsid w:val="0073183F"/>
    <w:rsid w:val="00731EAA"/>
    <w:rsid w:val="00731ED9"/>
    <w:rsid w:val="0073212B"/>
    <w:rsid w:val="00732298"/>
    <w:rsid w:val="007329CB"/>
    <w:rsid w:val="00732BEB"/>
    <w:rsid w:val="00732F1A"/>
    <w:rsid w:val="0073300C"/>
    <w:rsid w:val="0073322D"/>
    <w:rsid w:val="00733331"/>
    <w:rsid w:val="0073350A"/>
    <w:rsid w:val="007335DA"/>
    <w:rsid w:val="00733717"/>
    <w:rsid w:val="007337B9"/>
    <w:rsid w:val="00733B7C"/>
    <w:rsid w:val="00733BA3"/>
    <w:rsid w:val="00733C78"/>
    <w:rsid w:val="00733E42"/>
    <w:rsid w:val="007344E1"/>
    <w:rsid w:val="007346F9"/>
    <w:rsid w:val="00734A80"/>
    <w:rsid w:val="00734A9B"/>
    <w:rsid w:val="00735359"/>
    <w:rsid w:val="007354E2"/>
    <w:rsid w:val="007356C8"/>
    <w:rsid w:val="007356D8"/>
    <w:rsid w:val="007358A1"/>
    <w:rsid w:val="007358C9"/>
    <w:rsid w:val="00735B00"/>
    <w:rsid w:val="00735CF8"/>
    <w:rsid w:val="00735E6F"/>
    <w:rsid w:val="00735F7D"/>
    <w:rsid w:val="00735FB5"/>
    <w:rsid w:val="00736388"/>
    <w:rsid w:val="007363E1"/>
    <w:rsid w:val="007367FB"/>
    <w:rsid w:val="0073682B"/>
    <w:rsid w:val="0073697F"/>
    <w:rsid w:val="00736B31"/>
    <w:rsid w:val="00736CFB"/>
    <w:rsid w:val="00736E19"/>
    <w:rsid w:val="00736E74"/>
    <w:rsid w:val="00736F58"/>
    <w:rsid w:val="00736FDE"/>
    <w:rsid w:val="0073728F"/>
    <w:rsid w:val="007372B4"/>
    <w:rsid w:val="007372E3"/>
    <w:rsid w:val="00737319"/>
    <w:rsid w:val="00737760"/>
    <w:rsid w:val="007377EB"/>
    <w:rsid w:val="0073786F"/>
    <w:rsid w:val="00737CFD"/>
    <w:rsid w:val="00737D79"/>
    <w:rsid w:val="00737DCA"/>
    <w:rsid w:val="00737FE6"/>
    <w:rsid w:val="007403C0"/>
    <w:rsid w:val="007404D2"/>
    <w:rsid w:val="0074057F"/>
    <w:rsid w:val="007405E1"/>
    <w:rsid w:val="0074089E"/>
    <w:rsid w:val="00740AD4"/>
    <w:rsid w:val="00740B44"/>
    <w:rsid w:val="00740D04"/>
    <w:rsid w:val="00740D57"/>
    <w:rsid w:val="00740E64"/>
    <w:rsid w:val="00740F0C"/>
    <w:rsid w:val="00740F31"/>
    <w:rsid w:val="0074105D"/>
    <w:rsid w:val="00741D1B"/>
    <w:rsid w:val="0074236A"/>
    <w:rsid w:val="00742491"/>
    <w:rsid w:val="0074264B"/>
    <w:rsid w:val="00742667"/>
    <w:rsid w:val="0074294A"/>
    <w:rsid w:val="007429A3"/>
    <w:rsid w:val="00742A92"/>
    <w:rsid w:val="00742C57"/>
    <w:rsid w:val="00742F04"/>
    <w:rsid w:val="007430FF"/>
    <w:rsid w:val="007431CB"/>
    <w:rsid w:val="00743259"/>
    <w:rsid w:val="007432D0"/>
    <w:rsid w:val="0074341B"/>
    <w:rsid w:val="007437BF"/>
    <w:rsid w:val="007437E3"/>
    <w:rsid w:val="00743B34"/>
    <w:rsid w:val="00743C23"/>
    <w:rsid w:val="00743C4B"/>
    <w:rsid w:val="00743C53"/>
    <w:rsid w:val="00743E17"/>
    <w:rsid w:val="00743F41"/>
    <w:rsid w:val="00744124"/>
    <w:rsid w:val="007443EC"/>
    <w:rsid w:val="00744424"/>
    <w:rsid w:val="0074447A"/>
    <w:rsid w:val="00744898"/>
    <w:rsid w:val="00744AEC"/>
    <w:rsid w:val="00744AF9"/>
    <w:rsid w:val="00744D55"/>
    <w:rsid w:val="00744F5E"/>
    <w:rsid w:val="0074508E"/>
    <w:rsid w:val="007455F0"/>
    <w:rsid w:val="00745665"/>
    <w:rsid w:val="007456E7"/>
    <w:rsid w:val="00745840"/>
    <w:rsid w:val="00745CF2"/>
    <w:rsid w:val="00745D94"/>
    <w:rsid w:val="00745DA4"/>
    <w:rsid w:val="00746025"/>
    <w:rsid w:val="007460C1"/>
    <w:rsid w:val="0074626E"/>
    <w:rsid w:val="007463C4"/>
    <w:rsid w:val="00746426"/>
    <w:rsid w:val="007464E6"/>
    <w:rsid w:val="0074678A"/>
    <w:rsid w:val="00746D7D"/>
    <w:rsid w:val="00746EF9"/>
    <w:rsid w:val="00747158"/>
    <w:rsid w:val="007474F3"/>
    <w:rsid w:val="007477C6"/>
    <w:rsid w:val="00747824"/>
    <w:rsid w:val="0074787D"/>
    <w:rsid w:val="00747E00"/>
    <w:rsid w:val="00747EC7"/>
    <w:rsid w:val="0075007F"/>
    <w:rsid w:val="00750393"/>
    <w:rsid w:val="0075049A"/>
    <w:rsid w:val="00750714"/>
    <w:rsid w:val="007507BA"/>
    <w:rsid w:val="00750B6B"/>
    <w:rsid w:val="00750BE2"/>
    <w:rsid w:val="00750D2C"/>
    <w:rsid w:val="00750F30"/>
    <w:rsid w:val="00750F71"/>
    <w:rsid w:val="007511B8"/>
    <w:rsid w:val="0075131A"/>
    <w:rsid w:val="00751F0F"/>
    <w:rsid w:val="00751FA9"/>
    <w:rsid w:val="0075200A"/>
    <w:rsid w:val="00752425"/>
    <w:rsid w:val="007524C8"/>
    <w:rsid w:val="00752561"/>
    <w:rsid w:val="00752686"/>
    <w:rsid w:val="007528CD"/>
    <w:rsid w:val="0075295B"/>
    <w:rsid w:val="007529F0"/>
    <w:rsid w:val="00752B53"/>
    <w:rsid w:val="00752D1F"/>
    <w:rsid w:val="00752FE6"/>
    <w:rsid w:val="007533A6"/>
    <w:rsid w:val="007536D9"/>
    <w:rsid w:val="007536EF"/>
    <w:rsid w:val="0075391B"/>
    <w:rsid w:val="0075397B"/>
    <w:rsid w:val="007539B0"/>
    <w:rsid w:val="00753F74"/>
    <w:rsid w:val="00753FAA"/>
    <w:rsid w:val="00754079"/>
    <w:rsid w:val="0075421C"/>
    <w:rsid w:val="0075423A"/>
    <w:rsid w:val="007543C8"/>
    <w:rsid w:val="007544B7"/>
    <w:rsid w:val="007544FD"/>
    <w:rsid w:val="00754875"/>
    <w:rsid w:val="007549A3"/>
    <w:rsid w:val="00754B7C"/>
    <w:rsid w:val="00754EF7"/>
    <w:rsid w:val="0075504A"/>
    <w:rsid w:val="00755205"/>
    <w:rsid w:val="00755223"/>
    <w:rsid w:val="0075526F"/>
    <w:rsid w:val="007552C5"/>
    <w:rsid w:val="007554DC"/>
    <w:rsid w:val="00755556"/>
    <w:rsid w:val="00755A81"/>
    <w:rsid w:val="00755B11"/>
    <w:rsid w:val="00755B7B"/>
    <w:rsid w:val="00755D2F"/>
    <w:rsid w:val="00755E79"/>
    <w:rsid w:val="007562CE"/>
    <w:rsid w:val="0075696E"/>
    <w:rsid w:val="00756B0B"/>
    <w:rsid w:val="00756B6F"/>
    <w:rsid w:val="00756C33"/>
    <w:rsid w:val="00756C61"/>
    <w:rsid w:val="00756C7C"/>
    <w:rsid w:val="00756D19"/>
    <w:rsid w:val="00756D87"/>
    <w:rsid w:val="00756EF4"/>
    <w:rsid w:val="007570EA"/>
    <w:rsid w:val="00757518"/>
    <w:rsid w:val="00757606"/>
    <w:rsid w:val="00757AD4"/>
    <w:rsid w:val="00757B47"/>
    <w:rsid w:val="00757CB5"/>
    <w:rsid w:val="00757DFA"/>
    <w:rsid w:val="00757E3C"/>
    <w:rsid w:val="00757EBB"/>
    <w:rsid w:val="00757FCD"/>
    <w:rsid w:val="007601E9"/>
    <w:rsid w:val="00760248"/>
    <w:rsid w:val="0076067A"/>
    <w:rsid w:val="00760890"/>
    <w:rsid w:val="00760A00"/>
    <w:rsid w:val="00760B9D"/>
    <w:rsid w:val="00760E0E"/>
    <w:rsid w:val="00760E82"/>
    <w:rsid w:val="00760FE9"/>
    <w:rsid w:val="007610A6"/>
    <w:rsid w:val="007610E2"/>
    <w:rsid w:val="0076121C"/>
    <w:rsid w:val="007613FB"/>
    <w:rsid w:val="007614B2"/>
    <w:rsid w:val="00761B7A"/>
    <w:rsid w:val="00761D63"/>
    <w:rsid w:val="00761E9D"/>
    <w:rsid w:val="00762145"/>
    <w:rsid w:val="00762512"/>
    <w:rsid w:val="00762534"/>
    <w:rsid w:val="00762735"/>
    <w:rsid w:val="007627AC"/>
    <w:rsid w:val="00762A8A"/>
    <w:rsid w:val="00762A98"/>
    <w:rsid w:val="00762BD7"/>
    <w:rsid w:val="00762C40"/>
    <w:rsid w:val="00763418"/>
    <w:rsid w:val="007635A9"/>
    <w:rsid w:val="00763A48"/>
    <w:rsid w:val="00763A99"/>
    <w:rsid w:val="00763DB3"/>
    <w:rsid w:val="00763E69"/>
    <w:rsid w:val="00763EFF"/>
    <w:rsid w:val="00763F16"/>
    <w:rsid w:val="00764123"/>
    <w:rsid w:val="0076412E"/>
    <w:rsid w:val="00764239"/>
    <w:rsid w:val="0076434A"/>
    <w:rsid w:val="00764429"/>
    <w:rsid w:val="00764615"/>
    <w:rsid w:val="00764CB6"/>
    <w:rsid w:val="00764D80"/>
    <w:rsid w:val="00764E91"/>
    <w:rsid w:val="007650D5"/>
    <w:rsid w:val="007651B0"/>
    <w:rsid w:val="00765287"/>
    <w:rsid w:val="00765905"/>
    <w:rsid w:val="00765A30"/>
    <w:rsid w:val="00765A91"/>
    <w:rsid w:val="00765B43"/>
    <w:rsid w:val="0076625F"/>
    <w:rsid w:val="007663B9"/>
    <w:rsid w:val="0076642E"/>
    <w:rsid w:val="00766622"/>
    <w:rsid w:val="00766668"/>
    <w:rsid w:val="00766777"/>
    <w:rsid w:val="007668A9"/>
    <w:rsid w:val="00766B61"/>
    <w:rsid w:val="0076712B"/>
    <w:rsid w:val="007671CE"/>
    <w:rsid w:val="00767430"/>
    <w:rsid w:val="0076790C"/>
    <w:rsid w:val="00767BE6"/>
    <w:rsid w:val="00770012"/>
    <w:rsid w:val="0077004A"/>
    <w:rsid w:val="007700AE"/>
    <w:rsid w:val="00770382"/>
    <w:rsid w:val="00770461"/>
    <w:rsid w:val="007704E4"/>
    <w:rsid w:val="007705F4"/>
    <w:rsid w:val="0077081A"/>
    <w:rsid w:val="00770A0A"/>
    <w:rsid w:val="00770AFB"/>
    <w:rsid w:val="00770D21"/>
    <w:rsid w:val="00770D26"/>
    <w:rsid w:val="00770ECD"/>
    <w:rsid w:val="00770FF2"/>
    <w:rsid w:val="00771121"/>
    <w:rsid w:val="007711D0"/>
    <w:rsid w:val="00771364"/>
    <w:rsid w:val="00771463"/>
    <w:rsid w:val="007716B0"/>
    <w:rsid w:val="007717C3"/>
    <w:rsid w:val="00772035"/>
    <w:rsid w:val="00772623"/>
    <w:rsid w:val="00772839"/>
    <w:rsid w:val="0077285C"/>
    <w:rsid w:val="00772A69"/>
    <w:rsid w:val="00772AB9"/>
    <w:rsid w:val="00772F0F"/>
    <w:rsid w:val="007734EF"/>
    <w:rsid w:val="007736E6"/>
    <w:rsid w:val="0077375A"/>
    <w:rsid w:val="0077379F"/>
    <w:rsid w:val="007739FB"/>
    <w:rsid w:val="00773A3B"/>
    <w:rsid w:val="00773B5F"/>
    <w:rsid w:val="00773DD7"/>
    <w:rsid w:val="00773E38"/>
    <w:rsid w:val="0077405C"/>
    <w:rsid w:val="007740FB"/>
    <w:rsid w:val="00774164"/>
    <w:rsid w:val="00774439"/>
    <w:rsid w:val="00774586"/>
    <w:rsid w:val="00774616"/>
    <w:rsid w:val="007749F0"/>
    <w:rsid w:val="00774CD7"/>
    <w:rsid w:val="00774DA1"/>
    <w:rsid w:val="00774DAD"/>
    <w:rsid w:val="00774F05"/>
    <w:rsid w:val="007755B9"/>
    <w:rsid w:val="0077574B"/>
    <w:rsid w:val="007757BB"/>
    <w:rsid w:val="0077597B"/>
    <w:rsid w:val="0077599B"/>
    <w:rsid w:val="00775A49"/>
    <w:rsid w:val="00775C63"/>
    <w:rsid w:val="00775D93"/>
    <w:rsid w:val="00775E0C"/>
    <w:rsid w:val="00775E70"/>
    <w:rsid w:val="0077603E"/>
    <w:rsid w:val="0077619C"/>
    <w:rsid w:val="00776482"/>
    <w:rsid w:val="00776571"/>
    <w:rsid w:val="00776D4D"/>
    <w:rsid w:val="00776DA5"/>
    <w:rsid w:val="00776E61"/>
    <w:rsid w:val="00776E74"/>
    <w:rsid w:val="0077709F"/>
    <w:rsid w:val="00777173"/>
    <w:rsid w:val="007772A1"/>
    <w:rsid w:val="00777340"/>
    <w:rsid w:val="007775D1"/>
    <w:rsid w:val="007775EC"/>
    <w:rsid w:val="007777BD"/>
    <w:rsid w:val="00777899"/>
    <w:rsid w:val="00777A18"/>
    <w:rsid w:val="00777B8D"/>
    <w:rsid w:val="00777CE9"/>
    <w:rsid w:val="00777D52"/>
    <w:rsid w:val="00777E4B"/>
    <w:rsid w:val="00777EB5"/>
    <w:rsid w:val="00777F28"/>
    <w:rsid w:val="007806A2"/>
    <w:rsid w:val="00780875"/>
    <w:rsid w:val="00780B98"/>
    <w:rsid w:val="00780C27"/>
    <w:rsid w:val="00780C97"/>
    <w:rsid w:val="00780E75"/>
    <w:rsid w:val="007811BF"/>
    <w:rsid w:val="00781269"/>
    <w:rsid w:val="0078127C"/>
    <w:rsid w:val="00781396"/>
    <w:rsid w:val="00781692"/>
    <w:rsid w:val="007817B4"/>
    <w:rsid w:val="00781C86"/>
    <w:rsid w:val="00781C89"/>
    <w:rsid w:val="00781CAE"/>
    <w:rsid w:val="00781D6E"/>
    <w:rsid w:val="00782068"/>
    <w:rsid w:val="007821FC"/>
    <w:rsid w:val="00782481"/>
    <w:rsid w:val="00782524"/>
    <w:rsid w:val="007828D4"/>
    <w:rsid w:val="00782AC0"/>
    <w:rsid w:val="00782BC8"/>
    <w:rsid w:val="00782BE0"/>
    <w:rsid w:val="00782D06"/>
    <w:rsid w:val="00782F14"/>
    <w:rsid w:val="0078308D"/>
    <w:rsid w:val="00783147"/>
    <w:rsid w:val="00783271"/>
    <w:rsid w:val="0078330B"/>
    <w:rsid w:val="00783323"/>
    <w:rsid w:val="00783582"/>
    <w:rsid w:val="007839F1"/>
    <w:rsid w:val="00783A52"/>
    <w:rsid w:val="00783AEA"/>
    <w:rsid w:val="00783B16"/>
    <w:rsid w:val="00783B81"/>
    <w:rsid w:val="00783BBB"/>
    <w:rsid w:val="00783C58"/>
    <w:rsid w:val="0078406E"/>
    <w:rsid w:val="007844E0"/>
    <w:rsid w:val="007845B4"/>
    <w:rsid w:val="0078467D"/>
    <w:rsid w:val="007846A7"/>
    <w:rsid w:val="007847E8"/>
    <w:rsid w:val="0078534B"/>
    <w:rsid w:val="00785386"/>
    <w:rsid w:val="00785461"/>
    <w:rsid w:val="007854F6"/>
    <w:rsid w:val="00785740"/>
    <w:rsid w:val="00785829"/>
    <w:rsid w:val="00785911"/>
    <w:rsid w:val="007859B4"/>
    <w:rsid w:val="007859B8"/>
    <w:rsid w:val="00785A09"/>
    <w:rsid w:val="00785C28"/>
    <w:rsid w:val="00785C76"/>
    <w:rsid w:val="00785E38"/>
    <w:rsid w:val="00785E55"/>
    <w:rsid w:val="00785E9A"/>
    <w:rsid w:val="00786075"/>
    <w:rsid w:val="007866FE"/>
    <w:rsid w:val="007867DD"/>
    <w:rsid w:val="00786DB1"/>
    <w:rsid w:val="007871D3"/>
    <w:rsid w:val="00787404"/>
    <w:rsid w:val="00787AF8"/>
    <w:rsid w:val="00787C8E"/>
    <w:rsid w:val="00787CBA"/>
    <w:rsid w:val="0079003C"/>
    <w:rsid w:val="0079008A"/>
    <w:rsid w:val="0079017F"/>
    <w:rsid w:val="007901E0"/>
    <w:rsid w:val="00790287"/>
    <w:rsid w:val="007902E6"/>
    <w:rsid w:val="007904FF"/>
    <w:rsid w:val="007908F6"/>
    <w:rsid w:val="00790957"/>
    <w:rsid w:val="007909E8"/>
    <w:rsid w:val="00790AB0"/>
    <w:rsid w:val="00790BF8"/>
    <w:rsid w:val="00790D68"/>
    <w:rsid w:val="00790F59"/>
    <w:rsid w:val="0079111E"/>
    <w:rsid w:val="00791210"/>
    <w:rsid w:val="0079124D"/>
    <w:rsid w:val="00791408"/>
    <w:rsid w:val="00791CF6"/>
    <w:rsid w:val="00791F48"/>
    <w:rsid w:val="00791F54"/>
    <w:rsid w:val="0079208D"/>
    <w:rsid w:val="00792121"/>
    <w:rsid w:val="00792298"/>
    <w:rsid w:val="007922B3"/>
    <w:rsid w:val="007923DA"/>
    <w:rsid w:val="0079273F"/>
    <w:rsid w:val="0079285F"/>
    <w:rsid w:val="007928D0"/>
    <w:rsid w:val="00792A77"/>
    <w:rsid w:val="00792B29"/>
    <w:rsid w:val="00792EE4"/>
    <w:rsid w:val="0079314C"/>
    <w:rsid w:val="0079324E"/>
    <w:rsid w:val="0079329A"/>
    <w:rsid w:val="0079331B"/>
    <w:rsid w:val="0079337F"/>
    <w:rsid w:val="0079351A"/>
    <w:rsid w:val="00793570"/>
    <w:rsid w:val="00793587"/>
    <w:rsid w:val="007935AC"/>
    <w:rsid w:val="007936C9"/>
    <w:rsid w:val="007937D8"/>
    <w:rsid w:val="00794326"/>
    <w:rsid w:val="00794458"/>
    <w:rsid w:val="0079445F"/>
    <w:rsid w:val="0079479C"/>
    <w:rsid w:val="007949ED"/>
    <w:rsid w:val="00794A2F"/>
    <w:rsid w:val="00794D83"/>
    <w:rsid w:val="00794E49"/>
    <w:rsid w:val="00794E54"/>
    <w:rsid w:val="00794FAA"/>
    <w:rsid w:val="00795184"/>
    <w:rsid w:val="007953DC"/>
    <w:rsid w:val="0079554E"/>
    <w:rsid w:val="007955F2"/>
    <w:rsid w:val="00795CFE"/>
    <w:rsid w:val="00795D2C"/>
    <w:rsid w:val="00795DFD"/>
    <w:rsid w:val="00795E18"/>
    <w:rsid w:val="00796047"/>
    <w:rsid w:val="00796075"/>
    <w:rsid w:val="007964C8"/>
    <w:rsid w:val="007967D5"/>
    <w:rsid w:val="00796C47"/>
    <w:rsid w:val="00796DB4"/>
    <w:rsid w:val="00796E98"/>
    <w:rsid w:val="0079700A"/>
    <w:rsid w:val="00797241"/>
    <w:rsid w:val="00797362"/>
    <w:rsid w:val="00797431"/>
    <w:rsid w:val="00797456"/>
    <w:rsid w:val="007974A1"/>
    <w:rsid w:val="007974DC"/>
    <w:rsid w:val="007975AC"/>
    <w:rsid w:val="0079778B"/>
    <w:rsid w:val="007977B7"/>
    <w:rsid w:val="00797A19"/>
    <w:rsid w:val="00797B83"/>
    <w:rsid w:val="00797F2C"/>
    <w:rsid w:val="007A010A"/>
    <w:rsid w:val="007A0138"/>
    <w:rsid w:val="007A0268"/>
    <w:rsid w:val="007A0758"/>
    <w:rsid w:val="007A099E"/>
    <w:rsid w:val="007A0CC3"/>
    <w:rsid w:val="007A0CC4"/>
    <w:rsid w:val="007A0DC4"/>
    <w:rsid w:val="007A10B2"/>
    <w:rsid w:val="007A125A"/>
    <w:rsid w:val="007A12F4"/>
    <w:rsid w:val="007A13E2"/>
    <w:rsid w:val="007A143A"/>
    <w:rsid w:val="007A1C56"/>
    <w:rsid w:val="007A1E6F"/>
    <w:rsid w:val="007A1E72"/>
    <w:rsid w:val="007A20D9"/>
    <w:rsid w:val="007A20F6"/>
    <w:rsid w:val="007A223B"/>
    <w:rsid w:val="007A22D6"/>
    <w:rsid w:val="007A23D2"/>
    <w:rsid w:val="007A2526"/>
    <w:rsid w:val="007A26D7"/>
    <w:rsid w:val="007A278E"/>
    <w:rsid w:val="007A27FD"/>
    <w:rsid w:val="007A2D9C"/>
    <w:rsid w:val="007A2DB1"/>
    <w:rsid w:val="007A2E0A"/>
    <w:rsid w:val="007A2FE3"/>
    <w:rsid w:val="007A30B0"/>
    <w:rsid w:val="007A3156"/>
    <w:rsid w:val="007A37EA"/>
    <w:rsid w:val="007A3A06"/>
    <w:rsid w:val="007A3BC1"/>
    <w:rsid w:val="007A3F3E"/>
    <w:rsid w:val="007A3F9B"/>
    <w:rsid w:val="007A3FB3"/>
    <w:rsid w:val="007A3FB4"/>
    <w:rsid w:val="007A3FFB"/>
    <w:rsid w:val="007A408B"/>
    <w:rsid w:val="007A410F"/>
    <w:rsid w:val="007A43BC"/>
    <w:rsid w:val="007A4500"/>
    <w:rsid w:val="007A4BDC"/>
    <w:rsid w:val="007A4CAA"/>
    <w:rsid w:val="007A4D88"/>
    <w:rsid w:val="007A4F03"/>
    <w:rsid w:val="007A51F6"/>
    <w:rsid w:val="007A52B1"/>
    <w:rsid w:val="007A53B9"/>
    <w:rsid w:val="007A55BD"/>
    <w:rsid w:val="007A5623"/>
    <w:rsid w:val="007A57AA"/>
    <w:rsid w:val="007A57BD"/>
    <w:rsid w:val="007A57C8"/>
    <w:rsid w:val="007A59F9"/>
    <w:rsid w:val="007A5D9E"/>
    <w:rsid w:val="007A6266"/>
    <w:rsid w:val="007A6313"/>
    <w:rsid w:val="007A6354"/>
    <w:rsid w:val="007A6414"/>
    <w:rsid w:val="007A6709"/>
    <w:rsid w:val="007A69B1"/>
    <w:rsid w:val="007A6DA1"/>
    <w:rsid w:val="007A6E49"/>
    <w:rsid w:val="007A6E94"/>
    <w:rsid w:val="007A72DC"/>
    <w:rsid w:val="007A75E1"/>
    <w:rsid w:val="007A76B7"/>
    <w:rsid w:val="007A7ADC"/>
    <w:rsid w:val="007A7F92"/>
    <w:rsid w:val="007B0034"/>
    <w:rsid w:val="007B01A5"/>
    <w:rsid w:val="007B01BF"/>
    <w:rsid w:val="007B0539"/>
    <w:rsid w:val="007B0680"/>
    <w:rsid w:val="007B087C"/>
    <w:rsid w:val="007B0896"/>
    <w:rsid w:val="007B0E43"/>
    <w:rsid w:val="007B0F4F"/>
    <w:rsid w:val="007B14FC"/>
    <w:rsid w:val="007B1826"/>
    <w:rsid w:val="007B1EAE"/>
    <w:rsid w:val="007B1F75"/>
    <w:rsid w:val="007B22CC"/>
    <w:rsid w:val="007B28C2"/>
    <w:rsid w:val="007B2996"/>
    <w:rsid w:val="007B2BF4"/>
    <w:rsid w:val="007B2E16"/>
    <w:rsid w:val="007B310B"/>
    <w:rsid w:val="007B3623"/>
    <w:rsid w:val="007B38D9"/>
    <w:rsid w:val="007B3946"/>
    <w:rsid w:val="007B397D"/>
    <w:rsid w:val="007B3A38"/>
    <w:rsid w:val="007B3F08"/>
    <w:rsid w:val="007B427B"/>
    <w:rsid w:val="007B4342"/>
    <w:rsid w:val="007B44B7"/>
    <w:rsid w:val="007B4CD3"/>
    <w:rsid w:val="007B4DF7"/>
    <w:rsid w:val="007B4EDB"/>
    <w:rsid w:val="007B4F89"/>
    <w:rsid w:val="007B586C"/>
    <w:rsid w:val="007B58B1"/>
    <w:rsid w:val="007B59B4"/>
    <w:rsid w:val="007B59BC"/>
    <w:rsid w:val="007B5A13"/>
    <w:rsid w:val="007B5B2D"/>
    <w:rsid w:val="007B5BBA"/>
    <w:rsid w:val="007B5C30"/>
    <w:rsid w:val="007B5C5A"/>
    <w:rsid w:val="007B5CA3"/>
    <w:rsid w:val="007B5EBA"/>
    <w:rsid w:val="007B5EEC"/>
    <w:rsid w:val="007B5FCD"/>
    <w:rsid w:val="007B611E"/>
    <w:rsid w:val="007B61C4"/>
    <w:rsid w:val="007B63A8"/>
    <w:rsid w:val="007B6568"/>
    <w:rsid w:val="007B6593"/>
    <w:rsid w:val="007B661B"/>
    <w:rsid w:val="007B6677"/>
    <w:rsid w:val="007B67B8"/>
    <w:rsid w:val="007B682A"/>
    <w:rsid w:val="007B6836"/>
    <w:rsid w:val="007B68CC"/>
    <w:rsid w:val="007B69C3"/>
    <w:rsid w:val="007B6C8E"/>
    <w:rsid w:val="007B6E41"/>
    <w:rsid w:val="007B6FB5"/>
    <w:rsid w:val="007B708D"/>
    <w:rsid w:val="007B7176"/>
    <w:rsid w:val="007B75E1"/>
    <w:rsid w:val="007B774A"/>
    <w:rsid w:val="007B7A7F"/>
    <w:rsid w:val="007B7B17"/>
    <w:rsid w:val="007B7B30"/>
    <w:rsid w:val="007B7B43"/>
    <w:rsid w:val="007B7E48"/>
    <w:rsid w:val="007B7EE6"/>
    <w:rsid w:val="007B7FB5"/>
    <w:rsid w:val="007C03F2"/>
    <w:rsid w:val="007C050B"/>
    <w:rsid w:val="007C05EE"/>
    <w:rsid w:val="007C05F0"/>
    <w:rsid w:val="007C07DD"/>
    <w:rsid w:val="007C0835"/>
    <w:rsid w:val="007C0A56"/>
    <w:rsid w:val="007C0A81"/>
    <w:rsid w:val="007C0B09"/>
    <w:rsid w:val="007C0D5F"/>
    <w:rsid w:val="007C18D0"/>
    <w:rsid w:val="007C194A"/>
    <w:rsid w:val="007C19A8"/>
    <w:rsid w:val="007C1A7E"/>
    <w:rsid w:val="007C1C22"/>
    <w:rsid w:val="007C1D54"/>
    <w:rsid w:val="007C1E92"/>
    <w:rsid w:val="007C1F3D"/>
    <w:rsid w:val="007C2323"/>
    <w:rsid w:val="007C24DF"/>
    <w:rsid w:val="007C2567"/>
    <w:rsid w:val="007C268F"/>
    <w:rsid w:val="007C28C2"/>
    <w:rsid w:val="007C2AC5"/>
    <w:rsid w:val="007C2C17"/>
    <w:rsid w:val="007C2CA9"/>
    <w:rsid w:val="007C2DD1"/>
    <w:rsid w:val="007C312B"/>
    <w:rsid w:val="007C3199"/>
    <w:rsid w:val="007C3263"/>
    <w:rsid w:val="007C33AF"/>
    <w:rsid w:val="007C341E"/>
    <w:rsid w:val="007C3488"/>
    <w:rsid w:val="007C369D"/>
    <w:rsid w:val="007C37FD"/>
    <w:rsid w:val="007C398D"/>
    <w:rsid w:val="007C3B10"/>
    <w:rsid w:val="007C3B2F"/>
    <w:rsid w:val="007C3D74"/>
    <w:rsid w:val="007C3F19"/>
    <w:rsid w:val="007C44C6"/>
    <w:rsid w:val="007C4684"/>
    <w:rsid w:val="007C47E6"/>
    <w:rsid w:val="007C4A74"/>
    <w:rsid w:val="007C4D82"/>
    <w:rsid w:val="007C5846"/>
    <w:rsid w:val="007C5899"/>
    <w:rsid w:val="007C5DB9"/>
    <w:rsid w:val="007C5E09"/>
    <w:rsid w:val="007C6026"/>
    <w:rsid w:val="007C622B"/>
    <w:rsid w:val="007C62BA"/>
    <w:rsid w:val="007C632B"/>
    <w:rsid w:val="007C6379"/>
    <w:rsid w:val="007C6463"/>
    <w:rsid w:val="007C6472"/>
    <w:rsid w:val="007C6904"/>
    <w:rsid w:val="007C6B94"/>
    <w:rsid w:val="007C6E7A"/>
    <w:rsid w:val="007C6EA6"/>
    <w:rsid w:val="007C6F75"/>
    <w:rsid w:val="007C723D"/>
    <w:rsid w:val="007C73B0"/>
    <w:rsid w:val="007C76F5"/>
    <w:rsid w:val="007C7850"/>
    <w:rsid w:val="007C7A0F"/>
    <w:rsid w:val="007C7D31"/>
    <w:rsid w:val="007C7D80"/>
    <w:rsid w:val="007D03CB"/>
    <w:rsid w:val="007D03F9"/>
    <w:rsid w:val="007D04C4"/>
    <w:rsid w:val="007D0508"/>
    <w:rsid w:val="007D0532"/>
    <w:rsid w:val="007D056F"/>
    <w:rsid w:val="007D0693"/>
    <w:rsid w:val="007D071B"/>
    <w:rsid w:val="007D08E3"/>
    <w:rsid w:val="007D0959"/>
    <w:rsid w:val="007D0A96"/>
    <w:rsid w:val="007D0C4B"/>
    <w:rsid w:val="007D0CA8"/>
    <w:rsid w:val="007D10D6"/>
    <w:rsid w:val="007D10E4"/>
    <w:rsid w:val="007D14E6"/>
    <w:rsid w:val="007D1590"/>
    <w:rsid w:val="007D16FA"/>
    <w:rsid w:val="007D184D"/>
    <w:rsid w:val="007D19D4"/>
    <w:rsid w:val="007D1C65"/>
    <w:rsid w:val="007D1F55"/>
    <w:rsid w:val="007D20C3"/>
    <w:rsid w:val="007D23E6"/>
    <w:rsid w:val="007D241F"/>
    <w:rsid w:val="007D24C1"/>
    <w:rsid w:val="007D268E"/>
    <w:rsid w:val="007D2EA4"/>
    <w:rsid w:val="007D2FBD"/>
    <w:rsid w:val="007D3741"/>
    <w:rsid w:val="007D3763"/>
    <w:rsid w:val="007D37DD"/>
    <w:rsid w:val="007D38CA"/>
    <w:rsid w:val="007D39CD"/>
    <w:rsid w:val="007D3B2F"/>
    <w:rsid w:val="007D3C1B"/>
    <w:rsid w:val="007D3D64"/>
    <w:rsid w:val="007D3EB5"/>
    <w:rsid w:val="007D4152"/>
    <w:rsid w:val="007D4777"/>
    <w:rsid w:val="007D47FE"/>
    <w:rsid w:val="007D4803"/>
    <w:rsid w:val="007D4848"/>
    <w:rsid w:val="007D4A4F"/>
    <w:rsid w:val="007D4B5A"/>
    <w:rsid w:val="007D4B60"/>
    <w:rsid w:val="007D4BA6"/>
    <w:rsid w:val="007D4D87"/>
    <w:rsid w:val="007D5121"/>
    <w:rsid w:val="007D5138"/>
    <w:rsid w:val="007D525F"/>
    <w:rsid w:val="007D55F8"/>
    <w:rsid w:val="007D5707"/>
    <w:rsid w:val="007D5A80"/>
    <w:rsid w:val="007D5ADD"/>
    <w:rsid w:val="007D5C89"/>
    <w:rsid w:val="007D5E0C"/>
    <w:rsid w:val="007D5E59"/>
    <w:rsid w:val="007D5F32"/>
    <w:rsid w:val="007D6102"/>
    <w:rsid w:val="007D6275"/>
    <w:rsid w:val="007D6890"/>
    <w:rsid w:val="007D689E"/>
    <w:rsid w:val="007D71BF"/>
    <w:rsid w:val="007D71FA"/>
    <w:rsid w:val="007D7233"/>
    <w:rsid w:val="007D7254"/>
    <w:rsid w:val="007D729A"/>
    <w:rsid w:val="007D73C4"/>
    <w:rsid w:val="007D73F7"/>
    <w:rsid w:val="007D748E"/>
    <w:rsid w:val="007D755A"/>
    <w:rsid w:val="007D75FA"/>
    <w:rsid w:val="007D76F0"/>
    <w:rsid w:val="007D77A0"/>
    <w:rsid w:val="007D77B3"/>
    <w:rsid w:val="007D787C"/>
    <w:rsid w:val="007D7B24"/>
    <w:rsid w:val="007D7BBA"/>
    <w:rsid w:val="007D7BD1"/>
    <w:rsid w:val="007D7EE8"/>
    <w:rsid w:val="007E00AE"/>
    <w:rsid w:val="007E01A6"/>
    <w:rsid w:val="007E01A9"/>
    <w:rsid w:val="007E05B9"/>
    <w:rsid w:val="007E0799"/>
    <w:rsid w:val="007E07ED"/>
    <w:rsid w:val="007E0AA3"/>
    <w:rsid w:val="007E18D7"/>
    <w:rsid w:val="007E1C50"/>
    <w:rsid w:val="007E1FD1"/>
    <w:rsid w:val="007E274E"/>
    <w:rsid w:val="007E291A"/>
    <w:rsid w:val="007E298E"/>
    <w:rsid w:val="007E2B0C"/>
    <w:rsid w:val="007E2B6A"/>
    <w:rsid w:val="007E2CFA"/>
    <w:rsid w:val="007E2F31"/>
    <w:rsid w:val="007E3495"/>
    <w:rsid w:val="007E3697"/>
    <w:rsid w:val="007E37D8"/>
    <w:rsid w:val="007E3A74"/>
    <w:rsid w:val="007E3CA5"/>
    <w:rsid w:val="007E4049"/>
    <w:rsid w:val="007E43D8"/>
    <w:rsid w:val="007E43FC"/>
    <w:rsid w:val="007E444A"/>
    <w:rsid w:val="007E447B"/>
    <w:rsid w:val="007E44D3"/>
    <w:rsid w:val="007E451C"/>
    <w:rsid w:val="007E4B02"/>
    <w:rsid w:val="007E4D1C"/>
    <w:rsid w:val="007E5088"/>
    <w:rsid w:val="007E5096"/>
    <w:rsid w:val="007E541F"/>
    <w:rsid w:val="007E5B04"/>
    <w:rsid w:val="007E5B20"/>
    <w:rsid w:val="007E5DE3"/>
    <w:rsid w:val="007E63A9"/>
    <w:rsid w:val="007E6451"/>
    <w:rsid w:val="007E66A7"/>
    <w:rsid w:val="007E69CB"/>
    <w:rsid w:val="007E6B55"/>
    <w:rsid w:val="007E6C21"/>
    <w:rsid w:val="007E6C84"/>
    <w:rsid w:val="007E6C8D"/>
    <w:rsid w:val="007E6CFE"/>
    <w:rsid w:val="007E6E35"/>
    <w:rsid w:val="007E6EF5"/>
    <w:rsid w:val="007E6F66"/>
    <w:rsid w:val="007E7361"/>
    <w:rsid w:val="007E73BD"/>
    <w:rsid w:val="007E73F5"/>
    <w:rsid w:val="007E759F"/>
    <w:rsid w:val="007E75B4"/>
    <w:rsid w:val="007E769A"/>
    <w:rsid w:val="007E76F5"/>
    <w:rsid w:val="007E7BFE"/>
    <w:rsid w:val="007E7D52"/>
    <w:rsid w:val="007E7FF9"/>
    <w:rsid w:val="007F05C2"/>
    <w:rsid w:val="007F0810"/>
    <w:rsid w:val="007F0AEA"/>
    <w:rsid w:val="007F0C03"/>
    <w:rsid w:val="007F0E1F"/>
    <w:rsid w:val="007F0F36"/>
    <w:rsid w:val="007F1047"/>
    <w:rsid w:val="007F1061"/>
    <w:rsid w:val="007F10E0"/>
    <w:rsid w:val="007F1293"/>
    <w:rsid w:val="007F1365"/>
    <w:rsid w:val="007F17AB"/>
    <w:rsid w:val="007F19DB"/>
    <w:rsid w:val="007F1B14"/>
    <w:rsid w:val="007F1B63"/>
    <w:rsid w:val="007F1C30"/>
    <w:rsid w:val="007F1CCD"/>
    <w:rsid w:val="007F1E93"/>
    <w:rsid w:val="007F1F1D"/>
    <w:rsid w:val="007F1F3C"/>
    <w:rsid w:val="007F1F93"/>
    <w:rsid w:val="007F2155"/>
    <w:rsid w:val="007F2181"/>
    <w:rsid w:val="007F2651"/>
    <w:rsid w:val="007F28B8"/>
    <w:rsid w:val="007F2E4D"/>
    <w:rsid w:val="007F2F7F"/>
    <w:rsid w:val="007F3217"/>
    <w:rsid w:val="007F3233"/>
    <w:rsid w:val="007F3331"/>
    <w:rsid w:val="007F3362"/>
    <w:rsid w:val="007F3642"/>
    <w:rsid w:val="007F38A6"/>
    <w:rsid w:val="007F3AAA"/>
    <w:rsid w:val="007F3BC3"/>
    <w:rsid w:val="007F3C12"/>
    <w:rsid w:val="007F3C7A"/>
    <w:rsid w:val="007F41D9"/>
    <w:rsid w:val="007F4249"/>
    <w:rsid w:val="007F442E"/>
    <w:rsid w:val="007F4874"/>
    <w:rsid w:val="007F4B5E"/>
    <w:rsid w:val="007F4BFB"/>
    <w:rsid w:val="007F4DFF"/>
    <w:rsid w:val="007F51D9"/>
    <w:rsid w:val="007F56CE"/>
    <w:rsid w:val="007F570A"/>
    <w:rsid w:val="007F5729"/>
    <w:rsid w:val="007F57BB"/>
    <w:rsid w:val="007F5A30"/>
    <w:rsid w:val="007F5B68"/>
    <w:rsid w:val="007F5BFF"/>
    <w:rsid w:val="007F60F6"/>
    <w:rsid w:val="007F617A"/>
    <w:rsid w:val="007F62C3"/>
    <w:rsid w:val="007F62F9"/>
    <w:rsid w:val="007F6303"/>
    <w:rsid w:val="007F6459"/>
    <w:rsid w:val="007F64C5"/>
    <w:rsid w:val="007F6799"/>
    <w:rsid w:val="007F6815"/>
    <w:rsid w:val="007F6B27"/>
    <w:rsid w:val="007F6B98"/>
    <w:rsid w:val="007F6E62"/>
    <w:rsid w:val="007F6FB1"/>
    <w:rsid w:val="007F7084"/>
    <w:rsid w:val="007F7203"/>
    <w:rsid w:val="007F730F"/>
    <w:rsid w:val="007F733A"/>
    <w:rsid w:val="007F747F"/>
    <w:rsid w:val="007F75C8"/>
    <w:rsid w:val="007F7699"/>
    <w:rsid w:val="007F76BD"/>
    <w:rsid w:val="007F77E5"/>
    <w:rsid w:val="007F7AC8"/>
    <w:rsid w:val="007F7AC9"/>
    <w:rsid w:val="007F7BA8"/>
    <w:rsid w:val="007F7C20"/>
    <w:rsid w:val="007F7C4C"/>
    <w:rsid w:val="008001AC"/>
    <w:rsid w:val="008004CC"/>
    <w:rsid w:val="008007EE"/>
    <w:rsid w:val="00800825"/>
    <w:rsid w:val="00800880"/>
    <w:rsid w:val="00800888"/>
    <w:rsid w:val="008009B6"/>
    <w:rsid w:val="00800A3F"/>
    <w:rsid w:val="00800BE3"/>
    <w:rsid w:val="00800E8D"/>
    <w:rsid w:val="00800F17"/>
    <w:rsid w:val="008010B3"/>
    <w:rsid w:val="0080113F"/>
    <w:rsid w:val="008011A5"/>
    <w:rsid w:val="0080154A"/>
    <w:rsid w:val="00801806"/>
    <w:rsid w:val="00801FFA"/>
    <w:rsid w:val="00802338"/>
    <w:rsid w:val="0080245D"/>
    <w:rsid w:val="00802525"/>
    <w:rsid w:val="008026E7"/>
    <w:rsid w:val="00802837"/>
    <w:rsid w:val="00802A71"/>
    <w:rsid w:val="00802AAF"/>
    <w:rsid w:val="00802C66"/>
    <w:rsid w:val="0080304D"/>
    <w:rsid w:val="008031E1"/>
    <w:rsid w:val="00803504"/>
    <w:rsid w:val="008035B9"/>
    <w:rsid w:val="00803619"/>
    <w:rsid w:val="00803667"/>
    <w:rsid w:val="00803ABE"/>
    <w:rsid w:val="00803B10"/>
    <w:rsid w:val="00803C16"/>
    <w:rsid w:val="00803C33"/>
    <w:rsid w:val="00803EAF"/>
    <w:rsid w:val="00803F37"/>
    <w:rsid w:val="00803FFA"/>
    <w:rsid w:val="00803FFD"/>
    <w:rsid w:val="00804002"/>
    <w:rsid w:val="00804207"/>
    <w:rsid w:val="00804A7D"/>
    <w:rsid w:val="00804B5B"/>
    <w:rsid w:val="00804D70"/>
    <w:rsid w:val="00804FC1"/>
    <w:rsid w:val="0080566F"/>
    <w:rsid w:val="00805695"/>
    <w:rsid w:val="00805871"/>
    <w:rsid w:val="00805935"/>
    <w:rsid w:val="00805955"/>
    <w:rsid w:val="008059C7"/>
    <w:rsid w:val="00805D20"/>
    <w:rsid w:val="00805E07"/>
    <w:rsid w:val="00806277"/>
    <w:rsid w:val="00806560"/>
    <w:rsid w:val="00806664"/>
    <w:rsid w:val="0080672F"/>
    <w:rsid w:val="008068EB"/>
    <w:rsid w:val="00806E4C"/>
    <w:rsid w:val="00807063"/>
    <w:rsid w:val="008071C7"/>
    <w:rsid w:val="008074FD"/>
    <w:rsid w:val="008075EE"/>
    <w:rsid w:val="0080778F"/>
    <w:rsid w:val="00807CF1"/>
    <w:rsid w:val="008101EC"/>
    <w:rsid w:val="00810378"/>
    <w:rsid w:val="00810388"/>
    <w:rsid w:val="008103B1"/>
    <w:rsid w:val="008104B4"/>
    <w:rsid w:val="0081070D"/>
    <w:rsid w:val="00810838"/>
    <w:rsid w:val="00810925"/>
    <w:rsid w:val="00810926"/>
    <w:rsid w:val="00810A47"/>
    <w:rsid w:val="00810A4B"/>
    <w:rsid w:val="00810A6C"/>
    <w:rsid w:val="00810ADB"/>
    <w:rsid w:val="00810B6C"/>
    <w:rsid w:val="00810BEB"/>
    <w:rsid w:val="00810FAD"/>
    <w:rsid w:val="008111B9"/>
    <w:rsid w:val="008112E1"/>
    <w:rsid w:val="00811704"/>
    <w:rsid w:val="008117DC"/>
    <w:rsid w:val="008117DF"/>
    <w:rsid w:val="008119D7"/>
    <w:rsid w:val="00811A1C"/>
    <w:rsid w:val="00811B37"/>
    <w:rsid w:val="00811C0C"/>
    <w:rsid w:val="00811CA9"/>
    <w:rsid w:val="008123EC"/>
    <w:rsid w:val="00812582"/>
    <w:rsid w:val="00812AF6"/>
    <w:rsid w:val="00812E16"/>
    <w:rsid w:val="00812E1E"/>
    <w:rsid w:val="00813147"/>
    <w:rsid w:val="0081354E"/>
    <w:rsid w:val="00813953"/>
    <w:rsid w:val="0081404B"/>
    <w:rsid w:val="0081406C"/>
    <w:rsid w:val="0081493B"/>
    <w:rsid w:val="0081494B"/>
    <w:rsid w:val="00814993"/>
    <w:rsid w:val="00814F29"/>
    <w:rsid w:val="0081505B"/>
    <w:rsid w:val="008150BA"/>
    <w:rsid w:val="008151D1"/>
    <w:rsid w:val="00815291"/>
    <w:rsid w:val="00815480"/>
    <w:rsid w:val="008156C8"/>
    <w:rsid w:val="00815BDC"/>
    <w:rsid w:val="00815DB3"/>
    <w:rsid w:val="00815EAC"/>
    <w:rsid w:val="0081604C"/>
    <w:rsid w:val="00816129"/>
    <w:rsid w:val="00816378"/>
    <w:rsid w:val="00816646"/>
    <w:rsid w:val="008168CE"/>
    <w:rsid w:val="0081698E"/>
    <w:rsid w:val="00816C9A"/>
    <w:rsid w:val="00817018"/>
    <w:rsid w:val="00817125"/>
    <w:rsid w:val="00817151"/>
    <w:rsid w:val="0081740D"/>
    <w:rsid w:val="008174E5"/>
    <w:rsid w:val="008174FF"/>
    <w:rsid w:val="008175EE"/>
    <w:rsid w:val="00817604"/>
    <w:rsid w:val="00817806"/>
    <w:rsid w:val="00817845"/>
    <w:rsid w:val="00817BBA"/>
    <w:rsid w:val="00817CFB"/>
    <w:rsid w:val="00817F3B"/>
    <w:rsid w:val="00817FCB"/>
    <w:rsid w:val="00820063"/>
    <w:rsid w:val="00820216"/>
    <w:rsid w:val="0082044E"/>
    <w:rsid w:val="0082070F"/>
    <w:rsid w:val="0082072B"/>
    <w:rsid w:val="00820A52"/>
    <w:rsid w:val="00820DD8"/>
    <w:rsid w:val="00821018"/>
    <w:rsid w:val="00821067"/>
    <w:rsid w:val="008210B8"/>
    <w:rsid w:val="0082178F"/>
    <w:rsid w:val="008217AD"/>
    <w:rsid w:val="008218CB"/>
    <w:rsid w:val="00821A82"/>
    <w:rsid w:val="00821B90"/>
    <w:rsid w:val="00821CA6"/>
    <w:rsid w:val="00822217"/>
    <w:rsid w:val="0082225B"/>
    <w:rsid w:val="008226A1"/>
    <w:rsid w:val="0082296B"/>
    <w:rsid w:val="00822A04"/>
    <w:rsid w:val="00822BA4"/>
    <w:rsid w:val="008230D5"/>
    <w:rsid w:val="0082351C"/>
    <w:rsid w:val="00823566"/>
    <w:rsid w:val="008235F1"/>
    <w:rsid w:val="0082381A"/>
    <w:rsid w:val="0082384B"/>
    <w:rsid w:val="00823AD6"/>
    <w:rsid w:val="00823C88"/>
    <w:rsid w:val="00823D5B"/>
    <w:rsid w:val="0082410D"/>
    <w:rsid w:val="00824192"/>
    <w:rsid w:val="0082426C"/>
    <w:rsid w:val="008244A4"/>
    <w:rsid w:val="008246D8"/>
    <w:rsid w:val="00824700"/>
    <w:rsid w:val="00824AC1"/>
    <w:rsid w:val="00824B80"/>
    <w:rsid w:val="00824C01"/>
    <w:rsid w:val="00824C27"/>
    <w:rsid w:val="00824C48"/>
    <w:rsid w:val="00824E6F"/>
    <w:rsid w:val="00824EFE"/>
    <w:rsid w:val="008253D5"/>
    <w:rsid w:val="00825442"/>
    <w:rsid w:val="0082550F"/>
    <w:rsid w:val="0082553E"/>
    <w:rsid w:val="00825564"/>
    <w:rsid w:val="008259DD"/>
    <w:rsid w:val="00825C68"/>
    <w:rsid w:val="00825FAE"/>
    <w:rsid w:val="00826104"/>
    <w:rsid w:val="008262C1"/>
    <w:rsid w:val="0082636C"/>
    <w:rsid w:val="008263D3"/>
    <w:rsid w:val="00826932"/>
    <w:rsid w:val="00826A00"/>
    <w:rsid w:val="00826B77"/>
    <w:rsid w:val="00826E6E"/>
    <w:rsid w:val="00827031"/>
    <w:rsid w:val="00827239"/>
    <w:rsid w:val="008273FB"/>
    <w:rsid w:val="00827845"/>
    <w:rsid w:val="00827A5E"/>
    <w:rsid w:val="00827C72"/>
    <w:rsid w:val="00827CB8"/>
    <w:rsid w:val="008304EF"/>
    <w:rsid w:val="0083050E"/>
    <w:rsid w:val="00830668"/>
    <w:rsid w:val="00830B3D"/>
    <w:rsid w:val="008311C8"/>
    <w:rsid w:val="008313D9"/>
    <w:rsid w:val="008313E1"/>
    <w:rsid w:val="0083146E"/>
    <w:rsid w:val="0083177B"/>
    <w:rsid w:val="0083188D"/>
    <w:rsid w:val="008318F2"/>
    <w:rsid w:val="00831922"/>
    <w:rsid w:val="008319FA"/>
    <w:rsid w:val="00831A6B"/>
    <w:rsid w:val="008323D6"/>
    <w:rsid w:val="00832547"/>
    <w:rsid w:val="00832696"/>
    <w:rsid w:val="0083299E"/>
    <w:rsid w:val="00832D81"/>
    <w:rsid w:val="00832E84"/>
    <w:rsid w:val="008330FE"/>
    <w:rsid w:val="0083316B"/>
    <w:rsid w:val="008335EA"/>
    <w:rsid w:val="00833847"/>
    <w:rsid w:val="008339D3"/>
    <w:rsid w:val="00833BF6"/>
    <w:rsid w:val="00833CFF"/>
    <w:rsid w:val="00833F22"/>
    <w:rsid w:val="00834159"/>
    <w:rsid w:val="0083453F"/>
    <w:rsid w:val="008345A7"/>
    <w:rsid w:val="00834641"/>
    <w:rsid w:val="00834788"/>
    <w:rsid w:val="00834CF8"/>
    <w:rsid w:val="0083503F"/>
    <w:rsid w:val="00835591"/>
    <w:rsid w:val="0083580C"/>
    <w:rsid w:val="0083583D"/>
    <w:rsid w:val="00835F99"/>
    <w:rsid w:val="00836027"/>
    <w:rsid w:val="0083604E"/>
    <w:rsid w:val="00836372"/>
    <w:rsid w:val="008363D8"/>
    <w:rsid w:val="00836C57"/>
    <w:rsid w:val="00836DF0"/>
    <w:rsid w:val="00837039"/>
    <w:rsid w:val="008371CF"/>
    <w:rsid w:val="0083776C"/>
    <w:rsid w:val="008377D5"/>
    <w:rsid w:val="00837831"/>
    <w:rsid w:val="00837BC9"/>
    <w:rsid w:val="00837D4A"/>
    <w:rsid w:val="00837DC3"/>
    <w:rsid w:val="00840164"/>
    <w:rsid w:val="008402C5"/>
    <w:rsid w:val="0084098B"/>
    <w:rsid w:val="00840BE1"/>
    <w:rsid w:val="00840C95"/>
    <w:rsid w:val="008410C5"/>
    <w:rsid w:val="00841257"/>
    <w:rsid w:val="008412BD"/>
    <w:rsid w:val="008413E6"/>
    <w:rsid w:val="0084152D"/>
    <w:rsid w:val="00841715"/>
    <w:rsid w:val="00841EE6"/>
    <w:rsid w:val="00841FB4"/>
    <w:rsid w:val="00842388"/>
    <w:rsid w:val="00842593"/>
    <w:rsid w:val="00842AE4"/>
    <w:rsid w:val="00842BB1"/>
    <w:rsid w:val="00842BCD"/>
    <w:rsid w:val="00843131"/>
    <w:rsid w:val="00843615"/>
    <w:rsid w:val="00843671"/>
    <w:rsid w:val="00843694"/>
    <w:rsid w:val="008436C2"/>
    <w:rsid w:val="00843B95"/>
    <w:rsid w:val="00843C1F"/>
    <w:rsid w:val="00843D98"/>
    <w:rsid w:val="00843E3A"/>
    <w:rsid w:val="00843FDC"/>
    <w:rsid w:val="00844160"/>
    <w:rsid w:val="00844209"/>
    <w:rsid w:val="00844355"/>
    <w:rsid w:val="0084451B"/>
    <w:rsid w:val="0084477D"/>
    <w:rsid w:val="00844A0E"/>
    <w:rsid w:val="00844BBD"/>
    <w:rsid w:val="00844D14"/>
    <w:rsid w:val="00844EAF"/>
    <w:rsid w:val="00845228"/>
    <w:rsid w:val="0084549E"/>
    <w:rsid w:val="0084563C"/>
    <w:rsid w:val="008457B9"/>
    <w:rsid w:val="00845880"/>
    <w:rsid w:val="008458D5"/>
    <w:rsid w:val="0084592C"/>
    <w:rsid w:val="00845D2E"/>
    <w:rsid w:val="00845ED8"/>
    <w:rsid w:val="00846031"/>
    <w:rsid w:val="00846309"/>
    <w:rsid w:val="0084651A"/>
    <w:rsid w:val="0084653F"/>
    <w:rsid w:val="00846638"/>
    <w:rsid w:val="008467BE"/>
    <w:rsid w:val="008469C3"/>
    <w:rsid w:val="008469CE"/>
    <w:rsid w:val="00846A8B"/>
    <w:rsid w:val="00846AD2"/>
    <w:rsid w:val="00846F3F"/>
    <w:rsid w:val="00846F86"/>
    <w:rsid w:val="00847235"/>
    <w:rsid w:val="00847A17"/>
    <w:rsid w:val="00847C5C"/>
    <w:rsid w:val="00847F3E"/>
    <w:rsid w:val="00847FA6"/>
    <w:rsid w:val="00850243"/>
    <w:rsid w:val="0085067C"/>
    <w:rsid w:val="00850D26"/>
    <w:rsid w:val="00850E3A"/>
    <w:rsid w:val="0085103D"/>
    <w:rsid w:val="008510EF"/>
    <w:rsid w:val="0085124A"/>
    <w:rsid w:val="00851333"/>
    <w:rsid w:val="008515AA"/>
    <w:rsid w:val="00851765"/>
    <w:rsid w:val="008518FA"/>
    <w:rsid w:val="0085191A"/>
    <w:rsid w:val="008519E4"/>
    <w:rsid w:val="00851D54"/>
    <w:rsid w:val="00851EEE"/>
    <w:rsid w:val="0085257E"/>
    <w:rsid w:val="00852755"/>
    <w:rsid w:val="00852965"/>
    <w:rsid w:val="00852C54"/>
    <w:rsid w:val="00852C6D"/>
    <w:rsid w:val="00852D80"/>
    <w:rsid w:val="00852DCB"/>
    <w:rsid w:val="00852E1A"/>
    <w:rsid w:val="00852FC7"/>
    <w:rsid w:val="00853188"/>
    <w:rsid w:val="00853711"/>
    <w:rsid w:val="008537B7"/>
    <w:rsid w:val="008537CE"/>
    <w:rsid w:val="008538A8"/>
    <w:rsid w:val="00853D97"/>
    <w:rsid w:val="00853FA9"/>
    <w:rsid w:val="0085407B"/>
    <w:rsid w:val="0085408C"/>
    <w:rsid w:val="008541C7"/>
    <w:rsid w:val="008542C9"/>
    <w:rsid w:val="008542FB"/>
    <w:rsid w:val="00854426"/>
    <w:rsid w:val="008546D0"/>
    <w:rsid w:val="008547C9"/>
    <w:rsid w:val="00854C2F"/>
    <w:rsid w:val="00854C34"/>
    <w:rsid w:val="00854C83"/>
    <w:rsid w:val="00854FC4"/>
    <w:rsid w:val="00855111"/>
    <w:rsid w:val="008551FE"/>
    <w:rsid w:val="00855268"/>
    <w:rsid w:val="00855474"/>
    <w:rsid w:val="00855488"/>
    <w:rsid w:val="00855705"/>
    <w:rsid w:val="008557A5"/>
    <w:rsid w:val="00855821"/>
    <w:rsid w:val="008559C9"/>
    <w:rsid w:val="00855A61"/>
    <w:rsid w:val="00855B25"/>
    <w:rsid w:val="00855D8B"/>
    <w:rsid w:val="00855F05"/>
    <w:rsid w:val="00855F98"/>
    <w:rsid w:val="00855FFC"/>
    <w:rsid w:val="00856091"/>
    <w:rsid w:val="00856292"/>
    <w:rsid w:val="00856358"/>
    <w:rsid w:val="0085643B"/>
    <w:rsid w:val="008564E7"/>
    <w:rsid w:val="00856581"/>
    <w:rsid w:val="008565EC"/>
    <w:rsid w:val="008565F4"/>
    <w:rsid w:val="00856654"/>
    <w:rsid w:val="00856AD2"/>
    <w:rsid w:val="00856BA4"/>
    <w:rsid w:val="00856BB5"/>
    <w:rsid w:val="00856D48"/>
    <w:rsid w:val="00856DCF"/>
    <w:rsid w:val="00856E48"/>
    <w:rsid w:val="00856E54"/>
    <w:rsid w:val="00856F2C"/>
    <w:rsid w:val="00856F3B"/>
    <w:rsid w:val="00857126"/>
    <w:rsid w:val="00857289"/>
    <w:rsid w:val="008572DB"/>
    <w:rsid w:val="008576FA"/>
    <w:rsid w:val="00857740"/>
    <w:rsid w:val="00857DD4"/>
    <w:rsid w:val="0086028D"/>
    <w:rsid w:val="008602A2"/>
    <w:rsid w:val="008604D0"/>
    <w:rsid w:val="008607AA"/>
    <w:rsid w:val="00860877"/>
    <w:rsid w:val="00860923"/>
    <w:rsid w:val="00860AD8"/>
    <w:rsid w:val="00860B7F"/>
    <w:rsid w:val="00860BCD"/>
    <w:rsid w:val="00860CAA"/>
    <w:rsid w:val="00860F9D"/>
    <w:rsid w:val="008612C0"/>
    <w:rsid w:val="008613DE"/>
    <w:rsid w:val="00861582"/>
    <w:rsid w:val="0086162E"/>
    <w:rsid w:val="0086166E"/>
    <w:rsid w:val="00861893"/>
    <w:rsid w:val="0086198B"/>
    <w:rsid w:val="00861D40"/>
    <w:rsid w:val="00861E29"/>
    <w:rsid w:val="008620BD"/>
    <w:rsid w:val="00862164"/>
    <w:rsid w:val="008621FD"/>
    <w:rsid w:val="00862266"/>
    <w:rsid w:val="008626AD"/>
    <w:rsid w:val="00862DA4"/>
    <w:rsid w:val="00862E75"/>
    <w:rsid w:val="00862EB9"/>
    <w:rsid w:val="00862FF4"/>
    <w:rsid w:val="00863030"/>
    <w:rsid w:val="008633BE"/>
    <w:rsid w:val="0086378B"/>
    <w:rsid w:val="00863A40"/>
    <w:rsid w:val="00863B34"/>
    <w:rsid w:val="00863BE9"/>
    <w:rsid w:val="00863C80"/>
    <w:rsid w:val="00863CB1"/>
    <w:rsid w:val="00863CB7"/>
    <w:rsid w:val="00863CC3"/>
    <w:rsid w:val="00863D27"/>
    <w:rsid w:val="00864201"/>
    <w:rsid w:val="0086450B"/>
    <w:rsid w:val="00864733"/>
    <w:rsid w:val="00864932"/>
    <w:rsid w:val="00864B59"/>
    <w:rsid w:val="00864CEE"/>
    <w:rsid w:val="00864E87"/>
    <w:rsid w:val="00865063"/>
    <w:rsid w:val="008650DE"/>
    <w:rsid w:val="008656F5"/>
    <w:rsid w:val="00865A07"/>
    <w:rsid w:val="00865CFF"/>
    <w:rsid w:val="00865E41"/>
    <w:rsid w:val="00865FC7"/>
    <w:rsid w:val="00866057"/>
    <w:rsid w:val="00866165"/>
    <w:rsid w:val="0086648B"/>
    <w:rsid w:val="008666B9"/>
    <w:rsid w:val="00866800"/>
    <w:rsid w:val="008668FB"/>
    <w:rsid w:val="0086698B"/>
    <w:rsid w:val="00866A81"/>
    <w:rsid w:val="00866BFD"/>
    <w:rsid w:val="00866C0E"/>
    <w:rsid w:val="00866F46"/>
    <w:rsid w:val="00866FA5"/>
    <w:rsid w:val="008670D8"/>
    <w:rsid w:val="008672E0"/>
    <w:rsid w:val="00867312"/>
    <w:rsid w:val="00867342"/>
    <w:rsid w:val="0086752C"/>
    <w:rsid w:val="0086776E"/>
    <w:rsid w:val="00867899"/>
    <w:rsid w:val="00867C42"/>
    <w:rsid w:val="00867D6E"/>
    <w:rsid w:val="00867E6F"/>
    <w:rsid w:val="00867F5A"/>
    <w:rsid w:val="00867F9C"/>
    <w:rsid w:val="008707F8"/>
    <w:rsid w:val="0087081E"/>
    <w:rsid w:val="00870B84"/>
    <w:rsid w:val="00870E51"/>
    <w:rsid w:val="00871474"/>
    <w:rsid w:val="00871B15"/>
    <w:rsid w:val="00871C09"/>
    <w:rsid w:val="00871C6E"/>
    <w:rsid w:val="00871CD9"/>
    <w:rsid w:val="00871DFD"/>
    <w:rsid w:val="00871F9F"/>
    <w:rsid w:val="00872010"/>
    <w:rsid w:val="00872111"/>
    <w:rsid w:val="00872396"/>
    <w:rsid w:val="008725B1"/>
    <w:rsid w:val="00872773"/>
    <w:rsid w:val="0087298A"/>
    <w:rsid w:val="0087298F"/>
    <w:rsid w:val="008729F6"/>
    <w:rsid w:val="00872DE2"/>
    <w:rsid w:val="0087300B"/>
    <w:rsid w:val="008733C1"/>
    <w:rsid w:val="0087367B"/>
    <w:rsid w:val="0087379C"/>
    <w:rsid w:val="00873820"/>
    <w:rsid w:val="00873843"/>
    <w:rsid w:val="00873A95"/>
    <w:rsid w:val="00873DB8"/>
    <w:rsid w:val="00873E27"/>
    <w:rsid w:val="00873E57"/>
    <w:rsid w:val="00874156"/>
    <w:rsid w:val="008744FD"/>
    <w:rsid w:val="00874625"/>
    <w:rsid w:val="00874775"/>
    <w:rsid w:val="0087486E"/>
    <w:rsid w:val="008749D0"/>
    <w:rsid w:val="008749D6"/>
    <w:rsid w:val="00874D61"/>
    <w:rsid w:val="008752A1"/>
    <w:rsid w:val="008753A1"/>
    <w:rsid w:val="008753CA"/>
    <w:rsid w:val="0087542D"/>
    <w:rsid w:val="0087547B"/>
    <w:rsid w:val="008755CE"/>
    <w:rsid w:val="0087564D"/>
    <w:rsid w:val="008757D8"/>
    <w:rsid w:val="0087583A"/>
    <w:rsid w:val="00875B11"/>
    <w:rsid w:val="00875BA2"/>
    <w:rsid w:val="00875DDF"/>
    <w:rsid w:val="00875F22"/>
    <w:rsid w:val="00876062"/>
    <w:rsid w:val="0087609C"/>
    <w:rsid w:val="008762BA"/>
    <w:rsid w:val="00876373"/>
    <w:rsid w:val="0087672A"/>
    <w:rsid w:val="00876851"/>
    <w:rsid w:val="0087695C"/>
    <w:rsid w:val="00876967"/>
    <w:rsid w:val="00876B2A"/>
    <w:rsid w:val="00876C1A"/>
    <w:rsid w:val="00876F0B"/>
    <w:rsid w:val="00877051"/>
    <w:rsid w:val="0087747F"/>
    <w:rsid w:val="008775E3"/>
    <w:rsid w:val="00877746"/>
    <w:rsid w:val="0087777E"/>
    <w:rsid w:val="00877C61"/>
    <w:rsid w:val="00877C90"/>
    <w:rsid w:val="00877DA6"/>
    <w:rsid w:val="00880403"/>
    <w:rsid w:val="008806FD"/>
    <w:rsid w:val="00880A4E"/>
    <w:rsid w:val="00880B78"/>
    <w:rsid w:val="00880CE0"/>
    <w:rsid w:val="00880CF6"/>
    <w:rsid w:val="00880D3F"/>
    <w:rsid w:val="00881082"/>
    <w:rsid w:val="0088133E"/>
    <w:rsid w:val="008816E5"/>
    <w:rsid w:val="00881F24"/>
    <w:rsid w:val="00882106"/>
    <w:rsid w:val="008825B4"/>
    <w:rsid w:val="00882658"/>
    <w:rsid w:val="008827A2"/>
    <w:rsid w:val="008829ED"/>
    <w:rsid w:val="00882A32"/>
    <w:rsid w:val="00882AC6"/>
    <w:rsid w:val="00882C38"/>
    <w:rsid w:val="00882D37"/>
    <w:rsid w:val="008830C7"/>
    <w:rsid w:val="0088326C"/>
    <w:rsid w:val="008835FC"/>
    <w:rsid w:val="00883623"/>
    <w:rsid w:val="008838D6"/>
    <w:rsid w:val="0088395D"/>
    <w:rsid w:val="00883AB7"/>
    <w:rsid w:val="00883B83"/>
    <w:rsid w:val="00883E0E"/>
    <w:rsid w:val="00883F12"/>
    <w:rsid w:val="008840E5"/>
    <w:rsid w:val="008842D8"/>
    <w:rsid w:val="008843DA"/>
    <w:rsid w:val="00884461"/>
    <w:rsid w:val="0088487E"/>
    <w:rsid w:val="00884924"/>
    <w:rsid w:val="00884991"/>
    <w:rsid w:val="008851D9"/>
    <w:rsid w:val="00885316"/>
    <w:rsid w:val="0088551E"/>
    <w:rsid w:val="008856F6"/>
    <w:rsid w:val="00885888"/>
    <w:rsid w:val="00885962"/>
    <w:rsid w:val="008859A4"/>
    <w:rsid w:val="00885A07"/>
    <w:rsid w:val="00885C5A"/>
    <w:rsid w:val="00885C66"/>
    <w:rsid w:val="00885D37"/>
    <w:rsid w:val="00885D7B"/>
    <w:rsid w:val="00885F22"/>
    <w:rsid w:val="00885F31"/>
    <w:rsid w:val="00885FA7"/>
    <w:rsid w:val="00886602"/>
    <w:rsid w:val="00886A4D"/>
    <w:rsid w:val="00886C1C"/>
    <w:rsid w:val="00886C88"/>
    <w:rsid w:val="00886F55"/>
    <w:rsid w:val="008870F0"/>
    <w:rsid w:val="00887287"/>
    <w:rsid w:val="008874B4"/>
    <w:rsid w:val="008874E3"/>
    <w:rsid w:val="0088755B"/>
    <w:rsid w:val="008876A5"/>
    <w:rsid w:val="0088776E"/>
    <w:rsid w:val="00887AB3"/>
    <w:rsid w:val="00887B4E"/>
    <w:rsid w:val="00887CC7"/>
    <w:rsid w:val="00887CCD"/>
    <w:rsid w:val="00887E64"/>
    <w:rsid w:val="008902DA"/>
    <w:rsid w:val="008902FE"/>
    <w:rsid w:val="0089042C"/>
    <w:rsid w:val="008904A0"/>
    <w:rsid w:val="008906F6"/>
    <w:rsid w:val="00890748"/>
    <w:rsid w:val="00890A43"/>
    <w:rsid w:val="00890ADD"/>
    <w:rsid w:val="00890BC5"/>
    <w:rsid w:val="00890BF0"/>
    <w:rsid w:val="00890C2E"/>
    <w:rsid w:val="00891138"/>
    <w:rsid w:val="00891148"/>
    <w:rsid w:val="00891194"/>
    <w:rsid w:val="0089179D"/>
    <w:rsid w:val="008917F4"/>
    <w:rsid w:val="00891871"/>
    <w:rsid w:val="00891AE8"/>
    <w:rsid w:val="00891CDA"/>
    <w:rsid w:val="00891CF2"/>
    <w:rsid w:val="00891DB6"/>
    <w:rsid w:val="00891E74"/>
    <w:rsid w:val="00891FD7"/>
    <w:rsid w:val="00892041"/>
    <w:rsid w:val="008922F4"/>
    <w:rsid w:val="008924B8"/>
    <w:rsid w:val="008925F0"/>
    <w:rsid w:val="00892849"/>
    <w:rsid w:val="00892975"/>
    <w:rsid w:val="00892B32"/>
    <w:rsid w:val="00892F11"/>
    <w:rsid w:val="008930F7"/>
    <w:rsid w:val="00893162"/>
    <w:rsid w:val="0089335A"/>
    <w:rsid w:val="00893487"/>
    <w:rsid w:val="0089354B"/>
    <w:rsid w:val="008939B6"/>
    <w:rsid w:val="00893B8F"/>
    <w:rsid w:val="00893D2B"/>
    <w:rsid w:val="00893E71"/>
    <w:rsid w:val="00894170"/>
    <w:rsid w:val="00894742"/>
    <w:rsid w:val="0089492B"/>
    <w:rsid w:val="00894A7A"/>
    <w:rsid w:val="00894E3D"/>
    <w:rsid w:val="00895092"/>
    <w:rsid w:val="0089509D"/>
    <w:rsid w:val="008950EC"/>
    <w:rsid w:val="008958D3"/>
    <w:rsid w:val="0089593A"/>
    <w:rsid w:val="00895B3E"/>
    <w:rsid w:val="00895BB2"/>
    <w:rsid w:val="00895CEF"/>
    <w:rsid w:val="00895D51"/>
    <w:rsid w:val="00895DA6"/>
    <w:rsid w:val="00895E8C"/>
    <w:rsid w:val="008960AC"/>
    <w:rsid w:val="008968DB"/>
    <w:rsid w:val="008969ED"/>
    <w:rsid w:val="00896A0B"/>
    <w:rsid w:val="00896BEB"/>
    <w:rsid w:val="00896C24"/>
    <w:rsid w:val="00896CE8"/>
    <w:rsid w:val="00896D2B"/>
    <w:rsid w:val="00896FD7"/>
    <w:rsid w:val="00896FE1"/>
    <w:rsid w:val="008971B2"/>
    <w:rsid w:val="00897247"/>
    <w:rsid w:val="008973A1"/>
    <w:rsid w:val="00897480"/>
    <w:rsid w:val="00897D08"/>
    <w:rsid w:val="00897DB2"/>
    <w:rsid w:val="00897DD9"/>
    <w:rsid w:val="00897F3A"/>
    <w:rsid w:val="008A03EA"/>
    <w:rsid w:val="008A04AE"/>
    <w:rsid w:val="008A05E4"/>
    <w:rsid w:val="008A0629"/>
    <w:rsid w:val="008A09BD"/>
    <w:rsid w:val="008A0ACA"/>
    <w:rsid w:val="008A0BC1"/>
    <w:rsid w:val="008A0BC9"/>
    <w:rsid w:val="008A0EC5"/>
    <w:rsid w:val="008A0ED0"/>
    <w:rsid w:val="008A1097"/>
    <w:rsid w:val="008A1190"/>
    <w:rsid w:val="008A14A1"/>
    <w:rsid w:val="008A1881"/>
    <w:rsid w:val="008A1AA5"/>
    <w:rsid w:val="008A1CC6"/>
    <w:rsid w:val="008A1E4B"/>
    <w:rsid w:val="008A1F40"/>
    <w:rsid w:val="008A213E"/>
    <w:rsid w:val="008A2303"/>
    <w:rsid w:val="008A2350"/>
    <w:rsid w:val="008A25E1"/>
    <w:rsid w:val="008A2946"/>
    <w:rsid w:val="008A2A2B"/>
    <w:rsid w:val="008A2F5D"/>
    <w:rsid w:val="008A303B"/>
    <w:rsid w:val="008A30E2"/>
    <w:rsid w:val="008A32AD"/>
    <w:rsid w:val="008A32ED"/>
    <w:rsid w:val="008A345D"/>
    <w:rsid w:val="008A34CA"/>
    <w:rsid w:val="008A35B0"/>
    <w:rsid w:val="008A3A1A"/>
    <w:rsid w:val="008A3AFD"/>
    <w:rsid w:val="008A3D87"/>
    <w:rsid w:val="008A4242"/>
    <w:rsid w:val="008A4284"/>
    <w:rsid w:val="008A4341"/>
    <w:rsid w:val="008A4743"/>
    <w:rsid w:val="008A4AB3"/>
    <w:rsid w:val="008A4ACA"/>
    <w:rsid w:val="008A4D0C"/>
    <w:rsid w:val="008A4D90"/>
    <w:rsid w:val="008A4DCD"/>
    <w:rsid w:val="008A4EC2"/>
    <w:rsid w:val="008A4EF4"/>
    <w:rsid w:val="008A545D"/>
    <w:rsid w:val="008A5465"/>
    <w:rsid w:val="008A56D3"/>
    <w:rsid w:val="008A573B"/>
    <w:rsid w:val="008A5754"/>
    <w:rsid w:val="008A5936"/>
    <w:rsid w:val="008A6133"/>
    <w:rsid w:val="008A615B"/>
    <w:rsid w:val="008A61AA"/>
    <w:rsid w:val="008A627E"/>
    <w:rsid w:val="008A62DA"/>
    <w:rsid w:val="008A6635"/>
    <w:rsid w:val="008A675E"/>
    <w:rsid w:val="008A6B71"/>
    <w:rsid w:val="008A6BFC"/>
    <w:rsid w:val="008A6D53"/>
    <w:rsid w:val="008A6D5A"/>
    <w:rsid w:val="008A6F8A"/>
    <w:rsid w:val="008A708F"/>
    <w:rsid w:val="008A70C3"/>
    <w:rsid w:val="008A756D"/>
    <w:rsid w:val="008A7605"/>
    <w:rsid w:val="008A76A3"/>
    <w:rsid w:val="008A79C9"/>
    <w:rsid w:val="008A7A56"/>
    <w:rsid w:val="008A7C3D"/>
    <w:rsid w:val="008A7E9B"/>
    <w:rsid w:val="008A7F8C"/>
    <w:rsid w:val="008B030F"/>
    <w:rsid w:val="008B04A3"/>
    <w:rsid w:val="008B04CB"/>
    <w:rsid w:val="008B0C97"/>
    <w:rsid w:val="008B0F42"/>
    <w:rsid w:val="008B129F"/>
    <w:rsid w:val="008B15E7"/>
    <w:rsid w:val="008B16A7"/>
    <w:rsid w:val="008B16D2"/>
    <w:rsid w:val="008B1CDB"/>
    <w:rsid w:val="008B1ECC"/>
    <w:rsid w:val="008B2039"/>
    <w:rsid w:val="008B21F4"/>
    <w:rsid w:val="008B230F"/>
    <w:rsid w:val="008B238B"/>
    <w:rsid w:val="008B26AD"/>
    <w:rsid w:val="008B27DE"/>
    <w:rsid w:val="008B2B33"/>
    <w:rsid w:val="008B2C79"/>
    <w:rsid w:val="008B2EBF"/>
    <w:rsid w:val="008B30E2"/>
    <w:rsid w:val="008B3274"/>
    <w:rsid w:val="008B349B"/>
    <w:rsid w:val="008B34EB"/>
    <w:rsid w:val="008B358B"/>
    <w:rsid w:val="008B3640"/>
    <w:rsid w:val="008B371A"/>
    <w:rsid w:val="008B374D"/>
    <w:rsid w:val="008B3952"/>
    <w:rsid w:val="008B3ACD"/>
    <w:rsid w:val="008B3BD7"/>
    <w:rsid w:val="008B3D4D"/>
    <w:rsid w:val="008B3D6F"/>
    <w:rsid w:val="008B4056"/>
    <w:rsid w:val="008B44E4"/>
    <w:rsid w:val="008B4542"/>
    <w:rsid w:val="008B484E"/>
    <w:rsid w:val="008B4B44"/>
    <w:rsid w:val="008B4C74"/>
    <w:rsid w:val="008B4D46"/>
    <w:rsid w:val="008B4FB3"/>
    <w:rsid w:val="008B52D9"/>
    <w:rsid w:val="008B5351"/>
    <w:rsid w:val="008B54FF"/>
    <w:rsid w:val="008B561F"/>
    <w:rsid w:val="008B59C1"/>
    <w:rsid w:val="008B5AB2"/>
    <w:rsid w:val="008B5B5D"/>
    <w:rsid w:val="008B5C37"/>
    <w:rsid w:val="008B5FD8"/>
    <w:rsid w:val="008B5FFA"/>
    <w:rsid w:val="008B60DF"/>
    <w:rsid w:val="008B6327"/>
    <w:rsid w:val="008B646B"/>
    <w:rsid w:val="008B6548"/>
    <w:rsid w:val="008B6990"/>
    <w:rsid w:val="008B6A75"/>
    <w:rsid w:val="008B6AFA"/>
    <w:rsid w:val="008B6B3C"/>
    <w:rsid w:val="008B6C3C"/>
    <w:rsid w:val="008B6D02"/>
    <w:rsid w:val="008B6D0D"/>
    <w:rsid w:val="008B6E6C"/>
    <w:rsid w:val="008B72A7"/>
    <w:rsid w:val="008B7300"/>
    <w:rsid w:val="008B77D5"/>
    <w:rsid w:val="008B7834"/>
    <w:rsid w:val="008B7E5C"/>
    <w:rsid w:val="008B7F9A"/>
    <w:rsid w:val="008B7FDA"/>
    <w:rsid w:val="008C013D"/>
    <w:rsid w:val="008C01F6"/>
    <w:rsid w:val="008C0209"/>
    <w:rsid w:val="008C02FF"/>
    <w:rsid w:val="008C0419"/>
    <w:rsid w:val="008C04BC"/>
    <w:rsid w:val="008C078A"/>
    <w:rsid w:val="008C08E2"/>
    <w:rsid w:val="008C0952"/>
    <w:rsid w:val="008C0FB7"/>
    <w:rsid w:val="008C10D3"/>
    <w:rsid w:val="008C114F"/>
    <w:rsid w:val="008C12A3"/>
    <w:rsid w:val="008C132B"/>
    <w:rsid w:val="008C13C1"/>
    <w:rsid w:val="008C16C2"/>
    <w:rsid w:val="008C1CE4"/>
    <w:rsid w:val="008C1FD8"/>
    <w:rsid w:val="008C2251"/>
    <w:rsid w:val="008C22F7"/>
    <w:rsid w:val="008C2502"/>
    <w:rsid w:val="008C26DE"/>
    <w:rsid w:val="008C2CA1"/>
    <w:rsid w:val="008C2CD6"/>
    <w:rsid w:val="008C2D29"/>
    <w:rsid w:val="008C2D43"/>
    <w:rsid w:val="008C2F37"/>
    <w:rsid w:val="008C31DE"/>
    <w:rsid w:val="008C35B5"/>
    <w:rsid w:val="008C3775"/>
    <w:rsid w:val="008C3969"/>
    <w:rsid w:val="008C3B78"/>
    <w:rsid w:val="008C3EAC"/>
    <w:rsid w:val="008C4404"/>
    <w:rsid w:val="008C4527"/>
    <w:rsid w:val="008C4643"/>
    <w:rsid w:val="008C4677"/>
    <w:rsid w:val="008C480B"/>
    <w:rsid w:val="008C49B1"/>
    <w:rsid w:val="008C4AFA"/>
    <w:rsid w:val="008C4BF5"/>
    <w:rsid w:val="008C4F94"/>
    <w:rsid w:val="008C524B"/>
    <w:rsid w:val="008C531C"/>
    <w:rsid w:val="008C5368"/>
    <w:rsid w:val="008C5377"/>
    <w:rsid w:val="008C544E"/>
    <w:rsid w:val="008C5575"/>
    <w:rsid w:val="008C5675"/>
    <w:rsid w:val="008C56EC"/>
    <w:rsid w:val="008C5798"/>
    <w:rsid w:val="008C5890"/>
    <w:rsid w:val="008C592F"/>
    <w:rsid w:val="008C5949"/>
    <w:rsid w:val="008C5AA2"/>
    <w:rsid w:val="008C5B34"/>
    <w:rsid w:val="008C5F46"/>
    <w:rsid w:val="008C602E"/>
    <w:rsid w:val="008C6209"/>
    <w:rsid w:val="008C6233"/>
    <w:rsid w:val="008C63AB"/>
    <w:rsid w:val="008C6487"/>
    <w:rsid w:val="008C6607"/>
    <w:rsid w:val="008C6784"/>
    <w:rsid w:val="008C68BB"/>
    <w:rsid w:val="008C6CA0"/>
    <w:rsid w:val="008C6CA5"/>
    <w:rsid w:val="008C6D34"/>
    <w:rsid w:val="008C6F27"/>
    <w:rsid w:val="008C734A"/>
    <w:rsid w:val="008C73CD"/>
    <w:rsid w:val="008C742A"/>
    <w:rsid w:val="008C765F"/>
    <w:rsid w:val="008C7D72"/>
    <w:rsid w:val="008D05E0"/>
    <w:rsid w:val="008D0689"/>
    <w:rsid w:val="008D0857"/>
    <w:rsid w:val="008D0A16"/>
    <w:rsid w:val="008D0CC3"/>
    <w:rsid w:val="008D0D09"/>
    <w:rsid w:val="008D0D30"/>
    <w:rsid w:val="008D0D7C"/>
    <w:rsid w:val="008D10F6"/>
    <w:rsid w:val="008D119B"/>
    <w:rsid w:val="008D125B"/>
    <w:rsid w:val="008D1268"/>
    <w:rsid w:val="008D12D3"/>
    <w:rsid w:val="008D1318"/>
    <w:rsid w:val="008D15C6"/>
    <w:rsid w:val="008D1602"/>
    <w:rsid w:val="008D18FB"/>
    <w:rsid w:val="008D1958"/>
    <w:rsid w:val="008D19E5"/>
    <w:rsid w:val="008D1BB0"/>
    <w:rsid w:val="008D1C3A"/>
    <w:rsid w:val="008D26E5"/>
    <w:rsid w:val="008D2A0D"/>
    <w:rsid w:val="008D2DA5"/>
    <w:rsid w:val="008D2FEA"/>
    <w:rsid w:val="008D3150"/>
    <w:rsid w:val="008D31E0"/>
    <w:rsid w:val="008D36F0"/>
    <w:rsid w:val="008D3797"/>
    <w:rsid w:val="008D3A3C"/>
    <w:rsid w:val="008D3A9B"/>
    <w:rsid w:val="008D3B89"/>
    <w:rsid w:val="008D3CC0"/>
    <w:rsid w:val="008D3E43"/>
    <w:rsid w:val="008D3E7E"/>
    <w:rsid w:val="008D402F"/>
    <w:rsid w:val="008D41CE"/>
    <w:rsid w:val="008D434F"/>
    <w:rsid w:val="008D44B9"/>
    <w:rsid w:val="008D45D9"/>
    <w:rsid w:val="008D473D"/>
    <w:rsid w:val="008D4AAA"/>
    <w:rsid w:val="008D4AF2"/>
    <w:rsid w:val="008D4E96"/>
    <w:rsid w:val="008D4EEB"/>
    <w:rsid w:val="008D507C"/>
    <w:rsid w:val="008D50D3"/>
    <w:rsid w:val="008D51C2"/>
    <w:rsid w:val="008D53E0"/>
    <w:rsid w:val="008D5625"/>
    <w:rsid w:val="008D5958"/>
    <w:rsid w:val="008D5F57"/>
    <w:rsid w:val="008D5FF6"/>
    <w:rsid w:val="008D6309"/>
    <w:rsid w:val="008D643D"/>
    <w:rsid w:val="008D65E3"/>
    <w:rsid w:val="008D676C"/>
    <w:rsid w:val="008D6904"/>
    <w:rsid w:val="008D69FA"/>
    <w:rsid w:val="008D6C2C"/>
    <w:rsid w:val="008D6D59"/>
    <w:rsid w:val="008D6D85"/>
    <w:rsid w:val="008D6E31"/>
    <w:rsid w:val="008D722B"/>
    <w:rsid w:val="008D725F"/>
    <w:rsid w:val="008D7564"/>
    <w:rsid w:val="008D7804"/>
    <w:rsid w:val="008D79C6"/>
    <w:rsid w:val="008D7A25"/>
    <w:rsid w:val="008D7FA4"/>
    <w:rsid w:val="008E008E"/>
    <w:rsid w:val="008E0138"/>
    <w:rsid w:val="008E035C"/>
    <w:rsid w:val="008E037F"/>
    <w:rsid w:val="008E0524"/>
    <w:rsid w:val="008E05CA"/>
    <w:rsid w:val="008E0738"/>
    <w:rsid w:val="008E0C30"/>
    <w:rsid w:val="008E0DFB"/>
    <w:rsid w:val="008E0F64"/>
    <w:rsid w:val="008E0FA2"/>
    <w:rsid w:val="008E0FE9"/>
    <w:rsid w:val="008E1195"/>
    <w:rsid w:val="008E1237"/>
    <w:rsid w:val="008E138A"/>
    <w:rsid w:val="008E1414"/>
    <w:rsid w:val="008E18A4"/>
    <w:rsid w:val="008E1A8A"/>
    <w:rsid w:val="008E1CC1"/>
    <w:rsid w:val="008E1D3B"/>
    <w:rsid w:val="008E1DB0"/>
    <w:rsid w:val="008E1F53"/>
    <w:rsid w:val="008E232A"/>
    <w:rsid w:val="008E2389"/>
    <w:rsid w:val="008E23DD"/>
    <w:rsid w:val="008E24FC"/>
    <w:rsid w:val="008E277C"/>
    <w:rsid w:val="008E2902"/>
    <w:rsid w:val="008E2B8C"/>
    <w:rsid w:val="008E2D2B"/>
    <w:rsid w:val="008E2D31"/>
    <w:rsid w:val="008E2DDC"/>
    <w:rsid w:val="008E2E82"/>
    <w:rsid w:val="008E2EE2"/>
    <w:rsid w:val="008E2EF4"/>
    <w:rsid w:val="008E312E"/>
    <w:rsid w:val="008E3143"/>
    <w:rsid w:val="008E3256"/>
    <w:rsid w:val="008E34ED"/>
    <w:rsid w:val="008E3532"/>
    <w:rsid w:val="008E364E"/>
    <w:rsid w:val="008E3651"/>
    <w:rsid w:val="008E36D5"/>
    <w:rsid w:val="008E390D"/>
    <w:rsid w:val="008E3A00"/>
    <w:rsid w:val="008E4004"/>
    <w:rsid w:val="008E40FE"/>
    <w:rsid w:val="008E413E"/>
    <w:rsid w:val="008E4660"/>
    <w:rsid w:val="008E490E"/>
    <w:rsid w:val="008E4D3F"/>
    <w:rsid w:val="008E4E5B"/>
    <w:rsid w:val="008E4E8E"/>
    <w:rsid w:val="008E5041"/>
    <w:rsid w:val="008E517D"/>
    <w:rsid w:val="008E5274"/>
    <w:rsid w:val="008E55BC"/>
    <w:rsid w:val="008E5979"/>
    <w:rsid w:val="008E5AF3"/>
    <w:rsid w:val="008E5C9F"/>
    <w:rsid w:val="008E609B"/>
    <w:rsid w:val="008E64C8"/>
    <w:rsid w:val="008E65E0"/>
    <w:rsid w:val="008E6687"/>
    <w:rsid w:val="008E6B13"/>
    <w:rsid w:val="008E6D22"/>
    <w:rsid w:val="008E6DF0"/>
    <w:rsid w:val="008E6E70"/>
    <w:rsid w:val="008E6ED8"/>
    <w:rsid w:val="008E6FFC"/>
    <w:rsid w:val="008E7154"/>
    <w:rsid w:val="008E7205"/>
    <w:rsid w:val="008E7216"/>
    <w:rsid w:val="008E72B6"/>
    <w:rsid w:val="008E7368"/>
    <w:rsid w:val="008E743B"/>
    <w:rsid w:val="008E76DC"/>
    <w:rsid w:val="008E7899"/>
    <w:rsid w:val="008E78B1"/>
    <w:rsid w:val="008E78E9"/>
    <w:rsid w:val="008E79BE"/>
    <w:rsid w:val="008E79E1"/>
    <w:rsid w:val="008E7A57"/>
    <w:rsid w:val="008E7A65"/>
    <w:rsid w:val="008E7A6D"/>
    <w:rsid w:val="008E7AC5"/>
    <w:rsid w:val="008E7B93"/>
    <w:rsid w:val="008E7F21"/>
    <w:rsid w:val="008E7FB7"/>
    <w:rsid w:val="008F02EE"/>
    <w:rsid w:val="008F043C"/>
    <w:rsid w:val="008F04E9"/>
    <w:rsid w:val="008F07A6"/>
    <w:rsid w:val="008F09F7"/>
    <w:rsid w:val="008F0B3F"/>
    <w:rsid w:val="008F0D66"/>
    <w:rsid w:val="008F0DB3"/>
    <w:rsid w:val="008F0E95"/>
    <w:rsid w:val="008F0EED"/>
    <w:rsid w:val="008F100E"/>
    <w:rsid w:val="008F1018"/>
    <w:rsid w:val="008F130E"/>
    <w:rsid w:val="008F1311"/>
    <w:rsid w:val="008F16D4"/>
    <w:rsid w:val="008F177A"/>
    <w:rsid w:val="008F17E7"/>
    <w:rsid w:val="008F19DD"/>
    <w:rsid w:val="008F1A11"/>
    <w:rsid w:val="008F1B85"/>
    <w:rsid w:val="008F1D44"/>
    <w:rsid w:val="008F1F98"/>
    <w:rsid w:val="008F23AF"/>
    <w:rsid w:val="008F24CA"/>
    <w:rsid w:val="008F2857"/>
    <w:rsid w:val="008F2881"/>
    <w:rsid w:val="008F299B"/>
    <w:rsid w:val="008F2A76"/>
    <w:rsid w:val="008F2F14"/>
    <w:rsid w:val="008F30BA"/>
    <w:rsid w:val="008F30D0"/>
    <w:rsid w:val="008F36DD"/>
    <w:rsid w:val="008F385A"/>
    <w:rsid w:val="008F3C4C"/>
    <w:rsid w:val="008F3CF3"/>
    <w:rsid w:val="008F3F4F"/>
    <w:rsid w:val="008F419F"/>
    <w:rsid w:val="008F437C"/>
    <w:rsid w:val="008F4582"/>
    <w:rsid w:val="008F47EB"/>
    <w:rsid w:val="008F4889"/>
    <w:rsid w:val="008F49DB"/>
    <w:rsid w:val="008F4D1E"/>
    <w:rsid w:val="008F4D7C"/>
    <w:rsid w:val="008F52CE"/>
    <w:rsid w:val="008F5461"/>
    <w:rsid w:val="008F5466"/>
    <w:rsid w:val="008F57D2"/>
    <w:rsid w:val="008F596B"/>
    <w:rsid w:val="008F5AAF"/>
    <w:rsid w:val="008F5DCD"/>
    <w:rsid w:val="008F61EF"/>
    <w:rsid w:val="008F686D"/>
    <w:rsid w:val="008F6A18"/>
    <w:rsid w:val="008F6BF2"/>
    <w:rsid w:val="008F6D7E"/>
    <w:rsid w:val="008F6D95"/>
    <w:rsid w:val="008F6F0C"/>
    <w:rsid w:val="008F6F17"/>
    <w:rsid w:val="008F6F5B"/>
    <w:rsid w:val="008F6F88"/>
    <w:rsid w:val="008F701F"/>
    <w:rsid w:val="008F73A3"/>
    <w:rsid w:val="008F75B5"/>
    <w:rsid w:val="008F771C"/>
    <w:rsid w:val="008F78A7"/>
    <w:rsid w:val="008F796F"/>
    <w:rsid w:val="008F7AA4"/>
    <w:rsid w:val="008F7D2E"/>
    <w:rsid w:val="008F7DC5"/>
    <w:rsid w:val="008F7F6C"/>
    <w:rsid w:val="00900129"/>
    <w:rsid w:val="009001E7"/>
    <w:rsid w:val="00900310"/>
    <w:rsid w:val="0090048D"/>
    <w:rsid w:val="0090067D"/>
    <w:rsid w:val="00900741"/>
    <w:rsid w:val="00900CA1"/>
    <w:rsid w:val="00900E5D"/>
    <w:rsid w:val="0090103E"/>
    <w:rsid w:val="009012FA"/>
    <w:rsid w:val="00901495"/>
    <w:rsid w:val="00901686"/>
    <w:rsid w:val="0090169E"/>
    <w:rsid w:val="00901704"/>
    <w:rsid w:val="0090174B"/>
    <w:rsid w:val="00901BFE"/>
    <w:rsid w:val="009021D6"/>
    <w:rsid w:val="00902364"/>
    <w:rsid w:val="0090251F"/>
    <w:rsid w:val="00902635"/>
    <w:rsid w:val="00902654"/>
    <w:rsid w:val="00902724"/>
    <w:rsid w:val="00902D0C"/>
    <w:rsid w:val="00902D45"/>
    <w:rsid w:val="00902F3F"/>
    <w:rsid w:val="009031DB"/>
    <w:rsid w:val="00903298"/>
    <w:rsid w:val="00903383"/>
    <w:rsid w:val="009033B3"/>
    <w:rsid w:val="0090352F"/>
    <w:rsid w:val="00903759"/>
    <w:rsid w:val="00903762"/>
    <w:rsid w:val="0090379C"/>
    <w:rsid w:val="00903816"/>
    <w:rsid w:val="00903A5B"/>
    <w:rsid w:val="00903B38"/>
    <w:rsid w:val="00903CB3"/>
    <w:rsid w:val="00903D10"/>
    <w:rsid w:val="00903DB7"/>
    <w:rsid w:val="00903E09"/>
    <w:rsid w:val="00903E93"/>
    <w:rsid w:val="00903F9B"/>
    <w:rsid w:val="00904473"/>
    <w:rsid w:val="00904566"/>
    <w:rsid w:val="009045E8"/>
    <w:rsid w:val="00904AB0"/>
    <w:rsid w:val="00904C46"/>
    <w:rsid w:val="00904CC6"/>
    <w:rsid w:val="0090537F"/>
    <w:rsid w:val="0090598F"/>
    <w:rsid w:val="00905A3D"/>
    <w:rsid w:val="00905AAB"/>
    <w:rsid w:val="00905AC9"/>
    <w:rsid w:val="00905B1E"/>
    <w:rsid w:val="00905D53"/>
    <w:rsid w:val="00905FB9"/>
    <w:rsid w:val="00906022"/>
    <w:rsid w:val="00906054"/>
    <w:rsid w:val="00906190"/>
    <w:rsid w:val="00906357"/>
    <w:rsid w:val="00906746"/>
    <w:rsid w:val="00906C26"/>
    <w:rsid w:val="00906F5C"/>
    <w:rsid w:val="009071AD"/>
    <w:rsid w:val="0090727A"/>
    <w:rsid w:val="009072B0"/>
    <w:rsid w:val="0090759D"/>
    <w:rsid w:val="00907608"/>
    <w:rsid w:val="0090792A"/>
    <w:rsid w:val="009079D9"/>
    <w:rsid w:val="00907D6D"/>
    <w:rsid w:val="00907DEC"/>
    <w:rsid w:val="0091033C"/>
    <w:rsid w:val="00910533"/>
    <w:rsid w:val="00910925"/>
    <w:rsid w:val="00910BF1"/>
    <w:rsid w:val="00910E2B"/>
    <w:rsid w:val="00910E69"/>
    <w:rsid w:val="00910EC0"/>
    <w:rsid w:val="00910F1A"/>
    <w:rsid w:val="009110FA"/>
    <w:rsid w:val="0091149C"/>
    <w:rsid w:val="009116ED"/>
    <w:rsid w:val="00911747"/>
    <w:rsid w:val="00911927"/>
    <w:rsid w:val="00911B6A"/>
    <w:rsid w:val="00911BF6"/>
    <w:rsid w:val="00911D53"/>
    <w:rsid w:val="009127FC"/>
    <w:rsid w:val="0091280E"/>
    <w:rsid w:val="0091282D"/>
    <w:rsid w:val="00912850"/>
    <w:rsid w:val="00912A0A"/>
    <w:rsid w:val="00912E23"/>
    <w:rsid w:val="00913048"/>
    <w:rsid w:val="00913070"/>
    <w:rsid w:val="0091332D"/>
    <w:rsid w:val="0091333A"/>
    <w:rsid w:val="009134C2"/>
    <w:rsid w:val="0091375A"/>
    <w:rsid w:val="00913775"/>
    <w:rsid w:val="00913877"/>
    <w:rsid w:val="00913A37"/>
    <w:rsid w:val="00913B86"/>
    <w:rsid w:val="00913C23"/>
    <w:rsid w:val="00913E3E"/>
    <w:rsid w:val="0091420C"/>
    <w:rsid w:val="00914568"/>
    <w:rsid w:val="00914A20"/>
    <w:rsid w:val="00914A71"/>
    <w:rsid w:val="00914C86"/>
    <w:rsid w:val="00914CE6"/>
    <w:rsid w:val="00914FB6"/>
    <w:rsid w:val="00915375"/>
    <w:rsid w:val="00915672"/>
    <w:rsid w:val="0091573D"/>
    <w:rsid w:val="009159E6"/>
    <w:rsid w:val="00915E1A"/>
    <w:rsid w:val="00915EEC"/>
    <w:rsid w:val="00916018"/>
    <w:rsid w:val="0091629E"/>
    <w:rsid w:val="009165C6"/>
    <w:rsid w:val="00916840"/>
    <w:rsid w:val="00916AF5"/>
    <w:rsid w:val="00916DEF"/>
    <w:rsid w:val="00917422"/>
    <w:rsid w:val="00917578"/>
    <w:rsid w:val="00917626"/>
    <w:rsid w:val="00917795"/>
    <w:rsid w:val="009178B3"/>
    <w:rsid w:val="00917AD9"/>
    <w:rsid w:val="0092054F"/>
    <w:rsid w:val="009207FB"/>
    <w:rsid w:val="0092090F"/>
    <w:rsid w:val="00920DC7"/>
    <w:rsid w:val="00921160"/>
    <w:rsid w:val="0092130D"/>
    <w:rsid w:val="0092131F"/>
    <w:rsid w:val="0092138E"/>
    <w:rsid w:val="009215D1"/>
    <w:rsid w:val="00921632"/>
    <w:rsid w:val="009216AF"/>
    <w:rsid w:val="00921BEE"/>
    <w:rsid w:val="00921E33"/>
    <w:rsid w:val="009220AA"/>
    <w:rsid w:val="0092232C"/>
    <w:rsid w:val="00922500"/>
    <w:rsid w:val="0092267C"/>
    <w:rsid w:val="00922A5D"/>
    <w:rsid w:val="00922CBC"/>
    <w:rsid w:val="00922F34"/>
    <w:rsid w:val="00923028"/>
    <w:rsid w:val="009232EC"/>
    <w:rsid w:val="009236B7"/>
    <w:rsid w:val="009236E7"/>
    <w:rsid w:val="00923755"/>
    <w:rsid w:val="00923B60"/>
    <w:rsid w:val="00923EA9"/>
    <w:rsid w:val="00923FEF"/>
    <w:rsid w:val="00924054"/>
    <w:rsid w:val="009240AF"/>
    <w:rsid w:val="00924291"/>
    <w:rsid w:val="0092453E"/>
    <w:rsid w:val="00924614"/>
    <w:rsid w:val="0092476B"/>
    <w:rsid w:val="00924952"/>
    <w:rsid w:val="00924990"/>
    <w:rsid w:val="00924BC6"/>
    <w:rsid w:val="00924C5D"/>
    <w:rsid w:val="00924CE8"/>
    <w:rsid w:val="00924E13"/>
    <w:rsid w:val="00924FA7"/>
    <w:rsid w:val="00925184"/>
    <w:rsid w:val="0092536A"/>
    <w:rsid w:val="009256A4"/>
    <w:rsid w:val="00925927"/>
    <w:rsid w:val="009259D3"/>
    <w:rsid w:val="00925A13"/>
    <w:rsid w:val="00925CB0"/>
    <w:rsid w:val="00925E8A"/>
    <w:rsid w:val="00925F10"/>
    <w:rsid w:val="00926177"/>
    <w:rsid w:val="0092624C"/>
    <w:rsid w:val="009265A0"/>
    <w:rsid w:val="009265FA"/>
    <w:rsid w:val="009266A1"/>
    <w:rsid w:val="009266E2"/>
    <w:rsid w:val="009266E4"/>
    <w:rsid w:val="00926748"/>
    <w:rsid w:val="009267A0"/>
    <w:rsid w:val="00926B9C"/>
    <w:rsid w:val="00926CE5"/>
    <w:rsid w:val="00926E7E"/>
    <w:rsid w:val="00926EF2"/>
    <w:rsid w:val="00926FB0"/>
    <w:rsid w:val="009271DB"/>
    <w:rsid w:val="00927386"/>
    <w:rsid w:val="0092783D"/>
    <w:rsid w:val="009278A9"/>
    <w:rsid w:val="00927EAA"/>
    <w:rsid w:val="009300EF"/>
    <w:rsid w:val="0093032A"/>
    <w:rsid w:val="00930389"/>
    <w:rsid w:val="009303E7"/>
    <w:rsid w:val="0093043D"/>
    <w:rsid w:val="009304D4"/>
    <w:rsid w:val="009309D6"/>
    <w:rsid w:val="00930B22"/>
    <w:rsid w:val="00930C99"/>
    <w:rsid w:val="00930D07"/>
    <w:rsid w:val="00930EF7"/>
    <w:rsid w:val="00930F85"/>
    <w:rsid w:val="00931019"/>
    <w:rsid w:val="0093105B"/>
    <w:rsid w:val="00931099"/>
    <w:rsid w:val="009310EE"/>
    <w:rsid w:val="0093133B"/>
    <w:rsid w:val="009317D7"/>
    <w:rsid w:val="00931AA9"/>
    <w:rsid w:val="00931B71"/>
    <w:rsid w:val="00931CD8"/>
    <w:rsid w:val="00931CF2"/>
    <w:rsid w:val="00932017"/>
    <w:rsid w:val="00932113"/>
    <w:rsid w:val="0093217D"/>
    <w:rsid w:val="0093219E"/>
    <w:rsid w:val="0093223E"/>
    <w:rsid w:val="00932745"/>
    <w:rsid w:val="0093284F"/>
    <w:rsid w:val="00932858"/>
    <w:rsid w:val="00932872"/>
    <w:rsid w:val="009328B6"/>
    <w:rsid w:val="00932983"/>
    <w:rsid w:val="00932FDF"/>
    <w:rsid w:val="009332C3"/>
    <w:rsid w:val="009334DD"/>
    <w:rsid w:val="00933A1F"/>
    <w:rsid w:val="00933B3E"/>
    <w:rsid w:val="00933DEE"/>
    <w:rsid w:val="00933EA2"/>
    <w:rsid w:val="009344AC"/>
    <w:rsid w:val="009346CB"/>
    <w:rsid w:val="00934794"/>
    <w:rsid w:val="00934B1D"/>
    <w:rsid w:val="00934E76"/>
    <w:rsid w:val="00934EB8"/>
    <w:rsid w:val="00934F3D"/>
    <w:rsid w:val="00934F6D"/>
    <w:rsid w:val="00934FB3"/>
    <w:rsid w:val="00935084"/>
    <w:rsid w:val="009350C5"/>
    <w:rsid w:val="0093519A"/>
    <w:rsid w:val="0093577C"/>
    <w:rsid w:val="00935895"/>
    <w:rsid w:val="00935EB3"/>
    <w:rsid w:val="00935EED"/>
    <w:rsid w:val="009360C8"/>
    <w:rsid w:val="00936237"/>
    <w:rsid w:val="00936498"/>
    <w:rsid w:val="0093674F"/>
    <w:rsid w:val="0093687D"/>
    <w:rsid w:val="009368EB"/>
    <w:rsid w:val="009369E9"/>
    <w:rsid w:val="00936BD4"/>
    <w:rsid w:val="00936BF0"/>
    <w:rsid w:val="009370AD"/>
    <w:rsid w:val="009371E5"/>
    <w:rsid w:val="009373EF"/>
    <w:rsid w:val="009375C3"/>
    <w:rsid w:val="0093779C"/>
    <w:rsid w:val="009377D6"/>
    <w:rsid w:val="00937852"/>
    <w:rsid w:val="00937BE3"/>
    <w:rsid w:val="00937D0D"/>
    <w:rsid w:val="00937D2A"/>
    <w:rsid w:val="00937E3C"/>
    <w:rsid w:val="00937EAA"/>
    <w:rsid w:val="00940053"/>
    <w:rsid w:val="00940085"/>
    <w:rsid w:val="00940182"/>
    <w:rsid w:val="009401FF"/>
    <w:rsid w:val="0094027E"/>
    <w:rsid w:val="00940478"/>
    <w:rsid w:val="00940653"/>
    <w:rsid w:val="00940BFA"/>
    <w:rsid w:val="00940CC1"/>
    <w:rsid w:val="00940E12"/>
    <w:rsid w:val="00940EA9"/>
    <w:rsid w:val="00940ED4"/>
    <w:rsid w:val="00940EE6"/>
    <w:rsid w:val="00940FDF"/>
    <w:rsid w:val="00941013"/>
    <w:rsid w:val="00941124"/>
    <w:rsid w:val="009411B4"/>
    <w:rsid w:val="00941331"/>
    <w:rsid w:val="009413FF"/>
    <w:rsid w:val="009414A9"/>
    <w:rsid w:val="00941908"/>
    <w:rsid w:val="00941BC6"/>
    <w:rsid w:val="00941C4B"/>
    <w:rsid w:val="00941D74"/>
    <w:rsid w:val="00941D79"/>
    <w:rsid w:val="00941F4D"/>
    <w:rsid w:val="00942040"/>
    <w:rsid w:val="00942042"/>
    <w:rsid w:val="00942054"/>
    <w:rsid w:val="00942160"/>
    <w:rsid w:val="00942264"/>
    <w:rsid w:val="009423B1"/>
    <w:rsid w:val="00942807"/>
    <w:rsid w:val="00942989"/>
    <w:rsid w:val="00942A8B"/>
    <w:rsid w:val="00942BB4"/>
    <w:rsid w:val="00942BE6"/>
    <w:rsid w:val="00942F33"/>
    <w:rsid w:val="009430AD"/>
    <w:rsid w:val="00943156"/>
    <w:rsid w:val="009431B0"/>
    <w:rsid w:val="00943404"/>
    <w:rsid w:val="00943590"/>
    <w:rsid w:val="00943771"/>
    <w:rsid w:val="009439C6"/>
    <w:rsid w:val="00943A0D"/>
    <w:rsid w:val="00943A40"/>
    <w:rsid w:val="00943B03"/>
    <w:rsid w:val="00943B27"/>
    <w:rsid w:val="00943B4D"/>
    <w:rsid w:val="00943C43"/>
    <w:rsid w:val="00943DC8"/>
    <w:rsid w:val="00943F18"/>
    <w:rsid w:val="00943FD8"/>
    <w:rsid w:val="009442C9"/>
    <w:rsid w:val="009443BC"/>
    <w:rsid w:val="009444E3"/>
    <w:rsid w:val="009446C9"/>
    <w:rsid w:val="009448FD"/>
    <w:rsid w:val="00944A4B"/>
    <w:rsid w:val="009450C8"/>
    <w:rsid w:val="009452A0"/>
    <w:rsid w:val="009454BE"/>
    <w:rsid w:val="00945658"/>
    <w:rsid w:val="00945AF3"/>
    <w:rsid w:val="00945BCE"/>
    <w:rsid w:val="00945E5B"/>
    <w:rsid w:val="00945E75"/>
    <w:rsid w:val="00946664"/>
    <w:rsid w:val="00946886"/>
    <w:rsid w:val="00946B44"/>
    <w:rsid w:val="00946BFE"/>
    <w:rsid w:val="00946DB3"/>
    <w:rsid w:val="00946DC8"/>
    <w:rsid w:val="00946F10"/>
    <w:rsid w:val="00947739"/>
    <w:rsid w:val="00947842"/>
    <w:rsid w:val="00947AAA"/>
    <w:rsid w:val="00947AEE"/>
    <w:rsid w:val="00947CB2"/>
    <w:rsid w:val="00950017"/>
    <w:rsid w:val="00950040"/>
    <w:rsid w:val="009500DE"/>
    <w:rsid w:val="009501AA"/>
    <w:rsid w:val="00950AD8"/>
    <w:rsid w:val="00950D88"/>
    <w:rsid w:val="00950E8D"/>
    <w:rsid w:val="00951208"/>
    <w:rsid w:val="00951325"/>
    <w:rsid w:val="0095142D"/>
    <w:rsid w:val="009515A1"/>
    <w:rsid w:val="00951685"/>
    <w:rsid w:val="009519FD"/>
    <w:rsid w:val="00951D98"/>
    <w:rsid w:val="00951E46"/>
    <w:rsid w:val="00952317"/>
    <w:rsid w:val="00952340"/>
    <w:rsid w:val="00952447"/>
    <w:rsid w:val="00952683"/>
    <w:rsid w:val="009528C4"/>
    <w:rsid w:val="009529B7"/>
    <w:rsid w:val="00952A37"/>
    <w:rsid w:val="00952A56"/>
    <w:rsid w:val="00952C4C"/>
    <w:rsid w:val="00952CB8"/>
    <w:rsid w:val="00953301"/>
    <w:rsid w:val="00953607"/>
    <w:rsid w:val="0095378A"/>
    <w:rsid w:val="009537CC"/>
    <w:rsid w:val="00953BE7"/>
    <w:rsid w:val="00953E55"/>
    <w:rsid w:val="00953EA6"/>
    <w:rsid w:val="00953F3F"/>
    <w:rsid w:val="009540A4"/>
    <w:rsid w:val="00954165"/>
    <w:rsid w:val="0095422A"/>
    <w:rsid w:val="00954444"/>
    <w:rsid w:val="009544F1"/>
    <w:rsid w:val="009545DF"/>
    <w:rsid w:val="009548C7"/>
    <w:rsid w:val="00954952"/>
    <w:rsid w:val="00954B56"/>
    <w:rsid w:val="00954C43"/>
    <w:rsid w:val="00954F1A"/>
    <w:rsid w:val="0095512C"/>
    <w:rsid w:val="0095516A"/>
    <w:rsid w:val="0095517E"/>
    <w:rsid w:val="009551A8"/>
    <w:rsid w:val="009554AF"/>
    <w:rsid w:val="00955651"/>
    <w:rsid w:val="0095576B"/>
    <w:rsid w:val="0095576D"/>
    <w:rsid w:val="00955785"/>
    <w:rsid w:val="0095596C"/>
    <w:rsid w:val="009559DA"/>
    <w:rsid w:val="009559DD"/>
    <w:rsid w:val="00955C1B"/>
    <w:rsid w:val="00955C7A"/>
    <w:rsid w:val="00955CE6"/>
    <w:rsid w:val="00955D39"/>
    <w:rsid w:val="00955DE1"/>
    <w:rsid w:val="00955EE3"/>
    <w:rsid w:val="00956574"/>
    <w:rsid w:val="009567BA"/>
    <w:rsid w:val="00956860"/>
    <w:rsid w:val="00956954"/>
    <w:rsid w:val="00956ABE"/>
    <w:rsid w:val="00956AE2"/>
    <w:rsid w:val="00956EB6"/>
    <w:rsid w:val="009572E2"/>
    <w:rsid w:val="00957312"/>
    <w:rsid w:val="00957415"/>
    <w:rsid w:val="00957556"/>
    <w:rsid w:val="00957720"/>
    <w:rsid w:val="0095777C"/>
    <w:rsid w:val="00957899"/>
    <w:rsid w:val="0095797B"/>
    <w:rsid w:val="00957A25"/>
    <w:rsid w:val="00957A79"/>
    <w:rsid w:val="00957A80"/>
    <w:rsid w:val="00957CD5"/>
    <w:rsid w:val="00957D25"/>
    <w:rsid w:val="00957D95"/>
    <w:rsid w:val="00957EE8"/>
    <w:rsid w:val="00960034"/>
    <w:rsid w:val="00960058"/>
    <w:rsid w:val="009601AC"/>
    <w:rsid w:val="009604FA"/>
    <w:rsid w:val="00960538"/>
    <w:rsid w:val="009605C5"/>
    <w:rsid w:val="00960694"/>
    <w:rsid w:val="0096082F"/>
    <w:rsid w:val="00960B63"/>
    <w:rsid w:val="00960BE5"/>
    <w:rsid w:val="00960D27"/>
    <w:rsid w:val="00960DDA"/>
    <w:rsid w:val="00960E60"/>
    <w:rsid w:val="00960FFC"/>
    <w:rsid w:val="009610CE"/>
    <w:rsid w:val="0096145C"/>
    <w:rsid w:val="0096159C"/>
    <w:rsid w:val="009616CB"/>
    <w:rsid w:val="00961859"/>
    <w:rsid w:val="00961B41"/>
    <w:rsid w:val="00961C0F"/>
    <w:rsid w:val="00961C45"/>
    <w:rsid w:val="00961CE9"/>
    <w:rsid w:val="00961E01"/>
    <w:rsid w:val="00962310"/>
    <w:rsid w:val="00962461"/>
    <w:rsid w:val="009624C1"/>
    <w:rsid w:val="009624F9"/>
    <w:rsid w:val="009626D8"/>
    <w:rsid w:val="0096286B"/>
    <w:rsid w:val="00962940"/>
    <w:rsid w:val="00962BAA"/>
    <w:rsid w:val="00962C9A"/>
    <w:rsid w:val="00962CEF"/>
    <w:rsid w:val="00962DC4"/>
    <w:rsid w:val="009630BB"/>
    <w:rsid w:val="009631E4"/>
    <w:rsid w:val="0096324E"/>
    <w:rsid w:val="00963310"/>
    <w:rsid w:val="0096358C"/>
    <w:rsid w:val="00963640"/>
    <w:rsid w:val="00963668"/>
    <w:rsid w:val="0096370C"/>
    <w:rsid w:val="009637FB"/>
    <w:rsid w:val="00963A66"/>
    <w:rsid w:val="00963B14"/>
    <w:rsid w:val="00963D9F"/>
    <w:rsid w:val="00963DC8"/>
    <w:rsid w:val="00963E97"/>
    <w:rsid w:val="00964044"/>
    <w:rsid w:val="00964309"/>
    <w:rsid w:val="0096434A"/>
    <w:rsid w:val="0096467F"/>
    <w:rsid w:val="00964C4F"/>
    <w:rsid w:val="00964D7A"/>
    <w:rsid w:val="00964DD8"/>
    <w:rsid w:val="00964DE6"/>
    <w:rsid w:val="00965101"/>
    <w:rsid w:val="009652C6"/>
    <w:rsid w:val="00965484"/>
    <w:rsid w:val="00965499"/>
    <w:rsid w:val="00965716"/>
    <w:rsid w:val="009657A7"/>
    <w:rsid w:val="009659FD"/>
    <w:rsid w:val="00965AFC"/>
    <w:rsid w:val="00965F3E"/>
    <w:rsid w:val="00966045"/>
    <w:rsid w:val="009662A0"/>
    <w:rsid w:val="009663A8"/>
    <w:rsid w:val="00966543"/>
    <w:rsid w:val="009665DD"/>
    <w:rsid w:val="009665FF"/>
    <w:rsid w:val="00966900"/>
    <w:rsid w:val="00966918"/>
    <w:rsid w:val="00966A04"/>
    <w:rsid w:val="00966A38"/>
    <w:rsid w:val="00966D09"/>
    <w:rsid w:val="00966D35"/>
    <w:rsid w:val="00966DF0"/>
    <w:rsid w:val="00966F43"/>
    <w:rsid w:val="00967534"/>
    <w:rsid w:val="009678B4"/>
    <w:rsid w:val="00970459"/>
    <w:rsid w:val="00970474"/>
    <w:rsid w:val="009706AE"/>
    <w:rsid w:val="00970796"/>
    <w:rsid w:val="009707AD"/>
    <w:rsid w:val="009708D2"/>
    <w:rsid w:val="009709BF"/>
    <w:rsid w:val="00970B12"/>
    <w:rsid w:val="00970B90"/>
    <w:rsid w:val="00970FA3"/>
    <w:rsid w:val="0097106D"/>
    <w:rsid w:val="009711F6"/>
    <w:rsid w:val="00971223"/>
    <w:rsid w:val="00971570"/>
    <w:rsid w:val="009718E0"/>
    <w:rsid w:val="00971B84"/>
    <w:rsid w:val="0097207D"/>
    <w:rsid w:val="0097239C"/>
    <w:rsid w:val="009724FC"/>
    <w:rsid w:val="009725F9"/>
    <w:rsid w:val="00972661"/>
    <w:rsid w:val="00972934"/>
    <w:rsid w:val="00972A3B"/>
    <w:rsid w:val="00972B37"/>
    <w:rsid w:val="00972D8B"/>
    <w:rsid w:val="00972DB1"/>
    <w:rsid w:val="00972E94"/>
    <w:rsid w:val="00973064"/>
    <w:rsid w:val="00973337"/>
    <w:rsid w:val="00973675"/>
    <w:rsid w:val="00973A26"/>
    <w:rsid w:val="00973A4C"/>
    <w:rsid w:val="00973A8F"/>
    <w:rsid w:val="00973B44"/>
    <w:rsid w:val="00973C91"/>
    <w:rsid w:val="00973E4D"/>
    <w:rsid w:val="00974173"/>
    <w:rsid w:val="009741B9"/>
    <w:rsid w:val="009742E6"/>
    <w:rsid w:val="00974392"/>
    <w:rsid w:val="0097458B"/>
    <w:rsid w:val="00974749"/>
    <w:rsid w:val="00974CB1"/>
    <w:rsid w:val="00974E60"/>
    <w:rsid w:val="00974F66"/>
    <w:rsid w:val="00974F99"/>
    <w:rsid w:val="00974FDB"/>
    <w:rsid w:val="00975159"/>
    <w:rsid w:val="009754DE"/>
    <w:rsid w:val="009756DC"/>
    <w:rsid w:val="009758BD"/>
    <w:rsid w:val="00975B74"/>
    <w:rsid w:val="00975D10"/>
    <w:rsid w:val="00975D35"/>
    <w:rsid w:val="009761FA"/>
    <w:rsid w:val="0097622B"/>
    <w:rsid w:val="00976235"/>
    <w:rsid w:val="009763E2"/>
    <w:rsid w:val="00976565"/>
    <w:rsid w:val="00977109"/>
    <w:rsid w:val="009771A0"/>
    <w:rsid w:val="00977338"/>
    <w:rsid w:val="009774BD"/>
    <w:rsid w:val="009776DD"/>
    <w:rsid w:val="009776EF"/>
    <w:rsid w:val="00977715"/>
    <w:rsid w:val="0097775D"/>
    <w:rsid w:val="0097788B"/>
    <w:rsid w:val="00977AF4"/>
    <w:rsid w:val="00977C42"/>
    <w:rsid w:val="00977E25"/>
    <w:rsid w:val="00977E5B"/>
    <w:rsid w:val="009801BE"/>
    <w:rsid w:val="00980220"/>
    <w:rsid w:val="00980267"/>
    <w:rsid w:val="009802E0"/>
    <w:rsid w:val="00980401"/>
    <w:rsid w:val="0098056C"/>
    <w:rsid w:val="00980657"/>
    <w:rsid w:val="0098067D"/>
    <w:rsid w:val="00980740"/>
    <w:rsid w:val="009809CB"/>
    <w:rsid w:val="00980D04"/>
    <w:rsid w:val="0098137F"/>
    <w:rsid w:val="00981605"/>
    <w:rsid w:val="00981641"/>
    <w:rsid w:val="00981967"/>
    <w:rsid w:val="00981A41"/>
    <w:rsid w:val="00981C5F"/>
    <w:rsid w:val="00981C83"/>
    <w:rsid w:val="00981D82"/>
    <w:rsid w:val="00981E51"/>
    <w:rsid w:val="00981F32"/>
    <w:rsid w:val="009820B5"/>
    <w:rsid w:val="009825F1"/>
    <w:rsid w:val="009826A6"/>
    <w:rsid w:val="00982790"/>
    <w:rsid w:val="009827DE"/>
    <w:rsid w:val="009828C0"/>
    <w:rsid w:val="00982964"/>
    <w:rsid w:val="00982AE4"/>
    <w:rsid w:val="00982BD1"/>
    <w:rsid w:val="00982BE3"/>
    <w:rsid w:val="00982D0F"/>
    <w:rsid w:val="00982E60"/>
    <w:rsid w:val="00983491"/>
    <w:rsid w:val="009834B1"/>
    <w:rsid w:val="00983652"/>
    <w:rsid w:val="00983733"/>
    <w:rsid w:val="009837D4"/>
    <w:rsid w:val="00983B37"/>
    <w:rsid w:val="00983BD6"/>
    <w:rsid w:val="00983CFC"/>
    <w:rsid w:val="00983D48"/>
    <w:rsid w:val="00983FEB"/>
    <w:rsid w:val="0098413B"/>
    <w:rsid w:val="0098413C"/>
    <w:rsid w:val="0098416D"/>
    <w:rsid w:val="00984609"/>
    <w:rsid w:val="0098463A"/>
    <w:rsid w:val="00984681"/>
    <w:rsid w:val="00984872"/>
    <w:rsid w:val="00984A0D"/>
    <w:rsid w:val="00984C9E"/>
    <w:rsid w:val="00984DF0"/>
    <w:rsid w:val="00984E99"/>
    <w:rsid w:val="009850F8"/>
    <w:rsid w:val="00985210"/>
    <w:rsid w:val="0098529A"/>
    <w:rsid w:val="009852F7"/>
    <w:rsid w:val="009853B5"/>
    <w:rsid w:val="009855B0"/>
    <w:rsid w:val="009855E6"/>
    <w:rsid w:val="00985A33"/>
    <w:rsid w:val="00985A69"/>
    <w:rsid w:val="00985B80"/>
    <w:rsid w:val="00985B9F"/>
    <w:rsid w:val="00985D4F"/>
    <w:rsid w:val="00986065"/>
    <w:rsid w:val="009860C5"/>
    <w:rsid w:val="0098641B"/>
    <w:rsid w:val="00986466"/>
    <w:rsid w:val="00986567"/>
    <w:rsid w:val="00986584"/>
    <w:rsid w:val="00986641"/>
    <w:rsid w:val="00986DEA"/>
    <w:rsid w:val="00986E31"/>
    <w:rsid w:val="00986F0B"/>
    <w:rsid w:val="009871E0"/>
    <w:rsid w:val="009872B7"/>
    <w:rsid w:val="009876CC"/>
    <w:rsid w:val="009877DE"/>
    <w:rsid w:val="0098784C"/>
    <w:rsid w:val="00987900"/>
    <w:rsid w:val="00987996"/>
    <w:rsid w:val="009879BA"/>
    <w:rsid w:val="00987A1F"/>
    <w:rsid w:val="00987B26"/>
    <w:rsid w:val="00987DD5"/>
    <w:rsid w:val="009900F5"/>
    <w:rsid w:val="00990131"/>
    <w:rsid w:val="00990156"/>
    <w:rsid w:val="009901B7"/>
    <w:rsid w:val="00990225"/>
    <w:rsid w:val="0099025A"/>
    <w:rsid w:val="00990369"/>
    <w:rsid w:val="00990A5D"/>
    <w:rsid w:val="00990FAF"/>
    <w:rsid w:val="00991457"/>
    <w:rsid w:val="00991600"/>
    <w:rsid w:val="00991678"/>
    <w:rsid w:val="009916C6"/>
    <w:rsid w:val="00991724"/>
    <w:rsid w:val="009919C5"/>
    <w:rsid w:val="00991A27"/>
    <w:rsid w:val="00991AD4"/>
    <w:rsid w:val="00991B4C"/>
    <w:rsid w:val="00991D65"/>
    <w:rsid w:val="00991DDC"/>
    <w:rsid w:val="009920F0"/>
    <w:rsid w:val="00992238"/>
    <w:rsid w:val="00992380"/>
    <w:rsid w:val="009923AB"/>
    <w:rsid w:val="009924D5"/>
    <w:rsid w:val="00992A20"/>
    <w:rsid w:val="00992BA0"/>
    <w:rsid w:val="00992C46"/>
    <w:rsid w:val="00992F73"/>
    <w:rsid w:val="009932B4"/>
    <w:rsid w:val="009932B7"/>
    <w:rsid w:val="00993432"/>
    <w:rsid w:val="00993457"/>
    <w:rsid w:val="0099349C"/>
    <w:rsid w:val="009934C0"/>
    <w:rsid w:val="00993A6F"/>
    <w:rsid w:val="00993B67"/>
    <w:rsid w:val="00993BD8"/>
    <w:rsid w:val="00993CEB"/>
    <w:rsid w:val="00993DBA"/>
    <w:rsid w:val="00994184"/>
    <w:rsid w:val="00994391"/>
    <w:rsid w:val="009946D9"/>
    <w:rsid w:val="00994AEA"/>
    <w:rsid w:val="00994B60"/>
    <w:rsid w:val="00994C93"/>
    <w:rsid w:val="00994F40"/>
    <w:rsid w:val="00995048"/>
    <w:rsid w:val="0099504B"/>
    <w:rsid w:val="0099513E"/>
    <w:rsid w:val="009951A8"/>
    <w:rsid w:val="00995245"/>
    <w:rsid w:val="0099543B"/>
    <w:rsid w:val="00995446"/>
    <w:rsid w:val="00995610"/>
    <w:rsid w:val="00995657"/>
    <w:rsid w:val="009958AD"/>
    <w:rsid w:val="00995A73"/>
    <w:rsid w:val="00995B1E"/>
    <w:rsid w:val="00995B83"/>
    <w:rsid w:val="00995C41"/>
    <w:rsid w:val="00995CB3"/>
    <w:rsid w:val="00995F49"/>
    <w:rsid w:val="00996723"/>
    <w:rsid w:val="00996869"/>
    <w:rsid w:val="00996AE7"/>
    <w:rsid w:val="00996B30"/>
    <w:rsid w:val="00996B73"/>
    <w:rsid w:val="00996C7A"/>
    <w:rsid w:val="00996DE6"/>
    <w:rsid w:val="009970FE"/>
    <w:rsid w:val="00997373"/>
    <w:rsid w:val="009973CB"/>
    <w:rsid w:val="00997404"/>
    <w:rsid w:val="009977AC"/>
    <w:rsid w:val="0099786A"/>
    <w:rsid w:val="009A026A"/>
    <w:rsid w:val="009A026F"/>
    <w:rsid w:val="009A07CE"/>
    <w:rsid w:val="009A07E3"/>
    <w:rsid w:val="009A0A87"/>
    <w:rsid w:val="009A0B2D"/>
    <w:rsid w:val="009A0D2E"/>
    <w:rsid w:val="009A0D56"/>
    <w:rsid w:val="009A0DA3"/>
    <w:rsid w:val="009A0EF0"/>
    <w:rsid w:val="009A10A9"/>
    <w:rsid w:val="009A132B"/>
    <w:rsid w:val="009A1532"/>
    <w:rsid w:val="009A1647"/>
    <w:rsid w:val="009A18DA"/>
    <w:rsid w:val="009A1ABF"/>
    <w:rsid w:val="009A1AE2"/>
    <w:rsid w:val="009A1B98"/>
    <w:rsid w:val="009A1DBE"/>
    <w:rsid w:val="009A1FF4"/>
    <w:rsid w:val="009A225C"/>
    <w:rsid w:val="009A23BB"/>
    <w:rsid w:val="009A24CD"/>
    <w:rsid w:val="009A2581"/>
    <w:rsid w:val="009A2621"/>
    <w:rsid w:val="009A2671"/>
    <w:rsid w:val="009A26A7"/>
    <w:rsid w:val="009A29E3"/>
    <w:rsid w:val="009A2A84"/>
    <w:rsid w:val="009A2F0D"/>
    <w:rsid w:val="009A3162"/>
    <w:rsid w:val="009A318D"/>
    <w:rsid w:val="009A3249"/>
    <w:rsid w:val="009A35DA"/>
    <w:rsid w:val="009A38A0"/>
    <w:rsid w:val="009A3C24"/>
    <w:rsid w:val="009A3CE2"/>
    <w:rsid w:val="009A3FBA"/>
    <w:rsid w:val="009A4064"/>
    <w:rsid w:val="009A44B3"/>
    <w:rsid w:val="009A46B0"/>
    <w:rsid w:val="009A46F4"/>
    <w:rsid w:val="009A46F5"/>
    <w:rsid w:val="009A4824"/>
    <w:rsid w:val="009A4935"/>
    <w:rsid w:val="009A4AB8"/>
    <w:rsid w:val="009A4B25"/>
    <w:rsid w:val="009A4F1C"/>
    <w:rsid w:val="009A5039"/>
    <w:rsid w:val="009A5135"/>
    <w:rsid w:val="009A526D"/>
    <w:rsid w:val="009A554E"/>
    <w:rsid w:val="009A588A"/>
    <w:rsid w:val="009A5F3E"/>
    <w:rsid w:val="009A5FF4"/>
    <w:rsid w:val="009A65FE"/>
    <w:rsid w:val="009A6656"/>
    <w:rsid w:val="009A6DA2"/>
    <w:rsid w:val="009A6DB3"/>
    <w:rsid w:val="009A6EF6"/>
    <w:rsid w:val="009A7006"/>
    <w:rsid w:val="009A70D7"/>
    <w:rsid w:val="009A73BD"/>
    <w:rsid w:val="009A76C4"/>
    <w:rsid w:val="009A771C"/>
    <w:rsid w:val="009A7A1F"/>
    <w:rsid w:val="009A7AE1"/>
    <w:rsid w:val="009A7C13"/>
    <w:rsid w:val="009A7CF2"/>
    <w:rsid w:val="009B0183"/>
    <w:rsid w:val="009B01B3"/>
    <w:rsid w:val="009B0329"/>
    <w:rsid w:val="009B05F3"/>
    <w:rsid w:val="009B068C"/>
    <w:rsid w:val="009B0934"/>
    <w:rsid w:val="009B0BDB"/>
    <w:rsid w:val="009B0BE5"/>
    <w:rsid w:val="009B0CF8"/>
    <w:rsid w:val="009B0DCA"/>
    <w:rsid w:val="009B0FC0"/>
    <w:rsid w:val="009B112C"/>
    <w:rsid w:val="009B131F"/>
    <w:rsid w:val="009B1525"/>
    <w:rsid w:val="009B155E"/>
    <w:rsid w:val="009B168A"/>
    <w:rsid w:val="009B1EE8"/>
    <w:rsid w:val="009B2093"/>
    <w:rsid w:val="009B22DC"/>
    <w:rsid w:val="009B239F"/>
    <w:rsid w:val="009B2650"/>
    <w:rsid w:val="009B2689"/>
    <w:rsid w:val="009B29AB"/>
    <w:rsid w:val="009B2A85"/>
    <w:rsid w:val="009B2B12"/>
    <w:rsid w:val="009B2DC7"/>
    <w:rsid w:val="009B2EA2"/>
    <w:rsid w:val="009B2F58"/>
    <w:rsid w:val="009B305F"/>
    <w:rsid w:val="009B3090"/>
    <w:rsid w:val="009B31D7"/>
    <w:rsid w:val="009B3495"/>
    <w:rsid w:val="009B352D"/>
    <w:rsid w:val="009B3565"/>
    <w:rsid w:val="009B3643"/>
    <w:rsid w:val="009B37A2"/>
    <w:rsid w:val="009B37C8"/>
    <w:rsid w:val="009B3ABE"/>
    <w:rsid w:val="009B3CD1"/>
    <w:rsid w:val="009B3DFD"/>
    <w:rsid w:val="009B3F84"/>
    <w:rsid w:val="009B405C"/>
    <w:rsid w:val="009B45E6"/>
    <w:rsid w:val="009B4BB5"/>
    <w:rsid w:val="009B4C28"/>
    <w:rsid w:val="009B4D45"/>
    <w:rsid w:val="009B4DB1"/>
    <w:rsid w:val="009B4E58"/>
    <w:rsid w:val="009B4F8C"/>
    <w:rsid w:val="009B50EC"/>
    <w:rsid w:val="009B5115"/>
    <w:rsid w:val="009B56FA"/>
    <w:rsid w:val="009B5744"/>
    <w:rsid w:val="009B5AE3"/>
    <w:rsid w:val="009B5B74"/>
    <w:rsid w:val="009B5ED6"/>
    <w:rsid w:val="009B61A9"/>
    <w:rsid w:val="009B666F"/>
    <w:rsid w:val="009B67B9"/>
    <w:rsid w:val="009B6967"/>
    <w:rsid w:val="009B6C77"/>
    <w:rsid w:val="009B6E08"/>
    <w:rsid w:val="009B6E30"/>
    <w:rsid w:val="009B7024"/>
    <w:rsid w:val="009B719D"/>
    <w:rsid w:val="009B73F2"/>
    <w:rsid w:val="009B757C"/>
    <w:rsid w:val="009B757D"/>
    <w:rsid w:val="009B76DD"/>
    <w:rsid w:val="009B7B29"/>
    <w:rsid w:val="009B7B87"/>
    <w:rsid w:val="009B7ECF"/>
    <w:rsid w:val="009C0063"/>
    <w:rsid w:val="009C0154"/>
    <w:rsid w:val="009C02E6"/>
    <w:rsid w:val="009C0343"/>
    <w:rsid w:val="009C06AD"/>
    <w:rsid w:val="009C0900"/>
    <w:rsid w:val="009C0B99"/>
    <w:rsid w:val="009C0E5D"/>
    <w:rsid w:val="009C1169"/>
    <w:rsid w:val="009C127C"/>
    <w:rsid w:val="009C13AE"/>
    <w:rsid w:val="009C16A3"/>
    <w:rsid w:val="009C186D"/>
    <w:rsid w:val="009C1A6C"/>
    <w:rsid w:val="009C1B9C"/>
    <w:rsid w:val="009C1CB8"/>
    <w:rsid w:val="009C1CF9"/>
    <w:rsid w:val="009C1FF8"/>
    <w:rsid w:val="009C20AA"/>
    <w:rsid w:val="009C21B3"/>
    <w:rsid w:val="009C226C"/>
    <w:rsid w:val="009C22EA"/>
    <w:rsid w:val="009C264C"/>
    <w:rsid w:val="009C26AA"/>
    <w:rsid w:val="009C2B95"/>
    <w:rsid w:val="009C2D1A"/>
    <w:rsid w:val="009C2E27"/>
    <w:rsid w:val="009C3287"/>
    <w:rsid w:val="009C3413"/>
    <w:rsid w:val="009C36C4"/>
    <w:rsid w:val="009C3A2D"/>
    <w:rsid w:val="009C3B4C"/>
    <w:rsid w:val="009C3CEC"/>
    <w:rsid w:val="009C483B"/>
    <w:rsid w:val="009C4913"/>
    <w:rsid w:val="009C4FC6"/>
    <w:rsid w:val="009C51A6"/>
    <w:rsid w:val="009C5398"/>
    <w:rsid w:val="009C55B0"/>
    <w:rsid w:val="009C58D7"/>
    <w:rsid w:val="009C5EB1"/>
    <w:rsid w:val="009C609F"/>
    <w:rsid w:val="009C63B7"/>
    <w:rsid w:val="009C6753"/>
    <w:rsid w:val="009C68D2"/>
    <w:rsid w:val="009C6BBF"/>
    <w:rsid w:val="009C6E2F"/>
    <w:rsid w:val="009C6EA2"/>
    <w:rsid w:val="009C7347"/>
    <w:rsid w:val="009C738D"/>
    <w:rsid w:val="009C7595"/>
    <w:rsid w:val="009C772B"/>
    <w:rsid w:val="009C77C2"/>
    <w:rsid w:val="009C789E"/>
    <w:rsid w:val="009C791E"/>
    <w:rsid w:val="009C7CBC"/>
    <w:rsid w:val="009C7DFB"/>
    <w:rsid w:val="009D0216"/>
    <w:rsid w:val="009D02B2"/>
    <w:rsid w:val="009D02EE"/>
    <w:rsid w:val="009D04AE"/>
    <w:rsid w:val="009D04E7"/>
    <w:rsid w:val="009D0D7E"/>
    <w:rsid w:val="009D106B"/>
    <w:rsid w:val="009D1103"/>
    <w:rsid w:val="009D12DF"/>
    <w:rsid w:val="009D14D6"/>
    <w:rsid w:val="009D17E1"/>
    <w:rsid w:val="009D192C"/>
    <w:rsid w:val="009D1CFF"/>
    <w:rsid w:val="009D1E62"/>
    <w:rsid w:val="009D1F5A"/>
    <w:rsid w:val="009D20A0"/>
    <w:rsid w:val="009D22AD"/>
    <w:rsid w:val="009D232B"/>
    <w:rsid w:val="009D24C7"/>
    <w:rsid w:val="009D2A1E"/>
    <w:rsid w:val="009D2D0A"/>
    <w:rsid w:val="009D2D89"/>
    <w:rsid w:val="009D2E5E"/>
    <w:rsid w:val="009D2E88"/>
    <w:rsid w:val="009D31AE"/>
    <w:rsid w:val="009D3403"/>
    <w:rsid w:val="009D35DD"/>
    <w:rsid w:val="009D360B"/>
    <w:rsid w:val="009D366C"/>
    <w:rsid w:val="009D37E3"/>
    <w:rsid w:val="009D381D"/>
    <w:rsid w:val="009D3AF6"/>
    <w:rsid w:val="009D3C87"/>
    <w:rsid w:val="009D3F13"/>
    <w:rsid w:val="009D43CC"/>
    <w:rsid w:val="009D44C4"/>
    <w:rsid w:val="009D458C"/>
    <w:rsid w:val="009D45DA"/>
    <w:rsid w:val="009D4776"/>
    <w:rsid w:val="009D4A40"/>
    <w:rsid w:val="009D4B31"/>
    <w:rsid w:val="009D4C17"/>
    <w:rsid w:val="009D4C51"/>
    <w:rsid w:val="009D4C74"/>
    <w:rsid w:val="009D4E4F"/>
    <w:rsid w:val="009D4F7C"/>
    <w:rsid w:val="009D51C5"/>
    <w:rsid w:val="009D51E8"/>
    <w:rsid w:val="009D52B9"/>
    <w:rsid w:val="009D52C3"/>
    <w:rsid w:val="009D530D"/>
    <w:rsid w:val="009D537C"/>
    <w:rsid w:val="009D5422"/>
    <w:rsid w:val="009D54D2"/>
    <w:rsid w:val="009D5592"/>
    <w:rsid w:val="009D5823"/>
    <w:rsid w:val="009D5981"/>
    <w:rsid w:val="009D5B86"/>
    <w:rsid w:val="009D612C"/>
    <w:rsid w:val="009D6285"/>
    <w:rsid w:val="009D643D"/>
    <w:rsid w:val="009D6522"/>
    <w:rsid w:val="009D67AC"/>
    <w:rsid w:val="009D6900"/>
    <w:rsid w:val="009D69D9"/>
    <w:rsid w:val="009D6A50"/>
    <w:rsid w:val="009D6EFF"/>
    <w:rsid w:val="009D70CA"/>
    <w:rsid w:val="009D7398"/>
    <w:rsid w:val="009D751D"/>
    <w:rsid w:val="009D7577"/>
    <w:rsid w:val="009D7616"/>
    <w:rsid w:val="009D7739"/>
    <w:rsid w:val="009D77BD"/>
    <w:rsid w:val="009D7813"/>
    <w:rsid w:val="009D7853"/>
    <w:rsid w:val="009D789F"/>
    <w:rsid w:val="009D79D8"/>
    <w:rsid w:val="009D7C14"/>
    <w:rsid w:val="009D7F53"/>
    <w:rsid w:val="009E0664"/>
    <w:rsid w:val="009E06D5"/>
    <w:rsid w:val="009E0729"/>
    <w:rsid w:val="009E0B36"/>
    <w:rsid w:val="009E0C45"/>
    <w:rsid w:val="009E0CD3"/>
    <w:rsid w:val="009E0CDE"/>
    <w:rsid w:val="009E0EFF"/>
    <w:rsid w:val="009E0F17"/>
    <w:rsid w:val="009E0FB9"/>
    <w:rsid w:val="009E10AD"/>
    <w:rsid w:val="009E1373"/>
    <w:rsid w:val="009E16B2"/>
    <w:rsid w:val="009E16C7"/>
    <w:rsid w:val="009E1CEA"/>
    <w:rsid w:val="009E1F44"/>
    <w:rsid w:val="009E20B3"/>
    <w:rsid w:val="009E2970"/>
    <w:rsid w:val="009E2DFF"/>
    <w:rsid w:val="009E2EBA"/>
    <w:rsid w:val="009E33B2"/>
    <w:rsid w:val="009E362C"/>
    <w:rsid w:val="009E395A"/>
    <w:rsid w:val="009E3B06"/>
    <w:rsid w:val="009E3B3C"/>
    <w:rsid w:val="009E3FB8"/>
    <w:rsid w:val="009E4063"/>
    <w:rsid w:val="009E4264"/>
    <w:rsid w:val="009E4308"/>
    <w:rsid w:val="009E4565"/>
    <w:rsid w:val="009E4596"/>
    <w:rsid w:val="009E47F5"/>
    <w:rsid w:val="009E4CAA"/>
    <w:rsid w:val="009E5268"/>
    <w:rsid w:val="009E5436"/>
    <w:rsid w:val="009E5449"/>
    <w:rsid w:val="009E556B"/>
    <w:rsid w:val="009E57E7"/>
    <w:rsid w:val="009E583E"/>
    <w:rsid w:val="009E5B5C"/>
    <w:rsid w:val="009E6288"/>
    <w:rsid w:val="009E6440"/>
    <w:rsid w:val="009E66F1"/>
    <w:rsid w:val="009E679C"/>
    <w:rsid w:val="009E6823"/>
    <w:rsid w:val="009E69BF"/>
    <w:rsid w:val="009E6A18"/>
    <w:rsid w:val="009E6BEF"/>
    <w:rsid w:val="009E6CFD"/>
    <w:rsid w:val="009E6D57"/>
    <w:rsid w:val="009E6DB3"/>
    <w:rsid w:val="009E7009"/>
    <w:rsid w:val="009E7028"/>
    <w:rsid w:val="009E7330"/>
    <w:rsid w:val="009E73BD"/>
    <w:rsid w:val="009E76EB"/>
    <w:rsid w:val="009E773D"/>
    <w:rsid w:val="009E7EFA"/>
    <w:rsid w:val="009F04E4"/>
    <w:rsid w:val="009F0713"/>
    <w:rsid w:val="009F0739"/>
    <w:rsid w:val="009F085C"/>
    <w:rsid w:val="009F08A6"/>
    <w:rsid w:val="009F0A24"/>
    <w:rsid w:val="009F0B18"/>
    <w:rsid w:val="009F0BA2"/>
    <w:rsid w:val="009F0BAE"/>
    <w:rsid w:val="009F0C49"/>
    <w:rsid w:val="009F0CAB"/>
    <w:rsid w:val="009F0CF1"/>
    <w:rsid w:val="009F0D77"/>
    <w:rsid w:val="009F0DCA"/>
    <w:rsid w:val="009F110B"/>
    <w:rsid w:val="009F13F2"/>
    <w:rsid w:val="009F15DC"/>
    <w:rsid w:val="009F1B7B"/>
    <w:rsid w:val="009F1BA7"/>
    <w:rsid w:val="009F1BB3"/>
    <w:rsid w:val="009F1E4C"/>
    <w:rsid w:val="009F1EA9"/>
    <w:rsid w:val="009F1F47"/>
    <w:rsid w:val="009F2013"/>
    <w:rsid w:val="009F22AB"/>
    <w:rsid w:val="009F24BA"/>
    <w:rsid w:val="009F2789"/>
    <w:rsid w:val="009F28C1"/>
    <w:rsid w:val="009F28CA"/>
    <w:rsid w:val="009F2970"/>
    <w:rsid w:val="009F29C5"/>
    <w:rsid w:val="009F2A6A"/>
    <w:rsid w:val="009F2C32"/>
    <w:rsid w:val="009F2C98"/>
    <w:rsid w:val="009F3309"/>
    <w:rsid w:val="009F35EF"/>
    <w:rsid w:val="009F3735"/>
    <w:rsid w:val="009F39CF"/>
    <w:rsid w:val="009F3A58"/>
    <w:rsid w:val="009F3A96"/>
    <w:rsid w:val="009F3E54"/>
    <w:rsid w:val="009F3F94"/>
    <w:rsid w:val="009F418D"/>
    <w:rsid w:val="009F4408"/>
    <w:rsid w:val="009F457C"/>
    <w:rsid w:val="009F462C"/>
    <w:rsid w:val="009F467F"/>
    <w:rsid w:val="009F487E"/>
    <w:rsid w:val="009F4FCF"/>
    <w:rsid w:val="009F50FA"/>
    <w:rsid w:val="009F566D"/>
    <w:rsid w:val="009F5680"/>
    <w:rsid w:val="009F56D0"/>
    <w:rsid w:val="009F5867"/>
    <w:rsid w:val="009F5B61"/>
    <w:rsid w:val="009F600B"/>
    <w:rsid w:val="009F6374"/>
    <w:rsid w:val="009F64BE"/>
    <w:rsid w:val="009F67A1"/>
    <w:rsid w:val="009F67EB"/>
    <w:rsid w:val="009F6910"/>
    <w:rsid w:val="009F69DF"/>
    <w:rsid w:val="009F6A12"/>
    <w:rsid w:val="009F6E5A"/>
    <w:rsid w:val="009F7319"/>
    <w:rsid w:val="009F76BD"/>
    <w:rsid w:val="009F7A0C"/>
    <w:rsid w:val="009F7B19"/>
    <w:rsid w:val="009F7BC6"/>
    <w:rsid w:val="009F7E54"/>
    <w:rsid w:val="00A001EE"/>
    <w:rsid w:val="00A0027C"/>
    <w:rsid w:val="00A0037D"/>
    <w:rsid w:val="00A009C7"/>
    <w:rsid w:val="00A00BBC"/>
    <w:rsid w:val="00A00E88"/>
    <w:rsid w:val="00A011C4"/>
    <w:rsid w:val="00A01997"/>
    <w:rsid w:val="00A01BA3"/>
    <w:rsid w:val="00A01D51"/>
    <w:rsid w:val="00A01E0B"/>
    <w:rsid w:val="00A02058"/>
    <w:rsid w:val="00A02060"/>
    <w:rsid w:val="00A020CF"/>
    <w:rsid w:val="00A020DB"/>
    <w:rsid w:val="00A021F7"/>
    <w:rsid w:val="00A02453"/>
    <w:rsid w:val="00A02888"/>
    <w:rsid w:val="00A028B0"/>
    <w:rsid w:val="00A02C71"/>
    <w:rsid w:val="00A030F7"/>
    <w:rsid w:val="00A031E2"/>
    <w:rsid w:val="00A0326E"/>
    <w:rsid w:val="00A03326"/>
    <w:rsid w:val="00A0345E"/>
    <w:rsid w:val="00A036E4"/>
    <w:rsid w:val="00A03772"/>
    <w:rsid w:val="00A03891"/>
    <w:rsid w:val="00A038E5"/>
    <w:rsid w:val="00A0391B"/>
    <w:rsid w:val="00A03A27"/>
    <w:rsid w:val="00A03E44"/>
    <w:rsid w:val="00A04476"/>
    <w:rsid w:val="00A04611"/>
    <w:rsid w:val="00A04734"/>
    <w:rsid w:val="00A04ACE"/>
    <w:rsid w:val="00A04C89"/>
    <w:rsid w:val="00A04E5E"/>
    <w:rsid w:val="00A05107"/>
    <w:rsid w:val="00A0522C"/>
    <w:rsid w:val="00A054EC"/>
    <w:rsid w:val="00A05695"/>
    <w:rsid w:val="00A0588C"/>
    <w:rsid w:val="00A05970"/>
    <w:rsid w:val="00A05E0A"/>
    <w:rsid w:val="00A061ED"/>
    <w:rsid w:val="00A062C0"/>
    <w:rsid w:val="00A062F5"/>
    <w:rsid w:val="00A06414"/>
    <w:rsid w:val="00A064D3"/>
    <w:rsid w:val="00A0650A"/>
    <w:rsid w:val="00A0650E"/>
    <w:rsid w:val="00A06561"/>
    <w:rsid w:val="00A065A3"/>
    <w:rsid w:val="00A06A5D"/>
    <w:rsid w:val="00A06A77"/>
    <w:rsid w:val="00A06C67"/>
    <w:rsid w:val="00A06D93"/>
    <w:rsid w:val="00A0722D"/>
    <w:rsid w:val="00A072B1"/>
    <w:rsid w:val="00A07381"/>
    <w:rsid w:val="00A07860"/>
    <w:rsid w:val="00A079AB"/>
    <w:rsid w:val="00A07B3B"/>
    <w:rsid w:val="00A07E96"/>
    <w:rsid w:val="00A07F97"/>
    <w:rsid w:val="00A1033D"/>
    <w:rsid w:val="00A106FE"/>
    <w:rsid w:val="00A10763"/>
    <w:rsid w:val="00A107E5"/>
    <w:rsid w:val="00A111F8"/>
    <w:rsid w:val="00A113BE"/>
    <w:rsid w:val="00A11588"/>
    <w:rsid w:val="00A11612"/>
    <w:rsid w:val="00A11654"/>
    <w:rsid w:val="00A1171A"/>
    <w:rsid w:val="00A119B7"/>
    <w:rsid w:val="00A11A4E"/>
    <w:rsid w:val="00A11A6C"/>
    <w:rsid w:val="00A11AE6"/>
    <w:rsid w:val="00A11B0F"/>
    <w:rsid w:val="00A12492"/>
    <w:rsid w:val="00A1250A"/>
    <w:rsid w:val="00A1258F"/>
    <w:rsid w:val="00A1266B"/>
    <w:rsid w:val="00A127BB"/>
    <w:rsid w:val="00A129FC"/>
    <w:rsid w:val="00A12D73"/>
    <w:rsid w:val="00A12E64"/>
    <w:rsid w:val="00A12E7F"/>
    <w:rsid w:val="00A12F1D"/>
    <w:rsid w:val="00A131C6"/>
    <w:rsid w:val="00A1342A"/>
    <w:rsid w:val="00A135C9"/>
    <w:rsid w:val="00A13A3B"/>
    <w:rsid w:val="00A13A42"/>
    <w:rsid w:val="00A13B5A"/>
    <w:rsid w:val="00A13BB3"/>
    <w:rsid w:val="00A13BE4"/>
    <w:rsid w:val="00A13C51"/>
    <w:rsid w:val="00A13C91"/>
    <w:rsid w:val="00A13CAB"/>
    <w:rsid w:val="00A13D0A"/>
    <w:rsid w:val="00A13E5A"/>
    <w:rsid w:val="00A13EB7"/>
    <w:rsid w:val="00A1435F"/>
    <w:rsid w:val="00A1442E"/>
    <w:rsid w:val="00A1445F"/>
    <w:rsid w:val="00A145CC"/>
    <w:rsid w:val="00A148CD"/>
    <w:rsid w:val="00A149AB"/>
    <w:rsid w:val="00A15007"/>
    <w:rsid w:val="00A150E5"/>
    <w:rsid w:val="00A1518E"/>
    <w:rsid w:val="00A153ED"/>
    <w:rsid w:val="00A154B9"/>
    <w:rsid w:val="00A15A31"/>
    <w:rsid w:val="00A15B24"/>
    <w:rsid w:val="00A15D49"/>
    <w:rsid w:val="00A15F4E"/>
    <w:rsid w:val="00A16373"/>
    <w:rsid w:val="00A165E5"/>
    <w:rsid w:val="00A165F7"/>
    <w:rsid w:val="00A165FC"/>
    <w:rsid w:val="00A168AB"/>
    <w:rsid w:val="00A16AC7"/>
    <w:rsid w:val="00A16F90"/>
    <w:rsid w:val="00A172E9"/>
    <w:rsid w:val="00A17327"/>
    <w:rsid w:val="00A173C3"/>
    <w:rsid w:val="00A17608"/>
    <w:rsid w:val="00A200D2"/>
    <w:rsid w:val="00A20343"/>
    <w:rsid w:val="00A20981"/>
    <w:rsid w:val="00A20BAB"/>
    <w:rsid w:val="00A20DF4"/>
    <w:rsid w:val="00A20EDF"/>
    <w:rsid w:val="00A210D6"/>
    <w:rsid w:val="00A211CF"/>
    <w:rsid w:val="00A211D7"/>
    <w:rsid w:val="00A21323"/>
    <w:rsid w:val="00A21347"/>
    <w:rsid w:val="00A21382"/>
    <w:rsid w:val="00A213FE"/>
    <w:rsid w:val="00A215A1"/>
    <w:rsid w:val="00A21744"/>
    <w:rsid w:val="00A2178F"/>
    <w:rsid w:val="00A21828"/>
    <w:rsid w:val="00A21962"/>
    <w:rsid w:val="00A21C6F"/>
    <w:rsid w:val="00A21D21"/>
    <w:rsid w:val="00A21EB4"/>
    <w:rsid w:val="00A224AA"/>
    <w:rsid w:val="00A2285D"/>
    <w:rsid w:val="00A228B4"/>
    <w:rsid w:val="00A22946"/>
    <w:rsid w:val="00A22DA1"/>
    <w:rsid w:val="00A22DA2"/>
    <w:rsid w:val="00A22E2E"/>
    <w:rsid w:val="00A22FCB"/>
    <w:rsid w:val="00A2312C"/>
    <w:rsid w:val="00A23195"/>
    <w:rsid w:val="00A231C5"/>
    <w:rsid w:val="00A2327B"/>
    <w:rsid w:val="00A234FB"/>
    <w:rsid w:val="00A235B0"/>
    <w:rsid w:val="00A235F8"/>
    <w:rsid w:val="00A23607"/>
    <w:rsid w:val="00A23E74"/>
    <w:rsid w:val="00A241D8"/>
    <w:rsid w:val="00A243D9"/>
    <w:rsid w:val="00A2457B"/>
    <w:rsid w:val="00A2471A"/>
    <w:rsid w:val="00A24A38"/>
    <w:rsid w:val="00A24B6E"/>
    <w:rsid w:val="00A24BD5"/>
    <w:rsid w:val="00A24E96"/>
    <w:rsid w:val="00A24EEB"/>
    <w:rsid w:val="00A2581A"/>
    <w:rsid w:val="00A25C86"/>
    <w:rsid w:val="00A25E26"/>
    <w:rsid w:val="00A25F87"/>
    <w:rsid w:val="00A261A6"/>
    <w:rsid w:val="00A26491"/>
    <w:rsid w:val="00A264F5"/>
    <w:rsid w:val="00A265CE"/>
    <w:rsid w:val="00A2661B"/>
    <w:rsid w:val="00A2696B"/>
    <w:rsid w:val="00A26C87"/>
    <w:rsid w:val="00A26CF2"/>
    <w:rsid w:val="00A26D67"/>
    <w:rsid w:val="00A273AA"/>
    <w:rsid w:val="00A27440"/>
    <w:rsid w:val="00A27475"/>
    <w:rsid w:val="00A27660"/>
    <w:rsid w:val="00A27688"/>
    <w:rsid w:val="00A277FF"/>
    <w:rsid w:val="00A27AEC"/>
    <w:rsid w:val="00A27B58"/>
    <w:rsid w:val="00A27C1B"/>
    <w:rsid w:val="00A27E86"/>
    <w:rsid w:val="00A27E94"/>
    <w:rsid w:val="00A3000E"/>
    <w:rsid w:val="00A300F7"/>
    <w:rsid w:val="00A30235"/>
    <w:rsid w:val="00A30263"/>
    <w:rsid w:val="00A302CD"/>
    <w:rsid w:val="00A30692"/>
    <w:rsid w:val="00A308DB"/>
    <w:rsid w:val="00A308E1"/>
    <w:rsid w:val="00A30DCC"/>
    <w:rsid w:val="00A30DD7"/>
    <w:rsid w:val="00A3128A"/>
    <w:rsid w:val="00A314AA"/>
    <w:rsid w:val="00A314B0"/>
    <w:rsid w:val="00A31771"/>
    <w:rsid w:val="00A31B11"/>
    <w:rsid w:val="00A31FF0"/>
    <w:rsid w:val="00A32301"/>
    <w:rsid w:val="00A3257E"/>
    <w:rsid w:val="00A325F5"/>
    <w:rsid w:val="00A32C3A"/>
    <w:rsid w:val="00A32E98"/>
    <w:rsid w:val="00A3315E"/>
    <w:rsid w:val="00A33302"/>
    <w:rsid w:val="00A33597"/>
    <w:rsid w:val="00A3381E"/>
    <w:rsid w:val="00A3398E"/>
    <w:rsid w:val="00A33C0E"/>
    <w:rsid w:val="00A33C95"/>
    <w:rsid w:val="00A33DEB"/>
    <w:rsid w:val="00A33F3E"/>
    <w:rsid w:val="00A33F98"/>
    <w:rsid w:val="00A3453A"/>
    <w:rsid w:val="00A34555"/>
    <w:rsid w:val="00A346BA"/>
    <w:rsid w:val="00A34B77"/>
    <w:rsid w:val="00A34BBA"/>
    <w:rsid w:val="00A34C4B"/>
    <w:rsid w:val="00A34D3E"/>
    <w:rsid w:val="00A34E39"/>
    <w:rsid w:val="00A35192"/>
    <w:rsid w:val="00A351D0"/>
    <w:rsid w:val="00A35381"/>
    <w:rsid w:val="00A35890"/>
    <w:rsid w:val="00A3593F"/>
    <w:rsid w:val="00A35A6B"/>
    <w:rsid w:val="00A35A6C"/>
    <w:rsid w:val="00A3638F"/>
    <w:rsid w:val="00A367EA"/>
    <w:rsid w:val="00A36A08"/>
    <w:rsid w:val="00A36C76"/>
    <w:rsid w:val="00A36EE1"/>
    <w:rsid w:val="00A3723B"/>
    <w:rsid w:val="00A375BF"/>
    <w:rsid w:val="00A37695"/>
    <w:rsid w:val="00A37A28"/>
    <w:rsid w:val="00A37F7C"/>
    <w:rsid w:val="00A400C4"/>
    <w:rsid w:val="00A400C8"/>
    <w:rsid w:val="00A4010B"/>
    <w:rsid w:val="00A40353"/>
    <w:rsid w:val="00A40542"/>
    <w:rsid w:val="00A4056B"/>
    <w:rsid w:val="00A40571"/>
    <w:rsid w:val="00A40620"/>
    <w:rsid w:val="00A40DFD"/>
    <w:rsid w:val="00A40EF9"/>
    <w:rsid w:val="00A40FA8"/>
    <w:rsid w:val="00A410DE"/>
    <w:rsid w:val="00A4114D"/>
    <w:rsid w:val="00A41561"/>
    <w:rsid w:val="00A41725"/>
    <w:rsid w:val="00A41AAB"/>
    <w:rsid w:val="00A41C61"/>
    <w:rsid w:val="00A41D3A"/>
    <w:rsid w:val="00A4224C"/>
    <w:rsid w:val="00A424E7"/>
    <w:rsid w:val="00A42587"/>
    <w:rsid w:val="00A42921"/>
    <w:rsid w:val="00A42AF6"/>
    <w:rsid w:val="00A42B76"/>
    <w:rsid w:val="00A42D34"/>
    <w:rsid w:val="00A42ED9"/>
    <w:rsid w:val="00A430D1"/>
    <w:rsid w:val="00A432B7"/>
    <w:rsid w:val="00A433BE"/>
    <w:rsid w:val="00A43B1F"/>
    <w:rsid w:val="00A43B2A"/>
    <w:rsid w:val="00A43B61"/>
    <w:rsid w:val="00A43C1B"/>
    <w:rsid w:val="00A43CED"/>
    <w:rsid w:val="00A43EE1"/>
    <w:rsid w:val="00A441FA"/>
    <w:rsid w:val="00A44365"/>
    <w:rsid w:val="00A4449A"/>
    <w:rsid w:val="00A4473B"/>
    <w:rsid w:val="00A44A39"/>
    <w:rsid w:val="00A450B4"/>
    <w:rsid w:val="00A4517F"/>
    <w:rsid w:val="00A453B9"/>
    <w:rsid w:val="00A4550F"/>
    <w:rsid w:val="00A455A5"/>
    <w:rsid w:val="00A45821"/>
    <w:rsid w:val="00A45994"/>
    <w:rsid w:val="00A45C3C"/>
    <w:rsid w:val="00A45C5A"/>
    <w:rsid w:val="00A45FC2"/>
    <w:rsid w:val="00A465B9"/>
    <w:rsid w:val="00A466C6"/>
    <w:rsid w:val="00A46854"/>
    <w:rsid w:val="00A46A3F"/>
    <w:rsid w:val="00A471B4"/>
    <w:rsid w:val="00A4735E"/>
    <w:rsid w:val="00A477E5"/>
    <w:rsid w:val="00A478E4"/>
    <w:rsid w:val="00A47C35"/>
    <w:rsid w:val="00A47E67"/>
    <w:rsid w:val="00A47E8D"/>
    <w:rsid w:val="00A501AC"/>
    <w:rsid w:val="00A50496"/>
    <w:rsid w:val="00A5051D"/>
    <w:rsid w:val="00A50650"/>
    <w:rsid w:val="00A507BE"/>
    <w:rsid w:val="00A50AC4"/>
    <w:rsid w:val="00A50DE6"/>
    <w:rsid w:val="00A50E02"/>
    <w:rsid w:val="00A50E9E"/>
    <w:rsid w:val="00A50ECA"/>
    <w:rsid w:val="00A51086"/>
    <w:rsid w:val="00A5154D"/>
    <w:rsid w:val="00A51623"/>
    <w:rsid w:val="00A51821"/>
    <w:rsid w:val="00A51A9A"/>
    <w:rsid w:val="00A51B82"/>
    <w:rsid w:val="00A51DFB"/>
    <w:rsid w:val="00A5201A"/>
    <w:rsid w:val="00A521C0"/>
    <w:rsid w:val="00A52505"/>
    <w:rsid w:val="00A527DC"/>
    <w:rsid w:val="00A529CD"/>
    <w:rsid w:val="00A52ABC"/>
    <w:rsid w:val="00A52B6D"/>
    <w:rsid w:val="00A52C98"/>
    <w:rsid w:val="00A52FAC"/>
    <w:rsid w:val="00A52FBE"/>
    <w:rsid w:val="00A53295"/>
    <w:rsid w:val="00A53622"/>
    <w:rsid w:val="00A53812"/>
    <w:rsid w:val="00A5397F"/>
    <w:rsid w:val="00A54131"/>
    <w:rsid w:val="00A541B5"/>
    <w:rsid w:val="00A545CC"/>
    <w:rsid w:val="00A545DB"/>
    <w:rsid w:val="00A54606"/>
    <w:rsid w:val="00A549A8"/>
    <w:rsid w:val="00A54A70"/>
    <w:rsid w:val="00A55094"/>
    <w:rsid w:val="00A553DE"/>
    <w:rsid w:val="00A55403"/>
    <w:rsid w:val="00A557E8"/>
    <w:rsid w:val="00A5582D"/>
    <w:rsid w:val="00A55A06"/>
    <w:rsid w:val="00A55A46"/>
    <w:rsid w:val="00A55CBA"/>
    <w:rsid w:val="00A55FEA"/>
    <w:rsid w:val="00A56301"/>
    <w:rsid w:val="00A565DD"/>
    <w:rsid w:val="00A5683C"/>
    <w:rsid w:val="00A56901"/>
    <w:rsid w:val="00A5692E"/>
    <w:rsid w:val="00A56B46"/>
    <w:rsid w:val="00A56BD5"/>
    <w:rsid w:val="00A56BEE"/>
    <w:rsid w:val="00A56C58"/>
    <w:rsid w:val="00A56CFA"/>
    <w:rsid w:val="00A56D2C"/>
    <w:rsid w:val="00A56E14"/>
    <w:rsid w:val="00A56ECC"/>
    <w:rsid w:val="00A56EF0"/>
    <w:rsid w:val="00A5738F"/>
    <w:rsid w:val="00A574E6"/>
    <w:rsid w:val="00A574F0"/>
    <w:rsid w:val="00A57B0D"/>
    <w:rsid w:val="00A57B22"/>
    <w:rsid w:val="00A57D7B"/>
    <w:rsid w:val="00A57E7B"/>
    <w:rsid w:val="00A60004"/>
    <w:rsid w:val="00A60250"/>
    <w:rsid w:val="00A60304"/>
    <w:rsid w:val="00A60478"/>
    <w:rsid w:val="00A605AE"/>
    <w:rsid w:val="00A606AA"/>
    <w:rsid w:val="00A60898"/>
    <w:rsid w:val="00A60940"/>
    <w:rsid w:val="00A60A38"/>
    <w:rsid w:val="00A6105F"/>
    <w:rsid w:val="00A61272"/>
    <w:rsid w:val="00A61352"/>
    <w:rsid w:val="00A6150C"/>
    <w:rsid w:val="00A61698"/>
    <w:rsid w:val="00A61A99"/>
    <w:rsid w:val="00A61D47"/>
    <w:rsid w:val="00A6236C"/>
    <w:rsid w:val="00A623AB"/>
    <w:rsid w:val="00A62577"/>
    <w:rsid w:val="00A6260E"/>
    <w:rsid w:val="00A62668"/>
    <w:rsid w:val="00A626F9"/>
    <w:rsid w:val="00A62A37"/>
    <w:rsid w:val="00A631BA"/>
    <w:rsid w:val="00A632E3"/>
    <w:rsid w:val="00A6347C"/>
    <w:rsid w:val="00A63785"/>
    <w:rsid w:val="00A63789"/>
    <w:rsid w:val="00A637AD"/>
    <w:rsid w:val="00A638BF"/>
    <w:rsid w:val="00A63A95"/>
    <w:rsid w:val="00A63AAE"/>
    <w:rsid w:val="00A63CDA"/>
    <w:rsid w:val="00A63FD4"/>
    <w:rsid w:val="00A63FF7"/>
    <w:rsid w:val="00A64334"/>
    <w:rsid w:val="00A64374"/>
    <w:rsid w:val="00A64799"/>
    <w:rsid w:val="00A648D1"/>
    <w:rsid w:val="00A64B2C"/>
    <w:rsid w:val="00A650B1"/>
    <w:rsid w:val="00A650F7"/>
    <w:rsid w:val="00A6538A"/>
    <w:rsid w:val="00A6543C"/>
    <w:rsid w:val="00A6551E"/>
    <w:rsid w:val="00A65736"/>
    <w:rsid w:val="00A6576B"/>
    <w:rsid w:val="00A658ED"/>
    <w:rsid w:val="00A65A29"/>
    <w:rsid w:val="00A65BA1"/>
    <w:rsid w:val="00A65F78"/>
    <w:rsid w:val="00A66102"/>
    <w:rsid w:val="00A66238"/>
    <w:rsid w:val="00A666F5"/>
    <w:rsid w:val="00A6671E"/>
    <w:rsid w:val="00A66D69"/>
    <w:rsid w:val="00A671A9"/>
    <w:rsid w:val="00A67283"/>
    <w:rsid w:val="00A67887"/>
    <w:rsid w:val="00A67948"/>
    <w:rsid w:val="00A6795D"/>
    <w:rsid w:val="00A6797F"/>
    <w:rsid w:val="00A67A70"/>
    <w:rsid w:val="00A70204"/>
    <w:rsid w:val="00A70212"/>
    <w:rsid w:val="00A70215"/>
    <w:rsid w:val="00A70443"/>
    <w:rsid w:val="00A704CB"/>
    <w:rsid w:val="00A704D9"/>
    <w:rsid w:val="00A705A9"/>
    <w:rsid w:val="00A70747"/>
    <w:rsid w:val="00A70811"/>
    <w:rsid w:val="00A70A3D"/>
    <w:rsid w:val="00A70C85"/>
    <w:rsid w:val="00A70D60"/>
    <w:rsid w:val="00A70D6E"/>
    <w:rsid w:val="00A70DBF"/>
    <w:rsid w:val="00A70DD2"/>
    <w:rsid w:val="00A7101E"/>
    <w:rsid w:val="00A7167E"/>
    <w:rsid w:val="00A71689"/>
    <w:rsid w:val="00A718C4"/>
    <w:rsid w:val="00A718D9"/>
    <w:rsid w:val="00A7195C"/>
    <w:rsid w:val="00A719F5"/>
    <w:rsid w:val="00A71C7A"/>
    <w:rsid w:val="00A71D6F"/>
    <w:rsid w:val="00A71DC1"/>
    <w:rsid w:val="00A71DCA"/>
    <w:rsid w:val="00A71DED"/>
    <w:rsid w:val="00A72249"/>
    <w:rsid w:val="00A724D5"/>
    <w:rsid w:val="00A725A1"/>
    <w:rsid w:val="00A72607"/>
    <w:rsid w:val="00A72A2D"/>
    <w:rsid w:val="00A72E35"/>
    <w:rsid w:val="00A72E97"/>
    <w:rsid w:val="00A73080"/>
    <w:rsid w:val="00A73087"/>
    <w:rsid w:val="00A73182"/>
    <w:rsid w:val="00A732BD"/>
    <w:rsid w:val="00A73623"/>
    <w:rsid w:val="00A73847"/>
    <w:rsid w:val="00A73B6C"/>
    <w:rsid w:val="00A73C50"/>
    <w:rsid w:val="00A73DAF"/>
    <w:rsid w:val="00A7415B"/>
    <w:rsid w:val="00A74190"/>
    <w:rsid w:val="00A743F6"/>
    <w:rsid w:val="00A74453"/>
    <w:rsid w:val="00A7491B"/>
    <w:rsid w:val="00A74C4E"/>
    <w:rsid w:val="00A74F78"/>
    <w:rsid w:val="00A7558F"/>
    <w:rsid w:val="00A755A6"/>
    <w:rsid w:val="00A75A23"/>
    <w:rsid w:val="00A75AC3"/>
    <w:rsid w:val="00A75D72"/>
    <w:rsid w:val="00A75E7D"/>
    <w:rsid w:val="00A75F87"/>
    <w:rsid w:val="00A764A1"/>
    <w:rsid w:val="00A765D7"/>
    <w:rsid w:val="00A76742"/>
    <w:rsid w:val="00A7693B"/>
    <w:rsid w:val="00A769E6"/>
    <w:rsid w:val="00A76D35"/>
    <w:rsid w:val="00A76D82"/>
    <w:rsid w:val="00A76EC3"/>
    <w:rsid w:val="00A76F03"/>
    <w:rsid w:val="00A7718A"/>
    <w:rsid w:val="00A7731E"/>
    <w:rsid w:val="00A77599"/>
    <w:rsid w:val="00A77686"/>
    <w:rsid w:val="00A776EB"/>
    <w:rsid w:val="00A7775E"/>
    <w:rsid w:val="00A7788F"/>
    <w:rsid w:val="00A778C8"/>
    <w:rsid w:val="00A77A3F"/>
    <w:rsid w:val="00A77AD5"/>
    <w:rsid w:val="00A77B41"/>
    <w:rsid w:val="00A77D8D"/>
    <w:rsid w:val="00A77EFF"/>
    <w:rsid w:val="00A77F3E"/>
    <w:rsid w:val="00A801C3"/>
    <w:rsid w:val="00A80503"/>
    <w:rsid w:val="00A80504"/>
    <w:rsid w:val="00A8076A"/>
    <w:rsid w:val="00A807F8"/>
    <w:rsid w:val="00A809E7"/>
    <w:rsid w:val="00A80BBD"/>
    <w:rsid w:val="00A80BC9"/>
    <w:rsid w:val="00A80BD5"/>
    <w:rsid w:val="00A80CB4"/>
    <w:rsid w:val="00A80DCE"/>
    <w:rsid w:val="00A81005"/>
    <w:rsid w:val="00A810D2"/>
    <w:rsid w:val="00A81253"/>
    <w:rsid w:val="00A8136C"/>
    <w:rsid w:val="00A814B6"/>
    <w:rsid w:val="00A815F0"/>
    <w:rsid w:val="00A816E0"/>
    <w:rsid w:val="00A81769"/>
    <w:rsid w:val="00A81881"/>
    <w:rsid w:val="00A818E1"/>
    <w:rsid w:val="00A81A11"/>
    <w:rsid w:val="00A81E8F"/>
    <w:rsid w:val="00A81EFF"/>
    <w:rsid w:val="00A821D2"/>
    <w:rsid w:val="00A82335"/>
    <w:rsid w:val="00A823FA"/>
    <w:rsid w:val="00A8245D"/>
    <w:rsid w:val="00A8265B"/>
    <w:rsid w:val="00A82910"/>
    <w:rsid w:val="00A82B50"/>
    <w:rsid w:val="00A82CF7"/>
    <w:rsid w:val="00A82E64"/>
    <w:rsid w:val="00A83023"/>
    <w:rsid w:val="00A831D9"/>
    <w:rsid w:val="00A83470"/>
    <w:rsid w:val="00A834D6"/>
    <w:rsid w:val="00A83F82"/>
    <w:rsid w:val="00A840FF"/>
    <w:rsid w:val="00A8418D"/>
    <w:rsid w:val="00A84649"/>
    <w:rsid w:val="00A8473C"/>
    <w:rsid w:val="00A84786"/>
    <w:rsid w:val="00A84967"/>
    <w:rsid w:val="00A84DA9"/>
    <w:rsid w:val="00A851F1"/>
    <w:rsid w:val="00A85236"/>
    <w:rsid w:val="00A85534"/>
    <w:rsid w:val="00A855E8"/>
    <w:rsid w:val="00A856AF"/>
    <w:rsid w:val="00A858CE"/>
    <w:rsid w:val="00A85E65"/>
    <w:rsid w:val="00A85E6F"/>
    <w:rsid w:val="00A85F55"/>
    <w:rsid w:val="00A867B3"/>
    <w:rsid w:val="00A867E7"/>
    <w:rsid w:val="00A86838"/>
    <w:rsid w:val="00A86A5E"/>
    <w:rsid w:val="00A86C3A"/>
    <w:rsid w:val="00A86C72"/>
    <w:rsid w:val="00A86DB2"/>
    <w:rsid w:val="00A86DB5"/>
    <w:rsid w:val="00A86EB5"/>
    <w:rsid w:val="00A8731C"/>
    <w:rsid w:val="00A877E3"/>
    <w:rsid w:val="00A8783E"/>
    <w:rsid w:val="00A87940"/>
    <w:rsid w:val="00A879AB"/>
    <w:rsid w:val="00A87BC3"/>
    <w:rsid w:val="00A87EAD"/>
    <w:rsid w:val="00A90284"/>
    <w:rsid w:val="00A90332"/>
    <w:rsid w:val="00A90374"/>
    <w:rsid w:val="00A9040B"/>
    <w:rsid w:val="00A9042D"/>
    <w:rsid w:val="00A907AB"/>
    <w:rsid w:val="00A90C2E"/>
    <w:rsid w:val="00A90C96"/>
    <w:rsid w:val="00A91487"/>
    <w:rsid w:val="00A915FD"/>
    <w:rsid w:val="00A91D51"/>
    <w:rsid w:val="00A91E87"/>
    <w:rsid w:val="00A92139"/>
    <w:rsid w:val="00A9250D"/>
    <w:rsid w:val="00A92770"/>
    <w:rsid w:val="00A92B1C"/>
    <w:rsid w:val="00A92BDC"/>
    <w:rsid w:val="00A92E4C"/>
    <w:rsid w:val="00A92EC7"/>
    <w:rsid w:val="00A930E3"/>
    <w:rsid w:val="00A9310B"/>
    <w:rsid w:val="00A931C2"/>
    <w:rsid w:val="00A932B0"/>
    <w:rsid w:val="00A93678"/>
    <w:rsid w:val="00A93B11"/>
    <w:rsid w:val="00A93B75"/>
    <w:rsid w:val="00A93F8B"/>
    <w:rsid w:val="00A94153"/>
    <w:rsid w:val="00A94415"/>
    <w:rsid w:val="00A944CB"/>
    <w:rsid w:val="00A9450B"/>
    <w:rsid w:val="00A945EA"/>
    <w:rsid w:val="00A946BB"/>
    <w:rsid w:val="00A9474B"/>
    <w:rsid w:val="00A94920"/>
    <w:rsid w:val="00A94D66"/>
    <w:rsid w:val="00A94E33"/>
    <w:rsid w:val="00A94E90"/>
    <w:rsid w:val="00A95175"/>
    <w:rsid w:val="00A95256"/>
    <w:rsid w:val="00A95509"/>
    <w:rsid w:val="00A95619"/>
    <w:rsid w:val="00A95AEE"/>
    <w:rsid w:val="00A95DB9"/>
    <w:rsid w:val="00A95F0B"/>
    <w:rsid w:val="00A96020"/>
    <w:rsid w:val="00A966C0"/>
    <w:rsid w:val="00A9673B"/>
    <w:rsid w:val="00A96A61"/>
    <w:rsid w:val="00A96BFD"/>
    <w:rsid w:val="00A96C80"/>
    <w:rsid w:val="00A96D05"/>
    <w:rsid w:val="00A96DCF"/>
    <w:rsid w:val="00A96F7B"/>
    <w:rsid w:val="00A97477"/>
    <w:rsid w:val="00A974D2"/>
    <w:rsid w:val="00A974E5"/>
    <w:rsid w:val="00A975E3"/>
    <w:rsid w:val="00A976EE"/>
    <w:rsid w:val="00A9779B"/>
    <w:rsid w:val="00A97AE9"/>
    <w:rsid w:val="00A97B0E"/>
    <w:rsid w:val="00A97CD4"/>
    <w:rsid w:val="00A97D1C"/>
    <w:rsid w:val="00A97D82"/>
    <w:rsid w:val="00A97EAA"/>
    <w:rsid w:val="00AA080E"/>
    <w:rsid w:val="00AA09D8"/>
    <w:rsid w:val="00AA09DD"/>
    <w:rsid w:val="00AA0F5F"/>
    <w:rsid w:val="00AA115E"/>
    <w:rsid w:val="00AA11B3"/>
    <w:rsid w:val="00AA137E"/>
    <w:rsid w:val="00AA1644"/>
    <w:rsid w:val="00AA16FA"/>
    <w:rsid w:val="00AA17BE"/>
    <w:rsid w:val="00AA1AEC"/>
    <w:rsid w:val="00AA1B37"/>
    <w:rsid w:val="00AA1E02"/>
    <w:rsid w:val="00AA208C"/>
    <w:rsid w:val="00AA20BA"/>
    <w:rsid w:val="00AA285B"/>
    <w:rsid w:val="00AA2A8D"/>
    <w:rsid w:val="00AA2C01"/>
    <w:rsid w:val="00AA339E"/>
    <w:rsid w:val="00AA33F0"/>
    <w:rsid w:val="00AA35F7"/>
    <w:rsid w:val="00AA382A"/>
    <w:rsid w:val="00AA384B"/>
    <w:rsid w:val="00AA39B3"/>
    <w:rsid w:val="00AA41FE"/>
    <w:rsid w:val="00AA4434"/>
    <w:rsid w:val="00AA463E"/>
    <w:rsid w:val="00AA46EA"/>
    <w:rsid w:val="00AA4726"/>
    <w:rsid w:val="00AA4835"/>
    <w:rsid w:val="00AA4932"/>
    <w:rsid w:val="00AA4967"/>
    <w:rsid w:val="00AA4A81"/>
    <w:rsid w:val="00AA4CB6"/>
    <w:rsid w:val="00AA4D66"/>
    <w:rsid w:val="00AA4E9D"/>
    <w:rsid w:val="00AA4FC3"/>
    <w:rsid w:val="00AA532B"/>
    <w:rsid w:val="00AA57FC"/>
    <w:rsid w:val="00AA591A"/>
    <w:rsid w:val="00AA5C60"/>
    <w:rsid w:val="00AA5E20"/>
    <w:rsid w:val="00AA60D2"/>
    <w:rsid w:val="00AA60DB"/>
    <w:rsid w:val="00AA643A"/>
    <w:rsid w:val="00AA6543"/>
    <w:rsid w:val="00AA6655"/>
    <w:rsid w:val="00AA66B0"/>
    <w:rsid w:val="00AA66C4"/>
    <w:rsid w:val="00AA6894"/>
    <w:rsid w:val="00AA6C43"/>
    <w:rsid w:val="00AA6C7D"/>
    <w:rsid w:val="00AA6D69"/>
    <w:rsid w:val="00AA7058"/>
    <w:rsid w:val="00AA7227"/>
    <w:rsid w:val="00AA741E"/>
    <w:rsid w:val="00AA751C"/>
    <w:rsid w:val="00AA7669"/>
    <w:rsid w:val="00AA7682"/>
    <w:rsid w:val="00AA77C3"/>
    <w:rsid w:val="00AB0033"/>
    <w:rsid w:val="00AB0093"/>
    <w:rsid w:val="00AB0194"/>
    <w:rsid w:val="00AB0317"/>
    <w:rsid w:val="00AB03EC"/>
    <w:rsid w:val="00AB03F4"/>
    <w:rsid w:val="00AB065E"/>
    <w:rsid w:val="00AB0680"/>
    <w:rsid w:val="00AB068F"/>
    <w:rsid w:val="00AB08E5"/>
    <w:rsid w:val="00AB08FB"/>
    <w:rsid w:val="00AB095D"/>
    <w:rsid w:val="00AB09AB"/>
    <w:rsid w:val="00AB0C22"/>
    <w:rsid w:val="00AB0CCD"/>
    <w:rsid w:val="00AB1123"/>
    <w:rsid w:val="00AB1396"/>
    <w:rsid w:val="00AB170C"/>
    <w:rsid w:val="00AB1743"/>
    <w:rsid w:val="00AB174D"/>
    <w:rsid w:val="00AB18ED"/>
    <w:rsid w:val="00AB18F4"/>
    <w:rsid w:val="00AB1FCE"/>
    <w:rsid w:val="00AB2206"/>
    <w:rsid w:val="00AB2469"/>
    <w:rsid w:val="00AB29D5"/>
    <w:rsid w:val="00AB2B7F"/>
    <w:rsid w:val="00AB2CFA"/>
    <w:rsid w:val="00AB2E08"/>
    <w:rsid w:val="00AB2EE5"/>
    <w:rsid w:val="00AB2F95"/>
    <w:rsid w:val="00AB2FBA"/>
    <w:rsid w:val="00AB3078"/>
    <w:rsid w:val="00AB30F9"/>
    <w:rsid w:val="00AB31E5"/>
    <w:rsid w:val="00AB3529"/>
    <w:rsid w:val="00AB3855"/>
    <w:rsid w:val="00AB38B2"/>
    <w:rsid w:val="00AB3A32"/>
    <w:rsid w:val="00AB3A4B"/>
    <w:rsid w:val="00AB3AF6"/>
    <w:rsid w:val="00AB3C26"/>
    <w:rsid w:val="00AB3CCE"/>
    <w:rsid w:val="00AB3CF6"/>
    <w:rsid w:val="00AB3D21"/>
    <w:rsid w:val="00AB3D6B"/>
    <w:rsid w:val="00AB3DDB"/>
    <w:rsid w:val="00AB3FA4"/>
    <w:rsid w:val="00AB40AA"/>
    <w:rsid w:val="00AB41B3"/>
    <w:rsid w:val="00AB4440"/>
    <w:rsid w:val="00AB485D"/>
    <w:rsid w:val="00AB49AF"/>
    <w:rsid w:val="00AB4B03"/>
    <w:rsid w:val="00AB4B5B"/>
    <w:rsid w:val="00AB4D7A"/>
    <w:rsid w:val="00AB4D87"/>
    <w:rsid w:val="00AB507C"/>
    <w:rsid w:val="00AB5281"/>
    <w:rsid w:val="00AB567C"/>
    <w:rsid w:val="00AB575D"/>
    <w:rsid w:val="00AB58A2"/>
    <w:rsid w:val="00AB5933"/>
    <w:rsid w:val="00AB595B"/>
    <w:rsid w:val="00AB5A26"/>
    <w:rsid w:val="00AB5D1F"/>
    <w:rsid w:val="00AB5D22"/>
    <w:rsid w:val="00AB61C2"/>
    <w:rsid w:val="00AB6466"/>
    <w:rsid w:val="00AB655C"/>
    <w:rsid w:val="00AB6566"/>
    <w:rsid w:val="00AB6571"/>
    <w:rsid w:val="00AB6B19"/>
    <w:rsid w:val="00AB6C1D"/>
    <w:rsid w:val="00AB6CB0"/>
    <w:rsid w:val="00AB6E3B"/>
    <w:rsid w:val="00AB710F"/>
    <w:rsid w:val="00AB72B4"/>
    <w:rsid w:val="00AB787E"/>
    <w:rsid w:val="00AB7CBB"/>
    <w:rsid w:val="00AB7EC0"/>
    <w:rsid w:val="00AC0010"/>
    <w:rsid w:val="00AC00B6"/>
    <w:rsid w:val="00AC0183"/>
    <w:rsid w:val="00AC0267"/>
    <w:rsid w:val="00AC0982"/>
    <w:rsid w:val="00AC0B19"/>
    <w:rsid w:val="00AC0B22"/>
    <w:rsid w:val="00AC0B68"/>
    <w:rsid w:val="00AC0B8D"/>
    <w:rsid w:val="00AC0CB8"/>
    <w:rsid w:val="00AC0E85"/>
    <w:rsid w:val="00AC1359"/>
    <w:rsid w:val="00AC1668"/>
    <w:rsid w:val="00AC16DD"/>
    <w:rsid w:val="00AC179D"/>
    <w:rsid w:val="00AC1897"/>
    <w:rsid w:val="00AC1903"/>
    <w:rsid w:val="00AC192C"/>
    <w:rsid w:val="00AC19EA"/>
    <w:rsid w:val="00AC1F09"/>
    <w:rsid w:val="00AC25A8"/>
    <w:rsid w:val="00AC2756"/>
    <w:rsid w:val="00AC28CD"/>
    <w:rsid w:val="00AC291C"/>
    <w:rsid w:val="00AC2A61"/>
    <w:rsid w:val="00AC2CCA"/>
    <w:rsid w:val="00AC2D74"/>
    <w:rsid w:val="00AC2D86"/>
    <w:rsid w:val="00AC2FFD"/>
    <w:rsid w:val="00AC3030"/>
    <w:rsid w:val="00AC3896"/>
    <w:rsid w:val="00AC39B7"/>
    <w:rsid w:val="00AC3A11"/>
    <w:rsid w:val="00AC3CAD"/>
    <w:rsid w:val="00AC3CE5"/>
    <w:rsid w:val="00AC3F0E"/>
    <w:rsid w:val="00AC3F55"/>
    <w:rsid w:val="00AC4050"/>
    <w:rsid w:val="00AC4153"/>
    <w:rsid w:val="00AC416B"/>
    <w:rsid w:val="00AC4AB3"/>
    <w:rsid w:val="00AC4ADF"/>
    <w:rsid w:val="00AC4E37"/>
    <w:rsid w:val="00AC4E48"/>
    <w:rsid w:val="00AC534E"/>
    <w:rsid w:val="00AC540D"/>
    <w:rsid w:val="00AC54DA"/>
    <w:rsid w:val="00AC58D1"/>
    <w:rsid w:val="00AC59BD"/>
    <w:rsid w:val="00AC5AC8"/>
    <w:rsid w:val="00AC5CD4"/>
    <w:rsid w:val="00AC6051"/>
    <w:rsid w:val="00AC626B"/>
    <w:rsid w:val="00AC627A"/>
    <w:rsid w:val="00AC62AE"/>
    <w:rsid w:val="00AC67E8"/>
    <w:rsid w:val="00AC67E9"/>
    <w:rsid w:val="00AC694D"/>
    <w:rsid w:val="00AC7038"/>
    <w:rsid w:val="00AC735D"/>
    <w:rsid w:val="00AC74E2"/>
    <w:rsid w:val="00AC7555"/>
    <w:rsid w:val="00AC756A"/>
    <w:rsid w:val="00AC75A6"/>
    <w:rsid w:val="00AC77B5"/>
    <w:rsid w:val="00AC7A24"/>
    <w:rsid w:val="00AC7A88"/>
    <w:rsid w:val="00AC7A8D"/>
    <w:rsid w:val="00AC7CA6"/>
    <w:rsid w:val="00AC7D6C"/>
    <w:rsid w:val="00AC7E80"/>
    <w:rsid w:val="00AD0066"/>
    <w:rsid w:val="00AD03CA"/>
    <w:rsid w:val="00AD03ED"/>
    <w:rsid w:val="00AD05CD"/>
    <w:rsid w:val="00AD08A0"/>
    <w:rsid w:val="00AD0906"/>
    <w:rsid w:val="00AD0A81"/>
    <w:rsid w:val="00AD0AB4"/>
    <w:rsid w:val="00AD0E9A"/>
    <w:rsid w:val="00AD1022"/>
    <w:rsid w:val="00AD1059"/>
    <w:rsid w:val="00AD1067"/>
    <w:rsid w:val="00AD115E"/>
    <w:rsid w:val="00AD1502"/>
    <w:rsid w:val="00AD1617"/>
    <w:rsid w:val="00AD1918"/>
    <w:rsid w:val="00AD19C4"/>
    <w:rsid w:val="00AD1CC7"/>
    <w:rsid w:val="00AD1F10"/>
    <w:rsid w:val="00AD1F71"/>
    <w:rsid w:val="00AD1FA1"/>
    <w:rsid w:val="00AD1FB0"/>
    <w:rsid w:val="00AD24F4"/>
    <w:rsid w:val="00AD25DC"/>
    <w:rsid w:val="00AD2783"/>
    <w:rsid w:val="00AD282D"/>
    <w:rsid w:val="00AD2EFD"/>
    <w:rsid w:val="00AD3123"/>
    <w:rsid w:val="00AD318B"/>
    <w:rsid w:val="00AD325C"/>
    <w:rsid w:val="00AD397A"/>
    <w:rsid w:val="00AD39BE"/>
    <w:rsid w:val="00AD3ACE"/>
    <w:rsid w:val="00AD3B58"/>
    <w:rsid w:val="00AD3BC1"/>
    <w:rsid w:val="00AD3C02"/>
    <w:rsid w:val="00AD3CEC"/>
    <w:rsid w:val="00AD3F2F"/>
    <w:rsid w:val="00AD4120"/>
    <w:rsid w:val="00AD44DB"/>
    <w:rsid w:val="00AD4507"/>
    <w:rsid w:val="00AD479B"/>
    <w:rsid w:val="00AD4879"/>
    <w:rsid w:val="00AD4963"/>
    <w:rsid w:val="00AD4CB8"/>
    <w:rsid w:val="00AD505C"/>
    <w:rsid w:val="00AD5295"/>
    <w:rsid w:val="00AD52F2"/>
    <w:rsid w:val="00AD5337"/>
    <w:rsid w:val="00AD5601"/>
    <w:rsid w:val="00AD56C3"/>
    <w:rsid w:val="00AD5A8F"/>
    <w:rsid w:val="00AD5AB2"/>
    <w:rsid w:val="00AD5E73"/>
    <w:rsid w:val="00AD5E8C"/>
    <w:rsid w:val="00AD5EBF"/>
    <w:rsid w:val="00AD5F10"/>
    <w:rsid w:val="00AD5F56"/>
    <w:rsid w:val="00AD62B6"/>
    <w:rsid w:val="00AD6446"/>
    <w:rsid w:val="00AD64B4"/>
    <w:rsid w:val="00AD6545"/>
    <w:rsid w:val="00AD6752"/>
    <w:rsid w:val="00AD67F2"/>
    <w:rsid w:val="00AD6B9C"/>
    <w:rsid w:val="00AD6BEA"/>
    <w:rsid w:val="00AD6C48"/>
    <w:rsid w:val="00AD6D1E"/>
    <w:rsid w:val="00AD6F78"/>
    <w:rsid w:val="00AD70AB"/>
    <w:rsid w:val="00AD71B7"/>
    <w:rsid w:val="00AD7501"/>
    <w:rsid w:val="00AD7664"/>
    <w:rsid w:val="00AD7739"/>
    <w:rsid w:val="00AD7A01"/>
    <w:rsid w:val="00AD7A8C"/>
    <w:rsid w:val="00AD7B38"/>
    <w:rsid w:val="00AE00C2"/>
    <w:rsid w:val="00AE0743"/>
    <w:rsid w:val="00AE076B"/>
    <w:rsid w:val="00AE0C3D"/>
    <w:rsid w:val="00AE0D04"/>
    <w:rsid w:val="00AE0D17"/>
    <w:rsid w:val="00AE0D3C"/>
    <w:rsid w:val="00AE106C"/>
    <w:rsid w:val="00AE1110"/>
    <w:rsid w:val="00AE1407"/>
    <w:rsid w:val="00AE141B"/>
    <w:rsid w:val="00AE15F8"/>
    <w:rsid w:val="00AE1B47"/>
    <w:rsid w:val="00AE1D15"/>
    <w:rsid w:val="00AE1D34"/>
    <w:rsid w:val="00AE1FD8"/>
    <w:rsid w:val="00AE224A"/>
    <w:rsid w:val="00AE23BE"/>
    <w:rsid w:val="00AE24EE"/>
    <w:rsid w:val="00AE2563"/>
    <w:rsid w:val="00AE2623"/>
    <w:rsid w:val="00AE2779"/>
    <w:rsid w:val="00AE2841"/>
    <w:rsid w:val="00AE2B14"/>
    <w:rsid w:val="00AE2ED6"/>
    <w:rsid w:val="00AE2EE8"/>
    <w:rsid w:val="00AE338A"/>
    <w:rsid w:val="00AE36B1"/>
    <w:rsid w:val="00AE3A00"/>
    <w:rsid w:val="00AE3F87"/>
    <w:rsid w:val="00AE3FC3"/>
    <w:rsid w:val="00AE402B"/>
    <w:rsid w:val="00AE4186"/>
    <w:rsid w:val="00AE45EC"/>
    <w:rsid w:val="00AE45FD"/>
    <w:rsid w:val="00AE461A"/>
    <w:rsid w:val="00AE46FC"/>
    <w:rsid w:val="00AE47E6"/>
    <w:rsid w:val="00AE4B8E"/>
    <w:rsid w:val="00AE4DA7"/>
    <w:rsid w:val="00AE4EFE"/>
    <w:rsid w:val="00AE5314"/>
    <w:rsid w:val="00AE53E4"/>
    <w:rsid w:val="00AE5543"/>
    <w:rsid w:val="00AE5B0C"/>
    <w:rsid w:val="00AE5B75"/>
    <w:rsid w:val="00AE5BBA"/>
    <w:rsid w:val="00AE5C19"/>
    <w:rsid w:val="00AE5EE2"/>
    <w:rsid w:val="00AE5F6C"/>
    <w:rsid w:val="00AE6030"/>
    <w:rsid w:val="00AE606F"/>
    <w:rsid w:val="00AE6143"/>
    <w:rsid w:val="00AE664D"/>
    <w:rsid w:val="00AE6670"/>
    <w:rsid w:val="00AE6B0D"/>
    <w:rsid w:val="00AE6CCD"/>
    <w:rsid w:val="00AE6F2E"/>
    <w:rsid w:val="00AE7081"/>
    <w:rsid w:val="00AE70A1"/>
    <w:rsid w:val="00AE70B6"/>
    <w:rsid w:val="00AE7293"/>
    <w:rsid w:val="00AE7490"/>
    <w:rsid w:val="00AE7905"/>
    <w:rsid w:val="00AE7ACC"/>
    <w:rsid w:val="00AE7EAA"/>
    <w:rsid w:val="00AF00DF"/>
    <w:rsid w:val="00AF058C"/>
    <w:rsid w:val="00AF061C"/>
    <w:rsid w:val="00AF0914"/>
    <w:rsid w:val="00AF09DD"/>
    <w:rsid w:val="00AF0A5F"/>
    <w:rsid w:val="00AF0B57"/>
    <w:rsid w:val="00AF0C81"/>
    <w:rsid w:val="00AF118D"/>
    <w:rsid w:val="00AF133F"/>
    <w:rsid w:val="00AF144A"/>
    <w:rsid w:val="00AF1850"/>
    <w:rsid w:val="00AF1A2D"/>
    <w:rsid w:val="00AF1B82"/>
    <w:rsid w:val="00AF234A"/>
    <w:rsid w:val="00AF25BD"/>
    <w:rsid w:val="00AF25E6"/>
    <w:rsid w:val="00AF2782"/>
    <w:rsid w:val="00AF2857"/>
    <w:rsid w:val="00AF2C61"/>
    <w:rsid w:val="00AF3182"/>
    <w:rsid w:val="00AF389C"/>
    <w:rsid w:val="00AF38E0"/>
    <w:rsid w:val="00AF38EA"/>
    <w:rsid w:val="00AF3B3D"/>
    <w:rsid w:val="00AF3BF0"/>
    <w:rsid w:val="00AF3C65"/>
    <w:rsid w:val="00AF3C78"/>
    <w:rsid w:val="00AF4011"/>
    <w:rsid w:val="00AF4596"/>
    <w:rsid w:val="00AF462B"/>
    <w:rsid w:val="00AF4899"/>
    <w:rsid w:val="00AF4906"/>
    <w:rsid w:val="00AF49B6"/>
    <w:rsid w:val="00AF4A18"/>
    <w:rsid w:val="00AF4A5F"/>
    <w:rsid w:val="00AF4B85"/>
    <w:rsid w:val="00AF4C0E"/>
    <w:rsid w:val="00AF4E8F"/>
    <w:rsid w:val="00AF4F52"/>
    <w:rsid w:val="00AF50D6"/>
    <w:rsid w:val="00AF514B"/>
    <w:rsid w:val="00AF53D1"/>
    <w:rsid w:val="00AF548C"/>
    <w:rsid w:val="00AF5579"/>
    <w:rsid w:val="00AF5810"/>
    <w:rsid w:val="00AF59EC"/>
    <w:rsid w:val="00AF5AB5"/>
    <w:rsid w:val="00AF5AF6"/>
    <w:rsid w:val="00AF5C03"/>
    <w:rsid w:val="00AF5F1C"/>
    <w:rsid w:val="00AF5F56"/>
    <w:rsid w:val="00AF5FED"/>
    <w:rsid w:val="00AF631E"/>
    <w:rsid w:val="00AF63D0"/>
    <w:rsid w:val="00AF65B0"/>
    <w:rsid w:val="00AF67D0"/>
    <w:rsid w:val="00AF67E6"/>
    <w:rsid w:val="00AF67F8"/>
    <w:rsid w:val="00AF6820"/>
    <w:rsid w:val="00AF6838"/>
    <w:rsid w:val="00AF6959"/>
    <w:rsid w:val="00AF6A70"/>
    <w:rsid w:val="00AF6B8A"/>
    <w:rsid w:val="00AF6B9C"/>
    <w:rsid w:val="00AF6C2C"/>
    <w:rsid w:val="00AF6F63"/>
    <w:rsid w:val="00AF7028"/>
    <w:rsid w:val="00AF70C3"/>
    <w:rsid w:val="00AF72E7"/>
    <w:rsid w:val="00AF72EF"/>
    <w:rsid w:val="00AF7337"/>
    <w:rsid w:val="00AF737F"/>
    <w:rsid w:val="00AF7665"/>
    <w:rsid w:val="00AF774E"/>
    <w:rsid w:val="00AF77E6"/>
    <w:rsid w:val="00AF79CE"/>
    <w:rsid w:val="00AF7A6B"/>
    <w:rsid w:val="00AF7ACE"/>
    <w:rsid w:val="00AF7C3F"/>
    <w:rsid w:val="00AF7C6C"/>
    <w:rsid w:val="00B000C7"/>
    <w:rsid w:val="00B003A8"/>
    <w:rsid w:val="00B00475"/>
    <w:rsid w:val="00B00585"/>
    <w:rsid w:val="00B005E4"/>
    <w:rsid w:val="00B008B3"/>
    <w:rsid w:val="00B00D1D"/>
    <w:rsid w:val="00B00E3C"/>
    <w:rsid w:val="00B01444"/>
    <w:rsid w:val="00B016C5"/>
    <w:rsid w:val="00B016FE"/>
    <w:rsid w:val="00B01C20"/>
    <w:rsid w:val="00B01EAB"/>
    <w:rsid w:val="00B01EAF"/>
    <w:rsid w:val="00B01F3B"/>
    <w:rsid w:val="00B02002"/>
    <w:rsid w:val="00B02052"/>
    <w:rsid w:val="00B0217A"/>
    <w:rsid w:val="00B02451"/>
    <w:rsid w:val="00B02713"/>
    <w:rsid w:val="00B02D3B"/>
    <w:rsid w:val="00B02F99"/>
    <w:rsid w:val="00B02FFB"/>
    <w:rsid w:val="00B03092"/>
    <w:rsid w:val="00B0344E"/>
    <w:rsid w:val="00B03513"/>
    <w:rsid w:val="00B038C9"/>
    <w:rsid w:val="00B039B1"/>
    <w:rsid w:val="00B03F44"/>
    <w:rsid w:val="00B03FDF"/>
    <w:rsid w:val="00B04131"/>
    <w:rsid w:val="00B041C2"/>
    <w:rsid w:val="00B04505"/>
    <w:rsid w:val="00B0481F"/>
    <w:rsid w:val="00B04921"/>
    <w:rsid w:val="00B04C66"/>
    <w:rsid w:val="00B04F5A"/>
    <w:rsid w:val="00B04FE5"/>
    <w:rsid w:val="00B050E1"/>
    <w:rsid w:val="00B053DF"/>
    <w:rsid w:val="00B05DB3"/>
    <w:rsid w:val="00B05E18"/>
    <w:rsid w:val="00B05F39"/>
    <w:rsid w:val="00B06636"/>
    <w:rsid w:val="00B066BB"/>
    <w:rsid w:val="00B06700"/>
    <w:rsid w:val="00B06B5E"/>
    <w:rsid w:val="00B06C93"/>
    <w:rsid w:val="00B06CCF"/>
    <w:rsid w:val="00B06E64"/>
    <w:rsid w:val="00B06F23"/>
    <w:rsid w:val="00B06FC6"/>
    <w:rsid w:val="00B0704F"/>
    <w:rsid w:val="00B071C9"/>
    <w:rsid w:val="00B072BE"/>
    <w:rsid w:val="00B07543"/>
    <w:rsid w:val="00B076E3"/>
    <w:rsid w:val="00B07892"/>
    <w:rsid w:val="00B07A9F"/>
    <w:rsid w:val="00B07BAE"/>
    <w:rsid w:val="00B07BD1"/>
    <w:rsid w:val="00B07BF7"/>
    <w:rsid w:val="00B07D49"/>
    <w:rsid w:val="00B07F48"/>
    <w:rsid w:val="00B1026E"/>
    <w:rsid w:val="00B10411"/>
    <w:rsid w:val="00B104BF"/>
    <w:rsid w:val="00B104CA"/>
    <w:rsid w:val="00B10592"/>
    <w:rsid w:val="00B10935"/>
    <w:rsid w:val="00B10AC0"/>
    <w:rsid w:val="00B10D72"/>
    <w:rsid w:val="00B11297"/>
    <w:rsid w:val="00B11342"/>
    <w:rsid w:val="00B11464"/>
    <w:rsid w:val="00B11BA3"/>
    <w:rsid w:val="00B12051"/>
    <w:rsid w:val="00B123BE"/>
    <w:rsid w:val="00B1245E"/>
    <w:rsid w:val="00B12699"/>
    <w:rsid w:val="00B126A1"/>
    <w:rsid w:val="00B12770"/>
    <w:rsid w:val="00B12C09"/>
    <w:rsid w:val="00B12DAA"/>
    <w:rsid w:val="00B12FB3"/>
    <w:rsid w:val="00B12FE4"/>
    <w:rsid w:val="00B130D4"/>
    <w:rsid w:val="00B132D2"/>
    <w:rsid w:val="00B134AC"/>
    <w:rsid w:val="00B134DD"/>
    <w:rsid w:val="00B135DC"/>
    <w:rsid w:val="00B13756"/>
    <w:rsid w:val="00B1383F"/>
    <w:rsid w:val="00B138FD"/>
    <w:rsid w:val="00B13FEF"/>
    <w:rsid w:val="00B13FF5"/>
    <w:rsid w:val="00B1409E"/>
    <w:rsid w:val="00B14377"/>
    <w:rsid w:val="00B14393"/>
    <w:rsid w:val="00B1447E"/>
    <w:rsid w:val="00B146B8"/>
    <w:rsid w:val="00B14856"/>
    <w:rsid w:val="00B14B45"/>
    <w:rsid w:val="00B151E4"/>
    <w:rsid w:val="00B15224"/>
    <w:rsid w:val="00B15B47"/>
    <w:rsid w:val="00B15BBF"/>
    <w:rsid w:val="00B15EF1"/>
    <w:rsid w:val="00B15FFF"/>
    <w:rsid w:val="00B160BA"/>
    <w:rsid w:val="00B162BB"/>
    <w:rsid w:val="00B16349"/>
    <w:rsid w:val="00B163DF"/>
    <w:rsid w:val="00B164CA"/>
    <w:rsid w:val="00B164DB"/>
    <w:rsid w:val="00B16864"/>
    <w:rsid w:val="00B16A88"/>
    <w:rsid w:val="00B16CDC"/>
    <w:rsid w:val="00B16DD2"/>
    <w:rsid w:val="00B16E88"/>
    <w:rsid w:val="00B16ED6"/>
    <w:rsid w:val="00B16F3E"/>
    <w:rsid w:val="00B16FB5"/>
    <w:rsid w:val="00B172D3"/>
    <w:rsid w:val="00B17439"/>
    <w:rsid w:val="00B1792E"/>
    <w:rsid w:val="00B17BFE"/>
    <w:rsid w:val="00B17FA5"/>
    <w:rsid w:val="00B2028C"/>
    <w:rsid w:val="00B206E0"/>
    <w:rsid w:val="00B20712"/>
    <w:rsid w:val="00B208C6"/>
    <w:rsid w:val="00B2099C"/>
    <w:rsid w:val="00B20A8F"/>
    <w:rsid w:val="00B20AB2"/>
    <w:rsid w:val="00B20B6E"/>
    <w:rsid w:val="00B20DF6"/>
    <w:rsid w:val="00B2119A"/>
    <w:rsid w:val="00B211DC"/>
    <w:rsid w:val="00B21227"/>
    <w:rsid w:val="00B21329"/>
    <w:rsid w:val="00B21485"/>
    <w:rsid w:val="00B21631"/>
    <w:rsid w:val="00B21722"/>
    <w:rsid w:val="00B21A41"/>
    <w:rsid w:val="00B21AD3"/>
    <w:rsid w:val="00B21D5E"/>
    <w:rsid w:val="00B22106"/>
    <w:rsid w:val="00B2223A"/>
    <w:rsid w:val="00B224AA"/>
    <w:rsid w:val="00B2251B"/>
    <w:rsid w:val="00B2254B"/>
    <w:rsid w:val="00B227DA"/>
    <w:rsid w:val="00B227F0"/>
    <w:rsid w:val="00B22B89"/>
    <w:rsid w:val="00B22ECD"/>
    <w:rsid w:val="00B233CD"/>
    <w:rsid w:val="00B23473"/>
    <w:rsid w:val="00B2378E"/>
    <w:rsid w:val="00B23A04"/>
    <w:rsid w:val="00B23A20"/>
    <w:rsid w:val="00B23D37"/>
    <w:rsid w:val="00B23F2E"/>
    <w:rsid w:val="00B24676"/>
    <w:rsid w:val="00B24802"/>
    <w:rsid w:val="00B24986"/>
    <w:rsid w:val="00B24B14"/>
    <w:rsid w:val="00B24DB7"/>
    <w:rsid w:val="00B24ED5"/>
    <w:rsid w:val="00B252A7"/>
    <w:rsid w:val="00B253D3"/>
    <w:rsid w:val="00B253DB"/>
    <w:rsid w:val="00B2580D"/>
    <w:rsid w:val="00B25851"/>
    <w:rsid w:val="00B2599D"/>
    <w:rsid w:val="00B25A7D"/>
    <w:rsid w:val="00B25BCD"/>
    <w:rsid w:val="00B25BCF"/>
    <w:rsid w:val="00B25DAD"/>
    <w:rsid w:val="00B25EAE"/>
    <w:rsid w:val="00B25F07"/>
    <w:rsid w:val="00B260DA"/>
    <w:rsid w:val="00B265C6"/>
    <w:rsid w:val="00B2663E"/>
    <w:rsid w:val="00B2678F"/>
    <w:rsid w:val="00B268E3"/>
    <w:rsid w:val="00B26AE0"/>
    <w:rsid w:val="00B26B89"/>
    <w:rsid w:val="00B2706E"/>
    <w:rsid w:val="00B272A9"/>
    <w:rsid w:val="00B272C1"/>
    <w:rsid w:val="00B27463"/>
    <w:rsid w:val="00B275E2"/>
    <w:rsid w:val="00B27961"/>
    <w:rsid w:val="00B301D0"/>
    <w:rsid w:val="00B30318"/>
    <w:rsid w:val="00B304AD"/>
    <w:rsid w:val="00B304B4"/>
    <w:rsid w:val="00B305F7"/>
    <w:rsid w:val="00B3061A"/>
    <w:rsid w:val="00B306E7"/>
    <w:rsid w:val="00B308C7"/>
    <w:rsid w:val="00B30C5D"/>
    <w:rsid w:val="00B30DCC"/>
    <w:rsid w:val="00B30DDE"/>
    <w:rsid w:val="00B30ECE"/>
    <w:rsid w:val="00B3134A"/>
    <w:rsid w:val="00B3185A"/>
    <w:rsid w:val="00B31965"/>
    <w:rsid w:val="00B31A3D"/>
    <w:rsid w:val="00B31C23"/>
    <w:rsid w:val="00B31EC1"/>
    <w:rsid w:val="00B31FB5"/>
    <w:rsid w:val="00B3214A"/>
    <w:rsid w:val="00B32257"/>
    <w:rsid w:val="00B322E1"/>
    <w:rsid w:val="00B3254B"/>
    <w:rsid w:val="00B3285A"/>
    <w:rsid w:val="00B328E7"/>
    <w:rsid w:val="00B32978"/>
    <w:rsid w:val="00B3299B"/>
    <w:rsid w:val="00B32E12"/>
    <w:rsid w:val="00B3313A"/>
    <w:rsid w:val="00B332BE"/>
    <w:rsid w:val="00B335A1"/>
    <w:rsid w:val="00B336B0"/>
    <w:rsid w:val="00B336E1"/>
    <w:rsid w:val="00B33763"/>
    <w:rsid w:val="00B3395F"/>
    <w:rsid w:val="00B33AE1"/>
    <w:rsid w:val="00B33D9F"/>
    <w:rsid w:val="00B33DDF"/>
    <w:rsid w:val="00B341FD"/>
    <w:rsid w:val="00B3424E"/>
    <w:rsid w:val="00B34273"/>
    <w:rsid w:val="00B342F6"/>
    <w:rsid w:val="00B343E4"/>
    <w:rsid w:val="00B34621"/>
    <w:rsid w:val="00B348C7"/>
    <w:rsid w:val="00B34914"/>
    <w:rsid w:val="00B34CA8"/>
    <w:rsid w:val="00B34D43"/>
    <w:rsid w:val="00B34D91"/>
    <w:rsid w:val="00B34F41"/>
    <w:rsid w:val="00B350F8"/>
    <w:rsid w:val="00B35180"/>
    <w:rsid w:val="00B3595B"/>
    <w:rsid w:val="00B35E0B"/>
    <w:rsid w:val="00B35F45"/>
    <w:rsid w:val="00B35F5E"/>
    <w:rsid w:val="00B35F9E"/>
    <w:rsid w:val="00B360B2"/>
    <w:rsid w:val="00B361C9"/>
    <w:rsid w:val="00B363FC"/>
    <w:rsid w:val="00B364AB"/>
    <w:rsid w:val="00B36521"/>
    <w:rsid w:val="00B367D9"/>
    <w:rsid w:val="00B36969"/>
    <w:rsid w:val="00B36B68"/>
    <w:rsid w:val="00B36DFC"/>
    <w:rsid w:val="00B372A9"/>
    <w:rsid w:val="00B372BC"/>
    <w:rsid w:val="00B372F1"/>
    <w:rsid w:val="00B373E7"/>
    <w:rsid w:val="00B3770B"/>
    <w:rsid w:val="00B3796B"/>
    <w:rsid w:val="00B379AB"/>
    <w:rsid w:val="00B37A04"/>
    <w:rsid w:val="00B37AB1"/>
    <w:rsid w:val="00B37E1B"/>
    <w:rsid w:val="00B40020"/>
    <w:rsid w:val="00B400C4"/>
    <w:rsid w:val="00B4013E"/>
    <w:rsid w:val="00B4036F"/>
    <w:rsid w:val="00B4065B"/>
    <w:rsid w:val="00B40941"/>
    <w:rsid w:val="00B4094C"/>
    <w:rsid w:val="00B40978"/>
    <w:rsid w:val="00B4099F"/>
    <w:rsid w:val="00B40C6F"/>
    <w:rsid w:val="00B40EBE"/>
    <w:rsid w:val="00B41003"/>
    <w:rsid w:val="00B41358"/>
    <w:rsid w:val="00B417D0"/>
    <w:rsid w:val="00B417E5"/>
    <w:rsid w:val="00B4184A"/>
    <w:rsid w:val="00B418DA"/>
    <w:rsid w:val="00B419D5"/>
    <w:rsid w:val="00B41A81"/>
    <w:rsid w:val="00B41BD6"/>
    <w:rsid w:val="00B41D76"/>
    <w:rsid w:val="00B41DEB"/>
    <w:rsid w:val="00B41FD5"/>
    <w:rsid w:val="00B4218D"/>
    <w:rsid w:val="00B4234B"/>
    <w:rsid w:val="00B42495"/>
    <w:rsid w:val="00B425D9"/>
    <w:rsid w:val="00B42A0E"/>
    <w:rsid w:val="00B42BBD"/>
    <w:rsid w:val="00B42BE5"/>
    <w:rsid w:val="00B42FA4"/>
    <w:rsid w:val="00B43028"/>
    <w:rsid w:val="00B4334F"/>
    <w:rsid w:val="00B4338B"/>
    <w:rsid w:val="00B434AC"/>
    <w:rsid w:val="00B435C9"/>
    <w:rsid w:val="00B43B87"/>
    <w:rsid w:val="00B43B8D"/>
    <w:rsid w:val="00B43C5A"/>
    <w:rsid w:val="00B43C77"/>
    <w:rsid w:val="00B43CCB"/>
    <w:rsid w:val="00B43CF6"/>
    <w:rsid w:val="00B43EF8"/>
    <w:rsid w:val="00B44676"/>
    <w:rsid w:val="00B4477A"/>
    <w:rsid w:val="00B44871"/>
    <w:rsid w:val="00B44963"/>
    <w:rsid w:val="00B451B2"/>
    <w:rsid w:val="00B451E0"/>
    <w:rsid w:val="00B451E4"/>
    <w:rsid w:val="00B453A0"/>
    <w:rsid w:val="00B453AD"/>
    <w:rsid w:val="00B4552A"/>
    <w:rsid w:val="00B457EF"/>
    <w:rsid w:val="00B45AFF"/>
    <w:rsid w:val="00B45B24"/>
    <w:rsid w:val="00B45C87"/>
    <w:rsid w:val="00B45D6F"/>
    <w:rsid w:val="00B45E17"/>
    <w:rsid w:val="00B45E24"/>
    <w:rsid w:val="00B4617E"/>
    <w:rsid w:val="00B462D6"/>
    <w:rsid w:val="00B463E8"/>
    <w:rsid w:val="00B463FE"/>
    <w:rsid w:val="00B46401"/>
    <w:rsid w:val="00B465B0"/>
    <w:rsid w:val="00B46634"/>
    <w:rsid w:val="00B4679C"/>
    <w:rsid w:val="00B46B94"/>
    <w:rsid w:val="00B46C3E"/>
    <w:rsid w:val="00B46D13"/>
    <w:rsid w:val="00B46FEC"/>
    <w:rsid w:val="00B47060"/>
    <w:rsid w:val="00B470B6"/>
    <w:rsid w:val="00B4725C"/>
    <w:rsid w:val="00B474EF"/>
    <w:rsid w:val="00B4757D"/>
    <w:rsid w:val="00B47818"/>
    <w:rsid w:val="00B47955"/>
    <w:rsid w:val="00B47C56"/>
    <w:rsid w:val="00B500F4"/>
    <w:rsid w:val="00B5010F"/>
    <w:rsid w:val="00B5026C"/>
    <w:rsid w:val="00B505C0"/>
    <w:rsid w:val="00B50795"/>
    <w:rsid w:val="00B5097A"/>
    <w:rsid w:val="00B50B25"/>
    <w:rsid w:val="00B50E65"/>
    <w:rsid w:val="00B50E67"/>
    <w:rsid w:val="00B50ED2"/>
    <w:rsid w:val="00B51221"/>
    <w:rsid w:val="00B51298"/>
    <w:rsid w:val="00B51361"/>
    <w:rsid w:val="00B514C6"/>
    <w:rsid w:val="00B514EB"/>
    <w:rsid w:val="00B51537"/>
    <w:rsid w:val="00B516F8"/>
    <w:rsid w:val="00B519A9"/>
    <w:rsid w:val="00B51C01"/>
    <w:rsid w:val="00B51C46"/>
    <w:rsid w:val="00B52099"/>
    <w:rsid w:val="00B5242C"/>
    <w:rsid w:val="00B52F07"/>
    <w:rsid w:val="00B52F50"/>
    <w:rsid w:val="00B52F8E"/>
    <w:rsid w:val="00B53241"/>
    <w:rsid w:val="00B533F9"/>
    <w:rsid w:val="00B534A1"/>
    <w:rsid w:val="00B5394F"/>
    <w:rsid w:val="00B5398F"/>
    <w:rsid w:val="00B539FA"/>
    <w:rsid w:val="00B53A62"/>
    <w:rsid w:val="00B53A9D"/>
    <w:rsid w:val="00B53CB8"/>
    <w:rsid w:val="00B53E08"/>
    <w:rsid w:val="00B5424A"/>
    <w:rsid w:val="00B54290"/>
    <w:rsid w:val="00B5457E"/>
    <w:rsid w:val="00B54773"/>
    <w:rsid w:val="00B54937"/>
    <w:rsid w:val="00B54E6C"/>
    <w:rsid w:val="00B55049"/>
    <w:rsid w:val="00B550E8"/>
    <w:rsid w:val="00B552CF"/>
    <w:rsid w:val="00B5555A"/>
    <w:rsid w:val="00B55591"/>
    <w:rsid w:val="00B55653"/>
    <w:rsid w:val="00B559DD"/>
    <w:rsid w:val="00B55A2D"/>
    <w:rsid w:val="00B55AF1"/>
    <w:rsid w:val="00B55BB6"/>
    <w:rsid w:val="00B56066"/>
    <w:rsid w:val="00B56093"/>
    <w:rsid w:val="00B560FD"/>
    <w:rsid w:val="00B56300"/>
    <w:rsid w:val="00B563C5"/>
    <w:rsid w:val="00B56454"/>
    <w:rsid w:val="00B564B2"/>
    <w:rsid w:val="00B565C7"/>
    <w:rsid w:val="00B56818"/>
    <w:rsid w:val="00B56A01"/>
    <w:rsid w:val="00B56A8F"/>
    <w:rsid w:val="00B56BC6"/>
    <w:rsid w:val="00B56D5A"/>
    <w:rsid w:val="00B56E8B"/>
    <w:rsid w:val="00B56FF1"/>
    <w:rsid w:val="00B57485"/>
    <w:rsid w:val="00B576DE"/>
    <w:rsid w:val="00B57794"/>
    <w:rsid w:val="00B578E3"/>
    <w:rsid w:val="00B57902"/>
    <w:rsid w:val="00B601D3"/>
    <w:rsid w:val="00B6041D"/>
    <w:rsid w:val="00B604BC"/>
    <w:rsid w:val="00B60803"/>
    <w:rsid w:val="00B60841"/>
    <w:rsid w:val="00B608B2"/>
    <w:rsid w:val="00B60AFD"/>
    <w:rsid w:val="00B60B1A"/>
    <w:rsid w:val="00B60F3C"/>
    <w:rsid w:val="00B60F53"/>
    <w:rsid w:val="00B60F75"/>
    <w:rsid w:val="00B61085"/>
    <w:rsid w:val="00B61098"/>
    <w:rsid w:val="00B61175"/>
    <w:rsid w:val="00B61418"/>
    <w:rsid w:val="00B6157E"/>
    <w:rsid w:val="00B618C0"/>
    <w:rsid w:val="00B618E2"/>
    <w:rsid w:val="00B61AB5"/>
    <w:rsid w:val="00B61F53"/>
    <w:rsid w:val="00B61F7B"/>
    <w:rsid w:val="00B6211F"/>
    <w:rsid w:val="00B62190"/>
    <w:rsid w:val="00B621E9"/>
    <w:rsid w:val="00B6221D"/>
    <w:rsid w:val="00B62335"/>
    <w:rsid w:val="00B62A99"/>
    <w:rsid w:val="00B62AC9"/>
    <w:rsid w:val="00B62B9E"/>
    <w:rsid w:val="00B63478"/>
    <w:rsid w:val="00B63539"/>
    <w:rsid w:val="00B63A12"/>
    <w:rsid w:val="00B63B77"/>
    <w:rsid w:val="00B63C21"/>
    <w:rsid w:val="00B63C42"/>
    <w:rsid w:val="00B63D62"/>
    <w:rsid w:val="00B63E88"/>
    <w:rsid w:val="00B63FAD"/>
    <w:rsid w:val="00B6402D"/>
    <w:rsid w:val="00B641F9"/>
    <w:rsid w:val="00B643D4"/>
    <w:rsid w:val="00B64490"/>
    <w:rsid w:val="00B6482D"/>
    <w:rsid w:val="00B64B9C"/>
    <w:rsid w:val="00B64F04"/>
    <w:rsid w:val="00B6528A"/>
    <w:rsid w:val="00B65683"/>
    <w:rsid w:val="00B658C1"/>
    <w:rsid w:val="00B65974"/>
    <w:rsid w:val="00B65A15"/>
    <w:rsid w:val="00B65F02"/>
    <w:rsid w:val="00B65F3E"/>
    <w:rsid w:val="00B66236"/>
    <w:rsid w:val="00B66290"/>
    <w:rsid w:val="00B66316"/>
    <w:rsid w:val="00B6639A"/>
    <w:rsid w:val="00B66518"/>
    <w:rsid w:val="00B66612"/>
    <w:rsid w:val="00B66698"/>
    <w:rsid w:val="00B66A79"/>
    <w:rsid w:val="00B66CDA"/>
    <w:rsid w:val="00B66E90"/>
    <w:rsid w:val="00B66E93"/>
    <w:rsid w:val="00B66F69"/>
    <w:rsid w:val="00B66FA4"/>
    <w:rsid w:val="00B674DB"/>
    <w:rsid w:val="00B67516"/>
    <w:rsid w:val="00B6752E"/>
    <w:rsid w:val="00B6758C"/>
    <w:rsid w:val="00B67B40"/>
    <w:rsid w:val="00B67FEA"/>
    <w:rsid w:val="00B7018E"/>
    <w:rsid w:val="00B704F8"/>
    <w:rsid w:val="00B7088C"/>
    <w:rsid w:val="00B70B80"/>
    <w:rsid w:val="00B70E2E"/>
    <w:rsid w:val="00B70EE9"/>
    <w:rsid w:val="00B70EEB"/>
    <w:rsid w:val="00B70F9B"/>
    <w:rsid w:val="00B710AD"/>
    <w:rsid w:val="00B71269"/>
    <w:rsid w:val="00B712F3"/>
    <w:rsid w:val="00B7132C"/>
    <w:rsid w:val="00B71373"/>
    <w:rsid w:val="00B71560"/>
    <w:rsid w:val="00B715CD"/>
    <w:rsid w:val="00B715E1"/>
    <w:rsid w:val="00B71608"/>
    <w:rsid w:val="00B716A7"/>
    <w:rsid w:val="00B71B17"/>
    <w:rsid w:val="00B71C0A"/>
    <w:rsid w:val="00B71FBB"/>
    <w:rsid w:val="00B7233C"/>
    <w:rsid w:val="00B7272C"/>
    <w:rsid w:val="00B72833"/>
    <w:rsid w:val="00B7295F"/>
    <w:rsid w:val="00B72B3C"/>
    <w:rsid w:val="00B72C45"/>
    <w:rsid w:val="00B72CCE"/>
    <w:rsid w:val="00B72EB8"/>
    <w:rsid w:val="00B731D9"/>
    <w:rsid w:val="00B7363C"/>
    <w:rsid w:val="00B7376E"/>
    <w:rsid w:val="00B739D2"/>
    <w:rsid w:val="00B73D5E"/>
    <w:rsid w:val="00B7404F"/>
    <w:rsid w:val="00B7405A"/>
    <w:rsid w:val="00B744B2"/>
    <w:rsid w:val="00B746CA"/>
    <w:rsid w:val="00B74935"/>
    <w:rsid w:val="00B74CDF"/>
    <w:rsid w:val="00B74D6E"/>
    <w:rsid w:val="00B74E05"/>
    <w:rsid w:val="00B74E2C"/>
    <w:rsid w:val="00B74F2B"/>
    <w:rsid w:val="00B74F7B"/>
    <w:rsid w:val="00B74FDF"/>
    <w:rsid w:val="00B750C9"/>
    <w:rsid w:val="00B751CB"/>
    <w:rsid w:val="00B75288"/>
    <w:rsid w:val="00B754A4"/>
    <w:rsid w:val="00B75642"/>
    <w:rsid w:val="00B7564A"/>
    <w:rsid w:val="00B75926"/>
    <w:rsid w:val="00B75ABF"/>
    <w:rsid w:val="00B75AF0"/>
    <w:rsid w:val="00B75B4D"/>
    <w:rsid w:val="00B75C9F"/>
    <w:rsid w:val="00B75CA0"/>
    <w:rsid w:val="00B7619A"/>
    <w:rsid w:val="00B7619D"/>
    <w:rsid w:val="00B761B0"/>
    <w:rsid w:val="00B7690B"/>
    <w:rsid w:val="00B76A60"/>
    <w:rsid w:val="00B76AAB"/>
    <w:rsid w:val="00B76B03"/>
    <w:rsid w:val="00B76B40"/>
    <w:rsid w:val="00B76E66"/>
    <w:rsid w:val="00B76F2E"/>
    <w:rsid w:val="00B76FD2"/>
    <w:rsid w:val="00B7716F"/>
    <w:rsid w:val="00B77575"/>
    <w:rsid w:val="00B77627"/>
    <w:rsid w:val="00B776D3"/>
    <w:rsid w:val="00B77859"/>
    <w:rsid w:val="00B77CAD"/>
    <w:rsid w:val="00B77D31"/>
    <w:rsid w:val="00B77E39"/>
    <w:rsid w:val="00B8014F"/>
    <w:rsid w:val="00B80B5D"/>
    <w:rsid w:val="00B80D3D"/>
    <w:rsid w:val="00B80D50"/>
    <w:rsid w:val="00B81577"/>
    <w:rsid w:val="00B8176F"/>
    <w:rsid w:val="00B81797"/>
    <w:rsid w:val="00B81C57"/>
    <w:rsid w:val="00B81E67"/>
    <w:rsid w:val="00B81ED4"/>
    <w:rsid w:val="00B820DE"/>
    <w:rsid w:val="00B82166"/>
    <w:rsid w:val="00B82198"/>
    <w:rsid w:val="00B8223E"/>
    <w:rsid w:val="00B8243F"/>
    <w:rsid w:val="00B82462"/>
    <w:rsid w:val="00B825AA"/>
    <w:rsid w:val="00B82A75"/>
    <w:rsid w:val="00B82C32"/>
    <w:rsid w:val="00B831AC"/>
    <w:rsid w:val="00B83262"/>
    <w:rsid w:val="00B835F8"/>
    <w:rsid w:val="00B836DC"/>
    <w:rsid w:val="00B83A30"/>
    <w:rsid w:val="00B83E90"/>
    <w:rsid w:val="00B83EE4"/>
    <w:rsid w:val="00B83FC8"/>
    <w:rsid w:val="00B842B4"/>
    <w:rsid w:val="00B8433B"/>
    <w:rsid w:val="00B8459F"/>
    <w:rsid w:val="00B8470A"/>
    <w:rsid w:val="00B847C9"/>
    <w:rsid w:val="00B848E2"/>
    <w:rsid w:val="00B84CF4"/>
    <w:rsid w:val="00B84D53"/>
    <w:rsid w:val="00B85109"/>
    <w:rsid w:val="00B85163"/>
    <w:rsid w:val="00B8527C"/>
    <w:rsid w:val="00B85350"/>
    <w:rsid w:val="00B85611"/>
    <w:rsid w:val="00B858BA"/>
    <w:rsid w:val="00B86114"/>
    <w:rsid w:val="00B86206"/>
    <w:rsid w:val="00B86287"/>
    <w:rsid w:val="00B86456"/>
    <w:rsid w:val="00B86573"/>
    <w:rsid w:val="00B86750"/>
    <w:rsid w:val="00B867A0"/>
    <w:rsid w:val="00B86A69"/>
    <w:rsid w:val="00B86D05"/>
    <w:rsid w:val="00B86D93"/>
    <w:rsid w:val="00B8704B"/>
    <w:rsid w:val="00B87443"/>
    <w:rsid w:val="00B87459"/>
    <w:rsid w:val="00B87557"/>
    <w:rsid w:val="00B875A0"/>
    <w:rsid w:val="00B877D9"/>
    <w:rsid w:val="00B87800"/>
    <w:rsid w:val="00B878A7"/>
    <w:rsid w:val="00B87A1E"/>
    <w:rsid w:val="00B87A42"/>
    <w:rsid w:val="00B901CB"/>
    <w:rsid w:val="00B90257"/>
    <w:rsid w:val="00B9025F"/>
    <w:rsid w:val="00B904F1"/>
    <w:rsid w:val="00B90510"/>
    <w:rsid w:val="00B905E7"/>
    <w:rsid w:val="00B90A5E"/>
    <w:rsid w:val="00B90AA9"/>
    <w:rsid w:val="00B90E47"/>
    <w:rsid w:val="00B91848"/>
    <w:rsid w:val="00B919AA"/>
    <w:rsid w:val="00B91A1B"/>
    <w:rsid w:val="00B91A73"/>
    <w:rsid w:val="00B91E1A"/>
    <w:rsid w:val="00B91F67"/>
    <w:rsid w:val="00B926C5"/>
    <w:rsid w:val="00B92772"/>
    <w:rsid w:val="00B92830"/>
    <w:rsid w:val="00B92A51"/>
    <w:rsid w:val="00B92E72"/>
    <w:rsid w:val="00B92F2D"/>
    <w:rsid w:val="00B92FD2"/>
    <w:rsid w:val="00B93224"/>
    <w:rsid w:val="00B933F2"/>
    <w:rsid w:val="00B936CA"/>
    <w:rsid w:val="00B93921"/>
    <w:rsid w:val="00B93C3B"/>
    <w:rsid w:val="00B93DD7"/>
    <w:rsid w:val="00B93E40"/>
    <w:rsid w:val="00B94045"/>
    <w:rsid w:val="00B940A7"/>
    <w:rsid w:val="00B9430F"/>
    <w:rsid w:val="00B944DF"/>
    <w:rsid w:val="00B946EE"/>
    <w:rsid w:val="00B94838"/>
    <w:rsid w:val="00B948BD"/>
    <w:rsid w:val="00B94918"/>
    <w:rsid w:val="00B94959"/>
    <w:rsid w:val="00B94B79"/>
    <w:rsid w:val="00B95141"/>
    <w:rsid w:val="00B9515E"/>
    <w:rsid w:val="00B952AF"/>
    <w:rsid w:val="00B9541C"/>
    <w:rsid w:val="00B956B6"/>
    <w:rsid w:val="00B956D2"/>
    <w:rsid w:val="00B95797"/>
    <w:rsid w:val="00B95937"/>
    <w:rsid w:val="00B959F3"/>
    <w:rsid w:val="00B95AA9"/>
    <w:rsid w:val="00B95BE5"/>
    <w:rsid w:val="00B95D57"/>
    <w:rsid w:val="00B95D9D"/>
    <w:rsid w:val="00B95F42"/>
    <w:rsid w:val="00B96350"/>
    <w:rsid w:val="00B963C6"/>
    <w:rsid w:val="00B963D9"/>
    <w:rsid w:val="00B96569"/>
    <w:rsid w:val="00B9697C"/>
    <w:rsid w:val="00B96CC5"/>
    <w:rsid w:val="00B96DC1"/>
    <w:rsid w:val="00B96E61"/>
    <w:rsid w:val="00B9705E"/>
    <w:rsid w:val="00B9711C"/>
    <w:rsid w:val="00B971D4"/>
    <w:rsid w:val="00B974BF"/>
    <w:rsid w:val="00B9778D"/>
    <w:rsid w:val="00B97B2B"/>
    <w:rsid w:val="00B97C4D"/>
    <w:rsid w:val="00B97D5F"/>
    <w:rsid w:val="00BA015F"/>
    <w:rsid w:val="00BA020A"/>
    <w:rsid w:val="00BA02AE"/>
    <w:rsid w:val="00BA048D"/>
    <w:rsid w:val="00BA069E"/>
    <w:rsid w:val="00BA07CD"/>
    <w:rsid w:val="00BA09BF"/>
    <w:rsid w:val="00BA0A76"/>
    <w:rsid w:val="00BA0D11"/>
    <w:rsid w:val="00BA0F14"/>
    <w:rsid w:val="00BA1229"/>
    <w:rsid w:val="00BA1406"/>
    <w:rsid w:val="00BA1518"/>
    <w:rsid w:val="00BA15B2"/>
    <w:rsid w:val="00BA15B7"/>
    <w:rsid w:val="00BA1651"/>
    <w:rsid w:val="00BA1764"/>
    <w:rsid w:val="00BA1894"/>
    <w:rsid w:val="00BA1B9F"/>
    <w:rsid w:val="00BA1C94"/>
    <w:rsid w:val="00BA1E8F"/>
    <w:rsid w:val="00BA230A"/>
    <w:rsid w:val="00BA2717"/>
    <w:rsid w:val="00BA2A6A"/>
    <w:rsid w:val="00BA2D38"/>
    <w:rsid w:val="00BA302F"/>
    <w:rsid w:val="00BA32FB"/>
    <w:rsid w:val="00BA350C"/>
    <w:rsid w:val="00BA3BEB"/>
    <w:rsid w:val="00BA3C44"/>
    <w:rsid w:val="00BA3E37"/>
    <w:rsid w:val="00BA465D"/>
    <w:rsid w:val="00BA4768"/>
    <w:rsid w:val="00BA49AE"/>
    <w:rsid w:val="00BA4B0A"/>
    <w:rsid w:val="00BA4C7B"/>
    <w:rsid w:val="00BA4CEA"/>
    <w:rsid w:val="00BA4FCE"/>
    <w:rsid w:val="00BA5017"/>
    <w:rsid w:val="00BA5358"/>
    <w:rsid w:val="00BA53F5"/>
    <w:rsid w:val="00BA5515"/>
    <w:rsid w:val="00BA552C"/>
    <w:rsid w:val="00BA58CF"/>
    <w:rsid w:val="00BA5985"/>
    <w:rsid w:val="00BA5A3F"/>
    <w:rsid w:val="00BA5B22"/>
    <w:rsid w:val="00BA5DE1"/>
    <w:rsid w:val="00BA5F9D"/>
    <w:rsid w:val="00BA602E"/>
    <w:rsid w:val="00BA627E"/>
    <w:rsid w:val="00BA6906"/>
    <w:rsid w:val="00BA6BFF"/>
    <w:rsid w:val="00BA6D1D"/>
    <w:rsid w:val="00BA6D8F"/>
    <w:rsid w:val="00BA6DE8"/>
    <w:rsid w:val="00BA72A8"/>
    <w:rsid w:val="00BA730B"/>
    <w:rsid w:val="00BA74B8"/>
    <w:rsid w:val="00BA7546"/>
    <w:rsid w:val="00BA77A0"/>
    <w:rsid w:val="00BA795E"/>
    <w:rsid w:val="00BA7AA8"/>
    <w:rsid w:val="00BA7BAF"/>
    <w:rsid w:val="00BA7BB8"/>
    <w:rsid w:val="00BA7CA1"/>
    <w:rsid w:val="00BA7CB7"/>
    <w:rsid w:val="00BA7D6E"/>
    <w:rsid w:val="00BA7EB6"/>
    <w:rsid w:val="00BB00DD"/>
    <w:rsid w:val="00BB0101"/>
    <w:rsid w:val="00BB0667"/>
    <w:rsid w:val="00BB0B17"/>
    <w:rsid w:val="00BB0D14"/>
    <w:rsid w:val="00BB0D88"/>
    <w:rsid w:val="00BB11AD"/>
    <w:rsid w:val="00BB12DC"/>
    <w:rsid w:val="00BB1402"/>
    <w:rsid w:val="00BB1415"/>
    <w:rsid w:val="00BB14EC"/>
    <w:rsid w:val="00BB171F"/>
    <w:rsid w:val="00BB1752"/>
    <w:rsid w:val="00BB19D0"/>
    <w:rsid w:val="00BB1B7D"/>
    <w:rsid w:val="00BB1C34"/>
    <w:rsid w:val="00BB2018"/>
    <w:rsid w:val="00BB20D0"/>
    <w:rsid w:val="00BB216B"/>
    <w:rsid w:val="00BB2267"/>
    <w:rsid w:val="00BB2435"/>
    <w:rsid w:val="00BB2643"/>
    <w:rsid w:val="00BB2904"/>
    <w:rsid w:val="00BB2C24"/>
    <w:rsid w:val="00BB30D0"/>
    <w:rsid w:val="00BB32A4"/>
    <w:rsid w:val="00BB33D6"/>
    <w:rsid w:val="00BB36A2"/>
    <w:rsid w:val="00BB385A"/>
    <w:rsid w:val="00BB3D74"/>
    <w:rsid w:val="00BB3D87"/>
    <w:rsid w:val="00BB4689"/>
    <w:rsid w:val="00BB4762"/>
    <w:rsid w:val="00BB4811"/>
    <w:rsid w:val="00BB48A2"/>
    <w:rsid w:val="00BB4BB5"/>
    <w:rsid w:val="00BB4BDA"/>
    <w:rsid w:val="00BB4F7E"/>
    <w:rsid w:val="00BB51E8"/>
    <w:rsid w:val="00BB521F"/>
    <w:rsid w:val="00BB529E"/>
    <w:rsid w:val="00BB5306"/>
    <w:rsid w:val="00BB5DA3"/>
    <w:rsid w:val="00BB5F80"/>
    <w:rsid w:val="00BB616A"/>
    <w:rsid w:val="00BB655A"/>
    <w:rsid w:val="00BB66F2"/>
    <w:rsid w:val="00BB67B5"/>
    <w:rsid w:val="00BB67C2"/>
    <w:rsid w:val="00BB69D8"/>
    <w:rsid w:val="00BB6F26"/>
    <w:rsid w:val="00BB7164"/>
    <w:rsid w:val="00BB7277"/>
    <w:rsid w:val="00BB72D7"/>
    <w:rsid w:val="00BB74E9"/>
    <w:rsid w:val="00BB76E0"/>
    <w:rsid w:val="00BB7750"/>
    <w:rsid w:val="00BB7A68"/>
    <w:rsid w:val="00BB7A6F"/>
    <w:rsid w:val="00BB7C0C"/>
    <w:rsid w:val="00BB7CBB"/>
    <w:rsid w:val="00BB7E68"/>
    <w:rsid w:val="00BC014F"/>
    <w:rsid w:val="00BC029F"/>
    <w:rsid w:val="00BC02CB"/>
    <w:rsid w:val="00BC0367"/>
    <w:rsid w:val="00BC064D"/>
    <w:rsid w:val="00BC0778"/>
    <w:rsid w:val="00BC084C"/>
    <w:rsid w:val="00BC098A"/>
    <w:rsid w:val="00BC0B11"/>
    <w:rsid w:val="00BC0DAA"/>
    <w:rsid w:val="00BC0E94"/>
    <w:rsid w:val="00BC0F73"/>
    <w:rsid w:val="00BC1054"/>
    <w:rsid w:val="00BC129C"/>
    <w:rsid w:val="00BC1527"/>
    <w:rsid w:val="00BC163F"/>
    <w:rsid w:val="00BC167A"/>
    <w:rsid w:val="00BC17AB"/>
    <w:rsid w:val="00BC17EF"/>
    <w:rsid w:val="00BC1810"/>
    <w:rsid w:val="00BC185F"/>
    <w:rsid w:val="00BC1988"/>
    <w:rsid w:val="00BC1AF5"/>
    <w:rsid w:val="00BC1B84"/>
    <w:rsid w:val="00BC1C23"/>
    <w:rsid w:val="00BC1D75"/>
    <w:rsid w:val="00BC1E0D"/>
    <w:rsid w:val="00BC20DE"/>
    <w:rsid w:val="00BC23B4"/>
    <w:rsid w:val="00BC2499"/>
    <w:rsid w:val="00BC24D6"/>
    <w:rsid w:val="00BC25CC"/>
    <w:rsid w:val="00BC26AE"/>
    <w:rsid w:val="00BC28BE"/>
    <w:rsid w:val="00BC291A"/>
    <w:rsid w:val="00BC2958"/>
    <w:rsid w:val="00BC29D0"/>
    <w:rsid w:val="00BC2B00"/>
    <w:rsid w:val="00BC2B1F"/>
    <w:rsid w:val="00BC2CBE"/>
    <w:rsid w:val="00BC2D41"/>
    <w:rsid w:val="00BC2DD1"/>
    <w:rsid w:val="00BC2EA1"/>
    <w:rsid w:val="00BC33B1"/>
    <w:rsid w:val="00BC345F"/>
    <w:rsid w:val="00BC363D"/>
    <w:rsid w:val="00BC3645"/>
    <w:rsid w:val="00BC3C09"/>
    <w:rsid w:val="00BC3D50"/>
    <w:rsid w:val="00BC41E7"/>
    <w:rsid w:val="00BC4210"/>
    <w:rsid w:val="00BC42A6"/>
    <w:rsid w:val="00BC433A"/>
    <w:rsid w:val="00BC4739"/>
    <w:rsid w:val="00BC475F"/>
    <w:rsid w:val="00BC492D"/>
    <w:rsid w:val="00BC4D02"/>
    <w:rsid w:val="00BC4FD3"/>
    <w:rsid w:val="00BC5356"/>
    <w:rsid w:val="00BC5D22"/>
    <w:rsid w:val="00BC6383"/>
    <w:rsid w:val="00BC63AE"/>
    <w:rsid w:val="00BC6540"/>
    <w:rsid w:val="00BC673D"/>
    <w:rsid w:val="00BC6927"/>
    <w:rsid w:val="00BC6AF3"/>
    <w:rsid w:val="00BC6BAC"/>
    <w:rsid w:val="00BC6C7D"/>
    <w:rsid w:val="00BC6E12"/>
    <w:rsid w:val="00BC7870"/>
    <w:rsid w:val="00BD0211"/>
    <w:rsid w:val="00BD0417"/>
    <w:rsid w:val="00BD0593"/>
    <w:rsid w:val="00BD0935"/>
    <w:rsid w:val="00BD0B54"/>
    <w:rsid w:val="00BD0B90"/>
    <w:rsid w:val="00BD10F0"/>
    <w:rsid w:val="00BD122E"/>
    <w:rsid w:val="00BD1317"/>
    <w:rsid w:val="00BD1321"/>
    <w:rsid w:val="00BD14A7"/>
    <w:rsid w:val="00BD1740"/>
    <w:rsid w:val="00BD1CEE"/>
    <w:rsid w:val="00BD1E1E"/>
    <w:rsid w:val="00BD1F5E"/>
    <w:rsid w:val="00BD25A6"/>
    <w:rsid w:val="00BD26AE"/>
    <w:rsid w:val="00BD2997"/>
    <w:rsid w:val="00BD2AFA"/>
    <w:rsid w:val="00BD2C89"/>
    <w:rsid w:val="00BD3042"/>
    <w:rsid w:val="00BD304E"/>
    <w:rsid w:val="00BD35F8"/>
    <w:rsid w:val="00BD3610"/>
    <w:rsid w:val="00BD38E3"/>
    <w:rsid w:val="00BD3A19"/>
    <w:rsid w:val="00BD3A2E"/>
    <w:rsid w:val="00BD3B2C"/>
    <w:rsid w:val="00BD3B57"/>
    <w:rsid w:val="00BD3BBA"/>
    <w:rsid w:val="00BD3C08"/>
    <w:rsid w:val="00BD3D6F"/>
    <w:rsid w:val="00BD3F2E"/>
    <w:rsid w:val="00BD4265"/>
    <w:rsid w:val="00BD4271"/>
    <w:rsid w:val="00BD4642"/>
    <w:rsid w:val="00BD46A5"/>
    <w:rsid w:val="00BD46FA"/>
    <w:rsid w:val="00BD494D"/>
    <w:rsid w:val="00BD4AB4"/>
    <w:rsid w:val="00BD4C3D"/>
    <w:rsid w:val="00BD4C7D"/>
    <w:rsid w:val="00BD5056"/>
    <w:rsid w:val="00BD52A5"/>
    <w:rsid w:val="00BD5318"/>
    <w:rsid w:val="00BD5485"/>
    <w:rsid w:val="00BD54AD"/>
    <w:rsid w:val="00BD57DE"/>
    <w:rsid w:val="00BD58B7"/>
    <w:rsid w:val="00BD5A9E"/>
    <w:rsid w:val="00BD5B57"/>
    <w:rsid w:val="00BD5C5F"/>
    <w:rsid w:val="00BD5D81"/>
    <w:rsid w:val="00BD5FE3"/>
    <w:rsid w:val="00BD6146"/>
    <w:rsid w:val="00BD6219"/>
    <w:rsid w:val="00BD653D"/>
    <w:rsid w:val="00BD6781"/>
    <w:rsid w:val="00BD67D6"/>
    <w:rsid w:val="00BD69D3"/>
    <w:rsid w:val="00BD69D7"/>
    <w:rsid w:val="00BD6A6E"/>
    <w:rsid w:val="00BD6EFE"/>
    <w:rsid w:val="00BD703E"/>
    <w:rsid w:val="00BD73C0"/>
    <w:rsid w:val="00BD74F1"/>
    <w:rsid w:val="00BD75D2"/>
    <w:rsid w:val="00BD7833"/>
    <w:rsid w:val="00BD7907"/>
    <w:rsid w:val="00BD7909"/>
    <w:rsid w:val="00BD7A07"/>
    <w:rsid w:val="00BD7AED"/>
    <w:rsid w:val="00BD7DA6"/>
    <w:rsid w:val="00BD7F14"/>
    <w:rsid w:val="00BD7F9C"/>
    <w:rsid w:val="00BD7FC8"/>
    <w:rsid w:val="00BD7FCC"/>
    <w:rsid w:val="00BE0041"/>
    <w:rsid w:val="00BE040F"/>
    <w:rsid w:val="00BE043C"/>
    <w:rsid w:val="00BE0883"/>
    <w:rsid w:val="00BE08B9"/>
    <w:rsid w:val="00BE0B0B"/>
    <w:rsid w:val="00BE0E91"/>
    <w:rsid w:val="00BE102F"/>
    <w:rsid w:val="00BE12D3"/>
    <w:rsid w:val="00BE15C7"/>
    <w:rsid w:val="00BE1665"/>
    <w:rsid w:val="00BE17B1"/>
    <w:rsid w:val="00BE18F5"/>
    <w:rsid w:val="00BE19A6"/>
    <w:rsid w:val="00BE1AA8"/>
    <w:rsid w:val="00BE1B5E"/>
    <w:rsid w:val="00BE1BD9"/>
    <w:rsid w:val="00BE1BEA"/>
    <w:rsid w:val="00BE1EDE"/>
    <w:rsid w:val="00BE2136"/>
    <w:rsid w:val="00BE2183"/>
    <w:rsid w:val="00BE252E"/>
    <w:rsid w:val="00BE27F5"/>
    <w:rsid w:val="00BE2888"/>
    <w:rsid w:val="00BE288E"/>
    <w:rsid w:val="00BE28F0"/>
    <w:rsid w:val="00BE2BBB"/>
    <w:rsid w:val="00BE2BCE"/>
    <w:rsid w:val="00BE2E06"/>
    <w:rsid w:val="00BE2E26"/>
    <w:rsid w:val="00BE2E38"/>
    <w:rsid w:val="00BE31F8"/>
    <w:rsid w:val="00BE32C5"/>
    <w:rsid w:val="00BE341E"/>
    <w:rsid w:val="00BE3B09"/>
    <w:rsid w:val="00BE3B7A"/>
    <w:rsid w:val="00BE3BBC"/>
    <w:rsid w:val="00BE3F0E"/>
    <w:rsid w:val="00BE3F91"/>
    <w:rsid w:val="00BE42A8"/>
    <w:rsid w:val="00BE4485"/>
    <w:rsid w:val="00BE455C"/>
    <w:rsid w:val="00BE45FB"/>
    <w:rsid w:val="00BE4CFE"/>
    <w:rsid w:val="00BE4D31"/>
    <w:rsid w:val="00BE5370"/>
    <w:rsid w:val="00BE5474"/>
    <w:rsid w:val="00BE55F3"/>
    <w:rsid w:val="00BE57AC"/>
    <w:rsid w:val="00BE5DD0"/>
    <w:rsid w:val="00BE5FA4"/>
    <w:rsid w:val="00BE61A9"/>
    <w:rsid w:val="00BE627A"/>
    <w:rsid w:val="00BE64E0"/>
    <w:rsid w:val="00BE6523"/>
    <w:rsid w:val="00BE654A"/>
    <w:rsid w:val="00BE6825"/>
    <w:rsid w:val="00BE6832"/>
    <w:rsid w:val="00BE6B46"/>
    <w:rsid w:val="00BE6F04"/>
    <w:rsid w:val="00BE6F76"/>
    <w:rsid w:val="00BE7151"/>
    <w:rsid w:val="00BE73BE"/>
    <w:rsid w:val="00BE74A4"/>
    <w:rsid w:val="00BE7B2F"/>
    <w:rsid w:val="00BE7BA8"/>
    <w:rsid w:val="00BE7CF5"/>
    <w:rsid w:val="00BF005B"/>
    <w:rsid w:val="00BF0233"/>
    <w:rsid w:val="00BF03EE"/>
    <w:rsid w:val="00BF067C"/>
    <w:rsid w:val="00BF0CDD"/>
    <w:rsid w:val="00BF10B8"/>
    <w:rsid w:val="00BF11BB"/>
    <w:rsid w:val="00BF134B"/>
    <w:rsid w:val="00BF1851"/>
    <w:rsid w:val="00BF1D84"/>
    <w:rsid w:val="00BF1E41"/>
    <w:rsid w:val="00BF201F"/>
    <w:rsid w:val="00BF228D"/>
    <w:rsid w:val="00BF2520"/>
    <w:rsid w:val="00BF25F7"/>
    <w:rsid w:val="00BF26F4"/>
    <w:rsid w:val="00BF26FC"/>
    <w:rsid w:val="00BF281C"/>
    <w:rsid w:val="00BF289E"/>
    <w:rsid w:val="00BF2B68"/>
    <w:rsid w:val="00BF31A4"/>
    <w:rsid w:val="00BF3282"/>
    <w:rsid w:val="00BF3290"/>
    <w:rsid w:val="00BF32C5"/>
    <w:rsid w:val="00BF334D"/>
    <w:rsid w:val="00BF34F1"/>
    <w:rsid w:val="00BF3550"/>
    <w:rsid w:val="00BF3688"/>
    <w:rsid w:val="00BF37AC"/>
    <w:rsid w:val="00BF3E85"/>
    <w:rsid w:val="00BF3F94"/>
    <w:rsid w:val="00BF4242"/>
    <w:rsid w:val="00BF43A5"/>
    <w:rsid w:val="00BF446F"/>
    <w:rsid w:val="00BF49E1"/>
    <w:rsid w:val="00BF4DE4"/>
    <w:rsid w:val="00BF511F"/>
    <w:rsid w:val="00BF5151"/>
    <w:rsid w:val="00BF54D0"/>
    <w:rsid w:val="00BF565A"/>
    <w:rsid w:val="00BF5C7E"/>
    <w:rsid w:val="00BF615A"/>
    <w:rsid w:val="00BF6338"/>
    <w:rsid w:val="00BF64B5"/>
    <w:rsid w:val="00BF6555"/>
    <w:rsid w:val="00BF6585"/>
    <w:rsid w:val="00BF6686"/>
    <w:rsid w:val="00BF66E5"/>
    <w:rsid w:val="00BF6871"/>
    <w:rsid w:val="00BF6D25"/>
    <w:rsid w:val="00BF6E8E"/>
    <w:rsid w:val="00BF6EED"/>
    <w:rsid w:val="00BF6F61"/>
    <w:rsid w:val="00BF6FB8"/>
    <w:rsid w:val="00BF7167"/>
    <w:rsid w:val="00BF7315"/>
    <w:rsid w:val="00BF77E0"/>
    <w:rsid w:val="00BF7AF2"/>
    <w:rsid w:val="00BF7B41"/>
    <w:rsid w:val="00BF7F5E"/>
    <w:rsid w:val="00BF7F91"/>
    <w:rsid w:val="00C000EF"/>
    <w:rsid w:val="00C0012B"/>
    <w:rsid w:val="00C001D2"/>
    <w:rsid w:val="00C0074A"/>
    <w:rsid w:val="00C00757"/>
    <w:rsid w:val="00C0096C"/>
    <w:rsid w:val="00C00AA4"/>
    <w:rsid w:val="00C00DBD"/>
    <w:rsid w:val="00C00E25"/>
    <w:rsid w:val="00C00FA8"/>
    <w:rsid w:val="00C0130C"/>
    <w:rsid w:val="00C01505"/>
    <w:rsid w:val="00C02118"/>
    <w:rsid w:val="00C0232C"/>
    <w:rsid w:val="00C023A3"/>
    <w:rsid w:val="00C023AE"/>
    <w:rsid w:val="00C025E2"/>
    <w:rsid w:val="00C026CD"/>
    <w:rsid w:val="00C031A2"/>
    <w:rsid w:val="00C031B7"/>
    <w:rsid w:val="00C0332F"/>
    <w:rsid w:val="00C036CD"/>
    <w:rsid w:val="00C03853"/>
    <w:rsid w:val="00C03B75"/>
    <w:rsid w:val="00C03BE7"/>
    <w:rsid w:val="00C03CCD"/>
    <w:rsid w:val="00C03D35"/>
    <w:rsid w:val="00C03DD4"/>
    <w:rsid w:val="00C041BD"/>
    <w:rsid w:val="00C04273"/>
    <w:rsid w:val="00C047DE"/>
    <w:rsid w:val="00C04A50"/>
    <w:rsid w:val="00C04A83"/>
    <w:rsid w:val="00C04C9B"/>
    <w:rsid w:val="00C04D75"/>
    <w:rsid w:val="00C04E2A"/>
    <w:rsid w:val="00C04E5C"/>
    <w:rsid w:val="00C04EB8"/>
    <w:rsid w:val="00C04F2D"/>
    <w:rsid w:val="00C04F66"/>
    <w:rsid w:val="00C04F90"/>
    <w:rsid w:val="00C05272"/>
    <w:rsid w:val="00C05447"/>
    <w:rsid w:val="00C0548B"/>
    <w:rsid w:val="00C05BB9"/>
    <w:rsid w:val="00C05FB0"/>
    <w:rsid w:val="00C062CA"/>
    <w:rsid w:val="00C06673"/>
    <w:rsid w:val="00C06C2C"/>
    <w:rsid w:val="00C06D14"/>
    <w:rsid w:val="00C06DC3"/>
    <w:rsid w:val="00C07144"/>
    <w:rsid w:val="00C075C7"/>
    <w:rsid w:val="00C07BDC"/>
    <w:rsid w:val="00C07E4C"/>
    <w:rsid w:val="00C07E50"/>
    <w:rsid w:val="00C07F17"/>
    <w:rsid w:val="00C10136"/>
    <w:rsid w:val="00C10220"/>
    <w:rsid w:val="00C10397"/>
    <w:rsid w:val="00C10503"/>
    <w:rsid w:val="00C10511"/>
    <w:rsid w:val="00C10618"/>
    <w:rsid w:val="00C106E4"/>
    <w:rsid w:val="00C1095E"/>
    <w:rsid w:val="00C10B3F"/>
    <w:rsid w:val="00C10B6C"/>
    <w:rsid w:val="00C10DF2"/>
    <w:rsid w:val="00C10E0D"/>
    <w:rsid w:val="00C1107D"/>
    <w:rsid w:val="00C112D2"/>
    <w:rsid w:val="00C117ED"/>
    <w:rsid w:val="00C11A33"/>
    <w:rsid w:val="00C11AFE"/>
    <w:rsid w:val="00C11F0E"/>
    <w:rsid w:val="00C1217C"/>
    <w:rsid w:val="00C122EF"/>
    <w:rsid w:val="00C12306"/>
    <w:rsid w:val="00C12435"/>
    <w:rsid w:val="00C124CF"/>
    <w:rsid w:val="00C124DA"/>
    <w:rsid w:val="00C12852"/>
    <w:rsid w:val="00C12934"/>
    <w:rsid w:val="00C12D42"/>
    <w:rsid w:val="00C12D52"/>
    <w:rsid w:val="00C12E11"/>
    <w:rsid w:val="00C13107"/>
    <w:rsid w:val="00C134E7"/>
    <w:rsid w:val="00C134E8"/>
    <w:rsid w:val="00C13519"/>
    <w:rsid w:val="00C1383B"/>
    <w:rsid w:val="00C13B1F"/>
    <w:rsid w:val="00C13C96"/>
    <w:rsid w:val="00C13E72"/>
    <w:rsid w:val="00C13F47"/>
    <w:rsid w:val="00C14025"/>
    <w:rsid w:val="00C1416E"/>
    <w:rsid w:val="00C14198"/>
    <w:rsid w:val="00C142F6"/>
    <w:rsid w:val="00C14342"/>
    <w:rsid w:val="00C1435A"/>
    <w:rsid w:val="00C1451F"/>
    <w:rsid w:val="00C1467F"/>
    <w:rsid w:val="00C147CC"/>
    <w:rsid w:val="00C14AD6"/>
    <w:rsid w:val="00C14B8B"/>
    <w:rsid w:val="00C14D67"/>
    <w:rsid w:val="00C14DC8"/>
    <w:rsid w:val="00C14F20"/>
    <w:rsid w:val="00C1510D"/>
    <w:rsid w:val="00C155E2"/>
    <w:rsid w:val="00C15628"/>
    <w:rsid w:val="00C156BA"/>
    <w:rsid w:val="00C157E3"/>
    <w:rsid w:val="00C15920"/>
    <w:rsid w:val="00C15949"/>
    <w:rsid w:val="00C15C90"/>
    <w:rsid w:val="00C15E82"/>
    <w:rsid w:val="00C16094"/>
    <w:rsid w:val="00C16403"/>
    <w:rsid w:val="00C16407"/>
    <w:rsid w:val="00C16820"/>
    <w:rsid w:val="00C16AF2"/>
    <w:rsid w:val="00C16C0D"/>
    <w:rsid w:val="00C16D0E"/>
    <w:rsid w:val="00C1709A"/>
    <w:rsid w:val="00C17115"/>
    <w:rsid w:val="00C17205"/>
    <w:rsid w:val="00C17316"/>
    <w:rsid w:val="00C17471"/>
    <w:rsid w:val="00C1763D"/>
    <w:rsid w:val="00C176C5"/>
    <w:rsid w:val="00C17833"/>
    <w:rsid w:val="00C17A1F"/>
    <w:rsid w:val="00C17A7F"/>
    <w:rsid w:val="00C17A88"/>
    <w:rsid w:val="00C17BDA"/>
    <w:rsid w:val="00C17BF2"/>
    <w:rsid w:val="00C17EC2"/>
    <w:rsid w:val="00C17ECF"/>
    <w:rsid w:val="00C200CF"/>
    <w:rsid w:val="00C2024C"/>
    <w:rsid w:val="00C20354"/>
    <w:rsid w:val="00C20526"/>
    <w:rsid w:val="00C20531"/>
    <w:rsid w:val="00C2055A"/>
    <w:rsid w:val="00C206DA"/>
    <w:rsid w:val="00C2071C"/>
    <w:rsid w:val="00C20828"/>
    <w:rsid w:val="00C20CAB"/>
    <w:rsid w:val="00C20EA0"/>
    <w:rsid w:val="00C20F30"/>
    <w:rsid w:val="00C20F31"/>
    <w:rsid w:val="00C20FC4"/>
    <w:rsid w:val="00C2134A"/>
    <w:rsid w:val="00C2188A"/>
    <w:rsid w:val="00C219DF"/>
    <w:rsid w:val="00C21ABA"/>
    <w:rsid w:val="00C21C17"/>
    <w:rsid w:val="00C21D50"/>
    <w:rsid w:val="00C21DEE"/>
    <w:rsid w:val="00C21EC3"/>
    <w:rsid w:val="00C220F8"/>
    <w:rsid w:val="00C2217F"/>
    <w:rsid w:val="00C22379"/>
    <w:rsid w:val="00C2245B"/>
    <w:rsid w:val="00C22556"/>
    <w:rsid w:val="00C2259E"/>
    <w:rsid w:val="00C2268D"/>
    <w:rsid w:val="00C22AD1"/>
    <w:rsid w:val="00C22C70"/>
    <w:rsid w:val="00C23020"/>
    <w:rsid w:val="00C23938"/>
    <w:rsid w:val="00C23A31"/>
    <w:rsid w:val="00C23B66"/>
    <w:rsid w:val="00C23D0F"/>
    <w:rsid w:val="00C23DE9"/>
    <w:rsid w:val="00C23F66"/>
    <w:rsid w:val="00C24390"/>
    <w:rsid w:val="00C244D3"/>
    <w:rsid w:val="00C2457E"/>
    <w:rsid w:val="00C245E4"/>
    <w:rsid w:val="00C24919"/>
    <w:rsid w:val="00C24B8B"/>
    <w:rsid w:val="00C24D63"/>
    <w:rsid w:val="00C24DF4"/>
    <w:rsid w:val="00C24E08"/>
    <w:rsid w:val="00C24EFB"/>
    <w:rsid w:val="00C24F49"/>
    <w:rsid w:val="00C25217"/>
    <w:rsid w:val="00C25423"/>
    <w:rsid w:val="00C25C28"/>
    <w:rsid w:val="00C25C39"/>
    <w:rsid w:val="00C25D42"/>
    <w:rsid w:val="00C25E1B"/>
    <w:rsid w:val="00C25F5C"/>
    <w:rsid w:val="00C2618F"/>
    <w:rsid w:val="00C26254"/>
    <w:rsid w:val="00C26480"/>
    <w:rsid w:val="00C266B0"/>
    <w:rsid w:val="00C266FB"/>
    <w:rsid w:val="00C26C02"/>
    <w:rsid w:val="00C272A8"/>
    <w:rsid w:val="00C27752"/>
    <w:rsid w:val="00C27B9F"/>
    <w:rsid w:val="00C27D0B"/>
    <w:rsid w:val="00C27F2A"/>
    <w:rsid w:val="00C301D8"/>
    <w:rsid w:val="00C30394"/>
    <w:rsid w:val="00C306D7"/>
    <w:rsid w:val="00C3074A"/>
    <w:rsid w:val="00C30A0B"/>
    <w:rsid w:val="00C30CA4"/>
    <w:rsid w:val="00C310DB"/>
    <w:rsid w:val="00C31292"/>
    <w:rsid w:val="00C3168F"/>
    <w:rsid w:val="00C31A9D"/>
    <w:rsid w:val="00C31AFC"/>
    <w:rsid w:val="00C31B89"/>
    <w:rsid w:val="00C31D5B"/>
    <w:rsid w:val="00C320A5"/>
    <w:rsid w:val="00C3236F"/>
    <w:rsid w:val="00C32376"/>
    <w:rsid w:val="00C323AC"/>
    <w:rsid w:val="00C32B84"/>
    <w:rsid w:val="00C32DB5"/>
    <w:rsid w:val="00C33072"/>
    <w:rsid w:val="00C3315A"/>
    <w:rsid w:val="00C33910"/>
    <w:rsid w:val="00C33A37"/>
    <w:rsid w:val="00C33B0D"/>
    <w:rsid w:val="00C33BC6"/>
    <w:rsid w:val="00C33C9A"/>
    <w:rsid w:val="00C33D5D"/>
    <w:rsid w:val="00C3403F"/>
    <w:rsid w:val="00C340D4"/>
    <w:rsid w:val="00C344EA"/>
    <w:rsid w:val="00C34748"/>
    <w:rsid w:val="00C347A7"/>
    <w:rsid w:val="00C34807"/>
    <w:rsid w:val="00C34A5D"/>
    <w:rsid w:val="00C34A79"/>
    <w:rsid w:val="00C34CC7"/>
    <w:rsid w:val="00C34F3F"/>
    <w:rsid w:val="00C350F4"/>
    <w:rsid w:val="00C35159"/>
    <w:rsid w:val="00C351CA"/>
    <w:rsid w:val="00C3531C"/>
    <w:rsid w:val="00C35A36"/>
    <w:rsid w:val="00C35D2D"/>
    <w:rsid w:val="00C35F54"/>
    <w:rsid w:val="00C3613E"/>
    <w:rsid w:val="00C362E4"/>
    <w:rsid w:val="00C36329"/>
    <w:rsid w:val="00C363AE"/>
    <w:rsid w:val="00C3648E"/>
    <w:rsid w:val="00C364A1"/>
    <w:rsid w:val="00C367D9"/>
    <w:rsid w:val="00C36938"/>
    <w:rsid w:val="00C36B5B"/>
    <w:rsid w:val="00C36C26"/>
    <w:rsid w:val="00C36EAA"/>
    <w:rsid w:val="00C36EC3"/>
    <w:rsid w:val="00C36FCB"/>
    <w:rsid w:val="00C37080"/>
    <w:rsid w:val="00C371A7"/>
    <w:rsid w:val="00C3755A"/>
    <w:rsid w:val="00C37602"/>
    <w:rsid w:val="00C37867"/>
    <w:rsid w:val="00C37908"/>
    <w:rsid w:val="00C37971"/>
    <w:rsid w:val="00C37C7F"/>
    <w:rsid w:val="00C37C8E"/>
    <w:rsid w:val="00C37E0D"/>
    <w:rsid w:val="00C37E11"/>
    <w:rsid w:val="00C37F72"/>
    <w:rsid w:val="00C400EC"/>
    <w:rsid w:val="00C404AD"/>
    <w:rsid w:val="00C40891"/>
    <w:rsid w:val="00C4090D"/>
    <w:rsid w:val="00C409D4"/>
    <w:rsid w:val="00C409FA"/>
    <w:rsid w:val="00C40C08"/>
    <w:rsid w:val="00C411E1"/>
    <w:rsid w:val="00C4145C"/>
    <w:rsid w:val="00C41554"/>
    <w:rsid w:val="00C4182B"/>
    <w:rsid w:val="00C419AC"/>
    <w:rsid w:val="00C41A2F"/>
    <w:rsid w:val="00C42163"/>
    <w:rsid w:val="00C421FA"/>
    <w:rsid w:val="00C4222E"/>
    <w:rsid w:val="00C427A0"/>
    <w:rsid w:val="00C42994"/>
    <w:rsid w:val="00C42CDB"/>
    <w:rsid w:val="00C4342C"/>
    <w:rsid w:val="00C435C7"/>
    <w:rsid w:val="00C4361C"/>
    <w:rsid w:val="00C43816"/>
    <w:rsid w:val="00C43B00"/>
    <w:rsid w:val="00C43B5F"/>
    <w:rsid w:val="00C43B7E"/>
    <w:rsid w:val="00C43E16"/>
    <w:rsid w:val="00C43F08"/>
    <w:rsid w:val="00C43F34"/>
    <w:rsid w:val="00C43F7D"/>
    <w:rsid w:val="00C44369"/>
    <w:rsid w:val="00C4464E"/>
    <w:rsid w:val="00C44900"/>
    <w:rsid w:val="00C44CB4"/>
    <w:rsid w:val="00C44F7D"/>
    <w:rsid w:val="00C45150"/>
    <w:rsid w:val="00C451FB"/>
    <w:rsid w:val="00C457DC"/>
    <w:rsid w:val="00C45815"/>
    <w:rsid w:val="00C45841"/>
    <w:rsid w:val="00C458D7"/>
    <w:rsid w:val="00C45ADD"/>
    <w:rsid w:val="00C45C0F"/>
    <w:rsid w:val="00C461B8"/>
    <w:rsid w:val="00C4631C"/>
    <w:rsid w:val="00C46816"/>
    <w:rsid w:val="00C4688F"/>
    <w:rsid w:val="00C468D5"/>
    <w:rsid w:val="00C469F2"/>
    <w:rsid w:val="00C46AEC"/>
    <w:rsid w:val="00C46E32"/>
    <w:rsid w:val="00C46EE0"/>
    <w:rsid w:val="00C47395"/>
    <w:rsid w:val="00C474BD"/>
    <w:rsid w:val="00C477D2"/>
    <w:rsid w:val="00C47851"/>
    <w:rsid w:val="00C47978"/>
    <w:rsid w:val="00C47AF0"/>
    <w:rsid w:val="00C47BFB"/>
    <w:rsid w:val="00C47C89"/>
    <w:rsid w:val="00C47C8F"/>
    <w:rsid w:val="00C47F78"/>
    <w:rsid w:val="00C50118"/>
    <w:rsid w:val="00C50298"/>
    <w:rsid w:val="00C5033C"/>
    <w:rsid w:val="00C5042F"/>
    <w:rsid w:val="00C5051F"/>
    <w:rsid w:val="00C505F4"/>
    <w:rsid w:val="00C509D4"/>
    <w:rsid w:val="00C50A22"/>
    <w:rsid w:val="00C50A2E"/>
    <w:rsid w:val="00C50CD3"/>
    <w:rsid w:val="00C50D83"/>
    <w:rsid w:val="00C50E28"/>
    <w:rsid w:val="00C50FA3"/>
    <w:rsid w:val="00C510DD"/>
    <w:rsid w:val="00C5120C"/>
    <w:rsid w:val="00C513A8"/>
    <w:rsid w:val="00C515D1"/>
    <w:rsid w:val="00C51789"/>
    <w:rsid w:val="00C517CE"/>
    <w:rsid w:val="00C51C05"/>
    <w:rsid w:val="00C52BBB"/>
    <w:rsid w:val="00C52E74"/>
    <w:rsid w:val="00C52F43"/>
    <w:rsid w:val="00C52FF3"/>
    <w:rsid w:val="00C53019"/>
    <w:rsid w:val="00C53036"/>
    <w:rsid w:val="00C5323A"/>
    <w:rsid w:val="00C53258"/>
    <w:rsid w:val="00C534DD"/>
    <w:rsid w:val="00C5380D"/>
    <w:rsid w:val="00C53816"/>
    <w:rsid w:val="00C539A6"/>
    <w:rsid w:val="00C539FF"/>
    <w:rsid w:val="00C53ABB"/>
    <w:rsid w:val="00C53F32"/>
    <w:rsid w:val="00C53FF4"/>
    <w:rsid w:val="00C543C1"/>
    <w:rsid w:val="00C545D7"/>
    <w:rsid w:val="00C54683"/>
    <w:rsid w:val="00C547FA"/>
    <w:rsid w:val="00C54A94"/>
    <w:rsid w:val="00C55132"/>
    <w:rsid w:val="00C55217"/>
    <w:rsid w:val="00C55380"/>
    <w:rsid w:val="00C5565B"/>
    <w:rsid w:val="00C55A8E"/>
    <w:rsid w:val="00C55B98"/>
    <w:rsid w:val="00C55C0A"/>
    <w:rsid w:val="00C55E3D"/>
    <w:rsid w:val="00C55E86"/>
    <w:rsid w:val="00C55F81"/>
    <w:rsid w:val="00C56080"/>
    <w:rsid w:val="00C560E9"/>
    <w:rsid w:val="00C5615C"/>
    <w:rsid w:val="00C561A4"/>
    <w:rsid w:val="00C561E2"/>
    <w:rsid w:val="00C562A7"/>
    <w:rsid w:val="00C564C6"/>
    <w:rsid w:val="00C56592"/>
    <w:rsid w:val="00C56797"/>
    <w:rsid w:val="00C569ED"/>
    <w:rsid w:val="00C56A81"/>
    <w:rsid w:val="00C56EE0"/>
    <w:rsid w:val="00C571AC"/>
    <w:rsid w:val="00C573C9"/>
    <w:rsid w:val="00C5751D"/>
    <w:rsid w:val="00C57843"/>
    <w:rsid w:val="00C57A6E"/>
    <w:rsid w:val="00C57E91"/>
    <w:rsid w:val="00C57F5A"/>
    <w:rsid w:val="00C57F5C"/>
    <w:rsid w:val="00C600B9"/>
    <w:rsid w:val="00C601C4"/>
    <w:rsid w:val="00C60263"/>
    <w:rsid w:val="00C60292"/>
    <w:rsid w:val="00C605F7"/>
    <w:rsid w:val="00C607AC"/>
    <w:rsid w:val="00C607F4"/>
    <w:rsid w:val="00C60816"/>
    <w:rsid w:val="00C60C23"/>
    <w:rsid w:val="00C60CDA"/>
    <w:rsid w:val="00C60D5F"/>
    <w:rsid w:val="00C60E1A"/>
    <w:rsid w:val="00C60EBA"/>
    <w:rsid w:val="00C60FE8"/>
    <w:rsid w:val="00C610C3"/>
    <w:rsid w:val="00C615D1"/>
    <w:rsid w:val="00C6165E"/>
    <w:rsid w:val="00C6168A"/>
    <w:rsid w:val="00C61960"/>
    <w:rsid w:val="00C619DF"/>
    <w:rsid w:val="00C61B9F"/>
    <w:rsid w:val="00C61DCC"/>
    <w:rsid w:val="00C62060"/>
    <w:rsid w:val="00C620CF"/>
    <w:rsid w:val="00C622D7"/>
    <w:rsid w:val="00C6238D"/>
    <w:rsid w:val="00C6243B"/>
    <w:rsid w:val="00C628DE"/>
    <w:rsid w:val="00C62E99"/>
    <w:rsid w:val="00C62FA7"/>
    <w:rsid w:val="00C63143"/>
    <w:rsid w:val="00C631E1"/>
    <w:rsid w:val="00C633DF"/>
    <w:rsid w:val="00C6357A"/>
    <w:rsid w:val="00C637D2"/>
    <w:rsid w:val="00C63853"/>
    <w:rsid w:val="00C6393C"/>
    <w:rsid w:val="00C6399E"/>
    <w:rsid w:val="00C64070"/>
    <w:rsid w:val="00C643A5"/>
    <w:rsid w:val="00C647F2"/>
    <w:rsid w:val="00C6490C"/>
    <w:rsid w:val="00C6495E"/>
    <w:rsid w:val="00C64CA6"/>
    <w:rsid w:val="00C64EF5"/>
    <w:rsid w:val="00C6505D"/>
    <w:rsid w:val="00C650C8"/>
    <w:rsid w:val="00C653E8"/>
    <w:rsid w:val="00C654C2"/>
    <w:rsid w:val="00C65691"/>
    <w:rsid w:val="00C65A4F"/>
    <w:rsid w:val="00C65B15"/>
    <w:rsid w:val="00C65EF2"/>
    <w:rsid w:val="00C661AE"/>
    <w:rsid w:val="00C6623C"/>
    <w:rsid w:val="00C66924"/>
    <w:rsid w:val="00C66954"/>
    <w:rsid w:val="00C66A3E"/>
    <w:rsid w:val="00C66C9A"/>
    <w:rsid w:val="00C66CB6"/>
    <w:rsid w:val="00C66EE9"/>
    <w:rsid w:val="00C670DF"/>
    <w:rsid w:val="00C67559"/>
    <w:rsid w:val="00C67641"/>
    <w:rsid w:val="00C67683"/>
    <w:rsid w:val="00C678F4"/>
    <w:rsid w:val="00C67935"/>
    <w:rsid w:val="00C679CD"/>
    <w:rsid w:val="00C67BC4"/>
    <w:rsid w:val="00C67CFF"/>
    <w:rsid w:val="00C67D42"/>
    <w:rsid w:val="00C7018D"/>
    <w:rsid w:val="00C70231"/>
    <w:rsid w:val="00C70293"/>
    <w:rsid w:val="00C70350"/>
    <w:rsid w:val="00C705B1"/>
    <w:rsid w:val="00C705DB"/>
    <w:rsid w:val="00C70707"/>
    <w:rsid w:val="00C70744"/>
    <w:rsid w:val="00C70D58"/>
    <w:rsid w:val="00C71016"/>
    <w:rsid w:val="00C710B8"/>
    <w:rsid w:val="00C710C2"/>
    <w:rsid w:val="00C7131E"/>
    <w:rsid w:val="00C717F0"/>
    <w:rsid w:val="00C71A5D"/>
    <w:rsid w:val="00C71D53"/>
    <w:rsid w:val="00C71E67"/>
    <w:rsid w:val="00C71F3E"/>
    <w:rsid w:val="00C71FE3"/>
    <w:rsid w:val="00C72192"/>
    <w:rsid w:val="00C7228B"/>
    <w:rsid w:val="00C722C5"/>
    <w:rsid w:val="00C7246B"/>
    <w:rsid w:val="00C725F2"/>
    <w:rsid w:val="00C72728"/>
    <w:rsid w:val="00C728DE"/>
    <w:rsid w:val="00C72983"/>
    <w:rsid w:val="00C72A02"/>
    <w:rsid w:val="00C72A05"/>
    <w:rsid w:val="00C72CA7"/>
    <w:rsid w:val="00C731A5"/>
    <w:rsid w:val="00C735CB"/>
    <w:rsid w:val="00C73798"/>
    <w:rsid w:val="00C737F0"/>
    <w:rsid w:val="00C73BC9"/>
    <w:rsid w:val="00C74046"/>
    <w:rsid w:val="00C743EE"/>
    <w:rsid w:val="00C74482"/>
    <w:rsid w:val="00C74608"/>
    <w:rsid w:val="00C747FD"/>
    <w:rsid w:val="00C74FB5"/>
    <w:rsid w:val="00C750E3"/>
    <w:rsid w:val="00C75354"/>
    <w:rsid w:val="00C753AE"/>
    <w:rsid w:val="00C753FC"/>
    <w:rsid w:val="00C754F1"/>
    <w:rsid w:val="00C75A92"/>
    <w:rsid w:val="00C75B2B"/>
    <w:rsid w:val="00C75BB6"/>
    <w:rsid w:val="00C76412"/>
    <w:rsid w:val="00C76584"/>
    <w:rsid w:val="00C766B2"/>
    <w:rsid w:val="00C76C8D"/>
    <w:rsid w:val="00C7705D"/>
    <w:rsid w:val="00C772D2"/>
    <w:rsid w:val="00C77310"/>
    <w:rsid w:val="00C773AD"/>
    <w:rsid w:val="00C7746E"/>
    <w:rsid w:val="00C776C2"/>
    <w:rsid w:val="00C77AB9"/>
    <w:rsid w:val="00C77C08"/>
    <w:rsid w:val="00C80134"/>
    <w:rsid w:val="00C802D2"/>
    <w:rsid w:val="00C804FC"/>
    <w:rsid w:val="00C80661"/>
    <w:rsid w:val="00C80A91"/>
    <w:rsid w:val="00C80C62"/>
    <w:rsid w:val="00C811DA"/>
    <w:rsid w:val="00C8128A"/>
    <w:rsid w:val="00C81659"/>
    <w:rsid w:val="00C81675"/>
    <w:rsid w:val="00C817CF"/>
    <w:rsid w:val="00C818AD"/>
    <w:rsid w:val="00C8197C"/>
    <w:rsid w:val="00C81AAC"/>
    <w:rsid w:val="00C81AB0"/>
    <w:rsid w:val="00C81B2A"/>
    <w:rsid w:val="00C81C52"/>
    <w:rsid w:val="00C820FD"/>
    <w:rsid w:val="00C82375"/>
    <w:rsid w:val="00C82518"/>
    <w:rsid w:val="00C8259E"/>
    <w:rsid w:val="00C82776"/>
    <w:rsid w:val="00C827AF"/>
    <w:rsid w:val="00C82A4F"/>
    <w:rsid w:val="00C82AE6"/>
    <w:rsid w:val="00C82AF9"/>
    <w:rsid w:val="00C82BA8"/>
    <w:rsid w:val="00C82E5E"/>
    <w:rsid w:val="00C82F4D"/>
    <w:rsid w:val="00C831E1"/>
    <w:rsid w:val="00C83851"/>
    <w:rsid w:val="00C83872"/>
    <w:rsid w:val="00C83880"/>
    <w:rsid w:val="00C838D7"/>
    <w:rsid w:val="00C83A25"/>
    <w:rsid w:val="00C83AFD"/>
    <w:rsid w:val="00C83EC5"/>
    <w:rsid w:val="00C83F8E"/>
    <w:rsid w:val="00C8423E"/>
    <w:rsid w:val="00C842CE"/>
    <w:rsid w:val="00C846C8"/>
    <w:rsid w:val="00C847C7"/>
    <w:rsid w:val="00C848B4"/>
    <w:rsid w:val="00C84A93"/>
    <w:rsid w:val="00C84C96"/>
    <w:rsid w:val="00C84CC2"/>
    <w:rsid w:val="00C84D90"/>
    <w:rsid w:val="00C84DF2"/>
    <w:rsid w:val="00C84E84"/>
    <w:rsid w:val="00C84E9E"/>
    <w:rsid w:val="00C84EA2"/>
    <w:rsid w:val="00C85131"/>
    <w:rsid w:val="00C85211"/>
    <w:rsid w:val="00C8542A"/>
    <w:rsid w:val="00C855D0"/>
    <w:rsid w:val="00C85658"/>
    <w:rsid w:val="00C85903"/>
    <w:rsid w:val="00C85926"/>
    <w:rsid w:val="00C85DAA"/>
    <w:rsid w:val="00C85E2D"/>
    <w:rsid w:val="00C85EA9"/>
    <w:rsid w:val="00C8614A"/>
    <w:rsid w:val="00C86659"/>
    <w:rsid w:val="00C8672F"/>
    <w:rsid w:val="00C86789"/>
    <w:rsid w:val="00C867B2"/>
    <w:rsid w:val="00C86C50"/>
    <w:rsid w:val="00C86D9B"/>
    <w:rsid w:val="00C86F4C"/>
    <w:rsid w:val="00C873D0"/>
    <w:rsid w:val="00C87998"/>
    <w:rsid w:val="00C87C20"/>
    <w:rsid w:val="00C9026B"/>
    <w:rsid w:val="00C903B1"/>
    <w:rsid w:val="00C9055A"/>
    <w:rsid w:val="00C90EF6"/>
    <w:rsid w:val="00C9115C"/>
    <w:rsid w:val="00C91463"/>
    <w:rsid w:val="00C9182B"/>
    <w:rsid w:val="00C91945"/>
    <w:rsid w:val="00C91D44"/>
    <w:rsid w:val="00C91F70"/>
    <w:rsid w:val="00C91F7A"/>
    <w:rsid w:val="00C91FCD"/>
    <w:rsid w:val="00C92087"/>
    <w:rsid w:val="00C9256C"/>
    <w:rsid w:val="00C928DF"/>
    <w:rsid w:val="00C92923"/>
    <w:rsid w:val="00C92954"/>
    <w:rsid w:val="00C92AEB"/>
    <w:rsid w:val="00C92DC4"/>
    <w:rsid w:val="00C92E72"/>
    <w:rsid w:val="00C92FBF"/>
    <w:rsid w:val="00C9301A"/>
    <w:rsid w:val="00C9304D"/>
    <w:rsid w:val="00C9313A"/>
    <w:rsid w:val="00C93203"/>
    <w:rsid w:val="00C93458"/>
    <w:rsid w:val="00C937AC"/>
    <w:rsid w:val="00C939B7"/>
    <w:rsid w:val="00C93ADD"/>
    <w:rsid w:val="00C93C24"/>
    <w:rsid w:val="00C94010"/>
    <w:rsid w:val="00C9407D"/>
    <w:rsid w:val="00C94191"/>
    <w:rsid w:val="00C94208"/>
    <w:rsid w:val="00C94394"/>
    <w:rsid w:val="00C943FF"/>
    <w:rsid w:val="00C94498"/>
    <w:rsid w:val="00C94AC1"/>
    <w:rsid w:val="00C94AEE"/>
    <w:rsid w:val="00C94C47"/>
    <w:rsid w:val="00C94D36"/>
    <w:rsid w:val="00C94D7A"/>
    <w:rsid w:val="00C94E2E"/>
    <w:rsid w:val="00C95112"/>
    <w:rsid w:val="00C951A3"/>
    <w:rsid w:val="00C95265"/>
    <w:rsid w:val="00C952BE"/>
    <w:rsid w:val="00C954B3"/>
    <w:rsid w:val="00C9594F"/>
    <w:rsid w:val="00C96295"/>
    <w:rsid w:val="00C965F3"/>
    <w:rsid w:val="00C96991"/>
    <w:rsid w:val="00C96C1A"/>
    <w:rsid w:val="00C96C72"/>
    <w:rsid w:val="00C96DA6"/>
    <w:rsid w:val="00C96E7C"/>
    <w:rsid w:val="00C96F3B"/>
    <w:rsid w:val="00C96F8F"/>
    <w:rsid w:val="00C97058"/>
    <w:rsid w:val="00C971FB"/>
    <w:rsid w:val="00C97A52"/>
    <w:rsid w:val="00C97A7A"/>
    <w:rsid w:val="00C97CDC"/>
    <w:rsid w:val="00C97E91"/>
    <w:rsid w:val="00CA0228"/>
    <w:rsid w:val="00CA0487"/>
    <w:rsid w:val="00CA05E1"/>
    <w:rsid w:val="00CA06F3"/>
    <w:rsid w:val="00CA0700"/>
    <w:rsid w:val="00CA07DC"/>
    <w:rsid w:val="00CA0A43"/>
    <w:rsid w:val="00CA0ADF"/>
    <w:rsid w:val="00CA0CB5"/>
    <w:rsid w:val="00CA0FF7"/>
    <w:rsid w:val="00CA12B1"/>
    <w:rsid w:val="00CA1459"/>
    <w:rsid w:val="00CA14E9"/>
    <w:rsid w:val="00CA1895"/>
    <w:rsid w:val="00CA18CB"/>
    <w:rsid w:val="00CA19AF"/>
    <w:rsid w:val="00CA1A3B"/>
    <w:rsid w:val="00CA1C63"/>
    <w:rsid w:val="00CA1DB5"/>
    <w:rsid w:val="00CA1DE9"/>
    <w:rsid w:val="00CA209A"/>
    <w:rsid w:val="00CA232C"/>
    <w:rsid w:val="00CA2332"/>
    <w:rsid w:val="00CA25DB"/>
    <w:rsid w:val="00CA2659"/>
    <w:rsid w:val="00CA2967"/>
    <w:rsid w:val="00CA2A2E"/>
    <w:rsid w:val="00CA2A40"/>
    <w:rsid w:val="00CA2E41"/>
    <w:rsid w:val="00CA325F"/>
    <w:rsid w:val="00CA3281"/>
    <w:rsid w:val="00CA3330"/>
    <w:rsid w:val="00CA3482"/>
    <w:rsid w:val="00CA3526"/>
    <w:rsid w:val="00CA353F"/>
    <w:rsid w:val="00CA366C"/>
    <w:rsid w:val="00CA3739"/>
    <w:rsid w:val="00CA3A00"/>
    <w:rsid w:val="00CA3D1F"/>
    <w:rsid w:val="00CA3EFC"/>
    <w:rsid w:val="00CA3FCE"/>
    <w:rsid w:val="00CA419A"/>
    <w:rsid w:val="00CA41A3"/>
    <w:rsid w:val="00CA42D9"/>
    <w:rsid w:val="00CA4CA7"/>
    <w:rsid w:val="00CA4DD3"/>
    <w:rsid w:val="00CA5053"/>
    <w:rsid w:val="00CA5082"/>
    <w:rsid w:val="00CA553C"/>
    <w:rsid w:val="00CA5966"/>
    <w:rsid w:val="00CA59F5"/>
    <w:rsid w:val="00CA5C19"/>
    <w:rsid w:val="00CA5DC5"/>
    <w:rsid w:val="00CA60AB"/>
    <w:rsid w:val="00CA6494"/>
    <w:rsid w:val="00CA64C1"/>
    <w:rsid w:val="00CA64F7"/>
    <w:rsid w:val="00CA6513"/>
    <w:rsid w:val="00CA68C9"/>
    <w:rsid w:val="00CA697D"/>
    <w:rsid w:val="00CA6AA3"/>
    <w:rsid w:val="00CA723A"/>
    <w:rsid w:val="00CA735F"/>
    <w:rsid w:val="00CA758E"/>
    <w:rsid w:val="00CA75DF"/>
    <w:rsid w:val="00CA76D1"/>
    <w:rsid w:val="00CA778A"/>
    <w:rsid w:val="00CA7941"/>
    <w:rsid w:val="00CB00C8"/>
    <w:rsid w:val="00CB026A"/>
    <w:rsid w:val="00CB02FE"/>
    <w:rsid w:val="00CB0674"/>
    <w:rsid w:val="00CB06E4"/>
    <w:rsid w:val="00CB07E4"/>
    <w:rsid w:val="00CB09AB"/>
    <w:rsid w:val="00CB0CD6"/>
    <w:rsid w:val="00CB0E3A"/>
    <w:rsid w:val="00CB11C0"/>
    <w:rsid w:val="00CB12E2"/>
    <w:rsid w:val="00CB1376"/>
    <w:rsid w:val="00CB1554"/>
    <w:rsid w:val="00CB1609"/>
    <w:rsid w:val="00CB19C6"/>
    <w:rsid w:val="00CB1AED"/>
    <w:rsid w:val="00CB1BBC"/>
    <w:rsid w:val="00CB1C5A"/>
    <w:rsid w:val="00CB1CF1"/>
    <w:rsid w:val="00CB22C3"/>
    <w:rsid w:val="00CB23E6"/>
    <w:rsid w:val="00CB267F"/>
    <w:rsid w:val="00CB28C0"/>
    <w:rsid w:val="00CB2A62"/>
    <w:rsid w:val="00CB2A6D"/>
    <w:rsid w:val="00CB2D4A"/>
    <w:rsid w:val="00CB2DA2"/>
    <w:rsid w:val="00CB2F77"/>
    <w:rsid w:val="00CB360C"/>
    <w:rsid w:val="00CB3991"/>
    <w:rsid w:val="00CB39B2"/>
    <w:rsid w:val="00CB3ADE"/>
    <w:rsid w:val="00CB3F2D"/>
    <w:rsid w:val="00CB42F5"/>
    <w:rsid w:val="00CB4567"/>
    <w:rsid w:val="00CB4626"/>
    <w:rsid w:val="00CB4634"/>
    <w:rsid w:val="00CB470A"/>
    <w:rsid w:val="00CB476F"/>
    <w:rsid w:val="00CB49C3"/>
    <w:rsid w:val="00CB4BA1"/>
    <w:rsid w:val="00CB4C1D"/>
    <w:rsid w:val="00CB4DEB"/>
    <w:rsid w:val="00CB4FCD"/>
    <w:rsid w:val="00CB50E9"/>
    <w:rsid w:val="00CB5338"/>
    <w:rsid w:val="00CB5423"/>
    <w:rsid w:val="00CB550E"/>
    <w:rsid w:val="00CB5625"/>
    <w:rsid w:val="00CB5A33"/>
    <w:rsid w:val="00CB5D2E"/>
    <w:rsid w:val="00CB5E86"/>
    <w:rsid w:val="00CB5EEA"/>
    <w:rsid w:val="00CB6005"/>
    <w:rsid w:val="00CB60D0"/>
    <w:rsid w:val="00CB65A5"/>
    <w:rsid w:val="00CB681C"/>
    <w:rsid w:val="00CB694C"/>
    <w:rsid w:val="00CB6AFD"/>
    <w:rsid w:val="00CB6C24"/>
    <w:rsid w:val="00CB74DC"/>
    <w:rsid w:val="00CB761F"/>
    <w:rsid w:val="00CB7778"/>
    <w:rsid w:val="00CB78B1"/>
    <w:rsid w:val="00CB78F8"/>
    <w:rsid w:val="00CB7C8F"/>
    <w:rsid w:val="00CB7CA8"/>
    <w:rsid w:val="00CB7D16"/>
    <w:rsid w:val="00CB7F91"/>
    <w:rsid w:val="00CB7FBB"/>
    <w:rsid w:val="00CC01E4"/>
    <w:rsid w:val="00CC03D3"/>
    <w:rsid w:val="00CC0494"/>
    <w:rsid w:val="00CC06D7"/>
    <w:rsid w:val="00CC07B3"/>
    <w:rsid w:val="00CC0CEE"/>
    <w:rsid w:val="00CC0D3A"/>
    <w:rsid w:val="00CC0D4B"/>
    <w:rsid w:val="00CC0F11"/>
    <w:rsid w:val="00CC0F1D"/>
    <w:rsid w:val="00CC0FC3"/>
    <w:rsid w:val="00CC104B"/>
    <w:rsid w:val="00CC1125"/>
    <w:rsid w:val="00CC113A"/>
    <w:rsid w:val="00CC1231"/>
    <w:rsid w:val="00CC154B"/>
    <w:rsid w:val="00CC1BC1"/>
    <w:rsid w:val="00CC1F42"/>
    <w:rsid w:val="00CC239F"/>
    <w:rsid w:val="00CC245B"/>
    <w:rsid w:val="00CC265B"/>
    <w:rsid w:val="00CC282B"/>
    <w:rsid w:val="00CC2906"/>
    <w:rsid w:val="00CC2BA4"/>
    <w:rsid w:val="00CC2CA9"/>
    <w:rsid w:val="00CC2DBD"/>
    <w:rsid w:val="00CC3002"/>
    <w:rsid w:val="00CC3026"/>
    <w:rsid w:val="00CC331B"/>
    <w:rsid w:val="00CC3415"/>
    <w:rsid w:val="00CC35BB"/>
    <w:rsid w:val="00CC374E"/>
    <w:rsid w:val="00CC383B"/>
    <w:rsid w:val="00CC39CF"/>
    <w:rsid w:val="00CC3B15"/>
    <w:rsid w:val="00CC3B62"/>
    <w:rsid w:val="00CC3BA2"/>
    <w:rsid w:val="00CC3CBF"/>
    <w:rsid w:val="00CC3E7C"/>
    <w:rsid w:val="00CC3EE2"/>
    <w:rsid w:val="00CC3EE7"/>
    <w:rsid w:val="00CC40F0"/>
    <w:rsid w:val="00CC4141"/>
    <w:rsid w:val="00CC4155"/>
    <w:rsid w:val="00CC4348"/>
    <w:rsid w:val="00CC446D"/>
    <w:rsid w:val="00CC44AC"/>
    <w:rsid w:val="00CC4639"/>
    <w:rsid w:val="00CC466B"/>
    <w:rsid w:val="00CC4766"/>
    <w:rsid w:val="00CC4828"/>
    <w:rsid w:val="00CC49B9"/>
    <w:rsid w:val="00CC4A14"/>
    <w:rsid w:val="00CC4B04"/>
    <w:rsid w:val="00CC4E95"/>
    <w:rsid w:val="00CC4FA3"/>
    <w:rsid w:val="00CC4FDD"/>
    <w:rsid w:val="00CC51AF"/>
    <w:rsid w:val="00CC587E"/>
    <w:rsid w:val="00CC5A68"/>
    <w:rsid w:val="00CC5C9E"/>
    <w:rsid w:val="00CC621E"/>
    <w:rsid w:val="00CC6471"/>
    <w:rsid w:val="00CC64FB"/>
    <w:rsid w:val="00CC6AF0"/>
    <w:rsid w:val="00CC6D84"/>
    <w:rsid w:val="00CC6FC7"/>
    <w:rsid w:val="00CC6FD2"/>
    <w:rsid w:val="00CC710A"/>
    <w:rsid w:val="00CC751C"/>
    <w:rsid w:val="00CC763A"/>
    <w:rsid w:val="00CC78A2"/>
    <w:rsid w:val="00CC7C16"/>
    <w:rsid w:val="00CC7E43"/>
    <w:rsid w:val="00CC7F0F"/>
    <w:rsid w:val="00CC7F1A"/>
    <w:rsid w:val="00CC7FF5"/>
    <w:rsid w:val="00CD02A6"/>
    <w:rsid w:val="00CD02C4"/>
    <w:rsid w:val="00CD0492"/>
    <w:rsid w:val="00CD05BA"/>
    <w:rsid w:val="00CD0604"/>
    <w:rsid w:val="00CD060F"/>
    <w:rsid w:val="00CD068D"/>
    <w:rsid w:val="00CD09F5"/>
    <w:rsid w:val="00CD0AFF"/>
    <w:rsid w:val="00CD0B9D"/>
    <w:rsid w:val="00CD0D28"/>
    <w:rsid w:val="00CD0D4A"/>
    <w:rsid w:val="00CD0DF4"/>
    <w:rsid w:val="00CD0E34"/>
    <w:rsid w:val="00CD0E76"/>
    <w:rsid w:val="00CD0FB3"/>
    <w:rsid w:val="00CD170C"/>
    <w:rsid w:val="00CD1D2D"/>
    <w:rsid w:val="00CD1D34"/>
    <w:rsid w:val="00CD1E9D"/>
    <w:rsid w:val="00CD1F94"/>
    <w:rsid w:val="00CD1FAA"/>
    <w:rsid w:val="00CD2041"/>
    <w:rsid w:val="00CD22B3"/>
    <w:rsid w:val="00CD265A"/>
    <w:rsid w:val="00CD2742"/>
    <w:rsid w:val="00CD2A1E"/>
    <w:rsid w:val="00CD2C1F"/>
    <w:rsid w:val="00CD2D1B"/>
    <w:rsid w:val="00CD2EB1"/>
    <w:rsid w:val="00CD300F"/>
    <w:rsid w:val="00CD304E"/>
    <w:rsid w:val="00CD3414"/>
    <w:rsid w:val="00CD36B9"/>
    <w:rsid w:val="00CD37A8"/>
    <w:rsid w:val="00CD39B1"/>
    <w:rsid w:val="00CD3A3A"/>
    <w:rsid w:val="00CD3BB9"/>
    <w:rsid w:val="00CD3D61"/>
    <w:rsid w:val="00CD3E65"/>
    <w:rsid w:val="00CD401C"/>
    <w:rsid w:val="00CD4088"/>
    <w:rsid w:val="00CD4147"/>
    <w:rsid w:val="00CD4399"/>
    <w:rsid w:val="00CD444C"/>
    <w:rsid w:val="00CD4581"/>
    <w:rsid w:val="00CD46CC"/>
    <w:rsid w:val="00CD4889"/>
    <w:rsid w:val="00CD4D06"/>
    <w:rsid w:val="00CD4DA6"/>
    <w:rsid w:val="00CD4E71"/>
    <w:rsid w:val="00CD51F9"/>
    <w:rsid w:val="00CD5393"/>
    <w:rsid w:val="00CD58DE"/>
    <w:rsid w:val="00CD5954"/>
    <w:rsid w:val="00CD59BC"/>
    <w:rsid w:val="00CD5CC6"/>
    <w:rsid w:val="00CD5EF6"/>
    <w:rsid w:val="00CD5F69"/>
    <w:rsid w:val="00CD6205"/>
    <w:rsid w:val="00CD6329"/>
    <w:rsid w:val="00CD66BD"/>
    <w:rsid w:val="00CD680B"/>
    <w:rsid w:val="00CD6AC7"/>
    <w:rsid w:val="00CD6BA3"/>
    <w:rsid w:val="00CD6D1D"/>
    <w:rsid w:val="00CD72CA"/>
    <w:rsid w:val="00CD7331"/>
    <w:rsid w:val="00CD75C2"/>
    <w:rsid w:val="00CD7753"/>
    <w:rsid w:val="00CD7BCD"/>
    <w:rsid w:val="00CD7EAC"/>
    <w:rsid w:val="00CE019F"/>
    <w:rsid w:val="00CE031C"/>
    <w:rsid w:val="00CE036B"/>
    <w:rsid w:val="00CE0561"/>
    <w:rsid w:val="00CE081A"/>
    <w:rsid w:val="00CE0A95"/>
    <w:rsid w:val="00CE0BC2"/>
    <w:rsid w:val="00CE0E03"/>
    <w:rsid w:val="00CE0F31"/>
    <w:rsid w:val="00CE18C5"/>
    <w:rsid w:val="00CE1967"/>
    <w:rsid w:val="00CE1B10"/>
    <w:rsid w:val="00CE201F"/>
    <w:rsid w:val="00CE20A8"/>
    <w:rsid w:val="00CE25D3"/>
    <w:rsid w:val="00CE262B"/>
    <w:rsid w:val="00CE2821"/>
    <w:rsid w:val="00CE28F7"/>
    <w:rsid w:val="00CE2A09"/>
    <w:rsid w:val="00CE2A62"/>
    <w:rsid w:val="00CE2D0E"/>
    <w:rsid w:val="00CE2DDD"/>
    <w:rsid w:val="00CE2E05"/>
    <w:rsid w:val="00CE343C"/>
    <w:rsid w:val="00CE34CB"/>
    <w:rsid w:val="00CE360E"/>
    <w:rsid w:val="00CE3734"/>
    <w:rsid w:val="00CE3D56"/>
    <w:rsid w:val="00CE3D9E"/>
    <w:rsid w:val="00CE3E2F"/>
    <w:rsid w:val="00CE471F"/>
    <w:rsid w:val="00CE4CAF"/>
    <w:rsid w:val="00CE4D63"/>
    <w:rsid w:val="00CE4DB1"/>
    <w:rsid w:val="00CE5005"/>
    <w:rsid w:val="00CE503F"/>
    <w:rsid w:val="00CE5333"/>
    <w:rsid w:val="00CE54E2"/>
    <w:rsid w:val="00CE5779"/>
    <w:rsid w:val="00CE577B"/>
    <w:rsid w:val="00CE57EE"/>
    <w:rsid w:val="00CE5812"/>
    <w:rsid w:val="00CE589F"/>
    <w:rsid w:val="00CE58EA"/>
    <w:rsid w:val="00CE5B08"/>
    <w:rsid w:val="00CE5B5A"/>
    <w:rsid w:val="00CE5BCC"/>
    <w:rsid w:val="00CE5FE9"/>
    <w:rsid w:val="00CE60D6"/>
    <w:rsid w:val="00CE61AF"/>
    <w:rsid w:val="00CE61C8"/>
    <w:rsid w:val="00CE6226"/>
    <w:rsid w:val="00CE6334"/>
    <w:rsid w:val="00CE6645"/>
    <w:rsid w:val="00CE68CB"/>
    <w:rsid w:val="00CE6ABD"/>
    <w:rsid w:val="00CE6CA0"/>
    <w:rsid w:val="00CE6D05"/>
    <w:rsid w:val="00CE6F07"/>
    <w:rsid w:val="00CE7506"/>
    <w:rsid w:val="00CE771D"/>
    <w:rsid w:val="00CE790A"/>
    <w:rsid w:val="00CE797E"/>
    <w:rsid w:val="00CE79D2"/>
    <w:rsid w:val="00CE7B55"/>
    <w:rsid w:val="00CE7C0B"/>
    <w:rsid w:val="00CE7EDB"/>
    <w:rsid w:val="00CE7FD9"/>
    <w:rsid w:val="00CF0097"/>
    <w:rsid w:val="00CF026F"/>
    <w:rsid w:val="00CF0350"/>
    <w:rsid w:val="00CF052F"/>
    <w:rsid w:val="00CF06C0"/>
    <w:rsid w:val="00CF0C61"/>
    <w:rsid w:val="00CF0DEE"/>
    <w:rsid w:val="00CF0E44"/>
    <w:rsid w:val="00CF10A8"/>
    <w:rsid w:val="00CF12CC"/>
    <w:rsid w:val="00CF149D"/>
    <w:rsid w:val="00CF168C"/>
    <w:rsid w:val="00CF17FF"/>
    <w:rsid w:val="00CF180B"/>
    <w:rsid w:val="00CF1844"/>
    <w:rsid w:val="00CF18B1"/>
    <w:rsid w:val="00CF1A81"/>
    <w:rsid w:val="00CF1C34"/>
    <w:rsid w:val="00CF1CD6"/>
    <w:rsid w:val="00CF23ED"/>
    <w:rsid w:val="00CF249A"/>
    <w:rsid w:val="00CF2727"/>
    <w:rsid w:val="00CF2819"/>
    <w:rsid w:val="00CF2D86"/>
    <w:rsid w:val="00CF2D8E"/>
    <w:rsid w:val="00CF2E6A"/>
    <w:rsid w:val="00CF2F1C"/>
    <w:rsid w:val="00CF2FB8"/>
    <w:rsid w:val="00CF315D"/>
    <w:rsid w:val="00CF3269"/>
    <w:rsid w:val="00CF33E2"/>
    <w:rsid w:val="00CF34DE"/>
    <w:rsid w:val="00CF35B9"/>
    <w:rsid w:val="00CF363A"/>
    <w:rsid w:val="00CF37ED"/>
    <w:rsid w:val="00CF3866"/>
    <w:rsid w:val="00CF39E1"/>
    <w:rsid w:val="00CF39F9"/>
    <w:rsid w:val="00CF3A4B"/>
    <w:rsid w:val="00CF3A85"/>
    <w:rsid w:val="00CF3B1E"/>
    <w:rsid w:val="00CF3DEF"/>
    <w:rsid w:val="00CF3E66"/>
    <w:rsid w:val="00CF3EBA"/>
    <w:rsid w:val="00CF3F57"/>
    <w:rsid w:val="00CF3FC0"/>
    <w:rsid w:val="00CF407C"/>
    <w:rsid w:val="00CF4083"/>
    <w:rsid w:val="00CF41C9"/>
    <w:rsid w:val="00CF4360"/>
    <w:rsid w:val="00CF4520"/>
    <w:rsid w:val="00CF45AE"/>
    <w:rsid w:val="00CF466D"/>
    <w:rsid w:val="00CF4764"/>
    <w:rsid w:val="00CF4AD9"/>
    <w:rsid w:val="00CF4E04"/>
    <w:rsid w:val="00CF4EB7"/>
    <w:rsid w:val="00CF4F6E"/>
    <w:rsid w:val="00CF5007"/>
    <w:rsid w:val="00CF51E2"/>
    <w:rsid w:val="00CF5800"/>
    <w:rsid w:val="00CF59E9"/>
    <w:rsid w:val="00CF5F48"/>
    <w:rsid w:val="00CF6053"/>
    <w:rsid w:val="00CF647A"/>
    <w:rsid w:val="00CF6598"/>
    <w:rsid w:val="00CF66D8"/>
    <w:rsid w:val="00CF6789"/>
    <w:rsid w:val="00CF67EF"/>
    <w:rsid w:val="00CF6B85"/>
    <w:rsid w:val="00CF7008"/>
    <w:rsid w:val="00CF753E"/>
    <w:rsid w:val="00CF754E"/>
    <w:rsid w:val="00CF796F"/>
    <w:rsid w:val="00CF7A52"/>
    <w:rsid w:val="00CF7B15"/>
    <w:rsid w:val="00CF7DE5"/>
    <w:rsid w:val="00CF7E15"/>
    <w:rsid w:val="00CF7F0C"/>
    <w:rsid w:val="00CF7FEE"/>
    <w:rsid w:val="00D0020E"/>
    <w:rsid w:val="00D005B1"/>
    <w:rsid w:val="00D006D0"/>
    <w:rsid w:val="00D008B7"/>
    <w:rsid w:val="00D0092B"/>
    <w:rsid w:val="00D00982"/>
    <w:rsid w:val="00D00A81"/>
    <w:rsid w:val="00D00B3D"/>
    <w:rsid w:val="00D00BDF"/>
    <w:rsid w:val="00D00E2A"/>
    <w:rsid w:val="00D0125B"/>
    <w:rsid w:val="00D012D1"/>
    <w:rsid w:val="00D014B4"/>
    <w:rsid w:val="00D0166B"/>
    <w:rsid w:val="00D01C2A"/>
    <w:rsid w:val="00D01CD3"/>
    <w:rsid w:val="00D02360"/>
    <w:rsid w:val="00D026E7"/>
    <w:rsid w:val="00D02741"/>
    <w:rsid w:val="00D0284A"/>
    <w:rsid w:val="00D02DC4"/>
    <w:rsid w:val="00D034C1"/>
    <w:rsid w:val="00D03566"/>
    <w:rsid w:val="00D037E6"/>
    <w:rsid w:val="00D03813"/>
    <w:rsid w:val="00D03CC6"/>
    <w:rsid w:val="00D03D99"/>
    <w:rsid w:val="00D03DF2"/>
    <w:rsid w:val="00D040E3"/>
    <w:rsid w:val="00D041CE"/>
    <w:rsid w:val="00D04701"/>
    <w:rsid w:val="00D04A46"/>
    <w:rsid w:val="00D04A6F"/>
    <w:rsid w:val="00D04CE5"/>
    <w:rsid w:val="00D04EF0"/>
    <w:rsid w:val="00D05146"/>
    <w:rsid w:val="00D05197"/>
    <w:rsid w:val="00D051A7"/>
    <w:rsid w:val="00D051E7"/>
    <w:rsid w:val="00D05216"/>
    <w:rsid w:val="00D052AC"/>
    <w:rsid w:val="00D05CCE"/>
    <w:rsid w:val="00D05D15"/>
    <w:rsid w:val="00D05DBD"/>
    <w:rsid w:val="00D05EA1"/>
    <w:rsid w:val="00D062C4"/>
    <w:rsid w:val="00D063F6"/>
    <w:rsid w:val="00D06486"/>
    <w:rsid w:val="00D0671A"/>
    <w:rsid w:val="00D06AFB"/>
    <w:rsid w:val="00D06C86"/>
    <w:rsid w:val="00D06E5A"/>
    <w:rsid w:val="00D06FB4"/>
    <w:rsid w:val="00D072D5"/>
    <w:rsid w:val="00D07388"/>
    <w:rsid w:val="00D075BA"/>
    <w:rsid w:val="00D07A65"/>
    <w:rsid w:val="00D07D91"/>
    <w:rsid w:val="00D07E55"/>
    <w:rsid w:val="00D07ED8"/>
    <w:rsid w:val="00D07FCE"/>
    <w:rsid w:val="00D07FD1"/>
    <w:rsid w:val="00D1008A"/>
    <w:rsid w:val="00D1014A"/>
    <w:rsid w:val="00D10490"/>
    <w:rsid w:val="00D106BF"/>
    <w:rsid w:val="00D106F1"/>
    <w:rsid w:val="00D10765"/>
    <w:rsid w:val="00D10DBB"/>
    <w:rsid w:val="00D11238"/>
    <w:rsid w:val="00D116D9"/>
    <w:rsid w:val="00D11910"/>
    <w:rsid w:val="00D11A0D"/>
    <w:rsid w:val="00D11A33"/>
    <w:rsid w:val="00D11AB6"/>
    <w:rsid w:val="00D11E06"/>
    <w:rsid w:val="00D11E31"/>
    <w:rsid w:val="00D12013"/>
    <w:rsid w:val="00D120FD"/>
    <w:rsid w:val="00D122D1"/>
    <w:rsid w:val="00D12439"/>
    <w:rsid w:val="00D12F4D"/>
    <w:rsid w:val="00D13067"/>
    <w:rsid w:val="00D136C4"/>
    <w:rsid w:val="00D137B9"/>
    <w:rsid w:val="00D138DB"/>
    <w:rsid w:val="00D138E4"/>
    <w:rsid w:val="00D139B1"/>
    <w:rsid w:val="00D13A0D"/>
    <w:rsid w:val="00D13E3C"/>
    <w:rsid w:val="00D13E73"/>
    <w:rsid w:val="00D13F99"/>
    <w:rsid w:val="00D14166"/>
    <w:rsid w:val="00D14167"/>
    <w:rsid w:val="00D144D0"/>
    <w:rsid w:val="00D14709"/>
    <w:rsid w:val="00D1482E"/>
    <w:rsid w:val="00D1494D"/>
    <w:rsid w:val="00D14CAD"/>
    <w:rsid w:val="00D14F07"/>
    <w:rsid w:val="00D14F0B"/>
    <w:rsid w:val="00D150BE"/>
    <w:rsid w:val="00D1512A"/>
    <w:rsid w:val="00D153C4"/>
    <w:rsid w:val="00D15565"/>
    <w:rsid w:val="00D15746"/>
    <w:rsid w:val="00D157FA"/>
    <w:rsid w:val="00D15982"/>
    <w:rsid w:val="00D15A66"/>
    <w:rsid w:val="00D15BC6"/>
    <w:rsid w:val="00D15D5C"/>
    <w:rsid w:val="00D16099"/>
    <w:rsid w:val="00D161C4"/>
    <w:rsid w:val="00D16729"/>
    <w:rsid w:val="00D1682A"/>
    <w:rsid w:val="00D16890"/>
    <w:rsid w:val="00D1693B"/>
    <w:rsid w:val="00D16942"/>
    <w:rsid w:val="00D16AD8"/>
    <w:rsid w:val="00D16EDB"/>
    <w:rsid w:val="00D17318"/>
    <w:rsid w:val="00D17624"/>
    <w:rsid w:val="00D17A2D"/>
    <w:rsid w:val="00D17CA6"/>
    <w:rsid w:val="00D17CE2"/>
    <w:rsid w:val="00D17F77"/>
    <w:rsid w:val="00D2039D"/>
    <w:rsid w:val="00D20487"/>
    <w:rsid w:val="00D20753"/>
    <w:rsid w:val="00D2083B"/>
    <w:rsid w:val="00D20A03"/>
    <w:rsid w:val="00D20B7E"/>
    <w:rsid w:val="00D2114C"/>
    <w:rsid w:val="00D213C7"/>
    <w:rsid w:val="00D214A8"/>
    <w:rsid w:val="00D21527"/>
    <w:rsid w:val="00D21581"/>
    <w:rsid w:val="00D21942"/>
    <w:rsid w:val="00D21AEC"/>
    <w:rsid w:val="00D21B59"/>
    <w:rsid w:val="00D21DE9"/>
    <w:rsid w:val="00D21E45"/>
    <w:rsid w:val="00D21F56"/>
    <w:rsid w:val="00D22234"/>
    <w:rsid w:val="00D2239C"/>
    <w:rsid w:val="00D2249E"/>
    <w:rsid w:val="00D22893"/>
    <w:rsid w:val="00D228CF"/>
    <w:rsid w:val="00D229BD"/>
    <w:rsid w:val="00D22AA3"/>
    <w:rsid w:val="00D22B8B"/>
    <w:rsid w:val="00D22E68"/>
    <w:rsid w:val="00D23234"/>
    <w:rsid w:val="00D233B0"/>
    <w:rsid w:val="00D23675"/>
    <w:rsid w:val="00D237D3"/>
    <w:rsid w:val="00D237EE"/>
    <w:rsid w:val="00D237F5"/>
    <w:rsid w:val="00D238B7"/>
    <w:rsid w:val="00D23A7C"/>
    <w:rsid w:val="00D23A9D"/>
    <w:rsid w:val="00D23ABC"/>
    <w:rsid w:val="00D23C22"/>
    <w:rsid w:val="00D23CAD"/>
    <w:rsid w:val="00D23CE7"/>
    <w:rsid w:val="00D23CEE"/>
    <w:rsid w:val="00D240A6"/>
    <w:rsid w:val="00D2413F"/>
    <w:rsid w:val="00D24239"/>
    <w:rsid w:val="00D2457D"/>
    <w:rsid w:val="00D24633"/>
    <w:rsid w:val="00D247F0"/>
    <w:rsid w:val="00D24863"/>
    <w:rsid w:val="00D24950"/>
    <w:rsid w:val="00D249E3"/>
    <w:rsid w:val="00D24A23"/>
    <w:rsid w:val="00D24C94"/>
    <w:rsid w:val="00D24FD9"/>
    <w:rsid w:val="00D25141"/>
    <w:rsid w:val="00D251C0"/>
    <w:rsid w:val="00D251CC"/>
    <w:rsid w:val="00D25217"/>
    <w:rsid w:val="00D25455"/>
    <w:rsid w:val="00D255E1"/>
    <w:rsid w:val="00D2583E"/>
    <w:rsid w:val="00D25A21"/>
    <w:rsid w:val="00D25A7F"/>
    <w:rsid w:val="00D25D96"/>
    <w:rsid w:val="00D25FA8"/>
    <w:rsid w:val="00D2619F"/>
    <w:rsid w:val="00D26211"/>
    <w:rsid w:val="00D26611"/>
    <w:rsid w:val="00D26613"/>
    <w:rsid w:val="00D2678B"/>
    <w:rsid w:val="00D2680D"/>
    <w:rsid w:val="00D2684E"/>
    <w:rsid w:val="00D2687C"/>
    <w:rsid w:val="00D26C4E"/>
    <w:rsid w:val="00D26DCD"/>
    <w:rsid w:val="00D27194"/>
    <w:rsid w:val="00D27270"/>
    <w:rsid w:val="00D27395"/>
    <w:rsid w:val="00D27656"/>
    <w:rsid w:val="00D27778"/>
    <w:rsid w:val="00D2781C"/>
    <w:rsid w:val="00D27C02"/>
    <w:rsid w:val="00D30065"/>
    <w:rsid w:val="00D301B3"/>
    <w:rsid w:val="00D302B4"/>
    <w:rsid w:val="00D30534"/>
    <w:rsid w:val="00D305C6"/>
    <w:rsid w:val="00D308AE"/>
    <w:rsid w:val="00D30987"/>
    <w:rsid w:val="00D30B4B"/>
    <w:rsid w:val="00D30FCB"/>
    <w:rsid w:val="00D3122E"/>
    <w:rsid w:val="00D31353"/>
    <w:rsid w:val="00D313AB"/>
    <w:rsid w:val="00D314E0"/>
    <w:rsid w:val="00D315E1"/>
    <w:rsid w:val="00D3167B"/>
    <w:rsid w:val="00D316EF"/>
    <w:rsid w:val="00D31BD7"/>
    <w:rsid w:val="00D31C86"/>
    <w:rsid w:val="00D31E2D"/>
    <w:rsid w:val="00D31E58"/>
    <w:rsid w:val="00D31F35"/>
    <w:rsid w:val="00D32273"/>
    <w:rsid w:val="00D32366"/>
    <w:rsid w:val="00D327B4"/>
    <w:rsid w:val="00D327FE"/>
    <w:rsid w:val="00D32816"/>
    <w:rsid w:val="00D32833"/>
    <w:rsid w:val="00D332BC"/>
    <w:rsid w:val="00D333DE"/>
    <w:rsid w:val="00D3357C"/>
    <w:rsid w:val="00D33886"/>
    <w:rsid w:val="00D33A1A"/>
    <w:rsid w:val="00D33A34"/>
    <w:rsid w:val="00D33AEA"/>
    <w:rsid w:val="00D33E73"/>
    <w:rsid w:val="00D34194"/>
    <w:rsid w:val="00D346C9"/>
    <w:rsid w:val="00D347B6"/>
    <w:rsid w:val="00D347DE"/>
    <w:rsid w:val="00D34BBC"/>
    <w:rsid w:val="00D34C1F"/>
    <w:rsid w:val="00D34C50"/>
    <w:rsid w:val="00D34D96"/>
    <w:rsid w:val="00D34E5C"/>
    <w:rsid w:val="00D35370"/>
    <w:rsid w:val="00D353DE"/>
    <w:rsid w:val="00D35504"/>
    <w:rsid w:val="00D35755"/>
    <w:rsid w:val="00D35988"/>
    <w:rsid w:val="00D35A5F"/>
    <w:rsid w:val="00D35AF5"/>
    <w:rsid w:val="00D35B0E"/>
    <w:rsid w:val="00D35E00"/>
    <w:rsid w:val="00D35EBF"/>
    <w:rsid w:val="00D360B2"/>
    <w:rsid w:val="00D36106"/>
    <w:rsid w:val="00D36218"/>
    <w:rsid w:val="00D36252"/>
    <w:rsid w:val="00D3626E"/>
    <w:rsid w:val="00D369C6"/>
    <w:rsid w:val="00D36C9B"/>
    <w:rsid w:val="00D36FB2"/>
    <w:rsid w:val="00D37155"/>
    <w:rsid w:val="00D371F2"/>
    <w:rsid w:val="00D37282"/>
    <w:rsid w:val="00D37397"/>
    <w:rsid w:val="00D37595"/>
    <w:rsid w:val="00D376D4"/>
    <w:rsid w:val="00D37952"/>
    <w:rsid w:val="00D37A52"/>
    <w:rsid w:val="00D37C88"/>
    <w:rsid w:val="00D37D02"/>
    <w:rsid w:val="00D37D94"/>
    <w:rsid w:val="00D40070"/>
    <w:rsid w:val="00D40659"/>
    <w:rsid w:val="00D407A6"/>
    <w:rsid w:val="00D409A7"/>
    <w:rsid w:val="00D409D7"/>
    <w:rsid w:val="00D40B6B"/>
    <w:rsid w:val="00D40FEB"/>
    <w:rsid w:val="00D410CD"/>
    <w:rsid w:val="00D4116C"/>
    <w:rsid w:val="00D41195"/>
    <w:rsid w:val="00D414C8"/>
    <w:rsid w:val="00D415F6"/>
    <w:rsid w:val="00D41A93"/>
    <w:rsid w:val="00D41BFD"/>
    <w:rsid w:val="00D41CBF"/>
    <w:rsid w:val="00D41D78"/>
    <w:rsid w:val="00D41DED"/>
    <w:rsid w:val="00D41F5C"/>
    <w:rsid w:val="00D4207E"/>
    <w:rsid w:val="00D42142"/>
    <w:rsid w:val="00D423F7"/>
    <w:rsid w:val="00D42600"/>
    <w:rsid w:val="00D42B77"/>
    <w:rsid w:val="00D42E82"/>
    <w:rsid w:val="00D431BF"/>
    <w:rsid w:val="00D4358E"/>
    <w:rsid w:val="00D4359E"/>
    <w:rsid w:val="00D436A2"/>
    <w:rsid w:val="00D43753"/>
    <w:rsid w:val="00D43799"/>
    <w:rsid w:val="00D43BCC"/>
    <w:rsid w:val="00D43E8E"/>
    <w:rsid w:val="00D44111"/>
    <w:rsid w:val="00D44395"/>
    <w:rsid w:val="00D445BA"/>
    <w:rsid w:val="00D44653"/>
    <w:rsid w:val="00D446AB"/>
    <w:rsid w:val="00D44804"/>
    <w:rsid w:val="00D44909"/>
    <w:rsid w:val="00D4490D"/>
    <w:rsid w:val="00D44A8A"/>
    <w:rsid w:val="00D44D41"/>
    <w:rsid w:val="00D44EB6"/>
    <w:rsid w:val="00D45146"/>
    <w:rsid w:val="00D451C1"/>
    <w:rsid w:val="00D452D0"/>
    <w:rsid w:val="00D4556F"/>
    <w:rsid w:val="00D45720"/>
    <w:rsid w:val="00D457A1"/>
    <w:rsid w:val="00D45830"/>
    <w:rsid w:val="00D45831"/>
    <w:rsid w:val="00D46080"/>
    <w:rsid w:val="00D46483"/>
    <w:rsid w:val="00D46555"/>
    <w:rsid w:val="00D467F0"/>
    <w:rsid w:val="00D468BB"/>
    <w:rsid w:val="00D46B81"/>
    <w:rsid w:val="00D46DC0"/>
    <w:rsid w:val="00D470FC"/>
    <w:rsid w:val="00D4717A"/>
    <w:rsid w:val="00D473D4"/>
    <w:rsid w:val="00D473E4"/>
    <w:rsid w:val="00D477C2"/>
    <w:rsid w:val="00D477C5"/>
    <w:rsid w:val="00D47AC3"/>
    <w:rsid w:val="00D47B8C"/>
    <w:rsid w:val="00D47C90"/>
    <w:rsid w:val="00D47D67"/>
    <w:rsid w:val="00D47DD4"/>
    <w:rsid w:val="00D47E04"/>
    <w:rsid w:val="00D47FCF"/>
    <w:rsid w:val="00D5008B"/>
    <w:rsid w:val="00D5013B"/>
    <w:rsid w:val="00D5015A"/>
    <w:rsid w:val="00D50173"/>
    <w:rsid w:val="00D50443"/>
    <w:rsid w:val="00D504F4"/>
    <w:rsid w:val="00D5053F"/>
    <w:rsid w:val="00D50743"/>
    <w:rsid w:val="00D50E0A"/>
    <w:rsid w:val="00D5100A"/>
    <w:rsid w:val="00D5127F"/>
    <w:rsid w:val="00D51488"/>
    <w:rsid w:val="00D515FB"/>
    <w:rsid w:val="00D51615"/>
    <w:rsid w:val="00D51634"/>
    <w:rsid w:val="00D518DB"/>
    <w:rsid w:val="00D51DD5"/>
    <w:rsid w:val="00D51F14"/>
    <w:rsid w:val="00D52013"/>
    <w:rsid w:val="00D5219E"/>
    <w:rsid w:val="00D521D4"/>
    <w:rsid w:val="00D5228B"/>
    <w:rsid w:val="00D529FB"/>
    <w:rsid w:val="00D52FC0"/>
    <w:rsid w:val="00D53013"/>
    <w:rsid w:val="00D5302E"/>
    <w:rsid w:val="00D53351"/>
    <w:rsid w:val="00D5336E"/>
    <w:rsid w:val="00D533FC"/>
    <w:rsid w:val="00D53615"/>
    <w:rsid w:val="00D53DAD"/>
    <w:rsid w:val="00D53DFB"/>
    <w:rsid w:val="00D53EC5"/>
    <w:rsid w:val="00D53ED3"/>
    <w:rsid w:val="00D53EEC"/>
    <w:rsid w:val="00D5418A"/>
    <w:rsid w:val="00D543E2"/>
    <w:rsid w:val="00D54418"/>
    <w:rsid w:val="00D5449C"/>
    <w:rsid w:val="00D544B5"/>
    <w:rsid w:val="00D544C6"/>
    <w:rsid w:val="00D54569"/>
    <w:rsid w:val="00D54636"/>
    <w:rsid w:val="00D5492F"/>
    <w:rsid w:val="00D54A72"/>
    <w:rsid w:val="00D54B13"/>
    <w:rsid w:val="00D54B31"/>
    <w:rsid w:val="00D54C47"/>
    <w:rsid w:val="00D54D87"/>
    <w:rsid w:val="00D55062"/>
    <w:rsid w:val="00D55150"/>
    <w:rsid w:val="00D5532B"/>
    <w:rsid w:val="00D553AF"/>
    <w:rsid w:val="00D55452"/>
    <w:rsid w:val="00D5568F"/>
    <w:rsid w:val="00D55731"/>
    <w:rsid w:val="00D55A12"/>
    <w:rsid w:val="00D55D1C"/>
    <w:rsid w:val="00D55F86"/>
    <w:rsid w:val="00D5647D"/>
    <w:rsid w:val="00D56482"/>
    <w:rsid w:val="00D56621"/>
    <w:rsid w:val="00D567AA"/>
    <w:rsid w:val="00D56B48"/>
    <w:rsid w:val="00D56C86"/>
    <w:rsid w:val="00D56C8E"/>
    <w:rsid w:val="00D56CCF"/>
    <w:rsid w:val="00D56CEE"/>
    <w:rsid w:val="00D56D95"/>
    <w:rsid w:val="00D56E91"/>
    <w:rsid w:val="00D56F29"/>
    <w:rsid w:val="00D56F8A"/>
    <w:rsid w:val="00D56F94"/>
    <w:rsid w:val="00D57036"/>
    <w:rsid w:val="00D57247"/>
    <w:rsid w:val="00D57263"/>
    <w:rsid w:val="00D572E8"/>
    <w:rsid w:val="00D5732D"/>
    <w:rsid w:val="00D57344"/>
    <w:rsid w:val="00D5762A"/>
    <w:rsid w:val="00D57680"/>
    <w:rsid w:val="00D57972"/>
    <w:rsid w:val="00D57B40"/>
    <w:rsid w:val="00D57CD8"/>
    <w:rsid w:val="00D57D98"/>
    <w:rsid w:val="00D60349"/>
    <w:rsid w:val="00D6043D"/>
    <w:rsid w:val="00D60544"/>
    <w:rsid w:val="00D6060C"/>
    <w:rsid w:val="00D609C5"/>
    <w:rsid w:val="00D60A53"/>
    <w:rsid w:val="00D60C53"/>
    <w:rsid w:val="00D60DD3"/>
    <w:rsid w:val="00D60E49"/>
    <w:rsid w:val="00D60EF0"/>
    <w:rsid w:val="00D60FEC"/>
    <w:rsid w:val="00D6101B"/>
    <w:rsid w:val="00D613FE"/>
    <w:rsid w:val="00D61402"/>
    <w:rsid w:val="00D61720"/>
    <w:rsid w:val="00D617B7"/>
    <w:rsid w:val="00D617C2"/>
    <w:rsid w:val="00D618BE"/>
    <w:rsid w:val="00D61A41"/>
    <w:rsid w:val="00D61DC2"/>
    <w:rsid w:val="00D61EDF"/>
    <w:rsid w:val="00D6253D"/>
    <w:rsid w:val="00D625BA"/>
    <w:rsid w:val="00D628E4"/>
    <w:rsid w:val="00D62C14"/>
    <w:rsid w:val="00D62CF5"/>
    <w:rsid w:val="00D62D1C"/>
    <w:rsid w:val="00D6331B"/>
    <w:rsid w:val="00D636EA"/>
    <w:rsid w:val="00D6371E"/>
    <w:rsid w:val="00D63863"/>
    <w:rsid w:val="00D6386F"/>
    <w:rsid w:val="00D63B0B"/>
    <w:rsid w:val="00D63ECA"/>
    <w:rsid w:val="00D6408B"/>
    <w:rsid w:val="00D64316"/>
    <w:rsid w:val="00D64489"/>
    <w:rsid w:val="00D6481E"/>
    <w:rsid w:val="00D648DC"/>
    <w:rsid w:val="00D648F4"/>
    <w:rsid w:val="00D64984"/>
    <w:rsid w:val="00D64A2B"/>
    <w:rsid w:val="00D64AD0"/>
    <w:rsid w:val="00D64ADE"/>
    <w:rsid w:val="00D64B75"/>
    <w:rsid w:val="00D64CFD"/>
    <w:rsid w:val="00D64DE3"/>
    <w:rsid w:val="00D64EA4"/>
    <w:rsid w:val="00D6507E"/>
    <w:rsid w:val="00D652F4"/>
    <w:rsid w:val="00D65415"/>
    <w:rsid w:val="00D6566D"/>
    <w:rsid w:val="00D65932"/>
    <w:rsid w:val="00D65A72"/>
    <w:rsid w:val="00D65B08"/>
    <w:rsid w:val="00D65BC1"/>
    <w:rsid w:val="00D65BD3"/>
    <w:rsid w:val="00D65E58"/>
    <w:rsid w:val="00D65FC1"/>
    <w:rsid w:val="00D66115"/>
    <w:rsid w:val="00D66207"/>
    <w:rsid w:val="00D6662B"/>
    <w:rsid w:val="00D666CC"/>
    <w:rsid w:val="00D6691B"/>
    <w:rsid w:val="00D66B06"/>
    <w:rsid w:val="00D66D2C"/>
    <w:rsid w:val="00D66E99"/>
    <w:rsid w:val="00D66EA8"/>
    <w:rsid w:val="00D66F00"/>
    <w:rsid w:val="00D670CE"/>
    <w:rsid w:val="00D670E9"/>
    <w:rsid w:val="00D67238"/>
    <w:rsid w:val="00D672D4"/>
    <w:rsid w:val="00D675A7"/>
    <w:rsid w:val="00D67630"/>
    <w:rsid w:val="00D67790"/>
    <w:rsid w:val="00D677E6"/>
    <w:rsid w:val="00D67CA6"/>
    <w:rsid w:val="00D67FA1"/>
    <w:rsid w:val="00D70121"/>
    <w:rsid w:val="00D70280"/>
    <w:rsid w:val="00D7035E"/>
    <w:rsid w:val="00D7052A"/>
    <w:rsid w:val="00D707BA"/>
    <w:rsid w:val="00D709B9"/>
    <w:rsid w:val="00D70BF2"/>
    <w:rsid w:val="00D70BF6"/>
    <w:rsid w:val="00D70CE7"/>
    <w:rsid w:val="00D70D24"/>
    <w:rsid w:val="00D71422"/>
    <w:rsid w:val="00D71757"/>
    <w:rsid w:val="00D7186E"/>
    <w:rsid w:val="00D719B0"/>
    <w:rsid w:val="00D719F1"/>
    <w:rsid w:val="00D71E4E"/>
    <w:rsid w:val="00D72073"/>
    <w:rsid w:val="00D7223F"/>
    <w:rsid w:val="00D72525"/>
    <w:rsid w:val="00D7285F"/>
    <w:rsid w:val="00D7292F"/>
    <w:rsid w:val="00D729E7"/>
    <w:rsid w:val="00D72B25"/>
    <w:rsid w:val="00D72C49"/>
    <w:rsid w:val="00D72C76"/>
    <w:rsid w:val="00D72F91"/>
    <w:rsid w:val="00D73266"/>
    <w:rsid w:val="00D73281"/>
    <w:rsid w:val="00D733F5"/>
    <w:rsid w:val="00D734FA"/>
    <w:rsid w:val="00D7362C"/>
    <w:rsid w:val="00D73972"/>
    <w:rsid w:val="00D73A20"/>
    <w:rsid w:val="00D73AC0"/>
    <w:rsid w:val="00D73BBF"/>
    <w:rsid w:val="00D74080"/>
    <w:rsid w:val="00D740B5"/>
    <w:rsid w:val="00D741CC"/>
    <w:rsid w:val="00D74289"/>
    <w:rsid w:val="00D744BE"/>
    <w:rsid w:val="00D7470A"/>
    <w:rsid w:val="00D74914"/>
    <w:rsid w:val="00D758F4"/>
    <w:rsid w:val="00D75DDF"/>
    <w:rsid w:val="00D75E58"/>
    <w:rsid w:val="00D75EED"/>
    <w:rsid w:val="00D760B2"/>
    <w:rsid w:val="00D7618D"/>
    <w:rsid w:val="00D76289"/>
    <w:rsid w:val="00D762D8"/>
    <w:rsid w:val="00D764CA"/>
    <w:rsid w:val="00D765F4"/>
    <w:rsid w:val="00D76725"/>
    <w:rsid w:val="00D769EB"/>
    <w:rsid w:val="00D76A1D"/>
    <w:rsid w:val="00D76AE2"/>
    <w:rsid w:val="00D76B86"/>
    <w:rsid w:val="00D76C80"/>
    <w:rsid w:val="00D76D65"/>
    <w:rsid w:val="00D77259"/>
    <w:rsid w:val="00D773BF"/>
    <w:rsid w:val="00D77574"/>
    <w:rsid w:val="00D775DD"/>
    <w:rsid w:val="00D77665"/>
    <w:rsid w:val="00D77857"/>
    <w:rsid w:val="00D77B82"/>
    <w:rsid w:val="00D77CE2"/>
    <w:rsid w:val="00D77F89"/>
    <w:rsid w:val="00D77FAF"/>
    <w:rsid w:val="00D800E5"/>
    <w:rsid w:val="00D80265"/>
    <w:rsid w:val="00D80324"/>
    <w:rsid w:val="00D803AF"/>
    <w:rsid w:val="00D80504"/>
    <w:rsid w:val="00D8054B"/>
    <w:rsid w:val="00D80695"/>
    <w:rsid w:val="00D807CE"/>
    <w:rsid w:val="00D80AB4"/>
    <w:rsid w:val="00D80E32"/>
    <w:rsid w:val="00D810A5"/>
    <w:rsid w:val="00D81744"/>
    <w:rsid w:val="00D818C4"/>
    <w:rsid w:val="00D81BD5"/>
    <w:rsid w:val="00D81D9D"/>
    <w:rsid w:val="00D82171"/>
    <w:rsid w:val="00D8246B"/>
    <w:rsid w:val="00D824B0"/>
    <w:rsid w:val="00D826AF"/>
    <w:rsid w:val="00D8271B"/>
    <w:rsid w:val="00D82ACB"/>
    <w:rsid w:val="00D82F85"/>
    <w:rsid w:val="00D83488"/>
    <w:rsid w:val="00D83A5B"/>
    <w:rsid w:val="00D83B50"/>
    <w:rsid w:val="00D83C10"/>
    <w:rsid w:val="00D83CFE"/>
    <w:rsid w:val="00D83D74"/>
    <w:rsid w:val="00D83DD6"/>
    <w:rsid w:val="00D83EDB"/>
    <w:rsid w:val="00D84118"/>
    <w:rsid w:val="00D84369"/>
    <w:rsid w:val="00D84512"/>
    <w:rsid w:val="00D8451A"/>
    <w:rsid w:val="00D84907"/>
    <w:rsid w:val="00D849AA"/>
    <w:rsid w:val="00D84AE0"/>
    <w:rsid w:val="00D84E10"/>
    <w:rsid w:val="00D8504B"/>
    <w:rsid w:val="00D85169"/>
    <w:rsid w:val="00D85192"/>
    <w:rsid w:val="00D8520A"/>
    <w:rsid w:val="00D85272"/>
    <w:rsid w:val="00D85367"/>
    <w:rsid w:val="00D85423"/>
    <w:rsid w:val="00D85476"/>
    <w:rsid w:val="00D85630"/>
    <w:rsid w:val="00D85855"/>
    <w:rsid w:val="00D85C01"/>
    <w:rsid w:val="00D85F8D"/>
    <w:rsid w:val="00D86184"/>
    <w:rsid w:val="00D861D6"/>
    <w:rsid w:val="00D862C7"/>
    <w:rsid w:val="00D865E0"/>
    <w:rsid w:val="00D8688E"/>
    <w:rsid w:val="00D86DCF"/>
    <w:rsid w:val="00D86E83"/>
    <w:rsid w:val="00D87548"/>
    <w:rsid w:val="00D876D9"/>
    <w:rsid w:val="00D878D9"/>
    <w:rsid w:val="00D878F0"/>
    <w:rsid w:val="00D87B95"/>
    <w:rsid w:val="00D87C75"/>
    <w:rsid w:val="00D87E49"/>
    <w:rsid w:val="00D87E99"/>
    <w:rsid w:val="00D9016D"/>
    <w:rsid w:val="00D9026A"/>
    <w:rsid w:val="00D9052C"/>
    <w:rsid w:val="00D90842"/>
    <w:rsid w:val="00D90AD9"/>
    <w:rsid w:val="00D90BDF"/>
    <w:rsid w:val="00D90D53"/>
    <w:rsid w:val="00D911E7"/>
    <w:rsid w:val="00D91260"/>
    <w:rsid w:val="00D912F9"/>
    <w:rsid w:val="00D91374"/>
    <w:rsid w:val="00D913FA"/>
    <w:rsid w:val="00D914EF"/>
    <w:rsid w:val="00D91541"/>
    <w:rsid w:val="00D9169D"/>
    <w:rsid w:val="00D91772"/>
    <w:rsid w:val="00D91930"/>
    <w:rsid w:val="00D91B2A"/>
    <w:rsid w:val="00D91E0A"/>
    <w:rsid w:val="00D9224A"/>
    <w:rsid w:val="00D92382"/>
    <w:rsid w:val="00D9284C"/>
    <w:rsid w:val="00D92B1A"/>
    <w:rsid w:val="00D92C8D"/>
    <w:rsid w:val="00D92CB0"/>
    <w:rsid w:val="00D92CCE"/>
    <w:rsid w:val="00D92D91"/>
    <w:rsid w:val="00D92E31"/>
    <w:rsid w:val="00D930DB"/>
    <w:rsid w:val="00D93103"/>
    <w:rsid w:val="00D9344A"/>
    <w:rsid w:val="00D93992"/>
    <w:rsid w:val="00D9399A"/>
    <w:rsid w:val="00D939CC"/>
    <w:rsid w:val="00D93B86"/>
    <w:rsid w:val="00D93F27"/>
    <w:rsid w:val="00D94050"/>
    <w:rsid w:val="00D94188"/>
    <w:rsid w:val="00D944D1"/>
    <w:rsid w:val="00D94525"/>
    <w:rsid w:val="00D945E4"/>
    <w:rsid w:val="00D94891"/>
    <w:rsid w:val="00D948BC"/>
    <w:rsid w:val="00D94C99"/>
    <w:rsid w:val="00D94CF3"/>
    <w:rsid w:val="00D94D1F"/>
    <w:rsid w:val="00D94EAE"/>
    <w:rsid w:val="00D9500C"/>
    <w:rsid w:val="00D955B2"/>
    <w:rsid w:val="00D957CB"/>
    <w:rsid w:val="00D957D8"/>
    <w:rsid w:val="00D95854"/>
    <w:rsid w:val="00D95891"/>
    <w:rsid w:val="00D961D8"/>
    <w:rsid w:val="00D96631"/>
    <w:rsid w:val="00D968DF"/>
    <w:rsid w:val="00D968EB"/>
    <w:rsid w:val="00D96947"/>
    <w:rsid w:val="00D96955"/>
    <w:rsid w:val="00D96B69"/>
    <w:rsid w:val="00D96BFC"/>
    <w:rsid w:val="00D96D3B"/>
    <w:rsid w:val="00D96E66"/>
    <w:rsid w:val="00D96EC1"/>
    <w:rsid w:val="00D96FDF"/>
    <w:rsid w:val="00D9702B"/>
    <w:rsid w:val="00D97276"/>
    <w:rsid w:val="00D9793E"/>
    <w:rsid w:val="00D979FB"/>
    <w:rsid w:val="00D97AC3"/>
    <w:rsid w:val="00D97F08"/>
    <w:rsid w:val="00DA01ED"/>
    <w:rsid w:val="00DA0453"/>
    <w:rsid w:val="00DA0579"/>
    <w:rsid w:val="00DA05C0"/>
    <w:rsid w:val="00DA093B"/>
    <w:rsid w:val="00DA0947"/>
    <w:rsid w:val="00DA0A1C"/>
    <w:rsid w:val="00DA0A36"/>
    <w:rsid w:val="00DA0BE4"/>
    <w:rsid w:val="00DA0D01"/>
    <w:rsid w:val="00DA0F07"/>
    <w:rsid w:val="00DA1150"/>
    <w:rsid w:val="00DA14CC"/>
    <w:rsid w:val="00DA1521"/>
    <w:rsid w:val="00DA1954"/>
    <w:rsid w:val="00DA1ACC"/>
    <w:rsid w:val="00DA1DC9"/>
    <w:rsid w:val="00DA1F8C"/>
    <w:rsid w:val="00DA2047"/>
    <w:rsid w:val="00DA2112"/>
    <w:rsid w:val="00DA21B3"/>
    <w:rsid w:val="00DA22B5"/>
    <w:rsid w:val="00DA23C9"/>
    <w:rsid w:val="00DA266A"/>
    <w:rsid w:val="00DA26FE"/>
    <w:rsid w:val="00DA27C5"/>
    <w:rsid w:val="00DA299D"/>
    <w:rsid w:val="00DA2DCF"/>
    <w:rsid w:val="00DA2DF5"/>
    <w:rsid w:val="00DA2E1D"/>
    <w:rsid w:val="00DA2E85"/>
    <w:rsid w:val="00DA2EB6"/>
    <w:rsid w:val="00DA3110"/>
    <w:rsid w:val="00DA31A3"/>
    <w:rsid w:val="00DA31BD"/>
    <w:rsid w:val="00DA3259"/>
    <w:rsid w:val="00DA3404"/>
    <w:rsid w:val="00DA35AC"/>
    <w:rsid w:val="00DA3815"/>
    <w:rsid w:val="00DA39DC"/>
    <w:rsid w:val="00DA3A75"/>
    <w:rsid w:val="00DA3B20"/>
    <w:rsid w:val="00DA3C49"/>
    <w:rsid w:val="00DA3DB5"/>
    <w:rsid w:val="00DA42CA"/>
    <w:rsid w:val="00DA44EB"/>
    <w:rsid w:val="00DA454D"/>
    <w:rsid w:val="00DA47B7"/>
    <w:rsid w:val="00DA4996"/>
    <w:rsid w:val="00DA4BE5"/>
    <w:rsid w:val="00DA4C31"/>
    <w:rsid w:val="00DA5130"/>
    <w:rsid w:val="00DA5190"/>
    <w:rsid w:val="00DA53DD"/>
    <w:rsid w:val="00DA5A37"/>
    <w:rsid w:val="00DA5B46"/>
    <w:rsid w:val="00DA5C80"/>
    <w:rsid w:val="00DA5E03"/>
    <w:rsid w:val="00DA5E53"/>
    <w:rsid w:val="00DA60D5"/>
    <w:rsid w:val="00DA6524"/>
    <w:rsid w:val="00DA6540"/>
    <w:rsid w:val="00DA6629"/>
    <w:rsid w:val="00DA68B7"/>
    <w:rsid w:val="00DA693C"/>
    <w:rsid w:val="00DA694F"/>
    <w:rsid w:val="00DA6A6B"/>
    <w:rsid w:val="00DA6CAF"/>
    <w:rsid w:val="00DA711E"/>
    <w:rsid w:val="00DA760E"/>
    <w:rsid w:val="00DA7959"/>
    <w:rsid w:val="00DB0042"/>
    <w:rsid w:val="00DB0205"/>
    <w:rsid w:val="00DB03DC"/>
    <w:rsid w:val="00DB0462"/>
    <w:rsid w:val="00DB0486"/>
    <w:rsid w:val="00DB061D"/>
    <w:rsid w:val="00DB06AD"/>
    <w:rsid w:val="00DB07D0"/>
    <w:rsid w:val="00DB082A"/>
    <w:rsid w:val="00DB0959"/>
    <w:rsid w:val="00DB0AE9"/>
    <w:rsid w:val="00DB0C28"/>
    <w:rsid w:val="00DB0E86"/>
    <w:rsid w:val="00DB0F4A"/>
    <w:rsid w:val="00DB14F0"/>
    <w:rsid w:val="00DB1789"/>
    <w:rsid w:val="00DB18B6"/>
    <w:rsid w:val="00DB1B96"/>
    <w:rsid w:val="00DB1C79"/>
    <w:rsid w:val="00DB1DB7"/>
    <w:rsid w:val="00DB1F28"/>
    <w:rsid w:val="00DB1F85"/>
    <w:rsid w:val="00DB2007"/>
    <w:rsid w:val="00DB223D"/>
    <w:rsid w:val="00DB242E"/>
    <w:rsid w:val="00DB26B3"/>
    <w:rsid w:val="00DB26DA"/>
    <w:rsid w:val="00DB296E"/>
    <w:rsid w:val="00DB2A53"/>
    <w:rsid w:val="00DB2B6A"/>
    <w:rsid w:val="00DB2CC6"/>
    <w:rsid w:val="00DB2D24"/>
    <w:rsid w:val="00DB2DB7"/>
    <w:rsid w:val="00DB3231"/>
    <w:rsid w:val="00DB3386"/>
    <w:rsid w:val="00DB35E3"/>
    <w:rsid w:val="00DB365E"/>
    <w:rsid w:val="00DB37EE"/>
    <w:rsid w:val="00DB381A"/>
    <w:rsid w:val="00DB3CDC"/>
    <w:rsid w:val="00DB3E1B"/>
    <w:rsid w:val="00DB40B2"/>
    <w:rsid w:val="00DB411F"/>
    <w:rsid w:val="00DB4252"/>
    <w:rsid w:val="00DB432F"/>
    <w:rsid w:val="00DB4441"/>
    <w:rsid w:val="00DB455F"/>
    <w:rsid w:val="00DB495D"/>
    <w:rsid w:val="00DB4E5E"/>
    <w:rsid w:val="00DB4EBA"/>
    <w:rsid w:val="00DB4EF6"/>
    <w:rsid w:val="00DB4FC6"/>
    <w:rsid w:val="00DB539D"/>
    <w:rsid w:val="00DB54EC"/>
    <w:rsid w:val="00DB57DF"/>
    <w:rsid w:val="00DB5B96"/>
    <w:rsid w:val="00DB5C97"/>
    <w:rsid w:val="00DB5CB7"/>
    <w:rsid w:val="00DB5CD9"/>
    <w:rsid w:val="00DB5DEF"/>
    <w:rsid w:val="00DB5FA6"/>
    <w:rsid w:val="00DB5FAF"/>
    <w:rsid w:val="00DB6382"/>
    <w:rsid w:val="00DB64EF"/>
    <w:rsid w:val="00DB6653"/>
    <w:rsid w:val="00DB66A7"/>
    <w:rsid w:val="00DB679D"/>
    <w:rsid w:val="00DB692F"/>
    <w:rsid w:val="00DB6AC2"/>
    <w:rsid w:val="00DB6D5B"/>
    <w:rsid w:val="00DB7152"/>
    <w:rsid w:val="00DB7605"/>
    <w:rsid w:val="00DB7726"/>
    <w:rsid w:val="00DB7A93"/>
    <w:rsid w:val="00DC0001"/>
    <w:rsid w:val="00DC01F2"/>
    <w:rsid w:val="00DC0562"/>
    <w:rsid w:val="00DC07D4"/>
    <w:rsid w:val="00DC0812"/>
    <w:rsid w:val="00DC0A93"/>
    <w:rsid w:val="00DC0ACB"/>
    <w:rsid w:val="00DC0ECF"/>
    <w:rsid w:val="00DC0F29"/>
    <w:rsid w:val="00DC107B"/>
    <w:rsid w:val="00DC10FA"/>
    <w:rsid w:val="00DC13B5"/>
    <w:rsid w:val="00DC17C8"/>
    <w:rsid w:val="00DC218E"/>
    <w:rsid w:val="00DC229D"/>
    <w:rsid w:val="00DC2422"/>
    <w:rsid w:val="00DC262F"/>
    <w:rsid w:val="00DC266A"/>
    <w:rsid w:val="00DC280C"/>
    <w:rsid w:val="00DC285A"/>
    <w:rsid w:val="00DC2920"/>
    <w:rsid w:val="00DC2A6E"/>
    <w:rsid w:val="00DC2D61"/>
    <w:rsid w:val="00DC3164"/>
    <w:rsid w:val="00DC3213"/>
    <w:rsid w:val="00DC3281"/>
    <w:rsid w:val="00DC33E8"/>
    <w:rsid w:val="00DC3661"/>
    <w:rsid w:val="00DC3786"/>
    <w:rsid w:val="00DC3859"/>
    <w:rsid w:val="00DC3876"/>
    <w:rsid w:val="00DC3914"/>
    <w:rsid w:val="00DC3957"/>
    <w:rsid w:val="00DC3B99"/>
    <w:rsid w:val="00DC4440"/>
    <w:rsid w:val="00DC4775"/>
    <w:rsid w:val="00DC486E"/>
    <w:rsid w:val="00DC4DC4"/>
    <w:rsid w:val="00DC4FA5"/>
    <w:rsid w:val="00DC4FE1"/>
    <w:rsid w:val="00DC50B1"/>
    <w:rsid w:val="00DC5259"/>
    <w:rsid w:val="00DC540A"/>
    <w:rsid w:val="00DC5415"/>
    <w:rsid w:val="00DC552C"/>
    <w:rsid w:val="00DC5798"/>
    <w:rsid w:val="00DC599B"/>
    <w:rsid w:val="00DC5AA8"/>
    <w:rsid w:val="00DC5EC8"/>
    <w:rsid w:val="00DC6049"/>
    <w:rsid w:val="00DC6132"/>
    <w:rsid w:val="00DC6158"/>
    <w:rsid w:val="00DC6895"/>
    <w:rsid w:val="00DC6BAE"/>
    <w:rsid w:val="00DC6DE8"/>
    <w:rsid w:val="00DC6EC7"/>
    <w:rsid w:val="00DC6FA7"/>
    <w:rsid w:val="00DC70EE"/>
    <w:rsid w:val="00DC718A"/>
    <w:rsid w:val="00DC73A6"/>
    <w:rsid w:val="00DC7464"/>
    <w:rsid w:val="00DC78B3"/>
    <w:rsid w:val="00DC78D6"/>
    <w:rsid w:val="00DC7AD8"/>
    <w:rsid w:val="00DC7BE0"/>
    <w:rsid w:val="00DC7E49"/>
    <w:rsid w:val="00DC7EC4"/>
    <w:rsid w:val="00DC7F98"/>
    <w:rsid w:val="00DD03A6"/>
    <w:rsid w:val="00DD04EB"/>
    <w:rsid w:val="00DD080F"/>
    <w:rsid w:val="00DD08BA"/>
    <w:rsid w:val="00DD0F7D"/>
    <w:rsid w:val="00DD10A7"/>
    <w:rsid w:val="00DD10E8"/>
    <w:rsid w:val="00DD11AC"/>
    <w:rsid w:val="00DD14DA"/>
    <w:rsid w:val="00DD15B7"/>
    <w:rsid w:val="00DD1751"/>
    <w:rsid w:val="00DD1784"/>
    <w:rsid w:val="00DD17E9"/>
    <w:rsid w:val="00DD19A3"/>
    <w:rsid w:val="00DD19EE"/>
    <w:rsid w:val="00DD1C92"/>
    <w:rsid w:val="00DD1D2A"/>
    <w:rsid w:val="00DD1F4D"/>
    <w:rsid w:val="00DD20BC"/>
    <w:rsid w:val="00DD21B5"/>
    <w:rsid w:val="00DD2254"/>
    <w:rsid w:val="00DD245D"/>
    <w:rsid w:val="00DD24CB"/>
    <w:rsid w:val="00DD2728"/>
    <w:rsid w:val="00DD2730"/>
    <w:rsid w:val="00DD29FD"/>
    <w:rsid w:val="00DD2C33"/>
    <w:rsid w:val="00DD2ED6"/>
    <w:rsid w:val="00DD3260"/>
    <w:rsid w:val="00DD3398"/>
    <w:rsid w:val="00DD33F6"/>
    <w:rsid w:val="00DD3787"/>
    <w:rsid w:val="00DD3B43"/>
    <w:rsid w:val="00DD3D06"/>
    <w:rsid w:val="00DD3DCC"/>
    <w:rsid w:val="00DD3EDE"/>
    <w:rsid w:val="00DD3F64"/>
    <w:rsid w:val="00DD44D0"/>
    <w:rsid w:val="00DD45F1"/>
    <w:rsid w:val="00DD4650"/>
    <w:rsid w:val="00DD46E7"/>
    <w:rsid w:val="00DD4B42"/>
    <w:rsid w:val="00DD4B53"/>
    <w:rsid w:val="00DD4BF6"/>
    <w:rsid w:val="00DD4C1B"/>
    <w:rsid w:val="00DD4DDD"/>
    <w:rsid w:val="00DD4E2E"/>
    <w:rsid w:val="00DD4E6F"/>
    <w:rsid w:val="00DD4FD0"/>
    <w:rsid w:val="00DD50D1"/>
    <w:rsid w:val="00DD52EB"/>
    <w:rsid w:val="00DD5444"/>
    <w:rsid w:val="00DD5471"/>
    <w:rsid w:val="00DD581B"/>
    <w:rsid w:val="00DD58BC"/>
    <w:rsid w:val="00DD5B82"/>
    <w:rsid w:val="00DD5BC3"/>
    <w:rsid w:val="00DD5CF1"/>
    <w:rsid w:val="00DD5DB5"/>
    <w:rsid w:val="00DD5E91"/>
    <w:rsid w:val="00DD60A6"/>
    <w:rsid w:val="00DD6170"/>
    <w:rsid w:val="00DD6222"/>
    <w:rsid w:val="00DD63D4"/>
    <w:rsid w:val="00DD64C7"/>
    <w:rsid w:val="00DD64DC"/>
    <w:rsid w:val="00DD6761"/>
    <w:rsid w:val="00DD67A8"/>
    <w:rsid w:val="00DD694D"/>
    <w:rsid w:val="00DD6AF9"/>
    <w:rsid w:val="00DD6C60"/>
    <w:rsid w:val="00DD6C7F"/>
    <w:rsid w:val="00DD6DF2"/>
    <w:rsid w:val="00DD6FBB"/>
    <w:rsid w:val="00DD71FB"/>
    <w:rsid w:val="00DD767C"/>
    <w:rsid w:val="00DD772B"/>
    <w:rsid w:val="00DD7860"/>
    <w:rsid w:val="00DD787E"/>
    <w:rsid w:val="00DD7C7E"/>
    <w:rsid w:val="00DD7D8A"/>
    <w:rsid w:val="00DD7F5B"/>
    <w:rsid w:val="00DE0013"/>
    <w:rsid w:val="00DE018A"/>
    <w:rsid w:val="00DE01C3"/>
    <w:rsid w:val="00DE0269"/>
    <w:rsid w:val="00DE049B"/>
    <w:rsid w:val="00DE052F"/>
    <w:rsid w:val="00DE06FC"/>
    <w:rsid w:val="00DE0836"/>
    <w:rsid w:val="00DE0871"/>
    <w:rsid w:val="00DE0890"/>
    <w:rsid w:val="00DE09B2"/>
    <w:rsid w:val="00DE0B09"/>
    <w:rsid w:val="00DE0B9C"/>
    <w:rsid w:val="00DE0CF6"/>
    <w:rsid w:val="00DE1056"/>
    <w:rsid w:val="00DE12B5"/>
    <w:rsid w:val="00DE1358"/>
    <w:rsid w:val="00DE13F8"/>
    <w:rsid w:val="00DE15D0"/>
    <w:rsid w:val="00DE163E"/>
    <w:rsid w:val="00DE1833"/>
    <w:rsid w:val="00DE1A21"/>
    <w:rsid w:val="00DE1AC9"/>
    <w:rsid w:val="00DE1AD3"/>
    <w:rsid w:val="00DE1C3B"/>
    <w:rsid w:val="00DE1E40"/>
    <w:rsid w:val="00DE1E69"/>
    <w:rsid w:val="00DE2022"/>
    <w:rsid w:val="00DE2053"/>
    <w:rsid w:val="00DE20E6"/>
    <w:rsid w:val="00DE2388"/>
    <w:rsid w:val="00DE240F"/>
    <w:rsid w:val="00DE25B9"/>
    <w:rsid w:val="00DE26B9"/>
    <w:rsid w:val="00DE27F4"/>
    <w:rsid w:val="00DE29EF"/>
    <w:rsid w:val="00DE2F01"/>
    <w:rsid w:val="00DE3152"/>
    <w:rsid w:val="00DE3239"/>
    <w:rsid w:val="00DE34DD"/>
    <w:rsid w:val="00DE353C"/>
    <w:rsid w:val="00DE35E7"/>
    <w:rsid w:val="00DE3676"/>
    <w:rsid w:val="00DE368C"/>
    <w:rsid w:val="00DE387D"/>
    <w:rsid w:val="00DE3B33"/>
    <w:rsid w:val="00DE3BE2"/>
    <w:rsid w:val="00DE3EE9"/>
    <w:rsid w:val="00DE4305"/>
    <w:rsid w:val="00DE45C9"/>
    <w:rsid w:val="00DE47AA"/>
    <w:rsid w:val="00DE4C16"/>
    <w:rsid w:val="00DE4CE3"/>
    <w:rsid w:val="00DE4F19"/>
    <w:rsid w:val="00DE52E4"/>
    <w:rsid w:val="00DE5458"/>
    <w:rsid w:val="00DE5522"/>
    <w:rsid w:val="00DE58F3"/>
    <w:rsid w:val="00DE5BE6"/>
    <w:rsid w:val="00DE5C6B"/>
    <w:rsid w:val="00DE5E03"/>
    <w:rsid w:val="00DE5FB3"/>
    <w:rsid w:val="00DE6747"/>
    <w:rsid w:val="00DE67CC"/>
    <w:rsid w:val="00DE6A79"/>
    <w:rsid w:val="00DE6AE7"/>
    <w:rsid w:val="00DE6DDD"/>
    <w:rsid w:val="00DE6EAB"/>
    <w:rsid w:val="00DE6F96"/>
    <w:rsid w:val="00DE741B"/>
    <w:rsid w:val="00DE754B"/>
    <w:rsid w:val="00DE7552"/>
    <w:rsid w:val="00DE75D6"/>
    <w:rsid w:val="00DE76B0"/>
    <w:rsid w:val="00DE76EB"/>
    <w:rsid w:val="00DE787A"/>
    <w:rsid w:val="00DE7AA4"/>
    <w:rsid w:val="00DE7B10"/>
    <w:rsid w:val="00DE7B47"/>
    <w:rsid w:val="00DE7F32"/>
    <w:rsid w:val="00DF031E"/>
    <w:rsid w:val="00DF08BF"/>
    <w:rsid w:val="00DF08FF"/>
    <w:rsid w:val="00DF09BA"/>
    <w:rsid w:val="00DF09D3"/>
    <w:rsid w:val="00DF0DCC"/>
    <w:rsid w:val="00DF0FF4"/>
    <w:rsid w:val="00DF1177"/>
    <w:rsid w:val="00DF12CA"/>
    <w:rsid w:val="00DF14CF"/>
    <w:rsid w:val="00DF1685"/>
    <w:rsid w:val="00DF1932"/>
    <w:rsid w:val="00DF1B64"/>
    <w:rsid w:val="00DF1BDA"/>
    <w:rsid w:val="00DF1F02"/>
    <w:rsid w:val="00DF2521"/>
    <w:rsid w:val="00DF26D6"/>
    <w:rsid w:val="00DF296F"/>
    <w:rsid w:val="00DF2996"/>
    <w:rsid w:val="00DF2EA3"/>
    <w:rsid w:val="00DF2F06"/>
    <w:rsid w:val="00DF2F29"/>
    <w:rsid w:val="00DF3034"/>
    <w:rsid w:val="00DF30BB"/>
    <w:rsid w:val="00DF315B"/>
    <w:rsid w:val="00DF334A"/>
    <w:rsid w:val="00DF33EF"/>
    <w:rsid w:val="00DF35BC"/>
    <w:rsid w:val="00DF35C5"/>
    <w:rsid w:val="00DF3631"/>
    <w:rsid w:val="00DF36A7"/>
    <w:rsid w:val="00DF36E0"/>
    <w:rsid w:val="00DF3A11"/>
    <w:rsid w:val="00DF3A6B"/>
    <w:rsid w:val="00DF3C19"/>
    <w:rsid w:val="00DF3F04"/>
    <w:rsid w:val="00DF3F84"/>
    <w:rsid w:val="00DF419B"/>
    <w:rsid w:val="00DF41CB"/>
    <w:rsid w:val="00DF4253"/>
    <w:rsid w:val="00DF4454"/>
    <w:rsid w:val="00DF4508"/>
    <w:rsid w:val="00DF47D8"/>
    <w:rsid w:val="00DF4848"/>
    <w:rsid w:val="00DF4C85"/>
    <w:rsid w:val="00DF4D45"/>
    <w:rsid w:val="00DF51A7"/>
    <w:rsid w:val="00DF563D"/>
    <w:rsid w:val="00DF56BA"/>
    <w:rsid w:val="00DF5860"/>
    <w:rsid w:val="00DF5990"/>
    <w:rsid w:val="00DF5BCA"/>
    <w:rsid w:val="00DF5C78"/>
    <w:rsid w:val="00DF5F67"/>
    <w:rsid w:val="00DF6072"/>
    <w:rsid w:val="00DF60CB"/>
    <w:rsid w:val="00DF61BF"/>
    <w:rsid w:val="00DF6210"/>
    <w:rsid w:val="00DF62A0"/>
    <w:rsid w:val="00DF65EF"/>
    <w:rsid w:val="00DF6609"/>
    <w:rsid w:val="00DF6782"/>
    <w:rsid w:val="00DF68C4"/>
    <w:rsid w:val="00DF6C83"/>
    <w:rsid w:val="00DF6D63"/>
    <w:rsid w:val="00DF7003"/>
    <w:rsid w:val="00DF71CA"/>
    <w:rsid w:val="00DF7412"/>
    <w:rsid w:val="00DF7724"/>
    <w:rsid w:val="00DF7941"/>
    <w:rsid w:val="00DF79C2"/>
    <w:rsid w:val="00DF7F71"/>
    <w:rsid w:val="00E0002B"/>
    <w:rsid w:val="00E000D4"/>
    <w:rsid w:val="00E001F3"/>
    <w:rsid w:val="00E002D3"/>
    <w:rsid w:val="00E00345"/>
    <w:rsid w:val="00E00410"/>
    <w:rsid w:val="00E0051E"/>
    <w:rsid w:val="00E00559"/>
    <w:rsid w:val="00E005F9"/>
    <w:rsid w:val="00E005FB"/>
    <w:rsid w:val="00E00AFD"/>
    <w:rsid w:val="00E00B24"/>
    <w:rsid w:val="00E00DB9"/>
    <w:rsid w:val="00E00DF8"/>
    <w:rsid w:val="00E010EB"/>
    <w:rsid w:val="00E01172"/>
    <w:rsid w:val="00E01205"/>
    <w:rsid w:val="00E01491"/>
    <w:rsid w:val="00E014EA"/>
    <w:rsid w:val="00E01666"/>
    <w:rsid w:val="00E01855"/>
    <w:rsid w:val="00E01955"/>
    <w:rsid w:val="00E019ED"/>
    <w:rsid w:val="00E01DAD"/>
    <w:rsid w:val="00E01EF6"/>
    <w:rsid w:val="00E01F19"/>
    <w:rsid w:val="00E02086"/>
    <w:rsid w:val="00E020A0"/>
    <w:rsid w:val="00E020A4"/>
    <w:rsid w:val="00E02110"/>
    <w:rsid w:val="00E0237D"/>
    <w:rsid w:val="00E02A93"/>
    <w:rsid w:val="00E02AFE"/>
    <w:rsid w:val="00E02BF9"/>
    <w:rsid w:val="00E02C2C"/>
    <w:rsid w:val="00E02C96"/>
    <w:rsid w:val="00E02C9B"/>
    <w:rsid w:val="00E0324C"/>
    <w:rsid w:val="00E03299"/>
    <w:rsid w:val="00E03636"/>
    <w:rsid w:val="00E03685"/>
    <w:rsid w:val="00E038BE"/>
    <w:rsid w:val="00E0392A"/>
    <w:rsid w:val="00E03A41"/>
    <w:rsid w:val="00E03A87"/>
    <w:rsid w:val="00E03AC7"/>
    <w:rsid w:val="00E0407F"/>
    <w:rsid w:val="00E041F5"/>
    <w:rsid w:val="00E0432F"/>
    <w:rsid w:val="00E04338"/>
    <w:rsid w:val="00E045C6"/>
    <w:rsid w:val="00E0470A"/>
    <w:rsid w:val="00E04890"/>
    <w:rsid w:val="00E0499D"/>
    <w:rsid w:val="00E04F25"/>
    <w:rsid w:val="00E04FAF"/>
    <w:rsid w:val="00E05020"/>
    <w:rsid w:val="00E05368"/>
    <w:rsid w:val="00E0547C"/>
    <w:rsid w:val="00E05737"/>
    <w:rsid w:val="00E058CB"/>
    <w:rsid w:val="00E0592A"/>
    <w:rsid w:val="00E05A4B"/>
    <w:rsid w:val="00E05EB9"/>
    <w:rsid w:val="00E05FEE"/>
    <w:rsid w:val="00E060D3"/>
    <w:rsid w:val="00E06165"/>
    <w:rsid w:val="00E06328"/>
    <w:rsid w:val="00E06360"/>
    <w:rsid w:val="00E06484"/>
    <w:rsid w:val="00E066F6"/>
    <w:rsid w:val="00E06925"/>
    <w:rsid w:val="00E06B3C"/>
    <w:rsid w:val="00E06E2F"/>
    <w:rsid w:val="00E06EA4"/>
    <w:rsid w:val="00E0781D"/>
    <w:rsid w:val="00E078E0"/>
    <w:rsid w:val="00E07BE7"/>
    <w:rsid w:val="00E07C99"/>
    <w:rsid w:val="00E07CA7"/>
    <w:rsid w:val="00E100DA"/>
    <w:rsid w:val="00E103B4"/>
    <w:rsid w:val="00E104CF"/>
    <w:rsid w:val="00E10565"/>
    <w:rsid w:val="00E106C1"/>
    <w:rsid w:val="00E10843"/>
    <w:rsid w:val="00E108F1"/>
    <w:rsid w:val="00E10915"/>
    <w:rsid w:val="00E10AAC"/>
    <w:rsid w:val="00E10B4E"/>
    <w:rsid w:val="00E10D61"/>
    <w:rsid w:val="00E10EB8"/>
    <w:rsid w:val="00E10ED1"/>
    <w:rsid w:val="00E1133E"/>
    <w:rsid w:val="00E11533"/>
    <w:rsid w:val="00E11644"/>
    <w:rsid w:val="00E117E6"/>
    <w:rsid w:val="00E1189B"/>
    <w:rsid w:val="00E11992"/>
    <w:rsid w:val="00E11C28"/>
    <w:rsid w:val="00E123AE"/>
    <w:rsid w:val="00E1241E"/>
    <w:rsid w:val="00E12428"/>
    <w:rsid w:val="00E124C6"/>
    <w:rsid w:val="00E126F5"/>
    <w:rsid w:val="00E127FD"/>
    <w:rsid w:val="00E12872"/>
    <w:rsid w:val="00E12C51"/>
    <w:rsid w:val="00E12DEB"/>
    <w:rsid w:val="00E135D2"/>
    <w:rsid w:val="00E13710"/>
    <w:rsid w:val="00E13768"/>
    <w:rsid w:val="00E1377B"/>
    <w:rsid w:val="00E1383B"/>
    <w:rsid w:val="00E13B4E"/>
    <w:rsid w:val="00E13CB2"/>
    <w:rsid w:val="00E13EAB"/>
    <w:rsid w:val="00E14016"/>
    <w:rsid w:val="00E1425F"/>
    <w:rsid w:val="00E14566"/>
    <w:rsid w:val="00E1466A"/>
    <w:rsid w:val="00E14867"/>
    <w:rsid w:val="00E1495C"/>
    <w:rsid w:val="00E149CE"/>
    <w:rsid w:val="00E14ADF"/>
    <w:rsid w:val="00E14D89"/>
    <w:rsid w:val="00E14FAD"/>
    <w:rsid w:val="00E14FC1"/>
    <w:rsid w:val="00E1506D"/>
    <w:rsid w:val="00E15239"/>
    <w:rsid w:val="00E15242"/>
    <w:rsid w:val="00E15522"/>
    <w:rsid w:val="00E1566B"/>
    <w:rsid w:val="00E15810"/>
    <w:rsid w:val="00E15BAE"/>
    <w:rsid w:val="00E15CDB"/>
    <w:rsid w:val="00E15EAA"/>
    <w:rsid w:val="00E15EB3"/>
    <w:rsid w:val="00E16141"/>
    <w:rsid w:val="00E162D2"/>
    <w:rsid w:val="00E163C5"/>
    <w:rsid w:val="00E163F2"/>
    <w:rsid w:val="00E1648D"/>
    <w:rsid w:val="00E164FE"/>
    <w:rsid w:val="00E16579"/>
    <w:rsid w:val="00E16607"/>
    <w:rsid w:val="00E16973"/>
    <w:rsid w:val="00E16B88"/>
    <w:rsid w:val="00E16B92"/>
    <w:rsid w:val="00E16C19"/>
    <w:rsid w:val="00E16D8C"/>
    <w:rsid w:val="00E16FDA"/>
    <w:rsid w:val="00E17384"/>
    <w:rsid w:val="00E17391"/>
    <w:rsid w:val="00E1749C"/>
    <w:rsid w:val="00E17672"/>
    <w:rsid w:val="00E177BC"/>
    <w:rsid w:val="00E179AD"/>
    <w:rsid w:val="00E17A57"/>
    <w:rsid w:val="00E17B02"/>
    <w:rsid w:val="00E17D71"/>
    <w:rsid w:val="00E20219"/>
    <w:rsid w:val="00E203FF"/>
    <w:rsid w:val="00E20458"/>
    <w:rsid w:val="00E204A3"/>
    <w:rsid w:val="00E2051F"/>
    <w:rsid w:val="00E2088F"/>
    <w:rsid w:val="00E20ACE"/>
    <w:rsid w:val="00E20C15"/>
    <w:rsid w:val="00E20C16"/>
    <w:rsid w:val="00E20D1D"/>
    <w:rsid w:val="00E2108E"/>
    <w:rsid w:val="00E212AE"/>
    <w:rsid w:val="00E212F0"/>
    <w:rsid w:val="00E212FC"/>
    <w:rsid w:val="00E21561"/>
    <w:rsid w:val="00E218F3"/>
    <w:rsid w:val="00E21BEE"/>
    <w:rsid w:val="00E21DCF"/>
    <w:rsid w:val="00E21DD2"/>
    <w:rsid w:val="00E22054"/>
    <w:rsid w:val="00E221C4"/>
    <w:rsid w:val="00E22314"/>
    <w:rsid w:val="00E2290B"/>
    <w:rsid w:val="00E22A06"/>
    <w:rsid w:val="00E22A95"/>
    <w:rsid w:val="00E22B05"/>
    <w:rsid w:val="00E22BBB"/>
    <w:rsid w:val="00E22D2C"/>
    <w:rsid w:val="00E22F88"/>
    <w:rsid w:val="00E238BA"/>
    <w:rsid w:val="00E23A59"/>
    <w:rsid w:val="00E23B1A"/>
    <w:rsid w:val="00E23D65"/>
    <w:rsid w:val="00E23EB2"/>
    <w:rsid w:val="00E23F53"/>
    <w:rsid w:val="00E242AA"/>
    <w:rsid w:val="00E24609"/>
    <w:rsid w:val="00E24760"/>
    <w:rsid w:val="00E24860"/>
    <w:rsid w:val="00E248AC"/>
    <w:rsid w:val="00E24A21"/>
    <w:rsid w:val="00E24A62"/>
    <w:rsid w:val="00E24A94"/>
    <w:rsid w:val="00E24B0D"/>
    <w:rsid w:val="00E24B27"/>
    <w:rsid w:val="00E24C20"/>
    <w:rsid w:val="00E24C53"/>
    <w:rsid w:val="00E24DB3"/>
    <w:rsid w:val="00E25029"/>
    <w:rsid w:val="00E2518A"/>
    <w:rsid w:val="00E25250"/>
    <w:rsid w:val="00E25566"/>
    <w:rsid w:val="00E25627"/>
    <w:rsid w:val="00E25964"/>
    <w:rsid w:val="00E259A1"/>
    <w:rsid w:val="00E25BA4"/>
    <w:rsid w:val="00E25E88"/>
    <w:rsid w:val="00E25F75"/>
    <w:rsid w:val="00E26156"/>
    <w:rsid w:val="00E26281"/>
    <w:rsid w:val="00E265CC"/>
    <w:rsid w:val="00E2676D"/>
    <w:rsid w:val="00E267A1"/>
    <w:rsid w:val="00E269A3"/>
    <w:rsid w:val="00E26C49"/>
    <w:rsid w:val="00E26D49"/>
    <w:rsid w:val="00E26EA1"/>
    <w:rsid w:val="00E26F63"/>
    <w:rsid w:val="00E26F67"/>
    <w:rsid w:val="00E27163"/>
    <w:rsid w:val="00E27756"/>
    <w:rsid w:val="00E27A3B"/>
    <w:rsid w:val="00E27B80"/>
    <w:rsid w:val="00E27DF4"/>
    <w:rsid w:val="00E27E54"/>
    <w:rsid w:val="00E27E85"/>
    <w:rsid w:val="00E27F27"/>
    <w:rsid w:val="00E27F31"/>
    <w:rsid w:val="00E27FB4"/>
    <w:rsid w:val="00E30206"/>
    <w:rsid w:val="00E3056E"/>
    <w:rsid w:val="00E305EF"/>
    <w:rsid w:val="00E307C0"/>
    <w:rsid w:val="00E307E2"/>
    <w:rsid w:val="00E307FF"/>
    <w:rsid w:val="00E30A34"/>
    <w:rsid w:val="00E30B69"/>
    <w:rsid w:val="00E30B9E"/>
    <w:rsid w:val="00E30CE9"/>
    <w:rsid w:val="00E30D1A"/>
    <w:rsid w:val="00E31111"/>
    <w:rsid w:val="00E31691"/>
    <w:rsid w:val="00E316CD"/>
    <w:rsid w:val="00E31766"/>
    <w:rsid w:val="00E31DC2"/>
    <w:rsid w:val="00E31EC8"/>
    <w:rsid w:val="00E31F66"/>
    <w:rsid w:val="00E31FF6"/>
    <w:rsid w:val="00E32028"/>
    <w:rsid w:val="00E3264E"/>
    <w:rsid w:val="00E327A9"/>
    <w:rsid w:val="00E327F6"/>
    <w:rsid w:val="00E32B44"/>
    <w:rsid w:val="00E32C33"/>
    <w:rsid w:val="00E32E60"/>
    <w:rsid w:val="00E331EE"/>
    <w:rsid w:val="00E33391"/>
    <w:rsid w:val="00E334E1"/>
    <w:rsid w:val="00E33690"/>
    <w:rsid w:val="00E33791"/>
    <w:rsid w:val="00E33A8A"/>
    <w:rsid w:val="00E33BFD"/>
    <w:rsid w:val="00E33F04"/>
    <w:rsid w:val="00E340B1"/>
    <w:rsid w:val="00E3435B"/>
    <w:rsid w:val="00E343A8"/>
    <w:rsid w:val="00E3445C"/>
    <w:rsid w:val="00E344D9"/>
    <w:rsid w:val="00E34580"/>
    <w:rsid w:val="00E34749"/>
    <w:rsid w:val="00E3475F"/>
    <w:rsid w:val="00E3489F"/>
    <w:rsid w:val="00E34A2C"/>
    <w:rsid w:val="00E34DF4"/>
    <w:rsid w:val="00E352DC"/>
    <w:rsid w:val="00E353D0"/>
    <w:rsid w:val="00E354FD"/>
    <w:rsid w:val="00E35503"/>
    <w:rsid w:val="00E35571"/>
    <w:rsid w:val="00E356E6"/>
    <w:rsid w:val="00E356ED"/>
    <w:rsid w:val="00E357B8"/>
    <w:rsid w:val="00E35A0B"/>
    <w:rsid w:val="00E35BA9"/>
    <w:rsid w:val="00E35DA5"/>
    <w:rsid w:val="00E35DC9"/>
    <w:rsid w:val="00E35DD9"/>
    <w:rsid w:val="00E35F53"/>
    <w:rsid w:val="00E36480"/>
    <w:rsid w:val="00E3667A"/>
    <w:rsid w:val="00E3693C"/>
    <w:rsid w:val="00E36AD6"/>
    <w:rsid w:val="00E36B51"/>
    <w:rsid w:val="00E36D26"/>
    <w:rsid w:val="00E36E77"/>
    <w:rsid w:val="00E37268"/>
    <w:rsid w:val="00E37319"/>
    <w:rsid w:val="00E37342"/>
    <w:rsid w:val="00E37449"/>
    <w:rsid w:val="00E37652"/>
    <w:rsid w:val="00E37664"/>
    <w:rsid w:val="00E37B28"/>
    <w:rsid w:val="00E37B61"/>
    <w:rsid w:val="00E37B7E"/>
    <w:rsid w:val="00E405BD"/>
    <w:rsid w:val="00E40627"/>
    <w:rsid w:val="00E4066E"/>
    <w:rsid w:val="00E40727"/>
    <w:rsid w:val="00E40988"/>
    <w:rsid w:val="00E40A29"/>
    <w:rsid w:val="00E40B3C"/>
    <w:rsid w:val="00E40CC7"/>
    <w:rsid w:val="00E40DA0"/>
    <w:rsid w:val="00E410FE"/>
    <w:rsid w:val="00E4113C"/>
    <w:rsid w:val="00E4152B"/>
    <w:rsid w:val="00E415DB"/>
    <w:rsid w:val="00E416C3"/>
    <w:rsid w:val="00E41E7B"/>
    <w:rsid w:val="00E4206D"/>
    <w:rsid w:val="00E4214E"/>
    <w:rsid w:val="00E42555"/>
    <w:rsid w:val="00E42B13"/>
    <w:rsid w:val="00E42BEB"/>
    <w:rsid w:val="00E42CBD"/>
    <w:rsid w:val="00E42D76"/>
    <w:rsid w:val="00E42E16"/>
    <w:rsid w:val="00E42E30"/>
    <w:rsid w:val="00E42F02"/>
    <w:rsid w:val="00E42FA8"/>
    <w:rsid w:val="00E433D5"/>
    <w:rsid w:val="00E434B6"/>
    <w:rsid w:val="00E43584"/>
    <w:rsid w:val="00E43723"/>
    <w:rsid w:val="00E43935"/>
    <w:rsid w:val="00E43BD2"/>
    <w:rsid w:val="00E43BDC"/>
    <w:rsid w:val="00E43CC2"/>
    <w:rsid w:val="00E43D3C"/>
    <w:rsid w:val="00E43E2B"/>
    <w:rsid w:val="00E44179"/>
    <w:rsid w:val="00E44681"/>
    <w:rsid w:val="00E44828"/>
    <w:rsid w:val="00E44A84"/>
    <w:rsid w:val="00E44D5F"/>
    <w:rsid w:val="00E44D96"/>
    <w:rsid w:val="00E44DBD"/>
    <w:rsid w:val="00E44E54"/>
    <w:rsid w:val="00E44EE9"/>
    <w:rsid w:val="00E451A7"/>
    <w:rsid w:val="00E454DB"/>
    <w:rsid w:val="00E45933"/>
    <w:rsid w:val="00E45A67"/>
    <w:rsid w:val="00E45B18"/>
    <w:rsid w:val="00E45C30"/>
    <w:rsid w:val="00E45CBC"/>
    <w:rsid w:val="00E46033"/>
    <w:rsid w:val="00E464E2"/>
    <w:rsid w:val="00E4665F"/>
    <w:rsid w:val="00E46860"/>
    <w:rsid w:val="00E46896"/>
    <w:rsid w:val="00E46B4B"/>
    <w:rsid w:val="00E46CEC"/>
    <w:rsid w:val="00E47010"/>
    <w:rsid w:val="00E47183"/>
    <w:rsid w:val="00E47203"/>
    <w:rsid w:val="00E47235"/>
    <w:rsid w:val="00E4737E"/>
    <w:rsid w:val="00E47570"/>
    <w:rsid w:val="00E475C6"/>
    <w:rsid w:val="00E47A08"/>
    <w:rsid w:val="00E47A0B"/>
    <w:rsid w:val="00E47A20"/>
    <w:rsid w:val="00E47BE8"/>
    <w:rsid w:val="00E47DE8"/>
    <w:rsid w:val="00E50024"/>
    <w:rsid w:val="00E501F1"/>
    <w:rsid w:val="00E50252"/>
    <w:rsid w:val="00E5028D"/>
    <w:rsid w:val="00E50312"/>
    <w:rsid w:val="00E50588"/>
    <w:rsid w:val="00E50592"/>
    <w:rsid w:val="00E50883"/>
    <w:rsid w:val="00E50B4A"/>
    <w:rsid w:val="00E50C02"/>
    <w:rsid w:val="00E50C46"/>
    <w:rsid w:val="00E50E2E"/>
    <w:rsid w:val="00E50ED0"/>
    <w:rsid w:val="00E510F2"/>
    <w:rsid w:val="00E5113C"/>
    <w:rsid w:val="00E517E6"/>
    <w:rsid w:val="00E51B7C"/>
    <w:rsid w:val="00E51B87"/>
    <w:rsid w:val="00E51B9E"/>
    <w:rsid w:val="00E51E78"/>
    <w:rsid w:val="00E5201F"/>
    <w:rsid w:val="00E52125"/>
    <w:rsid w:val="00E5224C"/>
    <w:rsid w:val="00E523BB"/>
    <w:rsid w:val="00E52515"/>
    <w:rsid w:val="00E52636"/>
    <w:rsid w:val="00E526A6"/>
    <w:rsid w:val="00E5272C"/>
    <w:rsid w:val="00E5291A"/>
    <w:rsid w:val="00E52991"/>
    <w:rsid w:val="00E529AC"/>
    <w:rsid w:val="00E52AA6"/>
    <w:rsid w:val="00E52E12"/>
    <w:rsid w:val="00E52EA0"/>
    <w:rsid w:val="00E53168"/>
    <w:rsid w:val="00E53338"/>
    <w:rsid w:val="00E533E0"/>
    <w:rsid w:val="00E534B5"/>
    <w:rsid w:val="00E5368C"/>
    <w:rsid w:val="00E537BC"/>
    <w:rsid w:val="00E538BA"/>
    <w:rsid w:val="00E53B86"/>
    <w:rsid w:val="00E54386"/>
    <w:rsid w:val="00E547B4"/>
    <w:rsid w:val="00E54863"/>
    <w:rsid w:val="00E54F0F"/>
    <w:rsid w:val="00E5525A"/>
    <w:rsid w:val="00E557E4"/>
    <w:rsid w:val="00E558C1"/>
    <w:rsid w:val="00E559B0"/>
    <w:rsid w:val="00E55BB7"/>
    <w:rsid w:val="00E55E57"/>
    <w:rsid w:val="00E55FBE"/>
    <w:rsid w:val="00E561BE"/>
    <w:rsid w:val="00E56444"/>
    <w:rsid w:val="00E56AE0"/>
    <w:rsid w:val="00E56B32"/>
    <w:rsid w:val="00E56D86"/>
    <w:rsid w:val="00E56E03"/>
    <w:rsid w:val="00E5712C"/>
    <w:rsid w:val="00E5725A"/>
    <w:rsid w:val="00E5737F"/>
    <w:rsid w:val="00E573CA"/>
    <w:rsid w:val="00E573EE"/>
    <w:rsid w:val="00E575CA"/>
    <w:rsid w:val="00E5793E"/>
    <w:rsid w:val="00E57F1F"/>
    <w:rsid w:val="00E60090"/>
    <w:rsid w:val="00E60130"/>
    <w:rsid w:val="00E60226"/>
    <w:rsid w:val="00E602EC"/>
    <w:rsid w:val="00E60482"/>
    <w:rsid w:val="00E6073C"/>
    <w:rsid w:val="00E60892"/>
    <w:rsid w:val="00E608C3"/>
    <w:rsid w:val="00E60A33"/>
    <w:rsid w:val="00E60D86"/>
    <w:rsid w:val="00E61178"/>
    <w:rsid w:val="00E61211"/>
    <w:rsid w:val="00E61337"/>
    <w:rsid w:val="00E61415"/>
    <w:rsid w:val="00E61697"/>
    <w:rsid w:val="00E6179F"/>
    <w:rsid w:val="00E61CD0"/>
    <w:rsid w:val="00E61D87"/>
    <w:rsid w:val="00E61E5A"/>
    <w:rsid w:val="00E61E95"/>
    <w:rsid w:val="00E61F90"/>
    <w:rsid w:val="00E61FD0"/>
    <w:rsid w:val="00E6204E"/>
    <w:rsid w:val="00E62081"/>
    <w:rsid w:val="00E62145"/>
    <w:rsid w:val="00E623A6"/>
    <w:rsid w:val="00E62488"/>
    <w:rsid w:val="00E624F2"/>
    <w:rsid w:val="00E627E6"/>
    <w:rsid w:val="00E62A60"/>
    <w:rsid w:val="00E62A9B"/>
    <w:rsid w:val="00E62ED8"/>
    <w:rsid w:val="00E62F3C"/>
    <w:rsid w:val="00E62F75"/>
    <w:rsid w:val="00E63222"/>
    <w:rsid w:val="00E633BE"/>
    <w:rsid w:val="00E6350F"/>
    <w:rsid w:val="00E636AE"/>
    <w:rsid w:val="00E637C5"/>
    <w:rsid w:val="00E6392A"/>
    <w:rsid w:val="00E63C6E"/>
    <w:rsid w:val="00E64048"/>
    <w:rsid w:val="00E6417B"/>
    <w:rsid w:val="00E64257"/>
    <w:rsid w:val="00E642AB"/>
    <w:rsid w:val="00E643FB"/>
    <w:rsid w:val="00E64549"/>
    <w:rsid w:val="00E647A3"/>
    <w:rsid w:val="00E64861"/>
    <w:rsid w:val="00E6487A"/>
    <w:rsid w:val="00E64E3C"/>
    <w:rsid w:val="00E64FF0"/>
    <w:rsid w:val="00E655C9"/>
    <w:rsid w:val="00E6563B"/>
    <w:rsid w:val="00E65671"/>
    <w:rsid w:val="00E65823"/>
    <w:rsid w:val="00E65EF8"/>
    <w:rsid w:val="00E66244"/>
    <w:rsid w:val="00E665FA"/>
    <w:rsid w:val="00E6682D"/>
    <w:rsid w:val="00E66892"/>
    <w:rsid w:val="00E66976"/>
    <w:rsid w:val="00E6697D"/>
    <w:rsid w:val="00E669F3"/>
    <w:rsid w:val="00E66FF9"/>
    <w:rsid w:val="00E67140"/>
    <w:rsid w:val="00E67158"/>
    <w:rsid w:val="00E671B8"/>
    <w:rsid w:val="00E671DE"/>
    <w:rsid w:val="00E67283"/>
    <w:rsid w:val="00E67661"/>
    <w:rsid w:val="00E6798F"/>
    <w:rsid w:val="00E679D5"/>
    <w:rsid w:val="00E67A2A"/>
    <w:rsid w:val="00E67B21"/>
    <w:rsid w:val="00E67BA1"/>
    <w:rsid w:val="00E67DB8"/>
    <w:rsid w:val="00E67F4C"/>
    <w:rsid w:val="00E702CA"/>
    <w:rsid w:val="00E702E3"/>
    <w:rsid w:val="00E70329"/>
    <w:rsid w:val="00E70657"/>
    <w:rsid w:val="00E70730"/>
    <w:rsid w:val="00E70852"/>
    <w:rsid w:val="00E70A02"/>
    <w:rsid w:val="00E70CA5"/>
    <w:rsid w:val="00E70DD8"/>
    <w:rsid w:val="00E711CB"/>
    <w:rsid w:val="00E711D4"/>
    <w:rsid w:val="00E71385"/>
    <w:rsid w:val="00E713D5"/>
    <w:rsid w:val="00E71534"/>
    <w:rsid w:val="00E71557"/>
    <w:rsid w:val="00E7166C"/>
    <w:rsid w:val="00E716CF"/>
    <w:rsid w:val="00E71846"/>
    <w:rsid w:val="00E7190C"/>
    <w:rsid w:val="00E71BE0"/>
    <w:rsid w:val="00E7216F"/>
    <w:rsid w:val="00E722E0"/>
    <w:rsid w:val="00E729A2"/>
    <w:rsid w:val="00E72A0B"/>
    <w:rsid w:val="00E72A63"/>
    <w:rsid w:val="00E72AD5"/>
    <w:rsid w:val="00E72B75"/>
    <w:rsid w:val="00E72BD5"/>
    <w:rsid w:val="00E72C9E"/>
    <w:rsid w:val="00E72D2D"/>
    <w:rsid w:val="00E72E8E"/>
    <w:rsid w:val="00E730D0"/>
    <w:rsid w:val="00E73176"/>
    <w:rsid w:val="00E7318F"/>
    <w:rsid w:val="00E73682"/>
    <w:rsid w:val="00E7383C"/>
    <w:rsid w:val="00E7389A"/>
    <w:rsid w:val="00E73B4F"/>
    <w:rsid w:val="00E73DDE"/>
    <w:rsid w:val="00E73FF7"/>
    <w:rsid w:val="00E743DA"/>
    <w:rsid w:val="00E744E9"/>
    <w:rsid w:val="00E745D6"/>
    <w:rsid w:val="00E747BD"/>
    <w:rsid w:val="00E74859"/>
    <w:rsid w:val="00E748CF"/>
    <w:rsid w:val="00E74974"/>
    <w:rsid w:val="00E74B90"/>
    <w:rsid w:val="00E74C48"/>
    <w:rsid w:val="00E74E85"/>
    <w:rsid w:val="00E75065"/>
    <w:rsid w:val="00E75074"/>
    <w:rsid w:val="00E75079"/>
    <w:rsid w:val="00E75523"/>
    <w:rsid w:val="00E755D2"/>
    <w:rsid w:val="00E75621"/>
    <w:rsid w:val="00E75882"/>
    <w:rsid w:val="00E75913"/>
    <w:rsid w:val="00E75C36"/>
    <w:rsid w:val="00E75F77"/>
    <w:rsid w:val="00E75FEA"/>
    <w:rsid w:val="00E7618F"/>
    <w:rsid w:val="00E761E3"/>
    <w:rsid w:val="00E76263"/>
    <w:rsid w:val="00E76624"/>
    <w:rsid w:val="00E76ADE"/>
    <w:rsid w:val="00E76C5F"/>
    <w:rsid w:val="00E770E0"/>
    <w:rsid w:val="00E777A9"/>
    <w:rsid w:val="00E77802"/>
    <w:rsid w:val="00E77AE7"/>
    <w:rsid w:val="00E801E9"/>
    <w:rsid w:val="00E80701"/>
    <w:rsid w:val="00E80804"/>
    <w:rsid w:val="00E808E5"/>
    <w:rsid w:val="00E80913"/>
    <w:rsid w:val="00E80A0E"/>
    <w:rsid w:val="00E80BB6"/>
    <w:rsid w:val="00E80C1C"/>
    <w:rsid w:val="00E810D2"/>
    <w:rsid w:val="00E8131B"/>
    <w:rsid w:val="00E8142F"/>
    <w:rsid w:val="00E8160A"/>
    <w:rsid w:val="00E8178F"/>
    <w:rsid w:val="00E817CF"/>
    <w:rsid w:val="00E8197A"/>
    <w:rsid w:val="00E81AA8"/>
    <w:rsid w:val="00E81AD3"/>
    <w:rsid w:val="00E81CD9"/>
    <w:rsid w:val="00E81E2B"/>
    <w:rsid w:val="00E820FF"/>
    <w:rsid w:val="00E82367"/>
    <w:rsid w:val="00E8245D"/>
    <w:rsid w:val="00E826E6"/>
    <w:rsid w:val="00E828A5"/>
    <w:rsid w:val="00E82C5B"/>
    <w:rsid w:val="00E82DB6"/>
    <w:rsid w:val="00E82DC7"/>
    <w:rsid w:val="00E831F4"/>
    <w:rsid w:val="00E832E4"/>
    <w:rsid w:val="00E8333D"/>
    <w:rsid w:val="00E83739"/>
    <w:rsid w:val="00E83A0A"/>
    <w:rsid w:val="00E83D21"/>
    <w:rsid w:val="00E84047"/>
    <w:rsid w:val="00E84219"/>
    <w:rsid w:val="00E848F9"/>
    <w:rsid w:val="00E84EA1"/>
    <w:rsid w:val="00E851A8"/>
    <w:rsid w:val="00E851B0"/>
    <w:rsid w:val="00E85580"/>
    <w:rsid w:val="00E855BA"/>
    <w:rsid w:val="00E85634"/>
    <w:rsid w:val="00E85886"/>
    <w:rsid w:val="00E8588C"/>
    <w:rsid w:val="00E85AA9"/>
    <w:rsid w:val="00E85AB4"/>
    <w:rsid w:val="00E85B03"/>
    <w:rsid w:val="00E85BA2"/>
    <w:rsid w:val="00E85CFA"/>
    <w:rsid w:val="00E85D7E"/>
    <w:rsid w:val="00E85ED8"/>
    <w:rsid w:val="00E869FA"/>
    <w:rsid w:val="00E86BB0"/>
    <w:rsid w:val="00E86D63"/>
    <w:rsid w:val="00E86FF1"/>
    <w:rsid w:val="00E872E3"/>
    <w:rsid w:val="00E874F0"/>
    <w:rsid w:val="00E87556"/>
    <w:rsid w:val="00E8774F"/>
    <w:rsid w:val="00E87963"/>
    <w:rsid w:val="00E87A42"/>
    <w:rsid w:val="00E9006D"/>
    <w:rsid w:val="00E901D6"/>
    <w:rsid w:val="00E90247"/>
    <w:rsid w:val="00E902A5"/>
    <w:rsid w:val="00E902C5"/>
    <w:rsid w:val="00E902FC"/>
    <w:rsid w:val="00E90566"/>
    <w:rsid w:val="00E9073B"/>
    <w:rsid w:val="00E909E6"/>
    <w:rsid w:val="00E90B3A"/>
    <w:rsid w:val="00E90B92"/>
    <w:rsid w:val="00E90BC6"/>
    <w:rsid w:val="00E90C99"/>
    <w:rsid w:val="00E90D17"/>
    <w:rsid w:val="00E90E67"/>
    <w:rsid w:val="00E9114D"/>
    <w:rsid w:val="00E91468"/>
    <w:rsid w:val="00E915A4"/>
    <w:rsid w:val="00E9189B"/>
    <w:rsid w:val="00E918D8"/>
    <w:rsid w:val="00E91970"/>
    <w:rsid w:val="00E91988"/>
    <w:rsid w:val="00E91ECF"/>
    <w:rsid w:val="00E920D3"/>
    <w:rsid w:val="00E924B5"/>
    <w:rsid w:val="00E9251E"/>
    <w:rsid w:val="00E9255E"/>
    <w:rsid w:val="00E925ED"/>
    <w:rsid w:val="00E92A9E"/>
    <w:rsid w:val="00E92B48"/>
    <w:rsid w:val="00E92F0E"/>
    <w:rsid w:val="00E92F91"/>
    <w:rsid w:val="00E92FA5"/>
    <w:rsid w:val="00E9328C"/>
    <w:rsid w:val="00E932AE"/>
    <w:rsid w:val="00E9333D"/>
    <w:rsid w:val="00E93437"/>
    <w:rsid w:val="00E93499"/>
    <w:rsid w:val="00E9355D"/>
    <w:rsid w:val="00E93781"/>
    <w:rsid w:val="00E93804"/>
    <w:rsid w:val="00E93B6F"/>
    <w:rsid w:val="00E93CDA"/>
    <w:rsid w:val="00E93F7C"/>
    <w:rsid w:val="00E93FA6"/>
    <w:rsid w:val="00E94193"/>
    <w:rsid w:val="00E9420C"/>
    <w:rsid w:val="00E9439C"/>
    <w:rsid w:val="00E94590"/>
    <w:rsid w:val="00E9505D"/>
    <w:rsid w:val="00E957BC"/>
    <w:rsid w:val="00E95895"/>
    <w:rsid w:val="00E95978"/>
    <w:rsid w:val="00E95CAA"/>
    <w:rsid w:val="00E95D68"/>
    <w:rsid w:val="00E95EF2"/>
    <w:rsid w:val="00E95F99"/>
    <w:rsid w:val="00E96003"/>
    <w:rsid w:val="00E9612F"/>
    <w:rsid w:val="00E9616A"/>
    <w:rsid w:val="00E963DF"/>
    <w:rsid w:val="00E96424"/>
    <w:rsid w:val="00E9663D"/>
    <w:rsid w:val="00E9667F"/>
    <w:rsid w:val="00E966BE"/>
    <w:rsid w:val="00E9696C"/>
    <w:rsid w:val="00E96C5B"/>
    <w:rsid w:val="00E96CBC"/>
    <w:rsid w:val="00E96F6A"/>
    <w:rsid w:val="00E971D6"/>
    <w:rsid w:val="00E9745D"/>
    <w:rsid w:val="00E974A9"/>
    <w:rsid w:val="00E9766F"/>
    <w:rsid w:val="00E97BC1"/>
    <w:rsid w:val="00E97C6F"/>
    <w:rsid w:val="00E97E60"/>
    <w:rsid w:val="00E97F4D"/>
    <w:rsid w:val="00EA05AD"/>
    <w:rsid w:val="00EA070D"/>
    <w:rsid w:val="00EA0881"/>
    <w:rsid w:val="00EA0F9C"/>
    <w:rsid w:val="00EA1084"/>
    <w:rsid w:val="00EA1177"/>
    <w:rsid w:val="00EA1349"/>
    <w:rsid w:val="00EA1365"/>
    <w:rsid w:val="00EA144A"/>
    <w:rsid w:val="00EA1887"/>
    <w:rsid w:val="00EA194E"/>
    <w:rsid w:val="00EA1A43"/>
    <w:rsid w:val="00EA1EED"/>
    <w:rsid w:val="00EA2685"/>
    <w:rsid w:val="00EA29E7"/>
    <w:rsid w:val="00EA29F2"/>
    <w:rsid w:val="00EA2A10"/>
    <w:rsid w:val="00EA2D29"/>
    <w:rsid w:val="00EA2DE6"/>
    <w:rsid w:val="00EA2E90"/>
    <w:rsid w:val="00EA32D8"/>
    <w:rsid w:val="00EA343A"/>
    <w:rsid w:val="00EA3974"/>
    <w:rsid w:val="00EA3AFE"/>
    <w:rsid w:val="00EA3FFB"/>
    <w:rsid w:val="00EA4028"/>
    <w:rsid w:val="00EA406C"/>
    <w:rsid w:val="00EA4609"/>
    <w:rsid w:val="00EA4ED3"/>
    <w:rsid w:val="00EA5022"/>
    <w:rsid w:val="00EA544C"/>
    <w:rsid w:val="00EA55C3"/>
    <w:rsid w:val="00EA55F7"/>
    <w:rsid w:val="00EA5672"/>
    <w:rsid w:val="00EA56E8"/>
    <w:rsid w:val="00EA571D"/>
    <w:rsid w:val="00EA57D3"/>
    <w:rsid w:val="00EA5809"/>
    <w:rsid w:val="00EA59A7"/>
    <w:rsid w:val="00EA5F1B"/>
    <w:rsid w:val="00EA6035"/>
    <w:rsid w:val="00EA6056"/>
    <w:rsid w:val="00EA60DC"/>
    <w:rsid w:val="00EA617C"/>
    <w:rsid w:val="00EA63BC"/>
    <w:rsid w:val="00EA6427"/>
    <w:rsid w:val="00EA65C3"/>
    <w:rsid w:val="00EA6657"/>
    <w:rsid w:val="00EA66B0"/>
    <w:rsid w:val="00EA679A"/>
    <w:rsid w:val="00EA6BFE"/>
    <w:rsid w:val="00EA6E1B"/>
    <w:rsid w:val="00EA71AB"/>
    <w:rsid w:val="00EA7439"/>
    <w:rsid w:val="00EA7482"/>
    <w:rsid w:val="00EA74AB"/>
    <w:rsid w:val="00EA75EB"/>
    <w:rsid w:val="00EA7770"/>
    <w:rsid w:val="00EA79D4"/>
    <w:rsid w:val="00EA7AB9"/>
    <w:rsid w:val="00EA7CA8"/>
    <w:rsid w:val="00EA7EFE"/>
    <w:rsid w:val="00EA7FAB"/>
    <w:rsid w:val="00EA7FE0"/>
    <w:rsid w:val="00EB00B5"/>
    <w:rsid w:val="00EB02A9"/>
    <w:rsid w:val="00EB03FF"/>
    <w:rsid w:val="00EB0499"/>
    <w:rsid w:val="00EB0562"/>
    <w:rsid w:val="00EB08A3"/>
    <w:rsid w:val="00EB0BC6"/>
    <w:rsid w:val="00EB0F55"/>
    <w:rsid w:val="00EB1225"/>
    <w:rsid w:val="00EB1288"/>
    <w:rsid w:val="00EB1584"/>
    <w:rsid w:val="00EB1708"/>
    <w:rsid w:val="00EB18C5"/>
    <w:rsid w:val="00EB192C"/>
    <w:rsid w:val="00EB1AF8"/>
    <w:rsid w:val="00EB259E"/>
    <w:rsid w:val="00EB2660"/>
    <w:rsid w:val="00EB2838"/>
    <w:rsid w:val="00EB2E1B"/>
    <w:rsid w:val="00EB30F0"/>
    <w:rsid w:val="00EB3327"/>
    <w:rsid w:val="00EB34D2"/>
    <w:rsid w:val="00EB3620"/>
    <w:rsid w:val="00EB37C1"/>
    <w:rsid w:val="00EB3894"/>
    <w:rsid w:val="00EB39AD"/>
    <w:rsid w:val="00EB39D7"/>
    <w:rsid w:val="00EB3A23"/>
    <w:rsid w:val="00EB3A5D"/>
    <w:rsid w:val="00EB3A64"/>
    <w:rsid w:val="00EB3C88"/>
    <w:rsid w:val="00EB3DA1"/>
    <w:rsid w:val="00EB3F2E"/>
    <w:rsid w:val="00EB4500"/>
    <w:rsid w:val="00EB45D5"/>
    <w:rsid w:val="00EB4865"/>
    <w:rsid w:val="00EB4927"/>
    <w:rsid w:val="00EB4A29"/>
    <w:rsid w:val="00EB4AEA"/>
    <w:rsid w:val="00EB5118"/>
    <w:rsid w:val="00EB53F1"/>
    <w:rsid w:val="00EB540F"/>
    <w:rsid w:val="00EB5754"/>
    <w:rsid w:val="00EB5856"/>
    <w:rsid w:val="00EB591F"/>
    <w:rsid w:val="00EB5EDE"/>
    <w:rsid w:val="00EB5F2F"/>
    <w:rsid w:val="00EB61D5"/>
    <w:rsid w:val="00EB6408"/>
    <w:rsid w:val="00EB65F3"/>
    <w:rsid w:val="00EB668D"/>
    <w:rsid w:val="00EB67DE"/>
    <w:rsid w:val="00EB6902"/>
    <w:rsid w:val="00EB6A34"/>
    <w:rsid w:val="00EB6BB2"/>
    <w:rsid w:val="00EB6CD3"/>
    <w:rsid w:val="00EB6F6D"/>
    <w:rsid w:val="00EB700F"/>
    <w:rsid w:val="00EB701C"/>
    <w:rsid w:val="00EB7301"/>
    <w:rsid w:val="00EB73EF"/>
    <w:rsid w:val="00EB75D2"/>
    <w:rsid w:val="00EB7753"/>
    <w:rsid w:val="00EB7B66"/>
    <w:rsid w:val="00EC007E"/>
    <w:rsid w:val="00EC0308"/>
    <w:rsid w:val="00EC0678"/>
    <w:rsid w:val="00EC06BE"/>
    <w:rsid w:val="00EC07AB"/>
    <w:rsid w:val="00EC07D7"/>
    <w:rsid w:val="00EC0DD5"/>
    <w:rsid w:val="00EC1209"/>
    <w:rsid w:val="00EC12EA"/>
    <w:rsid w:val="00EC14EE"/>
    <w:rsid w:val="00EC1517"/>
    <w:rsid w:val="00EC15FF"/>
    <w:rsid w:val="00EC175D"/>
    <w:rsid w:val="00EC17BF"/>
    <w:rsid w:val="00EC18C8"/>
    <w:rsid w:val="00EC1AC2"/>
    <w:rsid w:val="00EC1B4A"/>
    <w:rsid w:val="00EC1B85"/>
    <w:rsid w:val="00EC1C24"/>
    <w:rsid w:val="00EC1E2A"/>
    <w:rsid w:val="00EC1E58"/>
    <w:rsid w:val="00EC1F63"/>
    <w:rsid w:val="00EC1FBC"/>
    <w:rsid w:val="00EC2142"/>
    <w:rsid w:val="00EC2174"/>
    <w:rsid w:val="00EC2480"/>
    <w:rsid w:val="00EC2545"/>
    <w:rsid w:val="00EC2641"/>
    <w:rsid w:val="00EC292A"/>
    <w:rsid w:val="00EC2B42"/>
    <w:rsid w:val="00EC2D1E"/>
    <w:rsid w:val="00EC2E70"/>
    <w:rsid w:val="00EC3769"/>
    <w:rsid w:val="00EC3931"/>
    <w:rsid w:val="00EC3AB6"/>
    <w:rsid w:val="00EC3D03"/>
    <w:rsid w:val="00EC3D27"/>
    <w:rsid w:val="00EC3DD0"/>
    <w:rsid w:val="00EC3E80"/>
    <w:rsid w:val="00EC3ED7"/>
    <w:rsid w:val="00EC40E8"/>
    <w:rsid w:val="00EC43AF"/>
    <w:rsid w:val="00EC46F8"/>
    <w:rsid w:val="00EC475C"/>
    <w:rsid w:val="00EC4A19"/>
    <w:rsid w:val="00EC4C8D"/>
    <w:rsid w:val="00EC4EE1"/>
    <w:rsid w:val="00EC4F53"/>
    <w:rsid w:val="00EC5176"/>
    <w:rsid w:val="00EC53EE"/>
    <w:rsid w:val="00EC55D3"/>
    <w:rsid w:val="00EC57A4"/>
    <w:rsid w:val="00EC5883"/>
    <w:rsid w:val="00EC593E"/>
    <w:rsid w:val="00EC5952"/>
    <w:rsid w:val="00EC5B8D"/>
    <w:rsid w:val="00EC62E7"/>
    <w:rsid w:val="00EC6B16"/>
    <w:rsid w:val="00EC6BCF"/>
    <w:rsid w:val="00EC6F99"/>
    <w:rsid w:val="00EC714B"/>
    <w:rsid w:val="00EC7252"/>
    <w:rsid w:val="00EC7397"/>
    <w:rsid w:val="00EC7577"/>
    <w:rsid w:val="00EC76D9"/>
    <w:rsid w:val="00EC799A"/>
    <w:rsid w:val="00EC7BD7"/>
    <w:rsid w:val="00EC7C8D"/>
    <w:rsid w:val="00ED0255"/>
    <w:rsid w:val="00ED025E"/>
    <w:rsid w:val="00ED0607"/>
    <w:rsid w:val="00ED0677"/>
    <w:rsid w:val="00ED0AE8"/>
    <w:rsid w:val="00ED0E9C"/>
    <w:rsid w:val="00ED10A6"/>
    <w:rsid w:val="00ED115E"/>
    <w:rsid w:val="00ED115F"/>
    <w:rsid w:val="00ED14E5"/>
    <w:rsid w:val="00ED1762"/>
    <w:rsid w:val="00ED1974"/>
    <w:rsid w:val="00ED1ADC"/>
    <w:rsid w:val="00ED1C98"/>
    <w:rsid w:val="00ED2076"/>
    <w:rsid w:val="00ED2106"/>
    <w:rsid w:val="00ED22F3"/>
    <w:rsid w:val="00ED2576"/>
    <w:rsid w:val="00ED28BC"/>
    <w:rsid w:val="00ED2BA9"/>
    <w:rsid w:val="00ED2BB9"/>
    <w:rsid w:val="00ED2E78"/>
    <w:rsid w:val="00ED323A"/>
    <w:rsid w:val="00ED34F5"/>
    <w:rsid w:val="00ED3662"/>
    <w:rsid w:val="00ED39AC"/>
    <w:rsid w:val="00ED3A83"/>
    <w:rsid w:val="00ED3AD3"/>
    <w:rsid w:val="00ED3DD8"/>
    <w:rsid w:val="00ED4264"/>
    <w:rsid w:val="00ED43C1"/>
    <w:rsid w:val="00ED4499"/>
    <w:rsid w:val="00ED44A0"/>
    <w:rsid w:val="00ED45F6"/>
    <w:rsid w:val="00ED4CA0"/>
    <w:rsid w:val="00ED4E6D"/>
    <w:rsid w:val="00ED4EE8"/>
    <w:rsid w:val="00ED4F3A"/>
    <w:rsid w:val="00ED5073"/>
    <w:rsid w:val="00ED522A"/>
    <w:rsid w:val="00ED53AD"/>
    <w:rsid w:val="00ED548B"/>
    <w:rsid w:val="00ED55D6"/>
    <w:rsid w:val="00ED5616"/>
    <w:rsid w:val="00ED56F3"/>
    <w:rsid w:val="00ED5C96"/>
    <w:rsid w:val="00ED5DE5"/>
    <w:rsid w:val="00ED6259"/>
    <w:rsid w:val="00ED63AC"/>
    <w:rsid w:val="00ED6448"/>
    <w:rsid w:val="00ED64CD"/>
    <w:rsid w:val="00ED6618"/>
    <w:rsid w:val="00ED6878"/>
    <w:rsid w:val="00ED68E1"/>
    <w:rsid w:val="00ED691A"/>
    <w:rsid w:val="00ED6D21"/>
    <w:rsid w:val="00ED6D30"/>
    <w:rsid w:val="00ED6E9F"/>
    <w:rsid w:val="00ED6F86"/>
    <w:rsid w:val="00ED7182"/>
    <w:rsid w:val="00ED7298"/>
    <w:rsid w:val="00ED7558"/>
    <w:rsid w:val="00ED778B"/>
    <w:rsid w:val="00ED79C0"/>
    <w:rsid w:val="00ED7DC2"/>
    <w:rsid w:val="00ED7F65"/>
    <w:rsid w:val="00EE033E"/>
    <w:rsid w:val="00EE03FB"/>
    <w:rsid w:val="00EE0524"/>
    <w:rsid w:val="00EE081C"/>
    <w:rsid w:val="00EE0A20"/>
    <w:rsid w:val="00EE0A23"/>
    <w:rsid w:val="00EE0CC4"/>
    <w:rsid w:val="00EE0EF1"/>
    <w:rsid w:val="00EE0F5D"/>
    <w:rsid w:val="00EE0F6C"/>
    <w:rsid w:val="00EE1520"/>
    <w:rsid w:val="00EE1692"/>
    <w:rsid w:val="00EE1758"/>
    <w:rsid w:val="00EE17E8"/>
    <w:rsid w:val="00EE1AFB"/>
    <w:rsid w:val="00EE1CFC"/>
    <w:rsid w:val="00EE229C"/>
    <w:rsid w:val="00EE24CA"/>
    <w:rsid w:val="00EE24FE"/>
    <w:rsid w:val="00EE253E"/>
    <w:rsid w:val="00EE2855"/>
    <w:rsid w:val="00EE2A03"/>
    <w:rsid w:val="00EE2B84"/>
    <w:rsid w:val="00EE2B8F"/>
    <w:rsid w:val="00EE2BA4"/>
    <w:rsid w:val="00EE2CF1"/>
    <w:rsid w:val="00EE2DB2"/>
    <w:rsid w:val="00EE2E34"/>
    <w:rsid w:val="00EE2EDF"/>
    <w:rsid w:val="00EE2F10"/>
    <w:rsid w:val="00EE3105"/>
    <w:rsid w:val="00EE3256"/>
    <w:rsid w:val="00EE332C"/>
    <w:rsid w:val="00EE3531"/>
    <w:rsid w:val="00EE36EA"/>
    <w:rsid w:val="00EE3A21"/>
    <w:rsid w:val="00EE3B7E"/>
    <w:rsid w:val="00EE3BF1"/>
    <w:rsid w:val="00EE4073"/>
    <w:rsid w:val="00EE4379"/>
    <w:rsid w:val="00EE4531"/>
    <w:rsid w:val="00EE4588"/>
    <w:rsid w:val="00EE47C2"/>
    <w:rsid w:val="00EE4D02"/>
    <w:rsid w:val="00EE4DA7"/>
    <w:rsid w:val="00EE4E48"/>
    <w:rsid w:val="00EE4FB0"/>
    <w:rsid w:val="00EE50A1"/>
    <w:rsid w:val="00EE50F0"/>
    <w:rsid w:val="00EE5399"/>
    <w:rsid w:val="00EE5544"/>
    <w:rsid w:val="00EE567D"/>
    <w:rsid w:val="00EE5B9D"/>
    <w:rsid w:val="00EE5FE1"/>
    <w:rsid w:val="00EE62FD"/>
    <w:rsid w:val="00EE6447"/>
    <w:rsid w:val="00EE64E7"/>
    <w:rsid w:val="00EE68E8"/>
    <w:rsid w:val="00EE6D74"/>
    <w:rsid w:val="00EE6E1D"/>
    <w:rsid w:val="00EE745A"/>
    <w:rsid w:val="00EE76B7"/>
    <w:rsid w:val="00EE7BBD"/>
    <w:rsid w:val="00EE7C86"/>
    <w:rsid w:val="00EE7DBE"/>
    <w:rsid w:val="00EE7DD5"/>
    <w:rsid w:val="00EE7DFF"/>
    <w:rsid w:val="00EE7F75"/>
    <w:rsid w:val="00EF00E2"/>
    <w:rsid w:val="00EF0232"/>
    <w:rsid w:val="00EF0732"/>
    <w:rsid w:val="00EF0A9A"/>
    <w:rsid w:val="00EF0AE4"/>
    <w:rsid w:val="00EF1056"/>
    <w:rsid w:val="00EF10B3"/>
    <w:rsid w:val="00EF11C3"/>
    <w:rsid w:val="00EF1282"/>
    <w:rsid w:val="00EF13D2"/>
    <w:rsid w:val="00EF186B"/>
    <w:rsid w:val="00EF1C11"/>
    <w:rsid w:val="00EF22DE"/>
    <w:rsid w:val="00EF23B9"/>
    <w:rsid w:val="00EF24A7"/>
    <w:rsid w:val="00EF28BC"/>
    <w:rsid w:val="00EF28C9"/>
    <w:rsid w:val="00EF2E35"/>
    <w:rsid w:val="00EF30E6"/>
    <w:rsid w:val="00EF3109"/>
    <w:rsid w:val="00EF311D"/>
    <w:rsid w:val="00EF3289"/>
    <w:rsid w:val="00EF329F"/>
    <w:rsid w:val="00EF33FE"/>
    <w:rsid w:val="00EF3440"/>
    <w:rsid w:val="00EF3583"/>
    <w:rsid w:val="00EF36E2"/>
    <w:rsid w:val="00EF37A0"/>
    <w:rsid w:val="00EF3A66"/>
    <w:rsid w:val="00EF3BED"/>
    <w:rsid w:val="00EF410A"/>
    <w:rsid w:val="00EF42A6"/>
    <w:rsid w:val="00EF4483"/>
    <w:rsid w:val="00EF49B1"/>
    <w:rsid w:val="00EF4A1E"/>
    <w:rsid w:val="00EF5293"/>
    <w:rsid w:val="00EF53E9"/>
    <w:rsid w:val="00EF55B4"/>
    <w:rsid w:val="00EF570D"/>
    <w:rsid w:val="00EF5A2B"/>
    <w:rsid w:val="00EF6078"/>
    <w:rsid w:val="00EF6130"/>
    <w:rsid w:val="00EF641F"/>
    <w:rsid w:val="00EF6664"/>
    <w:rsid w:val="00EF67FA"/>
    <w:rsid w:val="00EF6A61"/>
    <w:rsid w:val="00EF6C46"/>
    <w:rsid w:val="00EF6D06"/>
    <w:rsid w:val="00EF6DDB"/>
    <w:rsid w:val="00EF6E07"/>
    <w:rsid w:val="00EF7089"/>
    <w:rsid w:val="00EF713B"/>
    <w:rsid w:val="00EF723B"/>
    <w:rsid w:val="00EF7267"/>
    <w:rsid w:val="00EF7325"/>
    <w:rsid w:val="00EF73ED"/>
    <w:rsid w:val="00EF741A"/>
    <w:rsid w:val="00EF76B0"/>
    <w:rsid w:val="00EF778E"/>
    <w:rsid w:val="00EF784F"/>
    <w:rsid w:val="00EF7975"/>
    <w:rsid w:val="00EF7A21"/>
    <w:rsid w:val="00EF7BF5"/>
    <w:rsid w:val="00F000AF"/>
    <w:rsid w:val="00F00152"/>
    <w:rsid w:val="00F00598"/>
    <w:rsid w:val="00F0075A"/>
    <w:rsid w:val="00F007E1"/>
    <w:rsid w:val="00F00838"/>
    <w:rsid w:val="00F00942"/>
    <w:rsid w:val="00F009C3"/>
    <w:rsid w:val="00F00A71"/>
    <w:rsid w:val="00F0128A"/>
    <w:rsid w:val="00F0163C"/>
    <w:rsid w:val="00F0175D"/>
    <w:rsid w:val="00F019B4"/>
    <w:rsid w:val="00F01DC2"/>
    <w:rsid w:val="00F01ECA"/>
    <w:rsid w:val="00F01F8D"/>
    <w:rsid w:val="00F02082"/>
    <w:rsid w:val="00F02270"/>
    <w:rsid w:val="00F02403"/>
    <w:rsid w:val="00F02471"/>
    <w:rsid w:val="00F0254A"/>
    <w:rsid w:val="00F025F5"/>
    <w:rsid w:val="00F026EF"/>
    <w:rsid w:val="00F0295E"/>
    <w:rsid w:val="00F029E4"/>
    <w:rsid w:val="00F02ADE"/>
    <w:rsid w:val="00F02B0F"/>
    <w:rsid w:val="00F02BDB"/>
    <w:rsid w:val="00F030CD"/>
    <w:rsid w:val="00F030DB"/>
    <w:rsid w:val="00F0322D"/>
    <w:rsid w:val="00F03262"/>
    <w:rsid w:val="00F0328B"/>
    <w:rsid w:val="00F034A6"/>
    <w:rsid w:val="00F034EE"/>
    <w:rsid w:val="00F03518"/>
    <w:rsid w:val="00F0384E"/>
    <w:rsid w:val="00F03C48"/>
    <w:rsid w:val="00F03EF1"/>
    <w:rsid w:val="00F04208"/>
    <w:rsid w:val="00F0453A"/>
    <w:rsid w:val="00F04570"/>
    <w:rsid w:val="00F046B1"/>
    <w:rsid w:val="00F0477A"/>
    <w:rsid w:val="00F04D59"/>
    <w:rsid w:val="00F04D7C"/>
    <w:rsid w:val="00F050C5"/>
    <w:rsid w:val="00F0560D"/>
    <w:rsid w:val="00F0566C"/>
    <w:rsid w:val="00F0569F"/>
    <w:rsid w:val="00F057CF"/>
    <w:rsid w:val="00F0586A"/>
    <w:rsid w:val="00F0591B"/>
    <w:rsid w:val="00F05A36"/>
    <w:rsid w:val="00F05A66"/>
    <w:rsid w:val="00F060C6"/>
    <w:rsid w:val="00F063DE"/>
    <w:rsid w:val="00F0648E"/>
    <w:rsid w:val="00F0659D"/>
    <w:rsid w:val="00F06C53"/>
    <w:rsid w:val="00F06CC5"/>
    <w:rsid w:val="00F06DFB"/>
    <w:rsid w:val="00F06F0D"/>
    <w:rsid w:val="00F06F19"/>
    <w:rsid w:val="00F0722C"/>
    <w:rsid w:val="00F0749B"/>
    <w:rsid w:val="00F074C3"/>
    <w:rsid w:val="00F0774B"/>
    <w:rsid w:val="00F07837"/>
    <w:rsid w:val="00F0793D"/>
    <w:rsid w:val="00F079E6"/>
    <w:rsid w:val="00F07B37"/>
    <w:rsid w:val="00F07BB8"/>
    <w:rsid w:val="00F07BD6"/>
    <w:rsid w:val="00F07D5D"/>
    <w:rsid w:val="00F07D8A"/>
    <w:rsid w:val="00F07ED1"/>
    <w:rsid w:val="00F10455"/>
    <w:rsid w:val="00F10679"/>
    <w:rsid w:val="00F1086B"/>
    <w:rsid w:val="00F10B80"/>
    <w:rsid w:val="00F10DC4"/>
    <w:rsid w:val="00F111E9"/>
    <w:rsid w:val="00F1122B"/>
    <w:rsid w:val="00F11346"/>
    <w:rsid w:val="00F1135C"/>
    <w:rsid w:val="00F113AF"/>
    <w:rsid w:val="00F11A5E"/>
    <w:rsid w:val="00F11CDA"/>
    <w:rsid w:val="00F11E5C"/>
    <w:rsid w:val="00F12022"/>
    <w:rsid w:val="00F120BA"/>
    <w:rsid w:val="00F120CF"/>
    <w:rsid w:val="00F12638"/>
    <w:rsid w:val="00F12891"/>
    <w:rsid w:val="00F12A8E"/>
    <w:rsid w:val="00F12A91"/>
    <w:rsid w:val="00F12BD6"/>
    <w:rsid w:val="00F12C26"/>
    <w:rsid w:val="00F12DB5"/>
    <w:rsid w:val="00F12F67"/>
    <w:rsid w:val="00F13301"/>
    <w:rsid w:val="00F133BC"/>
    <w:rsid w:val="00F1380B"/>
    <w:rsid w:val="00F13895"/>
    <w:rsid w:val="00F138E9"/>
    <w:rsid w:val="00F13A19"/>
    <w:rsid w:val="00F13DA4"/>
    <w:rsid w:val="00F13F76"/>
    <w:rsid w:val="00F1402E"/>
    <w:rsid w:val="00F14067"/>
    <w:rsid w:val="00F142C1"/>
    <w:rsid w:val="00F14314"/>
    <w:rsid w:val="00F1434B"/>
    <w:rsid w:val="00F143DE"/>
    <w:rsid w:val="00F14B51"/>
    <w:rsid w:val="00F152A8"/>
    <w:rsid w:val="00F15578"/>
    <w:rsid w:val="00F15613"/>
    <w:rsid w:val="00F156E8"/>
    <w:rsid w:val="00F1572E"/>
    <w:rsid w:val="00F157DA"/>
    <w:rsid w:val="00F1580E"/>
    <w:rsid w:val="00F159E0"/>
    <w:rsid w:val="00F15B29"/>
    <w:rsid w:val="00F165A3"/>
    <w:rsid w:val="00F166F7"/>
    <w:rsid w:val="00F168FF"/>
    <w:rsid w:val="00F16AF9"/>
    <w:rsid w:val="00F16D56"/>
    <w:rsid w:val="00F16FE9"/>
    <w:rsid w:val="00F1726F"/>
    <w:rsid w:val="00F176BD"/>
    <w:rsid w:val="00F177BC"/>
    <w:rsid w:val="00F177C3"/>
    <w:rsid w:val="00F1787C"/>
    <w:rsid w:val="00F179E1"/>
    <w:rsid w:val="00F17A0A"/>
    <w:rsid w:val="00F17A5C"/>
    <w:rsid w:val="00F17D06"/>
    <w:rsid w:val="00F17DC4"/>
    <w:rsid w:val="00F17F81"/>
    <w:rsid w:val="00F200BE"/>
    <w:rsid w:val="00F20238"/>
    <w:rsid w:val="00F202A1"/>
    <w:rsid w:val="00F20483"/>
    <w:rsid w:val="00F205E5"/>
    <w:rsid w:val="00F2079B"/>
    <w:rsid w:val="00F2080A"/>
    <w:rsid w:val="00F20AD9"/>
    <w:rsid w:val="00F20C63"/>
    <w:rsid w:val="00F20CDF"/>
    <w:rsid w:val="00F20D59"/>
    <w:rsid w:val="00F20F6A"/>
    <w:rsid w:val="00F20FA9"/>
    <w:rsid w:val="00F20FF3"/>
    <w:rsid w:val="00F2101A"/>
    <w:rsid w:val="00F2138D"/>
    <w:rsid w:val="00F21521"/>
    <w:rsid w:val="00F217CF"/>
    <w:rsid w:val="00F2192D"/>
    <w:rsid w:val="00F2198C"/>
    <w:rsid w:val="00F21FEF"/>
    <w:rsid w:val="00F224A2"/>
    <w:rsid w:val="00F224ED"/>
    <w:rsid w:val="00F2256D"/>
    <w:rsid w:val="00F22B9B"/>
    <w:rsid w:val="00F22BDB"/>
    <w:rsid w:val="00F22CC0"/>
    <w:rsid w:val="00F22E87"/>
    <w:rsid w:val="00F23136"/>
    <w:rsid w:val="00F2322B"/>
    <w:rsid w:val="00F232A9"/>
    <w:rsid w:val="00F23624"/>
    <w:rsid w:val="00F23888"/>
    <w:rsid w:val="00F23C61"/>
    <w:rsid w:val="00F23CB0"/>
    <w:rsid w:val="00F23D60"/>
    <w:rsid w:val="00F23EB8"/>
    <w:rsid w:val="00F24269"/>
    <w:rsid w:val="00F2435F"/>
    <w:rsid w:val="00F24504"/>
    <w:rsid w:val="00F24659"/>
    <w:rsid w:val="00F2469F"/>
    <w:rsid w:val="00F24E70"/>
    <w:rsid w:val="00F25549"/>
    <w:rsid w:val="00F2566A"/>
    <w:rsid w:val="00F2573C"/>
    <w:rsid w:val="00F257F3"/>
    <w:rsid w:val="00F25890"/>
    <w:rsid w:val="00F25D56"/>
    <w:rsid w:val="00F2610F"/>
    <w:rsid w:val="00F26465"/>
    <w:rsid w:val="00F26467"/>
    <w:rsid w:val="00F265B7"/>
    <w:rsid w:val="00F26600"/>
    <w:rsid w:val="00F26625"/>
    <w:rsid w:val="00F26652"/>
    <w:rsid w:val="00F26BC3"/>
    <w:rsid w:val="00F26E98"/>
    <w:rsid w:val="00F270DF"/>
    <w:rsid w:val="00F27168"/>
    <w:rsid w:val="00F27240"/>
    <w:rsid w:val="00F2739A"/>
    <w:rsid w:val="00F273D1"/>
    <w:rsid w:val="00F27547"/>
    <w:rsid w:val="00F27673"/>
    <w:rsid w:val="00F277B7"/>
    <w:rsid w:val="00F2792D"/>
    <w:rsid w:val="00F279B4"/>
    <w:rsid w:val="00F27AA6"/>
    <w:rsid w:val="00F27B2C"/>
    <w:rsid w:val="00F27C90"/>
    <w:rsid w:val="00F27E5E"/>
    <w:rsid w:val="00F27EE4"/>
    <w:rsid w:val="00F27F04"/>
    <w:rsid w:val="00F3058D"/>
    <w:rsid w:val="00F305BC"/>
    <w:rsid w:val="00F307C6"/>
    <w:rsid w:val="00F30C35"/>
    <w:rsid w:val="00F30E68"/>
    <w:rsid w:val="00F3106E"/>
    <w:rsid w:val="00F311F8"/>
    <w:rsid w:val="00F3126E"/>
    <w:rsid w:val="00F3134F"/>
    <w:rsid w:val="00F314ED"/>
    <w:rsid w:val="00F3162F"/>
    <w:rsid w:val="00F318DE"/>
    <w:rsid w:val="00F31A12"/>
    <w:rsid w:val="00F31AC9"/>
    <w:rsid w:val="00F31F79"/>
    <w:rsid w:val="00F32015"/>
    <w:rsid w:val="00F320AA"/>
    <w:rsid w:val="00F32117"/>
    <w:rsid w:val="00F322B1"/>
    <w:rsid w:val="00F32373"/>
    <w:rsid w:val="00F324A0"/>
    <w:rsid w:val="00F32585"/>
    <w:rsid w:val="00F3286E"/>
    <w:rsid w:val="00F328E3"/>
    <w:rsid w:val="00F32B4D"/>
    <w:rsid w:val="00F32D25"/>
    <w:rsid w:val="00F32D64"/>
    <w:rsid w:val="00F32F49"/>
    <w:rsid w:val="00F32FD2"/>
    <w:rsid w:val="00F33023"/>
    <w:rsid w:val="00F33364"/>
    <w:rsid w:val="00F33418"/>
    <w:rsid w:val="00F33462"/>
    <w:rsid w:val="00F33484"/>
    <w:rsid w:val="00F33633"/>
    <w:rsid w:val="00F3374A"/>
    <w:rsid w:val="00F3388B"/>
    <w:rsid w:val="00F33B0A"/>
    <w:rsid w:val="00F33D1C"/>
    <w:rsid w:val="00F33F8E"/>
    <w:rsid w:val="00F33F9F"/>
    <w:rsid w:val="00F3407C"/>
    <w:rsid w:val="00F340C5"/>
    <w:rsid w:val="00F342DF"/>
    <w:rsid w:val="00F34614"/>
    <w:rsid w:val="00F34712"/>
    <w:rsid w:val="00F347A5"/>
    <w:rsid w:val="00F347CB"/>
    <w:rsid w:val="00F347D5"/>
    <w:rsid w:val="00F34A6F"/>
    <w:rsid w:val="00F34CEA"/>
    <w:rsid w:val="00F34D43"/>
    <w:rsid w:val="00F34D96"/>
    <w:rsid w:val="00F34E37"/>
    <w:rsid w:val="00F34F9A"/>
    <w:rsid w:val="00F35112"/>
    <w:rsid w:val="00F3517C"/>
    <w:rsid w:val="00F351B9"/>
    <w:rsid w:val="00F352CA"/>
    <w:rsid w:val="00F353F0"/>
    <w:rsid w:val="00F354B9"/>
    <w:rsid w:val="00F355B0"/>
    <w:rsid w:val="00F356B2"/>
    <w:rsid w:val="00F3571B"/>
    <w:rsid w:val="00F35911"/>
    <w:rsid w:val="00F35BF9"/>
    <w:rsid w:val="00F35C6E"/>
    <w:rsid w:val="00F35E7C"/>
    <w:rsid w:val="00F35ED2"/>
    <w:rsid w:val="00F360C6"/>
    <w:rsid w:val="00F3649B"/>
    <w:rsid w:val="00F364D3"/>
    <w:rsid w:val="00F36630"/>
    <w:rsid w:val="00F3669B"/>
    <w:rsid w:val="00F368BB"/>
    <w:rsid w:val="00F36B07"/>
    <w:rsid w:val="00F36CAC"/>
    <w:rsid w:val="00F36DEF"/>
    <w:rsid w:val="00F36E49"/>
    <w:rsid w:val="00F36F50"/>
    <w:rsid w:val="00F36F7A"/>
    <w:rsid w:val="00F36FB1"/>
    <w:rsid w:val="00F379A3"/>
    <w:rsid w:val="00F379BB"/>
    <w:rsid w:val="00F37AE9"/>
    <w:rsid w:val="00F37B2B"/>
    <w:rsid w:val="00F37CB6"/>
    <w:rsid w:val="00F37EFA"/>
    <w:rsid w:val="00F4007A"/>
    <w:rsid w:val="00F400CA"/>
    <w:rsid w:val="00F401FD"/>
    <w:rsid w:val="00F40219"/>
    <w:rsid w:val="00F40256"/>
    <w:rsid w:val="00F404FE"/>
    <w:rsid w:val="00F4079D"/>
    <w:rsid w:val="00F4093D"/>
    <w:rsid w:val="00F409AD"/>
    <w:rsid w:val="00F409B0"/>
    <w:rsid w:val="00F409F6"/>
    <w:rsid w:val="00F40A0C"/>
    <w:rsid w:val="00F40B3B"/>
    <w:rsid w:val="00F40C72"/>
    <w:rsid w:val="00F40D83"/>
    <w:rsid w:val="00F40EDB"/>
    <w:rsid w:val="00F41045"/>
    <w:rsid w:val="00F4112E"/>
    <w:rsid w:val="00F413C2"/>
    <w:rsid w:val="00F41426"/>
    <w:rsid w:val="00F4174F"/>
    <w:rsid w:val="00F41809"/>
    <w:rsid w:val="00F4199A"/>
    <w:rsid w:val="00F41FBB"/>
    <w:rsid w:val="00F42237"/>
    <w:rsid w:val="00F422ED"/>
    <w:rsid w:val="00F42337"/>
    <w:rsid w:val="00F423D3"/>
    <w:rsid w:val="00F42689"/>
    <w:rsid w:val="00F42FA6"/>
    <w:rsid w:val="00F430D6"/>
    <w:rsid w:val="00F431C9"/>
    <w:rsid w:val="00F4334F"/>
    <w:rsid w:val="00F43478"/>
    <w:rsid w:val="00F435D2"/>
    <w:rsid w:val="00F43680"/>
    <w:rsid w:val="00F43B1B"/>
    <w:rsid w:val="00F43C7D"/>
    <w:rsid w:val="00F43E6F"/>
    <w:rsid w:val="00F44037"/>
    <w:rsid w:val="00F44048"/>
    <w:rsid w:val="00F4424E"/>
    <w:rsid w:val="00F44441"/>
    <w:rsid w:val="00F447BD"/>
    <w:rsid w:val="00F44D60"/>
    <w:rsid w:val="00F4513D"/>
    <w:rsid w:val="00F45280"/>
    <w:rsid w:val="00F4541B"/>
    <w:rsid w:val="00F4562B"/>
    <w:rsid w:val="00F45A8A"/>
    <w:rsid w:val="00F45A97"/>
    <w:rsid w:val="00F45B2E"/>
    <w:rsid w:val="00F45CA9"/>
    <w:rsid w:val="00F460D4"/>
    <w:rsid w:val="00F46135"/>
    <w:rsid w:val="00F46239"/>
    <w:rsid w:val="00F46756"/>
    <w:rsid w:val="00F467E0"/>
    <w:rsid w:val="00F46A44"/>
    <w:rsid w:val="00F46C20"/>
    <w:rsid w:val="00F46CC7"/>
    <w:rsid w:val="00F471A0"/>
    <w:rsid w:val="00F471DB"/>
    <w:rsid w:val="00F471DE"/>
    <w:rsid w:val="00F47275"/>
    <w:rsid w:val="00F47510"/>
    <w:rsid w:val="00F4760D"/>
    <w:rsid w:val="00F47661"/>
    <w:rsid w:val="00F4773F"/>
    <w:rsid w:val="00F47798"/>
    <w:rsid w:val="00F477A4"/>
    <w:rsid w:val="00F479B1"/>
    <w:rsid w:val="00F479F3"/>
    <w:rsid w:val="00F47B9A"/>
    <w:rsid w:val="00F47D15"/>
    <w:rsid w:val="00F47FEF"/>
    <w:rsid w:val="00F500AC"/>
    <w:rsid w:val="00F50103"/>
    <w:rsid w:val="00F502DC"/>
    <w:rsid w:val="00F5057E"/>
    <w:rsid w:val="00F506A0"/>
    <w:rsid w:val="00F50782"/>
    <w:rsid w:val="00F507E9"/>
    <w:rsid w:val="00F508DE"/>
    <w:rsid w:val="00F5092E"/>
    <w:rsid w:val="00F509F0"/>
    <w:rsid w:val="00F50A8A"/>
    <w:rsid w:val="00F50D36"/>
    <w:rsid w:val="00F50D64"/>
    <w:rsid w:val="00F50ECC"/>
    <w:rsid w:val="00F50FB0"/>
    <w:rsid w:val="00F51005"/>
    <w:rsid w:val="00F5130D"/>
    <w:rsid w:val="00F51317"/>
    <w:rsid w:val="00F519D9"/>
    <w:rsid w:val="00F51C1B"/>
    <w:rsid w:val="00F51C55"/>
    <w:rsid w:val="00F51C8D"/>
    <w:rsid w:val="00F52220"/>
    <w:rsid w:val="00F522CC"/>
    <w:rsid w:val="00F524EF"/>
    <w:rsid w:val="00F526B2"/>
    <w:rsid w:val="00F52741"/>
    <w:rsid w:val="00F52E2A"/>
    <w:rsid w:val="00F52E5B"/>
    <w:rsid w:val="00F52EE2"/>
    <w:rsid w:val="00F53001"/>
    <w:rsid w:val="00F5336E"/>
    <w:rsid w:val="00F533F9"/>
    <w:rsid w:val="00F535C1"/>
    <w:rsid w:val="00F537EB"/>
    <w:rsid w:val="00F53822"/>
    <w:rsid w:val="00F53870"/>
    <w:rsid w:val="00F538F8"/>
    <w:rsid w:val="00F5399A"/>
    <w:rsid w:val="00F539C4"/>
    <w:rsid w:val="00F53CBE"/>
    <w:rsid w:val="00F53D46"/>
    <w:rsid w:val="00F5404A"/>
    <w:rsid w:val="00F54085"/>
    <w:rsid w:val="00F540B8"/>
    <w:rsid w:val="00F541D9"/>
    <w:rsid w:val="00F5447F"/>
    <w:rsid w:val="00F544DC"/>
    <w:rsid w:val="00F545CA"/>
    <w:rsid w:val="00F545F3"/>
    <w:rsid w:val="00F54744"/>
    <w:rsid w:val="00F5486C"/>
    <w:rsid w:val="00F54895"/>
    <w:rsid w:val="00F54BBB"/>
    <w:rsid w:val="00F54DCB"/>
    <w:rsid w:val="00F54DD8"/>
    <w:rsid w:val="00F54E89"/>
    <w:rsid w:val="00F55202"/>
    <w:rsid w:val="00F555EA"/>
    <w:rsid w:val="00F5569E"/>
    <w:rsid w:val="00F55725"/>
    <w:rsid w:val="00F55975"/>
    <w:rsid w:val="00F55BFB"/>
    <w:rsid w:val="00F55C03"/>
    <w:rsid w:val="00F55D51"/>
    <w:rsid w:val="00F561E9"/>
    <w:rsid w:val="00F562D8"/>
    <w:rsid w:val="00F5690E"/>
    <w:rsid w:val="00F56C8E"/>
    <w:rsid w:val="00F56E33"/>
    <w:rsid w:val="00F56E37"/>
    <w:rsid w:val="00F56E71"/>
    <w:rsid w:val="00F56FF8"/>
    <w:rsid w:val="00F571BA"/>
    <w:rsid w:val="00F5732A"/>
    <w:rsid w:val="00F57550"/>
    <w:rsid w:val="00F577EB"/>
    <w:rsid w:val="00F578CC"/>
    <w:rsid w:val="00F602DE"/>
    <w:rsid w:val="00F608A2"/>
    <w:rsid w:val="00F60948"/>
    <w:rsid w:val="00F6096C"/>
    <w:rsid w:val="00F60D5D"/>
    <w:rsid w:val="00F60D63"/>
    <w:rsid w:val="00F60F69"/>
    <w:rsid w:val="00F6105D"/>
    <w:rsid w:val="00F611CE"/>
    <w:rsid w:val="00F613D2"/>
    <w:rsid w:val="00F6156E"/>
    <w:rsid w:val="00F615F9"/>
    <w:rsid w:val="00F617DE"/>
    <w:rsid w:val="00F6183B"/>
    <w:rsid w:val="00F61A4A"/>
    <w:rsid w:val="00F61F1B"/>
    <w:rsid w:val="00F61FA0"/>
    <w:rsid w:val="00F621E9"/>
    <w:rsid w:val="00F6223A"/>
    <w:rsid w:val="00F62377"/>
    <w:rsid w:val="00F624C2"/>
    <w:rsid w:val="00F6284D"/>
    <w:rsid w:val="00F6289C"/>
    <w:rsid w:val="00F629D0"/>
    <w:rsid w:val="00F62A66"/>
    <w:rsid w:val="00F63157"/>
    <w:rsid w:val="00F632F4"/>
    <w:rsid w:val="00F63496"/>
    <w:rsid w:val="00F634D1"/>
    <w:rsid w:val="00F635B8"/>
    <w:rsid w:val="00F636F0"/>
    <w:rsid w:val="00F639DC"/>
    <w:rsid w:val="00F639DF"/>
    <w:rsid w:val="00F63C35"/>
    <w:rsid w:val="00F63E7E"/>
    <w:rsid w:val="00F640AF"/>
    <w:rsid w:val="00F64426"/>
    <w:rsid w:val="00F644E1"/>
    <w:rsid w:val="00F6481B"/>
    <w:rsid w:val="00F64F0C"/>
    <w:rsid w:val="00F64F3A"/>
    <w:rsid w:val="00F64F90"/>
    <w:rsid w:val="00F65271"/>
    <w:rsid w:val="00F65738"/>
    <w:rsid w:val="00F6589C"/>
    <w:rsid w:val="00F659D6"/>
    <w:rsid w:val="00F65D00"/>
    <w:rsid w:val="00F66027"/>
    <w:rsid w:val="00F661A5"/>
    <w:rsid w:val="00F661D2"/>
    <w:rsid w:val="00F663C5"/>
    <w:rsid w:val="00F664BC"/>
    <w:rsid w:val="00F66605"/>
    <w:rsid w:val="00F6694D"/>
    <w:rsid w:val="00F66C4A"/>
    <w:rsid w:val="00F66D0D"/>
    <w:rsid w:val="00F67289"/>
    <w:rsid w:val="00F673F1"/>
    <w:rsid w:val="00F67412"/>
    <w:rsid w:val="00F67570"/>
    <w:rsid w:val="00F6779F"/>
    <w:rsid w:val="00F677FD"/>
    <w:rsid w:val="00F67843"/>
    <w:rsid w:val="00F67E5C"/>
    <w:rsid w:val="00F67E91"/>
    <w:rsid w:val="00F67EF3"/>
    <w:rsid w:val="00F7076D"/>
    <w:rsid w:val="00F70921"/>
    <w:rsid w:val="00F7097F"/>
    <w:rsid w:val="00F70A73"/>
    <w:rsid w:val="00F70D1B"/>
    <w:rsid w:val="00F70E46"/>
    <w:rsid w:val="00F70E77"/>
    <w:rsid w:val="00F713CE"/>
    <w:rsid w:val="00F719AA"/>
    <w:rsid w:val="00F71EEC"/>
    <w:rsid w:val="00F72004"/>
    <w:rsid w:val="00F720B0"/>
    <w:rsid w:val="00F72148"/>
    <w:rsid w:val="00F7232B"/>
    <w:rsid w:val="00F7252D"/>
    <w:rsid w:val="00F7258F"/>
    <w:rsid w:val="00F72956"/>
    <w:rsid w:val="00F72D73"/>
    <w:rsid w:val="00F72DF5"/>
    <w:rsid w:val="00F7303E"/>
    <w:rsid w:val="00F735E9"/>
    <w:rsid w:val="00F73927"/>
    <w:rsid w:val="00F73A10"/>
    <w:rsid w:val="00F73AEB"/>
    <w:rsid w:val="00F73D8E"/>
    <w:rsid w:val="00F7417F"/>
    <w:rsid w:val="00F74354"/>
    <w:rsid w:val="00F743A7"/>
    <w:rsid w:val="00F74609"/>
    <w:rsid w:val="00F748F2"/>
    <w:rsid w:val="00F7490B"/>
    <w:rsid w:val="00F749AF"/>
    <w:rsid w:val="00F74AF3"/>
    <w:rsid w:val="00F74CEE"/>
    <w:rsid w:val="00F74D22"/>
    <w:rsid w:val="00F74ED9"/>
    <w:rsid w:val="00F7500C"/>
    <w:rsid w:val="00F750F9"/>
    <w:rsid w:val="00F75164"/>
    <w:rsid w:val="00F752C9"/>
    <w:rsid w:val="00F75359"/>
    <w:rsid w:val="00F75565"/>
    <w:rsid w:val="00F75857"/>
    <w:rsid w:val="00F75B13"/>
    <w:rsid w:val="00F75CE1"/>
    <w:rsid w:val="00F75DFD"/>
    <w:rsid w:val="00F75EE8"/>
    <w:rsid w:val="00F75EEB"/>
    <w:rsid w:val="00F75F24"/>
    <w:rsid w:val="00F76447"/>
    <w:rsid w:val="00F7664E"/>
    <w:rsid w:val="00F76660"/>
    <w:rsid w:val="00F766C7"/>
    <w:rsid w:val="00F76856"/>
    <w:rsid w:val="00F76B9E"/>
    <w:rsid w:val="00F76F10"/>
    <w:rsid w:val="00F76F71"/>
    <w:rsid w:val="00F7716A"/>
    <w:rsid w:val="00F772F6"/>
    <w:rsid w:val="00F7747E"/>
    <w:rsid w:val="00F77517"/>
    <w:rsid w:val="00F777DB"/>
    <w:rsid w:val="00F778C2"/>
    <w:rsid w:val="00F77B18"/>
    <w:rsid w:val="00F77D0A"/>
    <w:rsid w:val="00F77E95"/>
    <w:rsid w:val="00F80065"/>
    <w:rsid w:val="00F8009B"/>
    <w:rsid w:val="00F800C6"/>
    <w:rsid w:val="00F801BE"/>
    <w:rsid w:val="00F802F4"/>
    <w:rsid w:val="00F80300"/>
    <w:rsid w:val="00F8033B"/>
    <w:rsid w:val="00F803AC"/>
    <w:rsid w:val="00F805EF"/>
    <w:rsid w:val="00F805FF"/>
    <w:rsid w:val="00F807A5"/>
    <w:rsid w:val="00F807C9"/>
    <w:rsid w:val="00F80922"/>
    <w:rsid w:val="00F809B9"/>
    <w:rsid w:val="00F80CFA"/>
    <w:rsid w:val="00F80DAA"/>
    <w:rsid w:val="00F81092"/>
    <w:rsid w:val="00F8115F"/>
    <w:rsid w:val="00F81374"/>
    <w:rsid w:val="00F815BA"/>
    <w:rsid w:val="00F81A6F"/>
    <w:rsid w:val="00F81B66"/>
    <w:rsid w:val="00F81CAE"/>
    <w:rsid w:val="00F81E4E"/>
    <w:rsid w:val="00F82069"/>
    <w:rsid w:val="00F825E8"/>
    <w:rsid w:val="00F826C7"/>
    <w:rsid w:val="00F82B6D"/>
    <w:rsid w:val="00F82B8D"/>
    <w:rsid w:val="00F82BE7"/>
    <w:rsid w:val="00F82D23"/>
    <w:rsid w:val="00F82D35"/>
    <w:rsid w:val="00F82DEE"/>
    <w:rsid w:val="00F82E88"/>
    <w:rsid w:val="00F83168"/>
    <w:rsid w:val="00F831FD"/>
    <w:rsid w:val="00F83321"/>
    <w:rsid w:val="00F83431"/>
    <w:rsid w:val="00F83436"/>
    <w:rsid w:val="00F83637"/>
    <w:rsid w:val="00F83B53"/>
    <w:rsid w:val="00F83CA7"/>
    <w:rsid w:val="00F83CF2"/>
    <w:rsid w:val="00F83D4B"/>
    <w:rsid w:val="00F83E0F"/>
    <w:rsid w:val="00F83EFD"/>
    <w:rsid w:val="00F83F61"/>
    <w:rsid w:val="00F83F6F"/>
    <w:rsid w:val="00F84319"/>
    <w:rsid w:val="00F84325"/>
    <w:rsid w:val="00F8444C"/>
    <w:rsid w:val="00F844F9"/>
    <w:rsid w:val="00F84614"/>
    <w:rsid w:val="00F84AF5"/>
    <w:rsid w:val="00F84BC9"/>
    <w:rsid w:val="00F84D6D"/>
    <w:rsid w:val="00F84E6D"/>
    <w:rsid w:val="00F84ED2"/>
    <w:rsid w:val="00F8520F"/>
    <w:rsid w:val="00F853F5"/>
    <w:rsid w:val="00F85B13"/>
    <w:rsid w:val="00F85B45"/>
    <w:rsid w:val="00F85CFA"/>
    <w:rsid w:val="00F85EC5"/>
    <w:rsid w:val="00F85F94"/>
    <w:rsid w:val="00F85FD5"/>
    <w:rsid w:val="00F8606C"/>
    <w:rsid w:val="00F86132"/>
    <w:rsid w:val="00F8621F"/>
    <w:rsid w:val="00F86469"/>
    <w:rsid w:val="00F86618"/>
    <w:rsid w:val="00F866C0"/>
    <w:rsid w:val="00F86888"/>
    <w:rsid w:val="00F8696F"/>
    <w:rsid w:val="00F86A3B"/>
    <w:rsid w:val="00F86C39"/>
    <w:rsid w:val="00F86D4F"/>
    <w:rsid w:val="00F86FBC"/>
    <w:rsid w:val="00F87110"/>
    <w:rsid w:val="00F872F0"/>
    <w:rsid w:val="00F873BC"/>
    <w:rsid w:val="00F874E0"/>
    <w:rsid w:val="00F8756A"/>
    <w:rsid w:val="00F87587"/>
    <w:rsid w:val="00F875F7"/>
    <w:rsid w:val="00F8767D"/>
    <w:rsid w:val="00F8775D"/>
    <w:rsid w:val="00F8795E"/>
    <w:rsid w:val="00F87E33"/>
    <w:rsid w:val="00F87EA4"/>
    <w:rsid w:val="00F87F0F"/>
    <w:rsid w:val="00F87FB4"/>
    <w:rsid w:val="00F90448"/>
    <w:rsid w:val="00F90692"/>
    <w:rsid w:val="00F90A52"/>
    <w:rsid w:val="00F90CDB"/>
    <w:rsid w:val="00F90E4D"/>
    <w:rsid w:val="00F90EFF"/>
    <w:rsid w:val="00F91159"/>
    <w:rsid w:val="00F91315"/>
    <w:rsid w:val="00F91A57"/>
    <w:rsid w:val="00F91BE5"/>
    <w:rsid w:val="00F91C00"/>
    <w:rsid w:val="00F91C11"/>
    <w:rsid w:val="00F91F67"/>
    <w:rsid w:val="00F9222C"/>
    <w:rsid w:val="00F929F4"/>
    <w:rsid w:val="00F92A4B"/>
    <w:rsid w:val="00F92A95"/>
    <w:rsid w:val="00F92CE3"/>
    <w:rsid w:val="00F939D0"/>
    <w:rsid w:val="00F93BFD"/>
    <w:rsid w:val="00F93D4E"/>
    <w:rsid w:val="00F93F6E"/>
    <w:rsid w:val="00F9492A"/>
    <w:rsid w:val="00F94EF4"/>
    <w:rsid w:val="00F94FDE"/>
    <w:rsid w:val="00F94FFF"/>
    <w:rsid w:val="00F950D4"/>
    <w:rsid w:val="00F95160"/>
    <w:rsid w:val="00F9524E"/>
    <w:rsid w:val="00F956CE"/>
    <w:rsid w:val="00F95988"/>
    <w:rsid w:val="00F95CFE"/>
    <w:rsid w:val="00F95F80"/>
    <w:rsid w:val="00F96233"/>
    <w:rsid w:val="00F963A9"/>
    <w:rsid w:val="00F96403"/>
    <w:rsid w:val="00F96674"/>
    <w:rsid w:val="00F96795"/>
    <w:rsid w:val="00F967AF"/>
    <w:rsid w:val="00F96996"/>
    <w:rsid w:val="00F96A41"/>
    <w:rsid w:val="00F96D6C"/>
    <w:rsid w:val="00F96E1A"/>
    <w:rsid w:val="00F96EB2"/>
    <w:rsid w:val="00F96EEE"/>
    <w:rsid w:val="00F96F4B"/>
    <w:rsid w:val="00F9741B"/>
    <w:rsid w:val="00F9765C"/>
    <w:rsid w:val="00F97701"/>
    <w:rsid w:val="00F979B9"/>
    <w:rsid w:val="00F97A25"/>
    <w:rsid w:val="00F97C07"/>
    <w:rsid w:val="00FA0005"/>
    <w:rsid w:val="00FA0530"/>
    <w:rsid w:val="00FA0874"/>
    <w:rsid w:val="00FA0A18"/>
    <w:rsid w:val="00FA0AD0"/>
    <w:rsid w:val="00FA0CD0"/>
    <w:rsid w:val="00FA1122"/>
    <w:rsid w:val="00FA115F"/>
    <w:rsid w:val="00FA12A0"/>
    <w:rsid w:val="00FA13B6"/>
    <w:rsid w:val="00FA1574"/>
    <w:rsid w:val="00FA164B"/>
    <w:rsid w:val="00FA1B47"/>
    <w:rsid w:val="00FA1D7C"/>
    <w:rsid w:val="00FA23D5"/>
    <w:rsid w:val="00FA24DB"/>
    <w:rsid w:val="00FA2518"/>
    <w:rsid w:val="00FA257D"/>
    <w:rsid w:val="00FA287E"/>
    <w:rsid w:val="00FA29AE"/>
    <w:rsid w:val="00FA29C9"/>
    <w:rsid w:val="00FA2BB6"/>
    <w:rsid w:val="00FA2C07"/>
    <w:rsid w:val="00FA312F"/>
    <w:rsid w:val="00FA32E6"/>
    <w:rsid w:val="00FA37DB"/>
    <w:rsid w:val="00FA388F"/>
    <w:rsid w:val="00FA38A0"/>
    <w:rsid w:val="00FA3A0E"/>
    <w:rsid w:val="00FA3B67"/>
    <w:rsid w:val="00FA3F6E"/>
    <w:rsid w:val="00FA3FD4"/>
    <w:rsid w:val="00FA40A8"/>
    <w:rsid w:val="00FA40B8"/>
    <w:rsid w:val="00FA40C5"/>
    <w:rsid w:val="00FA41DF"/>
    <w:rsid w:val="00FA43D4"/>
    <w:rsid w:val="00FA4550"/>
    <w:rsid w:val="00FA4566"/>
    <w:rsid w:val="00FA46F8"/>
    <w:rsid w:val="00FA4A27"/>
    <w:rsid w:val="00FA4BAE"/>
    <w:rsid w:val="00FA4C87"/>
    <w:rsid w:val="00FA4E8F"/>
    <w:rsid w:val="00FA4EB1"/>
    <w:rsid w:val="00FA5365"/>
    <w:rsid w:val="00FA542D"/>
    <w:rsid w:val="00FA55AC"/>
    <w:rsid w:val="00FA593A"/>
    <w:rsid w:val="00FA5BF5"/>
    <w:rsid w:val="00FA5D6A"/>
    <w:rsid w:val="00FA5D9C"/>
    <w:rsid w:val="00FA6248"/>
    <w:rsid w:val="00FA67B1"/>
    <w:rsid w:val="00FA6E57"/>
    <w:rsid w:val="00FA6E93"/>
    <w:rsid w:val="00FA6F4B"/>
    <w:rsid w:val="00FA6F96"/>
    <w:rsid w:val="00FA72B5"/>
    <w:rsid w:val="00FA7352"/>
    <w:rsid w:val="00FA77F3"/>
    <w:rsid w:val="00FA7AB2"/>
    <w:rsid w:val="00FA7C12"/>
    <w:rsid w:val="00FA7CE8"/>
    <w:rsid w:val="00FA7F28"/>
    <w:rsid w:val="00FB066F"/>
    <w:rsid w:val="00FB0956"/>
    <w:rsid w:val="00FB0E7C"/>
    <w:rsid w:val="00FB113D"/>
    <w:rsid w:val="00FB15EC"/>
    <w:rsid w:val="00FB1635"/>
    <w:rsid w:val="00FB165B"/>
    <w:rsid w:val="00FB176B"/>
    <w:rsid w:val="00FB19C6"/>
    <w:rsid w:val="00FB1D67"/>
    <w:rsid w:val="00FB1E1B"/>
    <w:rsid w:val="00FB1E67"/>
    <w:rsid w:val="00FB1FC2"/>
    <w:rsid w:val="00FB21C9"/>
    <w:rsid w:val="00FB23AA"/>
    <w:rsid w:val="00FB23FC"/>
    <w:rsid w:val="00FB24BE"/>
    <w:rsid w:val="00FB25D5"/>
    <w:rsid w:val="00FB28B1"/>
    <w:rsid w:val="00FB2925"/>
    <w:rsid w:val="00FB29B8"/>
    <w:rsid w:val="00FB2A1F"/>
    <w:rsid w:val="00FB2B1A"/>
    <w:rsid w:val="00FB2DD1"/>
    <w:rsid w:val="00FB2FCF"/>
    <w:rsid w:val="00FB30CA"/>
    <w:rsid w:val="00FB326E"/>
    <w:rsid w:val="00FB3404"/>
    <w:rsid w:val="00FB380E"/>
    <w:rsid w:val="00FB401A"/>
    <w:rsid w:val="00FB407C"/>
    <w:rsid w:val="00FB4199"/>
    <w:rsid w:val="00FB4689"/>
    <w:rsid w:val="00FB4890"/>
    <w:rsid w:val="00FB49D2"/>
    <w:rsid w:val="00FB4B4D"/>
    <w:rsid w:val="00FB4FFD"/>
    <w:rsid w:val="00FB50CB"/>
    <w:rsid w:val="00FB5497"/>
    <w:rsid w:val="00FB570C"/>
    <w:rsid w:val="00FB5D3D"/>
    <w:rsid w:val="00FB5FB5"/>
    <w:rsid w:val="00FB6042"/>
    <w:rsid w:val="00FB60DF"/>
    <w:rsid w:val="00FB61A1"/>
    <w:rsid w:val="00FB61F6"/>
    <w:rsid w:val="00FB6285"/>
    <w:rsid w:val="00FB6339"/>
    <w:rsid w:val="00FB6398"/>
    <w:rsid w:val="00FB6424"/>
    <w:rsid w:val="00FB6A20"/>
    <w:rsid w:val="00FB6BE2"/>
    <w:rsid w:val="00FB6CC5"/>
    <w:rsid w:val="00FB6E04"/>
    <w:rsid w:val="00FB6E7C"/>
    <w:rsid w:val="00FB6EB9"/>
    <w:rsid w:val="00FB6ED7"/>
    <w:rsid w:val="00FB6F9B"/>
    <w:rsid w:val="00FB76A3"/>
    <w:rsid w:val="00FB7C11"/>
    <w:rsid w:val="00FB7DDA"/>
    <w:rsid w:val="00FB7F81"/>
    <w:rsid w:val="00FC005D"/>
    <w:rsid w:val="00FC011A"/>
    <w:rsid w:val="00FC02BE"/>
    <w:rsid w:val="00FC08A9"/>
    <w:rsid w:val="00FC0CA9"/>
    <w:rsid w:val="00FC113D"/>
    <w:rsid w:val="00FC117C"/>
    <w:rsid w:val="00FC11DF"/>
    <w:rsid w:val="00FC141A"/>
    <w:rsid w:val="00FC165F"/>
    <w:rsid w:val="00FC1881"/>
    <w:rsid w:val="00FC19A5"/>
    <w:rsid w:val="00FC19BE"/>
    <w:rsid w:val="00FC2245"/>
    <w:rsid w:val="00FC234D"/>
    <w:rsid w:val="00FC25C6"/>
    <w:rsid w:val="00FC2801"/>
    <w:rsid w:val="00FC2A18"/>
    <w:rsid w:val="00FC2AB0"/>
    <w:rsid w:val="00FC2B46"/>
    <w:rsid w:val="00FC2E79"/>
    <w:rsid w:val="00FC318A"/>
    <w:rsid w:val="00FC371C"/>
    <w:rsid w:val="00FC3798"/>
    <w:rsid w:val="00FC3823"/>
    <w:rsid w:val="00FC3A51"/>
    <w:rsid w:val="00FC3A6D"/>
    <w:rsid w:val="00FC3ADB"/>
    <w:rsid w:val="00FC3E09"/>
    <w:rsid w:val="00FC3ECA"/>
    <w:rsid w:val="00FC3F48"/>
    <w:rsid w:val="00FC4155"/>
    <w:rsid w:val="00FC41B4"/>
    <w:rsid w:val="00FC41DC"/>
    <w:rsid w:val="00FC454A"/>
    <w:rsid w:val="00FC49AF"/>
    <w:rsid w:val="00FC49E0"/>
    <w:rsid w:val="00FC4E42"/>
    <w:rsid w:val="00FC53A5"/>
    <w:rsid w:val="00FC5409"/>
    <w:rsid w:val="00FC5468"/>
    <w:rsid w:val="00FC5474"/>
    <w:rsid w:val="00FC5598"/>
    <w:rsid w:val="00FC56B4"/>
    <w:rsid w:val="00FC584F"/>
    <w:rsid w:val="00FC5B4B"/>
    <w:rsid w:val="00FC5BEE"/>
    <w:rsid w:val="00FC5D64"/>
    <w:rsid w:val="00FC5E1A"/>
    <w:rsid w:val="00FC5F08"/>
    <w:rsid w:val="00FC5F2E"/>
    <w:rsid w:val="00FC5F62"/>
    <w:rsid w:val="00FC636F"/>
    <w:rsid w:val="00FC65C0"/>
    <w:rsid w:val="00FC65E2"/>
    <w:rsid w:val="00FC6729"/>
    <w:rsid w:val="00FC67E2"/>
    <w:rsid w:val="00FC6878"/>
    <w:rsid w:val="00FC68BD"/>
    <w:rsid w:val="00FC6C1F"/>
    <w:rsid w:val="00FC6C32"/>
    <w:rsid w:val="00FC6DA0"/>
    <w:rsid w:val="00FC7029"/>
    <w:rsid w:val="00FC7146"/>
    <w:rsid w:val="00FC7151"/>
    <w:rsid w:val="00FC7242"/>
    <w:rsid w:val="00FC7286"/>
    <w:rsid w:val="00FC739F"/>
    <w:rsid w:val="00FC73DE"/>
    <w:rsid w:val="00FC73DF"/>
    <w:rsid w:val="00FC74C4"/>
    <w:rsid w:val="00FC74D8"/>
    <w:rsid w:val="00FC7542"/>
    <w:rsid w:val="00FC7A23"/>
    <w:rsid w:val="00FC7AD1"/>
    <w:rsid w:val="00FC7BAE"/>
    <w:rsid w:val="00FC7D31"/>
    <w:rsid w:val="00FC7EFE"/>
    <w:rsid w:val="00FC7FAE"/>
    <w:rsid w:val="00FD004F"/>
    <w:rsid w:val="00FD0453"/>
    <w:rsid w:val="00FD0500"/>
    <w:rsid w:val="00FD05EC"/>
    <w:rsid w:val="00FD08D5"/>
    <w:rsid w:val="00FD0A61"/>
    <w:rsid w:val="00FD122E"/>
    <w:rsid w:val="00FD12F2"/>
    <w:rsid w:val="00FD1426"/>
    <w:rsid w:val="00FD167C"/>
    <w:rsid w:val="00FD19D4"/>
    <w:rsid w:val="00FD1B93"/>
    <w:rsid w:val="00FD1BB8"/>
    <w:rsid w:val="00FD1C85"/>
    <w:rsid w:val="00FD1DF2"/>
    <w:rsid w:val="00FD2241"/>
    <w:rsid w:val="00FD236B"/>
    <w:rsid w:val="00FD23CB"/>
    <w:rsid w:val="00FD245D"/>
    <w:rsid w:val="00FD25A6"/>
    <w:rsid w:val="00FD25F9"/>
    <w:rsid w:val="00FD25FF"/>
    <w:rsid w:val="00FD2908"/>
    <w:rsid w:val="00FD2957"/>
    <w:rsid w:val="00FD2AE7"/>
    <w:rsid w:val="00FD2B09"/>
    <w:rsid w:val="00FD2FF4"/>
    <w:rsid w:val="00FD323D"/>
    <w:rsid w:val="00FD3275"/>
    <w:rsid w:val="00FD330F"/>
    <w:rsid w:val="00FD3469"/>
    <w:rsid w:val="00FD37EF"/>
    <w:rsid w:val="00FD380A"/>
    <w:rsid w:val="00FD3892"/>
    <w:rsid w:val="00FD393F"/>
    <w:rsid w:val="00FD3A4B"/>
    <w:rsid w:val="00FD3CE1"/>
    <w:rsid w:val="00FD3E1D"/>
    <w:rsid w:val="00FD3E4C"/>
    <w:rsid w:val="00FD423F"/>
    <w:rsid w:val="00FD444C"/>
    <w:rsid w:val="00FD4750"/>
    <w:rsid w:val="00FD4C66"/>
    <w:rsid w:val="00FD4CB0"/>
    <w:rsid w:val="00FD4DF4"/>
    <w:rsid w:val="00FD50DA"/>
    <w:rsid w:val="00FD5225"/>
    <w:rsid w:val="00FD5330"/>
    <w:rsid w:val="00FD55A5"/>
    <w:rsid w:val="00FD55CA"/>
    <w:rsid w:val="00FD5AA5"/>
    <w:rsid w:val="00FD5CC3"/>
    <w:rsid w:val="00FD5D17"/>
    <w:rsid w:val="00FD5D98"/>
    <w:rsid w:val="00FD5EB0"/>
    <w:rsid w:val="00FD6333"/>
    <w:rsid w:val="00FD63F7"/>
    <w:rsid w:val="00FD6516"/>
    <w:rsid w:val="00FD6666"/>
    <w:rsid w:val="00FD6733"/>
    <w:rsid w:val="00FD6825"/>
    <w:rsid w:val="00FD68EB"/>
    <w:rsid w:val="00FD699E"/>
    <w:rsid w:val="00FD6CE6"/>
    <w:rsid w:val="00FD6DFC"/>
    <w:rsid w:val="00FD6FB6"/>
    <w:rsid w:val="00FD7284"/>
    <w:rsid w:val="00FD73C2"/>
    <w:rsid w:val="00FD7765"/>
    <w:rsid w:val="00FD77E1"/>
    <w:rsid w:val="00FD7884"/>
    <w:rsid w:val="00FD7AEF"/>
    <w:rsid w:val="00FD7B48"/>
    <w:rsid w:val="00FD7BBC"/>
    <w:rsid w:val="00FD7EBA"/>
    <w:rsid w:val="00FD7EC2"/>
    <w:rsid w:val="00FD7EF7"/>
    <w:rsid w:val="00FD7F56"/>
    <w:rsid w:val="00FD7F6A"/>
    <w:rsid w:val="00FD7F87"/>
    <w:rsid w:val="00FE0005"/>
    <w:rsid w:val="00FE01AF"/>
    <w:rsid w:val="00FE01BE"/>
    <w:rsid w:val="00FE034D"/>
    <w:rsid w:val="00FE04C1"/>
    <w:rsid w:val="00FE072D"/>
    <w:rsid w:val="00FE0D0B"/>
    <w:rsid w:val="00FE0F29"/>
    <w:rsid w:val="00FE1195"/>
    <w:rsid w:val="00FE149D"/>
    <w:rsid w:val="00FE15A7"/>
    <w:rsid w:val="00FE1A20"/>
    <w:rsid w:val="00FE1C47"/>
    <w:rsid w:val="00FE1EDE"/>
    <w:rsid w:val="00FE2113"/>
    <w:rsid w:val="00FE218A"/>
    <w:rsid w:val="00FE21BE"/>
    <w:rsid w:val="00FE23A1"/>
    <w:rsid w:val="00FE24AA"/>
    <w:rsid w:val="00FE2543"/>
    <w:rsid w:val="00FE276C"/>
    <w:rsid w:val="00FE29B2"/>
    <w:rsid w:val="00FE2A28"/>
    <w:rsid w:val="00FE2CE0"/>
    <w:rsid w:val="00FE2DC1"/>
    <w:rsid w:val="00FE2EF4"/>
    <w:rsid w:val="00FE3011"/>
    <w:rsid w:val="00FE35A2"/>
    <w:rsid w:val="00FE35E4"/>
    <w:rsid w:val="00FE382C"/>
    <w:rsid w:val="00FE39A4"/>
    <w:rsid w:val="00FE3A5D"/>
    <w:rsid w:val="00FE3B1A"/>
    <w:rsid w:val="00FE3BCE"/>
    <w:rsid w:val="00FE3BE2"/>
    <w:rsid w:val="00FE3C63"/>
    <w:rsid w:val="00FE3CE1"/>
    <w:rsid w:val="00FE3E83"/>
    <w:rsid w:val="00FE4191"/>
    <w:rsid w:val="00FE4972"/>
    <w:rsid w:val="00FE4BA8"/>
    <w:rsid w:val="00FE4BAE"/>
    <w:rsid w:val="00FE4DBF"/>
    <w:rsid w:val="00FE5236"/>
    <w:rsid w:val="00FE555C"/>
    <w:rsid w:val="00FE5851"/>
    <w:rsid w:val="00FE5911"/>
    <w:rsid w:val="00FE5947"/>
    <w:rsid w:val="00FE59AD"/>
    <w:rsid w:val="00FE5BE8"/>
    <w:rsid w:val="00FE5CDD"/>
    <w:rsid w:val="00FE5CDE"/>
    <w:rsid w:val="00FE5D5A"/>
    <w:rsid w:val="00FE5E83"/>
    <w:rsid w:val="00FE5EC1"/>
    <w:rsid w:val="00FE6035"/>
    <w:rsid w:val="00FE6204"/>
    <w:rsid w:val="00FE6299"/>
    <w:rsid w:val="00FE661F"/>
    <w:rsid w:val="00FE6B5E"/>
    <w:rsid w:val="00FE6C4C"/>
    <w:rsid w:val="00FE6C92"/>
    <w:rsid w:val="00FE6E79"/>
    <w:rsid w:val="00FE7003"/>
    <w:rsid w:val="00FE70EF"/>
    <w:rsid w:val="00FE7444"/>
    <w:rsid w:val="00FE74E6"/>
    <w:rsid w:val="00FE75FC"/>
    <w:rsid w:val="00FE7650"/>
    <w:rsid w:val="00FE77DD"/>
    <w:rsid w:val="00FE784A"/>
    <w:rsid w:val="00FE7B10"/>
    <w:rsid w:val="00FE7B2B"/>
    <w:rsid w:val="00FE7EE2"/>
    <w:rsid w:val="00FF003F"/>
    <w:rsid w:val="00FF032F"/>
    <w:rsid w:val="00FF03A1"/>
    <w:rsid w:val="00FF0503"/>
    <w:rsid w:val="00FF052E"/>
    <w:rsid w:val="00FF098E"/>
    <w:rsid w:val="00FF0B48"/>
    <w:rsid w:val="00FF0E23"/>
    <w:rsid w:val="00FF1071"/>
    <w:rsid w:val="00FF1303"/>
    <w:rsid w:val="00FF14BA"/>
    <w:rsid w:val="00FF163F"/>
    <w:rsid w:val="00FF16BF"/>
    <w:rsid w:val="00FF16F5"/>
    <w:rsid w:val="00FF179F"/>
    <w:rsid w:val="00FF18EF"/>
    <w:rsid w:val="00FF1C18"/>
    <w:rsid w:val="00FF1DE7"/>
    <w:rsid w:val="00FF2105"/>
    <w:rsid w:val="00FF263F"/>
    <w:rsid w:val="00FF2679"/>
    <w:rsid w:val="00FF2B56"/>
    <w:rsid w:val="00FF2D8D"/>
    <w:rsid w:val="00FF2E4C"/>
    <w:rsid w:val="00FF3046"/>
    <w:rsid w:val="00FF30EB"/>
    <w:rsid w:val="00FF310B"/>
    <w:rsid w:val="00FF32BA"/>
    <w:rsid w:val="00FF3A58"/>
    <w:rsid w:val="00FF3C03"/>
    <w:rsid w:val="00FF3F43"/>
    <w:rsid w:val="00FF3F5A"/>
    <w:rsid w:val="00FF400D"/>
    <w:rsid w:val="00FF40C4"/>
    <w:rsid w:val="00FF474E"/>
    <w:rsid w:val="00FF476A"/>
    <w:rsid w:val="00FF4829"/>
    <w:rsid w:val="00FF48B9"/>
    <w:rsid w:val="00FF4920"/>
    <w:rsid w:val="00FF492B"/>
    <w:rsid w:val="00FF4BB0"/>
    <w:rsid w:val="00FF4E11"/>
    <w:rsid w:val="00FF4F72"/>
    <w:rsid w:val="00FF5165"/>
    <w:rsid w:val="00FF5245"/>
    <w:rsid w:val="00FF5275"/>
    <w:rsid w:val="00FF5363"/>
    <w:rsid w:val="00FF5480"/>
    <w:rsid w:val="00FF54CE"/>
    <w:rsid w:val="00FF55A0"/>
    <w:rsid w:val="00FF5726"/>
    <w:rsid w:val="00FF5866"/>
    <w:rsid w:val="00FF588C"/>
    <w:rsid w:val="00FF5BB4"/>
    <w:rsid w:val="00FF5BB5"/>
    <w:rsid w:val="00FF5BD2"/>
    <w:rsid w:val="00FF5C62"/>
    <w:rsid w:val="00FF5D7E"/>
    <w:rsid w:val="00FF5EC8"/>
    <w:rsid w:val="00FF5FE0"/>
    <w:rsid w:val="00FF61B8"/>
    <w:rsid w:val="00FF632B"/>
    <w:rsid w:val="00FF635B"/>
    <w:rsid w:val="00FF63D1"/>
    <w:rsid w:val="00FF63FA"/>
    <w:rsid w:val="00FF65E1"/>
    <w:rsid w:val="00FF6B2B"/>
    <w:rsid w:val="00FF6C14"/>
    <w:rsid w:val="00FF6FCA"/>
    <w:rsid w:val="00FF700B"/>
    <w:rsid w:val="00FF7127"/>
    <w:rsid w:val="00FF72B1"/>
    <w:rsid w:val="00FF733B"/>
    <w:rsid w:val="00FF7845"/>
    <w:rsid w:val="00FF7CE1"/>
    <w:rsid w:val="00FF7D5C"/>
    <w:rsid w:val="00FF7E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chartTrackingRefBased/>
  <w15:docId w15:val="{E034AA6E-A3AA-46CB-9562-FAF91F41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48C"/>
    <w:rPr>
      <w:sz w:val="24"/>
      <w:szCs w:val="24"/>
      <w:lang w:val="it-IT" w:eastAsia="it-IT"/>
    </w:rPr>
  </w:style>
  <w:style w:type="paragraph" w:styleId="Heading1">
    <w:name w:val="heading 1"/>
    <w:basedOn w:val="Normal"/>
    <w:next w:val="Normal"/>
    <w:link w:val="Heading1Char"/>
    <w:qFormat/>
    <w:rsid w:val="00663E05"/>
    <w:pPr>
      <w:keepNext/>
      <w:numPr>
        <w:numId w:val="1"/>
      </w:numPr>
      <w:outlineLvl w:val="0"/>
    </w:pPr>
    <w:rPr>
      <w:b/>
      <w:bCs/>
      <w:lang w:val="en-GB" w:eastAsia="x-none"/>
    </w:rPr>
  </w:style>
  <w:style w:type="paragraph" w:styleId="Heading2">
    <w:name w:val="heading 2"/>
    <w:basedOn w:val="Normal"/>
    <w:next w:val="Normal"/>
    <w:link w:val="Heading2Char"/>
    <w:qFormat/>
    <w:rsid w:val="00663E05"/>
    <w:pPr>
      <w:keepNext/>
      <w:numPr>
        <w:ilvl w:val="1"/>
        <w:numId w:val="1"/>
      </w:numPr>
      <w:outlineLvl w:val="1"/>
    </w:pPr>
    <w:rPr>
      <w:b/>
      <w:bCs/>
      <w:i/>
      <w:lang w:val="x-none" w:eastAsia="x-none"/>
    </w:rPr>
  </w:style>
  <w:style w:type="paragraph" w:styleId="Heading3">
    <w:name w:val="heading 3"/>
    <w:basedOn w:val="Normal"/>
    <w:next w:val="Normal"/>
    <w:link w:val="Heading3Char"/>
    <w:qFormat/>
    <w:rsid w:val="00663E05"/>
    <w:pPr>
      <w:keepNext/>
      <w:numPr>
        <w:ilvl w:val="2"/>
        <w:numId w:val="1"/>
      </w:numPr>
      <w:jc w:val="right"/>
      <w:outlineLvl w:val="2"/>
    </w:pPr>
    <w:rPr>
      <w:b/>
      <w:lang w:val="x-none" w:eastAsia="x-none"/>
    </w:rPr>
  </w:style>
  <w:style w:type="paragraph" w:styleId="Heading4">
    <w:name w:val="heading 4"/>
    <w:basedOn w:val="Normal"/>
    <w:next w:val="Normal"/>
    <w:link w:val="Heading4Char"/>
    <w:qFormat/>
    <w:rsid w:val="00663E05"/>
    <w:pPr>
      <w:keepNext/>
      <w:numPr>
        <w:ilvl w:val="3"/>
        <w:numId w:val="1"/>
      </w:numPr>
      <w:jc w:val="both"/>
      <w:outlineLvl w:val="3"/>
    </w:pPr>
    <w:rPr>
      <w:i/>
      <w:iCs/>
      <w:lang w:val="x-none" w:eastAsia="x-none"/>
    </w:rPr>
  </w:style>
  <w:style w:type="paragraph" w:styleId="Heading5">
    <w:name w:val="heading 5"/>
    <w:basedOn w:val="Normal"/>
    <w:next w:val="Normal"/>
    <w:link w:val="Heading5Char"/>
    <w:qFormat/>
    <w:rsid w:val="00663E05"/>
    <w:pPr>
      <w:numPr>
        <w:ilvl w:val="4"/>
        <w:numId w:val="1"/>
      </w:numPr>
      <w:spacing w:before="240" w:after="60"/>
      <w:jc w:val="both"/>
      <w:outlineLvl w:val="4"/>
    </w:pPr>
    <w:rPr>
      <w:b/>
      <w:bCs/>
      <w:i/>
      <w:iCs/>
      <w:sz w:val="26"/>
      <w:szCs w:val="26"/>
      <w:lang w:val="x-none" w:eastAsia="x-none"/>
    </w:rPr>
  </w:style>
  <w:style w:type="paragraph" w:styleId="Heading6">
    <w:name w:val="heading 6"/>
    <w:basedOn w:val="Normal"/>
    <w:next w:val="Normal"/>
    <w:link w:val="Heading6Char"/>
    <w:qFormat/>
    <w:rsid w:val="00663E05"/>
    <w:pPr>
      <w:numPr>
        <w:ilvl w:val="5"/>
        <w:numId w:val="1"/>
      </w:numPr>
      <w:spacing w:before="240" w:after="60"/>
      <w:jc w:val="both"/>
      <w:outlineLvl w:val="5"/>
    </w:pPr>
    <w:rPr>
      <w:b/>
      <w:bCs/>
      <w:sz w:val="22"/>
      <w:szCs w:val="22"/>
      <w:lang w:val="x-none" w:eastAsia="x-none"/>
    </w:rPr>
  </w:style>
  <w:style w:type="paragraph" w:styleId="Heading7">
    <w:name w:val="heading 7"/>
    <w:basedOn w:val="Normal"/>
    <w:next w:val="Normal"/>
    <w:link w:val="Heading7Char"/>
    <w:qFormat/>
    <w:rsid w:val="00663E05"/>
    <w:pPr>
      <w:numPr>
        <w:ilvl w:val="6"/>
        <w:numId w:val="1"/>
      </w:numPr>
      <w:spacing w:before="240" w:after="60"/>
      <w:jc w:val="both"/>
      <w:outlineLvl w:val="6"/>
    </w:pPr>
    <w:rPr>
      <w:lang w:val="x-none" w:eastAsia="x-none"/>
    </w:rPr>
  </w:style>
  <w:style w:type="paragraph" w:styleId="Heading8">
    <w:name w:val="heading 8"/>
    <w:basedOn w:val="Normal"/>
    <w:next w:val="Normal"/>
    <w:link w:val="Heading8Char"/>
    <w:qFormat/>
    <w:rsid w:val="00663E05"/>
    <w:pPr>
      <w:numPr>
        <w:ilvl w:val="7"/>
        <w:numId w:val="1"/>
      </w:numPr>
      <w:spacing w:before="240" w:after="60"/>
      <w:jc w:val="both"/>
      <w:outlineLvl w:val="7"/>
    </w:pPr>
    <w:rPr>
      <w:i/>
      <w:iCs/>
      <w:lang w:val="x-none" w:eastAsia="x-none"/>
    </w:rPr>
  </w:style>
  <w:style w:type="paragraph" w:styleId="Heading9">
    <w:name w:val="heading 9"/>
    <w:basedOn w:val="Normal"/>
    <w:next w:val="Normal"/>
    <w:link w:val="Heading9Char"/>
    <w:qFormat/>
    <w:rsid w:val="00663E05"/>
    <w:pPr>
      <w:numPr>
        <w:ilvl w:val="8"/>
        <w:numId w:val="1"/>
      </w:numPr>
      <w:spacing w:before="240" w:after="60"/>
      <w:jc w:val="both"/>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63E05"/>
    <w:rPr>
      <w:i/>
      <w:iCs/>
      <w:lang w:val="x-none" w:eastAsia="x-none"/>
    </w:rPr>
  </w:style>
  <w:style w:type="paragraph" w:styleId="Title">
    <w:name w:val="Title"/>
    <w:basedOn w:val="Normal"/>
    <w:link w:val="TitleChar"/>
    <w:qFormat/>
    <w:rsid w:val="00663E05"/>
    <w:pPr>
      <w:tabs>
        <w:tab w:val="num" w:pos="360"/>
      </w:tabs>
    </w:pPr>
    <w:rPr>
      <w:b/>
      <w:bCs/>
      <w:snapToGrid w:val="0"/>
      <w:lang w:val="x-none" w:eastAsia="x-none"/>
    </w:rPr>
  </w:style>
  <w:style w:type="paragraph" w:styleId="Caption">
    <w:name w:val="caption"/>
    <w:basedOn w:val="Normal"/>
    <w:next w:val="Normal"/>
    <w:uiPriority w:val="99"/>
    <w:qFormat/>
    <w:rsid w:val="00663E05"/>
    <w:rPr>
      <w:rFonts w:eastAsia="MS Mincho"/>
      <w:b/>
      <w:bCs/>
      <w:sz w:val="20"/>
      <w:szCs w:val="20"/>
      <w:lang w:eastAsia="ja-JP"/>
    </w:rPr>
  </w:style>
  <w:style w:type="paragraph" w:styleId="FootnoteText">
    <w:name w:val="footnote text"/>
    <w:basedOn w:val="Normal"/>
    <w:link w:val="FootnoteTextChar"/>
    <w:semiHidden/>
    <w:rsid w:val="00663E05"/>
    <w:pPr>
      <w:jc w:val="both"/>
    </w:pPr>
    <w:rPr>
      <w:sz w:val="20"/>
      <w:szCs w:val="20"/>
    </w:rPr>
  </w:style>
  <w:style w:type="paragraph" w:styleId="TOC1">
    <w:name w:val="toc 1"/>
    <w:basedOn w:val="Normal"/>
    <w:next w:val="Normal"/>
    <w:autoRedefine/>
    <w:uiPriority w:val="39"/>
    <w:rsid w:val="00663E05"/>
    <w:pPr>
      <w:jc w:val="both"/>
    </w:pPr>
  </w:style>
  <w:style w:type="paragraph" w:styleId="NormalWeb">
    <w:name w:val="Normal (Web)"/>
    <w:basedOn w:val="Normal"/>
    <w:uiPriority w:val="99"/>
    <w:semiHidden/>
    <w:rsid w:val="00663E05"/>
    <w:pPr>
      <w:spacing w:before="100" w:beforeAutospacing="1" w:after="100" w:afterAutospacing="1"/>
      <w:jc w:val="both"/>
    </w:pPr>
    <w:rPr>
      <w:rFonts w:ascii="Arial Unicode MS" w:eastAsia="Arial Unicode MS" w:hAnsi="Arial Unicode MS" w:cs="Arial Unicode MS"/>
    </w:rPr>
  </w:style>
  <w:style w:type="paragraph" w:customStyle="1" w:styleId="BodyText21">
    <w:name w:val="Body Text 21"/>
    <w:basedOn w:val="Normal"/>
    <w:rsid w:val="00663E05"/>
    <w:pPr>
      <w:tabs>
        <w:tab w:val="left" w:pos="993"/>
      </w:tabs>
      <w:overflowPunct w:val="0"/>
      <w:autoSpaceDE w:val="0"/>
      <w:autoSpaceDN w:val="0"/>
      <w:adjustRightInd w:val="0"/>
      <w:ind w:left="567"/>
      <w:jc w:val="both"/>
      <w:textAlignment w:val="baseline"/>
    </w:pPr>
    <w:rPr>
      <w:sz w:val="23"/>
      <w:szCs w:val="20"/>
    </w:rPr>
  </w:style>
  <w:style w:type="character" w:styleId="FootnoteReference">
    <w:name w:val="footnote reference"/>
    <w:semiHidden/>
    <w:rsid w:val="00663E05"/>
    <w:rPr>
      <w:vertAlign w:val="superscript"/>
    </w:rPr>
  </w:style>
  <w:style w:type="paragraph" w:styleId="BodyText2">
    <w:name w:val="Body Text 2"/>
    <w:basedOn w:val="Normal"/>
    <w:link w:val="BodyText2Char"/>
    <w:semiHidden/>
    <w:rsid w:val="00663E05"/>
    <w:rPr>
      <w:color w:val="0000FF"/>
      <w:lang w:val="en-US" w:eastAsia="x-none"/>
    </w:rPr>
  </w:style>
  <w:style w:type="paragraph" w:styleId="BodyText3">
    <w:name w:val="Body Text 3"/>
    <w:basedOn w:val="Normal"/>
    <w:link w:val="BodyText3Char"/>
    <w:semiHidden/>
    <w:rsid w:val="00663E05"/>
    <w:rPr>
      <w:color w:val="0000FF"/>
      <w:lang w:val="en-US" w:eastAsia="x-none"/>
    </w:rPr>
  </w:style>
  <w:style w:type="paragraph" w:styleId="PlainText">
    <w:name w:val="Plain Text"/>
    <w:basedOn w:val="Normal"/>
    <w:link w:val="PlainTextChar"/>
    <w:semiHidden/>
    <w:rsid w:val="00663E05"/>
    <w:pPr>
      <w:jc w:val="both"/>
    </w:pPr>
    <w:rPr>
      <w:rFonts w:ascii="Arial" w:eastAsia="MS Mincho" w:hAnsi="Arial"/>
      <w:sz w:val="18"/>
      <w:szCs w:val="20"/>
      <w:lang w:val="en-GB" w:eastAsia="en-US"/>
    </w:rPr>
  </w:style>
  <w:style w:type="paragraph" w:customStyle="1" w:styleId="A-Titoloetc">
    <w:name w:val="A-Titolo etc."/>
    <w:basedOn w:val="Normal"/>
    <w:autoRedefine/>
    <w:rsid w:val="00663E05"/>
    <w:pPr>
      <w:spacing w:after="80"/>
      <w:ind w:left="284"/>
      <w:jc w:val="center"/>
    </w:pPr>
    <w:rPr>
      <w:lang w:val="en-US"/>
    </w:rPr>
  </w:style>
  <w:style w:type="character" w:styleId="Hyperlink">
    <w:name w:val="Hyperlink"/>
    <w:uiPriority w:val="99"/>
    <w:rsid w:val="00663E05"/>
    <w:rPr>
      <w:color w:val="0000FF"/>
      <w:u w:val="single"/>
    </w:rPr>
  </w:style>
  <w:style w:type="character" w:styleId="FollowedHyperlink">
    <w:name w:val="FollowedHyperlink"/>
    <w:rsid w:val="00663E05"/>
    <w:rPr>
      <w:color w:val="800080"/>
      <w:u w:val="single"/>
    </w:rPr>
  </w:style>
  <w:style w:type="paragraph" w:styleId="Footer">
    <w:name w:val="footer"/>
    <w:basedOn w:val="Normal"/>
    <w:link w:val="FooterChar"/>
    <w:uiPriority w:val="99"/>
    <w:rsid w:val="00663E05"/>
    <w:pPr>
      <w:tabs>
        <w:tab w:val="center" w:pos="4819"/>
        <w:tab w:val="right" w:pos="9638"/>
      </w:tabs>
    </w:pPr>
    <w:rPr>
      <w:lang w:val="x-none" w:eastAsia="x-none"/>
    </w:rPr>
  </w:style>
  <w:style w:type="character" w:styleId="PageNumber">
    <w:name w:val="page number"/>
    <w:basedOn w:val="DefaultParagraphFont"/>
    <w:semiHidden/>
    <w:rsid w:val="00663E05"/>
  </w:style>
  <w:style w:type="paragraph" w:customStyle="1" w:styleId="Titolosommario1">
    <w:name w:val="Titolo sommario1"/>
    <w:basedOn w:val="Heading1"/>
    <w:next w:val="Normal"/>
    <w:uiPriority w:val="39"/>
    <w:unhideWhenUsed/>
    <w:qFormat/>
    <w:rsid w:val="004E388F"/>
    <w:pPr>
      <w:keepLines/>
      <w:spacing w:before="480" w:line="276" w:lineRule="auto"/>
      <w:outlineLvl w:val="9"/>
    </w:pPr>
    <w:rPr>
      <w:rFonts w:ascii="Cambria" w:hAnsi="Cambria"/>
      <w:color w:val="365F91"/>
      <w:sz w:val="28"/>
      <w:szCs w:val="28"/>
      <w:lang w:val="it-IT" w:eastAsia="en-US"/>
    </w:rPr>
  </w:style>
  <w:style w:type="paragraph" w:styleId="TOC2">
    <w:name w:val="toc 2"/>
    <w:basedOn w:val="Normal"/>
    <w:next w:val="Normal"/>
    <w:autoRedefine/>
    <w:uiPriority w:val="39"/>
    <w:unhideWhenUsed/>
    <w:rsid w:val="004E388F"/>
    <w:pPr>
      <w:ind w:left="240"/>
    </w:pPr>
  </w:style>
  <w:style w:type="paragraph" w:styleId="TOC3">
    <w:name w:val="toc 3"/>
    <w:basedOn w:val="Normal"/>
    <w:next w:val="Normal"/>
    <w:autoRedefine/>
    <w:uiPriority w:val="39"/>
    <w:unhideWhenUsed/>
    <w:rsid w:val="00D85F8D"/>
    <w:pPr>
      <w:ind w:left="480"/>
    </w:pPr>
  </w:style>
  <w:style w:type="paragraph" w:styleId="Header">
    <w:name w:val="header"/>
    <w:basedOn w:val="Normal"/>
    <w:link w:val="HeaderChar"/>
    <w:unhideWhenUsed/>
    <w:rsid w:val="005B401D"/>
    <w:pPr>
      <w:tabs>
        <w:tab w:val="center" w:pos="4819"/>
        <w:tab w:val="right" w:pos="9638"/>
      </w:tabs>
    </w:pPr>
    <w:rPr>
      <w:lang w:val="x-none" w:eastAsia="x-none"/>
    </w:rPr>
  </w:style>
  <w:style w:type="character" w:customStyle="1" w:styleId="HeaderChar">
    <w:name w:val="Header Char"/>
    <w:link w:val="Header"/>
    <w:rsid w:val="005B401D"/>
    <w:rPr>
      <w:sz w:val="24"/>
      <w:szCs w:val="24"/>
    </w:rPr>
  </w:style>
  <w:style w:type="character" w:customStyle="1" w:styleId="body">
    <w:name w:val="body"/>
    <w:basedOn w:val="DefaultParagraphFont"/>
    <w:rsid w:val="00572FFB"/>
  </w:style>
  <w:style w:type="paragraph" w:customStyle="1" w:styleId="TableContents">
    <w:name w:val="Table Contents"/>
    <w:basedOn w:val="Normal"/>
    <w:rsid w:val="00CD2EB1"/>
    <w:pPr>
      <w:suppressLineNumbers/>
      <w:suppressAutoHyphens/>
    </w:pPr>
    <w:rPr>
      <w:sz w:val="20"/>
      <w:szCs w:val="20"/>
      <w:lang w:eastAsia="ar-SA"/>
    </w:rPr>
  </w:style>
  <w:style w:type="character" w:customStyle="1" w:styleId="Heading1Char">
    <w:name w:val="Heading 1 Char"/>
    <w:link w:val="Heading1"/>
    <w:rsid w:val="00F07BD6"/>
    <w:rPr>
      <w:b/>
      <w:bCs/>
      <w:sz w:val="24"/>
      <w:szCs w:val="24"/>
      <w:lang w:eastAsia="x-none"/>
    </w:rPr>
  </w:style>
  <w:style w:type="paragraph" w:styleId="BalloonText">
    <w:name w:val="Balloon Text"/>
    <w:basedOn w:val="Normal"/>
    <w:link w:val="BalloonTextChar"/>
    <w:unhideWhenUsed/>
    <w:rsid w:val="007F75C8"/>
    <w:rPr>
      <w:rFonts w:ascii="Tahoma" w:hAnsi="Tahoma"/>
      <w:sz w:val="16"/>
      <w:szCs w:val="16"/>
      <w:lang w:val="x-none" w:eastAsia="x-none"/>
    </w:rPr>
  </w:style>
  <w:style w:type="character" w:customStyle="1" w:styleId="BalloonTextChar">
    <w:name w:val="Balloon Text Char"/>
    <w:link w:val="BalloonText"/>
    <w:rsid w:val="007F75C8"/>
    <w:rPr>
      <w:rFonts w:ascii="Tahoma" w:hAnsi="Tahoma" w:cs="Tahoma"/>
      <w:sz w:val="16"/>
      <w:szCs w:val="16"/>
    </w:rPr>
  </w:style>
  <w:style w:type="paragraph" w:customStyle="1" w:styleId="Bibliografia1">
    <w:name w:val="Bibliografia1"/>
    <w:basedOn w:val="Normal"/>
    <w:next w:val="Normal"/>
    <w:uiPriority w:val="37"/>
    <w:unhideWhenUsed/>
    <w:rsid w:val="006E3A3E"/>
  </w:style>
  <w:style w:type="character" w:styleId="Emphasis">
    <w:name w:val="Emphasis"/>
    <w:uiPriority w:val="20"/>
    <w:qFormat/>
    <w:rsid w:val="00564021"/>
    <w:rPr>
      <w:i/>
      <w:iCs/>
    </w:rPr>
  </w:style>
  <w:style w:type="character" w:styleId="Strong">
    <w:name w:val="Strong"/>
    <w:qFormat/>
    <w:rsid w:val="00F52220"/>
    <w:rPr>
      <w:b/>
      <w:bCs/>
    </w:rPr>
  </w:style>
  <w:style w:type="character" w:customStyle="1" w:styleId="trn">
    <w:name w:val="trn"/>
    <w:basedOn w:val="DefaultParagraphFont"/>
    <w:rsid w:val="00B52099"/>
  </w:style>
  <w:style w:type="paragraph" w:customStyle="1" w:styleId="Paragrafoelenco1">
    <w:name w:val="Paragrafo elenco1"/>
    <w:basedOn w:val="Normal"/>
    <w:uiPriority w:val="34"/>
    <w:qFormat/>
    <w:rsid w:val="005B2B8A"/>
    <w:pPr>
      <w:ind w:left="720"/>
      <w:contextualSpacing/>
    </w:pPr>
  </w:style>
  <w:style w:type="character" w:customStyle="1" w:styleId="BodyText1">
    <w:name w:val="Body Text1"/>
    <w:link w:val="Bodytext10"/>
    <w:uiPriority w:val="99"/>
    <w:rsid w:val="00996723"/>
    <w:rPr>
      <w:sz w:val="18"/>
      <w:szCs w:val="18"/>
      <w:shd w:val="clear" w:color="auto" w:fill="FFFFFF"/>
    </w:rPr>
  </w:style>
  <w:style w:type="character" w:customStyle="1" w:styleId="Bodytext8">
    <w:name w:val="Body text (8)"/>
    <w:link w:val="Bodytext81"/>
    <w:uiPriority w:val="99"/>
    <w:rsid w:val="00996723"/>
    <w:rPr>
      <w:sz w:val="18"/>
      <w:szCs w:val="18"/>
      <w:shd w:val="clear" w:color="auto" w:fill="FFFFFF"/>
    </w:rPr>
  </w:style>
  <w:style w:type="paragraph" w:customStyle="1" w:styleId="Bodytext10">
    <w:name w:val="Body text1"/>
    <w:basedOn w:val="Normal"/>
    <w:link w:val="BodyText1"/>
    <w:uiPriority w:val="99"/>
    <w:rsid w:val="00996723"/>
    <w:pPr>
      <w:shd w:val="clear" w:color="auto" w:fill="FFFFFF"/>
      <w:spacing w:before="300" w:line="235" w:lineRule="exact"/>
      <w:ind w:firstLine="240"/>
      <w:jc w:val="both"/>
    </w:pPr>
    <w:rPr>
      <w:sz w:val="18"/>
      <w:szCs w:val="18"/>
      <w:lang w:val="x-none" w:eastAsia="x-none"/>
    </w:rPr>
  </w:style>
  <w:style w:type="paragraph" w:customStyle="1" w:styleId="Bodytext81">
    <w:name w:val="Body text (8)1"/>
    <w:basedOn w:val="Normal"/>
    <w:link w:val="Bodytext8"/>
    <w:uiPriority w:val="99"/>
    <w:rsid w:val="00996723"/>
    <w:pPr>
      <w:shd w:val="clear" w:color="auto" w:fill="FFFFFF"/>
      <w:spacing w:line="235" w:lineRule="exact"/>
      <w:jc w:val="both"/>
    </w:pPr>
    <w:rPr>
      <w:sz w:val="18"/>
      <w:szCs w:val="18"/>
      <w:lang w:val="x-none" w:eastAsia="x-none"/>
    </w:rPr>
  </w:style>
  <w:style w:type="character" w:customStyle="1" w:styleId="Bodytext85">
    <w:name w:val="Body text (8)5"/>
    <w:uiPriority w:val="99"/>
    <w:rsid w:val="00D247F0"/>
    <w:rPr>
      <w:rFonts w:ascii="Times New Roman" w:hAnsi="Times New Roman" w:cs="Times New Roman"/>
      <w:sz w:val="18"/>
      <w:szCs w:val="18"/>
      <w:shd w:val="clear" w:color="auto" w:fill="FFFFFF"/>
      <w:lang w:val="de-DE" w:eastAsia="de-DE"/>
    </w:rPr>
  </w:style>
  <w:style w:type="character" w:customStyle="1" w:styleId="Bodytext20">
    <w:name w:val="Body text2"/>
    <w:uiPriority w:val="99"/>
    <w:rsid w:val="00D247F0"/>
    <w:rPr>
      <w:rFonts w:ascii="Times New Roman" w:hAnsi="Times New Roman" w:cs="Times New Roman"/>
      <w:sz w:val="18"/>
      <w:szCs w:val="18"/>
      <w:shd w:val="clear" w:color="auto" w:fill="FFFFFF"/>
      <w:lang w:val="de-DE" w:eastAsia="de-DE"/>
    </w:rPr>
  </w:style>
  <w:style w:type="character" w:customStyle="1" w:styleId="Bodytext100">
    <w:name w:val="Body text (10)"/>
    <w:link w:val="Bodytext101"/>
    <w:uiPriority w:val="99"/>
    <w:rsid w:val="00D247F0"/>
    <w:rPr>
      <w:i/>
      <w:iCs/>
      <w:sz w:val="18"/>
      <w:szCs w:val="18"/>
      <w:shd w:val="clear" w:color="auto" w:fill="FFFFFF"/>
    </w:rPr>
  </w:style>
  <w:style w:type="paragraph" w:customStyle="1" w:styleId="Bodytext101">
    <w:name w:val="Body text (10)1"/>
    <w:basedOn w:val="Normal"/>
    <w:link w:val="Bodytext100"/>
    <w:uiPriority w:val="99"/>
    <w:rsid w:val="00D247F0"/>
    <w:pPr>
      <w:shd w:val="clear" w:color="auto" w:fill="FFFFFF"/>
      <w:spacing w:before="180" w:after="300" w:line="240" w:lineRule="atLeast"/>
    </w:pPr>
    <w:rPr>
      <w:i/>
      <w:iCs/>
      <w:sz w:val="18"/>
      <w:szCs w:val="18"/>
      <w:lang w:val="x-none" w:eastAsia="x-none"/>
    </w:rPr>
  </w:style>
  <w:style w:type="character" w:customStyle="1" w:styleId="Bodytext11">
    <w:name w:val="Body text (11)"/>
    <w:link w:val="Bodytext111"/>
    <w:uiPriority w:val="99"/>
    <w:rsid w:val="00D247F0"/>
    <w:rPr>
      <w:sz w:val="18"/>
      <w:szCs w:val="18"/>
      <w:shd w:val="clear" w:color="auto" w:fill="FFFFFF"/>
      <w:lang w:val="fr-FR" w:eastAsia="fr-FR"/>
    </w:rPr>
  </w:style>
  <w:style w:type="character" w:customStyle="1" w:styleId="Bodytext118pt">
    <w:name w:val="Body text (11) + 8 pt"/>
    <w:uiPriority w:val="99"/>
    <w:rsid w:val="00D247F0"/>
    <w:rPr>
      <w:noProof/>
      <w:sz w:val="16"/>
      <w:szCs w:val="16"/>
      <w:shd w:val="clear" w:color="auto" w:fill="FFFFFF"/>
      <w:lang w:val="fr-FR" w:eastAsia="fr-FR"/>
    </w:rPr>
  </w:style>
  <w:style w:type="character" w:customStyle="1" w:styleId="Bodytext108pt">
    <w:name w:val="Body text (10) + 8 pt"/>
    <w:aliases w:val="Not Italic"/>
    <w:uiPriority w:val="99"/>
    <w:rsid w:val="00D247F0"/>
    <w:rPr>
      <w:rFonts w:ascii="Times New Roman" w:hAnsi="Times New Roman" w:cs="Times New Roman"/>
      <w:i/>
      <w:iCs/>
      <w:noProof/>
      <w:sz w:val="16"/>
      <w:szCs w:val="16"/>
      <w:shd w:val="clear" w:color="auto" w:fill="FFFFFF"/>
    </w:rPr>
  </w:style>
  <w:style w:type="character" w:customStyle="1" w:styleId="Bodytext8pt">
    <w:name w:val="Body text + 8 pt"/>
    <w:uiPriority w:val="99"/>
    <w:rsid w:val="00D247F0"/>
    <w:rPr>
      <w:rFonts w:ascii="Times New Roman" w:hAnsi="Times New Roman" w:cs="Times New Roman"/>
      <w:noProof/>
      <w:sz w:val="16"/>
      <w:szCs w:val="16"/>
      <w:shd w:val="clear" w:color="auto" w:fill="FFFFFF"/>
    </w:rPr>
  </w:style>
  <w:style w:type="character" w:customStyle="1" w:styleId="BodytextItalic">
    <w:name w:val="Body text + Italic"/>
    <w:uiPriority w:val="99"/>
    <w:rsid w:val="00D247F0"/>
    <w:rPr>
      <w:rFonts w:ascii="Times New Roman" w:hAnsi="Times New Roman" w:cs="Times New Roman"/>
      <w:i/>
      <w:iCs/>
      <w:sz w:val="18"/>
      <w:szCs w:val="18"/>
      <w:shd w:val="clear" w:color="auto" w:fill="FFFFFF"/>
      <w:lang w:val="fr-FR" w:eastAsia="fr-FR"/>
    </w:rPr>
  </w:style>
  <w:style w:type="paragraph" w:customStyle="1" w:styleId="Bodytext111">
    <w:name w:val="Body text (11)1"/>
    <w:basedOn w:val="Normal"/>
    <w:link w:val="Bodytext11"/>
    <w:uiPriority w:val="99"/>
    <w:rsid w:val="00D247F0"/>
    <w:pPr>
      <w:shd w:val="clear" w:color="auto" w:fill="FFFFFF"/>
      <w:spacing w:before="180" w:line="235" w:lineRule="exact"/>
    </w:pPr>
    <w:rPr>
      <w:sz w:val="18"/>
      <w:szCs w:val="18"/>
      <w:lang w:val="fr-FR" w:eastAsia="fr-FR"/>
    </w:rPr>
  </w:style>
  <w:style w:type="character" w:customStyle="1" w:styleId="Bodytext30">
    <w:name w:val="Body text (3)"/>
    <w:link w:val="Bodytext31"/>
    <w:uiPriority w:val="99"/>
    <w:rsid w:val="00D247F0"/>
    <w:rPr>
      <w:sz w:val="14"/>
      <w:szCs w:val="14"/>
      <w:shd w:val="clear" w:color="auto" w:fill="FFFFFF"/>
      <w:lang w:val="de-DE" w:eastAsia="de-DE"/>
    </w:rPr>
  </w:style>
  <w:style w:type="paragraph" w:customStyle="1" w:styleId="Bodytext31">
    <w:name w:val="Body text (3)1"/>
    <w:basedOn w:val="Normal"/>
    <w:link w:val="Bodytext30"/>
    <w:uiPriority w:val="99"/>
    <w:rsid w:val="00D247F0"/>
    <w:pPr>
      <w:shd w:val="clear" w:color="auto" w:fill="FFFFFF"/>
      <w:spacing w:before="360" w:line="240" w:lineRule="atLeast"/>
    </w:pPr>
    <w:rPr>
      <w:sz w:val="14"/>
      <w:szCs w:val="14"/>
      <w:lang w:val="de-DE" w:eastAsia="de-DE"/>
    </w:rPr>
  </w:style>
  <w:style w:type="character" w:customStyle="1" w:styleId="Bodytext88pt">
    <w:name w:val="Body text (8) + 8 pt"/>
    <w:uiPriority w:val="99"/>
    <w:rsid w:val="006A4D3E"/>
    <w:rPr>
      <w:rFonts w:ascii="Times New Roman" w:hAnsi="Times New Roman" w:cs="Times New Roman"/>
      <w:noProof/>
      <w:sz w:val="16"/>
      <w:szCs w:val="16"/>
      <w:shd w:val="clear" w:color="auto" w:fill="FFFFFF"/>
    </w:rPr>
  </w:style>
  <w:style w:type="character" w:customStyle="1" w:styleId="Bodytext8Italic">
    <w:name w:val="Body text (8) + Italic"/>
    <w:uiPriority w:val="99"/>
    <w:rsid w:val="006A4D3E"/>
    <w:rPr>
      <w:rFonts w:ascii="Times New Roman" w:hAnsi="Times New Roman" w:cs="Times New Roman"/>
      <w:i/>
      <w:iCs/>
      <w:sz w:val="18"/>
      <w:szCs w:val="18"/>
      <w:shd w:val="clear" w:color="auto" w:fill="FFFFFF"/>
      <w:lang w:val="fr-FR" w:eastAsia="fr-FR"/>
    </w:rPr>
  </w:style>
  <w:style w:type="character" w:customStyle="1" w:styleId="Picturecaption22">
    <w:name w:val="Picture caption (2)2"/>
    <w:uiPriority w:val="99"/>
    <w:rsid w:val="006A4D3E"/>
    <w:rPr>
      <w:rFonts w:ascii="Times New Roman" w:hAnsi="Times New Roman" w:cs="Times New Roman"/>
      <w:sz w:val="20"/>
      <w:szCs w:val="20"/>
      <w:lang w:val="es-ES_tradnl" w:eastAsia="es-ES_tradnl"/>
    </w:rPr>
  </w:style>
  <w:style w:type="character" w:customStyle="1" w:styleId="Bodytext9">
    <w:name w:val="Body text (9)"/>
    <w:link w:val="Bodytext91"/>
    <w:uiPriority w:val="99"/>
    <w:rsid w:val="002F728F"/>
    <w:rPr>
      <w:sz w:val="14"/>
      <w:szCs w:val="14"/>
      <w:shd w:val="clear" w:color="auto" w:fill="FFFFFF"/>
      <w:lang w:val="de-DE" w:eastAsia="de-DE"/>
    </w:rPr>
  </w:style>
  <w:style w:type="character" w:customStyle="1" w:styleId="Tableofcontents">
    <w:name w:val="Table of contents"/>
    <w:link w:val="Tableofcontents1"/>
    <w:uiPriority w:val="99"/>
    <w:rsid w:val="002F728F"/>
    <w:rPr>
      <w:sz w:val="14"/>
      <w:szCs w:val="14"/>
      <w:shd w:val="clear" w:color="auto" w:fill="FFFFFF"/>
      <w:lang w:val="de-DE" w:eastAsia="de-DE"/>
    </w:rPr>
  </w:style>
  <w:style w:type="character" w:customStyle="1" w:styleId="Bodytext15">
    <w:name w:val="Body text (15)"/>
    <w:link w:val="Bodytext151"/>
    <w:uiPriority w:val="99"/>
    <w:rsid w:val="002F728F"/>
    <w:rPr>
      <w:i/>
      <w:iCs/>
      <w:sz w:val="16"/>
      <w:szCs w:val="16"/>
      <w:shd w:val="clear" w:color="auto" w:fill="FFFFFF"/>
    </w:rPr>
  </w:style>
  <w:style w:type="character" w:customStyle="1" w:styleId="Bodytext96pt">
    <w:name w:val="Body text (9) + 6 pt"/>
    <w:uiPriority w:val="99"/>
    <w:rsid w:val="002F728F"/>
    <w:rPr>
      <w:sz w:val="12"/>
      <w:szCs w:val="12"/>
      <w:shd w:val="clear" w:color="auto" w:fill="FFFFFF"/>
      <w:lang w:val="fr-FR" w:eastAsia="fr-FR"/>
    </w:rPr>
  </w:style>
  <w:style w:type="paragraph" w:customStyle="1" w:styleId="Bodytext91">
    <w:name w:val="Body text (9)1"/>
    <w:basedOn w:val="Normal"/>
    <w:link w:val="Bodytext9"/>
    <w:uiPriority w:val="99"/>
    <w:rsid w:val="002F728F"/>
    <w:pPr>
      <w:shd w:val="clear" w:color="auto" w:fill="FFFFFF"/>
      <w:spacing w:line="197" w:lineRule="exact"/>
      <w:jc w:val="both"/>
    </w:pPr>
    <w:rPr>
      <w:sz w:val="14"/>
      <w:szCs w:val="14"/>
      <w:lang w:val="de-DE" w:eastAsia="de-DE"/>
    </w:rPr>
  </w:style>
  <w:style w:type="paragraph" w:customStyle="1" w:styleId="Tableofcontents1">
    <w:name w:val="Table of contents1"/>
    <w:basedOn w:val="Normal"/>
    <w:link w:val="Tableofcontents"/>
    <w:uiPriority w:val="99"/>
    <w:rsid w:val="002F728F"/>
    <w:pPr>
      <w:shd w:val="clear" w:color="auto" w:fill="FFFFFF"/>
      <w:spacing w:line="77" w:lineRule="exact"/>
    </w:pPr>
    <w:rPr>
      <w:sz w:val="14"/>
      <w:szCs w:val="14"/>
      <w:lang w:val="de-DE" w:eastAsia="de-DE"/>
    </w:rPr>
  </w:style>
  <w:style w:type="paragraph" w:customStyle="1" w:styleId="Bodytext151">
    <w:name w:val="Body text (15)1"/>
    <w:basedOn w:val="Normal"/>
    <w:link w:val="Bodytext15"/>
    <w:uiPriority w:val="99"/>
    <w:rsid w:val="002F728F"/>
    <w:pPr>
      <w:shd w:val="clear" w:color="auto" w:fill="FFFFFF"/>
      <w:spacing w:after="300" w:line="240" w:lineRule="atLeast"/>
      <w:jc w:val="both"/>
    </w:pPr>
    <w:rPr>
      <w:i/>
      <w:iCs/>
      <w:sz w:val="16"/>
      <w:szCs w:val="16"/>
      <w:lang w:val="x-none" w:eastAsia="x-none"/>
    </w:rPr>
  </w:style>
  <w:style w:type="character" w:customStyle="1" w:styleId="Picturecaption">
    <w:name w:val="Picture caption"/>
    <w:link w:val="Picturecaption1"/>
    <w:uiPriority w:val="99"/>
    <w:rsid w:val="00074CC3"/>
    <w:rPr>
      <w:sz w:val="22"/>
      <w:szCs w:val="22"/>
      <w:shd w:val="clear" w:color="auto" w:fill="FFFFFF"/>
    </w:rPr>
  </w:style>
  <w:style w:type="paragraph" w:customStyle="1" w:styleId="Picturecaption1">
    <w:name w:val="Picture caption1"/>
    <w:basedOn w:val="Normal"/>
    <w:link w:val="Picturecaption"/>
    <w:uiPriority w:val="99"/>
    <w:rsid w:val="00074CC3"/>
    <w:pPr>
      <w:shd w:val="clear" w:color="auto" w:fill="FFFFFF"/>
      <w:spacing w:line="240" w:lineRule="atLeast"/>
    </w:pPr>
    <w:rPr>
      <w:sz w:val="22"/>
      <w:szCs w:val="22"/>
      <w:lang w:val="x-none" w:eastAsia="x-none"/>
    </w:rPr>
  </w:style>
  <w:style w:type="character" w:customStyle="1" w:styleId="Bodytext22">
    <w:name w:val="Body text (2)"/>
    <w:link w:val="Bodytext210"/>
    <w:uiPriority w:val="99"/>
    <w:rsid w:val="0056151E"/>
    <w:rPr>
      <w:sz w:val="22"/>
      <w:szCs w:val="22"/>
      <w:shd w:val="clear" w:color="auto" w:fill="FFFFFF"/>
    </w:rPr>
  </w:style>
  <w:style w:type="paragraph" w:customStyle="1" w:styleId="Bodytext210">
    <w:name w:val="Body text (2)1"/>
    <w:basedOn w:val="Normal"/>
    <w:link w:val="Bodytext22"/>
    <w:uiPriority w:val="99"/>
    <w:rsid w:val="0056151E"/>
    <w:pPr>
      <w:shd w:val="clear" w:color="auto" w:fill="FFFFFF"/>
      <w:spacing w:line="254" w:lineRule="exact"/>
    </w:pPr>
    <w:rPr>
      <w:sz w:val="22"/>
      <w:szCs w:val="22"/>
      <w:lang w:val="x-none" w:eastAsia="x-none"/>
    </w:rPr>
  </w:style>
  <w:style w:type="character" w:customStyle="1" w:styleId="Bodytext12pt">
    <w:name w:val="Body text + 12 pt"/>
    <w:aliases w:val="Italic"/>
    <w:uiPriority w:val="99"/>
    <w:rsid w:val="00A553DE"/>
    <w:rPr>
      <w:rFonts w:ascii="Times New Roman" w:hAnsi="Times New Roman" w:cs="Times New Roman"/>
      <w:i/>
      <w:iCs/>
      <w:sz w:val="24"/>
      <w:szCs w:val="24"/>
      <w:shd w:val="clear" w:color="auto" w:fill="FFFFFF"/>
      <w:lang w:val="it-IT" w:eastAsia="it-IT"/>
    </w:rPr>
  </w:style>
  <w:style w:type="table" w:styleId="TableGrid">
    <w:name w:val="Table Grid"/>
    <w:basedOn w:val="TableNormal"/>
    <w:uiPriority w:val="39"/>
    <w:rsid w:val="00A065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skrift">
    <w:name w:val="overskrift"/>
    <w:basedOn w:val="DefaultParagraphFont"/>
    <w:rsid w:val="000C4445"/>
  </w:style>
  <w:style w:type="character" w:styleId="CommentReference">
    <w:name w:val="annotation reference"/>
    <w:uiPriority w:val="99"/>
    <w:rsid w:val="00D82ACB"/>
    <w:rPr>
      <w:sz w:val="16"/>
      <w:szCs w:val="16"/>
    </w:rPr>
  </w:style>
  <w:style w:type="paragraph" w:styleId="CommentText">
    <w:name w:val="annotation text"/>
    <w:basedOn w:val="Normal"/>
    <w:link w:val="CommentTextChar"/>
    <w:rsid w:val="00D82ACB"/>
    <w:rPr>
      <w:sz w:val="20"/>
      <w:szCs w:val="20"/>
    </w:rPr>
  </w:style>
  <w:style w:type="character" w:customStyle="1" w:styleId="CommentTextChar">
    <w:name w:val="Comment Text Char"/>
    <w:basedOn w:val="DefaultParagraphFont"/>
    <w:link w:val="CommentText"/>
    <w:rsid w:val="00D82ACB"/>
  </w:style>
  <w:style w:type="character" w:customStyle="1" w:styleId="TitleChar">
    <w:name w:val="Title Char"/>
    <w:link w:val="Title"/>
    <w:rsid w:val="00394D5E"/>
    <w:rPr>
      <w:b/>
      <w:bCs/>
      <w:snapToGrid w:val="0"/>
      <w:sz w:val="24"/>
      <w:szCs w:val="24"/>
    </w:rPr>
  </w:style>
  <w:style w:type="character" w:customStyle="1" w:styleId="Heading2Char">
    <w:name w:val="Heading 2 Char"/>
    <w:link w:val="Heading2"/>
    <w:rsid w:val="00AE4186"/>
    <w:rPr>
      <w:b/>
      <w:bCs/>
      <w:i/>
      <w:sz w:val="24"/>
      <w:szCs w:val="24"/>
      <w:lang w:val="x-none" w:eastAsia="x-none"/>
    </w:rPr>
  </w:style>
  <w:style w:type="character" w:customStyle="1" w:styleId="FootnoteTextChar">
    <w:name w:val="Footnote Text Char"/>
    <w:basedOn w:val="DefaultParagraphFont"/>
    <w:link w:val="FootnoteText"/>
    <w:uiPriority w:val="99"/>
    <w:semiHidden/>
    <w:rsid w:val="000A2B23"/>
  </w:style>
  <w:style w:type="character" w:customStyle="1" w:styleId="Heading3Char">
    <w:name w:val="Heading 3 Char"/>
    <w:link w:val="Heading3"/>
    <w:rsid w:val="00CD0D4A"/>
    <w:rPr>
      <w:b/>
      <w:sz w:val="24"/>
      <w:szCs w:val="24"/>
      <w:lang w:val="x-none" w:eastAsia="x-none"/>
    </w:rPr>
  </w:style>
  <w:style w:type="character" w:customStyle="1" w:styleId="Heading4Char">
    <w:name w:val="Heading 4 Char"/>
    <w:link w:val="Heading4"/>
    <w:rsid w:val="00CD0D4A"/>
    <w:rPr>
      <w:i/>
      <w:iCs/>
      <w:sz w:val="24"/>
      <w:szCs w:val="24"/>
      <w:lang w:val="x-none" w:eastAsia="x-none"/>
    </w:rPr>
  </w:style>
  <w:style w:type="character" w:customStyle="1" w:styleId="Heading5Char">
    <w:name w:val="Heading 5 Char"/>
    <w:link w:val="Heading5"/>
    <w:rsid w:val="00CD0D4A"/>
    <w:rPr>
      <w:b/>
      <w:bCs/>
      <w:i/>
      <w:iCs/>
      <w:sz w:val="26"/>
      <w:szCs w:val="26"/>
      <w:lang w:val="x-none" w:eastAsia="x-none"/>
    </w:rPr>
  </w:style>
  <w:style w:type="character" w:customStyle="1" w:styleId="Heading6Char">
    <w:name w:val="Heading 6 Char"/>
    <w:link w:val="Heading6"/>
    <w:rsid w:val="00CD0D4A"/>
    <w:rPr>
      <w:b/>
      <w:bCs/>
      <w:sz w:val="22"/>
      <w:szCs w:val="22"/>
      <w:lang w:val="x-none" w:eastAsia="x-none"/>
    </w:rPr>
  </w:style>
  <w:style w:type="character" w:customStyle="1" w:styleId="Heading7Char">
    <w:name w:val="Heading 7 Char"/>
    <w:link w:val="Heading7"/>
    <w:rsid w:val="00CD0D4A"/>
    <w:rPr>
      <w:sz w:val="24"/>
      <w:szCs w:val="24"/>
      <w:lang w:val="x-none" w:eastAsia="x-none"/>
    </w:rPr>
  </w:style>
  <w:style w:type="character" w:customStyle="1" w:styleId="Heading8Char">
    <w:name w:val="Heading 8 Char"/>
    <w:link w:val="Heading8"/>
    <w:rsid w:val="00CD0D4A"/>
    <w:rPr>
      <w:i/>
      <w:iCs/>
      <w:sz w:val="24"/>
      <w:szCs w:val="24"/>
      <w:lang w:val="x-none" w:eastAsia="x-none"/>
    </w:rPr>
  </w:style>
  <w:style w:type="character" w:customStyle="1" w:styleId="Heading9Char">
    <w:name w:val="Heading 9 Char"/>
    <w:link w:val="Heading9"/>
    <w:rsid w:val="00CD0D4A"/>
    <w:rPr>
      <w:rFonts w:ascii="Arial" w:hAnsi="Arial"/>
      <w:sz w:val="22"/>
      <w:szCs w:val="22"/>
      <w:lang w:val="x-none" w:eastAsia="x-none"/>
    </w:rPr>
  </w:style>
  <w:style w:type="character" w:customStyle="1" w:styleId="BodyTextChar">
    <w:name w:val="Body Text Char"/>
    <w:link w:val="BodyText"/>
    <w:semiHidden/>
    <w:rsid w:val="00CD0D4A"/>
    <w:rPr>
      <w:i/>
      <w:iCs/>
      <w:sz w:val="24"/>
      <w:szCs w:val="24"/>
    </w:rPr>
  </w:style>
  <w:style w:type="character" w:customStyle="1" w:styleId="BodyText2Char">
    <w:name w:val="Body Text 2 Char"/>
    <w:link w:val="BodyText2"/>
    <w:semiHidden/>
    <w:rsid w:val="00CD0D4A"/>
    <w:rPr>
      <w:color w:val="0000FF"/>
      <w:sz w:val="24"/>
      <w:szCs w:val="24"/>
      <w:lang w:val="en-US"/>
    </w:rPr>
  </w:style>
  <w:style w:type="character" w:customStyle="1" w:styleId="BodyText3Char">
    <w:name w:val="Body Text 3 Char"/>
    <w:link w:val="BodyText3"/>
    <w:semiHidden/>
    <w:rsid w:val="00CD0D4A"/>
    <w:rPr>
      <w:color w:val="0000FF"/>
      <w:sz w:val="24"/>
      <w:szCs w:val="24"/>
      <w:lang w:val="en-US"/>
    </w:rPr>
  </w:style>
  <w:style w:type="character" w:customStyle="1" w:styleId="PlainTextChar">
    <w:name w:val="Plain Text Char"/>
    <w:link w:val="PlainText"/>
    <w:semiHidden/>
    <w:rsid w:val="00CD0D4A"/>
    <w:rPr>
      <w:rFonts w:ascii="Arial" w:eastAsia="MS Mincho" w:hAnsi="Arial" w:cs="Arial"/>
      <w:sz w:val="18"/>
      <w:lang w:val="en-GB" w:eastAsia="en-US"/>
    </w:rPr>
  </w:style>
  <w:style w:type="character" w:customStyle="1" w:styleId="FooterChar">
    <w:name w:val="Footer Char"/>
    <w:link w:val="Footer"/>
    <w:uiPriority w:val="99"/>
    <w:rsid w:val="00CD0D4A"/>
    <w:rPr>
      <w:sz w:val="24"/>
      <w:szCs w:val="24"/>
    </w:rPr>
  </w:style>
  <w:style w:type="paragraph" w:customStyle="1" w:styleId="Revisione1">
    <w:name w:val="Revisione1"/>
    <w:hidden/>
    <w:uiPriority w:val="99"/>
    <w:semiHidden/>
    <w:rsid w:val="00CD0D4A"/>
    <w:rPr>
      <w:sz w:val="24"/>
      <w:szCs w:val="24"/>
      <w:lang w:val="it-IT" w:eastAsia="it-IT"/>
    </w:rPr>
  </w:style>
  <w:style w:type="character" w:customStyle="1" w:styleId="st">
    <w:name w:val="st"/>
    <w:rsid w:val="00FF400D"/>
  </w:style>
  <w:style w:type="character" w:customStyle="1" w:styleId="blackclass">
    <w:name w:val="blackclass"/>
    <w:rsid w:val="001319FF"/>
  </w:style>
  <w:style w:type="character" w:customStyle="1" w:styleId="phraseanchor">
    <w:name w:val="phrase_anchor"/>
    <w:rsid w:val="001319FF"/>
  </w:style>
  <w:style w:type="character" w:customStyle="1" w:styleId="blueclass">
    <w:name w:val="blueclass"/>
    <w:rsid w:val="001319FF"/>
  </w:style>
  <w:style w:type="character" w:customStyle="1" w:styleId="greenclass">
    <w:name w:val="greenclass"/>
    <w:rsid w:val="00695FFA"/>
  </w:style>
  <w:style w:type="character" w:customStyle="1" w:styleId="contextmenu">
    <w:name w:val="context_menu"/>
    <w:rsid w:val="006A6AAC"/>
  </w:style>
  <w:style w:type="character" w:customStyle="1" w:styleId="hps">
    <w:name w:val="hps"/>
    <w:rsid w:val="00F471A0"/>
  </w:style>
  <w:style w:type="paragraph" w:customStyle="1" w:styleId="Els-table-text">
    <w:name w:val="Els-table-text"/>
    <w:rsid w:val="00446651"/>
    <w:pPr>
      <w:keepNext/>
      <w:spacing w:after="80" w:line="200" w:lineRule="exact"/>
    </w:pPr>
    <w:rPr>
      <w:rFonts w:eastAsia="SimSun"/>
      <w:sz w:val="16"/>
      <w:lang w:val="en-US" w:eastAsia="en-US"/>
    </w:rPr>
  </w:style>
  <w:style w:type="paragraph" w:styleId="NormalIndent">
    <w:name w:val="Normal Indent"/>
    <w:basedOn w:val="Normal"/>
    <w:uiPriority w:val="99"/>
    <w:rsid w:val="005B7FBE"/>
    <w:pPr>
      <w:widowControl w:val="0"/>
      <w:spacing w:line="500" w:lineRule="exact"/>
      <w:ind w:firstLine="482"/>
      <w:jc w:val="both"/>
    </w:pPr>
    <w:rPr>
      <w:rFonts w:ascii="KaiTi_GB2312" w:eastAsia="KaiTi_GB2312"/>
      <w:kern w:val="2"/>
      <w:szCs w:val="20"/>
      <w:lang w:val="en-US" w:eastAsia="zh-CN"/>
    </w:rPr>
  </w:style>
  <w:style w:type="paragraph" w:customStyle="1" w:styleId="Els-body-text">
    <w:name w:val="Els-body-text"/>
    <w:link w:val="Els-body-textChar"/>
    <w:rsid w:val="00D31BD7"/>
    <w:pPr>
      <w:keepNext/>
      <w:spacing w:line="240" w:lineRule="exact"/>
      <w:ind w:firstLine="238"/>
      <w:jc w:val="both"/>
    </w:pPr>
    <w:rPr>
      <w:rFonts w:eastAsia="SimSun"/>
      <w:lang w:val="en-US" w:eastAsia="en-US"/>
    </w:rPr>
  </w:style>
  <w:style w:type="paragraph" w:customStyle="1" w:styleId="Els-caption">
    <w:name w:val="Els-caption"/>
    <w:rsid w:val="00CC07B3"/>
    <w:pPr>
      <w:keepLines/>
      <w:spacing w:before="200" w:after="240" w:line="200" w:lineRule="exact"/>
    </w:pPr>
    <w:rPr>
      <w:rFonts w:eastAsia="SimSun"/>
      <w:sz w:val="16"/>
      <w:lang w:val="en-US" w:eastAsia="en-US"/>
    </w:rPr>
  </w:style>
  <w:style w:type="paragraph" w:customStyle="1" w:styleId="svarticle">
    <w:name w:val="svarticle"/>
    <w:basedOn w:val="Normal"/>
    <w:rsid w:val="004301CA"/>
    <w:pPr>
      <w:spacing w:before="100" w:beforeAutospacing="1" w:after="100" w:afterAutospacing="1"/>
    </w:pPr>
  </w:style>
  <w:style w:type="character" w:customStyle="1" w:styleId="atn">
    <w:name w:val="atn"/>
    <w:rsid w:val="00752686"/>
  </w:style>
  <w:style w:type="paragraph" w:customStyle="1" w:styleId="Paragrafoelenco2">
    <w:name w:val="Paragrafo elenco2"/>
    <w:basedOn w:val="Normal"/>
    <w:qFormat/>
    <w:rsid w:val="00A165FC"/>
    <w:pPr>
      <w:suppressAutoHyphens/>
      <w:ind w:left="720"/>
    </w:pPr>
    <w:rPr>
      <w:rFonts w:eastAsia="Calibri"/>
      <w:lang w:eastAsia="ar-SA"/>
    </w:rPr>
  </w:style>
  <w:style w:type="paragraph" w:styleId="CommentSubject">
    <w:name w:val="annotation subject"/>
    <w:basedOn w:val="CommentText"/>
    <w:next w:val="CommentText"/>
    <w:link w:val="CommentSubjectChar"/>
    <w:unhideWhenUsed/>
    <w:rsid w:val="00027BC9"/>
    <w:rPr>
      <w:b/>
      <w:bCs/>
    </w:rPr>
  </w:style>
  <w:style w:type="character" w:customStyle="1" w:styleId="CommentSubjectChar">
    <w:name w:val="Comment Subject Char"/>
    <w:link w:val="CommentSubject"/>
    <w:rsid w:val="00027BC9"/>
    <w:rPr>
      <w:b/>
      <w:bCs/>
    </w:rPr>
  </w:style>
  <w:style w:type="paragraph" w:customStyle="1" w:styleId="Default">
    <w:name w:val="Default"/>
    <w:rsid w:val="00520FF2"/>
    <w:pPr>
      <w:autoSpaceDE w:val="0"/>
      <w:autoSpaceDN w:val="0"/>
      <w:adjustRightInd w:val="0"/>
    </w:pPr>
    <w:rPr>
      <w:rFonts w:ascii="Caslon Book BE Regular" w:eastAsia="MS Mincho" w:hAnsi="Caslon Book BE Regular" w:cs="Caslon Book BE Regular"/>
      <w:color w:val="000000"/>
      <w:sz w:val="24"/>
      <w:szCs w:val="24"/>
      <w:lang w:val="it-IT" w:eastAsia="ja-JP"/>
    </w:rPr>
  </w:style>
  <w:style w:type="paragraph" w:customStyle="1" w:styleId="EndNoteBibliographyTitle">
    <w:name w:val="EndNote Bibliography Title"/>
    <w:basedOn w:val="Normal"/>
    <w:link w:val="EndNoteBibliographyTitleChar"/>
    <w:rsid w:val="0042312D"/>
    <w:pPr>
      <w:jc w:val="center"/>
    </w:pPr>
    <w:rPr>
      <w:noProof/>
    </w:rPr>
  </w:style>
  <w:style w:type="character" w:customStyle="1" w:styleId="EndNoteBibliographyTitleChar">
    <w:name w:val="EndNote Bibliography Title Char"/>
    <w:link w:val="EndNoteBibliographyTitle"/>
    <w:rsid w:val="0042312D"/>
    <w:rPr>
      <w:noProof/>
      <w:sz w:val="24"/>
      <w:szCs w:val="24"/>
      <w:lang w:val="it-IT" w:eastAsia="it-IT"/>
    </w:rPr>
  </w:style>
  <w:style w:type="paragraph" w:customStyle="1" w:styleId="EndNoteBibliography">
    <w:name w:val="EndNote Bibliography"/>
    <w:basedOn w:val="Normal"/>
    <w:link w:val="EndNoteBibliographyChar"/>
    <w:rsid w:val="0042312D"/>
    <w:rPr>
      <w:noProof/>
    </w:rPr>
  </w:style>
  <w:style w:type="character" w:customStyle="1" w:styleId="EndNoteBibliographyChar">
    <w:name w:val="EndNote Bibliography Char"/>
    <w:link w:val="EndNoteBibliography"/>
    <w:rsid w:val="0042312D"/>
    <w:rPr>
      <w:noProof/>
      <w:sz w:val="24"/>
      <w:szCs w:val="24"/>
      <w:lang w:val="it-IT" w:eastAsia="it-IT"/>
    </w:rPr>
  </w:style>
  <w:style w:type="paragraph" w:customStyle="1" w:styleId="Els-1storder-head">
    <w:name w:val="Els-1storder-head"/>
    <w:next w:val="Els-body-text"/>
    <w:rsid w:val="00D77857"/>
    <w:pPr>
      <w:keepNext/>
      <w:numPr>
        <w:numId w:val="2"/>
      </w:numPr>
      <w:suppressAutoHyphens/>
      <w:spacing w:before="240" w:after="240" w:line="240" w:lineRule="exact"/>
    </w:pPr>
    <w:rPr>
      <w:rFonts w:eastAsia="SimSun"/>
      <w:b/>
      <w:lang w:val="en-US" w:eastAsia="en-US"/>
    </w:rPr>
  </w:style>
  <w:style w:type="paragraph" w:customStyle="1" w:styleId="Els-2ndorder-head">
    <w:name w:val="Els-2ndorder-head"/>
    <w:next w:val="Els-body-text"/>
    <w:rsid w:val="00D77857"/>
    <w:pPr>
      <w:keepNext/>
      <w:numPr>
        <w:ilvl w:val="1"/>
        <w:numId w:val="2"/>
      </w:numPr>
      <w:suppressAutoHyphens/>
      <w:spacing w:before="240" w:after="240" w:line="240" w:lineRule="exact"/>
    </w:pPr>
    <w:rPr>
      <w:rFonts w:eastAsia="SimSun"/>
      <w:i/>
      <w:lang w:val="en-US" w:eastAsia="en-US"/>
    </w:rPr>
  </w:style>
  <w:style w:type="paragraph" w:customStyle="1" w:styleId="Els-3rdorder-head">
    <w:name w:val="Els-3rdorder-head"/>
    <w:next w:val="Els-body-text"/>
    <w:rsid w:val="00D77857"/>
    <w:pPr>
      <w:keepNext/>
      <w:numPr>
        <w:ilvl w:val="2"/>
        <w:numId w:val="2"/>
      </w:numPr>
      <w:suppressAutoHyphens/>
      <w:spacing w:before="240" w:line="240" w:lineRule="exact"/>
    </w:pPr>
    <w:rPr>
      <w:rFonts w:eastAsia="SimSun"/>
      <w:i/>
      <w:lang w:val="en-US" w:eastAsia="en-US"/>
    </w:rPr>
  </w:style>
  <w:style w:type="paragraph" w:customStyle="1" w:styleId="Els-4thorder-head">
    <w:name w:val="Els-4thorder-head"/>
    <w:next w:val="Els-body-text"/>
    <w:rsid w:val="00D77857"/>
    <w:pPr>
      <w:keepNext/>
      <w:numPr>
        <w:ilvl w:val="3"/>
        <w:numId w:val="2"/>
      </w:numPr>
      <w:suppressAutoHyphens/>
      <w:spacing w:before="240" w:line="240" w:lineRule="exact"/>
    </w:pPr>
    <w:rPr>
      <w:rFonts w:eastAsia="SimSun"/>
      <w:i/>
      <w:lang w:val="en-US" w:eastAsia="en-US"/>
    </w:rPr>
  </w:style>
  <w:style w:type="character" w:customStyle="1" w:styleId="Els-body-textChar">
    <w:name w:val="Els-body-text Char"/>
    <w:link w:val="Els-body-text"/>
    <w:rsid w:val="004077C4"/>
    <w:rPr>
      <w:rFonts w:eastAsia="SimSun"/>
    </w:rPr>
  </w:style>
  <w:style w:type="character" w:styleId="LineNumber">
    <w:name w:val="line number"/>
    <w:basedOn w:val="DefaultParagraphFont"/>
    <w:uiPriority w:val="99"/>
    <w:semiHidden/>
    <w:unhideWhenUsed/>
    <w:rsid w:val="002D1B79"/>
  </w:style>
  <w:style w:type="paragraph" w:customStyle="1" w:styleId="Els-Title">
    <w:name w:val="Els-Title"/>
    <w:next w:val="Normal"/>
    <w:autoRedefine/>
    <w:rsid w:val="006A6A1E"/>
    <w:pPr>
      <w:suppressAutoHyphens/>
      <w:spacing w:after="240" w:line="400" w:lineRule="exact"/>
      <w:jc w:val="center"/>
    </w:pPr>
    <w:rPr>
      <w:rFonts w:eastAsia="SimSun"/>
      <w:sz w:val="34"/>
      <w:lang w:val="en-US" w:eastAsia="en-US"/>
    </w:rPr>
  </w:style>
  <w:style w:type="paragraph" w:customStyle="1" w:styleId="Els-Affiliation">
    <w:name w:val="Els-Affiliation"/>
    <w:next w:val="Normal"/>
    <w:rsid w:val="006A6A1E"/>
    <w:pPr>
      <w:suppressAutoHyphens/>
      <w:spacing w:line="200" w:lineRule="exact"/>
      <w:jc w:val="center"/>
    </w:pPr>
    <w:rPr>
      <w:rFonts w:eastAsia="SimSun"/>
      <w:i/>
      <w:noProof/>
      <w:sz w:val="16"/>
      <w:lang w:val="en-US" w:eastAsia="en-US"/>
    </w:rPr>
  </w:style>
  <w:style w:type="paragraph" w:customStyle="1" w:styleId="Els-footnote">
    <w:name w:val="Els-footnote"/>
    <w:rsid w:val="006A6A1E"/>
    <w:pPr>
      <w:keepLines/>
      <w:widowControl w:val="0"/>
      <w:spacing w:line="200" w:lineRule="exact"/>
      <w:ind w:firstLine="245"/>
      <w:jc w:val="both"/>
    </w:pPr>
    <w:rPr>
      <w:rFonts w:eastAsia="SimSun"/>
      <w:sz w:val="16"/>
      <w:lang w:val="en-US" w:eastAsia="en-US"/>
    </w:rPr>
  </w:style>
  <w:style w:type="paragraph" w:customStyle="1" w:styleId="Els-Abstract-text">
    <w:name w:val="Els-Abstract-text"/>
    <w:next w:val="Normal"/>
    <w:rsid w:val="002B4B41"/>
    <w:pPr>
      <w:spacing w:line="220" w:lineRule="exact"/>
      <w:jc w:val="both"/>
    </w:pPr>
    <w:rPr>
      <w:rFonts w:eastAsia="SimSun"/>
      <w:sz w:val="18"/>
      <w:lang w:val="en-US" w:eastAsia="en-US"/>
    </w:rPr>
  </w:style>
  <w:style w:type="paragraph" w:styleId="ListParagraph">
    <w:name w:val="List Paragraph"/>
    <w:basedOn w:val="Normal"/>
    <w:uiPriority w:val="34"/>
    <w:qFormat/>
    <w:rsid w:val="002C4FDC"/>
    <w:pPr>
      <w:spacing w:after="160" w:line="259" w:lineRule="auto"/>
      <w:ind w:left="720"/>
      <w:contextualSpacing/>
    </w:pPr>
    <w:rPr>
      <w:rFonts w:ascii="Calibri" w:eastAsia="Calibri" w:hAnsi="Calibri"/>
      <w:sz w:val="22"/>
      <w:szCs w:val="22"/>
      <w:lang w:val="en-US" w:eastAsia="en-US"/>
    </w:rPr>
  </w:style>
  <w:style w:type="paragraph" w:customStyle="1" w:styleId="Stiletestodocumento">
    <w:name w:val="Stile testo documento"/>
    <w:basedOn w:val="Normal"/>
    <w:link w:val="StiletestodocumentoCarattereCarattere"/>
    <w:uiPriority w:val="99"/>
    <w:rsid w:val="00215DA2"/>
    <w:pPr>
      <w:spacing w:before="120"/>
    </w:pPr>
    <w:rPr>
      <w:rFonts w:ascii="Arial" w:hAnsi="Arial"/>
      <w:sz w:val="22"/>
      <w:szCs w:val="20"/>
    </w:rPr>
  </w:style>
  <w:style w:type="character" w:customStyle="1" w:styleId="StiletestodocumentoCarattereCarattere">
    <w:name w:val="Stile testo documento Carattere Carattere"/>
    <w:link w:val="Stiletestodocumento"/>
    <w:uiPriority w:val="99"/>
    <w:locked/>
    <w:rsid w:val="00215DA2"/>
    <w:rPr>
      <w:rFonts w:ascii="Arial" w:hAnsi="Arial"/>
      <w:sz w:val="22"/>
      <w:lang w:val="it-IT" w:eastAsia="it-IT"/>
    </w:rPr>
  </w:style>
  <w:style w:type="paragraph" w:customStyle="1" w:styleId="CM1">
    <w:name w:val="CM1"/>
    <w:basedOn w:val="Default"/>
    <w:next w:val="Default"/>
    <w:uiPriority w:val="99"/>
    <w:rsid w:val="00D764CA"/>
    <w:rPr>
      <w:rFonts w:ascii="EUAlbertina" w:eastAsia="Times New Roman" w:hAnsi="EUAlbertina" w:cs="Times New Roman"/>
      <w:color w:val="auto"/>
      <w:lang w:val="en-US" w:eastAsia="en-US"/>
    </w:rPr>
  </w:style>
  <w:style w:type="paragraph" w:customStyle="1" w:styleId="CM3">
    <w:name w:val="CM3"/>
    <w:basedOn w:val="Default"/>
    <w:next w:val="Default"/>
    <w:uiPriority w:val="99"/>
    <w:rsid w:val="00D764CA"/>
    <w:rPr>
      <w:rFonts w:ascii="EUAlbertina" w:eastAsia="Times New Roman" w:hAnsi="EUAlbertina" w:cs="Times New Roman"/>
      <w:color w:val="auto"/>
      <w:lang w:val="en-US" w:eastAsia="en-US"/>
    </w:rPr>
  </w:style>
  <w:style w:type="paragraph" w:customStyle="1" w:styleId="CM4">
    <w:name w:val="CM4"/>
    <w:basedOn w:val="Default"/>
    <w:next w:val="Default"/>
    <w:uiPriority w:val="99"/>
    <w:rsid w:val="00D764CA"/>
    <w:rPr>
      <w:rFonts w:ascii="EUAlbertina" w:eastAsia="Times New Roman" w:hAnsi="EUAlbertina" w:cs="Times New Roman"/>
      <w:color w:val="auto"/>
      <w:lang w:val="en-US" w:eastAsia="en-US"/>
    </w:rPr>
  </w:style>
  <w:style w:type="paragraph" w:customStyle="1" w:styleId="reference">
    <w:name w:val="reference"/>
    <w:basedOn w:val="Normal"/>
    <w:rsid w:val="0097788B"/>
    <w:pPr>
      <w:numPr>
        <w:numId w:val="3"/>
      </w:numPr>
      <w:tabs>
        <w:tab w:val="left" w:pos="-437"/>
        <w:tab w:val="num" w:pos="284"/>
      </w:tabs>
      <w:suppressAutoHyphens/>
      <w:autoSpaceDE w:val="0"/>
      <w:autoSpaceDN w:val="0"/>
      <w:ind w:left="284" w:hanging="295"/>
      <w:jc w:val="both"/>
    </w:pPr>
    <w:rPr>
      <w:spacing w:val="-3"/>
      <w:lang w:val="en-GB" w:eastAsia="en-US"/>
    </w:rPr>
  </w:style>
  <w:style w:type="paragraph" w:customStyle="1" w:styleId="Equation">
    <w:name w:val="Equation"/>
    <w:basedOn w:val="Normal"/>
    <w:rsid w:val="0097788B"/>
    <w:pPr>
      <w:tabs>
        <w:tab w:val="left" w:pos="-720"/>
        <w:tab w:val="right" w:pos="8931"/>
      </w:tabs>
      <w:suppressAutoHyphens/>
      <w:autoSpaceDE w:val="0"/>
      <w:autoSpaceDN w:val="0"/>
      <w:jc w:val="both"/>
    </w:pPr>
    <w:rPr>
      <w:lang w:val="en-GB" w:eastAsia="en-US"/>
    </w:rPr>
  </w:style>
  <w:style w:type="paragraph" w:customStyle="1" w:styleId="MISSN">
    <w:name w:val="M_ISSN"/>
    <w:basedOn w:val="Normal"/>
    <w:rsid w:val="0097788B"/>
    <w:pPr>
      <w:spacing w:after="520" w:line="340" w:lineRule="atLeast"/>
      <w:jc w:val="right"/>
    </w:pPr>
    <w:rPr>
      <w:color w:val="000000"/>
      <w:szCs w:val="20"/>
      <w:lang w:val="en-US" w:eastAsia="de-DE"/>
    </w:rPr>
  </w:style>
  <w:style w:type="paragraph" w:styleId="HTMLPreformatted">
    <w:name w:val="HTML Preformatted"/>
    <w:basedOn w:val="Normal"/>
    <w:link w:val="HTMLPreformattedChar"/>
    <w:uiPriority w:val="99"/>
    <w:unhideWhenUsed/>
    <w:rsid w:val="00977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97788B"/>
    <w:rPr>
      <w:rFonts w:ascii="Courier New" w:hAnsi="Courier New" w:cs="Courier New"/>
    </w:rPr>
  </w:style>
  <w:style w:type="paragraph" w:styleId="Revision">
    <w:name w:val="Revision"/>
    <w:hidden/>
    <w:uiPriority w:val="99"/>
    <w:semiHidden/>
    <w:rsid w:val="000C16C9"/>
    <w:rPr>
      <w:sz w:val="24"/>
      <w:szCs w:val="24"/>
      <w:lang w:val="it-IT" w:eastAsia="it-IT"/>
    </w:rPr>
  </w:style>
  <w:style w:type="paragraph" w:customStyle="1" w:styleId="MDPI31text">
    <w:name w:val="MDPI_3.1_text"/>
    <w:qFormat/>
    <w:rsid w:val="00903816"/>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41tablecaption">
    <w:name w:val="MDPI_4.1_table_caption"/>
    <w:basedOn w:val="Normal"/>
    <w:qFormat/>
    <w:rsid w:val="000A3F50"/>
    <w:pPr>
      <w:adjustRightInd w:val="0"/>
      <w:snapToGrid w:val="0"/>
      <w:spacing w:before="240" w:after="120" w:line="260" w:lineRule="atLeast"/>
      <w:ind w:left="425" w:right="425"/>
      <w:jc w:val="both"/>
    </w:pPr>
    <w:rPr>
      <w:rFonts w:ascii="Palatino Linotype" w:hAnsi="Palatino Linotype"/>
      <w:color w:val="000000"/>
      <w:sz w:val="18"/>
      <w:szCs w:val="22"/>
      <w:lang w:val="en-US" w:eastAsia="de-DE" w:bidi="en-US"/>
    </w:rPr>
  </w:style>
  <w:style w:type="paragraph" w:customStyle="1" w:styleId="MDPI42tablebody">
    <w:name w:val="MDPI_4.2_table_body"/>
    <w:qFormat/>
    <w:rsid w:val="000A3F50"/>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table">
    <w:name w:val="table"/>
    <w:basedOn w:val="Normal"/>
    <w:qFormat/>
    <w:rsid w:val="00D76C80"/>
    <w:pPr>
      <w:jc w:val="center"/>
    </w:pPr>
    <w:rPr>
      <w:rFonts w:ascii="Arial" w:hAnsi="Arial"/>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92983">
      <w:bodyDiv w:val="1"/>
      <w:marLeft w:val="0"/>
      <w:marRight w:val="0"/>
      <w:marTop w:val="0"/>
      <w:marBottom w:val="0"/>
      <w:divBdr>
        <w:top w:val="none" w:sz="0" w:space="0" w:color="auto"/>
        <w:left w:val="none" w:sz="0" w:space="0" w:color="auto"/>
        <w:bottom w:val="none" w:sz="0" w:space="0" w:color="auto"/>
        <w:right w:val="none" w:sz="0" w:space="0" w:color="auto"/>
      </w:divBdr>
    </w:div>
    <w:div w:id="104204336">
      <w:bodyDiv w:val="1"/>
      <w:marLeft w:val="0"/>
      <w:marRight w:val="0"/>
      <w:marTop w:val="0"/>
      <w:marBottom w:val="0"/>
      <w:divBdr>
        <w:top w:val="none" w:sz="0" w:space="0" w:color="auto"/>
        <w:left w:val="none" w:sz="0" w:space="0" w:color="auto"/>
        <w:bottom w:val="none" w:sz="0" w:space="0" w:color="auto"/>
        <w:right w:val="none" w:sz="0" w:space="0" w:color="auto"/>
      </w:divBdr>
    </w:div>
    <w:div w:id="266696542">
      <w:bodyDiv w:val="1"/>
      <w:marLeft w:val="0"/>
      <w:marRight w:val="0"/>
      <w:marTop w:val="0"/>
      <w:marBottom w:val="0"/>
      <w:divBdr>
        <w:top w:val="none" w:sz="0" w:space="0" w:color="auto"/>
        <w:left w:val="none" w:sz="0" w:space="0" w:color="auto"/>
        <w:bottom w:val="none" w:sz="0" w:space="0" w:color="auto"/>
        <w:right w:val="none" w:sz="0" w:space="0" w:color="auto"/>
      </w:divBdr>
      <w:divsChild>
        <w:div w:id="1953054268">
          <w:marLeft w:val="0"/>
          <w:marRight w:val="0"/>
          <w:marTop w:val="0"/>
          <w:marBottom w:val="0"/>
          <w:divBdr>
            <w:top w:val="none" w:sz="0" w:space="0" w:color="auto"/>
            <w:left w:val="none" w:sz="0" w:space="0" w:color="auto"/>
            <w:bottom w:val="none" w:sz="0" w:space="0" w:color="auto"/>
            <w:right w:val="none" w:sz="0" w:space="0" w:color="auto"/>
          </w:divBdr>
          <w:divsChild>
            <w:div w:id="1713572591">
              <w:marLeft w:val="0"/>
              <w:marRight w:val="0"/>
              <w:marTop w:val="0"/>
              <w:marBottom w:val="0"/>
              <w:divBdr>
                <w:top w:val="none" w:sz="0" w:space="0" w:color="auto"/>
                <w:left w:val="none" w:sz="0" w:space="0" w:color="auto"/>
                <w:bottom w:val="none" w:sz="0" w:space="0" w:color="auto"/>
                <w:right w:val="none" w:sz="0" w:space="0" w:color="auto"/>
              </w:divBdr>
              <w:divsChild>
                <w:div w:id="1534879757">
                  <w:marLeft w:val="0"/>
                  <w:marRight w:val="0"/>
                  <w:marTop w:val="0"/>
                  <w:marBottom w:val="0"/>
                  <w:divBdr>
                    <w:top w:val="none" w:sz="0" w:space="0" w:color="auto"/>
                    <w:left w:val="none" w:sz="0" w:space="0" w:color="auto"/>
                    <w:bottom w:val="none" w:sz="0" w:space="0" w:color="auto"/>
                    <w:right w:val="none" w:sz="0" w:space="0" w:color="auto"/>
                  </w:divBdr>
                  <w:divsChild>
                    <w:div w:id="9455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51214">
      <w:bodyDiv w:val="1"/>
      <w:marLeft w:val="0"/>
      <w:marRight w:val="0"/>
      <w:marTop w:val="0"/>
      <w:marBottom w:val="0"/>
      <w:divBdr>
        <w:top w:val="none" w:sz="0" w:space="0" w:color="auto"/>
        <w:left w:val="none" w:sz="0" w:space="0" w:color="auto"/>
        <w:bottom w:val="none" w:sz="0" w:space="0" w:color="auto"/>
        <w:right w:val="none" w:sz="0" w:space="0" w:color="auto"/>
      </w:divBdr>
    </w:div>
    <w:div w:id="366490046">
      <w:bodyDiv w:val="1"/>
      <w:marLeft w:val="0"/>
      <w:marRight w:val="0"/>
      <w:marTop w:val="0"/>
      <w:marBottom w:val="0"/>
      <w:divBdr>
        <w:top w:val="none" w:sz="0" w:space="0" w:color="auto"/>
        <w:left w:val="none" w:sz="0" w:space="0" w:color="auto"/>
        <w:bottom w:val="none" w:sz="0" w:space="0" w:color="auto"/>
        <w:right w:val="none" w:sz="0" w:space="0" w:color="auto"/>
      </w:divBdr>
    </w:div>
    <w:div w:id="370108204">
      <w:bodyDiv w:val="1"/>
      <w:marLeft w:val="0"/>
      <w:marRight w:val="0"/>
      <w:marTop w:val="0"/>
      <w:marBottom w:val="0"/>
      <w:divBdr>
        <w:top w:val="none" w:sz="0" w:space="0" w:color="auto"/>
        <w:left w:val="none" w:sz="0" w:space="0" w:color="auto"/>
        <w:bottom w:val="none" w:sz="0" w:space="0" w:color="auto"/>
        <w:right w:val="none" w:sz="0" w:space="0" w:color="auto"/>
      </w:divBdr>
    </w:div>
    <w:div w:id="494883265">
      <w:bodyDiv w:val="1"/>
      <w:marLeft w:val="0"/>
      <w:marRight w:val="0"/>
      <w:marTop w:val="0"/>
      <w:marBottom w:val="0"/>
      <w:divBdr>
        <w:top w:val="none" w:sz="0" w:space="0" w:color="auto"/>
        <w:left w:val="none" w:sz="0" w:space="0" w:color="auto"/>
        <w:bottom w:val="none" w:sz="0" w:space="0" w:color="auto"/>
        <w:right w:val="none" w:sz="0" w:space="0" w:color="auto"/>
      </w:divBdr>
      <w:divsChild>
        <w:div w:id="347756354">
          <w:marLeft w:val="0"/>
          <w:marRight w:val="0"/>
          <w:marTop w:val="0"/>
          <w:marBottom w:val="0"/>
          <w:divBdr>
            <w:top w:val="none" w:sz="0" w:space="0" w:color="auto"/>
            <w:left w:val="none" w:sz="0" w:space="0" w:color="auto"/>
            <w:bottom w:val="none" w:sz="0" w:space="0" w:color="auto"/>
            <w:right w:val="none" w:sz="0" w:space="0" w:color="auto"/>
          </w:divBdr>
          <w:divsChild>
            <w:div w:id="1927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8279">
      <w:bodyDiv w:val="1"/>
      <w:marLeft w:val="0"/>
      <w:marRight w:val="0"/>
      <w:marTop w:val="0"/>
      <w:marBottom w:val="0"/>
      <w:divBdr>
        <w:top w:val="none" w:sz="0" w:space="0" w:color="auto"/>
        <w:left w:val="none" w:sz="0" w:space="0" w:color="auto"/>
        <w:bottom w:val="none" w:sz="0" w:space="0" w:color="auto"/>
        <w:right w:val="none" w:sz="0" w:space="0" w:color="auto"/>
      </w:divBdr>
    </w:div>
    <w:div w:id="780493085">
      <w:bodyDiv w:val="1"/>
      <w:marLeft w:val="0"/>
      <w:marRight w:val="0"/>
      <w:marTop w:val="0"/>
      <w:marBottom w:val="0"/>
      <w:divBdr>
        <w:top w:val="none" w:sz="0" w:space="0" w:color="auto"/>
        <w:left w:val="none" w:sz="0" w:space="0" w:color="auto"/>
        <w:bottom w:val="none" w:sz="0" w:space="0" w:color="auto"/>
        <w:right w:val="none" w:sz="0" w:space="0" w:color="auto"/>
      </w:divBdr>
    </w:div>
    <w:div w:id="823203656">
      <w:bodyDiv w:val="1"/>
      <w:marLeft w:val="0"/>
      <w:marRight w:val="0"/>
      <w:marTop w:val="0"/>
      <w:marBottom w:val="0"/>
      <w:divBdr>
        <w:top w:val="none" w:sz="0" w:space="0" w:color="auto"/>
        <w:left w:val="none" w:sz="0" w:space="0" w:color="auto"/>
        <w:bottom w:val="none" w:sz="0" w:space="0" w:color="auto"/>
        <w:right w:val="none" w:sz="0" w:space="0" w:color="auto"/>
      </w:divBdr>
      <w:divsChild>
        <w:div w:id="169764085">
          <w:marLeft w:val="0"/>
          <w:marRight w:val="0"/>
          <w:marTop w:val="0"/>
          <w:marBottom w:val="0"/>
          <w:divBdr>
            <w:top w:val="none" w:sz="0" w:space="0" w:color="auto"/>
            <w:left w:val="none" w:sz="0" w:space="0" w:color="auto"/>
            <w:bottom w:val="none" w:sz="0" w:space="0" w:color="auto"/>
            <w:right w:val="none" w:sz="0" w:space="0" w:color="auto"/>
          </w:divBdr>
        </w:div>
        <w:div w:id="182482889">
          <w:marLeft w:val="0"/>
          <w:marRight w:val="0"/>
          <w:marTop w:val="0"/>
          <w:marBottom w:val="0"/>
          <w:divBdr>
            <w:top w:val="none" w:sz="0" w:space="0" w:color="auto"/>
            <w:left w:val="none" w:sz="0" w:space="0" w:color="auto"/>
            <w:bottom w:val="none" w:sz="0" w:space="0" w:color="auto"/>
            <w:right w:val="none" w:sz="0" w:space="0" w:color="auto"/>
          </w:divBdr>
        </w:div>
        <w:div w:id="449708513">
          <w:marLeft w:val="0"/>
          <w:marRight w:val="0"/>
          <w:marTop w:val="0"/>
          <w:marBottom w:val="0"/>
          <w:divBdr>
            <w:top w:val="none" w:sz="0" w:space="0" w:color="auto"/>
            <w:left w:val="none" w:sz="0" w:space="0" w:color="auto"/>
            <w:bottom w:val="none" w:sz="0" w:space="0" w:color="auto"/>
            <w:right w:val="none" w:sz="0" w:space="0" w:color="auto"/>
          </w:divBdr>
        </w:div>
        <w:div w:id="566913323">
          <w:marLeft w:val="0"/>
          <w:marRight w:val="0"/>
          <w:marTop w:val="0"/>
          <w:marBottom w:val="0"/>
          <w:divBdr>
            <w:top w:val="none" w:sz="0" w:space="0" w:color="auto"/>
            <w:left w:val="none" w:sz="0" w:space="0" w:color="auto"/>
            <w:bottom w:val="none" w:sz="0" w:space="0" w:color="auto"/>
            <w:right w:val="none" w:sz="0" w:space="0" w:color="auto"/>
          </w:divBdr>
        </w:div>
        <w:div w:id="569005193">
          <w:marLeft w:val="0"/>
          <w:marRight w:val="0"/>
          <w:marTop w:val="0"/>
          <w:marBottom w:val="0"/>
          <w:divBdr>
            <w:top w:val="none" w:sz="0" w:space="0" w:color="auto"/>
            <w:left w:val="none" w:sz="0" w:space="0" w:color="auto"/>
            <w:bottom w:val="none" w:sz="0" w:space="0" w:color="auto"/>
            <w:right w:val="none" w:sz="0" w:space="0" w:color="auto"/>
          </w:divBdr>
        </w:div>
        <w:div w:id="1153058364">
          <w:marLeft w:val="0"/>
          <w:marRight w:val="0"/>
          <w:marTop w:val="0"/>
          <w:marBottom w:val="0"/>
          <w:divBdr>
            <w:top w:val="none" w:sz="0" w:space="0" w:color="auto"/>
            <w:left w:val="none" w:sz="0" w:space="0" w:color="auto"/>
            <w:bottom w:val="none" w:sz="0" w:space="0" w:color="auto"/>
            <w:right w:val="none" w:sz="0" w:space="0" w:color="auto"/>
          </w:divBdr>
        </w:div>
        <w:div w:id="1201359329">
          <w:marLeft w:val="0"/>
          <w:marRight w:val="0"/>
          <w:marTop w:val="0"/>
          <w:marBottom w:val="0"/>
          <w:divBdr>
            <w:top w:val="none" w:sz="0" w:space="0" w:color="auto"/>
            <w:left w:val="none" w:sz="0" w:space="0" w:color="auto"/>
            <w:bottom w:val="none" w:sz="0" w:space="0" w:color="auto"/>
            <w:right w:val="none" w:sz="0" w:space="0" w:color="auto"/>
          </w:divBdr>
        </w:div>
        <w:div w:id="1760783968">
          <w:marLeft w:val="0"/>
          <w:marRight w:val="0"/>
          <w:marTop w:val="0"/>
          <w:marBottom w:val="0"/>
          <w:divBdr>
            <w:top w:val="none" w:sz="0" w:space="0" w:color="auto"/>
            <w:left w:val="none" w:sz="0" w:space="0" w:color="auto"/>
            <w:bottom w:val="none" w:sz="0" w:space="0" w:color="auto"/>
            <w:right w:val="none" w:sz="0" w:space="0" w:color="auto"/>
          </w:divBdr>
        </w:div>
        <w:div w:id="2080128036">
          <w:marLeft w:val="0"/>
          <w:marRight w:val="0"/>
          <w:marTop w:val="0"/>
          <w:marBottom w:val="0"/>
          <w:divBdr>
            <w:top w:val="none" w:sz="0" w:space="0" w:color="auto"/>
            <w:left w:val="none" w:sz="0" w:space="0" w:color="auto"/>
            <w:bottom w:val="none" w:sz="0" w:space="0" w:color="auto"/>
            <w:right w:val="none" w:sz="0" w:space="0" w:color="auto"/>
          </w:divBdr>
        </w:div>
      </w:divsChild>
    </w:div>
    <w:div w:id="1005668643">
      <w:bodyDiv w:val="1"/>
      <w:marLeft w:val="0"/>
      <w:marRight w:val="0"/>
      <w:marTop w:val="0"/>
      <w:marBottom w:val="0"/>
      <w:divBdr>
        <w:top w:val="none" w:sz="0" w:space="0" w:color="auto"/>
        <w:left w:val="none" w:sz="0" w:space="0" w:color="auto"/>
        <w:bottom w:val="none" w:sz="0" w:space="0" w:color="auto"/>
        <w:right w:val="none" w:sz="0" w:space="0" w:color="auto"/>
      </w:divBdr>
      <w:divsChild>
        <w:div w:id="1047493545">
          <w:marLeft w:val="0"/>
          <w:marRight w:val="0"/>
          <w:marTop w:val="0"/>
          <w:marBottom w:val="0"/>
          <w:divBdr>
            <w:top w:val="none" w:sz="0" w:space="0" w:color="auto"/>
            <w:left w:val="none" w:sz="0" w:space="0" w:color="auto"/>
            <w:bottom w:val="none" w:sz="0" w:space="0" w:color="auto"/>
            <w:right w:val="none" w:sz="0" w:space="0" w:color="auto"/>
          </w:divBdr>
          <w:divsChild>
            <w:div w:id="864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9468">
      <w:bodyDiv w:val="1"/>
      <w:marLeft w:val="0"/>
      <w:marRight w:val="0"/>
      <w:marTop w:val="0"/>
      <w:marBottom w:val="0"/>
      <w:divBdr>
        <w:top w:val="none" w:sz="0" w:space="0" w:color="auto"/>
        <w:left w:val="none" w:sz="0" w:space="0" w:color="auto"/>
        <w:bottom w:val="none" w:sz="0" w:space="0" w:color="auto"/>
        <w:right w:val="none" w:sz="0" w:space="0" w:color="auto"/>
      </w:divBdr>
    </w:div>
    <w:div w:id="1137145047">
      <w:bodyDiv w:val="1"/>
      <w:marLeft w:val="0"/>
      <w:marRight w:val="0"/>
      <w:marTop w:val="0"/>
      <w:marBottom w:val="0"/>
      <w:divBdr>
        <w:top w:val="none" w:sz="0" w:space="0" w:color="auto"/>
        <w:left w:val="none" w:sz="0" w:space="0" w:color="auto"/>
        <w:bottom w:val="none" w:sz="0" w:space="0" w:color="auto"/>
        <w:right w:val="none" w:sz="0" w:space="0" w:color="auto"/>
      </w:divBdr>
    </w:div>
    <w:div w:id="1312128367">
      <w:bodyDiv w:val="1"/>
      <w:marLeft w:val="0"/>
      <w:marRight w:val="0"/>
      <w:marTop w:val="0"/>
      <w:marBottom w:val="0"/>
      <w:divBdr>
        <w:top w:val="none" w:sz="0" w:space="0" w:color="auto"/>
        <w:left w:val="none" w:sz="0" w:space="0" w:color="auto"/>
        <w:bottom w:val="none" w:sz="0" w:space="0" w:color="auto"/>
        <w:right w:val="none" w:sz="0" w:space="0" w:color="auto"/>
      </w:divBdr>
      <w:divsChild>
        <w:div w:id="337849496">
          <w:marLeft w:val="0"/>
          <w:marRight w:val="0"/>
          <w:marTop w:val="0"/>
          <w:marBottom w:val="0"/>
          <w:divBdr>
            <w:top w:val="none" w:sz="0" w:space="0" w:color="auto"/>
            <w:left w:val="none" w:sz="0" w:space="0" w:color="auto"/>
            <w:bottom w:val="none" w:sz="0" w:space="0" w:color="auto"/>
            <w:right w:val="none" w:sz="0" w:space="0" w:color="auto"/>
          </w:divBdr>
          <w:divsChild>
            <w:div w:id="2146462721">
              <w:marLeft w:val="0"/>
              <w:marRight w:val="0"/>
              <w:marTop w:val="0"/>
              <w:marBottom w:val="0"/>
              <w:divBdr>
                <w:top w:val="none" w:sz="0" w:space="0" w:color="auto"/>
                <w:left w:val="none" w:sz="0" w:space="0" w:color="auto"/>
                <w:bottom w:val="none" w:sz="0" w:space="0" w:color="auto"/>
                <w:right w:val="none" w:sz="0" w:space="0" w:color="auto"/>
              </w:divBdr>
              <w:divsChild>
                <w:div w:id="321154743">
                  <w:marLeft w:val="0"/>
                  <w:marRight w:val="0"/>
                  <w:marTop w:val="0"/>
                  <w:marBottom w:val="0"/>
                  <w:divBdr>
                    <w:top w:val="none" w:sz="0" w:space="0" w:color="auto"/>
                    <w:left w:val="none" w:sz="0" w:space="0" w:color="auto"/>
                    <w:bottom w:val="none" w:sz="0" w:space="0" w:color="auto"/>
                    <w:right w:val="none" w:sz="0" w:space="0" w:color="auto"/>
                  </w:divBdr>
                  <w:divsChild>
                    <w:div w:id="1330905128">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0"/>
                          <w:marRight w:val="0"/>
                          <w:marTop w:val="0"/>
                          <w:marBottom w:val="0"/>
                          <w:divBdr>
                            <w:top w:val="none" w:sz="0" w:space="0" w:color="auto"/>
                            <w:left w:val="none" w:sz="0" w:space="0" w:color="auto"/>
                            <w:bottom w:val="none" w:sz="0" w:space="0" w:color="auto"/>
                            <w:right w:val="none" w:sz="0" w:space="0" w:color="auto"/>
                          </w:divBdr>
                          <w:divsChild>
                            <w:div w:id="1780493771">
                              <w:marLeft w:val="0"/>
                              <w:marRight w:val="0"/>
                              <w:marTop w:val="0"/>
                              <w:marBottom w:val="0"/>
                              <w:divBdr>
                                <w:top w:val="none" w:sz="0" w:space="0" w:color="auto"/>
                                <w:left w:val="none" w:sz="0" w:space="0" w:color="auto"/>
                                <w:bottom w:val="none" w:sz="0" w:space="0" w:color="auto"/>
                                <w:right w:val="none" w:sz="0" w:space="0" w:color="auto"/>
                              </w:divBdr>
                              <w:divsChild>
                                <w:div w:id="1199319249">
                                  <w:marLeft w:val="0"/>
                                  <w:marRight w:val="0"/>
                                  <w:marTop w:val="0"/>
                                  <w:marBottom w:val="0"/>
                                  <w:divBdr>
                                    <w:top w:val="none" w:sz="0" w:space="0" w:color="auto"/>
                                    <w:left w:val="none" w:sz="0" w:space="0" w:color="auto"/>
                                    <w:bottom w:val="none" w:sz="0" w:space="0" w:color="auto"/>
                                    <w:right w:val="none" w:sz="0" w:space="0" w:color="auto"/>
                                  </w:divBdr>
                                  <w:divsChild>
                                    <w:div w:id="1077899384">
                                      <w:marLeft w:val="0"/>
                                      <w:marRight w:val="0"/>
                                      <w:marTop w:val="0"/>
                                      <w:marBottom w:val="0"/>
                                      <w:divBdr>
                                        <w:top w:val="none" w:sz="0" w:space="0" w:color="auto"/>
                                        <w:left w:val="none" w:sz="0" w:space="0" w:color="auto"/>
                                        <w:bottom w:val="none" w:sz="0" w:space="0" w:color="auto"/>
                                        <w:right w:val="none" w:sz="0" w:space="0" w:color="auto"/>
                                      </w:divBdr>
                                      <w:divsChild>
                                        <w:div w:id="543832463">
                                          <w:marLeft w:val="0"/>
                                          <w:marRight w:val="0"/>
                                          <w:marTop w:val="0"/>
                                          <w:marBottom w:val="0"/>
                                          <w:divBdr>
                                            <w:top w:val="none" w:sz="0" w:space="0" w:color="auto"/>
                                            <w:left w:val="none" w:sz="0" w:space="0" w:color="auto"/>
                                            <w:bottom w:val="none" w:sz="0" w:space="0" w:color="auto"/>
                                            <w:right w:val="none" w:sz="0" w:space="0" w:color="auto"/>
                                          </w:divBdr>
                                          <w:divsChild>
                                            <w:div w:id="1198272783">
                                              <w:marLeft w:val="0"/>
                                              <w:marRight w:val="0"/>
                                              <w:marTop w:val="0"/>
                                              <w:marBottom w:val="0"/>
                                              <w:divBdr>
                                                <w:top w:val="single" w:sz="4" w:space="0" w:color="F5F5F5"/>
                                                <w:left w:val="single" w:sz="4" w:space="0" w:color="F5F5F5"/>
                                                <w:bottom w:val="single" w:sz="4" w:space="0" w:color="F5F5F5"/>
                                                <w:right w:val="single" w:sz="4" w:space="0" w:color="F5F5F5"/>
                                              </w:divBdr>
                                              <w:divsChild>
                                                <w:div w:id="1945382980">
                                                  <w:marLeft w:val="0"/>
                                                  <w:marRight w:val="0"/>
                                                  <w:marTop w:val="0"/>
                                                  <w:marBottom w:val="0"/>
                                                  <w:divBdr>
                                                    <w:top w:val="none" w:sz="0" w:space="0" w:color="auto"/>
                                                    <w:left w:val="none" w:sz="0" w:space="0" w:color="auto"/>
                                                    <w:bottom w:val="none" w:sz="0" w:space="0" w:color="auto"/>
                                                    <w:right w:val="none" w:sz="0" w:space="0" w:color="auto"/>
                                                  </w:divBdr>
                                                  <w:divsChild>
                                                    <w:div w:id="924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378173">
      <w:bodyDiv w:val="1"/>
      <w:marLeft w:val="0"/>
      <w:marRight w:val="0"/>
      <w:marTop w:val="0"/>
      <w:marBottom w:val="0"/>
      <w:divBdr>
        <w:top w:val="none" w:sz="0" w:space="0" w:color="auto"/>
        <w:left w:val="none" w:sz="0" w:space="0" w:color="auto"/>
        <w:bottom w:val="none" w:sz="0" w:space="0" w:color="auto"/>
        <w:right w:val="none" w:sz="0" w:space="0" w:color="auto"/>
      </w:divBdr>
    </w:div>
    <w:div w:id="1465539780">
      <w:bodyDiv w:val="1"/>
      <w:marLeft w:val="0"/>
      <w:marRight w:val="0"/>
      <w:marTop w:val="0"/>
      <w:marBottom w:val="0"/>
      <w:divBdr>
        <w:top w:val="none" w:sz="0" w:space="0" w:color="auto"/>
        <w:left w:val="none" w:sz="0" w:space="0" w:color="auto"/>
        <w:bottom w:val="none" w:sz="0" w:space="0" w:color="auto"/>
        <w:right w:val="none" w:sz="0" w:space="0" w:color="auto"/>
      </w:divBdr>
      <w:divsChild>
        <w:div w:id="969088838">
          <w:marLeft w:val="0"/>
          <w:marRight w:val="0"/>
          <w:marTop w:val="0"/>
          <w:marBottom w:val="0"/>
          <w:divBdr>
            <w:top w:val="none" w:sz="0" w:space="0" w:color="auto"/>
            <w:left w:val="none" w:sz="0" w:space="0" w:color="auto"/>
            <w:bottom w:val="none" w:sz="0" w:space="0" w:color="auto"/>
            <w:right w:val="none" w:sz="0" w:space="0" w:color="auto"/>
          </w:divBdr>
          <w:divsChild>
            <w:div w:id="3336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7274">
      <w:bodyDiv w:val="1"/>
      <w:marLeft w:val="0"/>
      <w:marRight w:val="0"/>
      <w:marTop w:val="0"/>
      <w:marBottom w:val="0"/>
      <w:divBdr>
        <w:top w:val="none" w:sz="0" w:space="0" w:color="auto"/>
        <w:left w:val="none" w:sz="0" w:space="0" w:color="auto"/>
        <w:bottom w:val="none" w:sz="0" w:space="0" w:color="auto"/>
        <w:right w:val="none" w:sz="0" w:space="0" w:color="auto"/>
      </w:divBdr>
      <w:divsChild>
        <w:div w:id="1042244934">
          <w:marLeft w:val="0"/>
          <w:marRight w:val="0"/>
          <w:marTop w:val="0"/>
          <w:marBottom w:val="0"/>
          <w:divBdr>
            <w:top w:val="none" w:sz="0" w:space="0" w:color="auto"/>
            <w:left w:val="none" w:sz="0" w:space="0" w:color="auto"/>
            <w:bottom w:val="none" w:sz="0" w:space="0" w:color="auto"/>
            <w:right w:val="none" w:sz="0" w:space="0" w:color="auto"/>
          </w:divBdr>
          <w:divsChild>
            <w:div w:id="2789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4915">
      <w:bodyDiv w:val="1"/>
      <w:marLeft w:val="0"/>
      <w:marRight w:val="0"/>
      <w:marTop w:val="0"/>
      <w:marBottom w:val="0"/>
      <w:divBdr>
        <w:top w:val="none" w:sz="0" w:space="0" w:color="auto"/>
        <w:left w:val="none" w:sz="0" w:space="0" w:color="auto"/>
        <w:bottom w:val="none" w:sz="0" w:space="0" w:color="auto"/>
        <w:right w:val="none" w:sz="0" w:space="0" w:color="auto"/>
      </w:divBdr>
      <w:divsChild>
        <w:div w:id="237786798">
          <w:marLeft w:val="0"/>
          <w:marRight w:val="0"/>
          <w:marTop w:val="0"/>
          <w:marBottom w:val="0"/>
          <w:divBdr>
            <w:top w:val="none" w:sz="0" w:space="0" w:color="auto"/>
            <w:left w:val="none" w:sz="0" w:space="0" w:color="auto"/>
            <w:bottom w:val="none" w:sz="0" w:space="0" w:color="auto"/>
            <w:right w:val="none" w:sz="0" w:space="0" w:color="auto"/>
          </w:divBdr>
          <w:divsChild>
            <w:div w:id="1173956594">
              <w:marLeft w:val="0"/>
              <w:marRight w:val="0"/>
              <w:marTop w:val="0"/>
              <w:marBottom w:val="0"/>
              <w:divBdr>
                <w:top w:val="none" w:sz="0" w:space="0" w:color="auto"/>
                <w:left w:val="none" w:sz="0" w:space="0" w:color="auto"/>
                <w:bottom w:val="none" w:sz="0" w:space="0" w:color="auto"/>
                <w:right w:val="none" w:sz="0" w:space="0" w:color="auto"/>
              </w:divBdr>
              <w:divsChild>
                <w:div w:id="48850506">
                  <w:marLeft w:val="0"/>
                  <w:marRight w:val="0"/>
                  <w:marTop w:val="0"/>
                  <w:marBottom w:val="0"/>
                  <w:divBdr>
                    <w:top w:val="none" w:sz="0" w:space="0" w:color="auto"/>
                    <w:left w:val="none" w:sz="0" w:space="0" w:color="auto"/>
                    <w:bottom w:val="none" w:sz="0" w:space="0" w:color="auto"/>
                    <w:right w:val="none" w:sz="0" w:space="0" w:color="auto"/>
                  </w:divBdr>
                  <w:divsChild>
                    <w:div w:id="2144613476">
                      <w:marLeft w:val="0"/>
                      <w:marRight w:val="0"/>
                      <w:marTop w:val="0"/>
                      <w:marBottom w:val="0"/>
                      <w:divBdr>
                        <w:top w:val="none" w:sz="0" w:space="0" w:color="auto"/>
                        <w:left w:val="none" w:sz="0" w:space="0" w:color="auto"/>
                        <w:bottom w:val="none" w:sz="0" w:space="0" w:color="auto"/>
                        <w:right w:val="none" w:sz="0" w:space="0" w:color="auto"/>
                      </w:divBdr>
                      <w:divsChild>
                        <w:div w:id="2025591492">
                          <w:marLeft w:val="0"/>
                          <w:marRight w:val="0"/>
                          <w:marTop w:val="0"/>
                          <w:marBottom w:val="0"/>
                          <w:divBdr>
                            <w:top w:val="none" w:sz="0" w:space="0" w:color="auto"/>
                            <w:left w:val="none" w:sz="0" w:space="0" w:color="auto"/>
                            <w:bottom w:val="none" w:sz="0" w:space="0" w:color="auto"/>
                            <w:right w:val="none" w:sz="0" w:space="0" w:color="auto"/>
                          </w:divBdr>
                          <w:divsChild>
                            <w:div w:id="832112547">
                              <w:marLeft w:val="0"/>
                              <w:marRight w:val="0"/>
                              <w:marTop w:val="0"/>
                              <w:marBottom w:val="0"/>
                              <w:divBdr>
                                <w:top w:val="none" w:sz="0" w:space="0" w:color="auto"/>
                                <w:left w:val="none" w:sz="0" w:space="0" w:color="auto"/>
                                <w:bottom w:val="none" w:sz="0" w:space="0" w:color="auto"/>
                                <w:right w:val="none" w:sz="0" w:space="0" w:color="auto"/>
                              </w:divBdr>
                              <w:divsChild>
                                <w:div w:id="426657258">
                                  <w:marLeft w:val="0"/>
                                  <w:marRight w:val="0"/>
                                  <w:marTop w:val="0"/>
                                  <w:marBottom w:val="0"/>
                                  <w:divBdr>
                                    <w:top w:val="none" w:sz="0" w:space="0" w:color="auto"/>
                                    <w:left w:val="none" w:sz="0" w:space="0" w:color="auto"/>
                                    <w:bottom w:val="none" w:sz="0" w:space="0" w:color="auto"/>
                                    <w:right w:val="none" w:sz="0" w:space="0" w:color="auto"/>
                                  </w:divBdr>
                                  <w:divsChild>
                                    <w:div w:id="1625573088">
                                      <w:marLeft w:val="0"/>
                                      <w:marRight w:val="0"/>
                                      <w:marTop w:val="0"/>
                                      <w:marBottom w:val="0"/>
                                      <w:divBdr>
                                        <w:top w:val="none" w:sz="0" w:space="0" w:color="auto"/>
                                        <w:left w:val="none" w:sz="0" w:space="0" w:color="auto"/>
                                        <w:bottom w:val="none" w:sz="0" w:space="0" w:color="auto"/>
                                        <w:right w:val="none" w:sz="0" w:space="0" w:color="auto"/>
                                      </w:divBdr>
                                      <w:divsChild>
                                        <w:div w:id="1488546626">
                                          <w:marLeft w:val="0"/>
                                          <w:marRight w:val="0"/>
                                          <w:marTop w:val="0"/>
                                          <w:marBottom w:val="0"/>
                                          <w:divBdr>
                                            <w:top w:val="none" w:sz="0" w:space="0" w:color="auto"/>
                                            <w:left w:val="none" w:sz="0" w:space="0" w:color="auto"/>
                                            <w:bottom w:val="none" w:sz="0" w:space="0" w:color="auto"/>
                                            <w:right w:val="none" w:sz="0" w:space="0" w:color="auto"/>
                                          </w:divBdr>
                                          <w:divsChild>
                                            <w:div w:id="1965497618">
                                              <w:marLeft w:val="0"/>
                                              <w:marRight w:val="0"/>
                                              <w:marTop w:val="0"/>
                                              <w:marBottom w:val="0"/>
                                              <w:divBdr>
                                                <w:top w:val="single" w:sz="4" w:space="0" w:color="F5F5F5"/>
                                                <w:left w:val="single" w:sz="4" w:space="0" w:color="F5F5F5"/>
                                                <w:bottom w:val="single" w:sz="4" w:space="0" w:color="F5F5F5"/>
                                                <w:right w:val="single" w:sz="4" w:space="0" w:color="F5F5F5"/>
                                              </w:divBdr>
                                              <w:divsChild>
                                                <w:div w:id="1488589701">
                                                  <w:marLeft w:val="0"/>
                                                  <w:marRight w:val="0"/>
                                                  <w:marTop w:val="0"/>
                                                  <w:marBottom w:val="0"/>
                                                  <w:divBdr>
                                                    <w:top w:val="none" w:sz="0" w:space="0" w:color="auto"/>
                                                    <w:left w:val="none" w:sz="0" w:space="0" w:color="auto"/>
                                                    <w:bottom w:val="none" w:sz="0" w:space="0" w:color="auto"/>
                                                    <w:right w:val="none" w:sz="0" w:space="0" w:color="auto"/>
                                                  </w:divBdr>
                                                  <w:divsChild>
                                                    <w:div w:id="14227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103288">
      <w:bodyDiv w:val="1"/>
      <w:marLeft w:val="0"/>
      <w:marRight w:val="0"/>
      <w:marTop w:val="0"/>
      <w:marBottom w:val="0"/>
      <w:divBdr>
        <w:top w:val="none" w:sz="0" w:space="0" w:color="auto"/>
        <w:left w:val="none" w:sz="0" w:space="0" w:color="auto"/>
        <w:bottom w:val="none" w:sz="0" w:space="0" w:color="auto"/>
        <w:right w:val="none" w:sz="0" w:space="0" w:color="auto"/>
      </w:divBdr>
    </w:div>
    <w:div w:id="1850102298">
      <w:bodyDiv w:val="1"/>
      <w:marLeft w:val="0"/>
      <w:marRight w:val="0"/>
      <w:marTop w:val="0"/>
      <w:marBottom w:val="0"/>
      <w:divBdr>
        <w:top w:val="none" w:sz="0" w:space="0" w:color="auto"/>
        <w:left w:val="none" w:sz="0" w:space="0" w:color="auto"/>
        <w:bottom w:val="none" w:sz="0" w:space="0" w:color="auto"/>
        <w:right w:val="none" w:sz="0" w:space="0" w:color="auto"/>
      </w:divBdr>
      <w:divsChild>
        <w:div w:id="10452323">
          <w:marLeft w:val="0"/>
          <w:marRight w:val="0"/>
          <w:marTop w:val="0"/>
          <w:marBottom w:val="0"/>
          <w:divBdr>
            <w:top w:val="none" w:sz="0" w:space="0" w:color="auto"/>
            <w:left w:val="none" w:sz="0" w:space="0" w:color="auto"/>
            <w:bottom w:val="none" w:sz="0" w:space="0" w:color="auto"/>
            <w:right w:val="none" w:sz="0" w:space="0" w:color="auto"/>
          </w:divBdr>
          <w:divsChild>
            <w:div w:id="546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1956">
      <w:bodyDiv w:val="1"/>
      <w:marLeft w:val="0"/>
      <w:marRight w:val="0"/>
      <w:marTop w:val="0"/>
      <w:marBottom w:val="0"/>
      <w:divBdr>
        <w:top w:val="none" w:sz="0" w:space="0" w:color="auto"/>
        <w:left w:val="none" w:sz="0" w:space="0" w:color="auto"/>
        <w:bottom w:val="none" w:sz="0" w:space="0" w:color="auto"/>
        <w:right w:val="none" w:sz="0" w:space="0" w:color="auto"/>
      </w:divBdr>
    </w:div>
    <w:div w:id="1961760524">
      <w:bodyDiv w:val="1"/>
      <w:marLeft w:val="0"/>
      <w:marRight w:val="0"/>
      <w:marTop w:val="0"/>
      <w:marBottom w:val="0"/>
      <w:divBdr>
        <w:top w:val="none" w:sz="0" w:space="0" w:color="auto"/>
        <w:left w:val="none" w:sz="0" w:space="0" w:color="auto"/>
        <w:bottom w:val="none" w:sz="0" w:space="0" w:color="auto"/>
        <w:right w:val="none" w:sz="0" w:space="0" w:color="auto"/>
      </w:divBdr>
    </w:div>
    <w:div w:id="1972663286">
      <w:bodyDiv w:val="1"/>
      <w:marLeft w:val="0"/>
      <w:marRight w:val="0"/>
      <w:marTop w:val="0"/>
      <w:marBottom w:val="0"/>
      <w:divBdr>
        <w:top w:val="none" w:sz="0" w:space="0" w:color="auto"/>
        <w:left w:val="none" w:sz="0" w:space="0" w:color="auto"/>
        <w:bottom w:val="none" w:sz="0" w:space="0" w:color="auto"/>
        <w:right w:val="none" w:sz="0" w:space="0" w:color="auto"/>
      </w:divBdr>
    </w:div>
    <w:div w:id="2047824814">
      <w:bodyDiv w:val="1"/>
      <w:marLeft w:val="0"/>
      <w:marRight w:val="0"/>
      <w:marTop w:val="0"/>
      <w:marBottom w:val="0"/>
      <w:divBdr>
        <w:top w:val="none" w:sz="0" w:space="0" w:color="auto"/>
        <w:left w:val="none" w:sz="0" w:space="0" w:color="auto"/>
        <w:bottom w:val="none" w:sz="0" w:space="0" w:color="auto"/>
        <w:right w:val="none" w:sz="0" w:space="0" w:color="auto"/>
      </w:divBdr>
    </w:div>
    <w:div w:id="2062093307">
      <w:bodyDiv w:val="1"/>
      <w:marLeft w:val="0"/>
      <w:marRight w:val="0"/>
      <w:marTop w:val="0"/>
      <w:marBottom w:val="0"/>
      <w:divBdr>
        <w:top w:val="none" w:sz="0" w:space="0" w:color="auto"/>
        <w:left w:val="none" w:sz="0" w:space="0" w:color="auto"/>
        <w:bottom w:val="none" w:sz="0" w:space="0" w:color="auto"/>
        <w:right w:val="none" w:sz="0" w:space="0" w:color="auto"/>
      </w:divBdr>
    </w:div>
    <w:div w:id="21444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8159-012F-403F-8AC9-8DA77A47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9675</Words>
  <Characters>263129</Characters>
  <Application>Microsoft Office Word</Application>
  <DocSecurity>0</DocSecurity>
  <Lines>2192</Lines>
  <Paragraphs>544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Borgo Solare</vt:lpstr>
      <vt:lpstr>Paper- Borgo Solare</vt:lpstr>
    </vt:vector>
  </TitlesOfParts>
  <Company>Microsoft</Company>
  <LinksUpToDate>false</LinksUpToDate>
  <CharactersWithSpaces>272260</CharactersWithSpaces>
  <SharedDoc>false</SharedDoc>
  <HLinks>
    <vt:vector size="90" baseType="variant">
      <vt:variant>
        <vt:i4>1179700</vt:i4>
      </vt:variant>
      <vt:variant>
        <vt:i4>86</vt:i4>
      </vt:variant>
      <vt:variant>
        <vt:i4>0</vt:i4>
      </vt:variant>
      <vt:variant>
        <vt:i4>5</vt:i4>
      </vt:variant>
      <vt:variant>
        <vt:lpwstr/>
      </vt:variant>
      <vt:variant>
        <vt:lpwstr>_Toc57909113</vt:lpwstr>
      </vt:variant>
      <vt:variant>
        <vt:i4>1245236</vt:i4>
      </vt:variant>
      <vt:variant>
        <vt:i4>80</vt:i4>
      </vt:variant>
      <vt:variant>
        <vt:i4>0</vt:i4>
      </vt:variant>
      <vt:variant>
        <vt:i4>5</vt:i4>
      </vt:variant>
      <vt:variant>
        <vt:lpwstr/>
      </vt:variant>
      <vt:variant>
        <vt:lpwstr>_Toc57909112</vt:lpwstr>
      </vt:variant>
      <vt:variant>
        <vt:i4>1048628</vt:i4>
      </vt:variant>
      <vt:variant>
        <vt:i4>74</vt:i4>
      </vt:variant>
      <vt:variant>
        <vt:i4>0</vt:i4>
      </vt:variant>
      <vt:variant>
        <vt:i4>5</vt:i4>
      </vt:variant>
      <vt:variant>
        <vt:lpwstr/>
      </vt:variant>
      <vt:variant>
        <vt:lpwstr>_Toc57909111</vt:lpwstr>
      </vt:variant>
      <vt:variant>
        <vt:i4>1114164</vt:i4>
      </vt:variant>
      <vt:variant>
        <vt:i4>68</vt:i4>
      </vt:variant>
      <vt:variant>
        <vt:i4>0</vt:i4>
      </vt:variant>
      <vt:variant>
        <vt:i4>5</vt:i4>
      </vt:variant>
      <vt:variant>
        <vt:lpwstr/>
      </vt:variant>
      <vt:variant>
        <vt:lpwstr>_Toc57909110</vt:lpwstr>
      </vt:variant>
      <vt:variant>
        <vt:i4>1572917</vt:i4>
      </vt:variant>
      <vt:variant>
        <vt:i4>62</vt:i4>
      </vt:variant>
      <vt:variant>
        <vt:i4>0</vt:i4>
      </vt:variant>
      <vt:variant>
        <vt:i4>5</vt:i4>
      </vt:variant>
      <vt:variant>
        <vt:lpwstr/>
      </vt:variant>
      <vt:variant>
        <vt:lpwstr>_Toc57909109</vt:lpwstr>
      </vt:variant>
      <vt:variant>
        <vt:i4>1638453</vt:i4>
      </vt:variant>
      <vt:variant>
        <vt:i4>56</vt:i4>
      </vt:variant>
      <vt:variant>
        <vt:i4>0</vt:i4>
      </vt:variant>
      <vt:variant>
        <vt:i4>5</vt:i4>
      </vt:variant>
      <vt:variant>
        <vt:lpwstr/>
      </vt:variant>
      <vt:variant>
        <vt:lpwstr>_Toc57909108</vt:lpwstr>
      </vt:variant>
      <vt:variant>
        <vt:i4>1441845</vt:i4>
      </vt:variant>
      <vt:variant>
        <vt:i4>50</vt:i4>
      </vt:variant>
      <vt:variant>
        <vt:i4>0</vt:i4>
      </vt:variant>
      <vt:variant>
        <vt:i4>5</vt:i4>
      </vt:variant>
      <vt:variant>
        <vt:lpwstr/>
      </vt:variant>
      <vt:variant>
        <vt:lpwstr>_Toc57909107</vt:lpwstr>
      </vt:variant>
      <vt:variant>
        <vt:i4>1507381</vt:i4>
      </vt:variant>
      <vt:variant>
        <vt:i4>44</vt:i4>
      </vt:variant>
      <vt:variant>
        <vt:i4>0</vt:i4>
      </vt:variant>
      <vt:variant>
        <vt:i4>5</vt:i4>
      </vt:variant>
      <vt:variant>
        <vt:lpwstr/>
      </vt:variant>
      <vt:variant>
        <vt:lpwstr>_Toc57909106</vt:lpwstr>
      </vt:variant>
      <vt:variant>
        <vt:i4>1310773</vt:i4>
      </vt:variant>
      <vt:variant>
        <vt:i4>38</vt:i4>
      </vt:variant>
      <vt:variant>
        <vt:i4>0</vt:i4>
      </vt:variant>
      <vt:variant>
        <vt:i4>5</vt:i4>
      </vt:variant>
      <vt:variant>
        <vt:lpwstr/>
      </vt:variant>
      <vt:variant>
        <vt:lpwstr>_Toc57909105</vt:lpwstr>
      </vt:variant>
      <vt:variant>
        <vt:i4>1376309</vt:i4>
      </vt:variant>
      <vt:variant>
        <vt:i4>32</vt:i4>
      </vt:variant>
      <vt:variant>
        <vt:i4>0</vt:i4>
      </vt:variant>
      <vt:variant>
        <vt:i4>5</vt:i4>
      </vt:variant>
      <vt:variant>
        <vt:lpwstr/>
      </vt:variant>
      <vt:variant>
        <vt:lpwstr>_Toc57909104</vt:lpwstr>
      </vt:variant>
      <vt:variant>
        <vt:i4>1179701</vt:i4>
      </vt:variant>
      <vt:variant>
        <vt:i4>26</vt:i4>
      </vt:variant>
      <vt:variant>
        <vt:i4>0</vt:i4>
      </vt:variant>
      <vt:variant>
        <vt:i4>5</vt:i4>
      </vt:variant>
      <vt:variant>
        <vt:lpwstr/>
      </vt:variant>
      <vt:variant>
        <vt:lpwstr>_Toc57909103</vt:lpwstr>
      </vt:variant>
      <vt:variant>
        <vt:i4>1245237</vt:i4>
      </vt:variant>
      <vt:variant>
        <vt:i4>20</vt:i4>
      </vt:variant>
      <vt:variant>
        <vt:i4>0</vt:i4>
      </vt:variant>
      <vt:variant>
        <vt:i4>5</vt:i4>
      </vt:variant>
      <vt:variant>
        <vt:lpwstr/>
      </vt:variant>
      <vt:variant>
        <vt:lpwstr>_Toc57909102</vt:lpwstr>
      </vt:variant>
      <vt:variant>
        <vt:i4>1048629</vt:i4>
      </vt:variant>
      <vt:variant>
        <vt:i4>14</vt:i4>
      </vt:variant>
      <vt:variant>
        <vt:i4>0</vt:i4>
      </vt:variant>
      <vt:variant>
        <vt:i4>5</vt:i4>
      </vt:variant>
      <vt:variant>
        <vt:lpwstr/>
      </vt:variant>
      <vt:variant>
        <vt:lpwstr>_Toc57909101</vt:lpwstr>
      </vt:variant>
      <vt:variant>
        <vt:i4>1114165</vt:i4>
      </vt:variant>
      <vt:variant>
        <vt:i4>8</vt:i4>
      </vt:variant>
      <vt:variant>
        <vt:i4>0</vt:i4>
      </vt:variant>
      <vt:variant>
        <vt:i4>5</vt:i4>
      </vt:variant>
      <vt:variant>
        <vt:lpwstr/>
      </vt:variant>
      <vt:variant>
        <vt:lpwstr>_Toc57909100</vt:lpwstr>
      </vt:variant>
      <vt:variant>
        <vt:i4>1638460</vt:i4>
      </vt:variant>
      <vt:variant>
        <vt:i4>2</vt:i4>
      </vt:variant>
      <vt:variant>
        <vt:i4>0</vt:i4>
      </vt:variant>
      <vt:variant>
        <vt:i4>5</vt:i4>
      </vt:variant>
      <vt:variant>
        <vt:lpwstr/>
      </vt:variant>
      <vt:variant>
        <vt:lpwstr>_Toc57909099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Borgo Solare</dc:title>
  <dc:subject/>
  <dc:creator>Massimiliano Manfren</dc:creator>
  <cp:keywords/>
  <dc:description/>
  <cp:lastModifiedBy>Manfren M.</cp:lastModifiedBy>
  <cp:revision>4</cp:revision>
  <cp:lastPrinted>2022-03-16T09:51:00Z</cp:lastPrinted>
  <dcterms:created xsi:type="dcterms:W3CDTF">2022-05-10T07:10:00Z</dcterms:created>
  <dcterms:modified xsi:type="dcterms:W3CDTF">2022-06-24T10:44:00Z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http://www.zotero.org/styles/renewable-and-sustainable-energy-reviews</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http://www.zotero.org/styles/building-and-environment</vt:lpwstr>
  </property>
  <property fmtid="{D5CDD505-2E9C-101B-9397-08002B2CF9AE}" pid="7" name="Mendeley Recent Style Name 1_1">
    <vt:lpwstr>Building and Environment</vt:lpwstr>
  </property>
  <property fmtid="{D5CDD505-2E9C-101B-9397-08002B2CF9AE}" pid="8" name="Mendeley Recent Style Id 2_1">
    <vt:lpwstr>http://www.zotero.org/styles/energy</vt:lpwstr>
  </property>
  <property fmtid="{D5CDD505-2E9C-101B-9397-08002B2CF9AE}" pid="9" name="Mendeley Recent Style Name 2_1">
    <vt:lpwstr>Energy</vt:lpwstr>
  </property>
  <property fmtid="{D5CDD505-2E9C-101B-9397-08002B2CF9AE}" pid="10" name="Mendeley Recent Style Id 3_1">
    <vt:lpwstr>http://www.zotero.org/styles/energy-and-buildings</vt:lpwstr>
  </property>
  <property fmtid="{D5CDD505-2E9C-101B-9397-08002B2CF9AE}" pid="11" name="Mendeley Recent Style Name 3_1">
    <vt:lpwstr>Energy &amp; Buildings</vt:lpwstr>
  </property>
  <property fmtid="{D5CDD505-2E9C-101B-9397-08002B2CF9AE}" pid="12" name="Mendeley Recent Style Id 4_1">
    <vt:lpwstr>http://www.zotero.org/styles/energy-conversion-and-management</vt:lpwstr>
  </property>
  <property fmtid="{D5CDD505-2E9C-101B-9397-08002B2CF9AE}" pid="13" name="Mendeley Recent Style Name 4_1">
    <vt:lpwstr>Energy Conversion and Management</vt:lpwstr>
  </property>
  <property fmtid="{D5CDD505-2E9C-101B-9397-08002B2CF9AE}" pid="14" name="Mendeley Recent Style Id 5_1">
    <vt:lpwstr>http://www.zotero.org/styles/frontiers-in-energy-research</vt:lpwstr>
  </property>
  <property fmtid="{D5CDD505-2E9C-101B-9397-08002B2CF9AE}" pid="15" name="Mendeley Recent Style Name 5_1">
    <vt:lpwstr>Frontiers in Energy Research</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http://www.zotero.org/styles/renewable-and-sustainable-energy-reviews</vt:lpwstr>
  </property>
  <property fmtid="{D5CDD505-2E9C-101B-9397-08002B2CF9AE}" pid="23" name="Mendeley Recent Style Name 9_1">
    <vt:lpwstr>Renewable and Sustainable Energy Reviews</vt:lpwstr>
  </property>
  <property fmtid="{D5CDD505-2E9C-101B-9397-08002B2CF9AE}" pid="24" name="Mendeley Unique User Id_1">
    <vt:lpwstr>07389cc8-1e27-37c2-b54d-c702a9e5fdbc</vt:lpwstr>
  </property>
  <property fmtid="{D5CDD505-2E9C-101B-9397-08002B2CF9AE}" pid="25" name="Mendeley User Name_1">
    <vt:lpwstr>massimiliano.manfren@gmail.com@www.mendeley.com</vt:lpwstr>
  </property>
</Properties>
</file>