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3252C" w14:textId="556D151C" w:rsidR="00275734" w:rsidRPr="006453D9" w:rsidRDefault="00275734" w:rsidP="004D12C2">
      <w:pPr>
        <w:pStyle w:val="MDPI11articletype"/>
      </w:pPr>
      <w:bookmarkStart w:id="0" w:name="_Hlk109176550"/>
      <w:bookmarkEnd w:id="0"/>
      <w:r w:rsidRPr="006453D9">
        <w:t>Review</w:t>
      </w:r>
    </w:p>
    <w:p w14:paraId="1AAA9A0B" w14:textId="72E7636C" w:rsidR="00CD7915" w:rsidRPr="00CD7915" w:rsidRDefault="00CD7915" w:rsidP="004D12C2">
      <w:pPr>
        <w:pStyle w:val="MDPI12title"/>
      </w:pPr>
      <w:r w:rsidRPr="00CD7915">
        <w:t xml:space="preserve">Gelatin </w:t>
      </w:r>
      <w:proofErr w:type="spellStart"/>
      <w:r w:rsidR="00FD508A" w:rsidRPr="00CD7915">
        <w:t>M</w:t>
      </w:r>
      <w:r w:rsidRPr="00CD7915">
        <w:t>ethacryloyl</w:t>
      </w:r>
      <w:proofErr w:type="spellEnd"/>
      <w:r w:rsidRPr="00CD7915">
        <w:t xml:space="preserve"> </w:t>
      </w:r>
      <w:r w:rsidR="00FD508A" w:rsidRPr="00CD7915">
        <w:t>H</w:t>
      </w:r>
      <w:r w:rsidRPr="00CD7915">
        <w:t xml:space="preserve">ydrogels for </w:t>
      </w:r>
      <w:r w:rsidR="00FD508A" w:rsidRPr="007B312E">
        <w:t>M</w:t>
      </w:r>
      <w:r w:rsidR="007B312E" w:rsidRPr="007B312E">
        <w:t xml:space="preserve">usculoskeletal </w:t>
      </w:r>
      <w:r w:rsidR="00FD508A">
        <w:t>T</w:t>
      </w:r>
      <w:r w:rsidR="007B312E">
        <w:t>issue</w:t>
      </w:r>
      <w:r w:rsidRPr="00CD7915">
        <w:t xml:space="preserve"> </w:t>
      </w:r>
      <w:r w:rsidR="00FD508A" w:rsidRPr="00CD7915">
        <w:t>R</w:t>
      </w:r>
      <w:r w:rsidRPr="00CD7915">
        <w:t>egeneration</w:t>
      </w:r>
    </w:p>
    <w:p w14:paraId="67655AD2" w14:textId="77777777" w:rsidR="00563B9B" w:rsidRPr="00407787" w:rsidRDefault="00CD7915" w:rsidP="004D12C2">
      <w:pPr>
        <w:pStyle w:val="MDPI13authornames"/>
      </w:pPr>
      <w:r w:rsidRPr="00407787">
        <w:t>Yang-</w:t>
      </w:r>
      <w:proofErr w:type="spellStart"/>
      <w:r w:rsidRPr="00407787">
        <w:t>Hee</w:t>
      </w:r>
      <w:proofErr w:type="spellEnd"/>
      <w:r w:rsidRPr="00407787">
        <w:t xml:space="preserve"> Kim</w:t>
      </w:r>
      <w:r w:rsidRPr="00407787">
        <w:rPr>
          <w:vertAlign w:val="superscript"/>
        </w:rPr>
        <w:t>1*#</w:t>
      </w:r>
      <w:r w:rsidRPr="00407787">
        <w:t>, Jonathan I Dawson</w:t>
      </w:r>
      <w:r w:rsidRPr="00407787">
        <w:rPr>
          <w:vertAlign w:val="superscript"/>
        </w:rPr>
        <w:t>1</w:t>
      </w:r>
      <w:r w:rsidRPr="00407787">
        <w:t>, Richard O.C. Oreffo</w:t>
      </w:r>
      <w:r w:rsidRPr="00407787">
        <w:rPr>
          <w:vertAlign w:val="superscript"/>
        </w:rPr>
        <w:t>1</w:t>
      </w:r>
      <w:r w:rsidRPr="00407787">
        <w:t>, Yasuhiko Tabata</w:t>
      </w:r>
      <w:r w:rsidRPr="00407787">
        <w:rPr>
          <w:vertAlign w:val="superscript"/>
        </w:rPr>
        <w:t>2</w:t>
      </w:r>
      <w:r w:rsidRPr="00407787">
        <w:t>, Dhiraj Kumar</w:t>
      </w:r>
      <w:r w:rsidRPr="00407787">
        <w:rPr>
          <w:vertAlign w:val="superscript"/>
        </w:rPr>
        <w:t>3</w:t>
      </w:r>
      <w:r w:rsidRPr="00407787">
        <w:t>, Conrado Aparicio</w:t>
      </w:r>
      <w:r w:rsidRPr="00407787">
        <w:rPr>
          <w:vertAlign w:val="superscript"/>
        </w:rPr>
        <w:t>4,5</w:t>
      </w:r>
      <w:r w:rsidR="00E34A1A" w:rsidRPr="00407787">
        <w:t xml:space="preserve"> and </w:t>
      </w:r>
      <w:r w:rsidRPr="00407787">
        <w:t>Isha Mutreja</w:t>
      </w:r>
      <w:r w:rsidRPr="00407787">
        <w:rPr>
          <w:vertAlign w:val="superscript"/>
        </w:rPr>
        <w:t>4*#</w:t>
      </w:r>
      <w:r w:rsidRPr="00407787">
        <w:t xml:space="preserve"> </w:t>
      </w:r>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563B9B" w:rsidRPr="00407787" w14:paraId="2286AB2A" w14:textId="77777777" w:rsidTr="00563B9B">
        <w:trPr>
          <w:cantSplit/>
        </w:trPr>
        <w:tc>
          <w:tcPr>
            <w:tcW w:w="2409" w:type="dxa"/>
          </w:tcPr>
          <w:p w14:paraId="3E6F909B" w14:textId="1524DCA5" w:rsidR="00563B9B" w:rsidRPr="00407787" w:rsidRDefault="00563B9B" w:rsidP="00563B9B">
            <w:pPr>
              <w:pStyle w:val="MDPI61Citation"/>
            </w:pPr>
            <w:r w:rsidRPr="00407787">
              <w:rPr>
                <w:b/>
              </w:rPr>
              <w:t>Citation:</w:t>
            </w:r>
            <w:r w:rsidRPr="00407787">
              <w:t xml:space="preserve"> Kim, Y.-H.; Dawson, J.I.; Oreffo</w:t>
            </w:r>
            <w:r w:rsidRPr="00407787">
              <w:rPr>
                <w:lang w:val="en-US"/>
              </w:rPr>
              <w:t xml:space="preserve">, </w:t>
            </w:r>
            <w:r w:rsidRPr="00407787">
              <w:t xml:space="preserve">R. </w:t>
            </w:r>
            <w:proofErr w:type="gramStart"/>
            <w:r w:rsidRPr="00407787">
              <w:t>O.C. ;</w:t>
            </w:r>
            <w:proofErr w:type="gramEnd"/>
            <w:r w:rsidRPr="00407787">
              <w:t xml:space="preserve"> Tabata, Y.; Kumar, D.; Aparicio, C.; Mutreja, I. Gelatin </w:t>
            </w:r>
            <w:proofErr w:type="spellStart"/>
            <w:r w:rsidRPr="00407787">
              <w:t>methacryloyl</w:t>
            </w:r>
            <w:proofErr w:type="spellEnd"/>
            <w:r w:rsidRPr="00407787">
              <w:t xml:space="preserve"> hydrogels for musculoskeletal tissue regeneration. </w:t>
            </w:r>
            <w:r w:rsidRPr="00407787">
              <w:rPr>
                <w:i/>
              </w:rPr>
              <w:t xml:space="preserve">Bioengineering </w:t>
            </w:r>
            <w:r w:rsidRPr="00407787">
              <w:rPr>
                <w:b/>
              </w:rPr>
              <w:t>2022</w:t>
            </w:r>
            <w:r w:rsidRPr="00407787">
              <w:t xml:space="preserve">, </w:t>
            </w:r>
            <w:r w:rsidRPr="00407787">
              <w:rPr>
                <w:i/>
              </w:rPr>
              <w:t>9</w:t>
            </w:r>
            <w:r w:rsidRPr="00407787">
              <w:t>, x. https://doi.org/10.3390/xxxxx</w:t>
            </w:r>
          </w:p>
          <w:p w14:paraId="7793B7ED" w14:textId="5A9571FF" w:rsidR="00563B9B" w:rsidRPr="00407787" w:rsidRDefault="00563B9B" w:rsidP="00563B9B">
            <w:pPr>
              <w:pStyle w:val="MDPI15academiceditor"/>
              <w:spacing w:after="120"/>
            </w:pPr>
            <w:r w:rsidRPr="00407787">
              <w:t xml:space="preserve">Academic Editor(s): </w:t>
            </w:r>
            <w:proofErr w:type="spellStart"/>
            <w:r w:rsidR="00E95A3B" w:rsidRPr="00407787">
              <w:t>Chunfeng</w:t>
            </w:r>
            <w:proofErr w:type="spellEnd"/>
            <w:r w:rsidR="00E95A3B" w:rsidRPr="00407787">
              <w:t xml:space="preserve"> Zhao</w:t>
            </w:r>
          </w:p>
          <w:p w14:paraId="79D9A0C4" w14:textId="3DFE4AEC" w:rsidR="00563B9B" w:rsidRPr="00407787" w:rsidRDefault="00563B9B" w:rsidP="00563B9B">
            <w:pPr>
              <w:pStyle w:val="MDPI14history"/>
              <w:spacing w:before="120"/>
            </w:pPr>
            <w:r w:rsidRPr="00407787">
              <w:t xml:space="preserve">Received: </w:t>
            </w:r>
            <w:r w:rsidR="00851262" w:rsidRPr="00407787">
              <w:t>18 June 2022</w:t>
            </w:r>
          </w:p>
          <w:p w14:paraId="779A0CFB" w14:textId="5113644D" w:rsidR="00563B9B" w:rsidRPr="00407787" w:rsidRDefault="00563B9B" w:rsidP="00563B9B">
            <w:pPr>
              <w:pStyle w:val="MDPI14history"/>
            </w:pPr>
            <w:r w:rsidRPr="00407787">
              <w:t xml:space="preserve">Accepted: </w:t>
            </w:r>
            <w:r w:rsidR="00A476B4" w:rsidRPr="00407787">
              <w:t>14 July 2022</w:t>
            </w:r>
          </w:p>
          <w:p w14:paraId="14B652A5" w14:textId="77777777" w:rsidR="00563B9B" w:rsidRPr="00407787" w:rsidRDefault="00563B9B" w:rsidP="00563B9B">
            <w:pPr>
              <w:pStyle w:val="MDPI14history"/>
              <w:spacing w:after="120"/>
            </w:pPr>
            <w:r w:rsidRPr="00407787">
              <w:t>Published: date</w:t>
            </w:r>
          </w:p>
          <w:p w14:paraId="22B92686" w14:textId="77777777" w:rsidR="00563B9B" w:rsidRPr="00407787" w:rsidRDefault="00563B9B" w:rsidP="00563B9B">
            <w:pPr>
              <w:pStyle w:val="MDPI63Notes"/>
              <w:jc w:val="both"/>
            </w:pPr>
            <w:r w:rsidRPr="00407787">
              <w:rPr>
                <w:b/>
              </w:rPr>
              <w:t>Publisher’s Note:</w:t>
            </w:r>
            <w:r w:rsidRPr="00407787">
              <w:t xml:space="preserve"> MDPI stays neutral </w:t>
            </w:r>
            <w:proofErr w:type="gramStart"/>
            <w:r w:rsidRPr="00407787">
              <w:t>with regard to</w:t>
            </w:r>
            <w:proofErr w:type="gramEnd"/>
            <w:r w:rsidRPr="00407787">
              <w:t xml:space="preserve"> jurisdictional claims in published maps and institutional affiliations.</w:t>
            </w:r>
          </w:p>
          <w:p w14:paraId="11DAB97B" w14:textId="77777777" w:rsidR="00563B9B" w:rsidRPr="00407787" w:rsidRDefault="00563B9B" w:rsidP="00563B9B">
            <w:pPr>
              <w:pStyle w:val="MDPI63Notes"/>
              <w:spacing w:before="120" w:after="0"/>
              <w:jc w:val="both"/>
            </w:pPr>
            <w:r w:rsidRPr="00407787">
              <w:rPr>
                <w:noProof/>
                <w:snapToGrid/>
              </w:rPr>
              <w:drawing>
                <wp:inline distT="0" distB="0" distL="0" distR="0" wp14:anchorId="355B4E53" wp14:editId="14B53A3B">
                  <wp:extent cx="694800" cy="248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3B901BC8" w14:textId="099EE0E1" w:rsidR="00563B9B" w:rsidRPr="00407787" w:rsidRDefault="00563B9B" w:rsidP="00563B9B">
            <w:pPr>
              <w:pStyle w:val="MDPI63Notes"/>
              <w:spacing w:before="60" w:after="0"/>
              <w:jc w:val="both"/>
            </w:pPr>
            <w:r w:rsidRPr="00407787">
              <w:rPr>
                <w:b/>
              </w:rPr>
              <w:t>Copyright:</w:t>
            </w:r>
            <w:r w:rsidRPr="00407787">
              <w:t xml:space="preserve"> © 2022 by the authors. Submitted for possible open access publication under the terms and conditions of the Creative Commons Attribution (CC BY) license (https://creativecommons.org/licenses/by/4.0/).</w:t>
            </w:r>
          </w:p>
        </w:tc>
      </w:tr>
    </w:tbl>
    <w:p w14:paraId="373CE433" w14:textId="489AE45F" w:rsidR="00275734" w:rsidRPr="00407787" w:rsidRDefault="00B33CA5" w:rsidP="004D12C2">
      <w:pPr>
        <w:pStyle w:val="MDPI16affiliation"/>
      </w:pPr>
      <w:r w:rsidRPr="00407787">
        <w:rPr>
          <w:vertAlign w:val="superscript"/>
        </w:rPr>
        <w:t>1</w:t>
      </w:r>
      <w:r w:rsidR="00275734" w:rsidRPr="00407787">
        <w:tab/>
      </w:r>
      <w:r w:rsidR="00CD7915" w:rsidRPr="00407787">
        <w:t>Bone and Joint Research Group, Centre for Human Development, Stem cells &amp; Regeneration, Institute of Developmental Sciences, University of Southampton, Southampton</w:t>
      </w:r>
      <w:r w:rsidR="00101C0E" w:rsidRPr="00407787">
        <w:t xml:space="preserve"> SO1</w:t>
      </w:r>
      <w:r w:rsidR="00CE6798" w:rsidRPr="00407787">
        <w:t>6</w:t>
      </w:r>
      <w:r w:rsidR="00101C0E" w:rsidRPr="00407787">
        <w:t xml:space="preserve"> </w:t>
      </w:r>
      <w:r w:rsidR="00CE6798" w:rsidRPr="00407787">
        <w:t>6YD</w:t>
      </w:r>
      <w:r w:rsidR="00CD7915" w:rsidRPr="00407787">
        <w:t xml:space="preserve">, UK; </w:t>
      </w:r>
      <w:hyperlink r:id="rId9" w:history="1">
        <w:r w:rsidR="003C2042" w:rsidRPr="00407787">
          <w:rPr>
            <w:rStyle w:val="Hyperlink"/>
          </w:rPr>
          <w:t>jid@soton.ac.uk</w:t>
        </w:r>
      </w:hyperlink>
      <w:r w:rsidR="00E774B7" w:rsidRPr="00407787">
        <w:t xml:space="preserve"> (D. J. I.)</w:t>
      </w:r>
      <w:r w:rsidR="00CD7915" w:rsidRPr="00407787">
        <w:t xml:space="preserve">, </w:t>
      </w:r>
      <w:hyperlink r:id="rId10" w:history="1">
        <w:r w:rsidR="00E774B7" w:rsidRPr="00407787">
          <w:rPr>
            <w:rStyle w:val="Hyperlink"/>
          </w:rPr>
          <w:t>Richard.Oreffo@soton.ac.uk</w:t>
        </w:r>
      </w:hyperlink>
      <w:r w:rsidR="00E774B7" w:rsidRPr="00407787">
        <w:t xml:space="preserve"> (O. R. O. C.).</w:t>
      </w:r>
      <w:r w:rsidR="00CD7915" w:rsidRPr="00407787">
        <w:t xml:space="preserve"> </w:t>
      </w:r>
    </w:p>
    <w:p w14:paraId="360B4BD9" w14:textId="264EAB9F" w:rsidR="00275734" w:rsidRPr="00407787" w:rsidRDefault="00275734" w:rsidP="004D12C2">
      <w:pPr>
        <w:pStyle w:val="MDPI16affiliation"/>
      </w:pPr>
      <w:r w:rsidRPr="00407787">
        <w:rPr>
          <w:vertAlign w:val="superscript"/>
        </w:rPr>
        <w:t>2</w:t>
      </w:r>
      <w:r w:rsidRPr="00407787">
        <w:tab/>
      </w:r>
      <w:r w:rsidR="00CD7915" w:rsidRPr="00407787">
        <w:t>Department of Biomaterials, Field of Tissue Engineering, Institute for Frontier Medical Sciences, Kyoto University, Kyoto</w:t>
      </w:r>
      <w:r w:rsidR="00FA1605" w:rsidRPr="00407787">
        <w:t xml:space="preserve"> 606-8501</w:t>
      </w:r>
      <w:r w:rsidR="00CD7915" w:rsidRPr="00407787">
        <w:t>, Japan;</w:t>
      </w:r>
      <w:r w:rsidRPr="00407787">
        <w:t xml:space="preserve"> </w:t>
      </w:r>
      <w:r w:rsidR="00CD7915" w:rsidRPr="00407787">
        <w:t>yasuhiko@infront.kyoto-u.ac.jp</w:t>
      </w:r>
    </w:p>
    <w:p w14:paraId="5E38D6F2" w14:textId="29A4AAC0" w:rsidR="00CD7915" w:rsidRPr="00407787" w:rsidRDefault="00CD7915" w:rsidP="004D12C2">
      <w:pPr>
        <w:pStyle w:val="MDPI16affiliation"/>
      </w:pPr>
      <w:r w:rsidRPr="00407787">
        <w:rPr>
          <w:vertAlign w:val="superscript"/>
        </w:rPr>
        <w:t>3</w:t>
      </w:r>
      <w:r w:rsidRPr="00407787">
        <w:tab/>
        <w:t>Division of Pediatric Dentistry, School of Dentistry, University of Minnesota, Minneapolis</w:t>
      </w:r>
      <w:r w:rsidR="000118EB" w:rsidRPr="00407787">
        <w:t xml:space="preserve"> </w:t>
      </w:r>
      <w:bookmarkStart w:id="1" w:name="_Hlk108685128"/>
      <w:r w:rsidR="000118EB" w:rsidRPr="00407787">
        <w:t>55812</w:t>
      </w:r>
      <w:bookmarkEnd w:id="1"/>
      <w:r w:rsidRPr="00407787">
        <w:t>, US</w:t>
      </w:r>
      <w:r w:rsidRPr="00407787">
        <w:rPr>
          <w:rFonts w:eastAsia="Gulim"/>
        </w:rPr>
        <w:t>A</w:t>
      </w:r>
      <w:r w:rsidRPr="00407787">
        <w:t xml:space="preserve">; kumard@umn.edu </w:t>
      </w:r>
    </w:p>
    <w:p w14:paraId="5C8B6D3E" w14:textId="3B733AA2" w:rsidR="00CD7915" w:rsidRPr="00407787" w:rsidRDefault="00CD7915" w:rsidP="004D12C2">
      <w:pPr>
        <w:pStyle w:val="MDPI16affiliation"/>
      </w:pPr>
      <w:r w:rsidRPr="00407787">
        <w:rPr>
          <w:vertAlign w:val="superscript"/>
        </w:rPr>
        <w:t>4</w:t>
      </w:r>
      <w:r w:rsidRPr="00407787">
        <w:tab/>
        <w:t>Minnesota Dental Research Center for Biomaterials and Biomechanics, Department of Restorative Science, University of Minnesota, Minneapolis</w:t>
      </w:r>
      <w:r w:rsidR="00C91487" w:rsidRPr="00407787">
        <w:t xml:space="preserve"> 55</w:t>
      </w:r>
      <w:r w:rsidR="00CE6798" w:rsidRPr="00407787">
        <w:t>455</w:t>
      </w:r>
      <w:r w:rsidRPr="00407787">
        <w:t>, USA</w:t>
      </w:r>
      <w:r w:rsidR="00C91487" w:rsidRPr="00407787">
        <w:t>; cjaparicio@uic.es</w:t>
      </w:r>
    </w:p>
    <w:p w14:paraId="051EC0FB" w14:textId="33F9FAAB" w:rsidR="00CD7915" w:rsidRPr="00407787" w:rsidRDefault="00CD7915" w:rsidP="004D12C2">
      <w:pPr>
        <w:pStyle w:val="MDPI16affiliation"/>
      </w:pPr>
      <w:r w:rsidRPr="00407787">
        <w:rPr>
          <w:vertAlign w:val="superscript"/>
        </w:rPr>
        <w:t>5</w:t>
      </w:r>
      <w:r w:rsidRPr="00407787">
        <w:tab/>
        <w:t xml:space="preserve">Division of Basic Research, Faculty of Odontology UIC Barcelona – </w:t>
      </w:r>
      <w:proofErr w:type="spellStart"/>
      <w:r w:rsidRPr="00407787">
        <w:t>Universitat</w:t>
      </w:r>
      <w:proofErr w:type="spellEnd"/>
      <w:r w:rsidRPr="00407787">
        <w:t xml:space="preserve"> </w:t>
      </w:r>
      <w:proofErr w:type="spellStart"/>
      <w:r w:rsidRPr="00407787">
        <w:t>Internacional</w:t>
      </w:r>
      <w:proofErr w:type="spellEnd"/>
      <w:r w:rsidRPr="00407787">
        <w:t xml:space="preserve"> de Catalunya, Spain. BIST – Barcelona Institute for Science and Technology, </w:t>
      </w:r>
      <w:r w:rsidR="009B2266" w:rsidRPr="00407787">
        <w:t>08</w:t>
      </w:r>
      <w:r w:rsidR="00CE6798" w:rsidRPr="00407787">
        <w:t>195</w:t>
      </w:r>
      <w:r w:rsidR="009B2266" w:rsidRPr="00407787">
        <w:t xml:space="preserve"> </w:t>
      </w:r>
      <w:r w:rsidRPr="00407787">
        <w:t>Barcelona, Spain</w:t>
      </w:r>
    </w:p>
    <w:p w14:paraId="6A699D12" w14:textId="28D4B27C" w:rsidR="00275734" w:rsidRDefault="004D12C2" w:rsidP="004D12C2">
      <w:pPr>
        <w:pStyle w:val="MDPI16affiliation"/>
      </w:pPr>
      <w:r w:rsidRPr="00407787">
        <w:rPr>
          <w:b/>
        </w:rPr>
        <w:t>*</w:t>
      </w:r>
      <w:r w:rsidRPr="00407787">
        <w:tab/>
        <w:t xml:space="preserve">Correspondence: </w:t>
      </w:r>
      <w:r w:rsidR="00CD7915" w:rsidRPr="00407787">
        <w:t>Yanghee.Kim@soton.ac.uk (</w:t>
      </w:r>
      <w:r w:rsidR="004949B0" w:rsidRPr="00407787">
        <w:t xml:space="preserve">K. </w:t>
      </w:r>
      <w:r w:rsidR="00CD7915" w:rsidRPr="00407787">
        <w:t>Y</w:t>
      </w:r>
      <w:r w:rsidR="00A3718F" w:rsidRPr="00407787">
        <w:t>.</w:t>
      </w:r>
      <w:r w:rsidR="00CD7915" w:rsidRPr="00407787">
        <w:t>-H.), imutreja@umn.edu (</w:t>
      </w:r>
      <w:r w:rsidR="00D04570" w:rsidRPr="00407787">
        <w:t>M</w:t>
      </w:r>
      <w:r w:rsidR="00CD7915" w:rsidRPr="00407787">
        <w:t>.</w:t>
      </w:r>
      <w:r w:rsidR="00D04570" w:rsidRPr="00407787">
        <w:t xml:space="preserve"> I</w:t>
      </w:r>
      <w:r w:rsidR="00A3718F" w:rsidRPr="00407787">
        <w:t>.</w:t>
      </w:r>
      <w:r w:rsidR="00CD7915" w:rsidRPr="00407787">
        <w:t>); Tel:</w:t>
      </w:r>
      <w:r w:rsidR="00493156" w:rsidRPr="00407787">
        <w:t xml:space="preserve"> </w:t>
      </w:r>
      <w:r w:rsidR="00CD7915" w:rsidRPr="00407787">
        <w:t>+44-2381 203293 (</w:t>
      </w:r>
      <w:r w:rsidR="004949B0" w:rsidRPr="00407787">
        <w:t xml:space="preserve">K. </w:t>
      </w:r>
      <w:r w:rsidR="00CD7915" w:rsidRPr="00407787">
        <w:t>Y-H.), +1(612)7605790 (</w:t>
      </w:r>
      <w:r w:rsidR="004949B0" w:rsidRPr="00407787">
        <w:t>M</w:t>
      </w:r>
      <w:r w:rsidR="00CD7915" w:rsidRPr="00407787">
        <w:t>.</w:t>
      </w:r>
      <w:r w:rsidR="004949B0" w:rsidRPr="00407787">
        <w:t xml:space="preserve"> I</w:t>
      </w:r>
      <w:r w:rsidR="00275734" w:rsidRPr="00407787">
        <w:t>)</w:t>
      </w:r>
      <w:r w:rsidR="00CD7915">
        <w:t xml:space="preserve"> </w:t>
      </w:r>
    </w:p>
    <w:p w14:paraId="6818A539" w14:textId="7058B13B" w:rsidR="00A3718F" w:rsidRDefault="00A3718F" w:rsidP="00DF73B3">
      <w:pPr>
        <w:pStyle w:val="MDPI16affiliation"/>
      </w:pPr>
      <w:r w:rsidRPr="007235B7">
        <w:rPr>
          <w:vertAlign w:val="superscript"/>
        </w:rPr>
        <w:t>#</w:t>
      </w:r>
      <w:r w:rsidR="00DF73B3" w:rsidRPr="007235B7">
        <w:tab/>
      </w:r>
      <w:r w:rsidRPr="007235B7">
        <w:t>Authors contributed equally to this work.</w:t>
      </w:r>
    </w:p>
    <w:p w14:paraId="49873B19" w14:textId="5D89D1AE" w:rsidR="00CD7915" w:rsidRPr="00CD7915" w:rsidRDefault="00275734" w:rsidP="004D12C2">
      <w:pPr>
        <w:pStyle w:val="MDPI17abstract"/>
      </w:pPr>
      <w:r w:rsidRPr="004D12C2">
        <w:rPr>
          <w:b/>
        </w:rPr>
        <w:t xml:space="preserve">Abstract: </w:t>
      </w:r>
      <w:r w:rsidR="00CD7915" w:rsidRPr="00CD7915">
        <w:t xml:space="preserve">Musculoskeletal disorders are a significant burden on the global economy and public health. Hydrogels have significant potential for enhancing the repair of damaged and injured musculoskeletal tissues as cell or drug delivery systems. Hydrogels have unique physicochemical properties which make them promising platforms for controlling cell functions. Gelatin </w:t>
      </w:r>
      <w:proofErr w:type="spellStart"/>
      <w:r w:rsidR="00CD7915" w:rsidRPr="00CD7915">
        <w:t>methacryloyl</w:t>
      </w:r>
      <w:proofErr w:type="spellEnd"/>
      <w:r w:rsidR="00CD7915" w:rsidRPr="00CD7915">
        <w:t xml:space="preserve"> (</w:t>
      </w:r>
      <w:proofErr w:type="spellStart"/>
      <w:r w:rsidR="00CD7915" w:rsidRPr="00CD7915">
        <w:t>GelMA</w:t>
      </w:r>
      <w:proofErr w:type="spellEnd"/>
      <w:r w:rsidR="00CD7915" w:rsidRPr="00CD7915">
        <w:t xml:space="preserve">) hydrogel </w:t>
      </w:r>
      <w:proofErr w:type="gramStart"/>
      <w:r w:rsidR="00CD7915" w:rsidRPr="00CD7915">
        <w:t>in particular has</w:t>
      </w:r>
      <w:proofErr w:type="gramEnd"/>
      <w:r w:rsidR="00CD7915" w:rsidRPr="00CD7915">
        <w:t xml:space="preserve"> been extensively investigated as a promising biomaterial due to its </w:t>
      </w:r>
      <w:proofErr w:type="spellStart"/>
      <w:r w:rsidR="00CD7915" w:rsidRPr="00CD7915">
        <w:t>tuneable</w:t>
      </w:r>
      <w:proofErr w:type="spellEnd"/>
      <w:r w:rsidR="00CD7915" w:rsidRPr="00CD7915">
        <w:t xml:space="preserve"> and beneficial properties and has been widely used in different biomedical applications. In this review, a detailed overview of </w:t>
      </w:r>
      <w:proofErr w:type="spellStart"/>
      <w:r w:rsidR="00CD7915" w:rsidRPr="00CD7915">
        <w:t>GelMA</w:t>
      </w:r>
      <w:proofErr w:type="spellEnd"/>
      <w:r w:rsidR="00CD7915" w:rsidRPr="00CD7915">
        <w:t xml:space="preserve"> synthesis, hydrogel design and applications in regenerative medicine is provided. After </w:t>
      </w:r>
      <w:proofErr w:type="spellStart"/>
      <w:r w:rsidR="00CD7915" w:rsidRPr="00CD7915">
        <w:t>summarising</w:t>
      </w:r>
      <w:proofErr w:type="spellEnd"/>
      <w:r w:rsidR="00CD7915" w:rsidRPr="00CD7915">
        <w:t xml:space="preserve"> recent progress in hydrogels more broadly, we highlight recent advances of </w:t>
      </w:r>
      <w:proofErr w:type="spellStart"/>
      <w:r w:rsidR="00CD7915" w:rsidRPr="00CD7915">
        <w:t>GelMA</w:t>
      </w:r>
      <w:proofErr w:type="spellEnd"/>
      <w:r w:rsidR="00CD7915" w:rsidRPr="00CD7915">
        <w:t xml:space="preserve"> hydrogels in the emerging fields of musculoskeletal drug delivery, involving therapeutic drugs (</w:t>
      </w:r>
      <w:r w:rsidR="00A54FDC" w:rsidRPr="00CD7915">
        <w:t>e.g.,</w:t>
      </w:r>
      <w:r w:rsidR="00CD7915" w:rsidRPr="00CD7915">
        <w:t xml:space="preserve"> growth factors, antimicrobial molecules, immunomodulatory </w:t>
      </w:r>
      <w:proofErr w:type="gramStart"/>
      <w:r w:rsidR="00CD7915" w:rsidRPr="00CD7915">
        <w:t>drugs</w:t>
      </w:r>
      <w:proofErr w:type="gramEnd"/>
      <w:r w:rsidR="00CD7915" w:rsidRPr="00CD7915">
        <w:t xml:space="preserve"> and cells), delivery approaches (</w:t>
      </w:r>
      <w:r w:rsidR="004E6549" w:rsidRPr="00CD7915">
        <w:t>e.g.,</w:t>
      </w:r>
      <w:r w:rsidR="00CD7915" w:rsidRPr="00CD7915">
        <w:t xml:space="preserve"> single-, dual-release system), and material design (</w:t>
      </w:r>
      <w:r w:rsidR="00A54FDC" w:rsidRPr="00CD7915">
        <w:t>e.g.,</w:t>
      </w:r>
      <w:r w:rsidR="00CD7915" w:rsidRPr="00CD7915">
        <w:t xml:space="preserve"> addition of organic or inorganic materials, 3D printing). The review concludes with future perspectives and associated challenges for developing local drug delivery for musculoskeletal applications. </w:t>
      </w:r>
    </w:p>
    <w:p w14:paraId="694A05CB" w14:textId="0B3DF8A0" w:rsidR="00275734" w:rsidRPr="00550626" w:rsidRDefault="004D12C2" w:rsidP="004D12C2">
      <w:pPr>
        <w:pStyle w:val="MDPI18keywords"/>
      </w:pPr>
      <w:r w:rsidRPr="004D12C2">
        <w:rPr>
          <w:b/>
        </w:rPr>
        <w:t>Keywords:</w:t>
      </w:r>
      <w:r w:rsidR="00275734" w:rsidRPr="004D12C2">
        <w:rPr>
          <w:b/>
        </w:rPr>
        <w:t xml:space="preserve"> </w:t>
      </w:r>
      <w:r w:rsidR="00647994">
        <w:t>g</w:t>
      </w:r>
      <w:r w:rsidR="00CD7915" w:rsidRPr="00786C15">
        <w:t>elatin</w:t>
      </w:r>
      <w:r w:rsidR="00786C15" w:rsidRPr="00786C15">
        <w:t xml:space="preserve">; </w:t>
      </w:r>
      <w:proofErr w:type="spellStart"/>
      <w:r w:rsidR="00CD7915" w:rsidRPr="00786C15">
        <w:t>GelMA</w:t>
      </w:r>
      <w:proofErr w:type="spellEnd"/>
      <w:r w:rsidR="00786C15" w:rsidRPr="00786C15">
        <w:t xml:space="preserve">; </w:t>
      </w:r>
      <w:r w:rsidR="00CD7915" w:rsidRPr="00786C15">
        <w:t>hydrogel</w:t>
      </w:r>
      <w:r w:rsidR="00786C15" w:rsidRPr="00786C15">
        <w:t xml:space="preserve">; </w:t>
      </w:r>
      <w:r w:rsidR="00CD7915" w:rsidRPr="00786C15">
        <w:t>drug delivery</w:t>
      </w:r>
      <w:r w:rsidR="00786C15" w:rsidRPr="00786C15">
        <w:t xml:space="preserve">; </w:t>
      </w:r>
      <w:r w:rsidR="00CD7915" w:rsidRPr="00786C15">
        <w:t>musculoskeletal tissue</w:t>
      </w:r>
    </w:p>
    <w:p w14:paraId="57CD2E69" w14:textId="77777777" w:rsidR="00275734" w:rsidRPr="00550626" w:rsidRDefault="00275734" w:rsidP="004D12C2">
      <w:pPr>
        <w:pStyle w:val="MDPI19line"/>
        <w:pBdr>
          <w:bottom w:val="single" w:sz="4" w:space="1" w:color="000000"/>
        </w:pBdr>
      </w:pPr>
    </w:p>
    <w:p w14:paraId="3C688072" w14:textId="1D145461" w:rsidR="00275734" w:rsidRDefault="00AC2EB2" w:rsidP="00AC2EB2">
      <w:pPr>
        <w:pStyle w:val="MDPI21heading1"/>
      </w:pPr>
      <w:r>
        <w:t xml:space="preserve">1. </w:t>
      </w:r>
      <w:r w:rsidR="00275734" w:rsidRPr="007F2582">
        <w:t>Introduction</w:t>
      </w:r>
    </w:p>
    <w:p w14:paraId="1D212DAF" w14:textId="169100F2" w:rsidR="00E20360" w:rsidRDefault="00E20360" w:rsidP="00AC2EB2">
      <w:pPr>
        <w:pStyle w:val="MDPI31text"/>
      </w:pPr>
      <w:r>
        <w:t xml:space="preserve">Musculoskeletal tissue consists of muscle, bone, cartilage, tendon, </w:t>
      </w:r>
      <w:proofErr w:type="gramStart"/>
      <w:r>
        <w:t>ligament</w:t>
      </w:r>
      <w:proofErr w:type="gramEnd"/>
      <w:r>
        <w:t xml:space="preserve"> and other connective tissues, which comprise more than 40% of the human body by mass and support the shape and structure of the body. Musculoskeletal tissue is subject to wear and tear over a lifetime and can be subject to damage following traumatic injury and degenerative disease. Indeed, recent data on the global burden of disease showed that approximately 1.7 billion people globally suffer from musculoskeletal </w:t>
      </w:r>
      <w:proofErr w:type="gramStart"/>
      <w:r>
        <w:t>conditions</w:t>
      </w:r>
      <w:proofErr w:type="gramEnd"/>
      <w:r>
        <w:t xml:space="preserve"> and </w:t>
      </w:r>
      <w:r w:rsidR="00036016">
        <w:t xml:space="preserve">they are </w:t>
      </w:r>
      <w:r>
        <w:t xml:space="preserve">currently the highest contributor to the global need for rehabilitation [1]. To date, autograft, </w:t>
      </w:r>
      <w:proofErr w:type="gramStart"/>
      <w:r>
        <w:t>allograft</w:t>
      </w:r>
      <w:proofErr w:type="gramEnd"/>
      <w:r>
        <w:t xml:space="preserve"> and xenograft are used for musculoskeletal tissue treatment but </w:t>
      </w:r>
      <w:r w:rsidR="00036016">
        <w:t xml:space="preserve">they present </w:t>
      </w:r>
      <w:r>
        <w:t xml:space="preserve">a number of associated risks including immune rejection, infection and disease transmission, donor site morbidity and limited reproducibility [2]. </w:t>
      </w:r>
    </w:p>
    <w:p w14:paraId="1CE2411B" w14:textId="070F15FE" w:rsidR="00E20360" w:rsidRDefault="00E20360" w:rsidP="00AC2EB2">
      <w:pPr>
        <w:pStyle w:val="MDPI31text"/>
      </w:pPr>
      <w:r>
        <w:lastRenderedPageBreak/>
        <w:t>Tissue engineering has emerged as a promising approach to treat</w:t>
      </w:r>
      <w:r w:rsidR="00267F89">
        <w:t>ing</w:t>
      </w:r>
      <w:r>
        <w:t xml:space="preserve"> musculoskeletal tissues through </w:t>
      </w:r>
      <w:r w:rsidR="00267F89">
        <w:t xml:space="preserve">the </w:t>
      </w:r>
      <w:r>
        <w:t>incorporation of state-of-</w:t>
      </w:r>
      <w:r w:rsidR="00267F89">
        <w:t>the-</w:t>
      </w:r>
      <w:r>
        <w:t xml:space="preserve">art multidisciplinary technologies involving material science, cellular and molecular </w:t>
      </w:r>
      <w:proofErr w:type="gramStart"/>
      <w:r>
        <w:t>biology</w:t>
      </w:r>
      <w:proofErr w:type="gramEnd"/>
      <w:r>
        <w:t xml:space="preserve"> and chemistry. Biomaterial-based scaffolds provide a microenvironment that can modulate cell behavior, including recruitment, adhesion, migration, </w:t>
      </w:r>
      <w:proofErr w:type="gramStart"/>
      <w:r>
        <w:t>proliferation</w:t>
      </w:r>
      <w:proofErr w:type="gramEnd"/>
      <w:r>
        <w:t xml:space="preserve"> and differentiation. In addition, bioactive molecules, such as drugs and growth factors</w:t>
      </w:r>
      <w:r w:rsidR="00267F89">
        <w:t>,</w:t>
      </w:r>
      <w:r>
        <w:t xml:space="preserve"> can be incorporated into the scaffold(s) to improve cell differentiation capacity to generate a target tissue. </w:t>
      </w:r>
    </w:p>
    <w:p w14:paraId="1A05FAE6" w14:textId="2037D7D5" w:rsidR="00E20360" w:rsidRDefault="00E20360" w:rsidP="00AC2EB2">
      <w:pPr>
        <w:pStyle w:val="MDPI31text"/>
      </w:pPr>
      <w:r>
        <w:t xml:space="preserve">Among the plethora of scaffolds in development, hydrogels have attracted significant attention due to </w:t>
      </w:r>
      <w:r w:rsidRPr="00777855">
        <w:rPr>
          <w:color w:val="auto"/>
        </w:rPr>
        <w:t xml:space="preserve">their </w:t>
      </w:r>
      <w:proofErr w:type="spellStart"/>
      <w:r w:rsidRPr="00777855">
        <w:rPr>
          <w:color w:val="auto"/>
        </w:rPr>
        <w:t>tun</w:t>
      </w:r>
      <w:r w:rsidR="00FE3800" w:rsidRPr="00777855">
        <w:rPr>
          <w:color w:val="auto"/>
        </w:rPr>
        <w:t>e</w:t>
      </w:r>
      <w:r w:rsidRPr="00777855">
        <w:rPr>
          <w:color w:val="auto"/>
        </w:rPr>
        <w:t>able</w:t>
      </w:r>
      <w:proofErr w:type="spellEnd"/>
      <w:r w:rsidRPr="00777855">
        <w:rPr>
          <w:color w:val="auto"/>
        </w:rPr>
        <w:t xml:space="preserve"> </w:t>
      </w:r>
      <w:r>
        <w:t xml:space="preserve">physicochemical properties. Hydrogels are polymeric networks capable of holding a large amount of water that can be chemically crosslinked. Natural and synthetic polymer-based hydrogels have been widely used and chemically and physically modified to improve cell behavior and activate cell molecular </w:t>
      </w:r>
      <w:r w:rsidR="002169A1">
        <w:t>signaling</w:t>
      </w:r>
      <w:r>
        <w:t xml:space="preserve">. </w:t>
      </w:r>
      <w:proofErr w:type="gramStart"/>
      <w:r>
        <w:t>In particular, natural</w:t>
      </w:r>
      <w:proofErr w:type="gramEnd"/>
      <w:r>
        <w:t xml:space="preserve"> polymers such as collagen, fibronectin, chitosan, hyaluronic acid, laminin and elastin are notable as biomimetic materials given their comparable composition to components of extracellular matrix (ECM). The natural polymer-based hydrogels display excellent biocompatibility, biodegradability, biological </w:t>
      </w:r>
      <w:proofErr w:type="gramStart"/>
      <w:r>
        <w:t>activity</w:t>
      </w:r>
      <w:proofErr w:type="gramEnd"/>
      <w:r>
        <w:t xml:space="preserve"> and low cytotoxicity, compared with synthetic polymers [3]. However, the weak mechanical properties and/or rapid degradation rate of natural polymers create challenges for clinical translation. Therefore, natural polymer-based hydrogels are often combined with synthetic polymers or ceramics, or in subsequent crosslinking reactions</w:t>
      </w:r>
      <w:r w:rsidR="0019091F">
        <w:t>,</w:t>
      </w:r>
      <w:r>
        <w:t xml:space="preserve"> to improve their mechanical properties and reduce their degradation rates.</w:t>
      </w:r>
    </w:p>
    <w:p w14:paraId="1E4A5397" w14:textId="67383271" w:rsidR="00E20360" w:rsidRPr="000B5EAC" w:rsidRDefault="00E20360" w:rsidP="00AC2EB2">
      <w:pPr>
        <w:pStyle w:val="MDPI31text"/>
        <w:rPr>
          <w:color w:val="auto"/>
        </w:rPr>
      </w:pPr>
      <w:r>
        <w:t xml:space="preserve">Gelatin is a naturally derived material consisting of partially hydrolyzed and degraded collagen, an essential structural protein component in the extracellular matrix of bones, </w:t>
      </w:r>
      <w:proofErr w:type="gramStart"/>
      <w:r>
        <w:t>cartilage</w:t>
      </w:r>
      <w:proofErr w:type="gramEnd"/>
      <w:r>
        <w:t xml:space="preserve"> and tendons. The absence of the triple helical structure in collagen, following hydrolysis and denaturation processes, results in a lower mechanical strength compared to native collagen. However, due to gelatin’s structural stability and enhanced tolerance for chemical modification, various crosslinking methods, such as physical and chemical crosslinking, are widely used to improve </w:t>
      </w:r>
      <w:r w:rsidR="00836701">
        <w:t xml:space="preserve">the </w:t>
      </w:r>
      <w:r>
        <w:t xml:space="preserve">mechanical properties and control the degradation of gelatin. Harnessing the presence of functional side-groups, unmodified gelatin can be chemically crosslinked using aldehydes [4], carbodiimide [5] or using a natural crosslinker </w:t>
      </w:r>
      <w:r w:rsidR="00836701">
        <w:t xml:space="preserve">such as </w:t>
      </w:r>
      <w:proofErr w:type="spellStart"/>
      <w:r>
        <w:t>genipin</w:t>
      </w:r>
      <w:proofErr w:type="spellEnd"/>
      <w:r>
        <w:t xml:space="preserve"> [6,7]</w:t>
      </w:r>
      <w:r w:rsidR="00836701">
        <w:t>,</w:t>
      </w:r>
      <w:r>
        <w:t xml:space="preserve"> or enzyme-mediated crosslinking </w:t>
      </w:r>
      <w:r w:rsidR="00836701">
        <w:t xml:space="preserve">can be used </w:t>
      </w:r>
      <w:r>
        <w:t>via transglutaminases [8,9] and tyrosinases [10]. The crosslinked gelatin hydrogels are</w:t>
      </w:r>
      <w:r w:rsidR="00836701">
        <w:t>,</w:t>
      </w:r>
      <w:r>
        <w:t xml:space="preserve"> however, restricted</w:t>
      </w:r>
      <w:r w:rsidR="00836701">
        <w:t>,</w:t>
      </w:r>
      <w:r>
        <w:t xml:space="preserve"> with negligible control over the degree of crosslinking and</w:t>
      </w:r>
      <w:r w:rsidR="00836701">
        <w:t>,</w:t>
      </w:r>
      <w:r>
        <w:t xml:space="preserve"> therefore</w:t>
      </w:r>
      <w:r w:rsidR="00836701">
        <w:t>,</w:t>
      </w:r>
      <w:r>
        <w:t xml:space="preserve"> the </w:t>
      </w:r>
      <w:proofErr w:type="spellStart"/>
      <w:r>
        <w:t>physicomechanical</w:t>
      </w:r>
      <w:proofErr w:type="spellEnd"/>
      <w:r>
        <w:t xml:space="preserve"> properties of the hydrogel. These limitations can be avoided by modifying the gelatin backbone with the incorporation of functional groups. Thus, through tuning the degree of functionality and crosslinking conditions, precise control over the crosslinked matrix can be achieved. One such functionalized gelatin that has been investigated in detail, for a range of applications</w:t>
      </w:r>
      <w:r w:rsidR="00836701">
        <w:t>,</w:t>
      </w:r>
      <w:r>
        <w:t xml:space="preserve"> is gelatin </w:t>
      </w:r>
      <w:proofErr w:type="spellStart"/>
      <w:r>
        <w:t>methacryloyl</w:t>
      </w:r>
      <w:proofErr w:type="spellEnd"/>
      <w:r>
        <w:t xml:space="preserve"> (</w:t>
      </w:r>
      <w:proofErr w:type="spellStart"/>
      <w:r>
        <w:t>GelMA</w:t>
      </w:r>
      <w:proofErr w:type="spellEnd"/>
      <w:r>
        <w:t xml:space="preserve">). The chemical modification of the gelatin backbone with methacrylic anhydride </w:t>
      </w:r>
      <w:r w:rsidRPr="000B5EAC">
        <w:rPr>
          <w:color w:val="auto"/>
        </w:rPr>
        <w:t>only utili</w:t>
      </w:r>
      <w:r w:rsidR="00FE3800" w:rsidRPr="000B5EAC">
        <w:rPr>
          <w:color w:val="auto"/>
        </w:rPr>
        <w:t>z</w:t>
      </w:r>
      <w:r w:rsidRPr="000B5EAC">
        <w:rPr>
          <w:color w:val="auto"/>
        </w:rPr>
        <w:t xml:space="preserve">es 5% of the amino acid residues per molar ratio [11]. This implies that both cell-adhesive and matrix metalloproteinase (MMP)-sensitive motifs, which confer a wide range </w:t>
      </w:r>
      <w:r w:rsidR="00836701">
        <w:rPr>
          <w:color w:val="auto"/>
        </w:rPr>
        <w:t xml:space="preserve">of </w:t>
      </w:r>
      <w:r w:rsidRPr="000B5EAC">
        <w:rPr>
          <w:color w:val="auto"/>
        </w:rPr>
        <w:t xml:space="preserve">biological applicability to gelatin, is retained post-modification. Furthermore, </w:t>
      </w:r>
      <w:r w:rsidR="00836701">
        <w:rPr>
          <w:color w:val="auto"/>
        </w:rPr>
        <w:t xml:space="preserve">the </w:t>
      </w:r>
      <w:r w:rsidRPr="000B5EAC">
        <w:rPr>
          <w:color w:val="auto"/>
        </w:rPr>
        <w:t xml:space="preserve">inclusion of these photo-labile motifs </w:t>
      </w:r>
      <w:r w:rsidR="00836701">
        <w:rPr>
          <w:color w:val="auto"/>
        </w:rPr>
        <w:t>in</w:t>
      </w:r>
      <w:r w:rsidR="00836701" w:rsidRPr="000B5EAC">
        <w:rPr>
          <w:color w:val="auto"/>
        </w:rPr>
        <w:t xml:space="preserve"> </w:t>
      </w:r>
      <w:r w:rsidRPr="000B5EAC">
        <w:rPr>
          <w:color w:val="auto"/>
        </w:rPr>
        <w:t>the gelatin backbone permits radical-based photopolymerization under mild conditions.</w:t>
      </w:r>
    </w:p>
    <w:p w14:paraId="408F68AC" w14:textId="33601D5F" w:rsidR="00583482" w:rsidRPr="00CA04D9" w:rsidRDefault="00E20360" w:rsidP="00AC2EB2">
      <w:pPr>
        <w:pStyle w:val="MDPI31text"/>
      </w:pPr>
      <w:r w:rsidRPr="000B5EAC">
        <w:rPr>
          <w:color w:val="auto"/>
        </w:rPr>
        <w:t xml:space="preserve">The current review focuses on recent studies related to the biomedical application of </w:t>
      </w:r>
      <w:proofErr w:type="spellStart"/>
      <w:r w:rsidRPr="000B5EAC">
        <w:rPr>
          <w:color w:val="auto"/>
        </w:rPr>
        <w:t>GelMA</w:t>
      </w:r>
      <w:proofErr w:type="spellEnd"/>
      <w:r w:rsidRPr="000B5EAC">
        <w:rPr>
          <w:color w:val="auto"/>
        </w:rPr>
        <w:t xml:space="preserve"> hydrogels, including their use as drug delivery systems</w:t>
      </w:r>
      <w:r w:rsidR="008632C7">
        <w:rPr>
          <w:color w:val="auto"/>
        </w:rPr>
        <w:t xml:space="preserve"> and</w:t>
      </w:r>
      <w:r w:rsidRPr="000B5EAC">
        <w:rPr>
          <w:color w:val="auto"/>
        </w:rPr>
        <w:t xml:space="preserve"> their antimicrobial activity</w:t>
      </w:r>
      <w:r w:rsidR="008632C7">
        <w:rPr>
          <w:color w:val="auto"/>
        </w:rPr>
        <w:t>,</w:t>
      </w:r>
      <w:r w:rsidRPr="000B5EAC">
        <w:rPr>
          <w:color w:val="auto"/>
        </w:rPr>
        <w:t xml:space="preserve"> as well as their immunomodulatory properties for musculoskeletal tissue regeneration. </w:t>
      </w:r>
      <w:r w:rsidR="00583482" w:rsidRPr="000B5EAC">
        <w:rPr>
          <w:color w:val="auto"/>
        </w:rPr>
        <w:t>Different search engines</w:t>
      </w:r>
      <w:r w:rsidR="008632C7">
        <w:rPr>
          <w:color w:val="auto"/>
        </w:rPr>
        <w:t>,</w:t>
      </w:r>
      <w:r w:rsidR="00583482" w:rsidRPr="000B5EAC">
        <w:rPr>
          <w:color w:val="auto"/>
        </w:rPr>
        <w:t xml:space="preserve"> </w:t>
      </w:r>
      <w:r w:rsidR="008632C7">
        <w:rPr>
          <w:color w:val="auto"/>
        </w:rPr>
        <w:t>such as</w:t>
      </w:r>
      <w:r w:rsidR="008632C7" w:rsidRPr="000B5EAC">
        <w:rPr>
          <w:color w:val="auto"/>
        </w:rPr>
        <w:t xml:space="preserve"> </w:t>
      </w:r>
      <w:r w:rsidR="002169A1" w:rsidRPr="000B5EAC">
        <w:rPr>
          <w:color w:val="auto"/>
        </w:rPr>
        <w:t>PubMed</w:t>
      </w:r>
      <w:r w:rsidR="00583482" w:rsidRPr="000B5EAC">
        <w:rPr>
          <w:color w:val="auto"/>
        </w:rPr>
        <w:t xml:space="preserve">, </w:t>
      </w:r>
      <w:r w:rsidR="002169A1">
        <w:rPr>
          <w:color w:val="auto"/>
        </w:rPr>
        <w:t>W</w:t>
      </w:r>
      <w:r w:rsidR="00583482" w:rsidRPr="000B5EAC">
        <w:rPr>
          <w:color w:val="auto"/>
        </w:rPr>
        <w:t xml:space="preserve">eb of </w:t>
      </w:r>
      <w:r w:rsidR="002169A1">
        <w:rPr>
          <w:color w:val="auto"/>
        </w:rPr>
        <w:t>S</w:t>
      </w:r>
      <w:r w:rsidR="00583482" w:rsidRPr="000B5EAC">
        <w:rPr>
          <w:color w:val="auto"/>
        </w:rPr>
        <w:t xml:space="preserve">cience and </w:t>
      </w:r>
      <w:r w:rsidR="002169A1" w:rsidRPr="000B5EAC">
        <w:rPr>
          <w:color w:val="auto"/>
        </w:rPr>
        <w:t>Scopus</w:t>
      </w:r>
      <w:r w:rsidR="00583482" w:rsidRPr="000B5EAC">
        <w:rPr>
          <w:color w:val="auto"/>
        </w:rPr>
        <w:t xml:space="preserve"> were used to search for articles published </w:t>
      </w:r>
      <w:r w:rsidR="008632C7">
        <w:rPr>
          <w:color w:val="auto"/>
        </w:rPr>
        <w:t>up to</w:t>
      </w:r>
      <w:r w:rsidR="008632C7" w:rsidRPr="000B5EAC">
        <w:rPr>
          <w:color w:val="auto"/>
        </w:rPr>
        <w:t xml:space="preserve"> </w:t>
      </w:r>
      <w:r w:rsidR="00583482" w:rsidRPr="000B5EAC">
        <w:rPr>
          <w:color w:val="auto"/>
        </w:rPr>
        <w:t>December 31</w:t>
      </w:r>
      <w:r w:rsidR="0037514E" w:rsidRPr="0037514E">
        <w:rPr>
          <w:rFonts w:hint="eastAsia"/>
          <w:color w:val="auto"/>
        </w:rPr>
        <w:t>st</w:t>
      </w:r>
      <w:proofErr w:type="gramStart"/>
      <w:r w:rsidR="00583482" w:rsidRPr="000B5EAC">
        <w:rPr>
          <w:color w:val="auto"/>
        </w:rPr>
        <w:t xml:space="preserve"> 2021</w:t>
      </w:r>
      <w:proofErr w:type="gramEnd"/>
      <w:r w:rsidR="00583482" w:rsidRPr="000B5EAC">
        <w:rPr>
          <w:color w:val="auto"/>
        </w:rPr>
        <w:t xml:space="preserve"> using </w:t>
      </w:r>
      <w:r w:rsidR="008632C7">
        <w:rPr>
          <w:color w:val="auto"/>
        </w:rPr>
        <w:t xml:space="preserve">the </w:t>
      </w:r>
      <w:r w:rsidR="00583482" w:rsidRPr="000B5EAC">
        <w:rPr>
          <w:color w:val="auto"/>
        </w:rPr>
        <w:t>keywords “</w:t>
      </w:r>
      <w:proofErr w:type="spellStart"/>
      <w:r w:rsidR="00583482" w:rsidRPr="000B5EAC">
        <w:rPr>
          <w:color w:val="auto"/>
        </w:rPr>
        <w:t>gelma</w:t>
      </w:r>
      <w:proofErr w:type="spellEnd"/>
      <w:r w:rsidR="00583482" w:rsidRPr="000B5EAC">
        <w:rPr>
          <w:color w:val="auto"/>
        </w:rPr>
        <w:t xml:space="preserve">” or “gelatin </w:t>
      </w:r>
      <w:proofErr w:type="spellStart"/>
      <w:r w:rsidR="00583482" w:rsidRPr="000B5EAC">
        <w:rPr>
          <w:color w:val="auto"/>
        </w:rPr>
        <w:t>methacryloyl</w:t>
      </w:r>
      <w:proofErr w:type="spellEnd"/>
      <w:r w:rsidR="00583482" w:rsidRPr="000B5EAC">
        <w:rPr>
          <w:color w:val="auto"/>
        </w:rPr>
        <w:t xml:space="preserve">” or “gelatin” and “bone tissue engineering” or “bone regeneration” in combination with other keywords </w:t>
      </w:r>
      <w:r w:rsidR="008632C7">
        <w:rPr>
          <w:color w:val="auto"/>
        </w:rPr>
        <w:t>such as</w:t>
      </w:r>
      <w:r w:rsidR="008632C7" w:rsidRPr="000B5EAC">
        <w:rPr>
          <w:color w:val="auto"/>
        </w:rPr>
        <w:t xml:space="preserve"> </w:t>
      </w:r>
      <w:r w:rsidR="00583482" w:rsidRPr="000B5EAC">
        <w:rPr>
          <w:color w:val="auto"/>
        </w:rPr>
        <w:t xml:space="preserve">immunomodulation or growth factor or drug delivery or antibacterial or 3D bioprinting or nanomaterials or nanoparticles (Figure 1). </w:t>
      </w:r>
      <w:r w:rsidR="00CA04D9" w:rsidRPr="000B5EAC">
        <w:rPr>
          <w:color w:val="auto"/>
        </w:rPr>
        <w:t>Finally</w:t>
      </w:r>
      <w:r w:rsidR="00CA04D9">
        <w:t xml:space="preserve">, we review the challenges and future development prospects of gelatin and </w:t>
      </w:r>
      <w:proofErr w:type="spellStart"/>
      <w:r w:rsidR="00CA04D9">
        <w:t>GelMA</w:t>
      </w:r>
      <w:proofErr w:type="spellEnd"/>
      <w:r w:rsidR="00CA04D9">
        <w:t xml:space="preserve"> as tissue engineering materials and drug delivery carriers.</w:t>
      </w:r>
    </w:p>
    <w:p w14:paraId="65A6D845" w14:textId="3D5F245A" w:rsidR="00583482" w:rsidRDefault="00583482" w:rsidP="002725E5">
      <w:pPr>
        <w:pStyle w:val="MDPI31text"/>
        <w:jc w:val="left"/>
        <w:rPr>
          <w:color w:val="FF0000"/>
        </w:rPr>
      </w:pPr>
    </w:p>
    <w:p w14:paraId="61D193C1" w14:textId="060261FF" w:rsidR="00583482" w:rsidRDefault="00CA04D9" w:rsidP="00434103">
      <w:pPr>
        <w:pStyle w:val="MDPI52figure"/>
        <w:ind w:left="2608"/>
        <w:jc w:val="left"/>
      </w:pPr>
      <w:r>
        <w:rPr>
          <w:noProof/>
          <w:snapToGrid/>
        </w:rPr>
        <w:drawing>
          <wp:inline distT="0" distB="0" distL="0" distR="0" wp14:anchorId="4E9AC6E9" wp14:editId="1C8639E3">
            <wp:extent cx="3985895" cy="3027045"/>
            <wp:effectExtent l="19050" t="19050" r="14605" b="20955"/>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5895" cy="3027045"/>
                    </a:xfrm>
                    <a:prstGeom prst="rect">
                      <a:avLst/>
                    </a:prstGeom>
                    <a:ln w="12700">
                      <a:solidFill>
                        <a:schemeClr val="tx1"/>
                      </a:solidFill>
                    </a:ln>
                  </pic:spPr>
                </pic:pic>
              </a:graphicData>
            </a:graphic>
          </wp:inline>
        </w:drawing>
      </w:r>
    </w:p>
    <w:p w14:paraId="0F82E603" w14:textId="095399BC" w:rsidR="00AF2A30" w:rsidRPr="00CA04D9" w:rsidRDefault="00AC2EB2" w:rsidP="00AC2EB2">
      <w:pPr>
        <w:pStyle w:val="MDPI51figurecaption"/>
      </w:pPr>
      <w:r w:rsidRPr="00EC311F">
        <w:rPr>
          <w:b/>
          <w:bCs/>
        </w:rPr>
        <w:t xml:space="preserve">Figure 1. </w:t>
      </w:r>
      <w:r w:rsidR="00CA04D9" w:rsidRPr="00EC311F">
        <w:t>Number</w:t>
      </w:r>
      <w:r w:rsidR="00CA04D9" w:rsidRPr="00583482">
        <w:t xml:space="preserve"> of articles focused on </w:t>
      </w:r>
      <w:proofErr w:type="spellStart"/>
      <w:r w:rsidR="00CA04D9" w:rsidRPr="00583482">
        <w:t>GelMA</w:t>
      </w:r>
      <w:proofErr w:type="spellEnd"/>
      <w:r w:rsidR="00CA04D9" w:rsidRPr="00583482">
        <w:t xml:space="preserve"> and </w:t>
      </w:r>
      <w:proofErr w:type="spellStart"/>
      <w:r w:rsidR="00CA04D9" w:rsidRPr="00583482">
        <w:t>GelMA</w:t>
      </w:r>
      <w:proofErr w:type="spellEnd"/>
      <w:r w:rsidR="00CA04D9" w:rsidRPr="00583482">
        <w:t xml:space="preserve"> for bone regeneration published per year since 2000 according to </w:t>
      </w:r>
      <w:r w:rsidR="002169A1" w:rsidRPr="00583482">
        <w:t>PubMed</w:t>
      </w:r>
      <w:r w:rsidR="00CA04D9" w:rsidRPr="00583482">
        <w:t>.</w:t>
      </w:r>
    </w:p>
    <w:p w14:paraId="7A7B881A" w14:textId="01DCD8C5" w:rsidR="00275734" w:rsidRPr="00FA04F1" w:rsidRDefault="00AC2EB2" w:rsidP="00AC2EB2">
      <w:pPr>
        <w:pStyle w:val="MDPI21heading1"/>
      </w:pPr>
      <w:r>
        <w:rPr>
          <w:lang w:eastAsia="zh-CN"/>
        </w:rPr>
        <w:t xml:space="preserve">2. </w:t>
      </w:r>
      <w:r w:rsidR="00A3718F" w:rsidRPr="00A3718F">
        <w:t xml:space="preserve">The synthesis of </w:t>
      </w:r>
      <w:proofErr w:type="spellStart"/>
      <w:r w:rsidR="00A3718F" w:rsidRPr="00A3718F">
        <w:t>GelMA</w:t>
      </w:r>
      <w:proofErr w:type="spellEnd"/>
    </w:p>
    <w:p w14:paraId="00B7AA03" w14:textId="5C02F957" w:rsidR="00E20360" w:rsidRDefault="00E20360" w:rsidP="00AC2EB2">
      <w:pPr>
        <w:pStyle w:val="MDPI31text"/>
      </w:pPr>
      <w:r>
        <w:t xml:space="preserve">Since the first report in 2000, </w:t>
      </w:r>
      <w:proofErr w:type="spellStart"/>
      <w:r>
        <w:t>GelMA</w:t>
      </w:r>
      <w:proofErr w:type="spellEnd"/>
      <w:r>
        <w:t xml:space="preserve"> has been extensively investigated to address different approaches </w:t>
      </w:r>
      <w:r w:rsidR="00850E31">
        <w:t xml:space="preserve">to </w:t>
      </w:r>
      <w:r>
        <w:t xml:space="preserve">crosslinking the functionalized matrix </w:t>
      </w:r>
      <w:r w:rsidR="00850E31">
        <w:t xml:space="preserve">for </w:t>
      </w:r>
      <w:r>
        <w:t xml:space="preserve">different applications where </w:t>
      </w:r>
      <w:proofErr w:type="spellStart"/>
      <w:r>
        <w:t>GelMA</w:t>
      </w:r>
      <w:proofErr w:type="spellEnd"/>
      <w:r>
        <w:t xml:space="preserve"> can be applied [12]. Irrespective of the numerous articles published each year, where </w:t>
      </w:r>
      <w:proofErr w:type="spellStart"/>
      <w:r>
        <w:t>GelMA</w:t>
      </w:r>
      <w:proofErr w:type="spellEnd"/>
      <w:r>
        <w:t xml:space="preserve"> serves as a base material</w:t>
      </w:r>
      <w:r w:rsidR="00850E31">
        <w:t>,</w:t>
      </w:r>
      <w:r>
        <w:t xml:space="preserve"> either for tissue engineering or drug/gene delivery applications (Web of Science records 286 research papers in 2021), the synthesis protocol has not deviated from the original method reported by Van den </w:t>
      </w:r>
      <w:proofErr w:type="spellStart"/>
      <w:r>
        <w:t>Bulcke</w:t>
      </w:r>
      <w:proofErr w:type="spellEnd"/>
      <w:r>
        <w:t xml:space="preserve"> et al. </w:t>
      </w:r>
      <w:proofErr w:type="spellStart"/>
      <w:r>
        <w:t>GelMA</w:t>
      </w:r>
      <w:proofErr w:type="spellEnd"/>
      <w:r>
        <w:t xml:space="preserve"> is synthesized by the chemical reaction between hydroxyl and amine groups of the amino acids residues and methacrylic anhydride (MA) [12]. Briefly, 10 </w:t>
      </w:r>
      <w:proofErr w:type="spellStart"/>
      <w:r>
        <w:t>wt</w:t>
      </w:r>
      <w:proofErr w:type="spellEnd"/>
      <w:r>
        <w:t>% solution of gelatin is prepared in phosphate buffer saline (pH – 7.4) at 50°C and following complete dissolution, MA is added in excess to allow interaction of the anhydride. The reaction is continued for an hour</w:t>
      </w:r>
      <w:r w:rsidR="00850E31">
        <w:t>,</w:t>
      </w:r>
      <w:r>
        <w:t xml:space="preserve"> after which time the reaction is stopped by the addition of excess PBS (typically 5</w:t>
      </w:r>
      <w:r w:rsidR="00214FA6" w:rsidRPr="00214FA6">
        <w:t>×</w:t>
      </w:r>
      <w:r>
        <w:t xml:space="preserve">); the solution is subsequently </w:t>
      </w:r>
      <w:r w:rsidR="00850E31">
        <w:t xml:space="preserve">filtered </w:t>
      </w:r>
      <w:r>
        <w:t xml:space="preserve">to remove unreacted anhydride or the reaction by-product, methacrylic acid. The resulting functionalized gelatin is a mix of </w:t>
      </w:r>
      <w:proofErr w:type="spellStart"/>
      <w:r>
        <w:t>methacrylamide</w:t>
      </w:r>
      <w:proofErr w:type="spellEnd"/>
      <w:r>
        <w:t xml:space="preserve"> and methacrylate groups, </w:t>
      </w:r>
      <w:r w:rsidR="00850E31">
        <w:t xml:space="preserve">hence </w:t>
      </w:r>
      <w:r>
        <w:t xml:space="preserve">the name gelatin </w:t>
      </w:r>
      <w:proofErr w:type="spellStart"/>
      <w:r>
        <w:t>methacryloyl</w:t>
      </w:r>
      <w:proofErr w:type="spellEnd"/>
      <w:r>
        <w:t xml:space="preserve"> [11]</w:t>
      </w:r>
      <w:r w:rsidR="00850E31">
        <w:t>,</w:t>
      </w:r>
      <w:r>
        <w:t xml:space="preserve"> instead of the earlier nomenclature of gelatin methacrylate [13,14] </w:t>
      </w:r>
      <w:proofErr w:type="spellStart"/>
      <w:r>
        <w:t>methacrylated</w:t>
      </w:r>
      <w:proofErr w:type="spellEnd"/>
      <w:r>
        <w:t xml:space="preserve"> gelatin [15,16] or </w:t>
      </w:r>
      <w:proofErr w:type="spellStart"/>
      <w:r>
        <w:t>methacrylamide</w:t>
      </w:r>
      <w:proofErr w:type="spellEnd"/>
      <w:r>
        <w:t xml:space="preserve"> modified gelatin</w:t>
      </w:r>
      <w:r w:rsidR="00850E31">
        <w:t>,</w:t>
      </w:r>
      <w:r>
        <w:t xml:space="preserve"> has gained </w:t>
      </w:r>
      <w:proofErr w:type="spellStart"/>
      <w:r>
        <w:t>favour</w:t>
      </w:r>
      <w:proofErr w:type="spellEnd"/>
      <w:r>
        <w:t xml:space="preserve"> [17,18]. Functionalized gelatin can either be crosslinked by photopolymerization [19</w:t>
      </w:r>
      <w:r w:rsidR="00DC6825">
        <w:t>–</w:t>
      </w:r>
      <w:r>
        <w:t>25] or chemically crosslinked using ammonium persulfate</w:t>
      </w:r>
      <w:r w:rsidR="00ED389D">
        <w:t xml:space="preserve"> </w:t>
      </w:r>
      <w:r>
        <w:t xml:space="preserve">(APS)/tetraacetylethylenediamine (TEMED) [26]. </w:t>
      </w:r>
    </w:p>
    <w:p w14:paraId="66514CFC" w14:textId="79246C86" w:rsidR="00A3718F" w:rsidRDefault="00E20360" w:rsidP="00AC2EB2">
      <w:pPr>
        <w:pStyle w:val="MDPI31text"/>
      </w:pPr>
      <w:r>
        <w:t xml:space="preserve">Irrespective of the crosslinking system used, the factors that influence the properties of </w:t>
      </w:r>
      <w:r w:rsidR="00850E31">
        <w:t xml:space="preserve">the </w:t>
      </w:r>
      <w:r>
        <w:t xml:space="preserve">crosslinked matrix and thus </w:t>
      </w:r>
      <w:r w:rsidR="00850E31">
        <w:t xml:space="preserve">its </w:t>
      </w:r>
      <w:r>
        <w:t>feasibility for any biomedical application are principally the degree of functionalization (</w:t>
      </w:r>
      <w:r w:rsidR="00850E31">
        <w:t xml:space="preserve">a </w:t>
      </w:r>
      <w:r>
        <w:t xml:space="preserve">measure of </w:t>
      </w:r>
      <w:proofErr w:type="spellStart"/>
      <w:r>
        <w:t>methacrylation</w:t>
      </w:r>
      <w:proofErr w:type="spellEnd"/>
      <w:r>
        <w:t xml:space="preserve">) and the macromer concentration. Independent of macromer concentration, </w:t>
      </w:r>
      <w:r w:rsidR="00850E31">
        <w:t xml:space="preserve">the </w:t>
      </w:r>
      <w:r>
        <w:t xml:space="preserve">different degree of </w:t>
      </w:r>
      <w:proofErr w:type="spellStart"/>
      <w:r>
        <w:t>methacrylation</w:t>
      </w:r>
      <w:proofErr w:type="spellEnd"/>
      <w:r>
        <w:t xml:space="preserve"> (</w:t>
      </w:r>
      <w:proofErr w:type="spellStart"/>
      <w:r>
        <w:t>DoM</w:t>
      </w:r>
      <w:proofErr w:type="spellEnd"/>
      <w:r>
        <w:t>) is one parameter that has been extensively investigated. The influence of the reaction conditions</w:t>
      </w:r>
      <w:r w:rsidR="00850E31">
        <w:t>,</w:t>
      </w:r>
      <w:r>
        <w:t xml:space="preserve"> such as the source of </w:t>
      </w:r>
      <w:proofErr w:type="spellStart"/>
      <w:r>
        <w:t>methacryloyl</w:t>
      </w:r>
      <w:proofErr w:type="spellEnd"/>
      <w:r>
        <w:t xml:space="preserve">, </w:t>
      </w:r>
      <w:r w:rsidR="00850E31">
        <w:t xml:space="preserve">the </w:t>
      </w:r>
      <w:r>
        <w:t>solvent used, mode of reaction</w:t>
      </w:r>
      <w:r w:rsidR="00850E31">
        <w:t>,</w:t>
      </w:r>
      <w:r>
        <w:t xml:space="preserve"> and type and source of gelatin</w:t>
      </w:r>
      <w:r w:rsidR="00850E31">
        <w:t>,</w:t>
      </w:r>
      <w:r>
        <w:t xml:space="preserve"> are known to control the </w:t>
      </w:r>
      <w:proofErr w:type="spellStart"/>
      <w:r>
        <w:t>DoM.</w:t>
      </w:r>
      <w:proofErr w:type="spellEnd"/>
    </w:p>
    <w:p w14:paraId="28996C1B" w14:textId="475C1512" w:rsidR="00A3718F" w:rsidRPr="00AC2EB2" w:rsidRDefault="00AC2EB2" w:rsidP="00AC2EB2">
      <w:pPr>
        <w:pStyle w:val="MDPI22heading2"/>
        <w:spacing w:before="240"/>
      </w:pPr>
      <w:r w:rsidRPr="00AC2EB2">
        <w:t xml:space="preserve">2.1. </w:t>
      </w:r>
      <w:r w:rsidR="00A3718F" w:rsidRPr="00AC2EB2">
        <w:t>The effect of reaction conditions (buffer, pH and temperature) on DoM</w:t>
      </w:r>
    </w:p>
    <w:p w14:paraId="1E85324C" w14:textId="44A85670" w:rsidR="00E20360" w:rsidRDefault="00E20360" w:rsidP="00AC2EB2">
      <w:pPr>
        <w:pStyle w:val="MDPI31text"/>
      </w:pPr>
      <w:r w:rsidRPr="00E20360">
        <w:lastRenderedPageBreak/>
        <w:t xml:space="preserve">One strategy to modulate the </w:t>
      </w:r>
      <w:proofErr w:type="spellStart"/>
      <w:r w:rsidRPr="00E20360">
        <w:t>DoM</w:t>
      </w:r>
      <w:proofErr w:type="spellEnd"/>
      <w:r w:rsidRPr="00E20360">
        <w:t xml:space="preserve"> involves adjusting the pH of the reaction condition to prevent protonation of the primary amine. This can be achieved by maintaining the pH above the isoelectric point (</w:t>
      </w:r>
      <w:proofErr w:type="spellStart"/>
      <w:r w:rsidRPr="00E20360">
        <w:t>pI</w:t>
      </w:r>
      <w:proofErr w:type="spellEnd"/>
      <w:r w:rsidRPr="00E20360">
        <w:t>) of gelatin (</w:t>
      </w:r>
      <w:proofErr w:type="spellStart"/>
      <w:r w:rsidRPr="00E20360">
        <w:t>pI</w:t>
      </w:r>
      <w:proofErr w:type="spellEnd"/>
      <w:r w:rsidRPr="00E20360">
        <w:t xml:space="preserve"> for type A is 8</w:t>
      </w:r>
      <w:r w:rsidR="0037514E">
        <w:t>–</w:t>
      </w:r>
      <w:r w:rsidRPr="00E20360">
        <w:t>9 whereas for type B it is in the range of 5</w:t>
      </w:r>
      <w:r w:rsidR="0037514E">
        <w:t>–</w:t>
      </w:r>
      <w:r w:rsidRPr="00E20360">
        <w:t>6) to improve the reactivity of functional groups involved in backbone functionalization. With phosphate-buffered saline (PBS) as the dissolution agent, the buffering capacity is limited and requires pH adjustments throughout the reaction duration to improve the reaction efficacy. This can be laborious and requires an excess of MA for chemical modification [27,28] and</w:t>
      </w:r>
      <w:r w:rsidR="004E6549">
        <w:t>,</w:t>
      </w:r>
      <w:r w:rsidRPr="00E20360">
        <w:t xml:space="preserve"> while this is achievable, it does introduce a potential source of variability between different synthesized batches. In the absence of pH adjustments, the </w:t>
      </w:r>
      <w:proofErr w:type="spellStart"/>
      <w:r w:rsidRPr="00E20360">
        <w:t>DoM</w:t>
      </w:r>
      <w:proofErr w:type="spellEnd"/>
      <w:r w:rsidRPr="00E20360">
        <w:t xml:space="preserve"> varies in the range of 70</w:t>
      </w:r>
      <w:r w:rsidR="0037514E">
        <w:t>–</w:t>
      </w:r>
      <w:r w:rsidRPr="00E20360">
        <w:t>85%. An alternative to PBS is 0.1</w:t>
      </w:r>
      <w:r w:rsidR="0037514E">
        <w:t xml:space="preserve"> </w:t>
      </w:r>
      <w:r w:rsidRPr="00E20360">
        <w:t xml:space="preserve">M carbonate-bicarbonate buffer (CB) at pH 9.7, enabling excellent buffering above the </w:t>
      </w:r>
      <w:proofErr w:type="spellStart"/>
      <w:r w:rsidRPr="00E20360">
        <w:t>pI</w:t>
      </w:r>
      <w:proofErr w:type="spellEnd"/>
      <w:r w:rsidRPr="00E20360">
        <w:t xml:space="preserve"> of type A gelatin</w:t>
      </w:r>
      <w:r w:rsidR="004E6549">
        <w:t>,</w:t>
      </w:r>
      <w:r w:rsidRPr="00E20360">
        <w:t xml:space="preserve"> maintaining the reactive amines in the neutral state. At the same molar concentration of MA, significantly different </w:t>
      </w:r>
      <w:proofErr w:type="spellStart"/>
      <w:r w:rsidRPr="00E20360">
        <w:t>DoM</w:t>
      </w:r>
      <w:proofErr w:type="spellEnd"/>
      <w:r w:rsidRPr="00E20360">
        <w:t xml:space="preserve"> is observed when the reaction is performed in PBS (51% ± 0.1) versus CB (76% ± 0.5) [29]. This can be further improved </w:t>
      </w:r>
      <w:proofErr w:type="gramStart"/>
      <w:r w:rsidRPr="00E20360">
        <w:t>through the use of</w:t>
      </w:r>
      <w:proofErr w:type="gramEnd"/>
      <w:r w:rsidRPr="00E20360">
        <w:t xml:space="preserve"> 0.25M CB buffer with initial pH adjusted to 9 to produce a </w:t>
      </w:r>
      <w:proofErr w:type="spellStart"/>
      <w:r w:rsidRPr="00E20360">
        <w:t>DoM</w:t>
      </w:r>
      <w:proofErr w:type="spellEnd"/>
      <w:r w:rsidRPr="00E20360">
        <w:t xml:space="preserve"> of 97% ± 0.3</w:t>
      </w:r>
      <w:r w:rsidR="007751A4">
        <w:t xml:space="preserve"> (Figure 2)</w:t>
      </w:r>
      <w:r w:rsidRPr="00E20360">
        <w:t xml:space="preserve"> [30,31]. Increasing the concentration of the buffer</w:t>
      </w:r>
      <w:r w:rsidR="004E6549">
        <w:t>,</w:t>
      </w:r>
      <w:r w:rsidRPr="00E20360">
        <w:t xml:space="preserve"> or increasing the pH above nine</w:t>
      </w:r>
      <w:r w:rsidR="004E6549">
        <w:t>,</w:t>
      </w:r>
      <w:r w:rsidRPr="00E20360">
        <w:t xml:space="preserve"> results in a decrease in the </w:t>
      </w:r>
      <w:proofErr w:type="spellStart"/>
      <w:r w:rsidRPr="00E20360">
        <w:t>DoM</w:t>
      </w:r>
      <w:proofErr w:type="spellEnd"/>
      <w:r w:rsidRPr="00E20360">
        <w:t xml:space="preserve"> due to increased hydrolysis of MA in the presence of </w:t>
      </w:r>
      <w:r w:rsidR="004E6549">
        <w:t xml:space="preserve">a </w:t>
      </w:r>
      <w:r w:rsidRPr="00E20360">
        <w:t xml:space="preserve">strong base (hydroxide ions). By increasing the molar ratio of MA/gelatin between 0.012 to 0.05, a linear increase in the degree of substitution can be achieved, providing a system where controlled functionalization can be tuned. However, this precise control over </w:t>
      </w:r>
      <w:proofErr w:type="spellStart"/>
      <w:r w:rsidRPr="00E20360">
        <w:t>DoM</w:t>
      </w:r>
      <w:proofErr w:type="spellEnd"/>
      <w:r w:rsidRPr="00E20360">
        <w:t xml:space="preserve"> is not possible when PBS is used. An important factor determining </w:t>
      </w:r>
      <w:proofErr w:type="spellStart"/>
      <w:r w:rsidRPr="00E20360">
        <w:t>DoM</w:t>
      </w:r>
      <w:proofErr w:type="spellEnd"/>
      <w:r w:rsidRPr="00E20360">
        <w:t xml:space="preserve"> is the concentration of gelatin used, </w:t>
      </w:r>
      <w:proofErr w:type="gramStart"/>
      <w:r w:rsidRPr="00E20360">
        <w:t>where</w:t>
      </w:r>
      <w:proofErr w:type="gramEnd"/>
      <w:r w:rsidRPr="00E20360">
        <w:t xml:space="preserve"> low concentrations of gelatin result in phase separation of added MA </w:t>
      </w:r>
      <w:r w:rsidR="004E6549">
        <w:t xml:space="preserve">and </w:t>
      </w:r>
      <w:r w:rsidRPr="00E20360">
        <w:t xml:space="preserve"> low </w:t>
      </w:r>
      <w:proofErr w:type="spellStart"/>
      <w:r w:rsidRPr="00E20360">
        <w:t>DoM.</w:t>
      </w:r>
      <w:proofErr w:type="spellEnd"/>
      <w:r w:rsidRPr="00E20360">
        <w:t xml:space="preserve"> As the concentration of gelatin is increased, surface tension decreases thus improving MA miscibility and significantly improving </w:t>
      </w:r>
      <w:proofErr w:type="spellStart"/>
      <w:r w:rsidRPr="00E20360">
        <w:t>DoM.</w:t>
      </w:r>
      <w:proofErr w:type="spellEnd"/>
      <w:r w:rsidRPr="00E20360">
        <w:t xml:space="preserve"> In contrast, reaction temperature failed to show any effect on </w:t>
      </w:r>
      <w:proofErr w:type="spellStart"/>
      <w:r w:rsidRPr="00E20360">
        <w:t>DoM</w:t>
      </w:r>
      <w:proofErr w:type="spellEnd"/>
      <w:r w:rsidRPr="00E20360">
        <w:t xml:space="preserve"> whereas the duration of </w:t>
      </w:r>
      <w:r w:rsidR="004E6549">
        <w:t xml:space="preserve">the </w:t>
      </w:r>
      <w:r w:rsidRPr="00E20360">
        <w:t xml:space="preserve">chemical reaction showed an increase in chemical functionalization up to 30 minutes after reaction saturation </w:t>
      </w:r>
      <w:r w:rsidR="004E6549">
        <w:t>was</w:t>
      </w:r>
      <w:r w:rsidR="004E6549" w:rsidRPr="00E20360">
        <w:t xml:space="preserve"> </w:t>
      </w:r>
      <w:r w:rsidRPr="00E20360">
        <w:t xml:space="preserve">achieved, with no significant differences observed if the reaction was performed for 1h versus 3h. Kumar and colleagues investigated the role of solvent and pH together with the reaction time on the degree of hydrolysis of gelatin and modification thus identifying the optimal reaction parameter for synthesizing </w:t>
      </w:r>
      <w:proofErr w:type="spellStart"/>
      <w:r w:rsidRPr="00E20360">
        <w:t>GelMA</w:t>
      </w:r>
      <w:proofErr w:type="spellEnd"/>
      <w:r w:rsidRPr="00E20360">
        <w:t xml:space="preserve"> as a </w:t>
      </w:r>
      <w:proofErr w:type="spellStart"/>
      <w:r w:rsidRPr="00E20360">
        <w:t>bioink</w:t>
      </w:r>
      <w:proofErr w:type="spellEnd"/>
      <w:r w:rsidRPr="00E20360">
        <w:t xml:space="preserve"> for stereolithography-based (SLA) bioprinting [32]. The results confirmed the </w:t>
      </w:r>
      <w:r w:rsidR="004E6549" w:rsidRPr="00E20360">
        <w:t>solvent</w:t>
      </w:r>
      <w:r w:rsidR="004E6549">
        <w:t>-</w:t>
      </w:r>
      <w:r w:rsidRPr="00E20360">
        <w:t xml:space="preserve">dependent effect on gelatin hydrolysis, which can be accentuated by increasing the reaction time and its downstream effect on pH and therefore </w:t>
      </w:r>
      <w:proofErr w:type="spellStart"/>
      <w:r w:rsidRPr="00E20360">
        <w:t>DoM.</w:t>
      </w:r>
      <w:proofErr w:type="spellEnd"/>
      <w:r w:rsidRPr="00E20360">
        <w:t xml:space="preserve"> This study examined the synthesis of </w:t>
      </w:r>
      <w:proofErr w:type="spellStart"/>
      <w:r w:rsidRPr="00E20360">
        <w:t>GelMA</w:t>
      </w:r>
      <w:proofErr w:type="spellEnd"/>
      <w:r w:rsidRPr="00E20360">
        <w:t xml:space="preserve"> with a slow sol-gel transition at room temperature to make it suitable for SLA bioprinting with high structural resolution. Even though the study was focused on SLA bioprinting, the work provided an explanation on the role</w:t>
      </w:r>
      <w:r w:rsidR="00583482">
        <w:t xml:space="preserve"> </w:t>
      </w:r>
      <w:r w:rsidRPr="00E20360">
        <w:t xml:space="preserve">of different reaction parameters and their effects on the </w:t>
      </w:r>
      <w:proofErr w:type="spellStart"/>
      <w:r w:rsidRPr="00E20360">
        <w:t>physicomechanical</w:t>
      </w:r>
      <w:proofErr w:type="spellEnd"/>
      <w:r w:rsidRPr="00E20360">
        <w:t xml:space="preserve"> properties of synthesized </w:t>
      </w:r>
      <w:proofErr w:type="spellStart"/>
      <w:r w:rsidRPr="00E20360">
        <w:t>GelMA</w:t>
      </w:r>
      <w:proofErr w:type="spellEnd"/>
      <w:r w:rsidRPr="00E20360">
        <w:t xml:space="preserve"> that can be easily applied to different applications where specific requirements are needed.</w:t>
      </w:r>
    </w:p>
    <w:p w14:paraId="09C7E85B" w14:textId="1140EA28" w:rsidR="00E20360" w:rsidRPr="00AC2EB2" w:rsidRDefault="00AC2EB2" w:rsidP="00AC2EB2">
      <w:pPr>
        <w:pStyle w:val="MDPI22heading2"/>
        <w:spacing w:before="240"/>
      </w:pPr>
      <w:r w:rsidRPr="00AC2EB2">
        <w:t xml:space="preserve">2.2. </w:t>
      </w:r>
      <w:r w:rsidR="00E20360" w:rsidRPr="00AC2EB2">
        <w:t>The effect of gelatin source on DoM</w:t>
      </w:r>
    </w:p>
    <w:p w14:paraId="44605706" w14:textId="7CDE8000" w:rsidR="00E20360" w:rsidRDefault="00E20360" w:rsidP="00AC2EB2">
      <w:pPr>
        <w:pStyle w:val="MDPI31text"/>
      </w:pPr>
      <w:r w:rsidRPr="00E20360">
        <w:t xml:space="preserve">The source of gelatin used for chemical derivatization is known to alter the properties of functionalized gelatin. Sources typically include porcine or bovine collagen, but the gelatin obtained comes with a risk of zoonosis. To overcome this issue, gelatin derived from fish has been chosen as an alternative source [33]. The source of gelatin affects the mechanical properties of hydrogels fabricated from </w:t>
      </w:r>
      <w:r w:rsidR="004E6549">
        <w:t xml:space="preserve">the </w:t>
      </w:r>
      <w:r w:rsidRPr="00E20360">
        <w:t xml:space="preserve">functionalized form </w:t>
      </w:r>
      <w:r w:rsidR="004E6549">
        <w:t>which</w:t>
      </w:r>
      <w:r w:rsidR="004E6549" w:rsidRPr="00E20360">
        <w:t xml:space="preserve"> </w:t>
      </w:r>
      <w:r w:rsidRPr="00E20360">
        <w:t xml:space="preserve">can be attributed to </w:t>
      </w:r>
      <w:r w:rsidR="004E6549">
        <w:t xml:space="preserve">the </w:t>
      </w:r>
      <w:r w:rsidRPr="00E20360">
        <w:t xml:space="preserve">number of amino acids available for modification [33,34]. For example, </w:t>
      </w:r>
      <w:proofErr w:type="spellStart"/>
      <w:r w:rsidRPr="00E20360">
        <w:t>GelMA</w:t>
      </w:r>
      <w:proofErr w:type="spellEnd"/>
      <w:r w:rsidRPr="00E20360">
        <w:t xml:space="preserve"> from a porcine source is the least viscous but displays the highest compressive modulus at room temperature when compared to gels obtained from </w:t>
      </w:r>
      <w:proofErr w:type="gramStart"/>
      <w:r w:rsidRPr="00E20360">
        <w:t>fish-derived</w:t>
      </w:r>
      <w:proofErr w:type="gramEnd"/>
      <w:r w:rsidRPr="00E20360">
        <w:t xml:space="preserve"> </w:t>
      </w:r>
      <w:proofErr w:type="spellStart"/>
      <w:r w:rsidRPr="00E20360">
        <w:t>GelMA</w:t>
      </w:r>
      <w:proofErr w:type="spellEnd"/>
      <w:r w:rsidRPr="00E20360">
        <w:t xml:space="preserve">. Fish gelatin is suitable for the microfabrication process at temperatures below room temperature, given the low melting point of fish gelatin.[35] The nature of conditioning used for derivatizing gelatin from collagen has </w:t>
      </w:r>
      <w:r w:rsidR="004E6549">
        <w:t xml:space="preserve">a </w:t>
      </w:r>
      <w:r w:rsidRPr="00E20360">
        <w:t xml:space="preserve">negligible effect on the degree of </w:t>
      </w:r>
      <w:proofErr w:type="spellStart"/>
      <w:r w:rsidRPr="00E20360">
        <w:t>methacrylation</w:t>
      </w:r>
      <w:proofErr w:type="spellEnd"/>
      <w:r w:rsidRPr="00E20360">
        <w:t xml:space="preserve">. Type A gelatin (GA) or acid-conditioned gelatin is used for hydrolyzing weakly interconnected collagen such as </w:t>
      </w:r>
      <w:r w:rsidR="004E6549">
        <w:t xml:space="preserve">that </w:t>
      </w:r>
      <w:r w:rsidRPr="00E20360">
        <w:t>obtained from porcine skin. Whereas</w:t>
      </w:r>
      <w:r w:rsidR="004E6549">
        <w:t>,</w:t>
      </w:r>
      <w:r w:rsidRPr="00E20360">
        <w:t xml:space="preserve"> for hydrolyzing </w:t>
      </w:r>
      <w:r w:rsidR="004E6549">
        <w:t xml:space="preserve">the </w:t>
      </w:r>
      <w:r w:rsidRPr="00E20360">
        <w:t xml:space="preserve">densely interconnected collagen present in bovine skin or bovine bone, alkaline </w:t>
      </w:r>
      <w:r w:rsidRPr="00E20360">
        <w:lastRenderedPageBreak/>
        <w:t>treatment is used</w:t>
      </w:r>
      <w:r w:rsidR="004E6549">
        <w:t>,</w:t>
      </w:r>
      <w:r w:rsidRPr="00E20360">
        <w:t xml:space="preserve"> resulting in Type B gelatin (GB). The conditioning method results in underlying differences </w:t>
      </w:r>
      <w:r w:rsidR="004E6549">
        <w:t>in</w:t>
      </w:r>
      <w:r w:rsidR="004E6549" w:rsidRPr="00E20360">
        <w:t xml:space="preserve"> </w:t>
      </w:r>
      <w:r w:rsidRPr="00E20360">
        <w:t xml:space="preserve">gelatin properties, including amino acid composition, isoelectric </w:t>
      </w:r>
      <w:proofErr w:type="gramStart"/>
      <w:r w:rsidRPr="00E20360">
        <w:t>point</w:t>
      </w:r>
      <w:proofErr w:type="gramEnd"/>
      <w:r w:rsidRPr="00E20360">
        <w:t xml:space="preserve"> and viscosity. Irrespective of these differences, similar levels of functionalization can be achieved in both GA and GB for the same feed ratio of ml of MA/gram of gelatin. However, some differences </w:t>
      </w:r>
      <w:r w:rsidR="004E6549">
        <w:t>were</w:t>
      </w:r>
      <w:r w:rsidR="004E6549" w:rsidRPr="00E20360">
        <w:t xml:space="preserve"> </w:t>
      </w:r>
      <w:r w:rsidRPr="00E20360">
        <w:t>observed when the feed ratio of 0.05 m</w:t>
      </w:r>
      <w:r w:rsidR="00A85465">
        <w:t>L</w:t>
      </w:r>
      <w:r w:rsidRPr="00E20360">
        <w:t xml:space="preserve"> MA/g of gelatin </w:t>
      </w:r>
      <w:r w:rsidR="004E6549">
        <w:t>was</w:t>
      </w:r>
      <w:r w:rsidR="004E6549" w:rsidRPr="00E20360">
        <w:t xml:space="preserve"> </w:t>
      </w:r>
      <w:r w:rsidRPr="00E20360">
        <w:t xml:space="preserve">used, where GB showed significantly higher </w:t>
      </w:r>
      <w:proofErr w:type="spellStart"/>
      <w:r w:rsidRPr="00E20360">
        <w:t>DoM</w:t>
      </w:r>
      <w:proofErr w:type="spellEnd"/>
      <w:r w:rsidRPr="00E20360">
        <w:t xml:space="preserve"> relative to GA [36,37]. Similar levels of functionalization for GA and GB result in differences including isoelectric point, viscosity, storage modulus and, particularly, </w:t>
      </w:r>
      <w:r w:rsidR="004E6549">
        <w:t xml:space="preserve">the </w:t>
      </w:r>
      <w:r w:rsidRPr="00E20360">
        <w:t xml:space="preserve">swelling ratio which </w:t>
      </w:r>
      <w:r w:rsidR="004E6549">
        <w:t>decreases</w:t>
      </w:r>
      <w:r w:rsidR="004E6549" w:rsidRPr="00E20360">
        <w:t xml:space="preserve"> </w:t>
      </w:r>
      <w:r w:rsidRPr="00E20360">
        <w:t xml:space="preserve">as the </w:t>
      </w:r>
      <w:proofErr w:type="spellStart"/>
      <w:r w:rsidRPr="00E20360">
        <w:t>DoM</w:t>
      </w:r>
      <w:proofErr w:type="spellEnd"/>
      <w:r w:rsidRPr="00E20360">
        <w:t xml:space="preserve"> increases. Understanding how these properties change with the source of material used or </w:t>
      </w:r>
      <w:r w:rsidR="003B268A">
        <w:t xml:space="preserve">how </w:t>
      </w:r>
      <w:proofErr w:type="spellStart"/>
      <w:r w:rsidRPr="00E20360">
        <w:t>DoM</w:t>
      </w:r>
      <w:proofErr w:type="spellEnd"/>
      <w:r w:rsidRPr="00E20360">
        <w:t xml:space="preserve"> </w:t>
      </w:r>
      <w:r w:rsidR="003B268A">
        <w:t>was</w:t>
      </w:r>
      <w:r w:rsidR="003B268A" w:rsidRPr="00E20360">
        <w:t xml:space="preserve"> </w:t>
      </w:r>
      <w:r w:rsidRPr="00E20360">
        <w:t xml:space="preserve">achieved influences the suitability of </w:t>
      </w:r>
      <w:proofErr w:type="spellStart"/>
      <w:r w:rsidRPr="00E20360">
        <w:t>GelMA</w:t>
      </w:r>
      <w:proofErr w:type="spellEnd"/>
      <w:r w:rsidRPr="00E20360">
        <w:t xml:space="preserve"> as a </w:t>
      </w:r>
      <w:proofErr w:type="spellStart"/>
      <w:r w:rsidRPr="00E20360">
        <w:t>bioink</w:t>
      </w:r>
      <w:proofErr w:type="spellEnd"/>
      <w:r w:rsidRPr="00E20360">
        <w:t xml:space="preserve"> for different </w:t>
      </w:r>
      <w:proofErr w:type="spellStart"/>
      <w:r w:rsidRPr="00E20360">
        <w:t>biofabrication</w:t>
      </w:r>
      <w:proofErr w:type="spellEnd"/>
      <w:r w:rsidRPr="00E20360">
        <w:t xml:space="preserve"> platforms used in fabricating complex 3D constructs</w:t>
      </w:r>
      <w:r>
        <w:t xml:space="preserve">. </w:t>
      </w:r>
    </w:p>
    <w:p w14:paraId="6DEE6656" w14:textId="068D77B6" w:rsidR="00AC2EB2" w:rsidRDefault="005E3720" w:rsidP="00AC2EB2">
      <w:pPr>
        <w:pStyle w:val="MDPI52figure"/>
        <w:ind w:left="2608"/>
        <w:jc w:val="left"/>
      </w:pPr>
      <w:r w:rsidRPr="00E256F1">
        <w:rPr>
          <w:noProof/>
          <w:snapToGrid/>
          <w:highlight w:val="yellow"/>
        </w:rPr>
        <w:drawing>
          <wp:inline distT="0" distB="0" distL="0" distR="0" wp14:anchorId="40AAD32A" wp14:editId="396E9EAB">
            <wp:extent cx="5008457" cy="28797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2133" cy="2881839"/>
                    </a:xfrm>
                    <a:prstGeom prst="rect">
                      <a:avLst/>
                    </a:prstGeom>
                    <a:noFill/>
                    <a:ln>
                      <a:noFill/>
                    </a:ln>
                  </pic:spPr>
                </pic:pic>
              </a:graphicData>
            </a:graphic>
          </wp:inline>
        </w:drawing>
      </w:r>
    </w:p>
    <w:p w14:paraId="3D8C0C5C" w14:textId="2659C3B8" w:rsidR="00CA04D9" w:rsidRPr="00E22AD7" w:rsidRDefault="00AC2EB2" w:rsidP="00AC2EB2">
      <w:pPr>
        <w:pStyle w:val="MDPI51figurecaption"/>
        <w:rPr>
          <w:snapToGrid w:val="0"/>
          <w:sz w:val="20"/>
        </w:rPr>
      </w:pPr>
      <w:r w:rsidRPr="00AC2EB2">
        <w:rPr>
          <w:b/>
          <w:bCs/>
        </w:rPr>
        <w:t xml:space="preserve">Figure 2. </w:t>
      </w:r>
      <w:r w:rsidR="00CA04D9" w:rsidRPr="008C523D">
        <w:rPr>
          <w:b/>
          <w:bCs/>
        </w:rPr>
        <w:t>(A)</w:t>
      </w:r>
      <w:r w:rsidR="00CA04D9" w:rsidRPr="00DA46DC">
        <w:t xml:space="preserve"> Schematic illustration of </w:t>
      </w:r>
      <w:proofErr w:type="spellStart"/>
      <w:r w:rsidR="00CA04D9" w:rsidRPr="00DA46DC">
        <w:t>GelMA</w:t>
      </w:r>
      <w:proofErr w:type="spellEnd"/>
      <w:r w:rsidR="00CA04D9" w:rsidRPr="00DA46DC">
        <w:t xml:space="preserve"> synthesis</w:t>
      </w:r>
      <w:r w:rsidR="00776000">
        <w:t>.</w:t>
      </w:r>
      <w:r w:rsidR="00CA04D9" w:rsidRPr="00DA46DC">
        <w:t xml:space="preserve"> </w:t>
      </w:r>
      <w:r w:rsidR="00CA04D9" w:rsidRPr="008C523D">
        <w:rPr>
          <w:b/>
          <w:bCs/>
        </w:rPr>
        <w:t xml:space="preserve">(B) </w:t>
      </w:r>
      <w:r w:rsidR="00CA04D9" w:rsidRPr="00DA46DC">
        <w:t>represents different synthesis processes adapted with their corresponding DS (degree of substitution). The conventional method involves adding a large amount of methacrylic anhydride (MAA</w:t>
      </w:r>
      <w:r w:rsidR="00A54FDC" w:rsidRPr="00DA46DC">
        <w:t>),</w:t>
      </w:r>
      <w:r w:rsidR="00CA04D9" w:rsidRPr="00DA46DC">
        <w:t xml:space="preserve"> but sequential addition requires less amount of MAA and pH adjustments to achieve higher DS. The other method relies on one-pot synthesis where high DS is achieved. </w:t>
      </w:r>
      <w:r w:rsidR="00CA04D9" w:rsidRPr="008C523D">
        <w:rPr>
          <w:b/>
          <w:bCs/>
        </w:rPr>
        <w:t>(C)</w:t>
      </w:r>
      <w:r w:rsidR="00CA04D9" w:rsidRPr="00DA46DC">
        <w:t xml:space="preserve"> represent</w:t>
      </w:r>
      <w:r w:rsidR="00776000">
        <w:t>s</w:t>
      </w:r>
      <w:r w:rsidR="00CA04D9" w:rsidRPr="00DA46DC">
        <w:t xml:space="preserve"> different experimental conditions tested and the corresponding reaction times. Letters/numbers in bold represent optimum conditions. </w:t>
      </w:r>
      <w:r w:rsidR="00CA04D9" w:rsidRPr="008C523D">
        <w:rPr>
          <w:b/>
          <w:bCs/>
        </w:rPr>
        <w:t>(D)</w:t>
      </w:r>
      <w:r w:rsidR="00CA04D9" w:rsidRPr="00DA46DC">
        <w:t xml:space="preserve"> The graphs on the left represent pH changes during reaction condition</w:t>
      </w:r>
      <w:r w:rsidR="00776000">
        <w:t>s</w:t>
      </w:r>
      <w:r w:rsidR="00CA04D9" w:rsidRPr="00DA46DC">
        <w:t xml:space="preserve"> whereas </w:t>
      </w:r>
      <w:r w:rsidR="00776000">
        <w:t xml:space="preserve">the </w:t>
      </w:r>
      <w:r w:rsidR="00CA04D9" w:rsidRPr="00DA46DC">
        <w:t xml:space="preserve">graphs on left represent DS as a function of molar concentration of CB (carbonate </w:t>
      </w:r>
      <w:r w:rsidR="00CA04D9" w:rsidRPr="00E22AD7">
        <w:t xml:space="preserve">buffer), initial pH and MAA/gelatin ratio. Error bars represent the relative standard deviation of n=3. </w:t>
      </w:r>
      <w:r w:rsidR="00CE6798" w:rsidRPr="00E22AD7">
        <w:t xml:space="preserve">Adapted with permission from Ref. </w:t>
      </w:r>
      <w:r w:rsidR="00CA04D9" w:rsidRPr="00E22AD7">
        <w:t>[30]</w:t>
      </w:r>
      <w:r w:rsidR="00CE6798" w:rsidRPr="00E22AD7">
        <w:t xml:space="preserve">. </w:t>
      </w:r>
      <w:r w:rsidR="00A122CF" w:rsidRPr="00E22AD7">
        <w:t xml:space="preserve">Copyright </w:t>
      </w:r>
      <w:r w:rsidR="00CE6798" w:rsidRPr="00E22AD7">
        <w:t xml:space="preserve">2016, </w:t>
      </w:r>
      <w:r w:rsidR="0016610C" w:rsidRPr="00E22AD7">
        <w:t xml:space="preserve">Springer </w:t>
      </w:r>
      <w:proofErr w:type="gramStart"/>
      <w:r w:rsidR="0016610C" w:rsidRPr="00E22AD7">
        <w:t xml:space="preserve">Nature </w:t>
      </w:r>
      <w:r w:rsidR="00CA04D9" w:rsidRPr="00E22AD7">
        <w:t>.</w:t>
      </w:r>
      <w:proofErr w:type="gramEnd"/>
    </w:p>
    <w:p w14:paraId="626DD5B5" w14:textId="2DCDC239" w:rsidR="00A3718F" w:rsidRPr="00777855" w:rsidRDefault="00777855" w:rsidP="00777855">
      <w:pPr>
        <w:pStyle w:val="MDPI22heading2"/>
        <w:spacing w:before="240"/>
      </w:pPr>
      <w:r w:rsidRPr="00777855">
        <w:t xml:space="preserve">2.3. </w:t>
      </w:r>
      <w:r w:rsidR="00A3718F" w:rsidRPr="00777855">
        <w:t>Crosslinking agents for stabilizing GelMA hydrogels</w:t>
      </w:r>
    </w:p>
    <w:p w14:paraId="23FD5F4B" w14:textId="16ED37B8" w:rsidR="00A3718F" w:rsidRDefault="00E20360" w:rsidP="00777855">
      <w:pPr>
        <w:pStyle w:val="MDPI31text"/>
      </w:pPr>
      <w:r w:rsidRPr="00E20360">
        <w:t xml:space="preserve">Like gelatin, functionalized gelatin also demonstrates a sol-gel transition </w:t>
      </w:r>
      <w:proofErr w:type="gramStart"/>
      <w:r w:rsidRPr="00E20360">
        <w:t>where</w:t>
      </w:r>
      <w:proofErr w:type="gramEnd"/>
      <w:r w:rsidRPr="00E20360">
        <w:t xml:space="preserve"> reducing the temperature results in gelation of modified gelatin that subsequently melts as the temperature increases. However, as the </w:t>
      </w:r>
      <w:proofErr w:type="spellStart"/>
      <w:r w:rsidRPr="00E20360">
        <w:t>DoM</w:t>
      </w:r>
      <w:proofErr w:type="spellEnd"/>
      <w:r w:rsidRPr="00E20360">
        <w:t xml:space="preserve"> increases, there is a decrease in the gelation and melting temperature relative to unmodified gelatin. To stabilize the fabricated hydrogel, different crosslinking agents have been used, as summarized in Table 1. Recently, studies have investigated the effect of sequential crosslinking approaches on the materials</w:t>
      </w:r>
      <w:r w:rsidR="00CE545A">
        <w:t>'</w:t>
      </w:r>
      <w:r w:rsidRPr="00E20360">
        <w:t xml:space="preserve"> </w:t>
      </w:r>
      <w:proofErr w:type="spellStart"/>
      <w:r w:rsidRPr="00E20360">
        <w:t>physicomechanical</w:t>
      </w:r>
      <w:proofErr w:type="spellEnd"/>
      <w:r w:rsidRPr="00E20360">
        <w:t xml:space="preserve"> and rheological properties. Wang and colleagues reported that physical gelation of the hydrogel results in conformational changes, which</w:t>
      </w:r>
      <w:r w:rsidR="00CE545A">
        <w:t>,</w:t>
      </w:r>
      <w:r w:rsidRPr="00E20360">
        <w:t xml:space="preserve"> followed by photopolymerization, produced hydrogels with a high structural strength [35]. A similar approach of thermal gelation was used to </w:t>
      </w:r>
      <w:proofErr w:type="spellStart"/>
      <w:r w:rsidRPr="00E20360">
        <w:t>bioprint</w:t>
      </w:r>
      <w:proofErr w:type="spellEnd"/>
      <w:r w:rsidRPr="00E20360">
        <w:t xml:space="preserve"> </w:t>
      </w:r>
      <w:proofErr w:type="spellStart"/>
      <w:r w:rsidRPr="00E20360">
        <w:t>GelMA</w:t>
      </w:r>
      <w:proofErr w:type="spellEnd"/>
      <w:r w:rsidRPr="00E20360">
        <w:t xml:space="preserve"> physical hydrogels (GPG) at low concentrations (3 </w:t>
      </w:r>
      <w:proofErr w:type="spellStart"/>
      <w:r w:rsidRPr="00E20360">
        <w:t>wt</w:t>
      </w:r>
      <w:proofErr w:type="spellEnd"/>
      <w:r w:rsidRPr="00E20360">
        <w:t xml:space="preserve"> %) that </w:t>
      </w:r>
      <w:r w:rsidR="00CE545A" w:rsidRPr="00E20360">
        <w:t>w</w:t>
      </w:r>
      <w:r w:rsidR="00CE545A">
        <w:t>ere</w:t>
      </w:r>
      <w:r w:rsidR="00CE545A" w:rsidRPr="00E20360">
        <w:t xml:space="preserve"> </w:t>
      </w:r>
      <w:r w:rsidRPr="00E20360">
        <w:t>otherwise not possible. This relied on the ability of GPG shear thinning and self-healing properties</w:t>
      </w:r>
      <w:r w:rsidR="00CE545A">
        <w:t>,</w:t>
      </w:r>
      <w:r w:rsidRPr="00E20360">
        <w:t xml:space="preserve"> resulting in highly porous 3D constructs with high shape fidelity and cell viability [38]. Another study combined a </w:t>
      </w:r>
      <w:r w:rsidRPr="00E20360">
        <w:lastRenderedPageBreak/>
        <w:t xml:space="preserve">controlled enzymatic crosslinking of </w:t>
      </w:r>
      <w:proofErr w:type="spellStart"/>
      <w:r w:rsidRPr="00E20360">
        <w:t>GelMA</w:t>
      </w:r>
      <w:proofErr w:type="spellEnd"/>
      <w:r w:rsidRPr="00E20360">
        <w:t xml:space="preserve"> using microbial transglutaminase followed by photo-crosslinking. The aim was to precisely tune the rheological and shear thinning properties of </w:t>
      </w:r>
      <w:proofErr w:type="spellStart"/>
      <w:r w:rsidRPr="00E20360">
        <w:t>GelMA</w:t>
      </w:r>
      <w:proofErr w:type="spellEnd"/>
      <w:r w:rsidRPr="00E20360">
        <w:t xml:space="preserve"> making it suitable for bioprinting with a focus on soft tissue bioprinting.</w:t>
      </w:r>
    </w:p>
    <w:p w14:paraId="45D35B4A" w14:textId="66E7EC71" w:rsidR="00E20360" w:rsidRDefault="00777855" w:rsidP="00777855">
      <w:pPr>
        <w:pStyle w:val="MDPI41tablecaption"/>
        <w:jc w:val="left"/>
      </w:pPr>
      <w:r w:rsidRPr="00777855">
        <w:rPr>
          <w:b/>
        </w:rPr>
        <w:t xml:space="preserve">Table 1. </w:t>
      </w:r>
      <w:r w:rsidR="00E20360" w:rsidRPr="00E20360">
        <w:t xml:space="preserve">Different crosslinking systems used for polymerizing </w:t>
      </w:r>
      <w:proofErr w:type="spellStart"/>
      <w:r w:rsidR="00E20360" w:rsidRPr="00E20360">
        <w:t>GelMA</w:t>
      </w:r>
      <w:proofErr w:type="spellEnd"/>
      <w:r w:rsidR="00E20360" w:rsidRPr="00E20360">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087"/>
        <w:gridCol w:w="4718"/>
        <w:gridCol w:w="1052"/>
      </w:tblGrid>
      <w:tr w:rsidR="00E20360" w:rsidRPr="00777855" w14:paraId="129B3208" w14:textId="77777777" w:rsidTr="00777855">
        <w:tc>
          <w:tcPr>
            <w:tcW w:w="2094" w:type="dxa"/>
            <w:tcBorders>
              <w:top w:val="single" w:sz="8" w:space="0" w:color="auto"/>
              <w:bottom w:val="single" w:sz="4" w:space="0" w:color="auto"/>
            </w:tcBorders>
            <w:shd w:val="clear" w:color="auto" w:fill="auto"/>
            <w:vAlign w:val="center"/>
          </w:tcPr>
          <w:p w14:paraId="58620591" w14:textId="4656F30F" w:rsidR="00E20360" w:rsidRPr="00777855" w:rsidRDefault="00E20360" w:rsidP="00777855">
            <w:pPr>
              <w:pStyle w:val="MDPI42tablebody"/>
              <w:autoSpaceDE w:val="0"/>
              <w:autoSpaceDN w:val="0"/>
              <w:spacing w:line="240" w:lineRule="auto"/>
              <w:rPr>
                <w:b/>
                <w:snapToGrid/>
              </w:rPr>
            </w:pPr>
            <w:r w:rsidRPr="00777855">
              <w:rPr>
                <w:b/>
                <w:bCs/>
              </w:rPr>
              <w:t>Cross-linking system</w:t>
            </w:r>
          </w:p>
        </w:tc>
        <w:tc>
          <w:tcPr>
            <w:tcW w:w="4733" w:type="dxa"/>
            <w:tcBorders>
              <w:top w:val="single" w:sz="8" w:space="0" w:color="auto"/>
              <w:bottom w:val="single" w:sz="4" w:space="0" w:color="auto"/>
            </w:tcBorders>
            <w:shd w:val="clear" w:color="auto" w:fill="auto"/>
            <w:vAlign w:val="center"/>
          </w:tcPr>
          <w:p w14:paraId="437C63CB" w14:textId="64355CBA" w:rsidR="00E20360" w:rsidRPr="00777855" w:rsidRDefault="00E20360" w:rsidP="00777855">
            <w:pPr>
              <w:pStyle w:val="MDPI42tablebody"/>
              <w:autoSpaceDE w:val="0"/>
              <w:autoSpaceDN w:val="0"/>
              <w:spacing w:line="240" w:lineRule="auto"/>
              <w:rPr>
                <w:b/>
                <w:snapToGrid/>
              </w:rPr>
            </w:pPr>
            <w:r w:rsidRPr="00777855">
              <w:rPr>
                <w:b/>
                <w:bCs/>
              </w:rPr>
              <w:t xml:space="preserve">Biological response </w:t>
            </w:r>
          </w:p>
        </w:tc>
        <w:tc>
          <w:tcPr>
            <w:tcW w:w="1055" w:type="dxa"/>
            <w:tcBorders>
              <w:top w:val="single" w:sz="8" w:space="0" w:color="auto"/>
              <w:bottom w:val="single" w:sz="4" w:space="0" w:color="auto"/>
            </w:tcBorders>
            <w:shd w:val="clear" w:color="auto" w:fill="auto"/>
            <w:vAlign w:val="center"/>
          </w:tcPr>
          <w:p w14:paraId="160D2D9A" w14:textId="3F790D6A" w:rsidR="00E20360" w:rsidRPr="00777855" w:rsidRDefault="00E20360" w:rsidP="00777855">
            <w:pPr>
              <w:pStyle w:val="MDPI42tablebody"/>
              <w:autoSpaceDE w:val="0"/>
              <w:autoSpaceDN w:val="0"/>
              <w:spacing w:line="240" w:lineRule="auto"/>
              <w:rPr>
                <w:b/>
                <w:snapToGrid/>
              </w:rPr>
            </w:pPr>
            <w:r w:rsidRPr="00777855">
              <w:rPr>
                <w:b/>
                <w:bCs/>
              </w:rPr>
              <w:t>Ref</w:t>
            </w:r>
          </w:p>
        </w:tc>
      </w:tr>
      <w:tr w:rsidR="00E20360" w:rsidRPr="00777855" w14:paraId="342AEEA9" w14:textId="77777777" w:rsidTr="00777855">
        <w:tc>
          <w:tcPr>
            <w:tcW w:w="2094" w:type="dxa"/>
            <w:shd w:val="clear" w:color="auto" w:fill="auto"/>
            <w:vAlign w:val="center"/>
          </w:tcPr>
          <w:p w14:paraId="66DB2283" w14:textId="6CF3F714" w:rsidR="00E20360" w:rsidRPr="00777855" w:rsidRDefault="00E20360" w:rsidP="00777855">
            <w:pPr>
              <w:pStyle w:val="MDPI42tablebody"/>
              <w:autoSpaceDE w:val="0"/>
              <w:autoSpaceDN w:val="0"/>
              <w:spacing w:line="240" w:lineRule="auto"/>
            </w:pPr>
            <w:r w:rsidRPr="00777855">
              <w:t xml:space="preserve">APS/TEMED </w:t>
            </w:r>
          </w:p>
        </w:tc>
        <w:tc>
          <w:tcPr>
            <w:tcW w:w="4733" w:type="dxa"/>
            <w:shd w:val="clear" w:color="auto" w:fill="auto"/>
            <w:vAlign w:val="center"/>
          </w:tcPr>
          <w:p w14:paraId="7FC7F1F9" w14:textId="7F059507" w:rsidR="00E20360" w:rsidRPr="00777855" w:rsidRDefault="00E20360" w:rsidP="00777855">
            <w:pPr>
              <w:pStyle w:val="MDPI42tablebody"/>
              <w:autoSpaceDE w:val="0"/>
              <w:autoSpaceDN w:val="0"/>
              <w:spacing w:line="240" w:lineRule="auto"/>
            </w:pPr>
            <w:r w:rsidRPr="00777855">
              <w:t>Encapsulated chondrocytes showed &gt;</w:t>
            </w:r>
            <w:r w:rsidR="0091207F">
              <w:t xml:space="preserve"> </w:t>
            </w:r>
            <w:r w:rsidRPr="00777855">
              <w:t>80% viability after 24h.</w:t>
            </w:r>
          </w:p>
        </w:tc>
        <w:tc>
          <w:tcPr>
            <w:tcW w:w="1055" w:type="dxa"/>
            <w:shd w:val="clear" w:color="auto" w:fill="auto"/>
            <w:vAlign w:val="center"/>
          </w:tcPr>
          <w:p w14:paraId="349ADD5C" w14:textId="14341515" w:rsidR="00E20360" w:rsidRPr="00777855" w:rsidRDefault="00E20360" w:rsidP="00777855">
            <w:pPr>
              <w:pStyle w:val="MDPI42tablebody"/>
              <w:autoSpaceDE w:val="0"/>
              <w:autoSpaceDN w:val="0"/>
              <w:spacing w:line="240" w:lineRule="auto"/>
            </w:pPr>
            <w:r w:rsidRPr="00777855">
              <w:fldChar w:fldCharType="begin" w:fldLock="1"/>
            </w:r>
            <w:r w:rsidRPr="00777855">
              <w:instrText>ADDIN CSL_CITATION {"citationItems":[{"id":"ITEM-1","itemData":{"ISSN":"2041-1723","author":[{"dropping-particle":"","family":"Visser","given":"Jetze","non-dropping-particle":"","parse-names":false,"suffix":""},{"dropping-particle":"","family":"Melchels","given":"Ferry P W","non-dropping-particle":"","parse-names":false,"suffix":""},{"dropping-particle":"","family":"Jeon","given":"June E","non-dropping-particle":"","parse-names":false,"suffix":""},{"dropping-particle":"","family":"Bussel","given":"Erik M","non-dropping-particle":"Van","parse-names":false,"suffix":""},{"dropping-particle":"","family":"Kimpton","given":"Laura S","non-dropping-particle":"","parse-names":false,"suffix":""},{"dropping-particle":"","family":"Byrne","given":"Helen M","non-dropping-particle":"","parse-names":false,"suffix":""},{"dropping-particle":"","family":"Dhert","given":"Wouter J A","non-dropping-particle":"","parse-names":false,"suffix":""},{"dropping-particle":"","family":"Dalton","given":"Paul D","non-dropping-particle":"","parse-names":false,"suffix":""},{"dropping-particle":"","family":"Hutmacher","given":"Dietmar W","non-dropping-particle":"","parse-names":false,"suffix":""},{"dropping-particle":"","family":"Malda","given":"Jos","non-dropping-particle":"","parse-names":false,"suffix":""}],"container-title":"Nature communications","id":"ITEM-1","issue":"1","issued":{"date-parts":[["2015"]]},"page":"1-10","publisher":"Nature Publishing Group","title":"Reinforcement of hydrogels using three-dimensionally printed microfibres","type":"article-journal","volume":"6"},"uris":["http://www.mendeley.com/documents/?uuid=cc5605c6-29a9-4f49-8a2b-da4e176f02a0"]}],"mendeley":{"formattedCitation":"[26]","plainTextFormattedCitation":"[26]","previouslyFormattedCitation":"&lt;span style=\"baseline\"&gt;[26]&lt;/span&gt;"},"properties":{"noteIndex":0},"schema":"https://github.com/citation-style-language/schema/raw/master/csl-citation.json"}</w:instrText>
            </w:r>
            <w:r w:rsidRPr="00777855">
              <w:fldChar w:fldCharType="separate"/>
            </w:r>
            <w:r w:rsidRPr="00777855">
              <w:rPr>
                <w:noProof/>
              </w:rPr>
              <w:t>[26]</w:t>
            </w:r>
            <w:r w:rsidRPr="00777855">
              <w:fldChar w:fldCharType="end"/>
            </w:r>
          </w:p>
        </w:tc>
      </w:tr>
      <w:tr w:rsidR="00E20360" w:rsidRPr="00777855" w14:paraId="7D30B541" w14:textId="77777777" w:rsidTr="00777855">
        <w:tc>
          <w:tcPr>
            <w:tcW w:w="2094" w:type="dxa"/>
            <w:shd w:val="clear" w:color="auto" w:fill="auto"/>
            <w:vAlign w:val="center"/>
          </w:tcPr>
          <w:p w14:paraId="53A670AC" w14:textId="257F5A93" w:rsidR="00E20360" w:rsidRPr="00777855" w:rsidRDefault="00E20360" w:rsidP="00777855">
            <w:pPr>
              <w:pStyle w:val="MDPI42tablebody"/>
              <w:autoSpaceDE w:val="0"/>
              <w:autoSpaceDN w:val="0"/>
              <w:spacing w:line="240" w:lineRule="auto"/>
            </w:pPr>
            <w:r w:rsidRPr="00777855">
              <w:t xml:space="preserve">Eosin Y (photosensitizer), Triethanolamine (TEA; initiator) and </w:t>
            </w:r>
            <w:proofErr w:type="spellStart"/>
            <w:r w:rsidRPr="00777855">
              <w:t>Vinylcaprolactam</w:t>
            </w:r>
            <w:proofErr w:type="spellEnd"/>
            <w:r w:rsidRPr="00777855">
              <w:t xml:space="preserve"> (VC; co-monomers)</w:t>
            </w:r>
          </w:p>
        </w:tc>
        <w:tc>
          <w:tcPr>
            <w:tcW w:w="4733" w:type="dxa"/>
            <w:shd w:val="clear" w:color="auto" w:fill="auto"/>
            <w:vAlign w:val="center"/>
          </w:tcPr>
          <w:p w14:paraId="333D677A" w14:textId="21C26CE1" w:rsidR="00E20360" w:rsidRPr="00777855" w:rsidRDefault="00E20360" w:rsidP="00777855">
            <w:pPr>
              <w:pStyle w:val="MDPI42tablebody"/>
              <w:autoSpaceDE w:val="0"/>
              <w:autoSpaceDN w:val="0"/>
              <w:spacing w:line="240" w:lineRule="auto"/>
            </w:pPr>
            <w:r w:rsidRPr="00777855">
              <w:t xml:space="preserve">Viability both in 2D and 3D cultures is dependent on hydrogel formulation (concentration of macromer, Eosin Y, TEA and VC and crosslinking time) along with </w:t>
            </w:r>
            <w:r w:rsidRPr="00747173">
              <w:rPr>
                <w:iCs/>
              </w:rPr>
              <w:t>in vivo</w:t>
            </w:r>
            <w:r w:rsidRPr="00777855">
              <w:t xml:space="preserve"> biocompatibility and </w:t>
            </w:r>
            <w:r w:rsidR="00CE545A" w:rsidRPr="00777855">
              <w:t>bone</w:t>
            </w:r>
            <w:r w:rsidR="00CE545A">
              <w:t>-</w:t>
            </w:r>
            <w:r w:rsidRPr="00777855">
              <w:t>forming capability.</w:t>
            </w:r>
          </w:p>
        </w:tc>
        <w:tc>
          <w:tcPr>
            <w:tcW w:w="1055" w:type="dxa"/>
            <w:shd w:val="clear" w:color="auto" w:fill="auto"/>
            <w:vAlign w:val="center"/>
          </w:tcPr>
          <w:p w14:paraId="55B789DD" w14:textId="0A0B7791" w:rsidR="00E20360" w:rsidRPr="00777855" w:rsidRDefault="00E20360" w:rsidP="00777855">
            <w:pPr>
              <w:pStyle w:val="MDPI42tablebody"/>
              <w:autoSpaceDE w:val="0"/>
              <w:autoSpaceDN w:val="0"/>
              <w:spacing w:line="240" w:lineRule="auto"/>
            </w:pPr>
            <w:r w:rsidRPr="00777855">
              <w:fldChar w:fldCharType="begin" w:fldLock="1"/>
            </w:r>
            <w:r w:rsidRPr="00777855">
              <w:instrText>ADDIN CSL_CITATION {"citationItems":[{"id":"ITEM-1","itemData":{"author":[{"dropping-particle":"","family":"Noshadi","given":"Iman","non-dropping-particle":"","parse-names":false,"suffix":""},{"dropping-particle":"","family":"Hong","given":"Seonki","non-dropping-particle":"","parse-names":false,"suffix":""},{"dropping-particle":"","family":"Sullivan","given":"Kelly E","non-dropping-particle":"","parse-names":false,"suffix":""},{"dropping-particle":"","family":"Sani","given":"Ehsan Shirzaei","non-dropping-particle":"","parse-names":false,"suffix":""},{"dropping-particle":"","family":"Portillo-Lara","given":"Roberto","non-dropping-particle":"","parse-names":false,"suffix":""},{"dropping-particle":"","family":"Tamayol","given":"Ali","non-dropping-particle":"","parse-names":false,"suffix":""},{"dropping-particle":"","family":"Shin","given":"Su Ryon","non-dropping-particle":"","parse-names":false,"suffix":""},{"dropping-particle":"","family":"Gao","given":"Albert E","non-dropping-particle":"","parse-names":false,"suffix":""},{"dropping-particle":"","family":"Stoppel","given":"Whitney L","non-dropping-particle":"","parse-names":false,"suffix":""},{"dropping-particle":"","family":"Black III","given":"Lauren D","non-dropping-particle":"","parse-names":false,"suffix":""}],"container-title":"Biomaterials science","id":"ITEM-1","issue":"10","issued":{"date-parts":[["2017"]]},"page":"2093-2105","publisher":"Royal Society of Chemistry","title":"In vitro and in vivo analysis of visible light crosslinkable gelatin methacryloyl (GelMA) hydrogels","type":"article-journal","volume":"5"},"uris":["http://www.mendeley.com/documents/?uuid=2d0254cf-1aea-4f79-948a-9496596ca8c3"]},{"id":"ITEM-2","itemData":{"DOI":"10.1016/j.matt.2019.07.019","ISSN":"2590-2385","author":[{"dropping-particle":"","family":"Sani","given":"Ehsan Shirzaei","non-dropping-particle":"","parse-names":false,"suffix":""},{"dropping-particle":"","family":"Lara","given":"Portillo","non-dropping-particle":"","parse-names":false,"suffix":""},{"dropping-particle":"","family":"Sani","given":"Ehsan Shirzaei","non-dropping-particle":"","parse-names":false,"suffix":""},{"dropping-particle":"","family":"Lara","given":"Roberto Portillo","non-dropping-particle":"","parse-names":false,"suffix":""},{"dropping-particle":"","family":"Aldawood","given":"Zahra","non-dropping-particle":"","parse-names":false,"suffix":""},{"dropping-particle":"","family":"Bassir","given":"Seyed Hossein","non-dropping-particle":"","parse-names":false,"suffix":""}],"container-title":"Matter","id":"ITEM-2","issued":{"date-parts":[["2019"]]},"page":"1-19","publisher":"Elsevier Inc.","title":"An Antimicrobial Dental Light Curable Bioadhesive Hydrogel for Treatment of Peri- Implant Diseases An Antimicrobial Dental Light Curable Bioadhesive Hydrogel for Treatment of Peri-Implant Diseases","type":"article-journal"},"uris":["http://www.mendeley.com/documents/?uuid=9a5ff8d7-f6fe-4687-832d-b9aae78848c8"]},{"id":"ITEM-3","itemData":{"DOI":"10.1038/s41598-021-02830-x","ISSN":"2045-2322","abstract":"Gelatin methacryloyl (GelMA) is one of the most widely used photo-crosslinkable biopolymers in tissue engineering. In in presence of an appropriate photoinitiator, the light activation triggers the crosslinking process, which provides shape fidelity and stability at physiological temperature. Although ultraviolet (UV) has been extensively explored for photo-crosslinking, its application has been linked to numerous biosafety concerns, originated from UV phototoxicity. Eosin Y, in combination with TEOA and VC, is a biosafe photoinitiation system that can be activated via visible light instead of UV and bypasses those biosafety concerns; however, the crosslinking system needs fine-tuning and optimization. In order to systematically optimize the crosslinking conditions, we herein independently varied the concentrations of Eosin Y [(EY)], triethanolamine (TEOA), vinyl caprolactam (VC), GelMA precursor, and crosslinking times and assessed the effect of those parameters on the properties the hydrogel. Our data showed that except EY, which exhibited an optimal concentration (~ 0.05 mM), increasing [TEOA], [VA], [GelMA], or crosslinking time improved mechanical (tensile strength/modulus and compressive modulus), adhesion (lap shear strength), swelling, biodegradation properties of the hydrogel. However, increasing the concentrations of crosslinking reagents ([TEOA], [VA], [GelMA]) reduced cell viability in 3-dimensional (3D) cell culture. This study enabled us to optimize the crosslinking conditions to improve the properties of the GelMA hydrogel and to generate a library of hydrogels with defined properties essential for different biomedical applications.","author":[{"dropping-particle":"","family":"Sharifi","given":"Sina","non-dropping-particle":"","parse-names":false,"suffix":""},{"dropping-particle":"","family":"Sharifi","given":"Hannah","non-dropping-particle":"","parse-names":false,"suffix":""},{"dropping-particle":"","family":"Akbari","given":"Ali","non-dropping-particle":"","parse-names":false,"suffix":""},{"dropping-particle":"","family":"Chodosh","given":"James","non-dropping-particle":"","parse-names":false,"suffix":""}],"container-title":"Scientific Reports","id":"ITEM-3","issue":"1","issued":{"date-parts":[["2021"]]},"page":"23276","title":"Systematic optimization of visible light-induced crosslinking conditions of gelatin methacryloyl (GelMA)","type":"article-journal","volume":"11"},"uris":["http://www.mendeley.com/documents/?uuid=4f1b11fe-0246-47ce-ba4b-12fbfe082181"]}],"mendeley":{"formattedCitation":"[39–41]","plainTextFormattedCitation":"[39–41]","previouslyFormattedCitation":"&lt;span style=\"baseline\"&gt;[39]–[41]&lt;/span&gt;"},"properties":{"noteIndex":0},"schema":"https://github.com/citation-style-language/schema/raw/master/csl-citation.json"}</w:instrText>
            </w:r>
            <w:r w:rsidRPr="00777855">
              <w:fldChar w:fldCharType="separate"/>
            </w:r>
            <w:r w:rsidRPr="00777855">
              <w:rPr>
                <w:noProof/>
              </w:rPr>
              <w:t>[39</w:t>
            </w:r>
            <w:r w:rsidR="0091207F">
              <w:rPr>
                <w:noProof/>
              </w:rPr>
              <w:t>–</w:t>
            </w:r>
            <w:r w:rsidRPr="00777855">
              <w:rPr>
                <w:noProof/>
              </w:rPr>
              <w:t>41]</w:t>
            </w:r>
            <w:r w:rsidRPr="00777855">
              <w:fldChar w:fldCharType="end"/>
            </w:r>
          </w:p>
        </w:tc>
      </w:tr>
      <w:tr w:rsidR="00E20360" w:rsidRPr="00777855" w14:paraId="16960EE9" w14:textId="77777777" w:rsidTr="00777855">
        <w:tc>
          <w:tcPr>
            <w:tcW w:w="2094" w:type="dxa"/>
            <w:shd w:val="clear" w:color="auto" w:fill="auto"/>
            <w:vAlign w:val="center"/>
          </w:tcPr>
          <w:p w14:paraId="3EE905F8" w14:textId="1ECE4470" w:rsidR="00E20360" w:rsidRPr="00777855" w:rsidRDefault="00E20360" w:rsidP="00777855">
            <w:pPr>
              <w:pStyle w:val="MDPI42tablebody"/>
              <w:autoSpaceDE w:val="0"/>
              <w:autoSpaceDN w:val="0"/>
              <w:spacing w:line="240" w:lineRule="auto"/>
            </w:pPr>
            <w:proofErr w:type="spellStart"/>
            <w:r w:rsidRPr="00777855">
              <w:t>Irgacure</w:t>
            </w:r>
            <w:proofErr w:type="spellEnd"/>
            <w:r w:rsidRPr="00777855">
              <w:t xml:space="preserve"> I-2959</w:t>
            </w:r>
          </w:p>
        </w:tc>
        <w:tc>
          <w:tcPr>
            <w:tcW w:w="4733" w:type="dxa"/>
            <w:shd w:val="clear" w:color="auto" w:fill="auto"/>
            <w:vAlign w:val="center"/>
          </w:tcPr>
          <w:p w14:paraId="0C96E053" w14:textId="3AD7C569" w:rsidR="00E20360" w:rsidRPr="00777855" w:rsidRDefault="00E20360" w:rsidP="00777855">
            <w:pPr>
              <w:pStyle w:val="MDPI42tablebody"/>
              <w:autoSpaceDE w:val="0"/>
              <w:autoSpaceDN w:val="0"/>
              <w:spacing w:line="240" w:lineRule="auto"/>
            </w:pPr>
            <w:r w:rsidRPr="00777855">
              <w:t xml:space="preserve">Cell viability was dependent on the concentration of </w:t>
            </w:r>
            <w:proofErr w:type="spellStart"/>
            <w:r w:rsidRPr="00777855">
              <w:t>Irgacure</w:t>
            </w:r>
            <w:proofErr w:type="spellEnd"/>
            <w:r w:rsidRPr="00777855">
              <w:t xml:space="preserve"> and duration of crosslinking. The system has been extensively investigated in the literature</w:t>
            </w:r>
            <w:r w:rsidR="00CE545A">
              <w:t>.</w:t>
            </w:r>
            <w:r w:rsidRPr="00777855">
              <w:t xml:space="preserve"> </w:t>
            </w:r>
            <w:proofErr w:type="gramStart"/>
            <w:r w:rsidRPr="00777855">
              <w:t>however</w:t>
            </w:r>
            <w:proofErr w:type="gramEnd"/>
            <w:r w:rsidRPr="00777855">
              <w:t xml:space="preserve"> there is a gradual drift towards crosslinking systems using visible light due to </w:t>
            </w:r>
            <w:r w:rsidR="00CE545A">
              <w:t xml:space="preserve">the </w:t>
            </w:r>
            <w:r w:rsidRPr="00777855">
              <w:t>associated negative effect on the cytotoxicity and cell functionality with the UV-light source</w:t>
            </w:r>
            <w:r w:rsidR="00CE545A">
              <w:t>.</w:t>
            </w:r>
          </w:p>
        </w:tc>
        <w:tc>
          <w:tcPr>
            <w:tcW w:w="1055" w:type="dxa"/>
            <w:shd w:val="clear" w:color="auto" w:fill="auto"/>
            <w:vAlign w:val="center"/>
          </w:tcPr>
          <w:p w14:paraId="0D469FAB" w14:textId="009DD3E5" w:rsidR="00E20360" w:rsidRPr="00777855" w:rsidRDefault="00E20360" w:rsidP="00777855">
            <w:pPr>
              <w:autoSpaceDE w:val="0"/>
              <w:autoSpaceDN w:val="0"/>
              <w:adjustRightInd w:val="0"/>
              <w:snapToGrid w:val="0"/>
              <w:spacing w:line="240" w:lineRule="auto"/>
              <w:jc w:val="center"/>
            </w:pPr>
            <w:r w:rsidRPr="00777855">
              <w:fldChar w:fldCharType="begin" w:fldLock="1"/>
            </w:r>
            <w:r w:rsidRPr="00777855">
              <w:instrText>ADDIN CSL_CITATION {"citationItems":[{"id":"ITEM-1","itemData":{"ISSN":"0142-9612","author":[{"dropping-particle":"","family":"Lin","given":"Ruei-Zeng","non-dropping-particle":"","parse-names":false,"suffix":""},{"dropping-particle":"","family":"Chen","given":"Ying-Chieh","non-dropping-particle":"","parse-names":false,"suffix":""},{"dropping-particle":"","family":"Moreno-Luna","given":"Rafael","non-dropping-particle":"","parse-names":false,"suffix":""},{"dropping-particle":"","family":"Khademhosseini","given":"Ali","non-dropping-particle":"","parse-names":false,"suffix":""},{"dropping-particle":"","family":"Melero-Martin","given":"Juan M","non-dropping-particle":"","parse-names":false,"suffix":""}],"container-title":"Biomaterials","id":"ITEM-1","issue":"28","issued":{"date-parts":[["2013"]]},"page":"6785-6796","publisher":"Elsevier","title":"Transdermal regulation of vascular network bioengineering using a photopolymerizable methacrylated gelatin hydrogel","type":"article-journal","volume":"34"},"uris":["http://www.mendeley.com/documents/?uuid=c1100109-75d4-4cd9-a1d8-2e4fcbfe3041"]},{"id":"ITEM-2","itemData":{"DOI":"10.1088/1758-5082/6/3/035020","ISSN":"1758-5082","abstract":"Bioprinting allows the fabrication of living constructs with custom-made architectures by spatially controlled deposition of multiple bioinks. This is important for the generation of tissue, such as osteochondral tissue, which displays a zonal composition in the cartilage domain supported by the underlying subchondral bone. Challenges in fabricating functional grafts of clinically relevant size include the incorporation of cues to guide specific cell differentiation and the generation of sufficient cells, which is hard to obtain with conventional cell culture techniques. A novel strategy to address these demands is to combine bioprinting with microcarrier technology. This technology allows for the extensive expansion of cells, while they form multi-cellular aggregates, and their phenotype can be controlled. In this work, living constructs were fabricated via bioprinting of cell-laden microcarriers. Mesenchymal stromal cell (MSC)-laden polylactic acid microcarriers, obtained via static culture or spinner flask expansion, were encapsulated in gelatin methacrylamide-gellan gum bioinks, and the printability of the composite material was studied. This bioprinting approach allowed for the fabrication of constructs with high cell concentration and viability. Microcarrier encapsulation improved the compressive modulus of the hydrogel constructs, facilitated cell adhesion, and supported osteogenic differentiation and bone matrix deposition by MSCs. Bilayered osteochondral models were fabricated using microcarrier-laden bioink for the bone compartment. These findings underscore the potential of this new microcarrier-based biofabrication approach for bone and osteochondral constructs.","author":[{"dropping-particle":"","family":"Levato","given":"Riccardo","non-dropping-particle":"","parse-names":false,"suffix":""},{"dropping-particle":"","family":"Visser","given":"Jetze","non-dropping-particle":"","parse-names":false,"suffix":""},{"dropping-particle":"","family":"Planell","given":"Josep A","non-dropping-particle":"","parse-names":false,"suffix":""},{"dropping-particle":"","family":"Engel","given":"Elisabeth","non-dropping-particle":"","parse-names":false,"suffix":""},{"dropping-particle":"","family":"Malda","given":"Jos","non-dropping-particle":"","parse-names":false,"suffix":""},{"dropping-particle":"","family":"Mateos-Timoneda","given":"Miguel A","non-dropping-particle":"","parse-names":false,"suffix":""}],"container-title":"Biofabrication","id":"ITEM-2","issue":"3","issued":{"date-parts":[["2014"]]},"page":"35020","publisher":"IOP Publishing","title":"Biofabrication of tissue constructs by 3D bioprinting of cell-laden microcarriers","type":"article-journal","volume":"6"},"uris":["http://www.mendeley.com/documents/?uuid=43e24f4a-9e96-42a4-88ae-971793c46312"]},{"id":"ITEM-3","itemData":{"DOI":"https://doi.org/10.1002/mabi.201900098","ISSN":"1616-5187","abstract":"Abstract In this study, the cyto-compatibility and cellular functionality of cell-laden gelatin-methacryloyl (Gel-MA) hydrogels fabricated using a set of photo-initiators which absorb in 400?450 nm of the visible light range are investigated. Gel-MA hydrogels cross-linked using ruthenium (Ru) and sodium persulfate (SPS), are characterized to have comparable physico-mechanical properties as Gel-MA gels photo-polymerized using more conventionally adopted photo-initiators, such as 1-[4-(2-hydroxyethoxy)-phenyl]-2-hydroxy-2-methyl-1-propan-1-one (Irgacure 2959) and lithium phenyl(2,4,6-trimethylbenzoyl) phosphinate (LAP). It is demonstrated that the Ru/SPS system has a less adverse effect on the viability and metabolic activity of human articular chondrocytes encapsulated in Gel-MA hydrogels for up to 35 days. Furthermore, cell-laden constructs cross-linked using the Ru/SPS system have significantly higher glycosaminoglycan content and re-differentiation capacity as compared to cells encapsulated using I2959 and LAP. Moreover, the Ru/SPS system offers significantly greater light penetration depth as compared to the I2959 system, allowing thick (10 mm) Gel-MA hydrogels to be fabricated with homogenous cross-linking density throughout the construct. These results demonstrate the considerable advantages of the Ru/SPS system over traditional UV polymerizing systems in terms of clinical relevance and practicability for applications such as cell encapsulation, biofabrication, and in situ cross-linking of injectable hydrogels.","author":[{"dropping-particle":"","family":"Lim","given":"Khoon S","non-dropping-particle":"","parse-names":false,"suffix":""},{"dropping-particle":"","family":"Klotz","given":"Barbara J","non-dropping-particle":"","parse-names":false,"suffix":""},{"dropping-particle":"","family":"Lindberg","given":"Gabriella C J","non-dropping-particle":"","parse-names":false,"suffix":""},{"dropping-particle":"","family":"Melchels","given":"Ferry P W","non-dropping-particle":"","parse-names":false,"suffix":""},{"dropping-particle":"","family":"Hooper","given":"Gary J","non-dropping-particle":"","parse-names":false,"suffix":""},{"dropping-particle":"","family":"Malda","given":"Jos","non-dropping-particle":"","parse-names":false,"suffix":""},{"dropping-particle":"","family":"Gawlitta","given":"Debby","non-dropping-particle":"","parse-names":false,"suffix":""},{"dropping-particle":"","family":"Woodfield","given":"Tim B F","non-dropping-particle":"","parse-names":false,"suffix":""}],"container-title":"Macromolecular Bioscience","id":"ITEM-3","issue":"6","issued":{"date-parts":[["2019","6","1"]]},"note":"https://doi.org/10.1002/mabi.201900098","page":"1900098","publisher":"John Wiley &amp; Sons, Ltd","title":"Visible Light Cross-Linking of Gelatin Hydrogels Offers an Enhanced Cell Microenvironment with Improved Light Penetration Depth","type":"article-journal","volume":"19"},"uris":["http://www.mendeley.com/documents/?uuid=010e7740-4ba1-456b-8784-5f914629e004"]},{"id":"ITEM-4","itemData":{"DOI":"10.1039/c7sm02187a","ISSN":"1744-6848 (Electronic)","PMID":"29488996","abstract":"Photo-crosslinkable hydrogels, in particular gelatin methacryloyl (GelMa), are  gaining increasing importance in biofabrication and tissue engineering. While GelMa is often described as mechanically 'tunable', clear relationships linking the photocrosslinking conditions to reaction rates, and the resulting mechanical properties, have not been described. Meanwhile the conditions employed in the literature are disparate, and difficult to compare. In this work, in situ rheological measurements were used to quantify the relative rate of reaction of GelMa hydrogels with respect to light intensity, exposure time and photo-initiator concentration. In addition the UV degradation of the photo-initiator Irgacure 2959 was measured by UV-vis spectroscopy, and used to estimate the rate of free radical production as a function of light exposure. Using these data an expression was derived which predicts the mechanical properties of GelMa hydrogels produced across a wide range of crosslinking conditions. The model was validated through fabrication of a GelMa gradient which matched predicted properties. Human mesenchymal stem cells encapsulated in crosslinked GelMa exhibited high (&gt;90%) viability post encapsulation, however metabolic activity over one week was influenced by the intensity of light used during crosslinking. The expressions described may be used to aid rational choices of GelMa photocrosslinking conditions, especially in cell encapsulation experiments where minimising the cytotoxic elements in the reaction is a priority.","author":[{"dropping-particle":"","family":"O'Connell","given":"Cathal D","non-dropping-particle":"","parse-names":false,"suffix":""},{"dropping-particle":"","family":"Zhang","given":"Binbin","non-dropping-particle":"","parse-names":false,"suffix":""},{"dropping-particle":"","family":"Onofrillo","given":"Carmine","non-dropping-particle":"","parse-names":false,"suffix":""},{"dropping-particle":"","family":"Duchi","given":"Serena","non-dropping-particle":"","parse-names":false,"suffix":""},{"dropping-particle":"","family":"Blanchard","given":"Romane","non-dropping-particle":"","parse-names":false,"suffix":""},{"dropping-particle":"","family":"Quigley","given":"Anita","non-dropping-particle":"","parse-names":false,"suffix":""},{"dropping-particle":"","family":"Bourke","given":"Justin","non-dropping-particle":"","parse-names":false,"suffix":""},{"dropping-particle":"","family":"Gambhir","given":"Sanjeev","non-dropping-particle":"","parse-names":false,"suffix":""},{"dropping-particle":"","family":"Kapsa","given":"Robert","non-dropping-particle":"","parse-names":false,"suffix":""},{"dropping-particle":"","family":"Bella","given":"Claudia","non-dropping-particle":"Di","parse-names":false,"suffix":""},{"dropping-particle":"","family":"Choong","given":"Peter","non-dropping-particle":"","parse-names":false,"suffix":""},{"dropping-particle":"","family":"Wallace","given":"Gordon G","non-dropping-particle":"","parse-names":false,"suffix":""}],"container-title":"Soft matter","id":"ITEM-4","issue":"11","issued":{"date-parts":[["2018","3"]]},"language":"eng","page":"2142-2151","publisher-place":"England","title":"Tailoring the mechanical properties of gelatin methacryloyl hydrogels through  manipulation of the photocrosslinking conditions.","type":"article-journal","volume":"14"},"uris":["http://www.mendeley.com/documents/?uuid=fb961c77-194c-45f6-b5d6-d9f7e43f9315"]},{"id":"ITEM-5","itemData":{"DOI":"https://doi.org/10.1002/jbm.a.34924","ISSN":"1549-3296","abstract":"Abstract Hydrogels are promising materials for cartilage repair, but the properties required for optimal functional outcomes are not yet known. In this study, we functionalized four materials that are commonly used in cartilage tissue engineering and evaluated them using in vitro cultures. Gelatin, hyaluronic acid, polyethylene glycol, and alginate were functionalized with methacrylic anhydride to make them photocrosslinkable. We found that the responses of encapsulated human chondrocytes were highly dependent on hydrogel type. Gelatin hydrogels supported cell proliferation and the deposition of a glycosaminoglycan rich matrix with significant mechanical functionality. However, cells had a dedifferentiated phenotype, with high expression of collagen type I. Chondrocytes showed the best redifferentiation in hyaluronic acid hydrogels, but the newly formed matrix was highly localized to the pericellular regions, and these gels degraded rapidly. Polyethylene glycol hydrogels, as a bioinert control, did not promote any strong responses. Alginate hydrogels did not support the deposition of new matrix, and the stiffness decreased during culture. The markedly different response of chondrocytes to these four photocrosslinkable hydrogels demonstrates the importance of material properties for chondrogenesis and extracellular matrix production, which are critical for effective cartilage repair. ? 2013 Wiley Periodicals, Inc. J Biomed Mater Res Part A: 102A: 2544?2553, 2014.","author":[{"dropping-particle":"","family":"Levett","given":"Peter A","non-dropping-particle":"","parse-names":false,"suffix":""},{"dropping-particle":"","family":"Melchels","given":"Ferry P W","non-dropping-particle":"","parse-names":false,"suffix":""},{"dropping-particle":"","family":"Schrobback","given":"Karsten","non-dropping-particle":"","parse-names":false,"suffix":""},{"dropping-particle":"","family":"Hutmacher","given":"Dietmar W","non-dropping-particle":"","parse-names":false,"suffix":""},{"dropping-particle":"","family":"Malda","given":"Jos","non-dropping-particle":"","parse-names":false,"suffix":""},{"dropping-particle":"","family":"Klein","given":"Travis J","non-dropping-particle":"","parse-names":false,"suffix":""}],"container-title":"Journal of Biomedical Materials Research Part A","id":"ITEM-5","issue":"8","issued":{"date-parts":[["2014","8","1"]]},"note":"https://doi.org/10.1002/jbm.a.34924","page":"2544-2553","publisher":"John Wiley &amp; Sons, Ltd","title":"Chondrocyte redifferentiation and construct mechanical property development in single-component photocrosslinkable hydrogels","type":"article-journal","volume":"102"},"uris":["http://www.mendeley.com/documents/?uuid=add1b062-c292-409e-b90d-4b10dc65966f"]},{"id":"ITEM-6","itemData":{"DOI":"https://doi.org/10.1002/adma.201305506","ISSN":"0935-9648","abstract":"A new bioprinting method is reported for fabricating 3D tissue constructs replete with vasculature, multiple types of cells, and extracellular matrix. These intricate, heterogeneous structures are created by precisely co-printing multiple materials, known as bioinks, in three dimensions. These 3D micro-engineered environments open new ?avenues for drug screening and fundamental studies of wound healing, angiogenesis, and stem-cell niches.","author":[{"dropping-particle":"","family":"Kolesky","given":"David B","non-dropping-particle":"","parse-names":false,"suffix":""},{"dropping-particle":"","family":"Truby","given":"Ryan L","non-dropping-particle":"","parse-names":false,"suffix":""},{"dropping-particle":"","family":"Gladman","given":"A Sydney","non-dropping-particle":"","parse-names":false,"suffix":""},{"dropping-particle":"","family":"Busbee","given":"Travis A","non-dropping-particle":"","parse-names":false,"suffix":""},{"dropping-particle":"","family":"Homan","given":"Kimberly A","non-dropping-particle":"","parse-names":false,"suffix":""},{"dropping-particle":"","family":"Lewis","given":"Jennifer A","non-dropping-particle":"","parse-names":false,"suffix":""}],"container-title":"Advanced Materials","id":"ITEM-6","issue":"19","issued":{"date-parts":[["2014","5","1"]]},"note":"https://doi.org/10.1002/adma.201305506","page":"3124-3130","publisher":"John Wiley &amp; Sons, Ltd","title":"3D Bioprinting of Vascularized, Heterogeneous Cell-Laden Tissue Constructs","type":"article-journal","volume":"26"},"uris":["http://www.mendeley.com/documents/?uuid=52eaa412-26d9-40b2-a3f5-251c552e8f8e"]},{"id":"ITEM-7","itemData":{"DOI":"10.1088/1758-5090/aa857c","ISSN":"1758-5090 (Electronic)","PMID":"28795951","abstract":"Effective vascularization is crucial for three-dimensional (3D) printed  hydrogel-cell constructs to efficiently supply cells with oxygen and nutrients. Till date, several hydrogel blends have been developed that allow the in vitro formation of a capillary-like network within the gels but comparatively less effort has been made to improve the suitability of the materials for a 3D bioprinting process. Therefore, we hypothesize that tailored hydrogel blends of photo-crosslinkable gelatin and type I collagen exhibit favorable 3D drop-on-demand printing characteristics in terms of rheological and mechanical properties and that further capillary-like network formation can be induced by co-culturing human umbilical vein endothelial cells and human mesenchymal stem cells within the proposed blends. Gelatin was methacrylated (GelMA) at a high degree of functionalization, mixed with cells, type I collagen, and the photoinitiator Irgacure 2959 and then subsequently crosslinked with UV light. After 14 d of incubation, cells were immunofluorescently labeled (CD31) and displayed using two-photon laser scanning microscopy. Hydrogels were rheologically characterized and dispensable droplet volumes were measured using a custom built 3D drop-on-demand bioprinter. The cell viability remained high in controllable crosslinking conditions both in 2D and 3D. In general, higher UV light exposure and increased Irgacure concentration were associated with lower cell viabilities. Distinctive capillary-like structures were formed in 3D printable GelMA-collagen hydrogels. The characteristic crosslinking time for GelMA in the range of minutes was not altered when GelMA was blended with type I collagen. Moreover, the addition of collagen led to enhanced cell spreading, a shear thinning behavior of the hydrogel solution and increased the storage modulus of the crosslinked gel. We therefore conclude that GelMA-collagen hydrogels exhibit favorable biological as well as rheological properties which are suitable for the manufacturing of pre-vascularized tissue replacement by 3D bioprinting.","author":[{"dropping-particle":"","family":"Stratesteffen","given":"Henrike","non-dropping-particle":"","parse-names":false,"suffix":""},{"dropping-particle":"","family":"Köpf","given":"Marius","non-dropping-particle":"","parse-names":false,"suffix":""},{"dropping-particle":"","family":"Kreimendahl","given":"Franziska","non-dropping-particle":"","parse-names":false,"suffix":""},{"dropping-particle":"","family":"Blaeser","given":"Andreas","non-dropping-particle":"","parse-names":false,"suffix":""},{"dropping-particle":"","family":"Jockenhoevel","given":"Stefan","non-dropping-particle":"","parse-names":false,"suffix":""},{"dropping-particle":"","family":"Fischer","given":"Horst","non-dropping-particle":"","parse-names":false,"suffix":""}],"container-title":"Biofabrication","id":"ITEM-7","issue":"4","issued":{"date-parts":[["2017","9"]]},"language":"eng","page":"45002","publisher-place":"England","title":"GelMA-collagen blends enable drop-on-demand 3D printablility and promote  angiogenesis.","type":"article-journal","volume":"9"},"uris":["http://www.mendeley.com/documents/?uuid=0428f289-f536-41c7-9fb5-d01e8ebfc7a9"]},{"id":"ITEM-8","itemData":{"DOI":"https://doi.org/10.1002/mabi.202000401","ISSN":"1616-5187","abstract":"Abstract In hybrid bioprinting of cartilage tissue constructs, spheroids are used as cellular building blocks and combined with biomaterials for dispensing. However, biomaterial intrinsic cues can deeply affect cell fate and to date, the influence of hydrogel encapsulation on spheroid viability and phenotype has received limited attention. This study assesses this need and unravels 1) how the phenotype of spheroid-laden constructs can be tuned through adjusting the hydrogel physico?chemical properties and 2) if the spheroid maturation stage prior to encapsulation is a determining factor for the construct phenotype. Articular chondrocyte spheroids with a cartilage specific extracellular matrix (ECM) are generated and different maturation stages, early-, mid-, and late-stage (3, 7, and 14 days, respectively), are harvested and encapsulated in 10, 15, or 20 w/v% methacrylamide-modified gelatin (gelMA) for 14 days. The encapsulation of immature spheroids do not lead to a cartilage-like ECM production but when more mature mid- or late-stage spheroids are combined with a certain concentration of gelMA, a fibrocartilage-like as well as a hyaline cartilage-like phenotype can be induced. As a proof of concept, late-stage spheroids are bioprinted using a 10 w/v% gelMA?Irgacure 2959 solution with the aim to test the processing potential of the spheroid-laden bioink.","author":[{"dropping-particle":"","family":"Moor","given":"Lise","non-dropping-particle":"De","parse-names":false,"suffix":""},{"dropping-particle":"","family":"Minne","given":"Mendy","non-dropping-particle":"","parse-names":false,"suffix":""},{"dropping-particle":"","family":"Tytgat","given":"Liesbeth","non-dropping-particle":"","parse-names":false,"suffix":""},{"dropping-particle":"","family":"Vercruysse","given":"Chris","non-dropping-particle":"","parse-names":false,"suffix":""},{"dropping-particle":"","family":"Dubruel","given":"Peter","non-dropping-particle":"","parse-names":false,"suffix":""},{"dropping-particle":"","family":"Vlierberghe","given":"Sandra","non-dropping-particle":"Van","parse-names":false,"suffix":""},{"dropping-particle":"","family":"Declercq","given":"Heidi","non-dropping-particle":"","parse-names":false,"suffix":""}],"container-title":"Macromolecular Bioscience","id":"ITEM-8","issue":"5","issued":{"date-parts":[["2021","5","1"]]},"note":"https://doi.org/10.1002/mabi.202000401","page":"2000401","publisher":"John Wiley &amp; Sons, Ltd","title":"Tuning the Phenotype of Cartilage Tissue Mimics by Varying Spheroid Maturation and Methacrylamide-Modified Gelatin Hydrogel Characteristics","type":"article-journal","volume":"21"},"uris":["http://www.mendeley.com/documents/?uuid=9fb21bd0-8242-4761-8996-b7ae1d6b9492"]}],"mendeley":{"formattedCitation":"[16,25,42–47]","plainTextFormattedCitation":"[16,25,42–47]","previouslyFormattedCitation":"&lt;span style=\"baseline\"&gt;[16],[25],[42]–[47]&lt;/span&gt;"},"properties":{"noteIndex":0},"schema":"https://github.com/citation-style-language/schema/raw/master/csl-citation.json"}</w:instrText>
            </w:r>
            <w:r w:rsidRPr="00777855">
              <w:fldChar w:fldCharType="separate"/>
            </w:r>
            <w:r w:rsidRPr="00777855">
              <w:t>[16,25,42</w:t>
            </w:r>
            <w:r w:rsidR="0091207F">
              <w:t>–</w:t>
            </w:r>
            <w:r w:rsidRPr="00777855">
              <w:t>47]</w:t>
            </w:r>
            <w:r w:rsidRPr="00777855">
              <w:fldChar w:fldCharType="end"/>
            </w:r>
          </w:p>
          <w:p w14:paraId="132892D7" w14:textId="77777777" w:rsidR="00E20360" w:rsidRPr="00777855" w:rsidRDefault="00E20360" w:rsidP="00777855">
            <w:pPr>
              <w:pStyle w:val="MDPI42tablebody"/>
              <w:autoSpaceDE w:val="0"/>
              <w:autoSpaceDN w:val="0"/>
              <w:spacing w:line="240" w:lineRule="auto"/>
            </w:pPr>
          </w:p>
        </w:tc>
      </w:tr>
      <w:tr w:rsidR="00E20360" w:rsidRPr="00777855" w14:paraId="7B7B75EF" w14:textId="77777777" w:rsidTr="00777855">
        <w:tc>
          <w:tcPr>
            <w:tcW w:w="2094" w:type="dxa"/>
            <w:shd w:val="clear" w:color="auto" w:fill="auto"/>
            <w:vAlign w:val="center"/>
          </w:tcPr>
          <w:p w14:paraId="19386A97" w14:textId="3CDDF839" w:rsidR="00E20360" w:rsidRPr="00777855" w:rsidRDefault="00E20360" w:rsidP="00777855">
            <w:pPr>
              <w:pStyle w:val="MDPI42tablebody"/>
              <w:autoSpaceDE w:val="0"/>
              <w:autoSpaceDN w:val="0"/>
              <w:spacing w:line="240" w:lineRule="auto"/>
            </w:pPr>
            <w:r w:rsidRPr="00777855">
              <w:t>Lithium phenyl-2 4 6-trimethylbenzoylphosphinate (LAP)</w:t>
            </w:r>
          </w:p>
        </w:tc>
        <w:tc>
          <w:tcPr>
            <w:tcW w:w="4733" w:type="dxa"/>
            <w:shd w:val="clear" w:color="auto" w:fill="auto"/>
            <w:vAlign w:val="center"/>
          </w:tcPr>
          <w:p w14:paraId="245DF235" w14:textId="69C757F2" w:rsidR="00E20360" w:rsidRPr="00777855" w:rsidRDefault="00E20360" w:rsidP="00777855">
            <w:pPr>
              <w:pStyle w:val="MDPI42tablebody"/>
              <w:autoSpaceDE w:val="0"/>
              <w:autoSpaceDN w:val="0"/>
              <w:spacing w:line="240" w:lineRule="auto"/>
            </w:pPr>
            <w:r w:rsidRPr="00777855">
              <w:t>Cell viability of &gt;</w:t>
            </w:r>
            <w:r w:rsidR="009D61FD">
              <w:t xml:space="preserve"> </w:t>
            </w:r>
            <w:r w:rsidRPr="00777855">
              <w:t>75% which is dependent on crosslinking conditions including macromer concentration, LAP concentration and time of crosslinking; good cytocompatibility especially at high photo-initiator concentrations (0.7% w/v) during prolonged bioprinting conditions (60 minutes) with small pore size and low swelling ratio and slower degradation.</w:t>
            </w:r>
          </w:p>
        </w:tc>
        <w:tc>
          <w:tcPr>
            <w:tcW w:w="1055" w:type="dxa"/>
            <w:shd w:val="clear" w:color="auto" w:fill="auto"/>
            <w:vAlign w:val="center"/>
          </w:tcPr>
          <w:p w14:paraId="43219C71" w14:textId="161DEB2E" w:rsidR="00E20360" w:rsidRPr="00777855" w:rsidRDefault="00E20360" w:rsidP="00777855">
            <w:pPr>
              <w:pStyle w:val="MDPI42tablebody"/>
              <w:autoSpaceDE w:val="0"/>
              <w:autoSpaceDN w:val="0"/>
              <w:spacing w:line="240" w:lineRule="auto"/>
            </w:pPr>
            <w:r w:rsidRPr="00777855">
              <w:fldChar w:fldCharType="begin" w:fldLock="1"/>
            </w:r>
            <w:r w:rsidRPr="00777855">
              <w:instrText>ADDIN CSL_CITATION {"citationItems":[{"id":"ITEM-1","itemData":{"DOI":"10.1088/1748-605x/ab954e","ISSN":"1748-605X","abstract":"Photocrosslinkable polymers such as gelatin methacrylate (GelMA) have various 3D bioprinting applications. These polymers crosslink upon exposure to UV irradiation with the existence of an appropriate photoinitiator. Two photoinitiators, Irgacure 2959 and lithium phenyl-2,4,6-trimethylbenzoylphosphinate (LAP) are commonly used. This study systematically investigates the effects of photoinitiator types on the cell viability, physical properties, and microstructure in 3D bioprinting of GelMA-based cellular constructs. The main conclusions are: (1) during the 3D bioprinting, the cell viability generally decreases as the photoinitiator concentration and printing time increase using both Irgacure 2959 and LAP. At the low photoinitiator concentrations (such as 0.3% and 0.5% (w/v)), the overall cell viability is good within the printing time of 60 min using both Irgacure 2959 and LAP. However, at the high photoinitiator concentrations (such as 0.7% and 0.9% (w/v)), the overall cell viability using LAP is much higher than that using Irgacure 2959 within the printing time of 60 min; (2) after the 3D bioprinting, the photoinitiator types, either Irgacure 2959 or LAP, have negligible effects on the post-printing cell viability after crosslinking; (3) after the 3D bioprinting, GelMA samples cured with Irgacure 2959 have slightly larger pore size, faster degradation rate, and greater swelling ratio compared to those cured with LAP; (4) 3D GelMA-based vascular-like constructs have been fabricated using dynamic optical projection stereolithography, and the measured dimensions have been compared with the designed dimensions showing good shape fidelity.","author":[{"dropping-particle":"","family":"Xu","given":"Heqi","non-dropping-particle":"","parse-names":false,"suffix":""},{"dropping-particle":"","family":"Casillas","given":"Jazzmin","non-dropping-particle":"","parse-names":false,"suffix":""},{"dropping-particle":"","family":"Krishnamoorthy","given":"Srikumar","non-dropping-particle":"","parse-names":false,"suffix":""},{"dropping-particle":"","family":"Xu","given":"Changxue","non-dropping-particle":"","parse-names":false,"suffix":""}],"container-title":"Biomedical Materials","id":"ITEM-1","issue":"5","issued":{"date-parts":[["2020"]]},"page":"55021","publisher":"IOP Publishing","title":"Effects of Irgacure 2959 and lithium phenyl-2,4,6-trimethylbenzoylphosphinate on cell viability, physical properties, and microstructure in 3D bioprinting of vascular-like constructs","type":"article-journal","volume":"15"},"uris":["http://www.mendeley.com/documents/?uuid=21d7de8d-28c9-4348-885a-6342b8db8081"]},{"id":"ITEM-2","itemData":{"DOI":"10.1016/j.dental.2017.11.020","ISSN":"1879-0097","abstract":"Photopolymerized hydrogels, such as gelatin methacryloyl (GelMA), have desirable biological and mechanical characteristics for a range of tissue engineering applications. OBJECTIVE: This study aimed to optimize a new method to photopolymerize GelMA using a dental curing light (DL). METHODS: Lithium acylphosphinate photo-initiator (LAP, 0.05, 0.067, 0.1% w/v) was evaluated for its ability to polymerize GelMA hydrogel precursors (10% w/v) encapsulated with odontoblast-like cells (OD21). Different irradiances (1650, 2300 and 3700mW/cm(2)) and photo-curing times (5-20s) were tested, and compared against the parameters typically used in UV light photopolymerization (45mW/cm(2), 0.1% w/v Irgacure 2959 as photoinitiator). Physical and mechanical properties of the photopolymerized GelMA hydrogels were determined. Cell viability was assessed using a live and dead assay kit. RESULTS: Comparing DL and UV polymerization methods, the DL method photopolymerized GelMA precursor faster and presented larger pore size than the UV polymerization method. The live and dead assay showed more than 80% of cells were viable when hydrogels were photopolymerized with the different DL irradiances. However, the cell viability decreased when the exposure time was increased to 20s using the 1650mW/cm(2) intensity, and when the LAP concentration was increased from 0.05 to 0.1%. Both DL and UV photocrosslinked hydrogels supported a high percentage of cell viability and enabled fabrication of micropatterns using a photolithography microfabrication technique. SIGNIFICANCE: The proposed method to photopolymerize GelMA cell-laden hydrogels using a dental curing light is effective and represents an important step towards the establishment of chair-side procedures in regenerative dentistry.","author":[{"dropping-particle":"","family":"Monteiro","given":"Nelson","non-dropping-particle":"","parse-names":false,"suffix":""},{"dropping-particle":"","family":"Thrivikraman","given":"Greeshma","non-dropping-particle":"","parse-names":false,"suffix":""},{"dropping-particle":"","family":"Athirasala","given":"Avathamsa","non-dropping-particle":"","parse-names":false,"suffix":""},{"dropping-particle":"","family":"Tahayeri","given":"Anthony","non-dropping-particle":"","parse-names":false,"suffix":""},{"dropping-particle":"","family":"França","given":"Cristiane M","non-dropping-particle":"","parse-names":false,"suffix":""},{"dropping-particle":"","family":"Ferracane","given":"Jack L","non-dropping-particle":"","parse-names":false,"suffix":""},{"dropping-particle":"","family":"Bertassoni","given":"Luiz E","non-dropping-particle":"","parse-names":false,"suffix":""}],"container-title":"Dental materials : official publication of the Academy of Dental Materials","edition":"2017/12/06","id":"ITEM-2","issue":"3","issued":{"date-parts":[["2018","3"]]},"language":"eng","page":"389-399","title":"Photopolymerization of cell-laden gelatin methacryloyl hydrogels using a dental curing light for regenerative dentistry","type":"article-journal","volume":"34"},"uris":["http://www.mendeley.com/documents/?uuid=e251f126-1251-4f86-8b85-fde7247cc018"]},{"id":"ITEM-3","itemData":{"DOI":"10.1039/C8TB02607F","ISSN":"2050-750X","abstract":"Gelatin methacryloyl (GelMA) hydrogels are a mechanically and biochemically tuneable biomaterial, facilitating chondrocyte culture for tissue engineering applications. However, a lack of characterisation and standardisation of fabrication methodologies for GelMA restricts its utilisation in surgical interventions for articular cartilage repair. The purpose of this study was to determine the effects of gelatin source and photoinitiator type on the redifferentiation capacity of monolayer-expanded human articular chondrocytes encapsulated in GelMA/hyaluronic acid methacrylate (HAMA) hydrogels. Chondrocyte-laden hydrogels reinforced with multiphasic melt-electrowritten (MEW) medical grade polycaprolactone (mPCL) microfibre scaffolds were prepared using bovine (B) or porcine-derived (P) GelMA, and photocrosslinked with either lithium acylphosphinate (LAP) and visible light (405 nm) or Irgacure 2959 (IC) and UV light (365 nm). Bulk physical properties, cell viability and biochemical features of hydrogel constructs were measured at day 1 and day 28 of chondrogenic cell culture. The compressive moduli of all groups increased after 28 days of cell culture, with B-IC displaying similar compressive strength to that of native articular cartilage (</w:instrText>
            </w:r>
            <w:r w:rsidRPr="00777855">
              <w:rPr>
                <w:rFonts w:ascii="Cambria Math" w:hAnsi="Cambria Math" w:cs="Cambria Math"/>
              </w:rPr>
              <w:instrText>∼</w:instrText>
            </w:r>
            <w:r w:rsidRPr="00777855">
              <w:instrText>1.5 MPa). Compressive moduli correlated with an increase in total glycosaminoglycan (GAG) content for each group. Gene expression analysis revealed upregulation of chondrogenic marker genes in IC-crosslinked groups, whilst dedifferentiation gene markers were upregulated in LAP-crosslinked groups. mPCL reinforcement correlated with increased accumulation of collagen I and II in B-IC, B-LAP and P-IC groups compared to non-reinforced hydrogels. A reduction in cell viability was noted in all samples at day 28, potentially due to the generation of free radicals during photocrosslinking or cytotoxicity of the photoinitiators. In summary, hydrogel constructs prepared with bovine-derived GelMA and photocrosslinked with Irgacure 2959 and 365 nm light displayed properties most similar to native articular cartilage after 28 days of cell culture. The differences in biological response between investigated construct types emphasises the necessity to characterise and standardise biomaterials before translating in vitro tissue engineering research to preclinical applications for articular cartilage injuries.","author":[{"dropping-particle":"","family":"Pahoff","given":"Stephen","non-dropping-particle":"","parse-names":false,"suffix":""},{"dropping-particle":"","family":"Meinert","given":"Christoph","non-dropping-particle":"","parse-names":false,"suffix":""},{"dropping-particle":"","family":"Bas","given":"Onur","non-dropping-particle":"","parse-names":false,"suffix":""},{"dropping-particle":"","family":"Nguyen","given":"Long","non-dropping-particle":"","parse-names":false,"suffix":""},{"dropping-particle":"","family":"Klein","given":"Travis J","non-dropping-particle":"","parse-names":false,"suffix":""},{"dropping-particle":"","family":"Hutmacher","given":"Dietmar W","non-dropping-particle":"","parse-names":false,"suffix":""}],"container-title":"Journal of Materials Chemistry B","id":"ITEM-3","issue":"10","issued":{"date-parts":[["2019"]]},"page":"1761-1772","publisher":"The Royal Society of Chemistry","title":"Effect of gelatin source and photoinitiator type on chondrocyte redifferentiation in gelatin methacryloyl-based tissue-engineered cartilage constructs","type":"article-journal","volume":"7"},"uris":["http://www.mendeley.com/documents/?uuid=897dac72-d570-4113-9267-22d5b55835cf"]}],"mendeley":{"formattedCitation":"[48–50]","plainTextFormattedCitation":"[48–50]","previouslyFormattedCitation":"&lt;span style=\"baseline\"&gt;[48]–[50]&lt;/span&gt;"},"properties":{"noteIndex":0},"schema":"https://github.com/citation-style-language/schema/raw/master/csl-citation.json"}</w:instrText>
            </w:r>
            <w:r w:rsidRPr="00777855">
              <w:fldChar w:fldCharType="separate"/>
            </w:r>
            <w:r w:rsidRPr="00777855">
              <w:rPr>
                <w:noProof/>
              </w:rPr>
              <w:t>[48</w:t>
            </w:r>
            <w:r w:rsidR="0091207F">
              <w:rPr>
                <w:noProof/>
              </w:rPr>
              <w:t>–</w:t>
            </w:r>
            <w:r w:rsidRPr="00777855">
              <w:rPr>
                <w:noProof/>
              </w:rPr>
              <w:t>50]</w:t>
            </w:r>
            <w:r w:rsidRPr="00777855">
              <w:fldChar w:fldCharType="end"/>
            </w:r>
          </w:p>
        </w:tc>
      </w:tr>
      <w:tr w:rsidR="00E20360" w:rsidRPr="00777855" w14:paraId="7DACA521" w14:textId="77777777" w:rsidTr="00777855">
        <w:tc>
          <w:tcPr>
            <w:tcW w:w="2094" w:type="dxa"/>
            <w:shd w:val="clear" w:color="auto" w:fill="auto"/>
            <w:vAlign w:val="center"/>
          </w:tcPr>
          <w:p w14:paraId="15CF9989" w14:textId="4F231B92" w:rsidR="00E20360" w:rsidRPr="00777855" w:rsidRDefault="00E20360" w:rsidP="00777855">
            <w:pPr>
              <w:pStyle w:val="MDPI42tablebody"/>
              <w:autoSpaceDE w:val="0"/>
              <w:autoSpaceDN w:val="0"/>
              <w:spacing w:line="240" w:lineRule="auto"/>
            </w:pPr>
            <w:r w:rsidRPr="00777855">
              <w:t>Ruthenium/sodium persulfate (Ru/SPS)</w:t>
            </w:r>
          </w:p>
        </w:tc>
        <w:tc>
          <w:tcPr>
            <w:tcW w:w="4733" w:type="dxa"/>
            <w:shd w:val="clear" w:color="auto" w:fill="auto"/>
            <w:vAlign w:val="center"/>
          </w:tcPr>
          <w:p w14:paraId="5841CC46" w14:textId="60B9BE8A" w:rsidR="00E20360" w:rsidRPr="00777855" w:rsidRDefault="00E20360" w:rsidP="00777855">
            <w:pPr>
              <w:pStyle w:val="MDPI42tablebody"/>
              <w:autoSpaceDE w:val="0"/>
              <w:autoSpaceDN w:val="0"/>
              <w:spacing w:line="240" w:lineRule="auto"/>
            </w:pPr>
            <w:r w:rsidRPr="00777855">
              <w:t>Superior cell viability (&gt;</w:t>
            </w:r>
            <w:r w:rsidR="00C01C2B">
              <w:t xml:space="preserve"> </w:t>
            </w:r>
            <w:r w:rsidRPr="00777855">
              <w:t>80% over long-term cultures) and support cell differentiation capabilities (osteogenesis, chondrogenesis)</w:t>
            </w:r>
            <w:r w:rsidR="00CE545A">
              <w:t>.</w:t>
            </w:r>
          </w:p>
        </w:tc>
        <w:tc>
          <w:tcPr>
            <w:tcW w:w="1055" w:type="dxa"/>
            <w:shd w:val="clear" w:color="auto" w:fill="auto"/>
            <w:vAlign w:val="center"/>
          </w:tcPr>
          <w:p w14:paraId="6F467969" w14:textId="20E099C9" w:rsidR="00E20360" w:rsidRPr="00777855" w:rsidRDefault="00E20360" w:rsidP="00777855">
            <w:pPr>
              <w:pStyle w:val="MDPI42tablebody"/>
              <w:autoSpaceDE w:val="0"/>
              <w:autoSpaceDN w:val="0"/>
              <w:spacing w:line="240" w:lineRule="auto"/>
            </w:pPr>
            <w:r w:rsidRPr="00777855">
              <w:fldChar w:fldCharType="begin" w:fldLock="1"/>
            </w:r>
            <w:r w:rsidRPr="00777855">
              <w:instrText>ADDIN CSL_CITATION {"citationItems":[{"id":"ITEM-1","itemData":{"DOI":"https://doi.org/10.1002/mabi.201900098","ISSN":"1616-5187","abstract":"Abstract In this study, the cyto-compatibility and cellular functionality of cell-laden gelatin-methacryloyl (Gel-MA) hydrogels fabricated using a set of photo-initiators which absorb in 400?450 nm of the visible light range are investigated. Gel-MA hydrogels cross-linked using ruthenium (Ru) and sodium persulfate (SPS), are characterized to have comparable physico-mechanical properties as Gel-MA gels photo-polymerized using more conventionally adopted photo-initiators, such as 1-[4-(2-hydroxyethoxy)-phenyl]-2-hydroxy-2-methyl-1-propan-1-one (Irgacure 2959) and lithium phenyl(2,4,6-trimethylbenzoyl) phosphinate (LAP). It is demonstrated that the Ru/SPS system has a less adverse effect on the viability and metabolic activity of human articular chondrocytes encapsulated in Gel-MA hydrogels for up to 35 days. Furthermore, cell-laden constructs cross-linked using the Ru/SPS system have significantly higher glycosaminoglycan content and re-differentiation capacity as compared to cells encapsulated using I2959 and LAP. Moreover, the Ru/SPS system offers significantly greater light penetration depth as compared to the I2959 system, allowing thick (10 mm) Gel-MA hydrogels to be fabricated with homogenous cross-linking density throughout the construct. These results demonstrate the considerable advantages of the Ru/SPS system over traditional UV polymerizing systems in terms of clinical relevance and practicability for applications such as cell encapsulation, biofabrication, and in situ cross-linking of injectable hydrogels.","author":[{"dropping-particle":"","family":"Lim","given":"Khoon S","non-dropping-particle":"","parse-names":false,"suffix":""},{"dropping-particle":"","family":"Klotz","given":"Barbara J","non-dropping-particle":"","parse-names":false,"suffix":""},{"dropping-particle":"","family":"Lindberg","given":"Gabriella C J","non-dropping-particle":"","parse-names":false,"suffix":""},{"dropping-particle":"","family":"Melchels","given":"Ferry P W","non-dropping-particle":"","parse-names":false,"suffix":""},{"dropping-particle":"","family":"Hooper","given":"Gary J","non-dropping-particle":"","parse-names":false,"suffix":""},{"dropping-particle":"","family":"Malda","given":"Jos","non-dropping-particle":"","parse-names":false,"suffix":""},{"dropping-particle":"","family":"Gawlitta","given":"Debby","non-dropping-particle":"","parse-names":false,"suffix":""},{"dropping-particle":"","family":"Woodfield","given":"Tim B F","non-dropping-particle":"","parse-names":false,"suffix":""}],"container-title":"Macromolecular Bioscience","id":"ITEM-1","issue":"6","issued":{"date-parts":[["2019","6","1"]]},"note":"https://doi.org/10.1002/mabi.201900098","page":"1900098","publisher":"John Wiley &amp; Sons, Ltd","title":"Visible Light Cross-Linking of Gelatin Hydrogels Offers an Enhanced Cell Microenvironment with Improved Light Penetration Depth","type":"article-journal","volume":"19"},"uris":["http://www.mendeley.com/documents/?uuid=010e7740-4ba1-456b-8784-5f914629e004"]},{"id":"ITEM-2","itemData":{"DOI":"10.1088/1758-5090/ab19fd","ISSN":"17585090","abstract":"© 2019 IOP Publishing Ltd. Bioprinting of living cells is rapidly developing as an advanced biofabrication approach to engineer tissues. Bioinks can be extruded in three-dimensions (3D) to fabricate complex and hierarchical constructs for implantation. However, a lack of functionality can often be attributed to poor bioink properties. Indeed, advanced bioinks encapsulating living cells should: (i) present optimal rheological properties and retain 3D structure post fabrication, (ii) promote cell viability and support cell differentiation, and (iii) localise proteins of interest (e.g. vascular endothelial growth factor (VEGF)) to stimulate encapsulated cell activity and tissue ingrowth upon implantation. In this study, we present the results of the inclusion of a synthetic nanoclay, Laponite® (LPN) together with a gelatin methacryloyl (GelMA) bioink and the development of a functional cell-instructive bioink. A nanocomposite bioink displaying enhanced shape fidelity retention and interconnected porosity within extrusion-bioprinted fibres was observed. Human bone marrow stromal cell (HBMSC) viability within the nanocomposite showed no significant changes over 21 days of culture in LPN-GelMA (85.60 ± 10.27%), compared to a significant decrease in GelMA from 7 (95.88 ± 2.90%) to 21 days (55.54 ± 14.72%) (p &lt; 0.01). HBMSCs were observed to proliferate in LPN-GelMA with a significant increase in cell number over 21 days (p &lt; 0.0001) compared to GelMA alone. HBMSC-laden LPN-GelMA scaffolds supported osteogenic differentiation evidenced by mineralised nodule formation, including in the absence of the osteogenic drug dexamethasone. Ex vivo implantation in a chick chorioallantoic membrane model, demonstrated excellent integration of the bioink constructs in the vascular chick embryo after 7 days of incubation. VEGF-loaded LPN-GelMA constructs demonstrated significantly higher vessel penetration than GelMA-VEGF (p &lt; 0.0001) scaffolds. Integration and vascularisation was directly related to increased drug absorption and retention by LPN-GelMA compared to LPN-free GelMA. In summary, a novel light-curable nanocomposite bioink for 3D skeletal regeneration supportive of cell growth and growth factor retention and delivery, evidenced by ex vivo vasculogenesis, was developed with potential application in hard and soft tissue reparation.","author":[{"dropping-particle":"","family":"Cidonio","given":"G.","non-dropping-particle":"","parse-names":false,"suffix":""},{"dropping-particle":"","family":"Alcala-Orozco","given":"C.R.","non-dropping-particle":"","parse-names":false,"suffix":""},{"dropping-particle":"","family":"Lim","given":"K.S.","non-dropping-particle":"","parse-names":false,"suffix":""},{"dropping-particle":"","family":"Glinka","given":"M.","non-dropping-particle":"","parse-names":false,"suffix":""},{"dropping-particle":"","family":"Mutreja","given":"I.","non-dropping-particle":"","parse-names":false,"suffix":""},{"dropping-particle":"","family":"Kim","given":"Y.-H.","non-dropping-particle":"","parse-names":false,"suffix":""},{"dropping-particle":"","family":"Dawson","given":"J.I.","non-dropping-particle":"","parse-names":false,"suffix":""},{"dropping-particle":"","family":"Woodfield","given":"T.B.F.","non-dropping-particle":"","parse-names":false,"suffix":""},{"dropping-particle":"","family":"Oreffo","given":"R.O.C.","non-dropping-particle":"","parse-names":false,"suffix":""}],"container-title":"Biofabrication","id":"ITEM-2","issue":"3","issued":{"date-parts":[["2019"]]},"title":"Osteogenic and angiogenic tissue formation in high fidelity nanocomposite Laponite-gelatin bioinks","type":"article-journal","volume":"11"},"uris":["http://www.mendeley.com/documents/?uuid=6f81e706-251a-3184-b5ff-50ee8863326c"]},{"id":"ITEM-3","itemData":{"DOI":"10.1016/j.bprint.2019.e00073","ISSN":"24058866","abstract":"© 2020 Elsevier B.V. 3D bioprinting of constructs for tissue engineering and regenerative medicine has steadily gained attention due to its potential to fabricate anatomically-precise living constructs, localise specific cell types and enable the regeneration of functional tissues in a clinical setting. However, the limited availability of bioinks that can be successfully 3D bioprinted with high fidelity and simultaneously provide encapsulated cells with a tailored, low-stiffness microenvironment supporting functional tissue formation remains an unmet challenge. To address both the physical and biological limitations of available bioinks, this study aimed to develop a nanocomposite bioink (Sr-GelMA) comprising of strontium-carbonate (Sr) nanoparticles and low concentration (5 w/v%) gelatin-methacryloyl (GelMA) hydrogel for extrusion-based 3D bioprinting of low-stiffness cell-laden scaffolds with high shape fidelity and bone-specific cell signalling factors. We systematically investigated the effect of Sr incorporation on hydrogel physico-chemical properties, print fidelity, scaffold shape retention, as well as cell viability, osteogenic differentiation and in vitro bone formation. Nanocomposite Sr-GelMA hydrogels retained their physical and mechanical properties, while rheological studies revealed a significant increase in viscosity profiles that led to notably enhanced printability compared to GelMA alone. Moreover, bioprinted Sr-GelMA scaffolds exhibited excellent shape fidelity evidenced by a defined pore geometry on the x-y-z axis, resulting in an interconnected bioink filament and pore network that was maintained even after long-term culture and osteogenic differentiation (28 days) of human mesenchymal stromal cells (hMSCs). The presence of clustered Sr nanoparticles in the cell-laden bioink allowed high quality bioprinting combined with high hMSC viability (&gt;95%) post-fabrication. Furthermore, Sr addition resulted in enhanced osteogenic differentiation of hMSCs as revealed by higher alkaline phosphatase (ALP) levels, osteocalcin (OCN) and collagen type-I (Col I) expression, with mineralised nodule formation distributed homogenously throughout the bioprinted construct. This study demonstrated that strontium-based nanocomposite bioinks optimised for extrusion-based 3D bioprinting of osteoconductive scaffolds support long-term shape retention with promising potential for bone tissue regeneration.","author":[{"dropping-particle":"","family":"Alcala-Orozco","given":"Cesar R.","non-dropping-particle":"","parse-names":false,"suffix":""},{"dropping-particle":"","family":"Mutreja","given":"Isha","non-dropping-particle":"","parse-names":false,"suffix":""},{"dropping-particle":"","family":"Cui","given":"Xiaolin","non-dropping-particle":"","parse-names":false,"suffix":""},{"dropping-particle":"","family":"Kumar","given":"Dhiraj","non-dropping-particle":"","parse-names":false,"suffix":""},{"dropping-particle":"","family":"Hooper","given":"Gary J.","non-dropping-particle":"","parse-names":false,"suffix":""},{"dropping-particle":"","family":"Lim","given":"Khoon S.","non-dropping-particle":"","parse-names":false,"suffix":""},{"dropping-particle":"","family":"Woodfield","given":"Tim B.F.","non-dropping-particle":"","parse-names":false,"suffix":""}],"container-title":"Bioprinting","id":"ITEM-3","issued":{"date-parts":[["2020","6"]]},"page":"e00073","title":"Design and characterisation of multi-functional strontium-gelatin nanocomposite bioinks with improved print fidelity and osteogenic capacity","type":"article-journal","volume":"18"},"uris":["http://www.mendeley.com/documents/?uuid=56930c07-d480-3804-9974-d1947da4bdbb"]},{"id":"ITEM-4","itemData":{"ISSN":"8756-3282","author":[{"dropping-particle":"","family":"Alcala-Orozco","given":"Cesar R","non-dropping-particle":"","parse-names":false,"suffix":""},{"dropping-particle":"","family":"Mutreja","given":"Isha","non-dropping-particle":"","parse-names":false,"suffix":""},{"dropping-particle":"","family":"Cui","given":"Xiaolin","non-dropping-particle":"","parse-names":false,"suffix":""},{"dropping-particle":"","family":"Hooper","given":"Gary J","non-dropping-particle":"","parse-names":false,"suffix":""},{"dropping-particle":"","family":"Lim","given":"Khoon S","non-dropping-particle":"","parse-names":false,"suffix":""},{"dropping-particle":"","family":"Woodfield","given":"Tim B F","non-dropping-particle":"","parse-names":false,"suffix":""}],"container-title":"Bone","id":"ITEM-4","issued":{"date-parts":[["2022"]]},"page":"116198","publisher":"Elsevier","title":"Hybrid biofabrication of 3D osteoconductive constructs comprising Mg-based nanocomposites and cell-laden bioinks for bone repair","type":"article-journal","volume":"154"},"uris":["http://www.mendeley.com/documents/?uuid=9d3b97af-9c7d-4ea4-b015-d02b3c14b66f"]}],"mendeley":{"formattedCitation":"[25,51–53]","plainTextFormattedCitation":"[25,51–53]","previouslyFormattedCitation":"&lt;span style=\"baseline\"&gt;[25],[51]–[53]&lt;/span&gt;"},"properties":{"noteIndex":0},"schema":"https://github.com/citation-style-language/schema/raw/master/csl-citation.json"}</w:instrText>
            </w:r>
            <w:r w:rsidRPr="00777855">
              <w:fldChar w:fldCharType="separate"/>
            </w:r>
            <w:r w:rsidRPr="00777855">
              <w:rPr>
                <w:noProof/>
              </w:rPr>
              <w:t>[25,51</w:t>
            </w:r>
            <w:r w:rsidR="0091207F">
              <w:rPr>
                <w:noProof/>
              </w:rPr>
              <w:t>–</w:t>
            </w:r>
            <w:r w:rsidRPr="00777855">
              <w:rPr>
                <w:noProof/>
              </w:rPr>
              <w:t>53]</w:t>
            </w:r>
            <w:r w:rsidRPr="00777855">
              <w:fldChar w:fldCharType="end"/>
            </w:r>
          </w:p>
        </w:tc>
      </w:tr>
      <w:tr w:rsidR="00E20360" w:rsidRPr="00777855" w14:paraId="5A3B3B80" w14:textId="77777777" w:rsidTr="00777855">
        <w:tc>
          <w:tcPr>
            <w:tcW w:w="2094" w:type="dxa"/>
            <w:tcBorders>
              <w:bottom w:val="single" w:sz="8" w:space="0" w:color="auto"/>
            </w:tcBorders>
            <w:shd w:val="clear" w:color="auto" w:fill="auto"/>
            <w:vAlign w:val="center"/>
          </w:tcPr>
          <w:p w14:paraId="695AA8CA" w14:textId="70706A63" w:rsidR="00E20360" w:rsidRPr="00777855" w:rsidRDefault="00E20360" w:rsidP="00777855">
            <w:pPr>
              <w:pStyle w:val="MDPI42tablebody"/>
              <w:autoSpaceDE w:val="0"/>
              <w:autoSpaceDN w:val="0"/>
              <w:spacing w:line="240" w:lineRule="auto"/>
            </w:pPr>
            <w:r w:rsidRPr="00777855">
              <w:t>Riboflavin</w:t>
            </w:r>
          </w:p>
        </w:tc>
        <w:tc>
          <w:tcPr>
            <w:tcW w:w="4733" w:type="dxa"/>
            <w:tcBorders>
              <w:bottom w:val="single" w:sz="8" w:space="0" w:color="auto"/>
            </w:tcBorders>
            <w:shd w:val="clear" w:color="auto" w:fill="auto"/>
            <w:vAlign w:val="center"/>
          </w:tcPr>
          <w:p w14:paraId="560A42B8" w14:textId="0E7DB965" w:rsidR="00E20360" w:rsidRPr="00777855" w:rsidRDefault="00E20360" w:rsidP="00777855">
            <w:pPr>
              <w:pStyle w:val="MDPI42tablebody"/>
              <w:autoSpaceDE w:val="0"/>
              <w:autoSpaceDN w:val="0"/>
              <w:spacing w:line="240" w:lineRule="auto"/>
            </w:pPr>
            <w:r w:rsidRPr="00777855">
              <w:t xml:space="preserve">Improved viability and expression of late osteogenic markers </w:t>
            </w:r>
            <w:r w:rsidR="00CE545A">
              <w:t>such as</w:t>
            </w:r>
            <w:r w:rsidR="00CE545A" w:rsidRPr="00777855">
              <w:t xml:space="preserve"> </w:t>
            </w:r>
            <w:r w:rsidR="007F4BF2" w:rsidRPr="00777855">
              <w:t>osteocalcin</w:t>
            </w:r>
            <w:r w:rsidRPr="00777855">
              <w:t xml:space="preserve"> of KUSA-1 (murine bone </w:t>
            </w:r>
            <w:r w:rsidR="00CE545A" w:rsidRPr="00777855">
              <w:t>marrow</w:t>
            </w:r>
            <w:r w:rsidR="00CE545A">
              <w:t>-</w:t>
            </w:r>
            <w:r w:rsidRPr="00777855">
              <w:t xml:space="preserve">derived MSCs committed towards osteocyte differentiation) in 20% </w:t>
            </w:r>
            <w:proofErr w:type="spellStart"/>
            <w:r w:rsidRPr="00777855">
              <w:t>GelMA</w:t>
            </w:r>
            <w:proofErr w:type="spellEnd"/>
            <w:r w:rsidRPr="00777855">
              <w:t xml:space="preserve"> crosslinked with riboflavin relative to hydrogels crosslinked using </w:t>
            </w:r>
            <w:proofErr w:type="spellStart"/>
            <w:r w:rsidRPr="00777855">
              <w:t>Irgacure</w:t>
            </w:r>
            <w:proofErr w:type="spellEnd"/>
            <w:r w:rsidRPr="00777855">
              <w:t xml:space="preserve"> I-2959</w:t>
            </w:r>
            <w:r w:rsidR="00CE545A">
              <w:t>.</w:t>
            </w:r>
          </w:p>
        </w:tc>
        <w:tc>
          <w:tcPr>
            <w:tcW w:w="1055" w:type="dxa"/>
            <w:tcBorders>
              <w:bottom w:val="single" w:sz="8" w:space="0" w:color="auto"/>
            </w:tcBorders>
            <w:shd w:val="clear" w:color="auto" w:fill="auto"/>
            <w:vAlign w:val="center"/>
          </w:tcPr>
          <w:p w14:paraId="62AE77EA" w14:textId="71EF4193" w:rsidR="00E20360" w:rsidRPr="00777855" w:rsidRDefault="00E20360" w:rsidP="00777855">
            <w:pPr>
              <w:pStyle w:val="MDPI42tablebody"/>
              <w:autoSpaceDE w:val="0"/>
              <w:autoSpaceDN w:val="0"/>
              <w:spacing w:line="240" w:lineRule="auto"/>
            </w:pPr>
            <w:r w:rsidRPr="00777855">
              <w:fldChar w:fldCharType="begin" w:fldLock="1"/>
            </w:r>
            <w:r w:rsidRPr="00777855">
              <w:instrText>ADDIN CSL_CITATION {"citationItems":[{"id":"ITEM-1","itemData":{"DOI":"10.3390/ijms22041635","ISSN":"1422-0067","abstract":"Gelatin methacryloyl (GelMA) is a versatile biomaterial that has been used in various biomedical fields. UV light is commonly used to photocrosslink such materials; however, its use has raised several biosafety concerns. We investigated the mechanical and biological properties of a visible-wavelength (VW)-light-crosslinked gelatin-based hydrogel to evaluate its viability as a scaffold for bone regeneration in bone-destructive disease treatment. Irgacure2959 or riboflavin was added as a photoinitiator to create GelMA solutions. GelMA solutions were poured into a mold and exposed to either UV or VW light. KUSA-A1 cell-laden GelMA hydrogels were crosslinked and then cultured. Mechanical characterization revealed that the stiffness range of GelMA-RF hydrogel was suitable for osteoblast differentiation. KUSA-A1 cells encapsulated in GelMA hydrogels photopolymerized with VW light displayed significantly higher cell viability than cells encapsulated in hydrogels photopolymerized with UV light. We also show that the expression of osteogenesis-related genes at a late stage of osteoblast differentiation in osteoblasts encapsulated in GelMA-RF hydrogel was markedly increased under osteoblast differentiation-inducing conditions. The GelMA-RF hydrogel served as an excellent scaffold for the encapsulation of osteoblasts. GelMA-RF hydrogel-encapsulated osteoblasts have the potential not only to help regenerate bone mass but also to treat complex bone defects associated with bone-destructive diseases such as periodontitis.","author":[{"dropping-particle":"","family":"Goto","given":"Ryoma","non-dropping-particle":"","parse-names":false,"suffix":""},{"dropping-particle":"","family":"Nishida","given":"Eisaku","non-dropping-particle":"","parse-names":false,"suffix":""},{"dropping-particle":"","family":"Kobayashi","given":"Shuichiro","non-dropping-particle":"","parse-names":false,"suffix":""},{"dropping-particle":"","family":"Aino","given":"Makoto","non-dropping-particle":"","parse-names":false,"suffix":""},{"dropping-particle":"","family":"Ohno","given":"Tasuku","non-dropping-particle":"","parse-names":false,"suffix":""},{"dropping-particle":"","family":"Iwamura","given":"Yuki","non-dropping-particle":"","parse-names":false,"suffix":""},{"dropping-particle":"","family":"Kikuchi","given":"Takeshi","non-dropping-particle":"","parse-names":false,"suffix":""},{"dropping-particle":"","family":"Hayashi","given":"Jun-Ichiro","non-dropping-particle":"","parse-names":false,"suffix":""},{"dropping-particle":"","family":"Yamamoto","given":"Genta","non-dropping-particle":"","parse-names":false,"suffix":""},{"dropping-particle":"","family":"Asakura","given":"Masaki","non-dropping-particle":"","parse-names":false,"suffix":""},{"dropping-particle":"","family":"Mitani","given":"Akio","non-dropping-particle":"","parse-names":false,"suffix":""}],"container-title":"International journal of molecular sciences","id":"ITEM-1","issue":"4","issued":{"date-parts":[["2021","2","6"]]},"language":"eng","page":"1635","publisher":"MDPI","title":"Gelatin Methacryloyl-Riboflavin (GelMA-RF) Hydrogels for Bone Regeneration","type":"article-journal","volume":"22"},"uris":["http://www.mendeley.com/documents/?uuid=867a5f38-0476-4e60-b733-4093a26eac18"]}],"mendeley":{"formattedCitation":"[54]","plainTextFormattedCitation":"[54]","previouslyFormattedCitation":"&lt;span style=\"baseline\"&gt;[54]&lt;/span&gt;"},"properties":{"noteIndex":0},"schema":"https://github.com/citation-style-language/schema/raw/master/csl-citation.json"}</w:instrText>
            </w:r>
            <w:r w:rsidRPr="00777855">
              <w:fldChar w:fldCharType="separate"/>
            </w:r>
            <w:r w:rsidRPr="00777855">
              <w:rPr>
                <w:noProof/>
              </w:rPr>
              <w:t>[54]</w:t>
            </w:r>
            <w:r w:rsidRPr="00777855">
              <w:fldChar w:fldCharType="end"/>
            </w:r>
          </w:p>
        </w:tc>
      </w:tr>
    </w:tbl>
    <w:p w14:paraId="5AE4DF5C" w14:textId="3DB53F47" w:rsidR="00583482" w:rsidRPr="00777855" w:rsidRDefault="00777855" w:rsidP="00777855">
      <w:pPr>
        <w:pStyle w:val="MDPI22heading2"/>
        <w:spacing w:before="240"/>
      </w:pPr>
      <w:r w:rsidRPr="00777855">
        <w:t xml:space="preserve">2.4. </w:t>
      </w:r>
      <w:r w:rsidR="00583482" w:rsidRPr="00777855">
        <w:t xml:space="preserve">GelMA Nanocomposites </w:t>
      </w:r>
    </w:p>
    <w:p w14:paraId="7ABED6EC" w14:textId="08D1201B" w:rsidR="00E20360" w:rsidRDefault="00821EA5" w:rsidP="00777855">
      <w:pPr>
        <w:pStyle w:val="MDPI31text"/>
      </w:pPr>
      <w:proofErr w:type="spellStart"/>
      <w:r>
        <w:t>GelMA</w:t>
      </w:r>
      <w:proofErr w:type="spellEnd"/>
      <w:r>
        <w:t xml:space="preserve"> nanocomposites are </w:t>
      </w:r>
      <w:r w:rsidR="00583482" w:rsidRPr="00583482">
        <w:t xml:space="preserve">hybrid hydrogels with nanomaterials dispersed within the hydrogel matrix to improve </w:t>
      </w:r>
      <w:r w:rsidR="00CE545A">
        <w:t xml:space="preserve">the </w:t>
      </w:r>
      <w:r w:rsidR="00583482" w:rsidRPr="00583482">
        <w:t xml:space="preserve">mechanical, </w:t>
      </w:r>
      <w:proofErr w:type="gramStart"/>
      <w:r w:rsidR="00583482" w:rsidRPr="00583482">
        <w:t>rheological</w:t>
      </w:r>
      <w:proofErr w:type="gramEnd"/>
      <w:r w:rsidR="00583482" w:rsidRPr="00583482">
        <w:t xml:space="preserve"> and biological performance of </w:t>
      </w:r>
      <w:proofErr w:type="spellStart"/>
      <w:r w:rsidR="00583482" w:rsidRPr="00583482">
        <w:t>GelMA</w:t>
      </w:r>
      <w:proofErr w:type="spellEnd"/>
      <w:r w:rsidR="00583482" w:rsidRPr="00583482">
        <w:t xml:space="preserve">, different nanomaterials have been included and their effect investigated over </w:t>
      </w:r>
      <w:r w:rsidR="00583482" w:rsidRPr="00626BFF">
        <w:rPr>
          <w:color w:val="auto"/>
        </w:rPr>
        <w:t>years [</w:t>
      </w:r>
      <w:r w:rsidR="003901BC" w:rsidRPr="00626BFF">
        <w:rPr>
          <w:color w:val="auto"/>
        </w:rPr>
        <w:t>34</w:t>
      </w:r>
      <w:r w:rsidR="00583482" w:rsidRPr="00626BFF">
        <w:rPr>
          <w:color w:val="auto"/>
        </w:rPr>
        <w:t xml:space="preserve">]. Different </w:t>
      </w:r>
      <w:r w:rsidR="00583482" w:rsidRPr="00583482">
        <w:t xml:space="preserve">nanofillers have been utilized which include minerals </w:t>
      </w:r>
      <w:r w:rsidR="00CE545A">
        <w:t xml:space="preserve">such as </w:t>
      </w:r>
      <w:r w:rsidR="00583482" w:rsidRPr="00583482">
        <w:t xml:space="preserve">hydroxyapatite, </w:t>
      </w:r>
      <w:proofErr w:type="gramStart"/>
      <w:r w:rsidR="00583482" w:rsidRPr="00583482">
        <w:t>silicates</w:t>
      </w:r>
      <w:proofErr w:type="gramEnd"/>
      <w:r w:rsidR="00583482" w:rsidRPr="00583482">
        <w:t xml:space="preserve"> </w:t>
      </w:r>
      <w:r w:rsidR="00CE545A">
        <w:t>and</w:t>
      </w:r>
      <w:r w:rsidR="00583482" w:rsidRPr="00583482">
        <w:t xml:space="preserve"> metal-based nanostructures. </w:t>
      </w:r>
      <w:r w:rsidR="00CE545A">
        <w:t>The i</w:t>
      </w:r>
      <w:r w:rsidR="00CE545A" w:rsidRPr="00583482">
        <w:t xml:space="preserve">nclusion </w:t>
      </w:r>
      <w:r w:rsidR="00583482" w:rsidRPr="00583482">
        <w:t xml:space="preserve">of these nanostructures </w:t>
      </w:r>
      <w:r>
        <w:t>provides</w:t>
      </w:r>
      <w:r w:rsidR="00583482" w:rsidRPr="00583482">
        <w:t xml:space="preserve"> a multifunctional platform and depending on the nature of the nano-system used, enhanced hydrogel bioactivity</w:t>
      </w:r>
      <w:r w:rsidR="00CE545A">
        <w:t>,</w:t>
      </w:r>
      <w:r w:rsidR="00583482" w:rsidRPr="00583482">
        <w:t xml:space="preserve"> along with cargo delivery</w:t>
      </w:r>
      <w:r w:rsidR="00CE545A">
        <w:t>,</w:t>
      </w:r>
      <w:r w:rsidR="00583482" w:rsidRPr="00583482">
        <w:t xml:space="preserve"> can be achieved. The chemical similarity between hydroxyapatite and </w:t>
      </w:r>
      <w:r w:rsidR="00B430D8">
        <w:t xml:space="preserve">the </w:t>
      </w:r>
      <w:r w:rsidR="00583482" w:rsidRPr="00583482">
        <w:t xml:space="preserve">mineral component of bone has made hydroxyapatite and/or calcium phosphate nanostructures one of the </w:t>
      </w:r>
      <w:r>
        <w:t xml:space="preserve">most </w:t>
      </w:r>
      <w:r w:rsidR="00583482" w:rsidRPr="00583482">
        <w:t>extensively investigate</w:t>
      </w:r>
      <w:r w:rsidR="00B430D8">
        <w:t>d</w:t>
      </w:r>
      <w:r w:rsidR="00583482" w:rsidRPr="00583482">
        <w:t xml:space="preserve"> nanocomposites. Several reports have demonstrated </w:t>
      </w:r>
      <w:r>
        <w:t xml:space="preserve">a degree of </w:t>
      </w:r>
      <w:r w:rsidR="00583482" w:rsidRPr="00583482">
        <w:t xml:space="preserve">mechanical reinforcement of the otherwise soft hydrogel along with improved osteogenic differentiation of bone-precursor cells indicating improved bioactivity both </w:t>
      </w:r>
      <w:r w:rsidR="00583482" w:rsidRPr="005D1E78">
        <w:t>in vitro</w:t>
      </w:r>
      <w:r w:rsidR="00583482" w:rsidRPr="00583482">
        <w:t xml:space="preserve"> [5</w:t>
      </w:r>
      <w:r w:rsidR="003901BC">
        <w:t>5</w:t>
      </w:r>
      <w:r w:rsidR="00583482" w:rsidRPr="00583482">
        <w:t>,5</w:t>
      </w:r>
      <w:r w:rsidR="003901BC">
        <w:t>6</w:t>
      </w:r>
      <w:r w:rsidR="00583482" w:rsidRPr="00583482">
        <w:t xml:space="preserve">] and </w:t>
      </w:r>
      <w:r w:rsidR="00583482" w:rsidRPr="005D1E78">
        <w:t xml:space="preserve">in </w:t>
      </w:r>
      <w:r w:rsidR="00583482" w:rsidRPr="005D1E78">
        <w:lastRenderedPageBreak/>
        <w:t>vivo</w:t>
      </w:r>
      <w:r w:rsidR="00583482" w:rsidRPr="00583482">
        <w:t xml:space="preserve"> [5</w:t>
      </w:r>
      <w:r w:rsidR="003901BC">
        <w:t>5</w:t>
      </w:r>
      <w:r w:rsidR="00583482" w:rsidRPr="00583482">
        <w:t>,5</w:t>
      </w:r>
      <w:r w:rsidR="003901BC">
        <w:t>7</w:t>
      </w:r>
      <w:r w:rsidR="00583482" w:rsidRPr="00583482">
        <w:t>,5</w:t>
      </w:r>
      <w:r w:rsidR="003901BC">
        <w:t>8</w:t>
      </w:r>
      <w:r w:rsidR="00583482" w:rsidRPr="00583482">
        <w:t xml:space="preserve">]. Another study investigated the effect of incorporating biomimetically coated hydroxyapatite nanofibers (HANFs) with ultrahigh aspect ratio within </w:t>
      </w:r>
      <w:proofErr w:type="spellStart"/>
      <w:r w:rsidR="00583482" w:rsidRPr="00583482">
        <w:t>GelMA</w:t>
      </w:r>
      <w:proofErr w:type="spellEnd"/>
      <w:r w:rsidR="00583482" w:rsidRPr="00583482">
        <w:t xml:space="preserve"> and reported that the incorporation of 1.5 </w:t>
      </w:r>
      <w:proofErr w:type="spellStart"/>
      <w:r w:rsidR="00583482" w:rsidRPr="00583482">
        <w:t>wt</w:t>
      </w:r>
      <w:proofErr w:type="spellEnd"/>
      <w:r w:rsidR="00583482" w:rsidRPr="00583482">
        <w:t>% of these nanostructures (15m-HANFs/</w:t>
      </w:r>
      <w:proofErr w:type="spellStart"/>
      <w:r w:rsidR="00583482" w:rsidRPr="00583482">
        <w:t>GelMA</w:t>
      </w:r>
      <w:proofErr w:type="spellEnd"/>
      <w:r w:rsidR="00583482" w:rsidRPr="00583482">
        <w:t xml:space="preserve">) </w:t>
      </w:r>
      <w:r w:rsidR="00B430D8">
        <w:t>produced the</w:t>
      </w:r>
      <w:r w:rsidR="00B430D8" w:rsidRPr="00583482">
        <w:t xml:space="preserve"> </w:t>
      </w:r>
      <w:r w:rsidR="00583482" w:rsidRPr="00583482">
        <w:t xml:space="preserve">best bone </w:t>
      </w:r>
      <w:r w:rsidR="00583482" w:rsidRPr="00784006">
        <w:t>regeneration in vivo.</w:t>
      </w:r>
      <w:r w:rsidR="00583482" w:rsidRPr="00583482">
        <w:t xml:space="preserve"> The authors highlighted that even though </w:t>
      </w:r>
      <w:r w:rsidR="00B430D8">
        <w:t xml:space="preserve">the </w:t>
      </w:r>
      <w:r w:rsidR="00583482" w:rsidRPr="00583482">
        <w:t xml:space="preserve">incorporation of 2.5 </w:t>
      </w:r>
      <w:proofErr w:type="spellStart"/>
      <w:r w:rsidR="00583482" w:rsidRPr="00583482">
        <w:t>wt</w:t>
      </w:r>
      <w:proofErr w:type="spellEnd"/>
      <w:r w:rsidR="00583482" w:rsidRPr="00583482">
        <w:t xml:space="preserve">% of HANFs significantly improved the mechanical properties </w:t>
      </w:r>
      <w:r w:rsidR="00583482" w:rsidRPr="00784006">
        <w:t xml:space="preserve">and in vitro performance of MC3T3s, it was 1.5 </w:t>
      </w:r>
      <w:proofErr w:type="spellStart"/>
      <w:r w:rsidR="00583482" w:rsidRPr="00784006">
        <w:t>wt</w:t>
      </w:r>
      <w:proofErr w:type="spellEnd"/>
      <w:r w:rsidR="00583482" w:rsidRPr="00784006">
        <w:t xml:space="preserve">% HANFs that </w:t>
      </w:r>
      <w:r w:rsidR="00B430D8">
        <w:t>produced the best</w:t>
      </w:r>
      <w:r w:rsidR="00B430D8" w:rsidRPr="00784006">
        <w:t xml:space="preserve"> </w:t>
      </w:r>
      <w:r w:rsidR="00583482" w:rsidRPr="00784006">
        <w:t xml:space="preserve">new bone formation in vivo. </w:t>
      </w:r>
      <w:r w:rsidRPr="00784006">
        <w:t>The</w:t>
      </w:r>
      <w:r>
        <w:t xml:space="preserve"> authors </w:t>
      </w:r>
      <w:r w:rsidR="00583482" w:rsidRPr="00583482">
        <w:t xml:space="preserve">suggested that the discrepancy in the </w:t>
      </w:r>
      <w:r w:rsidR="00583482" w:rsidRPr="00784006">
        <w:t>in vitro and in vivo results could be related to the hydrogel network structure which could influence</w:t>
      </w:r>
      <w:r w:rsidR="00583482" w:rsidRPr="00583482">
        <w:t xml:space="preserve"> the nanocomposite swelling and degradation profile</w:t>
      </w:r>
      <w:r w:rsidR="00B430D8">
        <w:t>,</w:t>
      </w:r>
      <w:r w:rsidR="00583482" w:rsidRPr="00583482">
        <w:t xml:space="preserve"> thus affecting the bone regenerative effect [</w:t>
      </w:r>
      <w:r w:rsidR="003901BC">
        <w:t>59]</w:t>
      </w:r>
      <w:r w:rsidR="00583482" w:rsidRPr="00583482">
        <w:t>. Silicate</w:t>
      </w:r>
      <w:r w:rsidR="00B430D8">
        <w:t>-</w:t>
      </w:r>
      <w:r w:rsidR="00583482" w:rsidRPr="00583482">
        <w:t>based nanomaterials</w:t>
      </w:r>
      <w:r w:rsidR="00B430D8">
        <w:t>,</w:t>
      </w:r>
      <w:r w:rsidR="00583482" w:rsidRPr="00583482">
        <w:t xml:space="preserve"> especially synthetic silicate</w:t>
      </w:r>
      <w:r w:rsidR="00B430D8">
        <w:t>s</w:t>
      </w:r>
      <w:r w:rsidR="00583482" w:rsidRPr="00583482">
        <w:t xml:space="preserve"> </w:t>
      </w:r>
      <w:r w:rsidR="00B430D8">
        <w:t>such as</w:t>
      </w:r>
      <w:r w:rsidR="00B430D8" w:rsidRPr="00583482">
        <w:t xml:space="preserve"> </w:t>
      </w:r>
      <w:r w:rsidR="00583482" w:rsidRPr="00583482">
        <w:t>Laponite® or nano clay</w:t>
      </w:r>
      <w:r w:rsidR="00B430D8">
        <w:t>,</w:t>
      </w:r>
      <w:r w:rsidR="00583482" w:rsidRPr="00583482">
        <w:t xml:space="preserve"> have also been investigated both for improving hydrogels</w:t>
      </w:r>
      <w:r w:rsidR="00B430D8">
        <w:t>'</w:t>
      </w:r>
      <w:r w:rsidR="00583482" w:rsidRPr="00583482">
        <w:t xml:space="preserve"> mechanical and rheological properties but also for enhancing the biological </w:t>
      </w:r>
      <w:r w:rsidR="00583482" w:rsidRPr="00784006">
        <w:t xml:space="preserve">activity of biocompatible but bioinert hydrogels. Several studies </w:t>
      </w:r>
      <w:r w:rsidRPr="00784006">
        <w:t xml:space="preserve">have </w:t>
      </w:r>
      <w:r w:rsidR="00583482" w:rsidRPr="00784006">
        <w:t xml:space="preserve">highlighted that </w:t>
      </w:r>
      <w:r w:rsidR="00B430D8">
        <w:t xml:space="preserve">the </w:t>
      </w:r>
      <w:r w:rsidR="00583482" w:rsidRPr="00784006">
        <w:t xml:space="preserve">incorporation of </w:t>
      </w:r>
      <w:r w:rsidR="00B430D8" w:rsidRPr="00784006">
        <w:t>th</w:t>
      </w:r>
      <w:r w:rsidR="00B430D8">
        <w:t>ese</w:t>
      </w:r>
      <w:r w:rsidR="00B430D8" w:rsidRPr="00784006">
        <w:t xml:space="preserve"> </w:t>
      </w:r>
      <w:r w:rsidR="00583482" w:rsidRPr="00784006">
        <w:t>smectite nanomaterials supported osteogenic differentiation of bone-precursor cells in vitro but was also biocompatible in an immune-competent rat model in vivo [6</w:t>
      </w:r>
      <w:r w:rsidR="003901BC">
        <w:t>0</w:t>
      </w:r>
      <w:r w:rsidR="00583482" w:rsidRPr="00784006">
        <w:t>,6</w:t>
      </w:r>
      <w:r w:rsidR="003901BC">
        <w:t>1</w:t>
      </w:r>
      <w:r w:rsidR="00583482" w:rsidRPr="00784006">
        <w:t>].</w:t>
      </w:r>
      <w:r w:rsidR="00583482" w:rsidRPr="00583482">
        <w:t xml:space="preserve"> Additionally, </w:t>
      </w:r>
      <w:r>
        <w:t xml:space="preserve">the </w:t>
      </w:r>
      <w:proofErr w:type="spellStart"/>
      <w:r>
        <w:t>nanoclays</w:t>
      </w:r>
      <w:proofErr w:type="spellEnd"/>
      <w:r>
        <w:t xml:space="preserve">’ </w:t>
      </w:r>
      <w:r w:rsidR="00B430D8">
        <w:t xml:space="preserve">large and </w:t>
      </w:r>
      <w:r>
        <w:t xml:space="preserve">highly </w:t>
      </w:r>
      <w:r w:rsidR="00583482" w:rsidRPr="00583482">
        <w:t xml:space="preserve">ionic surface area </w:t>
      </w:r>
      <w:r w:rsidR="00B430D8">
        <w:t>allows</w:t>
      </w:r>
      <w:r w:rsidR="00B430D8" w:rsidRPr="00583482">
        <w:t xml:space="preserve"> </w:t>
      </w:r>
      <w:r w:rsidR="00583482" w:rsidRPr="00583482">
        <w:t xml:space="preserve">these nanostructures </w:t>
      </w:r>
      <w:r w:rsidR="00B430D8">
        <w:t xml:space="preserve">to be used as a </w:t>
      </w:r>
      <w:r w:rsidR="00583482" w:rsidRPr="00583482">
        <w:t xml:space="preserve">drug/growth factor delivery system. A recent study </w:t>
      </w:r>
      <w:r w:rsidR="00583482" w:rsidRPr="00AB3869">
        <w:t>harnessed this capability and used the laponite-</w:t>
      </w:r>
      <w:proofErr w:type="spellStart"/>
      <w:r w:rsidR="00583482" w:rsidRPr="00AB3869">
        <w:t>GelMA</w:t>
      </w:r>
      <w:proofErr w:type="spellEnd"/>
      <w:r w:rsidR="00583482" w:rsidRPr="00AB3869">
        <w:t xml:space="preserve"> nanocomposite for localized vascular endothelial growth factor delivery to stimulate vascular integration in an ex vivo </w:t>
      </w:r>
      <w:proofErr w:type="spellStart"/>
      <w:r w:rsidR="00583482" w:rsidRPr="00AB3869">
        <w:t>chorioallantoic</w:t>
      </w:r>
      <w:proofErr w:type="spellEnd"/>
      <w:r w:rsidR="00583482" w:rsidRPr="00AB3869">
        <w:t xml:space="preserve"> membrane assay. </w:t>
      </w:r>
      <w:r w:rsidR="007F4BF2" w:rsidRPr="00AB3869">
        <w:t>Furthermore</w:t>
      </w:r>
      <w:r w:rsidRPr="00AB3869">
        <w:t>, t</w:t>
      </w:r>
      <w:r w:rsidR="00583482" w:rsidRPr="00AB3869">
        <w:t xml:space="preserve">he nanofillers also improved the </w:t>
      </w:r>
      <w:proofErr w:type="spellStart"/>
      <w:r w:rsidR="00583482" w:rsidRPr="00AB3869">
        <w:t>biofabrication</w:t>
      </w:r>
      <w:proofErr w:type="spellEnd"/>
      <w:r w:rsidR="00583482" w:rsidRPr="00AB3869">
        <w:t xml:space="preserve"> window of </w:t>
      </w:r>
      <w:proofErr w:type="spellStart"/>
      <w:r w:rsidR="00583482" w:rsidRPr="00AB3869">
        <w:t>GelMA</w:t>
      </w:r>
      <w:proofErr w:type="spellEnd"/>
      <w:r w:rsidR="00583482" w:rsidRPr="00AB3869">
        <w:t xml:space="preserve"> </w:t>
      </w:r>
      <w:proofErr w:type="spellStart"/>
      <w:r w:rsidR="00583482" w:rsidRPr="00AB3869">
        <w:t>bioink</w:t>
      </w:r>
      <w:proofErr w:type="spellEnd"/>
      <w:r w:rsidR="00583482" w:rsidRPr="00AB3869">
        <w:t xml:space="preserve"> and </w:t>
      </w:r>
      <w:r w:rsidR="00B430D8" w:rsidRPr="00AB3869">
        <w:t xml:space="preserve">supported </w:t>
      </w:r>
      <w:r w:rsidR="00583482" w:rsidRPr="00AB3869">
        <w:t>osteogenic differentiation of stem cells under basal growth conditions [51]. There are some other nanomaterials</w:t>
      </w:r>
      <w:r w:rsidR="00B430D8" w:rsidRPr="00AB3869">
        <w:t>,</w:t>
      </w:r>
      <w:r w:rsidR="00583482" w:rsidRPr="00AB3869">
        <w:t xml:space="preserve"> </w:t>
      </w:r>
      <w:r w:rsidR="00B430D8" w:rsidRPr="00AB3869">
        <w:t xml:space="preserve">such as </w:t>
      </w:r>
      <w:r w:rsidR="00583482" w:rsidRPr="00AB3869">
        <w:t>bioactive glass [6</w:t>
      </w:r>
      <w:r w:rsidR="003901BC" w:rsidRPr="00AB3869">
        <w:t>2</w:t>
      </w:r>
      <w:r w:rsidR="00583482" w:rsidRPr="00AB3869">
        <w:t>], graphene oxide [6</w:t>
      </w:r>
      <w:r w:rsidR="007751A4" w:rsidRPr="00AB3869">
        <w:t>3</w:t>
      </w:r>
      <w:r w:rsidR="00583482" w:rsidRPr="00AB3869">
        <w:t>],</w:t>
      </w:r>
      <w:r w:rsidR="00583482" w:rsidRPr="00583482">
        <w:t xml:space="preserve"> gold nanoparticles [6</w:t>
      </w:r>
      <w:r w:rsidR="003901BC">
        <w:t>4</w:t>
      </w:r>
      <w:r w:rsidR="00583482" w:rsidRPr="00583482">
        <w:t>], strontium carbonate [52] and cerium oxide [6</w:t>
      </w:r>
      <w:r w:rsidR="003901BC">
        <w:t>5</w:t>
      </w:r>
      <w:r w:rsidR="00583482" w:rsidRPr="00583482">
        <w:t xml:space="preserve">] which have also been used for leveraging the bioactivity of these nanostructures for bone tissue engineering application. The utilization of different nanomaterials for preparing nanocomposites is still in its infancy and there are several factors that need to be considered. One such factor is the capability of maximizing the utilization of these nanostructures for beneficial outcomes without causing </w:t>
      </w:r>
      <w:r w:rsidR="00B430D8" w:rsidRPr="00583482">
        <w:t>long</w:t>
      </w:r>
      <w:r w:rsidR="00B430D8">
        <w:t>-</w:t>
      </w:r>
      <w:r w:rsidR="00583482" w:rsidRPr="00583482">
        <w:t>term detrimental effects associated with nanomaterial toxicity. Also, efforts are being made to improve the nanofiller dispersion within the hydrogel matrix for developing composites with high filler contents and superior mechanical and biological properties [6</w:t>
      </w:r>
      <w:r w:rsidR="003901BC">
        <w:t>6</w:t>
      </w:r>
      <w:r w:rsidR="00583482" w:rsidRPr="00583482">
        <w:t>].</w:t>
      </w:r>
    </w:p>
    <w:p w14:paraId="2731CD43" w14:textId="66AA1A8B" w:rsidR="00275734" w:rsidRDefault="00777855" w:rsidP="00777855">
      <w:pPr>
        <w:pStyle w:val="MDPI21heading1"/>
      </w:pPr>
      <w:r>
        <w:t xml:space="preserve">3. </w:t>
      </w:r>
      <w:r w:rsidR="00A3718F" w:rsidRPr="00A3718F">
        <w:t xml:space="preserve">Applications of </w:t>
      </w:r>
      <w:proofErr w:type="spellStart"/>
      <w:r w:rsidR="00A3718F" w:rsidRPr="00A3718F">
        <w:t>GelMA</w:t>
      </w:r>
      <w:proofErr w:type="spellEnd"/>
      <w:r w:rsidR="00A3718F" w:rsidRPr="00A3718F">
        <w:t xml:space="preserve"> with a focus on musculoskeletal regeneration</w:t>
      </w:r>
    </w:p>
    <w:p w14:paraId="51F3C27B" w14:textId="4C5EACB5" w:rsidR="00A3718F" w:rsidRPr="00777855" w:rsidRDefault="00777855" w:rsidP="00777855">
      <w:pPr>
        <w:pStyle w:val="MDPI22heading2"/>
      </w:pPr>
      <w:r w:rsidRPr="00777855">
        <w:t xml:space="preserve">3.1. </w:t>
      </w:r>
      <w:r w:rsidR="00A3718F" w:rsidRPr="00777855">
        <w:t>Drug/growth factor delivery</w:t>
      </w:r>
    </w:p>
    <w:p w14:paraId="2C205D5E" w14:textId="7C38DFFD" w:rsidR="00E20360" w:rsidRPr="00B034B0" w:rsidRDefault="00E20360" w:rsidP="00777855">
      <w:pPr>
        <w:pStyle w:val="MDPI31text"/>
        <w:rPr>
          <w:color w:val="auto"/>
        </w:rPr>
      </w:pPr>
      <w:r>
        <w:t xml:space="preserve">Drug delivery system strategies have been extensively employed in tissue regeneration. Gelatin-based hydrogels are </w:t>
      </w:r>
      <w:r w:rsidRPr="00B034B0">
        <w:rPr>
          <w:color w:val="auto"/>
        </w:rPr>
        <w:t>recogni</w:t>
      </w:r>
      <w:r w:rsidR="00FE3800" w:rsidRPr="00B034B0">
        <w:rPr>
          <w:color w:val="auto"/>
        </w:rPr>
        <w:t>z</w:t>
      </w:r>
      <w:r w:rsidRPr="00B034B0">
        <w:rPr>
          <w:color w:val="auto"/>
        </w:rPr>
        <w:t xml:space="preserve">ed drug delivery carriers for various types of growth factors, antibacterial </w:t>
      </w:r>
      <w:proofErr w:type="gramStart"/>
      <w:r w:rsidRPr="00B034B0">
        <w:rPr>
          <w:color w:val="auto"/>
        </w:rPr>
        <w:t>compounds</w:t>
      </w:r>
      <w:proofErr w:type="gramEnd"/>
      <w:r w:rsidRPr="00B034B0">
        <w:rPr>
          <w:color w:val="auto"/>
        </w:rPr>
        <w:t xml:space="preserve"> and inflammatory drugs. The success of an effective drug delivery system </w:t>
      </w:r>
      <w:proofErr w:type="spellStart"/>
      <w:r w:rsidRPr="00B034B0">
        <w:rPr>
          <w:color w:val="auto"/>
        </w:rPr>
        <w:t>centres</w:t>
      </w:r>
      <w:proofErr w:type="spellEnd"/>
      <w:r w:rsidRPr="00B034B0">
        <w:rPr>
          <w:color w:val="auto"/>
        </w:rPr>
        <w:t xml:space="preserve"> on </w:t>
      </w:r>
      <w:r w:rsidR="00BE4FF3">
        <w:rPr>
          <w:color w:val="auto"/>
        </w:rPr>
        <w:t>its</w:t>
      </w:r>
      <w:r w:rsidR="00BE4FF3" w:rsidRPr="00B034B0">
        <w:rPr>
          <w:color w:val="auto"/>
        </w:rPr>
        <w:t xml:space="preserve"> </w:t>
      </w:r>
      <w:r w:rsidRPr="00B034B0">
        <w:rPr>
          <w:color w:val="auto"/>
        </w:rPr>
        <w:t>ability to control the release of drug molecules</w:t>
      </w:r>
      <w:r w:rsidR="00BE4FF3">
        <w:rPr>
          <w:color w:val="auto"/>
        </w:rPr>
        <w:t xml:space="preserve"> over</w:t>
      </w:r>
      <w:r w:rsidRPr="00B034B0">
        <w:rPr>
          <w:color w:val="auto"/>
        </w:rPr>
        <w:t xml:space="preserve"> a defined </w:t>
      </w:r>
      <w:proofErr w:type="gramStart"/>
      <w:r w:rsidRPr="00B034B0">
        <w:rPr>
          <w:color w:val="auto"/>
        </w:rPr>
        <w:t>period of time</w:t>
      </w:r>
      <w:proofErr w:type="gramEnd"/>
      <w:r w:rsidRPr="00B034B0">
        <w:rPr>
          <w:color w:val="auto"/>
        </w:rPr>
        <w:t>, at a defined location. For musculoskeletal tissues</w:t>
      </w:r>
      <w:r w:rsidR="00BE4FF3">
        <w:rPr>
          <w:color w:val="auto"/>
        </w:rPr>
        <w:t>,</w:t>
      </w:r>
      <w:r w:rsidRPr="00B034B0">
        <w:rPr>
          <w:color w:val="auto"/>
        </w:rPr>
        <w:t xml:space="preserve"> </w:t>
      </w:r>
      <w:r w:rsidR="00BE4FF3">
        <w:rPr>
          <w:color w:val="auto"/>
        </w:rPr>
        <w:t>which</w:t>
      </w:r>
      <w:r w:rsidR="00BE4FF3" w:rsidRPr="00B034B0">
        <w:rPr>
          <w:color w:val="auto"/>
        </w:rPr>
        <w:t xml:space="preserve"> </w:t>
      </w:r>
      <w:r w:rsidRPr="00B034B0">
        <w:rPr>
          <w:color w:val="auto"/>
        </w:rPr>
        <w:t xml:space="preserve">typically take longer than other tissues to repair, approaches to facilitate sustained, </w:t>
      </w:r>
      <w:proofErr w:type="gramStart"/>
      <w:r w:rsidRPr="00B034B0">
        <w:rPr>
          <w:color w:val="auto"/>
        </w:rPr>
        <w:t>temporal</w:t>
      </w:r>
      <w:proofErr w:type="gramEnd"/>
      <w:r w:rsidRPr="00B034B0">
        <w:rPr>
          <w:color w:val="auto"/>
        </w:rPr>
        <w:t xml:space="preserve"> and slow release of drugs and growth factors over the long term are crucial. Indeed, </w:t>
      </w:r>
      <w:r w:rsidR="00BE4FF3">
        <w:rPr>
          <w:color w:val="auto"/>
        </w:rPr>
        <w:t xml:space="preserve">the </w:t>
      </w:r>
      <w:r w:rsidRPr="00B034B0">
        <w:rPr>
          <w:color w:val="auto"/>
        </w:rPr>
        <w:t xml:space="preserve">sustained release of drugs typically improves stem cell differentiation and enhances tissue regeneration. Therefore, an array of studies has focused on functionalized gelatin-based hydrogels to release drug/s and growth factors in a slow and sustained manner </w:t>
      </w:r>
      <w:r w:rsidR="00583482" w:rsidRPr="00B034B0">
        <w:rPr>
          <w:color w:val="auto"/>
        </w:rPr>
        <w:t>[6</w:t>
      </w:r>
      <w:r w:rsidR="003901BC">
        <w:rPr>
          <w:color w:val="auto"/>
        </w:rPr>
        <w:t>7</w:t>
      </w:r>
      <w:r w:rsidRPr="00B034B0">
        <w:rPr>
          <w:color w:val="auto"/>
        </w:rPr>
        <w:t>].</w:t>
      </w:r>
    </w:p>
    <w:p w14:paraId="70AAB996" w14:textId="34E05999" w:rsidR="00E20360" w:rsidRPr="005C74D5" w:rsidRDefault="00E20360" w:rsidP="00777855">
      <w:pPr>
        <w:pStyle w:val="MDPI31text"/>
        <w:rPr>
          <w:color w:val="auto"/>
        </w:rPr>
      </w:pPr>
      <w:r w:rsidRPr="00B034B0">
        <w:rPr>
          <w:color w:val="auto"/>
        </w:rPr>
        <w:t>The physicochemical properties of gelatin-based hydrogels are relatively easy to modify to improve polymer-drug chemical interaction and thus to control the release of drug molecules from the hydrogel network [</w:t>
      </w:r>
      <w:r w:rsidR="00583482" w:rsidRPr="00B034B0">
        <w:rPr>
          <w:color w:val="auto"/>
        </w:rPr>
        <w:t>6</w:t>
      </w:r>
      <w:r w:rsidR="003901BC">
        <w:rPr>
          <w:color w:val="auto"/>
        </w:rPr>
        <w:t>7</w:t>
      </w:r>
      <w:r w:rsidRPr="00B034B0">
        <w:rPr>
          <w:color w:val="auto"/>
        </w:rPr>
        <w:t xml:space="preserve">]. Indeed, gelatin source, charge, molecular </w:t>
      </w:r>
      <w:proofErr w:type="gramStart"/>
      <w:r w:rsidRPr="00B034B0">
        <w:rPr>
          <w:color w:val="auto"/>
        </w:rPr>
        <w:t>weight</w:t>
      </w:r>
      <w:proofErr w:type="gramEnd"/>
      <w:r w:rsidRPr="00B034B0">
        <w:rPr>
          <w:color w:val="auto"/>
        </w:rPr>
        <w:t xml:space="preserve"> and polymeric network have all been modified to maximi</w:t>
      </w:r>
      <w:r w:rsidR="00FE3800" w:rsidRPr="00B034B0">
        <w:rPr>
          <w:color w:val="auto"/>
        </w:rPr>
        <w:t>z</w:t>
      </w:r>
      <w:r w:rsidRPr="00B034B0">
        <w:rPr>
          <w:color w:val="auto"/>
        </w:rPr>
        <w:t>e the drug effect (</w:t>
      </w:r>
      <w:proofErr w:type="spellStart"/>
      <w:r w:rsidRPr="00B034B0">
        <w:rPr>
          <w:color w:val="auto"/>
        </w:rPr>
        <w:t>DoM</w:t>
      </w:r>
      <w:proofErr w:type="spellEnd"/>
      <w:r w:rsidRPr="00B034B0">
        <w:rPr>
          <w:color w:val="auto"/>
        </w:rPr>
        <w:t xml:space="preserve"> modulation as detailed above) on tissue regeneration. Crosslinking the hydrogel polymeric network has been routinely applied to control the drug release profile. The drug molecules entrapped in a hydrogel network can diffuse out of the hydrogel when the polymeric network is weaker following degradation. The degradation can occur across the polymer backbone and is typically mediated by hydrolysis or enzyme activity [6</w:t>
      </w:r>
      <w:r w:rsidR="003901BC">
        <w:rPr>
          <w:color w:val="auto"/>
        </w:rPr>
        <w:t>8</w:t>
      </w:r>
      <w:r w:rsidRPr="00B034B0">
        <w:rPr>
          <w:color w:val="auto"/>
        </w:rPr>
        <w:t>,</w:t>
      </w:r>
      <w:r w:rsidR="003901BC">
        <w:rPr>
          <w:color w:val="auto"/>
        </w:rPr>
        <w:t>69</w:t>
      </w:r>
      <w:r w:rsidRPr="00B034B0">
        <w:rPr>
          <w:color w:val="auto"/>
        </w:rPr>
        <w:t xml:space="preserve">]. </w:t>
      </w:r>
      <w:r>
        <w:lastRenderedPageBreak/>
        <w:t xml:space="preserve">Therefore, various crosslinking agents with different densities </w:t>
      </w:r>
      <w:r w:rsidRPr="005C74D5">
        <w:rPr>
          <w:color w:val="auto"/>
        </w:rPr>
        <w:t>have been used to control drug release profiles via adjustment of the hydrogel degradation rate [</w:t>
      </w:r>
      <w:r w:rsidR="00583482" w:rsidRPr="005C74D5">
        <w:rPr>
          <w:color w:val="auto"/>
        </w:rPr>
        <w:t>7</w:t>
      </w:r>
      <w:r w:rsidR="003901BC">
        <w:rPr>
          <w:color w:val="auto"/>
        </w:rPr>
        <w:t>0,7</w:t>
      </w:r>
      <w:r w:rsidR="00583482" w:rsidRPr="005C74D5">
        <w:rPr>
          <w:color w:val="auto"/>
        </w:rPr>
        <w:t>1</w:t>
      </w:r>
      <w:r w:rsidRPr="005C74D5">
        <w:rPr>
          <w:color w:val="auto"/>
        </w:rPr>
        <w:t xml:space="preserve">]. </w:t>
      </w:r>
    </w:p>
    <w:p w14:paraId="12786AAD" w14:textId="4CC3571E" w:rsidR="00E20360" w:rsidRDefault="00E20360" w:rsidP="00777855">
      <w:pPr>
        <w:pStyle w:val="MDPI31text"/>
      </w:pPr>
      <w:r w:rsidRPr="005C74D5">
        <w:rPr>
          <w:color w:val="auto"/>
        </w:rPr>
        <w:t xml:space="preserve">As discussed above, the poor mechanical rigidity and rapid degradation rate of gelatin hydrogels can be a challenge. Although treatment of </w:t>
      </w:r>
      <w:r w:rsidR="00AC6066" w:rsidRPr="005C74D5">
        <w:rPr>
          <w:color w:val="auto"/>
        </w:rPr>
        <w:t>weight</w:t>
      </w:r>
      <w:r w:rsidR="00AC6066">
        <w:rPr>
          <w:color w:val="auto"/>
        </w:rPr>
        <w:t>-</w:t>
      </w:r>
      <w:r w:rsidRPr="005C74D5">
        <w:rPr>
          <w:color w:val="auto"/>
        </w:rPr>
        <w:t xml:space="preserve">bearing bone defects typically relies on additional fixation techniques for mechanical support, maintenance of the hydrogel’s 3D structure, under local shear stresses and over the time course of repair, is critical </w:t>
      </w:r>
      <w:r w:rsidR="00AC6066">
        <w:rPr>
          <w:color w:val="auto"/>
        </w:rPr>
        <w:t>to</w:t>
      </w:r>
      <w:r w:rsidR="00AC6066" w:rsidRPr="005C74D5">
        <w:rPr>
          <w:color w:val="auto"/>
        </w:rPr>
        <w:t xml:space="preserve"> </w:t>
      </w:r>
      <w:r w:rsidRPr="005C74D5">
        <w:rPr>
          <w:color w:val="auto"/>
        </w:rPr>
        <w:t xml:space="preserve">the hydrogel’s role as a cell scaffold and drug release system. To improve mechanical competency and degradation profile, modifying gelatin with </w:t>
      </w:r>
      <w:proofErr w:type="spellStart"/>
      <w:r w:rsidRPr="005C74D5">
        <w:rPr>
          <w:color w:val="auto"/>
        </w:rPr>
        <w:t>methacryloyl</w:t>
      </w:r>
      <w:proofErr w:type="spellEnd"/>
      <w:r w:rsidRPr="005C74D5">
        <w:rPr>
          <w:color w:val="auto"/>
        </w:rPr>
        <w:t xml:space="preserve"> followed by crosslinking with UV light radiation offers a promising approach. Crosslinked </w:t>
      </w:r>
      <w:proofErr w:type="spellStart"/>
      <w:r w:rsidRPr="005C74D5">
        <w:rPr>
          <w:color w:val="auto"/>
        </w:rPr>
        <w:t>GelMA</w:t>
      </w:r>
      <w:proofErr w:type="spellEnd"/>
      <w:r w:rsidRPr="005C74D5">
        <w:rPr>
          <w:color w:val="auto"/>
        </w:rPr>
        <w:t xml:space="preserve"> displays excellent and controllable mechanical and degradation properties as well as drug delivery efficiency [29,30]. </w:t>
      </w:r>
      <w:proofErr w:type="spellStart"/>
      <w:r w:rsidRPr="005C74D5">
        <w:rPr>
          <w:color w:val="auto"/>
        </w:rPr>
        <w:t>Samorezov</w:t>
      </w:r>
      <w:proofErr w:type="spellEnd"/>
      <w:r w:rsidRPr="005C74D5">
        <w:rPr>
          <w:color w:val="auto"/>
        </w:rPr>
        <w:t xml:space="preserve"> et al. demonstrated that BMP-2 molecules were released at a sustained rate from </w:t>
      </w:r>
      <w:proofErr w:type="spellStart"/>
      <w:r w:rsidRPr="005C74D5">
        <w:rPr>
          <w:color w:val="auto"/>
        </w:rPr>
        <w:t>GelMA</w:t>
      </w:r>
      <w:proofErr w:type="spellEnd"/>
      <w:r w:rsidRPr="005C74D5">
        <w:rPr>
          <w:color w:val="auto"/>
        </w:rPr>
        <w:t xml:space="preserve"> after an initial burst release [</w:t>
      </w:r>
      <w:r w:rsidR="00583482" w:rsidRPr="005C74D5">
        <w:rPr>
          <w:color w:val="auto"/>
        </w:rPr>
        <w:t>7</w:t>
      </w:r>
      <w:r w:rsidR="003901BC">
        <w:rPr>
          <w:color w:val="auto"/>
        </w:rPr>
        <w:t>2</w:t>
      </w:r>
      <w:r w:rsidRPr="005C74D5">
        <w:rPr>
          <w:color w:val="auto"/>
        </w:rPr>
        <w:t xml:space="preserve">]. All BMP-2 loading concentrations in the </w:t>
      </w:r>
      <w:proofErr w:type="spellStart"/>
      <w:r w:rsidRPr="005C74D5">
        <w:rPr>
          <w:color w:val="auto"/>
        </w:rPr>
        <w:t>GelMA</w:t>
      </w:r>
      <w:proofErr w:type="spellEnd"/>
      <w:r w:rsidRPr="005C74D5">
        <w:rPr>
          <w:color w:val="auto"/>
        </w:rPr>
        <w:t xml:space="preserve"> hydrogels examined showed similar cumulative </w:t>
      </w:r>
      <w:r>
        <w:t xml:space="preserve">release profiles. This indicates that the number of negatively charged sites on the </w:t>
      </w:r>
      <w:proofErr w:type="spellStart"/>
      <w:r>
        <w:t>GelMA</w:t>
      </w:r>
      <w:proofErr w:type="spellEnd"/>
      <w:r>
        <w:t xml:space="preserve"> far exceeds the number of BMP-2 molecules that can interact with the charged sites. A high crosslinking density is recognized as one of the key factors </w:t>
      </w:r>
      <w:r w:rsidR="00AC6066">
        <w:t xml:space="preserve">in the </w:t>
      </w:r>
      <w:r>
        <w:t xml:space="preserve">sustained release of drugs. Paradoxically, it has been reported that </w:t>
      </w:r>
      <w:proofErr w:type="spellStart"/>
      <w:r>
        <w:t>methacrylated</w:t>
      </w:r>
      <w:proofErr w:type="spellEnd"/>
      <w:r>
        <w:t xml:space="preserve"> gelatin with a high crosslinking density induced a slow degradation rate but a more rapid, burst release of drugs </w:t>
      </w:r>
      <w:r w:rsidRPr="005C74D5">
        <w:rPr>
          <w:color w:val="auto"/>
        </w:rPr>
        <w:t>[</w:t>
      </w:r>
      <w:r w:rsidR="00583482" w:rsidRPr="005C74D5">
        <w:rPr>
          <w:color w:val="auto"/>
        </w:rPr>
        <w:t>7</w:t>
      </w:r>
      <w:r w:rsidR="003901BC">
        <w:rPr>
          <w:color w:val="auto"/>
        </w:rPr>
        <w:t>3</w:t>
      </w:r>
      <w:r w:rsidRPr="005C74D5">
        <w:rPr>
          <w:color w:val="auto"/>
        </w:rPr>
        <w:t>]. Interestingly</w:t>
      </w:r>
      <w:r>
        <w:t xml:space="preserve">, a reduction in the degree of </w:t>
      </w:r>
      <w:proofErr w:type="spellStart"/>
      <w:r>
        <w:t>methacrylation</w:t>
      </w:r>
      <w:proofErr w:type="spellEnd"/>
      <w:r>
        <w:t xml:space="preserve"> resulted in a significant increase in BMP-4 and basic fibroblast growth factor (</w:t>
      </w:r>
      <w:proofErr w:type="spellStart"/>
      <w:r>
        <w:t>bFGF</w:t>
      </w:r>
      <w:proofErr w:type="spellEnd"/>
      <w:r>
        <w:t xml:space="preserve">) binding capacity and slow release of those molecules. Increasing </w:t>
      </w:r>
      <w:proofErr w:type="spellStart"/>
      <w:r>
        <w:t>methacrylation</w:t>
      </w:r>
      <w:proofErr w:type="spellEnd"/>
      <w:r>
        <w:t xml:space="preserve"> likely reduces the net positive charge that would be expected with reduced electrostatic repulsion. This highlights the importance of recognizing the competitive balance between properties that improve gel integrity and properties that sustain the binding of a drug. Thus, gel integrity and gel drug binding can have profound effects on the release of drugs from hydrogels over time.</w:t>
      </w:r>
    </w:p>
    <w:p w14:paraId="5A3CAF41" w14:textId="4C83458B" w:rsidR="00E20360" w:rsidRPr="005F46B9" w:rsidRDefault="00E20360" w:rsidP="00777855">
      <w:pPr>
        <w:pStyle w:val="MDPI31text"/>
        <w:rPr>
          <w:color w:val="auto"/>
        </w:rPr>
      </w:pPr>
      <w:r w:rsidRPr="00E20360">
        <w:t xml:space="preserve">Although </w:t>
      </w:r>
      <w:proofErr w:type="spellStart"/>
      <w:r w:rsidRPr="00E20360">
        <w:t>GelMA</w:t>
      </w:r>
      <w:proofErr w:type="spellEnd"/>
      <w:r w:rsidRPr="00E20360">
        <w:t xml:space="preserve"> has significant physicochemical properties as a drug carrier, many studies have indicated that adding other biomaterials </w:t>
      </w:r>
      <w:r w:rsidR="00CF5FE0">
        <w:t>to</w:t>
      </w:r>
      <w:r w:rsidR="00CF5FE0" w:rsidRPr="00E20360">
        <w:t xml:space="preserve"> </w:t>
      </w:r>
      <w:r w:rsidRPr="00E20360">
        <w:t xml:space="preserve">drugs </w:t>
      </w:r>
      <w:r w:rsidR="00CF5FE0">
        <w:t>improves</w:t>
      </w:r>
      <w:r w:rsidR="00CF5FE0" w:rsidRPr="00E20360">
        <w:t xml:space="preserve"> </w:t>
      </w:r>
      <w:r w:rsidRPr="00E20360">
        <w:t xml:space="preserve">the potential of </w:t>
      </w:r>
      <w:proofErr w:type="spellStart"/>
      <w:r w:rsidRPr="00E20360">
        <w:t>GelMA</w:t>
      </w:r>
      <w:proofErr w:type="spellEnd"/>
      <w:r w:rsidRPr="00E20360">
        <w:t xml:space="preserve"> synergistically. The strategy of those studies was mainly to incorporate a drug-loaded biomaterial into </w:t>
      </w:r>
      <w:proofErr w:type="spellStart"/>
      <w:r w:rsidRPr="00E20360">
        <w:t>GelMA</w:t>
      </w:r>
      <w:proofErr w:type="spellEnd"/>
      <w:r w:rsidRPr="00E20360">
        <w:t xml:space="preserve"> </w:t>
      </w:r>
      <w:r w:rsidRPr="005F46B9">
        <w:rPr>
          <w:color w:val="auto"/>
        </w:rPr>
        <w:t xml:space="preserve">hydrogels to induce further sustained and slow release of the drug for bone and cartilage regeneration. Chen et al. showed that the BMP-2 release from </w:t>
      </w:r>
      <w:proofErr w:type="spellStart"/>
      <w:r w:rsidRPr="005F46B9">
        <w:rPr>
          <w:color w:val="auto"/>
        </w:rPr>
        <w:t>GelMA</w:t>
      </w:r>
      <w:proofErr w:type="spellEnd"/>
      <w:r w:rsidRPr="005F46B9">
        <w:rPr>
          <w:color w:val="auto"/>
        </w:rPr>
        <w:t>-vascular extracellular matrix (</w:t>
      </w:r>
      <w:proofErr w:type="spellStart"/>
      <w:r w:rsidRPr="005F46B9">
        <w:rPr>
          <w:color w:val="auto"/>
        </w:rPr>
        <w:t>vECM</w:t>
      </w:r>
      <w:proofErr w:type="spellEnd"/>
      <w:r w:rsidRPr="005F46B9">
        <w:rPr>
          <w:color w:val="auto"/>
        </w:rPr>
        <w:t xml:space="preserve">) composite hydrogels was much slower than </w:t>
      </w:r>
      <w:proofErr w:type="spellStart"/>
      <w:r w:rsidRPr="005F46B9">
        <w:rPr>
          <w:color w:val="auto"/>
        </w:rPr>
        <w:t>GelMA</w:t>
      </w:r>
      <w:proofErr w:type="spellEnd"/>
      <w:r w:rsidRPr="005F46B9">
        <w:rPr>
          <w:color w:val="auto"/>
        </w:rPr>
        <w:t xml:space="preserve"> without </w:t>
      </w:r>
      <w:proofErr w:type="spellStart"/>
      <w:r w:rsidRPr="005F46B9">
        <w:rPr>
          <w:color w:val="auto"/>
        </w:rPr>
        <w:t>vECM</w:t>
      </w:r>
      <w:proofErr w:type="spellEnd"/>
      <w:r w:rsidRPr="005F46B9">
        <w:rPr>
          <w:color w:val="auto"/>
        </w:rPr>
        <w:t xml:space="preserve"> (Figure </w:t>
      </w:r>
      <w:r w:rsidR="00583482" w:rsidRPr="005F46B9">
        <w:rPr>
          <w:color w:val="auto"/>
        </w:rPr>
        <w:t>3</w:t>
      </w:r>
      <w:r w:rsidRPr="00200AA5">
        <w:rPr>
          <w:color w:val="auto"/>
        </w:rPr>
        <w:t>A</w:t>
      </w:r>
      <w:r w:rsidRPr="005F46B9">
        <w:rPr>
          <w:color w:val="auto"/>
        </w:rPr>
        <w:t>) [</w:t>
      </w:r>
      <w:r w:rsidR="00583482" w:rsidRPr="005F46B9">
        <w:rPr>
          <w:color w:val="auto"/>
        </w:rPr>
        <w:t>7</w:t>
      </w:r>
      <w:r w:rsidR="003901BC">
        <w:rPr>
          <w:color w:val="auto"/>
        </w:rPr>
        <w:t>4</w:t>
      </w:r>
      <w:r w:rsidRPr="005F46B9">
        <w:rPr>
          <w:color w:val="auto"/>
        </w:rPr>
        <w:t xml:space="preserve">]. Similarly, incorporating resveratrol (Res)-solid lipid nanoparticles (SLNs) (Res-SLNs) into </w:t>
      </w:r>
      <w:proofErr w:type="spellStart"/>
      <w:r w:rsidRPr="005F46B9">
        <w:rPr>
          <w:color w:val="auto"/>
        </w:rPr>
        <w:t>GelMA</w:t>
      </w:r>
      <w:proofErr w:type="spellEnd"/>
      <w:r w:rsidRPr="005F46B9">
        <w:rPr>
          <w:color w:val="auto"/>
        </w:rPr>
        <w:t xml:space="preserve"> demonstrated a sustained release of Res, resulting in enhanced bone formation potential [</w:t>
      </w:r>
      <w:r w:rsidR="00583482" w:rsidRPr="005F46B9">
        <w:rPr>
          <w:color w:val="auto"/>
        </w:rPr>
        <w:t>7</w:t>
      </w:r>
      <w:r w:rsidR="003901BC">
        <w:rPr>
          <w:color w:val="auto"/>
        </w:rPr>
        <w:t>5</w:t>
      </w:r>
      <w:r w:rsidRPr="005F46B9">
        <w:rPr>
          <w:color w:val="auto"/>
        </w:rPr>
        <w:t>]. Pacelli and colleagues found integrating nano-diamond-dexamethasone (ND-</w:t>
      </w:r>
      <w:proofErr w:type="spellStart"/>
      <w:r w:rsidRPr="005F46B9">
        <w:rPr>
          <w:color w:val="auto"/>
        </w:rPr>
        <w:t>Dex</w:t>
      </w:r>
      <w:proofErr w:type="spellEnd"/>
      <w:r w:rsidRPr="005F46B9">
        <w:rPr>
          <w:color w:val="auto"/>
        </w:rPr>
        <w:t xml:space="preserve">) complex within </w:t>
      </w:r>
      <w:proofErr w:type="spellStart"/>
      <w:r w:rsidRPr="005F46B9">
        <w:rPr>
          <w:color w:val="auto"/>
        </w:rPr>
        <w:t>GelMA</w:t>
      </w:r>
      <w:proofErr w:type="spellEnd"/>
      <w:r w:rsidRPr="005F46B9">
        <w:rPr>
          <w:color w:val="auto"/>
        </w:rPr>
        <w:t xml:space="preserve"> hydrogels displayed higher retention of </w:t>
      </w:r>
      <w:proofErr w:type="spellStart"/>
      <w:r w:rsidRPr="005F46B9">
        <w:rPr>
          <w:color w:val="auto"/>
        </w:rPr>
        <w:t>Dex</w:t>
      </w:r>
      <w:proofErr w:type="spellEnd"/>
      <w:r w:rsidRPr="005F46B9">
        <w:rPr>
          <w:color w:val="auto"/>
        </w:rPr>
        <w:t xml:space="preserve"> over time, resulting in significantly increased alkaline phosphatase activity and calcium deposition [</w:t>
      </w:r>
      <w:r w:rsidR="00583482" w:rsidRPr="005F46B9">
        <w:rPr>
          <w:color w:val="auto"/>
        </w:rPr>
        <w:t>7</w:t>
      </w:r>
      <w:r w:rsidR="003901BC">
        <w:rPr>
          <w:color w:val="auto"/>
        </w:rPr>
        <w:t>6</w:t>
      </w:r>
      <w:r w:rsidRPr="005F46B9">
        <w:rPr>
          <w:color w:val="auto"/>
        </w:rPr>
        <w:t xml:space="preserve">]. Thus, in summary, drug release is typically influenced by hydrogel degradation and drug </w:t>
      </w:r>
      <w:r w:rsidRPr="00AB3869">
        <w:rPr>
          <w:color w:val="auto"/>
        </w:rPr>
        <w:t>diffusion [</w:t>
      </w:r>
      <w:r w:rsidR="00583482" w:rsidRPr="00AB3869">
        <w:rPr>
          <w:color w:val="auto"/>
        </w:rPr>
        <w:t>7</w:t>
      </w:r>
      <w:r w:rsidR="003901BC" w:rsidRPr="00AB3869">
        <w:rPr>
          <w:color w:val="auto"/>
        </w:rPr>
        <w:t>7</w:t>
      </w:r>
      <w:r w:rsidRPr="00AB3869">
        <w:rPr>
          <w:color w:val="auto"/>
        </w:rPr>
        <w:t>]. Most studies have shown that the inclusion of a second biomaterial could reinforce the hydrogel network and hinder the process of enzymatic degradation, resulting in the sustained release of drug molecules</w:t>
      </w:r>
      <w:r w:rsidR="00FE3800" w:rsidRPr="00AB3869">
        <w:rPr>
          <w:color w:val="auto"/>
        </w:rPr>
        <w:t xml:space="preserve"> </w:t>
      </w:r>
      <w:r w:rsidRPr="00AB3869">
        <w:rPr>
          <w:color w:val="auto"/>
        </w:rPr>
        <w:t>[</w:t>
      </w:r>
      <w:r w:rsidR="003901BC" w:rsidRPr="00AB3869">
        <w:rPr>
          <w:color w:val="auto"/>
        </w:rPr>
        <w:t>76,</w:t>
      </w:r>
      <w:r w:rsidR="00583482" w:rsidRPr="00AB3869">
        <w:rPr>
          <w:color w:val="auto"/>
        </w:rPr>
        <w:t>7</w:t>
      </w:r>
      <w:r w:rsidR="00787EF8" w:rsidRPr="00AB3869">
        <w:rPr>
          <w:color w:val="auto"/>
        </w:rPr>
        <w:t>8</w:t>
      </w:r>
      <w:r w:rsidR="00583482" w:rsidRPr="00AB3869">
        <w:rPr>
          <w:color w:val="auto"/>
        </w:rPr>
        <w:t>,79]</w:t>
      </w:r>
      <w:r w:rsidRPr="00AB3869">
        <w:rPr>
          <w:color w:val="auto"/>
        </w:rPr>
        <w:t>.</w:t>
      </w:r>
      <w:r w:rsidRPr="005F46B9">
        <w:rPr>
          <w:color w:val="auto"/>
        </w:rPr>
        <w:t xml:space="preserve"> However, other groups have reported that the degradation of </w:t>
      </w:r>
      <w:proofErr w:type="spellStart"/>
      <w:r w:rsidRPr="005F46B9">
        <w:rPr>
          <w:color w:val="auto"/>
        </w:rPr>
        <w:t>GelMA</w:t>
      </w:r>
      <w:proofErr w:type="spellEnd"/>
      <w:r w:rsidRPr="005F46B9">
        <w:rPr>
          <w:color w:val="auto"/>
        </w:rPr>
        <w:t xml:space="preserve"> composite hydrogels is not relevant to the drug release profile [</w:t>
      </w:r>
      <w:r w:rsidR="003901BC">
        <w:rPr>
          <w:color w:val="auto"/>
        </w:rPr>
        <w:t>74,</w:t>
      </w:r>
      <w:r w:rsidR="00583482" w:rsidRPr="005F46B9">
        <w:rPr>
          <w:color w:val="auto"/>
        </w:rPr>
        <w:t>75</w:t>
      </w:r>
      <w:r w:rsidR="003901BC">
        <w:rPr>
          <w:color w:val="auto"/>
        </w:rPr>
        <w:t>]</w:t>
      </w:r>
      <w:r w:rsidRPr="005F46B9">
        <w:rPr>
          <w:color w:val="auto"/>
        </w:rPr>
        <w:t xml:space="preserve">. For instance, although the degradation of </w:t>
      </w:r>
      <w:proofErr w:type="spellStart"/>
      <w:r w:rsidRPr="005F46B9">
        <w:rPr>
          <w:color w:val="auto"/>
        </w:rPr>
        <w:t>GelMA</w:t>
      </w:r>
      <w:proofErr w:type="spellEnd"/>
      <w:r w:rsidRPr="005F46B9">
        <w:rPr>
          <w:color w:val="auto"/>
        </w:rPr>
        <w:t xml:space="preserve"> composite hydrogels was </w:t>
      </w:r>
      <w:proofErr w:type="gramStart"/>
      <w:r w:rsidRPr="005F46B9">
        <w:rPr>
          <w:color w:val="auto"/>
        </w:rPr>
        <w:t xml:space="preserve">similar </w:t>
      </w:r>
      <w:r w:rsidR="00CF5FE0">
        <w:rPr>
          <w:color w:val="auto"/>
        </w:rPr>
        <w:t>to</w:t>
      </w:r>
      <w:proofErr w:type="gramEnd"/>
      <w:r w:rsidR="00CF5FE0">
        <w:rPr>
          <w:color w:val="auto"/>
        </w:rPr>
        <w:t xml:space="preserve"> </w:t>
      </w:r>
      <w:r w:rsidRPr="005F46B9">
        <w:rPr>
          <w:color w:val="auto"/>
        </w:rPr>
        <w:t xml:space="preserve">or faster than </w:t>
      </w:r>
      <w:proofErr w:type="spellStart"/>
      <w:r w:rsidRPr="005F46B9">
        <w:rPr>
          <w:color w:val="auto"/>
        </w:rPr>
        <w:t>GelMA</w:t>
      </w:r>
      <w:proofErr w:type="spellEnd"/>
      <w:r w:rsidRPr="005F46B9">
        <w:rPr>
          <w:color w:val="auto"/>
        </w:rPr>
        <w:t xml:space="preserve"> only, the drug release from the composite hydrogels was much slower than that observed from </w:t>
      </w:r>
      <w:proofErr w:type="spellStart"/>
      <w:r w:rsidRPr="005F46B9">
        <w:rPr>
          <w:color w:val="auto"/>
        </w:rPr>
        <w:t>GelMA</w:t>
      </w:r>
      <w:proofErr w:type="spellEnd"/>
      <w:r w:rsidRPr="005F46B9">
        <w:rPr>
          <w:color w:val="auto"/>
        </w:rPr>
        <w:t xml:space="preserve"> hydrogel. This suggests that the release system is more likely associated with drug diffusion in contrast to hydrogel degradation. Thus, the specific binding affinity of the drug to the second biomaterial substantially limits drug release. These systematic drug release mechanisms give prominence to a design of </w:t>
      </w:r>
      <w:proofErr w:type="spellStart"/>
      <w:r w:rsidRPr="005F46B9">
        <w:rPr>
          <w:color w:val="auto"/>
        </w:rPr>
        <w:t>GelMA</w:t>
      </w:r>
      <w:proofErr w:type="spellEnd"/>
      <w:r w:rsidRPr="005F46B9">
        <w:rPr>
          <w:color w:val="auto"/>
        </w:rPr>
        <w:t>-based composite hydrogels that can maximi</w:t>
      </w:r>
      <w:r w:rsidR="00FE3800" w:rsidRPr="005F46B9">
        <w:rPr>
          <w:color w:val="auto"/>
        </w:rPr>
        <w:t>z</w:t>
      </w:r>
      <w:r w:rsidRPr="005F46B9">
        <w:rPr>
          <w:color w:val="auto"/>
        </w:rPr>
        <w:t>e the impact of drug release.</w:t>
      </w:r>
    </w:p>
    <w:p w14:paraId="1BCBEAFF" w14:textId="0205EC0C" w:rsidR="00CA0B3D" w:rsidRPr="00AA5B12" w:rsidRDefault="00E20360" w:rsidP="00777855">
      <w:pPr>
        <w:pStyle w:val="MDPI31text"/>
        <w:rPr>
          <w:color w:val="auto"/>
        </w:rPr>
      </w:pPr>
      <w:r w:rsidRPr="005F46B9">
        <w:rPr>
          <w:color w:val="auto"/>
        </w:rPr>
        <w:t>Due to the complex process of musculoskeletal tissue regeneration, the development of dual release drug and growth factor strategies has come to the fore. A combination of angiogenesis- and osteogenesis-related growth factors are widely used to achieve vascularized bone formation. Various studies have shown that the dual release of growth factors at different kinetic rates leads to successful bone tissue repair [</w:t>
      </w:r>
      <w:r w:rsidR="003901BC">
        <w:rPr>
          <w:color w:val="auto"/>
        </w:rPr>
        <w:t>80,</w:t>
      </w:r>
      <w:r w:rsidR="00583482" w:rsidRPr="005F46B9">
        <w:rPr>
          <w:color w:val="auto"/>
        </w:rPr>
        <w:t>81</w:t>
      </w:r>
      <w:r w:rsidRPr="005F46B9">
        <w:rPr>
          <w:color w:val="auto"/>
        </w:rPr>
        <w:t xml:space="preserve">]. To release </w:t>
      </w:r>
      <w:proofErr w:type="spellStart"/>
      <w:r w:rsidRPr="00E20360">
        <w:t>bFGF</w:t>
      </w:r>
      <w:proofErr w:type="spellEnd"/>
      <w:r w:rsidRPr="00E20360">
        <w:t xml:space="preserve"> </w:t>
      </w:r>
      <w:r w:rsidRPr="00AA5B12">
        <w:rPr>
          <w:color w:val="auto"/>
        </w:rPr>
        <w:lastRenderedPageBreak/>
        <w:t xml:space="preserve">and BMP-2 in a spatiotemporal manner, Zhou et al designed a composite hydrogel including </w:t>
      </w:r>
      <w:proofErr w:type="spellStart"/>
      <w:r w:rsidRPr="00AA5B12">
        <w:rPr>
          <w:color w:val="auto"/>
        </w:rPr>
        <w:t>GelMA-bFGF</w:t>
      </w:r>
      <w:proofErr w:type="spellEnd"/>
      <w:r w:rsidRPr="00AA5B12">
        <w:rPr>
          <w:color w:val="auto"/>
        </w:rPr>
        <w:t xml:space="preserve"> and mineral and microparticles (MCM)-BMP-2 (</w:t>
      </w:r>
      <w:r w:rsidRPr="00200AA5">
        <w:rPr>
          <w:color w:val="auto"/>
        </w:rPr>
        <w:t xml:space="preserve">Figure </w:t>
      </w:r>
      <w:r w:rsidR="00583482" w:rsidRPr="00200AA5">
        <w:rPr>
          <w:color w:val="auto"/>
        </w:rPr>
        <w:t>3</w:t>
      </w:r>
      <w:r w:rsidRPr="00200AA5">
        <w:rPr>
          <w:color w:val="auto"/>
        </w:rPr>
        <w:t>B</w:t>
      </w:r>
      <w:r w:rsidRPr="00AA5B12">
        <w:rPr>
          <w:color w:val="auto"/>
        </w:rPr>
        <w:t>) [</w:t>
      </w:r>
      <w:r w:rsidR="00583482" w:rsidRPr="00AA5B12">
        <w:rPr>
          <w:color w:val="auto"/>
        </w:rPr>
        <w:t>8</w:t>
      </w:r>
      <w:r w:rsidR="003901BC">
        <w:rPr>
          <w:color w:val="auto"/>
        </w:rPr>
        <w:t>2</w:t>
      </w:r>
      <w:r w:rsidRPr="00AA5B12">
        <w:rPr>
          <w:color w:val="auto"/>
        </w:rPr>
        <w:t xml:space="preserve">]. When </w:t>
      </w:r>
      <w:proofErr w:type="spellStart"/>
      <w:r w:rsidRPr="00AA5B12">
        <w:rPr>
          <w:color w:val="auto"/>
        </w:rPr>
        <w:t>bFGF</w:t>
      </w:r>
      <w:proofErr w:type="spellEnd"/>
      <w:r w:rsidRPr="00AA5B12">
        <w:rPr>
          <w:color w:val="auto"/>
        </w:rPr>
        <w:t xml:space="preserve"> molecules were rapidly released and BMP-2 released over time from composite gels, a significantly enhanced vascularized bone regeneration was observed compared to the single release system. The authors demonstrated that a burst release of </w:t>
      </w:r>
      <w:proofErr w:type="spellStart"/>
      <w:r w:rsidRPr="00AA5B12">
        <w:rPr>
          <w:color w:val="auto"/>
        </w:rPr>
        <w:t>bFGF</w:t>
      </w:r>
      <w:proofErr w:type="spellEnd"/>
      <w:r w:rsidRPr="00AA5B12">
        <w:rPr>
          <w:color w:val="auto"/>
        </w:rPr>
        <w:t xml:space="preserve"> from </w:t>
      </w:r>
      <w:proofErr w:type="spellStart"/>
      <w:r w:rsidRPr="00AA5B12">
        <w:rPr>
          <w:color w:val="auto"/>
        </w:rPr>
        <w:t>GelMA</w:t>
      </w:r>
      <w:proofErr w:type="spellEnd"/>
      <w:r w:rsidRPr="00AA5B12">
        <w:rPr>
          <w:color w:val="auto"/>
        </w:rPr>
        <w:t xml:space="preserve"> promoted vasculari</w:t>
      </w:r>
      <w:r w:rsidR="00FE3800" w:rsidRPr="00AA5B12">
        <w:rPr>
          <w:color w:val="auto"/>
        </w:rPr>
        <w:t>z</w:t>
      </w:r>
      <w:r w:rsidRPr="00AA5B12">
        <w:rPr>
          <w:color w:val="auto"/>
        </w:rPr>
        <w:t xml:space="preserve">ation mediated by endothelial cells, while the sustained release of BMP-2 from MCM enhanced ossification. Therefore, the dual release system synergistically enhanced new bone tissue formation. </w:t>
      </w:r>
      <w:proofErr w:type="gramStart"/>
      <w:r w:rsidRPr="00AA5B12">
        <w:rPr>
          <w:color w:val="auto"/>
        </w:rPr>
        <w:t>Similar to</w:t>
      </w:r>
      <w:proofErr w:type="gramEnd"/>
      <w:r w:rsidRPr="00AA5B12">
        <w:rPr>
          <w:color w:val="auto"/>
        </w:rPr>
        <w:t xml:space="preserve"> this study, </w:t>
      </w:r>
      <w:proofErr w:type="spellStart"/>
      <w:r w:rsidRPr="00AA5B12">
        <w:rPr>
          <w:color w:val="auto"/>
        </w:rPr>
        <w:t>Barati</w:t>
      </w:r>
      <w:proofErr w:type="spellEnd"/>
      <w:r w:rsidRPr="00AA5B12">
        <w:rPr>
          <w:color w:val="auto"/>
        </w:rPr>
        <w:t xml:space="preserve"> et al designed a </w:t>
      </w:r>
      <w:proofErr w:type="spellStart"/>
      <w:r w:rsidRPr="00AA5B12">
        <w:rPr>
          <w:color w:val="auto"/>
        </w:rPr>
        <w:t>GelMA</w:t>
      </w:r>
      <w:proofErr w:type="spellEnd"/>
      <w:r w:rsidRPr="00AA5B12">
        <w:rPr>
          <w:color w:val="auto"/>
        </w:rPr>
        <w:t>-based composite gel for spatiotemporal release of BMP-2 and VEGF [</w:t>
      </w:r>
      <w:r w:rsidR="00583482" w:rsidRPr="00AA5B12">
        <w:rPr>
          <w:color w:val="auto"/>
        </w:rPr>
        <w:t>8</w:t>
      </w:r>
      <w:r w:rsidR="003901BC">
        <w:rPr>
          <w:color w:val="auto"/>
        </w:rPr>
        <w:t>3</w:t>
      </w:r>
      <w:r w:rsidRPr="00AA5B12">
        <w:rPr>
          <w:color w:val="auto"/>
        </w:rPr>
        <w:t>]. Interestingly, the authors also focused on encapsulating human mesenchymal stem cells (</w:t>
      </w:r>
      <w:proofErr w:type="spellStart"/>
      <w:r w:rsidRPr="00AA5B12">
        <w:rPr>
          <w:color w:val="auto"/>
        </w:rPr>
        <w:t>hMSCs</w:t>
      </w:r>
      <w:proofErr w:type="spellEnd"/>
      <w:r w:rsidRPr="00AA5B12">
        <w:rPr>
          <w:color w:val="auto"/>
        </w:rPr>
        <w:t xml:space="preserve">) and endothelial colony-forming cells (ECFCs) in hydrogels to mimic the osteoblast-vascular niche during bone development. </w:t>
      </w:r>
      <w:r w:rsidR="005B0467">
        <w:rPr>
          <w:color w:val="auto"/>
        </w:rPr>
        <w:t xml:space="preserve">The </w:t>
      </w:r>
      <w:r w:rsidRPr="00AA5B12">
        <w:rPr>
          <w:color w:val="auto"/>
        </w:rPr>
        <w:t xml:space="preserve">Timed-release of VEGF and BMP-2 significantly increased osteogenic and vasculogenic differentiation of </w:t>
      </w:r>
      <w:proofErr w:type="spellStart"/>
      <w:r w:rsidRPr="00AA5B12">
        <w:rPr>
          <w:color w:val="auto"/>
        </w:rPr>
        <w:t>hMSCs</w:t>
      </w:r>
      <w:proofErr w:type="spellEnd"/>
      <w:r w:rsidRPr="00AA5B12">
        <w:rPr>
          <w:color w:val="auto"/>
        </w:rPr>
        <w:t xml:space="preserve"> and ECFCs, compared to the direct addition of </w:t>
      </w:r>
      <w:proofErr w:type="spellStart"/>
      <w:r w:rsidRPr="00AA5B12">
        <w:rPr>
          <w:color w:val="auto"/>
        </w:rPr>
        <w:t>bFGF</w:t>
      </w:r>
      <w:proofErr w:type="spellEnd"/>
      <w:r w:rsidRPr="00AA5B12">
        <w:rPr>
          <w:color w:val="auto"/>
        </w:rPr>
        <w:t xml:space="preserve"> and BMP-2. As evidence of increased </w:t>
      </w:r>
      <w:proofErr w:type="spellStart"/>
      <w:r w:rsidRPr="00AA5B12">
        <w:rPr>
          <w:color w:val="auto"/>
        </w:rPr>
        <w:t>bFGF</w:t>
      </w:r>
      <w:proofErr w:type="spellEnd"/>
      <w:r w:rsidRPr="00AA5B12">
        <w:rPr>
          <w:color w:val="auto"/>
        </w:rPr>
        <w:t xml:space="preserve"> expression in the hydrogels, the authors suggested that the minerali</w:t>
      </w:r>
      <w:r w:rsidR="00FE3800" w:rsidRPr="00AA5B12">
        <w:rPr>
          <w:color w:val="auto"/>
        </w:rPr>
        <w:t>z</w:t>
      </w:r>
      <w:r w:rsidRPr="00AA5B12">
        <w:rPr>
          <w:color w:val="auto"/>
        </w:rPr>
        <w:t>ation and vasculari</w:t>
      </w:r>
      <w:r w:rsidR="00FE3800" w:rsidRPr="00AA5B12">
        <w:rPr>
          <w:color w:val="auto"/>
        </w:rPr>
        <w:t>z</w:t>
      </w:r>
      <w:r w:rsidRPr="00AA5B12">
        <w:rPr>
          <w:color w:val="auto"/>
        </w:rPr>
        <w:t xml:space="preserve">ation may be coupled </w:t>
      </w:r>
      <w:r w:rsidR="005B0467">
        <w:rPr>
          <w:color w:val="auto"/>
        </w:rPr>
        <w:t>to</w:t>
      </w:r>
      <w:r w:rsidR="005B0467" w:rsidRPr="00AA5B12">
        <w:rPr>
          <w:color w:val="auto"/>
        </w:rPr>
        <w:t xml:space="preserve"> </w:t>
      </w:r>
      <w:r w:rsidRPr="00AA5B12">
        <w:rPr>
          <w:color w:val="auto"/>
        </w:rPr>
        <w:t xml:space="preserve">localized secretion of paracrine </w:t>
      </w:r>
      <w:r w:rsidR="007F4BF2" w:rsidRPr="00AA5B12">
        <w:rPr>
          <w:color w:val="auto"/>
        </w:rPr>
        <w:t>signaling</w:t>
      </w:r>
      <w:r w:rsidRPr="00AA5B12">
        <w:rPr>
          <w:color w:val="auto"/>
        </w:rPr>
        <w:t xml:space="preserve"> factors </w:t>
      </w:r>
      <w:r w:rsidR="005B0467">
        <w:rPr>
          <w:color w:val="auto"/>
        </w:rPr>
        <w:t>such as</w:t>
      </w:r>
      <w:r w:rsidR="005B0467" w:rsidRPr="00AA5B12">
        <w:rPr>
          <w:color w:val="auto"/>
        </w:rPr>
        <w:t xml:space="preserve"> </w:t>
      </w:r>
      <w:proofErr w:type="spellStart"/>
      <w:r w:rsidRPr="00AA5B12">
        <w:rPr>
          <w:color w:val="auto"/>
        </w:rPr>
        <w:t>bFGF</w:t>
      </w:r>
      <w:proofErr w:type="spellEnd"/>
      <w:r w:rsidRPr="00AA5B12">
        <w:rPr>
          <w:color w:val="auto"/>
        </w:rPr>
        <w:t xml:space="preserve"> by the differentiating </w:t>
      </w:r>
      <w:proofErr w:type="spellStart"/>
      <w:r w:rsidRPr="00AA5B12">
        <w:rPr>
          <w:color w:val="auto"/>
        </w:rPr>
        <w:t>hMSCs</w:t>
      </w:r>
      <w:proofErr w:type="spellEnd"/>
      <w:r w:rsidRPr="00AA5B12">
        <w:rPr>
          <w:color w:val="auto"/>
        </w:rPr>
        <w:t xml:space="preserve"> and ECFCs. The strategy employed suggests that it is crucial to understand the complex bone regeneration process with </w:t>
      </w:r>
      <w:r w:rsidR="005B0467">
        <w:rPr>
          <w:color w:val="auto"/>
        </w:rPr>
        <w:t xml:space="preserve">the </w:t>
      </w:r>
      <w:r w:rsidRPr="00AA5B12">
        <w:rPr>
          <w:color w:val="auto"/>
        </w:rPr>
        <w:t xml:space="preserve">incorporation of the various </w:t>
      </w:r>
      <w:r w:rsidR="007F4BF2" w:rsidRPr="00AA5B12">
        <w:rPr>
          <w:color w:val="auto"/>
        </w:rPr>
        <w:t>signaling</w:t>
      </w:r>
      <w:r w:rsidRPr="00AA5B12">
        <w:rPr>
          <w:color w:val="auto"/>
        </w:rPr>
        <w:t xml:space="preserve"> factors associated with cell functions </w:t>
      </w:r>
      <w:proofErr w:type="gramStart"/>
      <w:r w:rsidRPr="00AA5B12">
        <w:rPr>
          <w:color w:val="auto"/>
        </w:rPr>
        <w:t>in order to</w:t>
      </w:r>
      <w:proofErr w:type="gramEnd"/>
      <w:r w:rsidRPr="00AA5B12">
        <w:rPr>
          <w:color w:val="auto"/>
        </w:rPr>
        <w:t xml:space="preserve"> inform and drive new tissue formation.</w:t>
      </w:r>
    </w:p>
    <w:p w14:paraId="6B5FF0F6" w14:textId="77075D04" w:rsidR="00E20360" w:rsidRPr="00662E31" w:rsidRDefault="005E3720" w:rsidP="00777855">
      <w:pPr>
        <w:pStyle w:val="MDPI51figurecaption"/>
        <w:rPr>
          <w:color w:val="auto"/>
        </w:rPr>
      </w:pPr>
      <w:r>
        <w:rPr>
          <w:noProof/>
          <w:color w:val="auto"/>
        </w:rPr>
        <w:drawing>
          <wp:inline distT="0" distB="0" distL="0" distR="0" wp14:anchorId="2D91375B" wp14:editId="370560AC">
            <wp:extent cx="4791002" cy="2968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5063" cy="2971142"/>
                    </a:xfrm>
                    <a:prstGeom prst="rect">
                      <a:avLst/>
                    </a:prstGeom>
                    <a:noFill/>
                    <a:ln>
                      <a:noFill/>
                    </a:ln>
                  </pic:spPr>
                </pic:pic>
              </a:graphicData>
            </a:graphic>
          </wp:inline>
        </w:drawing>
      </w:r>
      <w:r w:rsidR="00FC46FB" w:rsidRPr="00662E31">
        <w:rPr>
          <w:b/>
          <w:noProof/>
          <w:color w:val="auto"/>
        </w:rPr>
        <w:t xml:space="preserve">Figure </w:t>
      </w:r>
      <w:r w:rsidR="00583482" w:rsidRPr="00662E31">
        <w:rPr>
          <w:b/>
          <w:snapToGrid w:val="0"/>
          <w:color w:val="auto"/>
          <w:szCs w:val="22"/>
        </w:rPr>
        <w:t>3</w:t>
      </w:r>
      <w:r w:rsidR="00FC46FB" w:rsidRPr="00662E31">
        <w:rPr>
          <w:b/>
          <w:noProof/>
          <w:color w:val="auto"/>
        </w:rPr>
        <w:t xml:space="preserve">. </w:t>
      </w:r>
      <w:r w:rsidR="00DA46DC" w:rsidRPr="008C523D">
        <w:rPr>
          <w:b/>
          <w:bCs/>
          <w:color w:val="auto"/>
        </w:rPr>
        <w:t>(A)</w:t>
      </w:r>
      <w:r w:rsidR="00DA46DC" w:rsidRPr="00662E31">
        <w:rPr>
          <w:color w:val="auto"/>
        </w:rPr>
        <w:t xml:space="preserve"> Incorporation of </w:t>
      </w:r>
      <w:r w:rsidR="005B0467" w:rsidRPr="00662E31">
        <w:rPr>
          <w:color w:val="auto"/>
        </w:rPr>
        <w:t>vascular</w:t>
      </w:r>
      <w:r w:rsidR="005B0467">
        <w:rPr>
          <w:color w:val="auto"/>
        </w:rPr>
        <w:t>-</w:t>
      </w:r>
      <w:r w:rsidR="00DA46DC" w:rsidRPr="00662E31">
        <w:rPr>
          <w:color w:val="auto"/>
        </w:rPr>
        <w:t>derived extracellular matrix (</w:t>
      </w:r>
      <w:proofErr w:type="spellStart"/>
      <w:r w:rsidR="00DA46DC" w:rsidRPr="00662E31">
        <w:rPr>
          <w:color w:val="auto"/>
        </w:rPr>
        <w:t>vECM</w:t>
      </w:r>
      <w:proofErr w:type="spellEnd"/>
      <w:r w:rsidR="00DA46DC" w:rsidRPr="00662E31">
        <w:rPr>
          <w:color w:val="auto"/>
        </w:rPr>
        <w:t xml:space="preserve">)@BMP-2 into </w:t>
      </w:r>
      <w:proofErr w:type="spellStart"/>
      <w:r w:rsidR="00DA46DC" w:rsidRPr="00662E31">
        <w:rPr>
          <w:color w:val="auto"/>
        </w:rPr>
        <w:t>GelMA</w:t>
      </w:r>
      <w:proofErr w:type="spellEnd"/>
      <w:r w:rsidR="00DA46DC" w:rsidRPr="00662E31">
        <w:rPr>
          <w:color w:val="auto"/>
        </w:rPr>
        <w:t xml:space="preserve"> hydrogels for angiogenic induced bone regeneration. The top panel shows a schematic diagram of GelMA-vECM@BMP-2 composite hydrogels. The middle panel represents the degradation of </w:t>
      </w:r>
      <w:proofErr w:type="spellStart"/>
      <w:r w:rsidR="00DA46DC" w:rsidRPr="00662E31">
        <w:rPr>
          <w:color w:val="auto"/>
        </w:rPr>
        <w:t>GelMA</w:t>
      </w:r>
      <w:proofErr w:type="spellEnd"/>
      <w:r w:rsidR="00DA46DC" w:rsidRPr="00662E31">
        <w:rPr>
          <w:color w:val="auto"/>
        </w:rPr>
        <w:t xml:space="preserve"> and </w:t>
      </w:r>
      <w:proofErr w:type="spellStart"/>
      <w:r w:rsidR="00DA46DC" w:rsidRPr="00662E31">
        <w:rPr>
          <w:color w:val="auto"/>
        </w:rPr>
        <w:t>GelMA-vECM</w:t>
      </w:r>
      <w:proofErr w:type="spellEnd"/>
      <w:r w:rsidR="00DA46DC" w:rsidRPr="00662E31">
        <w:rPr>
          <w:color w:val="auto"/>
        </w:rPr>
        <w:t xml:space="preserve"> hydrogels and the release patterns of BMP-2 from those hydrogels. The bottom panel shows an excellent </w:t>
      </w:r>
      <w:r w:rsidR="00DA46DC" w:rsidRPr="00CB014C">
        <w:rPr>
          <w:color w:val="auto"/>
        </w:rPr>
        <w:t xml:space="preserve">bone regeneration ability of GelMA-vECM@BMP-2 hydrogel. Adapted </w:t>
      </w:r>
      <w:r w:rsidRPr="00CB014C">
        <w:rPr>
          <w:color w:val="auto"/>
        </w:rPr>
        <w:t>with</w:t>
      </w:r>
      <w:r w:rsidR="00DA46DC" w:rsidRPr="00CB014C">
        <w:rPr>
          <w:color w:val="auto"/>
        </w:rPr>
        <w:t xml:space="preserve"> </w:t>
      </w:r>
      <w:r w:rsidRPr="00CB014C">
        <w:rPr>
          <w:color w:val="auto"/>
        </w:rPr>
        <w:t xml:space="preserve">permission from Ref. </w:t>
      </w:r>
      <w:r w:rsidR="00DA46DC" w:rsidRPr="00CB014C">
        <w:rPr>
          <w:color w:val="auto"/>
        </w:rPr>
        <w:t>[</w:t>
      </w:r>
      <w:r w:rsidR="00583482" w:rsidRPr="00CB014C">
        <w:rPr>
          <w:color w:val="auto"/>
        </w:rPr>
        <w:t>7</w:t>
      </w:r>
      <w:r w:rsidR="003901BC" w:rsidRPr="00CB014C">
        <w:rPr>
          <w:color w:val="auto"/>
        </w:rPr>
        <w:t>4</w:t>
      </w:r>
      <w:r w:rsidR="00DA46DC" w:rsidRPr="00CB014C">
        <w:rPr>
          <w:color w:val="auto"/>
        </w:rPr>
        <w:t>]. Copyright 2022</w:t>
      </w:r>
      <w:r w:rsidR="00A122CF" w:rsidRPr="00CB014C">
        <w:rPr>
          <w:color w:val="auto"/>
        </w:rPr>
        <w:t>,</w:t>
      </w:r>
      <w:r w:rsidR="00DA46DC" w:rsidRPr="00CB014C">
        <w:rPr>
          <w:color w:val="auto"/>
        </w:rPr>
        <w:t xml:space="preserve"> Willey</w:t>
      </w:r>
      <w:r w:rsidR="005B0467" w:rsidRPr="00CB014C">
        <w:rPr>
          <w:color w:val="auto"/>
        </w:rPr>
        <w:t>.</w:t>
      </w:r>
      <w:r w:rsidR="00DA46DC" w:rsidRPr="00CB014C">
        <w:rPr>
          <w:color w:val="auto"/>
        </w:rPr>
        <w:t xml:space="preserve"> </w:t>
      </w:r>
      <w:r w:rsidR="00DA46DC" w:rsidRPr="00CB014C">
        <w:rPr>
          <w:b/>
          <w:bCs/>
          <w:color w:val="auto"/>
        </w:rPr>
        <w:t>(B)</w:t>
      </w:r>
      <w:r w:rsidR="00DA46DC" w:rsidRPr="00CB014C">
        <w:rPr>
          <w:color w:val="auto"/>
        </w:rPr>
        <w:t xml:space="preserve"> Spatiotemporal release of </w:t>
      </w:r>
      <w:proofErr w:type="spellStart"/>
      <w:r w:rsidR="00DA46DC" w:rsidRPr="00CB014C">
        <w:rPr>
          <w:color w:val="auto"/>
        </w:rPr>
        <w:t>bFGF</w:t>
      </w:r>
      <w:proofErr w:type="spellEnd"/>
      <w:r w:rsidR="00DA46DC" w:rsidRPr="00CB014C">
        <w:rPr>
          <w:color w:val="auto"/>
        </w:rPr>
        <w:t xml:space="preserve"> and BMP-2 from </w:t>
      </w:r>
      <w:proofErr w:type="spellStart"/>
      <w:r w:rsidR="00DA46DC" w:rsidRPr="00CB014C">
        <w:rPr>
          <w:color w:val="auto"/>
        </w:rPr>
        <w:t>GelMA</w:t>
      </w:r>
      <w:proofErr w:type="spellEnd"/>
      <w:r w:rsidR="00FE3800" w:rsidRPr="00CB014C">
        <w:rPr>
          <w:color w:val="auto"/>
        </w:rPr>
        <w:t>-</w:t>
      </w:r>
      <w:r w:rsidR="00DA46DC" w:rsidRPr="00CB014C">
        <w:rPr>
          <w:color w:val="auto"/>
        </w:rPr>
        <w:t xml:space="preserve">based hydrogels. The top panel shows a schematic illustration of the fabrication of </w:t>
      </w:r>
      <w:proofErr w:type="spellStart"/>
      <w:r w:rsidR="00DA46DC" w:rsidRPr="00CB014C">
        <w:rPr>
          <w:color w:val="auto"/>
        </w:rPr>
        <w:t>bFGF-GelMA</w:t>
      </w:r>
      <w:proofErr w:type="spellEnd"/>
      <w:r w:rsidR="00DA46DC" w:rsidRPr="00CB014C">
        <w:rPr>
          <w:color w:val="auto"/>
        </w:rPr>
        <w:t xml:space="preserve"> (F-G)/BMP-2-MCM (B-M) composite hydrogels. The middle panel represents the release kinetics of </w:t>
      </w:r>
      <w:proofErr w:type="spellStart"/>
      <w:r w:rsidR="00DA46DC" w:rsidRPr="00CB014C">
        <w:rPr>
          <w:color w:val="auto"/>
        </w:rPr>
        <w:t>bFGF</w:t>
      </w:r>
      <w:proofErr w:type="spellEnd"/>
      <w:r w:rsidR="00DA46DC" w:rsidRPr="00CB014C">
        <w:rPr>
          <w:color w:val="auto"/>
        </w:rPr>
        <w:t xml:space="preserve"> and BMP-2. The bottom panel </w:t>
      </w:r>
      <w:r w:rsidR="005B0467" w:rsidRPr="00CB014C">
        <w:rPr>
          <w:color w:val="auto"/>
        </w:rPr>
        <w:t xml:space="preserve">demonstrates </w:t>
      </w:r>
      <w:r w:rsidR="00DA46DC" w:rsidRPr="00CB014C">
        <w:rPr>
          <w:color w:val="auto"/>
        </w:rPr>
        <w:t xml:space="preserve">that the dual release of </w:t>
      </w:r>
      <w:proofErr w:type="spellStart"/>
      <w:r w:rsidR="00DA46DC" w:rsidRPr="00CB014C">
        <w:rPr>
          <w:color w:val="auto"/>
        </w:rPr>
        <w:t>bFGF</w:t>
      </w:r>
      <w:proofErr w:type="spellEnd"/>
      <w:r w:rsidR="00DA46DC" w:rsidRPr="00CB014C">
        <w:rPr>
          <w:color w:val="auto"/>
        </w:rPr>
        <w:t xml:space="preserve"> and BMP-2 (F-G/B-M) in a spatiotemporal manner significantly enhanced bone formation compared to the single release of </w:t>
      </w:r>
      <w:proofErr w:type="spellStart"/>
      <w:r w:rsidR="00DA46DC" w:rsidRPr="00CB014C">
        <w:rPr>
          <w:color w:val="auto"/>
        </w:rPr>
        <w:t>bFGF</w:t>
      </w:r>
      <w:proofErr w:type="spellEnd"/>
      <w:r w:rsidR="00DA46DC" w:rsidRPr="00CB014C">
        <w:rPr>
          <w:color w:val="auto"/>
        </w:rPr>
        <w:t xml:space="preserve">(F-G/M) or BMP-2 (G/B-M). Adapted with permission from </w:t>
      </w:r>
      <w:r w:rsidRPr="00CB014C">
        <w:rPr>
          <w:color w:val="auto"/>
        </w:rPr>
        <w:t>Ref.</w:t>
      </w:r>
      <w:r w:rsidR="00DA46DC" w:rsidRPr="00CB014C">
        <w:rPr>
          <w:color w:val="auto"/>
        </w:rPr>
        <w:t xml:space="preserve"> [</w:t>
      </w:r>
      <w:r w:rsidR="00583482" w:rsidRPr="00CB014C">
        <w:rPr>
          <w:color w:val="auto"/>
        </w:rPr>
        <w:t>8</w:t>
      </w:r>
      <w:r w:rsidR="003901BC" w:rsidRPr="00CB014C">
        <w:rPr>
          <w:color w:val="auto"/>
        </w:rPr>
        <w:t>2</w:t>
      </w:r>
      <w:r w:rsidR="00DA46DC" w:rsidRPr="00CB014C">
        <w:rPr>
          <w:color w:val="auto"/>
        </w:rPr>
        <w:t>]. Copyright 2021</w:t>
      </w:r>
      <w:r w:rsidR="00A122CF" w:rsidRPr="00CB014C">
        <w:rPr>
          <w:color w:val="auto"/>
        </w:rPr>
        <w:t>,</w:t>
      </w:r>
      <w:r w:rsidR="00DA46DC" w:rsidRPr="00CB014C">
        <w:rPr>
          <w:color w:val="auto"/>
        </w:rPr>
        <w:t xml:space="preserve"> Springer Nature.</w:t>
      </w:r>
    </w:p>
    <w:p w14:paraId="5ED097E0" w14:textId="7EC801A1" w:rsidR="00A3718F" w:rsidRPr="00777855" w:rsidRDefault="00777855" w:rsidP="00777855">
      <w:pPr>
        <w:pStyle w:val="MDPI22heading2"/>
        <w:spacing w:before="240"/>
      </w:pPr>
      <w:r w:rsidRPr="00777855">
        <w:t xml:space="preserve">3.2. </w:t>
      </w:r>
      <w:r w:rsidR="00A3718F" w:rsidRPr="00777855">
        <w:t>Antimicrobial properties (antibiotics/antimicrobial compounds/antibacterial nanoparticles)</w:t>
      </w:r>
    </w:p>
    <w:p w14:paraId="1C4B0788" w14:textId="30236E0F" w:rsidR="00E20360" w:rsidRPr="00FC2A3F" w:rsidRDefault="00E20360" w:rsidP="00777855">
      <w:pPr>
        <w:pStyle w:val="MDPI31text"/>
        <w:rPr>
          <w:color w:val="auto"/>
        </w:rPr>
      </w:pPr>
      <w:r w:rsidRPr="00E20360">
        <w:t xml:space="preserve">The nature of scaffold composition and architecture, the type, source and number of cells and the judicious addition of growth factors all play a role in developing an effective tissue regeneration strategy. A further consideration is </w:t>
      </w:r>
      <w:r w:rsidR="005B0467">
        <w:t>a</w:t>
      </w:r>
      <w:r w:rsidR="005B0467" w:rsidRPr="00E20360">
        <w:t xml:space="preserve"> </w:t>
      </w:r>
      <w:r w:rsidRPr="00E20360">
        <w:t xml:space="preserve">system with antimicrobial </w:t>
      </w:r>
      <w:r w:rsidRPr="00E20360">
        <w:lastRenderedPageBreak/>
        <w:t xml:space="preserve">properties. As with any implantation strategy, biomaterials present </w:t>
      </w:r>
      <w:r w:rsidR="005B0467">
        <w:t>a</w:t>
      </w:r>
      <w:r w:rsidR="005B0467" w:rsidRPr="00E20360">
        <w:t xml:space="preserve"> </w:t>
      </w:r>
      <w:r w:rsidRPr="00E20360">
        <w:t xml:space="preserve">risk of microbial infection. Infection at the repair site impairs tissue healing </w:t>
      </w:r>
      <w:r w:rsidR="005B0467">
        <w:t xml:space="preserve">and </w:t>
      </w:r>
      <w:r w:rsidRPr="00E20360">
        <w:t xml:space="preserve">can lead to costly revision and risk of significant damage to patient health with </w:t>
      </w:r>
      <w:r w:rsidR="005B0467">
        <w:t xml:space="preserve">the </w:t>
      </w:r>
      <w:r w:rsidRPr="00E20360">
        <w:t xml:space="preserve">associated costs to economic and social well-being/quality of life of the patient and the healthcare system. In the context of bone repair, superficial bacterial colonization manifests itself into deeper infections </w:t>
      </w:r>
      <w:r w:rsidRPr="002F75E9">
        <w:rPr>
          <w:color w:val="auto"/>
        </w:rPr>
        <w:t>resulting in osteomyelitis</w:t>
      </w:r>
      <w:r w:rsidR="005B0467">
        <w:rPr>
          <w:color w:val="auto"/>
        </w:rPr>
        <w:t>,</w:t>
      </w:r>
      <w:r w:rsidRPr="002F75E9">
        <w:rPr>
          <w:color w:val="auto"/>
        </w:rPr>
        <w:t xml:space="preserve"> a progressive inflammatory response leading to bone destruction [</w:t>
      </w:r>
      <w:r w:rsidR="00583482" w:rsidRPr="002F75E9">
        <w:rPr>
          <w:color w:val="auto"/>
        </w:rPr>
        <w:t>8</w:t>
      </w:r>
      <w:r w:rsidR="003901BC">
        <w:rPr>
          <w:color w:val="auto"/>
        </w:rPr>
        <w:t>4</w:t>
      </w:r>
      <w:r w:rsidRPr="002F75E9">
        <w:rPr>
          <w:color w:val="auto"/>
        </w:rPr>
        <w:t xml:space="preserve">]. The most common clinical practice to treat the infection is systemic administration of high </w:t>
      </w:r>
      <w:r w:rsidR="005B0467">
        <w:rPr>
          <w:color w:val="auto"/>
        </w:rPr>
        <w:t xml:space="preserve">and </w:t>
      </w:r>
      <w:r w:rsidRPr="002F75E9">
        <w:rPr>
          <w:color w:val="auto"/>
        </w:rPr>
        <w:t xml:space="preserve">frequent doses of antibiotics post removal of the infected tissue </w:t>
      </w:r>
      <w:r w:rsidR="005B0467">
        <w:rPr>
          <w:color w:val="auto"/>
        </w:rPr>
        <w:t>which</w:t>
      </w:r>
      <w:r w:rsidR="005B0467" w:rsidRPr="002F75E9">
        <w:rPr>
          <w:color w:val="auto"/>
        </w:rPr>
        <w:t xml:space="preserve"> </w:t>
      </w:r>
      <w:r w:rsidRPr="002F75E9">
        <w:rPr>
          <w:color w:val="auto"/>
        </w:rPr>
        <w:t xml:space="preserve">can result in drug-associated toxicity along with drug resistance. The alternative to this rather aggressive and often ineffective approach </w:t>
      </w:r>
      <w:r w:rsidR="005B0467">
        <w:rPr>
          <w:color w:val="auto"/>
        </w:rPr>
        <w:t>(</w:t>
      </w:r>
      <w:r w:rsidRPr="002F75E9">
        <w:rPr>
          <w:color w:val="auto"/>
        </w:rPr>
        <w:t>due to poor penetration of the drug</w:t>
      </w:r>
      <w:r w:rsidR="005B0467">
        <w:rPr>
          <w:color w:val="auto"/>
        </w:rPr>
        <w:t>)</w:t>
      </w:r>
      <w:r w:rsidRPr="002F75E9">
        <w:rPr>
          <w:color w:val="auto"/>
        </w:rPr>
        <w:t xml:space="preserve">, is to design systems that can locally administer antimicrobial agents including antibiotics or other anti-infective agents thus providing a first line of </w:t>
      </w:r>
      <w:r w:rsidR="007F4BF2" w:rsidRPr="002F75E9">
        <w:rPr>
          <w:color w:val="auto"/>
        </w:rPr>
        <w:t>defense</w:t>
      </w:r>
      <w:r w:rsidRPr="002F75E9">
        <w:rPr>
          <w:color w:val="auto"/>
        </w:rPr>
        <w:t xml:space="preserve"> to bacterial colonization. The ability of gelatin and/or functionalized gelatin for localized delivery of these agents in a sustained fashion over prolonged periods has been exploited in different ways. A common approach relies on combining the hydrogel with antibiotics where the drug is loaded into the matrix through passive diffusion. This was utilized by Shi et al where colistin sulphate was loaded into the gelatin microparticles during the swelling of </w:t>
      </w:r>
      <w:r w:rsidR="005B0467">
        <w:rPr>
          <w:color w:val="auto"/>
        </w:rPr>
        <w:t xml:space="preserve">the </w:t>
      </w:r>
      <w:r w:rsidRPr="002F75E9">
        <w:rPr>
          <w:color w:val="auto"/>
        </w:rPr>
        <w:t xml:space="preserve">dry polymer, which was then combined with polymethylmethacrylate construct. An </w:t>
      </w:r>
      <w:r w:rsidRPr="00747173">
        <w:rPr>
          <w:color w:val="auto"/>
        </w:rPr>
        <w:t>in vitro</w:t>
      </w:r>
      <w:r w:rsidRPr="002F75E9">
        <w:rPr>
          <w:color w:val="auto"/>
        </w:rPr>
        <w:t xml:space="preserve"> release study confirmed the release of the antibiotic as the microparticles degraded enzymatically</w:t>
      </w:r>
      <w:r w:rsidR="005B0467">
        <w:rPr>
          <w:color w:val="auto"/>
        </w:rPr>
        <w:t>,</w:t>
      </w:r>
      <w:r w:rsidRPr="002F75E9">
        <w:rPr>
          <w:color w:val="auto"/>
        </w:rPr>
        <w:t xml:space="preserve"> releasing 10 µg/ml </w:t>
      </w:r>
      <w:r w:rsidR="005B0467">
        <w:rPr>
          <w:color w:val="auto"/>
        </w:rPr>
        <w:t xml:space="preserve">of </w:t>
      </w:r>
      <w:r w:rsidRPr="002F75E9">
        <w:rPr>
          <w:color w:val="auto"/>
        </w:rPr>
        <w:t>antibiotic per day over the period of two weeks [</w:t>
      </w:r>
      <w:r w:rsidR="00583482" w:rsidRPr="002F75E9">
        <w:rPr>
          <w:color w:val="auto"/>
        </w:rPr>
        <w:t>8</w:t>
      </w:r>
      <w:r w:rsidR="003901BC">
        <w:rPr>
          <w:color w:val="auto"/>
        </w:rPr>
        <w:t>5</w:t>
      </w:r>
      <w:r w:rsidRPr="002F75E9">
        <w:rPr>
          <w:color w:val="auto"/>
        </w:rPr>
        <w:t xml:space="preserve">]. Similarly, gentamycin loaded into </w:t>
      </w:r>
      <w:proofErr w:type="spellStart"/>
      <w:r w:rsidRPr="002F75E9">
        <w:rPr>
          <w:color w:val="auto"/>
        </w:rPr>
        <w:t>genipin</w:t>
      </w:r>
      <w:proofErr w:type="spellEnd"/>
      <w:r w:rsidRPr="002F75E9">
        <w:rPr>
          <w:color w:val="auto"/>
        </w:rPr>
        <w:t xml:space="preserve">-crosslinked gelatin combined with β-tricalcium phosphate scaffold provided a sustained release of the antibiotic over a period of four weeks that was effective </w:t>
      </w:r>
      <w:r w:rsidRPr="00165B80">
        <w:rPr>
          <w:color w:val="auto"/>
        </w:rPr>
        <w:t>both in vitro</w:t>
      </w:r>
      <w:r w:rsidRPr="002F75E9">
        <w:rPr>
          <w:color w:val="auto"/>
        </w:rPr>
        <w:t xml:space="preserve"> against </w:t>
      </w:r>
      <w:r w:rsidRPr="002F75E9">
        <w:rPr>
          <w:i/>
          <w:iCs/>
          <w:color w:val="auto"/>
        </w:rPr>
        <w:t>Staphylococcus aureus</w:t>
      </w:r>
      <w:r w:rsidRPr="002F75E9">
        <w:rPr>
          <w:color w:val="auto"/>
        </w:rPr>
        <w:t xml:space="preserve"> </w:t>
      </w:r>
      <w:r w:rsidRPr="00165B80">
        <w:rPr>
          <w:color w:val="auto"/>
        </w:rPr>
        <w:t>and in vivo</w:t>
      </w:r>
      <w:r w:rsidRPr="002F75E9">
        <w:rPr>
          <w:color w:val="auto"/>
        </w:rPr>
        <w:t xml:space="preserve"> in a mouse osteomyelitis model.[</w:t>
      </w:r>
      <w:r w:rsidR="00583482" w:rsidRPr="002F75E9">
        <w:rPr>
          <w:color w:val="auto"/>
        </w:rPr>
        <w:t>8</w:t>
      </w:r>
      <w:r w:rsidR="003901BC">
        <w:rPr>
          <w:color w:val="auto"/>
        </w:rPr>
        <w:t>6</w:t>
      </w:r>
      <w:r w:rsidRPr="002F75E9">
        <w:rPr>
          <w:color w:val="auto"/>
        </w:rPr>
        <w:t>] Several different iterations were thereafter reported which combined different antibiotics with gelatin either employed as microspheres/microparticles or as bulk hydrogels that were then combined with other bioactive ceramics [</w:t>
      </w:r>
      <w:r w:rsidR="003901BC">
        <w:rPr>
          <w:color w:val="auto"/>
        </w:rPr>
        <w:t>87</w:t>
      </w:r>
      <w:r w:rsidR="00FB3E02">
        <w:rPr>
          <w:color w:val="auto"/>
        </w:rPr>
        <w:t>–</w:t>
      </w:r>
      <w:r w:rsidR="00583482" w:rsidRPr="002F75E9">
        <w:rPr>
          <w:color w:val="auto"/>
        </w:rPr>
        <w:t>89</w:t>
      </w:r>
      <w:r w:rsidRPr="002F75E9">
        <w:rPr>
          <w:color w:val="auto"/>
        </w:rPr>
        <w:t>] or polymers [</w:t>
      </w:r>
      <w:r w:rsidR="003901BC">
        <w:rPr>
          <w:color w:val="auto"/>
        </w:rPr>
        <w:t>90,</w:t>
      </w:r>
      <w:r w:rsidR="00583482" w:rsidRPr="002F75E9">
        <w:rPr>
          <w:color w:val="auto"/>
        </w:rPr>
        <w:t>91</w:t>
      </w:r>
      <w:r w:rsidRPr="002F75E9">
        <w:rPr>
          <w:color w:val="auto"/>
        </w:rPr>
        <w:t>]. Another approach relied on combining the high surface area of mesoporous silica</w:t>
      </w:r>
      <w:r w:rsidR="005B0467">
        <w:rPr>
          <w:color w:val="auto"/>
        </w:rPr>
        <w:t>,</w:t>
      </w:r>
      <w:r w:rsidRPr="002F75E9">
        <w:rPr>
          <w:color w:val="auto"/>
        </w:rPr>
        <w:t xml:space="preserve"> for sustained delivery of minocycline</w:t>
      </w:r>
      <w:r w:rsidR="005B0467">
        <w:rPr>
          <w:color w:val="auto"/>
        </w:rPr>
        <w:t>,</w:t>
      </w:r>
      <w:r w:rsidRPr="002F75E9">
        <w:rPr>
          <w:color w:val="auto"/>
        </w:rPr>
        <w:t xml:space="preserve"> with the photothermal gold </w:t>
      </w:r>
      <w:proofErr w:type="spellStart"/>
      <w:r w:rsidRPr="002F75E9">
        <w:rPr>
          <w:color w:val="auto"/>
        </w:rPr>
        <w:t>nanobiopyramids</w:t>
      </w:r>
      <w:proofErr w:type="spellEnd"/>
      <w:r w:rsidRPr="002F75E9">
        <w:rPr>
          <w:color w:val="auto"/>
        </w:rPr>
        <w:t xml:space="preserve"> (Au NBPs) dispersed within </w:t>
      </w:r>
      <w:proofErr w:type="spellStart"/>
      <w:r w:rsidRPr="002F75E9">
        <w:rPr>
          <w:color w:val="auto"/>
        </w:rPr>
        <w:t>GelMA</w:t>
      </w:r>
      <w:proofErr w:type="spellEnd"/>
      <w:r w:rsidRPr="002F75E9">
        <w:rPr>
          <w:color w:val="auto"/>
        </w:rPr>
        <w:t xml:space="preserve"> to create a hybrid system for treating periodontitis</w:t>
      </w:r>
      <w:r w:rsidRPr="00E20360">
        <w:t>. The authors proposed that combining the bioactive minocycline-loaded silica</w:t>
      </w:r>
      <w:r w:rsidR="005B0467">
        <w:t>-</w:t>
      </w:r>
      <w:r w:rsidRPr="00E20360">
        <w:t xml:space="preserve">coated </w:t>
      </w:r>
      <w:proofErr w:type="spellStart"/>
      <w:r w:rsidRPr="00E20360">
        <w:t>AuBNP</w:t>
      </w:r>
      <w:proofErr w:type="spellEnd"/>
      <w:r w:rsidRPr="00E20360">
        <w:t xml:space="preserve"> with the hydrogel could provide localized retention and prolonged availability of the antibiotic, thereby eliminating </w:t>
      </w:r>
      <w:r w:rsidRPr="00FC2A3F">
        <w:rPr>
          <w:color w:val="auto"/>
        </w:rPr>
        <w:t>the pathogen while the photothermal therapy could maintain reduced bacterial retention [</w:t>
      </w:r>
      <w:r w:rsidR="00583482" w:rsidRPr="00FC2A3F">
        <w:rPr>
          <w:color w:val="auto"/>
        </w:rPr>
        <w:t>9</w:t>
      </w:r>
      <w:r w:rsidR="003901BC">
        <w:rPr>
          <w:color w:val="auto"/>
        </w:rPr>
        <w:t>2</w:t>
      </w:r>
      <w:r w:rsidRPr="00FC2A3F">
        <w:rPr>
          <w:color w:val="auto"/>
        </w:rPr>
        <w:t xml:space="preserve">]. This capability is not limited to gold nanoparticles but has been expanded to other systems </w:t>
      </w:r>
      <w:r w:rsidR="005B0467">
        <w:rPr>
          <w:color w:val="auto"/>
        </w:rPr>
        <w:t>such as</w:t>
      </w:r>
      <w:r w:rsidR="005B0467" w:rsidRPr="00FC2A3F">
        <w:rPr>
          <w:color w:val="auto"/>
        </w:rPr>
        <w:t xml:space="preserve"> </w:t>
      </w:r>
      <w:r w:rsidRPr="00FC2A3F">
        <w:rPr>
          <w:color w:val="auto"/>
        </w:rPr>
        <w:t>β-cyclodextrin (βCD) functionalized graphene oxide (GO) [</w:t>
      </w:r>
      <w:r w:rsidR="00583482" w:rsidRPr="00FC2A3F">
        <w:rPr>
          <w:color w:val="auto"/>
        </w:rPr>
        <w:t>9</w:t>
      </w:r>
      <w:r w:rsidR="003901BC">
        <w:rPr>
          <w:color w:val="auto"/>
        </w:rPr>
        <w:t>3</w:t>
      </w:r>
      <w:r w:rsidRPr="00FC2A3F">
        <w:rPr>
          <w:color w:val="auto"/>
        </w:rPr>
        <w:t>]. This photothermal system</w:t>
      </w:r>
      <w:r w:rsidR="005B0467">
        <w:rPr>
          <w:color w:val="auto"/>
        </w:rPr>
        <w:t>,</w:t>
      </w:r>
      <w:r w:rsidRPr="00FC2A3F">
        <w:rPr>
          <w:color w:val="auto"/>
        </w:rPr>
        <w:t xml:space="preserve"> combined with modified </w:t>
      </w:r>
      <w:proofErr w:type="spellStart"/>
      <w:r w:rsidRPr="00FC2A3F">
        <w:rPr>
          <w:color w:val="auto"/>
        </w:rPr>
        <w:t>GelMA</w:t>
      </w:r>
      <w:proofErr w:type="spellEnd"/>
      <w:r w:rsidRPr="00FC2A3F">
        <w:rPr>
          <w:color w:val="auto"/>
        </w:rPr>
        <w:t>-hyaluronic acid (HA) graft</w:t>
      </w:r>
      <w:r w:rsidR="005B0467">
        <w:rPr>
          <w:color w:val="auto"/>
        </w:rPr>
        <w:t>,</w:t>
      </w:r>
      <w:r w:rsidRPr="00FC2A3F">
        <w:rPr>
          <w:color w:val="auto"/>
        </w:rPr>
        <w:t xml:space="preserve"> was capable of complete wound healing of bacterially infected wounds (Figure </w:t>
      </w:r>
      <w:r w:rsidR="00583482" w:rsidRPr="00FC2A3F">
        <w:rPr>
          <w:color w:val="auto"/>
        </w:rPr>
        <w:t>4</w:t>
      </w:r>
      <w:r w:rsidRPr="00FC2A3F">
        <w:rPr>
          <w:color w:val="auto"/>
        </w:rPr>
        <w:t xml:space="preserve">A). The system shows potential combination with titanium implants where the </w:t>
      </w:r>
      <w:r w:rsidR="005B0467" w:rsidRPr="00FC2A3F">
        <w:rPr>
          <w:color w:val="auto"/>
        </w:rPr>
        <w:t>dopamine</w:t>
      </w:r>
      <w:r w:rsidR="005B0467">
        <w:rPr>
          <w:color w:val="auto"/>
        </w:rPr>
        <w:t>-</w:t>
      </w:r>
      <w:r w:rsidRPr="00FC2A3F">
        <w:rPr>
          <w:color w:val="auto"/>
        </w:rPr>
        <w:t xml:space="preserve">modified HA (HA-DA) could improve metal adhesion and combination with </w:t>
      </w:r>
      <w:r w:rsidR="005B0467" w:rsidRPr="00FC2A3F">
        <w:rPr>
          <w:color w:val="auto"/>
        </w:rPr>
        <w:t>near</w:t>
      </w:r>
      <w:r w:rsidR="005B0467">
        <w:rPr>
          <w:color w:val="auto"/>
        </w:rPr>
        <w:t>-</w:t>
      </w:r>
      <w:r w:rsidRPr="00FC2A3F">
        <w:rPr>
          <w:color w:val="auto"/>
        </w:rPr>
        <w:t>infrared (NIR)-sensitive GO-βCD could target bacterial infection.</w:t>
      </w:r>
    </w:p>
    <w:p w14:paraId="2657877D" w14:textId="5935A252" w:rsidR="00DA46DC" w:rsidRPr="005938A7" w:rsidRDefault="00DA46DC" w:rsidP="00777855">
      <w:pPr>
        <w:pStyle w:val="MDPI31text"/>
        <w:rPr>
          <w:color w:val="auto"/>
        </w:rPr>
      </w:pPr>
      <w:r w:rsidRPr="00FC2A3F">
        <w:rPr>
          <w:color w:val="auto"/>
        </w:rPr>
        <w:t xml:space="preserve">The increase in bacterial resistance to antibiotics has prompted researchers to find alternatives that are effective in addressing microbial infection. Approaches include </w:t>
      </w:r>
      <w:r w:rsidR="005B0467">
        <w:rPr>
          <w:color w:val="auto"/>
        </w:rPr>
        <w:t xml:space="preserve">the </w:t>
      </w:r>
      <w:r w:rsidRPr="00FC2A3F">
        <w:rPr>
          <w:color w:val="auto"/>
        </w:rPr>
        <w:t>utilization of metal and metal nanoparticles, antimicrobial peptides (AMP) or cationic polymers. One such approach combined a short cationic AMP, HHC36</w:t>
      </w:r>
      <w:r w:rsidR="005B0467">
        <w:rPr>
          <w:color w:val="auto"/>
        </w:rPr>
        <w:t>,</w:t>
      </w:r>
      <w:r w:rsidRPr="00FC2A3F">
        <w:rPr>
          <w:color w:val="auto"/>
        </w:rPr>
        <w:t xml:space="preserve"> with synthetic silica nanoparticles dispersed within </w:t>
      </w:r>
      <w:proofErr w:type="gramStart"/>
      <w:r w:rsidR="005B0467" w:rsidRPr="00FC2A3F">
        <w:rPr>
          <w:color w:val="auto"/>
        </w:rPr>
        <w:t>catechol</w:t>
      </w:r>
      <w:r w:rsidR="005B0467">
        <w:rPr>
          <w:color w:val="auto"/>
        </w:rPr>
        <w:t>-</w:t>
      </w:r>
      <w:r w:rsidRPr="00FC2A3F">
        <w:rPr>
          <w:color w:val="auto"/>
        </w:rPr>
        <w:t>modified</w:t>
      </w:r>
      <w:proofErr w:type="gramEnd"/>
      <w:r w:rsidRPr="00FC2A3F">
        <w:rPr>
          <w:color w:val="auto"/>
        </w:rPr>
        <w:t xml:space="preserve"> </w:t>
      </w:r>
      <w:proofErr w:type="spellStart"/>
      <w:r w:rsidRPr="00FC2A3F">
        <w:rPr>
          <w:color w:val="auto"/>
        </w:rPr>
        <w:t>GelMA</w:t>
      </w:r>
      <w:proofErr w:type="spellEnd"/>
      <w:r w:rsidRPr="00FC2A3F">
        <w:rPr>
          <w:color w:val="auto"/>
        </w:rPr>
        <w:t xml:space="preserve"> onto titanium for improved hydrogel adhesion to titanium, upregulated osseointegration and </w:t>
      </w:r>
      <w:r w:rsidR="005B0467" w:rsidRPr="00FC2A3F">
        <w:rPr>
          <w:color w:val="auto"/>
        </w:rPr>
        <w:t>preventi</w:t>
      </w:r>
      <w:r w:rsidR="005B0467">
        <w:rPr>
          <w:color w:val="auto"/>
        </w:rPr>
        <w:t>on of</w:t>
      </w:r>
      <w:r w:rsidR="005B0467" w:rsidRPr="00FC2A3F">
        <w:rPr>
          <w:color w:val="auto"/>
        </w:rPr>
        <w:t xml:space="preserve"> </w:t>
      </w:r>
      <w:r w:rsidRPr="00FC2A3F">
        <w:rPr>
          <w:color w:val="auto"/>
        </w:rPr>
        <w:t xml:space="preserve">bacterial infection. The incorporation of HHC36 did not affect the </w:t>
      </w:r>
      <w:proofErr w:type="spellStart"/>
      <w:r w:rsidRPr="00FC2A3F">
        <w:rPr>
          <w:color w:val="auto"/>
        </w:rPr>
        <w:t>physico</w:t>
      </w:r>
      <w:proofErr w:type="spellEnd"/>
      <w:r w:rsidRPr="00FC2A3F">
        <w:rPr>
          <w:color w:val="auto"/>
        </w:rPr>
        <w:t xml:space="preserve">-mechanical properties of the bioactive coating but was highly effective in </w:t>
      </w:r>
      <w:r w:rsidR="005B0467">
        <w:rPr>
          <w:color w:val="auto"/>
        </w:rPr>
        <w:t xml:space="preserve">the </w:t>
      </w:r>
      <w:r w:rsidRPr="00FC2A3F">
        <w:rPr>
          <w:color w:val="auto"/>
        </w:rPr>
        <w:t xml:space="preserve">complete elimination of both </w:t>
      </w:r>
      <w:r w:rsidR="005B0467" w:rsidRPr="00FC2A3F">
        <w:rPr>
          <w:color w:val="auto"/>
        </w:rPr>
        <w:t>Gram</w:t>
      </w:r>
      <w:r w:rsidR="005B0467">
        <w:rPr>
          <w:color w:val="auto"/>
        </w:rPr>
        <w:t>-</w:t>
      </w:r>
      <w:r w:rsidRPr="00FC2A3F">
        <w:rPr>
          <w:color w:val="auto"/>
        </w:rPr>
        <w:t>positive and Gram-negative bacteria. The initial burst release of 37% in the first 24h</w:t>
      </w:r>
      <w:r w:rsidR="005B0467">
        <w:rPr>
          <w:color w:val="auto"/>
        </w:rPr>
        <w:t>,</w:t>
      </w:r>
      <w:r w:rsidRPr="00FC2A3F">
        <w:rPr>
          <w:color w:val="auto"/>
        </w:rPr>
        <w:t xml:space="preserve"> followed by a sustained release of 90% of loaded AMP over the period of the next 20 days</w:t>
      </w:r>
      <w:r w:rsidR="005B0467">
        <w:rPr>
          <w:color w:val="auto"/>
        </w:rPr>
        <w:t>,</w:t>
      </w:r>
      <w:r w:rsidRPr="00FC2A3F">
        <w:rPr>
          <w:color w:val="auto"/>
        </w:rPr>
        <w:t xml:space="preserve"> demonstrated a promising approach to preventing implant-associated infection [</w:t>
      </w:r>
      <w:r w:rsidR="00583482" w:rsidRPr="00FC2A3F">
        <w:rPr>
          <w:color w:val="auto"/>
        </w:rPr>
        <w:t>9</w:t>
      </w:r>
      <w:r w:rsidR="003901BC">
        <w:rPr>
          <w:color w:val="auto"/>
        </w:rPr>
        <w:t>4</w:t>
      </w:r>
      <w:r w:rsidRPr="00FC2A3F">
        <w:rPr>
          <w:color w:val="auto"/>
        </w:rPr>
        <w:t>]. Metal nanoparticles (NPs) like silver [</w:t>
      </w:r>
      <w:r w:rsidR="00583482" w:rsidRPr="00FC2A3F">
        <w:rPr>
          <w:color w:val="auto"/>
        </w:rPr>
        <w:t>9</w:t>
      </w:r>
      <w:r w:rsidR="003901BC">
        <w:rPr>
          <w:color w:val="auto"/>
        </w:rPr>
        <w:t>5</w:t>
      </w:r>
      <w:r w:rsidRPr="00FC2A3F">
        <w:rPr>
          <w:color w:val="auto"/>
        </w:rPr>
        <w:t>] and zinc [</w:t>
      </w:r>
      <w:r w:rsidR="00583482" w:rsidRPr="00FC2A3F">
        <w:rPr>
          <w:color w:val="auto"/>
        </w:rPr>
        <w:t>9</w:t>
      </w:r>
      <w:r w:rsidR="003901BC">
        <w:rPr>
          <w:color w:val="auto"/>
        </w:rPr>
        <w:t>6</w:t>
      </w:r>
      <w:r w:rsidRPr="00FC2A3F">
        <w:rPr>
          <w:color w:val="auto"/>
        </w:rPr>
        <w:t xml:space="preserve">] have been combined with </w:t>
      </w:r>
      <w:proofErr w:type="spellStart"/>
      <w:r w:rsidRPr="00FC2A3F">
        <w:rPr>
          <w:color w:val="auto"/>
        </w:rPr>
        <w:t>GelMA</w:t>
      </w:r>
      <w:proofErr w:type="spellEnd"/>
      <w:r w:rsidRPr="00FC2A3F">
        <w:rPr>
          <w:color w:val="auto"/>
        </w:rPr>
        <w:t xml:space="preserve"> in </w:t>
      </w:r>
      <w:r>
        <w:t xml:space="preserve">different settings to impart antibacterial properties. One such study utilized functionalized GO as an active reservoir of antibacterial zinc that was combined with </w:t>
      </w:r>
      <w:proofErr w:type="spellStart"/>
      <w:r>
        <w:t>GelMA</w:t>
      </w:r>
      <w:proofErr w:type="spellEnd"/>
      <w:r>
        <w:t xml:space="preserve">-phenylboronic acid to coat titanium substrates to improve cytocompatibility, </w:t>
      </w:r>
      <w:r w:rsidR="005B0467">
        <w:t xml:space="preserve">and </w:t>
      </w:r>
      <w:r>
        <w:lastRenderedPageBreak/>
        <w:t>osteogenic capability</w:t>
      </w:r>
      <w:r w:rsidR="005B0467">
        <w:t>,</w:t>
      </w:r>
      <w:r>
        <w:t xml:space="preserve"> while being anti-infective </w:t>
      </w:r>
      <w:r w:rsidRPr="005938A7">
        <w:rPr>
          <w:color w:val="auto"/>
        </w:rPr>
        <w:t xml:space="preserve">against </w:t>
      </w:r>
      <w:r w:rsidRPr="005938A7">
        <w:rPr>
          <w:i/>
          <w:iCs/>
          <w:color w:val="auto"/>
        </w:rPr>
        <w:t>P aeruginosa</w:t>
      </w:r>
      <w:r w:rsidRPr="005938A7">
        <w:rPr>
          <w:color w:val="auto"/>
        </w:rPr>
        <w:t xml:space="preserve"> and </w:t>
      </w:r>
      <w:r w:rsidRPr="005938A7">
        <w:rPr>
          <w:i/>
          <w:iCs/>
          <w:color w:val="auto"/>
        </w:rPr>
        <w:t>S aureus</w:t>
      </w:r>
      <w:r w:rsidRPr="005938A7">
        <w:rPr>
          <w:color w:val="auto"/>
        </w:rPr>
        <w:t xml:space="preserve"> [</w:t>
      </w:r>
      <w:r w:rsidR="00583482" w:rsidRPr="005938A7">
        <w:rPr>
          <w:color w:val="auto"/>
        </w:rPr>
        <w:t>9</w:t>
      </w:r>
      <w:r w:rsidR="003901BC">
        <w:rPr>
          <w:color w:val="auto"/>
        </w:rPr>
        <w:t>6</w:t>
      </w:r>
      <w:r w:rsidRPr="005938A7">
        <w:rPr>
          <w:color w:val="auto"/>
        </w:rPr>
        <w:t>]. The hydrogel layer provides hydrophilicity to the surface</w:t>
      </w:r>
      <w:r w:rsidR="005B0467">
        <w:rPr>
          <w:color w:val="auto"/>
        </w:rPr>
        <w:t>,</w:t>
      </w:r>
      <w:r w:rsidRPr="005938A7">
        <w:rPr>
          <w:color w:val="auto"/>
        </w:rPr>
        <w:t xml:space="preserve"> while maintaining a sustained release of the antibacterial zinc ions that was observed also to improve the cellular response. Another approach utilized a hybrid </w:t>
      </w:r>
      <w:proofErr w:type="spellStart"/>
      <w:r w:rsidRPr="005938A7">
        <w:rPr>
          <w:color w:val="auto"/>
        </w:rPr>
        <w:t>GelMA-methacrylated</w:t>
      </w:r>
      <w:proofErr w:type="spellEnd"/>
      <w:r w:rsidRPr="005938A7">
        <w:rPr>
          <w:color w:val="auto"/>
        </w:rPr>
        <w:t xml:space="preserve"> hyaluronic acid hydrogel as a barrier layer providing different functions [</w:t>
      </w:r>
      <w:r w:rsidR="00583482" w:rsidRPr="005938A7">
        <w:rPr>
          <w:color w:val="auto"/>
        </w:rPr>
        <w:t>9</w:t>
      </w:r>
      <w:r w:rsidR="003901BC">
        <w:rPr>
          <w:color w:val="auto"/>
        </w:rPr>
        <w:t>7</w:t>
      </w:r>
      <w:r w:rsidRPr="005938A7">
        <w:rPr>
          <w:color w:val="auto"/>
        </w:rPr>
        <w:t xml:space="preserve">]. Under normal conditions, the hydrogel layer controlled the release of zinc from </w:t>
      </w:r>
      <w:r w:rsidR="005B0467">
        <w:rPr>
          <w:color w:val="auto"/>
        </w:rPr>
        <w:t xml:space="preserve">the </w:t>
      </w:r>
      <w:r w:rsidRPr="005938A7">
        <w:rPr>
          <w:color w:val="auto"/>
        </w:rPr>
        <w:t>zinc oxide (</w:t>
      </w:r>
      <w:proofErr w:type="spellStart"/>
      <w:r w:rsidRPr="005938A7">
        <w:rPr>
          <w:color w:val="auto"/>
        </w:rPr>
        <w:t>ZnO</w:t>
      </w:r>
      <w:proofErr w:type="spellEnd"/>
      <w:r w:rsidRPr="005938A7">
        <w:rPr>
          <w:color w:val="auto"/>
        </w:rPr>
        <w:t xml:space="preserve">) layer electrodeposited on titanium and permitted cell infiltration and soft tissue integration and protection against </w:t>
      </w:r>
      <w:proofErr w:type="spellStart"/>
      <w:r w:rsidRPr="005938A7">
        <w:rPr>
          <w:color w:val="auto"/>
        </w:rPr>
        <w:t>ZnO</w:t>
      </w:r>
      <w:proofErr w:type="spellEnd"/>
      <w:r w:rsidRPr="005938A7">
        <w:rPr>
          <w:color w:val="auto"/>
        </w:rPr>
        <w:t xml:space="preserve"> toxicity. However, under infective conditions, the hydrogel layer degrades</w:t>
      </w:r>
      <w:r w:rsidR="005B0467">
        <w:rPr>
          <w:color w:val="auto"/>
        </w:rPr>
        <w:t>,</w:t>
      </w:r>
      <w:r w:rsidRPr="005938A7">
        <w:rPr>
          <w:color w:val="auto"/>
        </w:rPr>
        <w:t xml:space="preserve"> releasing zinc into the environment which effectively combats infection. A multifaceted hydrogel system with improved </w:t>
      </w:r>
      <w:proofErr w:type="spellStart"/>
      <w:r w:rsidRPr="005938A7">
        <w:rPr>
          <w:color w:val="auto"/>
        </w:rPr>
        <w:t>osteoimmunomodulatory</w:t>
      </w:r>
      <w:proofErr w:type="spellEnd"/>
      <w:r w:rsidRPr="005938A7">
        <w:rPr>
          <w:color w:val="auto"/>
        </w:rPr>
        <w:t xml:space="preserve"> and antibacterial properties was fabricated by combining silver nanoparticles and halloysite nanotubes (HNT) with </w:t>
      </w:r>
      <w:proofErr w:type="spellStart"/>
      <w:r w:rsidRPr="005938A7">
        <w:rPr>
          <w:color w:val="auto"/>
        </w:rPr>
        <w:t>GelMA</w:t>
      </w:r>
      <w:proofErr w:type="spellEnd"/>
      <w:r w:rsidRPr="005938A7">
        <w:rPr>
          <w:color w:val="auto"/>
        </w:rPr>
        <w:t xml:space="preserve"> (Figure </w:t>
      </w:r>
      <w:r w:rsidR="00583482" w:rsidRPr="005938A7">
        <w:rPr>
          <w:color w:val="auto"/>
        </w:rPr>
        <w:t>4</w:t>
      </w:r>
      <w:r w:rsidRPr="005938A7">
        <w:rPr>
          <w:color w:val="auto"/>
        </w:rPr>
        <w:t>B) [</w:t>
      </w:r>
      <w:r w:rsidR="00583482" w:rsidRPr="005938A7">
        <w:rPr>
          <w:color w:val="auto"/>
        </w:rPr>
        <w:t>9</w:t>
      </w:r>
      <w:r w:rsidR="003901BC">
        <w:rPr>
          <w:color w:val="auto"/>
        </w:rPr>
        <w:t>5</w:t>
      </w:r>
      <w:r w:rsidRPr="005938A7">
        <w:rPr>
          <w:color w:val="auto"/>
        </w:rPr>
        <w:t xml:space="preserve">]. The nanocomposite system was biocompatible, </w:t>
      </w:r>
      <w:proofErr w:type="gramStart"/>
      <w:r w:rsidRPr="005938A7">
        <w:rPr>
          <w:color w:val="auto"/>
        </w:rPr>
        <w:t>antibacterial</w:t>
      </w:r>
      <w:proofErr w:type="gramEnd"/>
      <w:r w:rsidRPr="005938A7">
        <w:rPr>
          <w:color w:val="auto"/>
        </w:rPr>
        <w:t xml:space="preserve"> and effective in supporting osteogenic differentiation under normal and inflammatory conditions </w:t>
      </w:r>
      <w:r w:rsidRPr="00747173">
        <w:rPr>
          <w:color w:val="auto"/>
        </w:rPr>
        <w:t>in vitro</w:t>
      </w:r>
      <w:r w:rsidRPr="005938A7">
        <w:rPr>
          <w:color w:val="auto"/>
        </w:rPr>
        <w:t xml:space="preserve"> and bone regeneration under infective </w:t>
      </w:r>
      <w:r w:rsidRPr="00FB05B7">
        <w:rPr>
          <w:color w:val="auto"/>
        </w:rPr>
        <w:t>conditions in vivo</w:t>
      </w:r>
      <w:r w:rsidRPr="005938A7">
        <w:rPr>
          <w:color w:val="auto"/>
        </w:rPr>
        <w:t>.</w:t>
      </w:r>
    </w:p>
    <w:p w14:paraId="163894FC" w14:textId="2AF9B70D" w:rsidR="00DA46DC" w:rsidRDefault="00DA46DC" w:rsidP="00777855">
      <w:pPr>
        <w:pStyle w:val="MDPI31text"/>
      </w:pPr>
      <w:r w:rsidRPr="005938A7">
        <w:rPr>
          <w:color w:val="auto"/>
        </w:rPr>
        <w:t>A recent study by Yin et al [</w:t>
      </w:r>
      <w:r w:rsidR="00583482" w:rsidRPr="005938A7">
        <w:rPr>
          <w:color w:val="auto"/>
        </w:rPr>
        <w:t>9</w:t>
      </w:r>
      <w:r w:rsidR="003901BC">
        <w:rPr>
          <w:color w:val="auto"/>
        </w:rPr>
        <w:t>8</w:t>
      </w:r>
      <w:r w:rsidRPr="005938A7">
        <w:rPr>
          <w:color w:val="auto"/>
        </w:rPr>
        <w:t>] (Figure</w:t>
      </w:r>
      <w:r w:rsidR="00583482" w:rsidRPr="005938A7">
        <w:rPr>
          <w:color w:val="auto"/>
        </w:rPr>
        <w:t xml:space="preserve"> 4</w:t>
      </w:r>
      <w:r w:rsidRPr="005938A7">
        <w:rPr>
          <w:color w:val="auto"/>
        </w:rPr>
        <w:t xml:space="preserve">C) demonstrates an excellent example of a multifunctional platform designed for treating lesions </w:t>
      </w:r>
      <w:r w:rsidRPr="00DA46DC">
        <w:t xml:space="preserve">as remnants of osteosarcoma excision that can selectively kill residual cancer cells while combating infection and supporting new bone formation. The implant utilizes sulphonated </w:t>
      </w:r>
      <w:proofErr w:type="spellStart"/>
      <w:r w:rsidRPr="00DA46DC">
        <w:t>polyetheretherketone</w:t>
      </w:r>
      <w:proofErr w:type="spellEnd"/>
      <w:r w:rsidRPr="00DA46DC">
        <w:t xml:space="preserve"> (SP) as a bioinert orthopedic implant material coated with tobramycin (TOB)-containing </w:t>
      </w:r>
      <w:proofErr w:type="spellStart"/>
      <w:r w:rsidRPr="00DA46DC">
        <w:t>MXene</w:t>
      </w:r>
      <w:proofErr w:type="spellEnd"/>
      <w:r w:rsidRPr="00DA46DC">
        <w:t xml:space="preserve"> nanosheets and </w:t>
      </w:r>
      <w:proofErr w:type="spellStart"/>
      <w:r w:rsidRPr="00DA46DC">
        <w:t>GelMA</w:t>
      </w:r>
      <w:proofErr w:type="spellEnd"/>
      <w:r w:rsidRPr="00DA46DC">
        <w:t xml:space="preserve"> (SP@MX-TOB/</w:t>
      </w:r>
      <w:proofErr w:type="spellStart"/>
      <w:r w:rsidRPr="00DA46DC">
        <w:t>GelMA</w:t>
      </w:r>
      <w:proofErr w:type="spellEnd"/>
      <w:r w:rsidRPr="00DA46DC">
        <w:t>). Polydopamine (</w:t>
      </w:r>
      <w:proofErr w:type="spellStart"/>
      <w:r w:rsidRPr="00DA46DC">
        <w:t>pDA</w:t>
      </w:r>
      <w:proofErr w:type="spellEnd"/>
      <w:r w:rsidRPr="00DA46DC">
        <w:t xml:space="preserve">) was used as an adhesive layer to improve interactions between </w:t>
      </w:r>
      <w:proofErr w:type="spellStart"/>
      <w:r w:rsidRPr="00DA46DC">
        <w:t>MXenes</w:t>
      </w:r>
      <w:proofErr w:type="spellEnd"/>
      <w:r w:rsidRPr="00DA46DC">
        <w:t xml:space="preserve"> and </w:t>
      </w:r>
      <w:r w:rsidR="005B0467">
        <w:t xml:space="preserve">the </w:t>
      </w:r>
      <w:r w:rsidRPr="00DA46DC">
        <w:t>underlying SP</w:t>
      </w:r>
      <w:r w:rsidR="005B0467">
        <w:t>,</w:t>
      </w:r>
      <w:r w:rsidRPr="00DA46DC">
        <w:t xml:space="preserve"> which not only improved interaction between TOB-</w:t>
      </w:r>
      <w:proofErr w:type="spellStart"/>
      <w:r w:rsidRPr="00DA46DC">
        <w:t>MXene</w:t>
      </w:r>
      <w:proofErr w:type="spellEnd"/>
      <w:r w:rsidRPr="00DA46DC">
        <w:t xml:space="preserve"> and underlying PEEK</w:t>
      </w:r>
      <w:r w:rsidR="005B0467">
        <w:t>,</w:t>
      </w:r>
      <w:r w:rsidRPr="00DA46DC">
        <w:t xml:space="preserve"> but also synergistically improved photothermal </w:t>
      </w:r>
      <w:r w:rsidRPr="005938A7">
        <w:rPr>
          <w:color w:val="auto"/>
        </w:rPr>
        <w:t xml:space="preserve">ablation of tumor cells due to </w:t>
      </w:r>
      <w:proofErr w:type="spellStart"/>
      <w:r w:rsidRPr="005938A7">
        <w:rPr>
          <w:color w:val="auto"/>
        </w:rPr>
        <w:t>MXene</w:t>
      </w:r>
      <w:proofErr w:type="spellEnd"/>
      <w:r w:rsidRPr="005938A7">
        <w:rPr>
          <w:color w:val="auto"/>
        </w:rPr>
        <w:t>. TOB-</w:t>
      </w:r>
      <w:proofErr w:type="spellStart"/>
      <w:r w:rsidRPr="005938A7">
        <w:rPr>
          <w:color w:val="auto"/>
        </w:rPr>
        <w:t>MXene</w:t>
      </w:r>
      <w:proofErr w:type="spellEnd"/>
      <w:r w:rsidRPr="005938A7">
        <w:rPr>
          <w:color w:val="auto"/>
        </w:rPr>
        <w:t xml:space="preserve"> showed antibacterial efficacy against both Gram-positive and Gram-negative bacteria without any nephrotoxic and neurotoxic </w:t>
      </w:r>
      <w:r w:rsidRPr="00FB05B7">
        <w:rPr>
          <w:color w:val="auto"/>
        </w:rPr>
        <w:t>effects in vivo. The</w:t>
      </w:r>
      <w:r w:rsidRPr="005938A7">
        <w:rPr>
          <w:color w:val="auto"/>
        </w:rPr>
        <w:t xml:space="preserve"> last component of this multimodal implant was </w:t>
      </w:r>
      <w:proofErr w:type="spellStart"/>
      <w:r w:rsidRPr="005938A7">
        <w:rPr>
          <w:color w:val="auto"/>
        </w:rPr>
        <w:t>GelMA</w:t>
      </w:r>
      <w:proofErr w:type="spellEnd"/>
      <w:r w:rsidRPr="005938A7">
        <w:rPr>
          <w:color w:val="auto"/>
        </w:rPr>
        <w:t xml:space="preserve"> </w:t>
      </w:r>
      <w:r w:rsidR="004D3F45">
        <w:rPr>
          <w:color w:val="auto"/>
        </w:rPr>
        <w:t>which</w:t>
      </w:r>
      <w:r w:rsidR="004D3F45" w:rsidRPr="005938A7">
        <w:rPr>
          <w:color w:val="auto"/>
        </w:rPr>
        <w:t xml:space="preserve"> </w:t>
      </w:r>
      <w:r w:rsidRPr="005938A7">
        <w:rPr>
          <w:color w:val="auto"/>
        </w:rPr>
        <w:t>was included as a surface</w:t>
      </w:r>
      <w:r w:rsidRPr="00DA46DC">
        <w:t>-modifying agent to improve implant biocompatibility and support bio-integration and new bone formation.</w:t>
      </w:r>
    </w:p>
    <w:p w14:paraId="6CCE5205" w14:textId="5BD3FB6A" w:rsidR="00DA46DC" w:rsidRPr="005040F1" w:rsidRDefault="00D13AA8" w:rsidP="00777855">
      <w:pPr>
        <w:pStyle w:val="MDPI51figurecaption"/>
        <w:rPr>
          <w:color w:val="auto"/>
        </w:rPr>
      </w:pPr>
      <w:r>
        <w:rPr>
          <w:b/>
          <w:noProof/>
          <w:highlight w:val="yellow"/>
        </w:rPr>
        <w:drawing>
          <wp:inline distT="0" distB="0" distL="0" distR="0" wp14:anchorId="24BFAFBF" wp14:editId="759230FB">
            <wp:extent cx="4994563" cy="313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7586" cy="3132445"/>
                    </a:xfrm>
                    <a:prstGeom prst="rect">
                      <a:avLst/>
                    </a:prstGeom>
                    <a:noFill/>
                    <a:ln>
                      <a:noFill/>
                    </a:ln>
                  </pic:spPr>
                </pic:pic>
              </a:graphicData>
            </a:graphic>
          </wp:inline>
        </w:drawing>
      </w:r>
      <w:r w:rsidR="00DA46DC" w:rsidRPr="00C02B79">
        <w:rPr>
          <w:b/>
          <w:color w:val="auto"/>
        </w:rPr>
        <w:t xml:space="preserve">Figure </w:t>
      </w:r>
      <w:r w:rsidR="00583482" w:rsidRPr="00C02B79">
        <w:rPr>
          <w:b/>
          <w:snapToGrid w:val="0"/>
          <w:color w:val="auto"/>
          <w:szCs w:val="22"/>
        </w:rPr>
        <w:t>4</w:t>
      </w:r>
      <w:r w:rsidR="00AD7BF2">
        <w:rPr>
          <w:b/>
          <w:color w:val="auto"/>
        </w:rPr>
        <w:t>.</w:t>
      </w:r>
      <w:r w:rsidR="00DA46DC" w:rsidRPr="00C02B79">
        <w:rPr>
          <w:b/>
          <w:color w:val="auto"/>
        </w:rPr>
        <w:t xml:space="preserve"> (A) </w:t>
      </w:r>
      <w:r w:rsidR="00DA46DC" w:rsidRPr="008C523D">
        <w:rPr>
          <w:bCs/>
          <w:color w:val="auto"/>
        </w:rPr>
        <w:t>Antibacterial activity of different substrates on agar plates and corresponding colony forming units (CFUs) against</w:t>
      </w:r>
      <w:r w:rsidR="00DA46DC" w:rsidRPr="008C523D">
        <w:rPr>
          <w:bCs/>
          <w:i/>
          <w:iCs/>
          <w:color w:val="auto"/>
        </w:rPr>
        <w:t xml:space="preserve"> S. au</w:t>
      </w:r>
      <w:r w:rsidR="00DA46DC" w:rsidRPr="00C02B79">
        <w:rPr>
          <w:i/>
          <w:iCs/>
          <w:color w:val="auto"/>
        </w:rPr>
        <w:t xml:space="preserve">reus </w:t>
      </w:r>
      <w:r w:rsidR="00DA46DC" w:rsidRPr="00C02B79">
        <w:rPr>
          <w:color w:val="auto"/>
        </w:rPr>
        <w:t xml:space="preserve">and </w:t>
      </w:r>
      <w:r w:rsidR="00DA46DC" w:rsidRPr="00C02B79">
        <w:rPr>
          <w:i/>
          <w:iCs/>
          <w:color w:val="auto"/>
        </w:rPr>
        <w:t>E. coli</w:t>
      </w:r>
      <w:r w:rsidR="00DA46DC" w:rsidRPr="00C02B79">
        <w:rPr>
          <w:color w:val="auto"/>
        </w:rPr>
        <w:t xml:space="preserve"> with or without near infra-red radiation laser at 808 nm; laser density, 1.5 W/cm</w:t>
      </w:r>
      <w:r w:rsidR="00DA46DC" w:rsidRPr="00C02B79">
        <w:rPr>
          <w:color w:val="auto"/>
          <w:vertAlign w:val="superscript"/>
        </w:rPr>
        <w:t>2</w:t>
      </w:r>
      <w:r w:rsidR="00DA46DC" w:rsidRPr="00C02B79">
        <w:rPr>
          <w:color w:val="auto"/>
        </w:rPr>
        <w:t xml:space="preserve"> for 10 min. n = 3; er</w:t>
      </w:r>
      <w:r w:rsidR="00DA46DC" w:rsidRPr="00C02B79">
        <w:rPr>
          <w:rFonts w:hint="eastAsia"/>
          <w:color w:val="auto"/>
        </w:rPr>
        <w:t>ror bars indicate standard deviation, *</w:t>
      </w:r>
      <w:r w:rsidR="00DA46DC" w:rsidRPr="00C02B79">
        <w:rPr>
          <w:rFonts w:hint="eastAsia"/>
          <w:i/>
          <w:iCs/>
          <w:color w:val="auto"/>
        </w:rPr>
        <w:t>p</w:t>
      </w:r>
      <w:r w:rsidR="00DA46DC" w:rsidRPr="00C02B79">
        <w:rPr>
          <w:rFonts w:hint="eastAsia"/>
          <w:color w:val="auto"/>
        </w:rPr>
        <w:t xml:space="preserve"> &lt; 0.05, **</w:t>
      </w:r>
      <w:r w:rsidR="00DA46DC" w:rsidRPr="00C02B79">
        <w:rPr>
          <w:rFonts w:hint="eastAsia"/>
          <w:i/>
          <w:iCs/>
          <w:color w:val="auto"/>
        </w:rPr>
        <w:t>p</w:t>
      </w:r>
      <w:r w:rsidR="00DA46DC" w:rsidRPr="00C02B79">
        <w:rPr>
          <w:rFonts w:hint="eastAsia"/>
          <w:color w:val="auto"/>
        </w:rPr>
        <w:t xml:space="preserve"> &lt; 0.01. Gel: </w:t>
      </w:r>
      <w:proofErr w:type="spellStart"/>
      <w:r w:rsidR="00DA46DC" w:rsidRPr="00C02B79">
        <w:rPr>
          <w:rFonts w:hint="eastAsia"/>
          <w:color w:val="auto"/>
        </w:rPr>
        <w:t>GelMA</w:t>
      </w:r>
      <w:proofErr w:type="spellEnd"/>
      <w:r w:rsidR="00DA46DC" w:rsidRPr="00C02B79">
        <w:rPr>
          <w:rFonts w:hint="eastAsia"/>
          <w:color w:val="auto"/>
        </w:rPr>
        <w:t xml:space="preserve"> + HA-DA, Gel/BNN6</w:t>
      </w:r>
      <w:r w:rsidR="00DA46DC" w:rsidRPr="00ED389D">
        <w:rPr>
          <w:rFonts w:hint="eastAsia"/>
        </w:rPr>
        <w:t>: Gel containing nitric oxide donor (</w:t>
      </w:r>
      <w:proofErr w:type="gramStart"/>
      <w:r w:rsidR="00DA46DC" w:rsidRPr="00622582">
        <w:rPr>
          <w:rFonts w:hint="eastAsia"/>
          <w:i/>
          <w:iCs/>
        </w:rPr>
        <w:t>N</w:t>
      </w:r>
      <w:r w:rsidR="00DA46DC" w:rsidRPr="00ED389D">
        <w:rPr>
          <w:rFonts w:hint="eastAsia"/>
        </w:rPr>
        <w:t>,</w:t>
      </w:r>
      <w:r w:rsidR="00DA46DC" w:rsidRPr="00622582">
        <w:rPr>
          <w:rFonts w:hint="eastAsia"/>
          <w:i/>
          <w:iCs/>
        </w:rPr>
        <w:t>N</w:t>
      </w:r>
      <w:proofErr w:type="gramEnd"/>
      <w:r w:rsidR="00DA46DC" w:rsidRPr="00ED389D">
        <w:rPr>
          <w:rFonts w:hint="eastAsia"/>
        </w:rPr>
        <w:t>′-Di-sec-butyl-</w:t>
      </w:r>
      <w:r w:rsidR="00DA46DC" w:rsidRPr="005040F1">
        <w:rPr>
          <w:rFonts w:hint="eastAsia"/>
          <w:i/>
          <w:iCs/>
        </w:rPr>
        <w:t>N</w:t>
      </w:r>
      <w:r w:rsidR="00DA46DC" w:rsidRPr="00ED389D">
        <w:rPr>
          <w:rFonts w:hint="eastAsia"/>
        </w:rPr>
        <w:t>,</w:t>
      </w:r>
      <w:r w:rsidR="00DA46DC" w:rsidRPr="005040F1">
        <w:rPr>
          <w:rFonts w:hint="eastAsia"/>
          <w:i/>
          <w:iCs/>
        </w:rPr>
        <w:t>N</w:t>
      </w:r>
      <w:r w:rsidR="00DA46DC" w:rsidRPr="00ED389D">
        <w:rPr>
          <w:rFonts w:hint="eastAsia"/>
        </w:rPr>
        <w:t xml:space="preserve">′-dinitroso-1,4-phenylenediamine), Gel/GO- βCD-BNN6: Gel containing BNN6 loaded GO- βCD </w:t>
      </w:r>
      <w:r w:rsidR="00DA46DC" w:rsidRPr="007F23EA">
        <w:rPr>
          <w:rFonts w:hint="eastAsia"/>
        </w:rPr>
        <w:t>Adopted with permiss</w:t>
      </w:r>
      <w:r w:rsidR="00DA46DC" w:rsidRPr="007F23EA">
        <w:t xml:space="preserve">ion from </w:t>
      </w:r>
      <w:r>
        <w:t>Ref</w:t>
      </w:r>
      <w:r w:rsidR="00DA46DC" w:rsidRPr="007F23EA">
        <w:rPr>
          <w:color w:val="auto"/>
        </w:rPr>
        <w:t xml:space="preserve"> [</w:t>
      </w:r>
      <w:r w:rsidR="00583482" w:rsidRPr="007F23EA">
        <w:rPr>
          <w:color w:val="auto"/>
        </w:rPr>
        <w:t>9</w:t>
      </w:r>
      <w:r w:rsidR="003901BC">
        <w:rPr>
          <w:color w:val="auto"/>
        </w:rPr>
        <w:t>3</w:t>
      </w:r>
      <w:r w:rsidR="00DA46DC" w:rsidRPr="007F23EA">
        <w:rPr>
          <w:color w:val="auto"/>
        </w:rPr>
        <w:t>]</w:t>
      </w:r>
      <w:r w:rsidR="00AE7451">
        <w:rPr>
          <w:color w:val="auto"/>
        </w:rPr>
        <w:t>.</w:t>
      </w:r>
      <w:r w:rsidR="00DA46DC" w:rsidRPr="007F23EA">
        <w:rPr>
          <w:color w:val="auto"/>
        </w:rPr>
        <w:t xml:space="preserve"> Copyright 2020, American Chemical Society.</w:t>
      </w:r>
      <w:r w:rsidR="00DA46DC" w:rsidRPr="005040F1">
        <w:rPr>
          <w:color w:val="auto"/>
        </w:rPr>
        <w:t xml:space="preserve"> </w:t>
      </w:r>
      <w:r w:rsidR="00DA46DC" w:rsidRPr="00AE4FA3">
        <w:rPr>
          <w:b/>
          <w:bCs/>
          <w:color w:val="auto"/>
        </w:rPr>
        <w:t>(B)</w:t>
      </w:r>
      <w:r w:rsidR="00DA46DC" w:rsidRPr="005040F1">
        <w:rPr>
          <w:color w:val="auto"/>
        </w:rPr>
        <w:t xml:space="preserve"> Assessing the anti-inflammatory and antibacterial properties of the </w:t>
      </w:r>
      <w:proofErr w:type="spellStart"/>
      <w:r w:rsidR="00DA46DC" w:rsidRPr="005040F1">
        <w:rPr>
          <w:color w:val="auto"/>
        </w:rPr>
        <w:t>nAg</w:t>
      </w:r>
      <w:proofErr w:type="spellEnd"/>
      <w:r w:rsidR="00DA46DC" w:rsidRPr="005040F1">
        <w:rPr>
          <w:color w:val="auto"/>
        </w:rPr>
        <w:t>/HNTs/</w:t>
      </w:r>
      <w:proofErr w:type="spellStart"/>
      <w:r w:rsidR="00DA46DC" w:rsidRPr="005040F1">
        <w:rPr>
          <w:color w:val="auto"/>
        </w:rPr>
        <w:t>GelMA</w:t>
      </w:r>
      <w:proofErr w:type="spellEnd"/>
      <w:r w:rsidR="00DA46DC" w:rsidRPr="005040F1">
        <w:rPr>
          <w:color w:val="auto"/>
        </w:rPr>
        <w:t xml:space="preserve"> hybrid hydrogel </w:t>
      </w:r>
      <w:r w:rsidR="00DA46DC" w:rsidRPr="00747173">
        <w:rPr>
          <w:color w:val="auto"/>
        </w:rPr>
        <w:t>in vivo.</w:t>
      </w:r>
      <w:r w:rsidR="00DA46DC" w:rsidRPr="005040F1">
        <w:rPr>
          <w:color w:val="auto"/>
        </w:rPr>
        <w:t xml:space="preserve"> The panel demonstrates the schematic diagram showing the treatment of infected bone </w:t>
      </w:r>
      <w:r w:rsidR="00DA46DC" w:rsidRPr="005040F1">
        <w:rPr>
          <w:color w:val="auto"/>
        </w:rPr>
        <w:lastRenderedPageBreak/>
        <w:t>defect, bacterial colonies in the tissue of infected bone defect and the concentrations of inflammatory cytokines detected using ELISA. *</w:t>
      </w:r>
      <w:r w:rsidR="00DA46DC" w:rsidRPr="007F23EA">
        <w:rPr>
          <w:i/>
          <w:iCs/>
          <w:color w:val="auto"/>
        </w:rPr>
        <w:t>p</w:t>
      </w:r>
      <w:r w:rsidR="00DA46DC" w:rsidRPr="005040F1">
        <w:rPr>
          <w:rFonts w:ascii="Times New Roman" w:hAnsi="Times New Roman"/>
          <w:color w:val="auto"/>
        </w:rPr>
        <w:t> </w:t>
      </w:r>
      <w:r w:rsidR="00DA46DC" w:rsidRPr="005040F1">
        <w:rPr>
          <w:color w:val="auto"/>
        </w:rPr>
        <w:t>&lt;</w:t>
      </w:r>
      <w:r w:rsidR="00DA46DC" w:rsidRPr="005040F1">
        <w:rPr>
          <w:rFonts w:ascii="Times New Roman" w:hAnsi="Times New Roman"/>
          <w:color w:val="auto"/>
        </w:rPr>
        <w:t> </w:t>
      </w:r>
      <w:r w:rsidR="00DA46DC" w:rsidRPr="005040F1">
        <w:rPr>
          <w:color w:val="auto"/>
        </w:rPr>
        <w:t>0.05, **</w:t>
      </w:r>
      <w:r w:rsidR="00DA46DC" w:rsidRPr="007F23EA">
        <w:rPr>
          <w:i/>
          <w:iCs/>
          <w:color w:val="auto"/>
        </w:rPr>
        <w:t>p</w:t>
      </w:r>
      <w:r w:rsidR="00DA46DC" w:rsidRPr="005040F1">
        <w:rPr>
          <w:rFonts w:ascii="Times New Roman" w:hAnsi="Times New Roman"/>
          <w:color w:val="auto"/>
        </w:rPr>
        <w:t> </w:t>
      </w:r>
      <w:r w:rsidR="00DA46DC" w:rsidRPr="005040F1">
        <w:rPr>
          <w:color w:val="auto"/>
        </w:rPr>
        <w:t>&lt;</w:t>
      </w:r>
      <w:r w:rsidR="00DA46DC" w:rsidRPr="005040F1">
        <w:rPr>
          <w:rFonts w:ascii="Times New Roman" w:hAnsi="Times New Roman"/>
          <w:color w:val="auto"/>
        </w:rPr>
        <w:t> </w:t>
      </w:r>
      <w:r w:rsidR="00DA46DC" w:rsidRPr="005040F1">
        <w:rPr>
          <w:color w:val="auto"/>
        </w:rPr>
        <w:t xml:space="preserve">0.01, NS: no statistical significance. Adapted with permission from </w:t>
      </w:r>
      <w:r w:rsidR="005E3720">
        <w:rPr>
          <w:color w:val="auto"/>
        </w:rPr>
        <w:t>Ref.</w:t>
      </w:r>
      <w:r w:rsidR="00DA46DC" w:rsidRPr="005040F1">
        <w:rPr>
          <w:color w:val="auto"/>
        </w:rPr>
        <w:t xml:space="preserve"> [</w:t>
      </w:r>
      <w:r w:rsidR="00583482" w:rsidRPr="005040F1">
        <w:rPr>
          <w:color w:val="auto"/>
        </w:rPr>
        <w:t>9</w:t>
      </w:r>
      <w:r w:rsidR="003901BC">
        <w:rPr>
          <w:color w:val="auto"/>
        </w:rPr>
        <w:t>5</w:t>
      </w:r>
      <w:r w:rsidR="00DA46DC" w:rsidRPr="005040F1">
        <w:rPr>
          <w:color w:val="auto"/>
        </w:rPr>
        <w:t>]</w:t>
      </w:r>
      <w:r w:rsidR="00AE7451">
        <w:rPr>
          <w:color w:val="auto"/>
        </w:rPr>
        <w:t>.</w:t>
      </w:r>
      <w:r w:rsidR="00DA46DC" w:rsidRPr="005040F1">
        <w:rPr>
          <w:color w:val="auto"/>
        </w:rPr>
        <w:t xml:space="preserve"> Copyright 2020</w:t>
      </w:r>
      <w:r w:rsidR="00A122CF">
        <w:rPr>
          <w:color w:val="auto"/>
        </w:rPr>
        <w:t>,</w:t>
      </w:r>
      <w:r w:rsidR="00DA46DC" w:rsidRPr="005040F1">
        <w:rPr>
          <w:color w:val="auto"/>
        </w:rPr>
        <w:t xml:space="preserve"> Elsevier. </w:t>
      </w:r>
      <w:r w:rsidR="00DA46DC" w:rsidRPr="00AE4FA3">
        <w:rPr>
          <w:b/>
          <w:bCs/>
          <w:color w:val="auto"/>
        </w:rPr>
        <w:t>(C)</w:t>
      </w:r>
      <w:r w:rsidR="00DA46DC" w:rsidRPr="005040F1">
        <w:rPr>
          <w:color w:val="auto"/>
        </w:rPr>
        <w:t xml:space="preserve"> Antibacterial activity of </w:t>
      </w:r>
      <w:proofErr w:type="spellStart"/>
      <w:r w:rsidR="00DA46DC" w:rsidRPr="005040F1">
        <w:rPr>
          <w:color w:val="auto"/>
        </w:rPr>
        <w:t>polyetheretherketone</w:t>
      </w:r>
      <w:proofErr w:type="spellEnd"/>
      <w:r w:rsidR="00DA46DC" w:rsidRPr="005040F1">
        <w:rPr>
          <w:color w:val="auto"/>
        </w:rPr>
        <w:t xml:space="preserve"> (PEEK), </w:t>
      </w:r>
      <w:proofErr w:type="spellStart"/>
      <w:r w:rsidR="00DA46DC" w:rsidRPr="005040F1">
        <w:rPr>
          <w:color w:val="auto"/>
        </w:rPr>
        <w:t>SP@GelMA</w:t>
      </w:r>
      <w:proofErr w:type="spellEnd"/>
      <w:r w:rsidR="00DA46DC" w:rsidRPr="005040F1">
        <w:rPr>
          <w:color w:val="auto"/>
        </w:rPr>
        <w:t xml:space="preserve"> (</w:t>
      </w:r>
      <w:proofErr w:type="spellStart"/>
      <w:r w:rsidR="00DA46DC" w:rsidRPr="005040F1">
        <w:rPr>
          <w:color w:val="auto"/>
        </w:rPr>
        <w:t>GelMA</w:t>
      </w:r>
      <w:proofErr w:type="spellEnd"/>
      <w:r w:rsidR="00DA46DC" w:rsidRPr="005040F1">
        <w:rPr>
          <w:color w:val="auto"/>
        </w:rPr>
        <w:t xml:space="preserve"> coated SP), SP@MX/</w:t>
      </w:r>
      <w:proofErr w:type="spellStart"/>
      <w:r w:rsidR="00DA46DC" w:rsidRPr="005040F1">
        <w:rPr>
          <w:color w:val="auto"/>
        </w:rPr>
        <w:t>GelMA</w:t>
      </w:r>
      <w:proofErr w:type="spellEnd"/>
      <w:r w:rsidR="00DA46DC" w:rsidRPr="005040F1">
        <w:rPr>
          <w:color w:val="auto"/>
        </w:rPr>
        <w:t xml:space="preserve"> (</w:t>
      </w:r>
      <w:proofErr w:type="spellStart"/>
      <w:r w:rsidR="00DA46DC" w:rsidRPr="005040F1">
        <w:rPr>
          <w:color w:val="auto"/>
        </w:rPr>
        <w:t>MXene</w:t>
      </w:r>
      <w:proofErr w:type="spellEnd"/>
      <w:r w:rsidR="00DA46DC" w:rsidRPr="005040F1">
        <w:rPr>
          <w:color w:val="auto"/>
        </w:rPr>
        <w:t xml:space="preserve"> containing </w:t>
      </w:r>
      <w:proofErr w:type="spellStart"/>
      <w:r w:rsidR="00DA46DC" w:rsidRPr="005040F1">
        <w:rPr>
          <w:color w:val="auto"/>
        </w:rPr>
        <w:t>GelMA</w:t>
      </w:r>
      <w:proofErr w:type="spellEnd"/>
      <w:r w:rsidR="00DA46DC" w:rsidRPr="005040F1">
        <w:rPr>
          <w:color w:val="auto"/>
        </w:rPr>
        <w:t xml:space="preserve"> coated SP) and SP@MX-TOB/</w:t>
      </w:r>
      <w:proofErr w:type="spellStart"/>
      <w:r w:rsidR="00DA46DC" w:rsidRPr="005040F1">
        <w:rPr>
          <w:color w:val="auto"/>
        </w:rPr>
        <w:t>GelMA</w:t>
      </w:r>
      <w:proofErr w:type="spellEnd"/>
      <w:r w:rsidR="00DA46DC" w:rsidRPr="005040F1">
        <w:rPr>
          <w:color w:val="auto"/>
        </w:rPr>
        <w:t xml:space="preserve"> tested against </w:t>
      </w:r>
      <w:r w:rsidR="00DA46DC" w:rsidRPr="005040F1">
        <w:rPr>
          <w:i/>
          <w:iCs/>
          <w:color w:val="auto"/>
        </w:rPr>
        <w:t>S. aureus</w:t>
      </w:r>
      <w:r w:rsidR="00DA46DC" w:rsidRPr="005040F1">
        <w:rPr>
          <w:color w:val="auto"/>
        </w:rPr>
        <w:t xml:space="preserve"> and </w:t>
      </w:r>
      <w:r w:rsidR="00DA46DC" w:rsidRPr="005040F1">
        <w:rPr>
          <w:i/>
          <w:iCs/>
          <w:color w:val="auto"/>
        </w:rPr>
        <w:t>E. coli</w:t>
      </w:r>
      <w:r w:rsidR="00DA46DC" w:rsidRPr="005040F1">
        <w:rPr>
          <w:color w:val="auto"/>
        </w:rPr>
        <w:t xml:space="preserve">. The top panel represents bacterial growth kinetics curves cultured on different substrates. The middle panel represents SEM images of </w:t>
      </w:r>
      <w:r w:rsidR="00DA46DC" w:rsidRPr="005040F1">
        <w:rPr>
          <w:i/>
          <w:iCs/>
          <w:color w:val="auto"/>
        </w:rPr>
        <w:t>S. aureus</w:t>
      </w:r>
      <w:r w:rsidR="00DA46DC" w:rsidRPr="005040F1">
        <w:rPr>
          <w:color w:val="auto"/>
        </w:rPr>
        <w:t xml:space="preserve"> on the PEEK, SP, SP@MX/</w:t>
      </w:r>
      <w:proofErr w:type="spellStart"/>
      <w:r w:rsidR="00DA46DC" w:rsidRPr="005040F1">
        <w:rPr>
          <w:color w:val="auto"/>
        </w:rPr>
        <w:t>GelMA</w:t>
      </w:r>
      <w:proofErr w:type="spellEnd"/>
      <w:r w:rsidR="00DA46DC" w:rsidRPr="005040F1">
        <w:rPr>
          <w:color w:val="auto"/>
        </w:rPr>
        <w:t>, SP@MX-TOB/</w:t>
      </w:r>
      <w:proofErr w:type="spellStart"/>
      <w:r w:rsidR="00DA46DC" w:rsidRPr="005040F1">
        <w:rPr>
          <w:color w:val="auto"/>
        </w:rPr>
        <w:t>GelMA</w:t>
      </w:r>
      <w:proofErr w:type="spellEnd"/>
      <w:r w:rsidR="00DA46DC" w:rsidRPr="005040F1">
        <w:rPr>
          <w:color w:val="auto"/>
        </w:rPr>
        <w:t xml:space="preserve"> for 1 day, and the inhibition zones of the corresponding substrates. T</w:t>
      </w:r>
      <w:r w:rsidR="00FE3800" w:rsidRPr="005040F1">
        <w:rPr>
          <w:color w:val="auto"/>
        </w:rPr>
        <w:t>he</w:t>
      </w:r>
      <w:r w:rsidR="00DA46DC" w:rsidRPr="005040F1">
        <w:rPr>
          <w:color w:val="auto"/>
        </w:rPr>
        <w:t xml:space="preserve"> bottom panel shows morphological changes in </w:t>
      </w:r>
      <w:r w:rsidR="00DA46DC" w:rsidRPr="005040F1">
        <w:rPr>
          <w:i/>
          <w:iCs/>
          <w:color w:val="auto"/>
        </w:rPr>
        <w:t xml:space="preserve">E. coli </w:t>
      </w:r>
      <w:r w:rsidR="00DA46DC" w:rsidRPr="005040F1">
        <w:rPr>
          <w:color w:val="auto"/>
        </w:rPr>
        <w:t xml:space="preserve">cultured on varying substrates and zone of inhibition to the corresponding materials. Red arrows indicate the membrane disruption and distorted </w:t>
      </w:r>
      <w:r w:rsidR="00DA46DC" w:rsidRPr="006338E1">
        <w:rPr>
          <w:color w:val="auto"/>
        </w:rPr>
        <w:t xml:space="preserve">morphology of </w:t>
      </w:r>
      <w:r w:rsidR="00DA46DC" w:rsidRPr="006338E1">
        <w:rPr>
          <w:i/>
          <w:iCs/>
          <w:color w:val="auto"/>
        </w:rPr>
        <w:t>E. coli</w:t>
      </w:r>
      <w:r w:rsidR="00DA46DC" w:rsidRPr="006338E1">
        <w:rPr>
          <w:color w:val="auto"/>
        </w:rPr>
        <w:t xml:space="preserve">, green arrows indicate the </w:t>
      </w:r>
      <w:r w:rsidR="00DA46DC" w:rsidRPr="006338E1">
        <w:rPr>
          <w:i/>
          <w:iCs/>
          <w:color w:val="auto"/>
        </w:rPr>
        <w:t>S. aureus</w:t>
      </w:r>
      <w:r w:rsidR="00DA46DC" w:rsidRPr="006338E1">
        <w:rPr>
          <w:color w:val="auto"/>
        </w:rPr>
        <w:t xml:space="preserve"> fragment and red circles point to the inhibition zone. Adapted </w:t>
      </w:r>
      <w:r w:rsidR="005E3720" w:rsidRPr="006338E1">
        <w:rPr>
          <w:color w:val="auto"/>
        </w:rPr>
        <w:t>with permission from Ref.</w:t>
      </w:r>
      <w:r w:rsidR="00DA46DC" w:rsidRPr="006338E1">
        <w:rPr>
          <w:color w:val="auto"/>
        </w:rPr>
        <w:t xml:space="preserve"> [</w:t>
      </w:r>
      <w:r w:rsidR="00583482" w:rsidRPr="006338E1">
        <w:rPr>
          <w:color w:val="auto"/>
        </w:rPr>
        <w:t>9</w:t>
      </w:r>
      <w:r w:rsidR="003901BC" w:rsidRPr="006338E1">
        <w:rPr>
          <w:color w:val="auto"/>
        </w:rPr>
        <w:t>7</w:t>
      </w:r>
      <w:r w:rsidR="00DA46DC" w:rsidRPr="006338E1">
        <w:rPr>
          <w:color w:val="auto"/>
        </w:rPr>
        <w:t>]. Copyright 2020</w:t>
      </w:r>
      <w:r w:rsidR="00A122CF" w:rsidRPr="006338E1">
        <w:rPr>
          <w:color w:val="auto"/>
        </w:rPr>
        <w:t>,</w:t>
      </w:r>
      <w:r w:rsidR="00DA46DC" w:rsidRPr="006338E1">
        <w:rPr>
          <w:color w:val="auto"/>
        </w:rPr>
        <w:t xml:space="preserve"> American Chemical Society.</w:t>
      </w:r>
    </w:p>
    <w:p w14:paraId="261F845C" w14:textId="4E30B2A3" w:rsidR="00A3718F" w:rsidRPr="00777855" w:rsidRDefault="00777855" w:rsidP="00777855">
      <w:pPr>
        <w:pStyle w:val="MDPI22heading2"/>
        <w:spacing w:before="240"/>
      </w:pPr>
      <w:r w:rsidRPr="00777855">
        <w:t xml:space="preserve">3.3. </w:t>
      </w:r>
      <w:r w:rsidR="00A3718F" w:rsidRPr="00777855">
        <w:t xml:space="preserve">Modulation of inflammation </w:t>
      </w:r>
    </w:p>
    <w:p w14:paraId="15DFF834" w14:textId="057BE082" w:rsidR="00DA46DC" w:rsidRDefault="00DA46DC" w:rsidP="00777855">
      <w:pPr>
        <w:pStyle w:val="MDPI31text"/>
      </w:pPr>
      <w:r>
        <w:t xml:space="preserve">Tissue regeneration is a complex and well-orchestrated process involving three phases: inflammation, repair, and </w:t>
      </w:r>
      <w:r w:rsidR="007F4BF2">
        <w:t>remodeling</w:t>
      </w:r>
      <w:r>
        <w:t>. In the inflammation phase, immune cells arrive at the defect site immediately following bone fracture. Depending on the mediators and cytokines, inflammation is resolved, followed by tissue repair and regeneration, and perturbation of this resolving inflammatory response leads to chronic inflammation. When biomaterials are implanted into the body, macrophages arrive to degrade the biomaterial and, if phagocytosis is frustrated, fuse into foreign body giant cells, in a process known as the foreign body response. Macrophages play an essential mediating role in modulating inflammation. Macrophages are often classified into M1 and M2 macrophage phenotypes. The M1 macrophage phenotype produces pro-inflammatory cytokines, such as tumor necrosis factor (TNF)</w:t>
      </w:r>
      <w:r w:rsidR="00ED0112">
        <w:t>-</w:t>
      </w:r>
      <w:r>
        <w:t xml:space="preserve">α, interleukin (IL)-6 and IL-1β. In contrast, the M2 macrophage phenotype is </w:t>
      </w:r>
      <w:r w:rsidRPr="00ED0112">
        <w:rPr>
          <w:color w:val="auto"/>
        </w:rPr>
        <w:t>characteri</w:t>
      </w:r>
      <w:r w:rsidR="00FE3800" w:rsidRPr="00ED0112">
        <w:rPr>
          <w:color w:val="auto"/>
        </w:rPr>
        <w:t>z</w:t>
      </w:r>
      <w:r w:rsidRPr="00ED0112">
        <w:rPr>
          <w:color w:val="auto"/>
        </w:rPr>
        <w:t xml:space="preserve">ed by </w:t>
      </w:r>
      <w:r>
        <w:t xml:space="preserve">the production of IL-10 and transforming growth factor (TGF)- β1, essential in maintaining the long-term survival of stem and progenitor cells for tissue repair. Therefore, there has been considerable attention </w:t>
      </w:r>
      <w:r w:rsidR="00B6497B">
        <w:t xml:space="preserve">paid to </w:t>
      </w:r>
      <w:r>
        <w:t>strategies to modulate macrophage phenotype, especially from M1 to M2.</w:t>
      </w:r>
    </w:p>
    <w:p w14:paraId="4C41B34A" w14:textId="2CA34EEC" w:rsidR="00DA46DC" w:rsidRDefault="00DA46DC" w:rsidP="00ED0112">
      <w:pPr>
        <w:pStyle w:val="MDPI31text"/>
      </w:pPr>
      <w:r>
        <w:t xml:space="preserve">Although gelatin is a natural polymer, a foreign body response is not avoidable. After subcutaneous implantation, many infiltrated inflammatory cells have been observed in gelatin hydrogels with 0.01% or 0.1% glutaraldehyde (GA) </w:t>
      </w:r>
      <w:r w:rsidRPr="00ED0112">
        <w:rPr>
          <w:color w:val="auto"/>
        </w:rPr>
        <w:t>[</w:t>
      </w:r>
      <w:r w:rsidR="00C81760">
        <w:rPr>
          <w:color w:val="auto"/>
        </w:rPr>
        <w:t>99</w:t>
      </w:r>
      <w:r w:rsidRPr="00ED0112">
        <w:rPr>
          <w:color w:val="auto"/>
        </w:rPr>
        <w:t>]. A similar response has also been shown in non-crosslinked gelatin hydrogels. Yu et al. investigated gelatin hydrogels with increased GA crosslinking densities (0.05%, 0.1% and 0.3%) and examined the effect of crosslinking density on macrophage phenotype</w:t>
      </w:r>
      <w:r w:rsidR="00FE3800" w:rsidRPr="00ED0112">
        <w:rPr>
          <w:color w:val="auto"/>
        </w:rPr>
        <w:t xml:space="preserve"> </w:t>
      </w:r>
      <w:r w:rsidRPr="00ED0112">
        <w:rPr>
          <w:color w:val="auto"/>
        </w:rPr>
        <w:t>[</w:t>
      </w:r>
      <w:r w:rsidR="00583482" w:rsidRPr="00ED0112">
        <w:rPr>
          <w:color w:val="auto"/>
        </w:rPr>
        <w:t>10</w:t>
      </w:r>
      <w:r w:rsidR="00C81760">
        <w:rPr>
          <w:color w:val="auto"/>
        </w:rPr>
        <w:t>0</w:t>
      </w:r>
      <w:r w:rsidRPr="00ED0112">
        <w:rPr>
          <w:color w:val="auto"/>
        </w:rPr>
        <w:t>]</w:t>
      </w:r>
      <w:r w:rsidR="00FE3800" w:rsidRPr="00ED0112">
        <w:rPr>
          <w:color w:val="auto"/>
        </w:rPr>
        <w:t>.</w:t>
      </w:r>
      <w:r w:rsidRPr="00ED0112">
        <w:rPr>
          <w:color w:val="auto"/>
        </w:rPr>
        <w:t xml:space="preserve"> Interestingly</w:t>
      </w:r>
      <w:r>
        <w:t xml:space="preserve">, there was no effect on the macrophage phenotype and thickness of the fibrous capsule surrounding the hydrogels. </w:t>
      </w:r>
    </w:p>
    <w:p w14:paraId="48579B8A" w14:textId="77777777" w:rsidR="007751A4" w:rsidRPr="00AB3869" w:rsidRDefault="007751A4" w:rsidP="007751A4">
      <w:pPr>
        <w:pStyle w:val="MDPI31text"/>
        <w:rPr>
          <w:color w:val="auto"/>
        </w:rPr>
      </w:pPr>
      <w:r>
        <w:t xml:space="preserve">Unlike gelatin hydrogels, </w:t>
      </w:r>
      <w:proofErr w:type="spellStart"/>
      <w:r>
        <w:t>GelMA</w:t>
      </w:r>
      <w:proofErr w:type="spellEnd"/>
      <w:r>
        <w:t xml:space="preserve"> reduced TNF-α production itself under lipopolysaccharide (LPS) conditions, indicating that </w:t>
      </w:r>
      <w:proofErr w:type="spellStart"/>
      <w:r>
        <w:t>GelMA</w:t>
      </w:r>
      <w:proofErr w:type="spellEnd"/>
      <w:r>
        <w:t xml:space="preserve"> has the potential to modulate the inflammation </w:t>
      </w:r>
      <w:r w:rsidRPr="0049449E">
        <w:rPr>
          <w:color w:val="auto"/>
        </w:rPr>
        <w:t>response [10</w:t>
      </w:r>
      <w:r>
        <w:rPr>
          <w:color w:val="auto"/>
        </w:rPr>
        <w:t>1</w:t>
      </w:r>
      <w:r w:rsidRPr="0049449E">
        <w:rPr>
          <w:color w:val="auto"/>
        </w:rPr>
        <w:t xml:space="preserve">]. Zhuang et al. demonstrated that </w:t>
      </w:r>
      <w:proofErr w:type="spellStart"/>
      <w:r w:rsidRPr="0049449E">
        <w:rPr>
          <w:color w:val="auto"/>
        </w:rPr>
        <w:t>GelMA</w:t>
      </w:r>
      <w:proofErr w:type="spellEnd"/>
      <w:r w:rsidRPr="0049449E">
        <w:rPr>
          <w:color w:val="auto"/>
        </w:rPr>
        <w:t xml:space="preserve"> hydrogel stiffness (2, 10 and 29 kPa) affects macrophage phenotype (Figure 5A) [10</w:t>
      </w:r>
      <w:r>
        <w:rPr>
          <w:color w:val="auto"/>
        </w:rPr>
        <w:t>2</w:t>
      </w:r>
      <w:r w:rsidRPr="0049449E">
        <w:rPr>
          <w:color w:val="auto"/>
        </w:rPr>
        <w:t xml:space="preserve">]. For example, a higher stiffness </w:t>
      </w:r>
      <w:proofErr w:type="spellStart"/>
      <w:r w:rsidRPr="0049449E">
        <w:rPr>
          <w:color w:val="auto"/>
        </w:rPr>
        <w:t>GelMA</w:t>
      </w:r>
      <w:proofErr w:type="spellEnd"/>
      <w:r w:rsidRPr="0049449E">
        <w:rPr>
          <w:color w:val="auto"/>
        </w:rPr>
        <w:t xml:space="preserve"> hydrogel induced greater numbers of M1 macrophages, whereas </w:t>
      </w:r>
      <w:proofErr w:type="spellStart"/>
      <w:r w:rsidRPr="0049449E">
        <w:rPr>
          <w:color w:val="auto"/>
        </w:rPr>
        <w:t>GelMA</w:t>
      </w:r>
      <w:proofErr w:type="spellEnd"/>
      <w:r w:rsidRPr="0049449E">
        <w:rPr>
          <w:color w:val="auto"/>
        </w:rPr>
        <w:t xml:space="preserve"> hydrogels with lower stiffness showed more M2 macrophages. This indicates that macrophage behavior is mechanically regulated by hydrogel stiffness. Interestingly, when two different hydrogels, </w:t>
      </w:r>
      <w:proofErr w:type="spellStart"/>
      <w:r w:rsidRPr="0049449E">
        <w:rPr>
          <w:color w:val="auto"/>
        </w:rPr>
        <w:t>GelMA</w:t>
      </w:r>
      <w:proofErr w:type="spellEnd"/>
      <w:r w:rsidRPr="0049449E">
        <w:rPr>
          <w:color w:val="auto"/>
        </w:rPr>
        <w:t xml:space="preserve"> and </w:t>
      </w:r>
      <w:proofErr w:type="gramStart"/>
      <w:r w:rsidRPr="0049449E">
        <w:rPr>
          <w:color w:val="auto"/>
        </w:rPr>
        <w:t>poly(</w:t>
      </w:r>
      <w:proofErr w:type="gramEnd"/>
      <w:r w:rsidRPr="0049449E">
        <w:rPr>
          <w:color w:val="auto"/>
        </w:rPr>
        <w:t xml:space="preserve">ethylene glycol) diacrylate (PEGDA), have a similar stiffness (3.0 ± 0.3 kPa), </w:t>
      </w:r>
      <w:proofErr w:type="spellStart"/>
      <w:r w:rsidRPr="0049449E">
        <w:rPr>
          <w:color w:val="auto"/>
        </w:rPr>
        <w:t>GelMA</w:t>
      </w:r>
      <w:proofErr w:type="spellEnd"/>
      <w:r w:rsidRPr="0049449E">
        <w:rPr>
          <w:color w:val="auto"/>
        </w:rPr>
        <w:t xml:space="preserve"> showed significantly lower M1 marker expression and higher M2 expression compared to PEGDA (Figure 5B) [10</w:t>
      </w:r>
      <w:r>
        <w:rPr>
          <w:color w:val="auto"/>
        </w:rPr>
        <w:t>3</w:t>
      </w:r>
      <w:r w:rsidRPr="0049449E">
        <w:rPr>
          <w:color w:val="auto"/>
        </w:rPr>
        <w:t>]. Furthermore</w:t>
      </w:r>
      <w:r>
        <w:t xml:space="preserve">, when IL-4, the most effective cytokine at polarizing M1 phenotype to M2, was incorporated into the </w:t>
      </w:r>
      <w:proofErr w:type="spellStart"/>
      <w:r>
        <w:t>GelMA</w:t>
      </w:r>
      <w:proofErr w:type="spellEnd"/>
      <w:r>
        <w:t xml:space="preserve">, the hydrogel dramatically down-regulated M1 related genes and upregulated M2 genes, compared to the PEGDA with IL-4. These findings demonstrate that </w:t>
      </w:r>
      <w:proofErr w:type="spellStart"/>
      <w:r>
        <w:t>GelMA</w:t>
      </w:r>
      <w:proofErr w:type="spellEnd"/>
      <w:r>
        <w:t xml:space="preserve"> has excellent potential for suppressing pro-inflammatory cytokines and promoting anti-</w:t>
      </w:r>
      <w:r w:rsidRPr="0049449E">
        <w:rPr>
          <w:color w:val="auto"/>
        </w:rPr>
        <w:t xml:space="preserve">inflammatory cytokines. Nevertheless, to date, only a handful of studies on the immunomodulatory effect of </w:t>
      </w:r>
      <w:proofErr w:type="spellStart"/>
      <w:r w:rsidRPr="0049449E">
        <w:rPr>
          <w:color w:val="auto"/>
        </w:rPr>
        <w:t>GelMA</w:t>
      </w:r>
      <w:proofErr w:type="spellEnd"/>
      <w:r w:rsidRPr="0049449E">
        <w:rPr>
          <w:color w:val="auto"/>
        </w:rPr>
        <w:t xml:space="preserve"> through drug delivery or application in 3D printing have been reported. With increased attention to immunomodulation and macrophage </w:t>
      </w:r>
      <w:r w:rsidRPr="0049449E">
        <w:rPr>
          <w:color w:val="auto"/>
        </w:rPr>
        <w:lastRenderedPageBreak/>
        <w:t>polarization for bone regeneration [10</w:t>
      </w:r>
      <w:r>
        <w:rPr>
          <w:color w:val="auto"/>
        </w:rPr>
        <w:t>4</w:t>
      </w:r>
      <w:r w:rsidRPr="0049449E">
        <w:rPr>
          <w:color w:val="auto"/>
        </w:rPr>
        <w:t xml:space="preserve">], we expect that </w:t>
      </w:r>
      <w:proofErr w:type="spellStart"/>
      <w:r w:rsidRPr="0049449E">
        <w:rPr>
          <w:color w:val="auto"/>
        </w:rPr>
        <w:t>GelMA</w:t>
      </w:r>
      <w:proofErr w:type="spellEnd"/>
      <w:r w:rsidRPr="0049449E">
        <w:rPr>
          <w:color w:val="auto"/>
        </w:rPr>
        <w:t xml:space="preserve"> will be </w:t>
      </w:r>
      <w:r w:rsidRPr="00AB3869">
        <w:rPr>
          <w:color w:val="auto"/>
        </w:rPr>
        <w:t>widely used to modulate inflammation response for musculoskeletal regeneration.</w:t>
      </w:r>
    </w:p>
    <w:p w14:paraId="10178C61" w14:textId="77777777" w:rsidR="007751A4" w:rsidRPr="00AB3869" w:rsidRDefault="007751A4" w:rsidP="00ED0112">
      <w:pPr>
        <w:pStyle w:val="MDPI31text"/>
      </w:pPr>
    </w:p>
    <w:p w14:paraId="24CB7C92" w14:textId="5E9C8D2F" w:rsidR="00CA04D9" w:rsidRPr="00A40DC0" w:rsidRDefault="00D13AA8" w:rsidP="00777855">
      <w:pPr>
        <w:pStyle w:val="MDPI51figurecaption"/>
        <w:rPr>
          <w:color w:val="auto"/>
        </w:rPr>
      </w:pPr>
      <w:r w:rsidRPr="00AB3869">
        <w:rPr>
          <w:noProof/>
          <w:color w:val="auto"/>
        </w:rPr>
        <w:drawing>
          <wp:inline distT="0" distB="0" distL="0" distR="0" wp14:anchorId="328B57E0" wp14:editId="65CEF243">
            <wp:extent cx="4937125" cy="32850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7508" cy="3285321"/>
                    </a:xfrm>
                    <a:prstGeom prst="rect">
                      <a:avLst/>
                    </a:prstGeom>
                    <a:noFill/>
                    <a:ln>
                      <a:noFill/>
                    </a:ln>
                  </pic:spPr>
                </pic:pic>
              </a:graphicData>
            </a:graphic>
          </wp:inline>
        </w:drawing>
      </w:r>
      <w:r w:rsidR="00777855" w:rsidRPr="00A40DC0">
        <w:rPr>
          <w:b/>
          <w:bCs/>
          <w:color w:val="auto"/>
        </w:rPr>
        <w:t>Figure 5</w:t>
      </w:r>
      <w:r w:rsidR="00777855" w:rsidRPr="00202AA0">
        <w:rPr>
          <w:b/>
          <w:bCs/>
          <w:color w:val="auto"/>
        </w:rPr>
        <w:t xml:space="preserve">. </w:t>
      </w:r>
      <w:r w:rsidR="00CA04D9" w:rsidRPr="00202AA0">
        <w:rPr>
          <w:b/>
          <w:bCs/>
          <w:color w:val="auto"/>
        </w:rPr>
        <w:t>(A)</w:t>
      </w:r>
      <w:r w:rsidR="00CA04D9" w:rsidRPr="00A40DC0">
        <w:rPr>
          <w:color w:val="auto"/>
        </w:rPr>
        <w:t xml:space="preserve"> Macrophage marker expression on </w:t>
      </w:r>
      <w:proofErr w:type="spellStart"/>
      <w:r w:rsidR="00CA04D9" w:rsidRPr="00A40DC0">
        <w:rPr>
          <w:color w:val="auto"/>
        </w:rPr>
        <w:t>GelMA</w:t>
      </w:r>
      <w:proofErr w:type="spellEnd"/>
      <w:r w:rsidR="00CA04D9" w:rsidRPr="00A40DC0">
        <w:rPr>
          <w:color w:val="auto"/>
        </w:rPr>
        <w:t xml:space="preserve"> hydrogels with different stiffnesses (</w:t>
      </w:r>
      <w:proofErr w:type="spellStart"/>
      <w:r w:rsidR="00CA04D9" w:rsidRPr="00A40DC0">
        <w:rPr>
          <w:color w:val="auto"/>
        </w:rPr>
        <w:t>iNOS</w:t>
      </w:r>
      <w:proofErr w:type="spellEnd"/>
      <w:r w:rsidR="00CA04D9" w:rsidRPr="00A40DC0">
        <w:rPr>
          <w:color w:val="auto"/>
        </w:rPr>
        <w:t xml:space="preserve">; M1 marker, Arg-1; M2 marker). This study demonstrated that the soft </w:t>
      </w:r>
      <w:proofErr w:type="spellStart"/>
      <w:r w:rsidR="00CA04D9" w:rsidRPr="00A40DC0">
        <w:rPr>
          <w:color w:val="auto"/>
        </w:rPr>
        <w:t>GelMA</w:t>
      </w:r>
      <w:proofErr w:type="spellEnd"/>
      <w:r w:rsidR="00CA04D9" w:rsidRPr="00A40DC0">
        <w:rPr>
          <w:color w:val="auto"/>
        </w:rPr>
        <w:t xml:space="preserve"> hydrogel enhanced M2 polarization </w:t>
      </w:r>
      <w:r w:rsidR="00CA04D9" w:rsidRPr="00747173">
        <w:rPr>
          <w:color w:val="auto"/>
        </w:rPr>
        <w:t>in vitro</w:t>
      </w:r>
      <w:r w:rsidR="00CA04D9" w:rsidRPr="00A40DC0">
        <w:rPr>
          <w:color w:val="auto"/>
        </w:rPr>
        <w:t xml:space="preserve"> and </w:t>
      </w:r>
      <w:r w:rsidR="00CA04D9" w:rsidRPr="00747173">
        <w:rPr>
          <w:color w:val="auto"/>
        </w:rPr>
        <w:t>in vivo.</w:t>
      </w:r>
      <w:r w:rsidR="00CA04D9" w:rsidRPr="00A40DC0">
        <w:rPr>
          <w:color w:val="auto"/>
        </w:rPr>
        <w:t xml:space="preserve"> Adapted </w:t>
      </w:r>
      <w:r>
        <w:rPr>
          <w:color w:val="auto"/>
        </w:rPr>
        <w:t>with permission from Ref.</w:t>
      </w:r>
      <w:r w:rsidR="00CA04D9" w:rsidRPr="00A40DC0">
        <w:rPr>
          <w:color w:val="auto"/>
        </w:rPr>
        <w:t xml:space="preserve"> [10</w:t>
      </w:r>
      <w:r w:rsidR="00C81760">
        <w:rPr>
          <w:color w:val="auto"/>
        </w:rPr>
        <w:t>2</w:t>
      </w:r>
      <w:r w:rsidR="00CA04D9" w:rsidRPr="004D34E4">
        <w:rPr>
          <w:color w:val="auto"/>
        </w:rPr>
        <w:t>]. Copyright 2020</w:t>
      </w:r>
      <w:r w:rsidRPr="004D34E4">
        <w:rPr>
          <w:color w:val="auto"/>
        </w:rPr>
        <w:t>,</w:t>
      </w:r>
      <w:r w:rsidR="00CA04D9" w:rsidRPr="004D34E4">
        <w:rPr>
          <w:color w:val="auto"/>
        </w:rPr>
        <w:t xml:space="preserve"> American Chemical Society. </w:t>
      </w:r>
      <w:r w:rsidR="00CA04D9" w:rsidRPr="004D34E4">
        <w:rPr>
          <w:b/>
          <w:bCs/>
          <w:color w:val="auto"/>
        </w:rPr>
        <w:t>(B)</w:t>
      </w:r>
      <w:r w:rsidR="00CA04D9" w:rsidRPr="004D34E4">
        <w:rPr>
          <w:color w:val="auto"/>
        </w:rPr>
        <w:t xml:space="preserve"> Assessing macrophage morphology and phenotype in IL-4 incorporated PEGDA and </w:t>
      </w:r>
      <w:proofErr w:type="spellStart"/>
      <w:r w:rsidR="00CA04D9" w:rsidRPr="004D34E4">
        <w:rPr>
          <w:color w:val="auto"/>
        </w:rPr>
        <w:t>GelMA</w:t>
      </w:r>
      <w:proofErr w:type="spellEnd"/>
      <w:r w:rsidR="00CA04D9" w:rsidRPr="004D34E4">
        <w:rPr>
          <w:color w:val="auto"/>
        </w:rPr>
        <w:t xml:space="preserve"> hydrogels. The macrophages in PEGDA hydrogels showed</w:t>
      </w:r>
      <w:r w:rsidR="00CA04D9" w:rsidRPr="00A40DC0">
        <w:rPr>
          <w:color w:val="auto"/>
        </w:rPr>
        <w:t xml:space="preserve"> clump-like cytoplasmic aggregates of F-actin, whereas macrophages in </w:t>
      </w:r>
      <w:proofErr w:type="spellStart"/>
      <w:r w:rsidR="00CA04D9" w:rsidRPr="00A40DC0">
        <w:rPr>
          <w:color w:val="auto"/>
        </w:rPr>
        <w:t>GelMA</w:t>
      </w:r>
      <w:proofErr w:type="spellEnd"/>
      <w:r w:rsidR="00CA04D9" w:rsidRPr="00A40DC0">
        <w:rPr>
          <w:color w:val="auto"/>
        </w:rPr>
        <w:t xml:space="preserve"> showed the presence of a prominent cortical shell. The staining images with M1 surface marker (CD86) and M2 surface marker (CD206) and qPCR of M1-related KRF5 and IL-6 and M2-related STAT6 and IL-10 indicate that the </w:t>
      </w:r>
      <w:proofErr w:type="spellStart"/>
      <w:r w:rsidR="00CA04D9" w:rsidRPr="00A40DC0">
        <w:rPr>
          <w:color w:val="auto"/>
        </w:rPr>
        <w:t>GelMA</w:t>
      </w:r>
      <w:proofErr w:type="spellEnd"/>
      <w:r w:rsidR="00CA04D9" w:rsidRPr="00A40DC0">
        <w:rPr>
          <w:color w:val="auto"/>
        </w:rPr>
        <w:t xml:space="preserve"> hydrogel with IL-4 enhanced</w:t>
      </w:r>
      <w:r w:rsidR="00CA04D9" w:rsidRPr="00A40DC0">
        <w:rPr>
          <w:rFonts w:hint="eastAsia"/>
          <w:color w:val="auto"/>
        </w:rPr>
        <w:t xml:space="preserve"> M2 polari</w:t>
      </w:r>
      <w:r w:rsidR="00CA04D9" w:rsidRPr="00A40DC0">
        <w:rPr>
          <w:color w:val="auto"/>
        </w:rPr>
        <w:t>z</w:t>
      </w:r>
      <w:r w:rsidR="00CA04D9" w:rsidRPr="00A40DC0">
        <w:rPr>
          <w:rFonts w:hint="eastAsia"/>
          <w:color w:val="auto"/>
        </w:rPr>
        <w:t xml:space="preserve">ation, compared to the PEDGA-IL hydrogel. Adapted with permission from </w:t>
      </w:r>
      <w:r>
        <w:rPr>
          <w:color w:val="auto"/>
        </w:rPr>
        <w:t>Ref.</w:t>
      </w:r>
      <w:r w:rsidR="00CA04D9" w:rsidRPr="00A40DC0">
        <w:rPr>
          <w:rFonts w:hint="eastAsia"/>
          <w:color w:val="auto"/>
        </w:rPr>
        <w:t xml:space="preserve"> </w:t>
      </w:r>
      <w:r w:rsidR="00CA04D9" w:rsidRPr="00A40DC0">
        <w:rPr>
          <w:color w:val="auto"/>
        </w:rPr>
        <w:t>[10</w:t>
      </w:r>
      <w:r w:rsidR="00C81760">
        <w:rPr>
          <w:color w:val="auto"/>
        </w:rPr>
        <w:t>3</w:t>
      </w:r>
      <w:r w:rsidR="00CA04D9" w:rsidRPr="00A40DC0">
        <w:rPr>
          <w:color w:val="auto"/>
        </w:rPr>
        <w:t>]</w:t>
      </w:r>
      <w:r w:rsidR="00D11EF0">
        <w:rPr>
          <w:color w:val="auto"/>
        </w:rPr>
        <w:t>.</w:t>
      </w:r>
      <w:r w:rsidR="00CA04D9" w:rsidRPr="00A40DC0">
        <w:rPr>
          <w:rFonts w:hint="eastAsia"/>
          <w:color w:val="auto"/>
        </w:rPr>
        <w:t xml:space="preserve"> Copyright 2017</w:t>
      </w:r>
      <w:r>
        <w:rPr>
          <w:color w:val="auto"/>
        </w:rPr>
        <w:t>,</w:t>
      </w:r>
      <w:r w:rsidR="00CA04D9" w:rsidRPr="00A40DC0">
        <w:rPr>
          <w:rFonts w:hint="eastAsia"/>
          <w:color w:val="auto"/>
        </w:rPr>
        <w:t xml:space="preserve"> WILEY‐VCH Verlag GmbH &amp; Co. </w:t>
      </w:r>
      <w:proofErr w:type="spellStart"/>
      <w:r w:rsidR="00CA04D9" w:rsidRPr="00A40DC0">
        <w:rPr>
          <w:rFonts w:hint="eastAsia"/>
          <w:color w:val="auto"/>
        </w:rPr>
        <w:t>KGaA</w:t>
      </w:r>
      <w:proofErr w:type="spellEnd"/>
      <w:r w:rsidR="00CA04D9" w:rsidRPr="00A40DC0">
        <w:rPr>
          <w:rFonts w:hint="eastAsia"/>
          <w:color w:val="auto"/>
        </w:rPr>
        <w:t>, Weinheim.</w:t>
      </w:r>
    </w:p>
    <w:p w14:paraId="0D76F0C5" w14:textId="5C905B38" w:rsidR="00A3718F" w:rsidRPr="00777855" w:rsidRDefault="00777855" w:rsidP="00777855">
      <w:pPr>
        <w:pStyle w:val="MDPI22heading2"/>
        <w:spacing w:before="240"/>
      </w:pPr>
      <w:r w:rsidRPr="00777855">
        <w:t>3.4.</w:t>
      </w:r>
      <w:r>
        <w:t xml:space="preserve"> </w:t>
      </w:r>
      <w:r w:rsidRPr="00777855">
        <w:t>3</w:t>
      </w:r>
      <w:r w:rsidR="00A3718F" w:rsidRPr="001C57D1">
        <w:rPr>
          <w:color w:val="auto"/>
        </w:rPr>
        <w:t>D</w:t>
      </w:r>
      <w:r w:rsidR="00A3718F" w:rsidRPr="00777855">
        <w:t xml:space="preserve"> bioprinting and GelMA as a cell delivery platform </w:t>
      </w:r>
    </w:p>
    <w:p w14:paraId="0719787E" w14:textId="607285AD" w:rsidR="00DA46DC" w:rsidRPr="001C57D1" w:rsidRDefault="00DA46DC" w:rsidP="00545B0A">
      <w:pPr>
        <w:pStyle w:val="MDPI31text"/>
        <w:rPr>
          <w:color w:val="auto"/>
        </w:rPr>
      </w:pPr>
      <w:r>
        <w:t>To design tissue-mimicking constructs with defined architecture, 3D printing</w:t>
      </w:r>
      <w:r w:rsidR="00DE3048">
        <w:t>,</w:t>
      </w:r>
      <w:r>
        <w:t xml:space="preserve"> also known as additive manufacture</w:t>
      </w:r>
      <w:r w:rsidR="00DE3048">
        <w:t>,</w:t>
      </w:r>
      <w:r>
        <w:t xml:space="preserve"> has gained significant </w:t>
      </w:r>
      <w:r w:rsidRPr="001C57D1">
        <w:rPr>
          <w:color w:val="auto"/>
        </w:rPr>
        <w:t>interest as an approach by which spatial and temporal control of different layers can be achieved [</w:t>
      </w:r>
      <w:r w:rsidR="00C81760">
        <w:rPr>
          <w:color w:val="auto"/>
        </w:rPr>
        <w:t>105,</w:t>
      </w:r>
      <w:r w:rsidR="00583482" w:rsidRPr="001C57D1">
        <w:rPr>
          <w:color w:val="auto"/>
        </w:rPr>
        <w:t>106</w:t>
      </w:r>
      <w:r w:rsidRPr="001C57D1">
        <w:rPr>
          <w:color w:val="auto"/>
        </w:rPr>
        <w:t xml:space="preserve">]. This opens the avenue of preparing complicated constructs with defined zonal distribution of </w:t>
      </w:r>
      <w:r w:rsidR="00DE3048">
        <w:rPr>
          <w:color w:val="auto"/>
        </w:rPr>
        <w:t xml:space="preserve">the </w:t>
      </w:r>
      <w:r w:rsidRPr="001C57D1">
        <w:rPr>
          <w:color w:val="auto"/>
        </w:rPr>
        <w:t xml:space="preserve">same or different material and cell types that are not possible by casting or </w:t>
      </w:r>
      <w:r w:rsidR="007F4BF2" w:rsidRPr="001C57D1">
        <w:rPr>
          <w:color w:val="auto"/>
        </w:rPr>
        <w:t>molding</w:t>
      </w:r>
      <w:r w:rsidRPr="001C57D1">
        <w:rPr>
          <w:color w:val="auto"/>
        </w:rPr>
        <w:t xml:space="preserve"> a cell-laden material. The ease of synthesis, </w:t>
      </w:r>
      <w:proofErr w:type="gramStart"/>
      <w:r w:rsidRPr="001C57D1">
        <w:rPr>
          <w:color w:val="auto"/>
        </w:rPr>
        <w:t>biocompatibility</w:t>
      </w:r>
      <w:proofErr w:type="gramEnd"/>
      <w:r w:rsidRPr="001C57D1">
        <w:rPr>
          <w:color w:val="auto"/>
        </w:rPr>
        <w:t xml:space="preserve"> and the ability to tune chemical functionality has made </w:t>
      </w:r>
      <w:proofErr w:type="spellStart"/>
      <w:r w:rsidRPr="001C57D1">
        <w:rPr>
          <w:color w:val="auto"/>
        </w:rPr>
        <w:t>GelMA</w:t>
      </w:r>
      <w:proofErr w:type="spellEnd"/>
      <w:r w:rsidRPr="001C57D1">
        <w:rPr>
          <w:color w:val="auto"/>
        </w:rPr>
        <w:t xml:space="preserve"> one of the most frequently investigated materials as</w:t>
      </w:r>
      <w:r w:rsidR="00DE3048">
        <w:rPr>
          <w:color w:val="auto"/>
        </w:rPr>
        <w:t xml:space="preserve"> a</w:t>
      </w:r>
      <w:r w:rsidRPr="001C57D1">
        <w:rPr>
          <w:color w:val="auto"/>
        </w:rPr>
        <w:t xml:space="preserve"> </w:t>
      </w:r>
      <w:proofErr w:type="spellStart"/>
      <w:r w:rsidRPr="001C57D1">
        <w:rPr>
          <w:color w:val="auto"/>
        </w:rPr>
        <w:t>bioink</w:t>
      </w:r>
      <w:proofErr w:type="spellEnd"/>
      <w:r w:rsidRPr="001C57D1">
        <w:rPr>
          <w:color w:val="auto"/>
        </w:rPr>
        <w:t xml:space="preserve"> for manufacturing 3D constructs for hard and soft tissue regeneration. </w:t>
      </w:r>
      <w:proofErr w:type="gramStart"/>
      <w:r w:rsidRPr="001C57D1">
        <w:rPr>
          <w:color w:val="auto"/>
        </w:rPr>
        <w:t>In particular, for</w:t>
      </w:r>
      <w:proofErr w:type="gramEnd"/>
      <w:r w:rsidRPr="001C57D1">
        <w:rPr>
          <w:color w:val="auto"/>
        </w:rPr>
        <w:t xml:space="preserve"> bone regeneration application</w:t>
      </w:r>
      <w:r w:rsidR="00DE3048">
        <w:rPr>
          <w:color w:val="auto"/>
        </w:rPr>
        <w:t>s</w:t>
      </w:r>
      <w:r w:rsidRPr="001C57D1">
        <w:rPr>
          <w:color w:val="auto"/>
        </w:rPr>
        <w:t xml:space="preserve">, bioprinting entails </w:t>
      </w:r>
      <w:r w:rsidR="00DE3048">
        <w:rPr>
          <w:color w:val="auto"/>
        </w:rPr>
        <w:t xml:space="preserve">the </w:t>
      </w:r>
      <w:r w:rsidRPr="001C57D1">
        <w:rPr>
          <w:color w:val="auto"/>
        </w:rPr>
        <w:t xml:space="preserve">use of </w:t>
      </w:r>
      <w:proofErr w:type="spellStart"/>
      <w:r w:rsidRPr="001C57D1">
        <w:rPr>
          <w:color w:val="auto"/>
        </w:rPr>
        <w:t>GelMA</w:t>
      </w:r>
      <w:proofErr w:type="spellEnd"/>
      <w:r w:rsidRPr="001C57D1">
        <w:rPr>
          <w:color w:val="auto"/>
        </w:rPr>
        <w:t xml:space="preserve"> as a cell-laden </w:t>
      </w:r>
      <w:proofErr w:type="spellStart"/>
      <w:r w:rsidRPr="001C57D1">
        <w:rPr>
          <w:color w:val="auto"/>
        </w:rPr>
        <w:t>bioink</w:t>
      </w:r>
      <w:proofErr w:type="spellEnd"/>
      <w:r w:rsidRPr="001C57D1">
        <w:rPr>
          <w:color w:val="auto"/>
        </w:rPr>
        <w:t xml:space="preserve"> with a scaffolding structure as a mechanical backbone [32,</w:t>
      </w:r>
      <w:r w:rsidR="00583482" w:rsidRPr="001C57D1">
        <w:rPr>
          <w:color w:val="auto"/>
        </w:rPr>
        <w:t>10</w:t>
      </w:r>
      <w:r w:rsidR="00C81760">
        <w:rPr>
          <w:color w:val="auto"/>
        </w:rPr>
        <w:t>7</w:t>
      </w:r>
      <w:r w:rsidR="00B51F11">
        <w:rPr>
          <w:color w:val="auto"/>
        </w:rPr>
        <w:t>–</w:t>
      </w:r>
      <w:r w:rsidR="00C81760">
        <w:rPr>
          <w:color w:val="auto"/>
        </w:rPr>
        <w:t>109</w:t>
      </w:r>
      <w:r w:rsidRPr="001C57D1">
        <w:rPr>
          <w:color w:val="auto"/>
        </w:rPr>
        <w:t>]. The encapsulation of the cells within the hydrogel matrix provides a transient native tissue mimicking microenvironment for the cells to interact with a mechanically compatible scaffold instead of relying on cell-scaffold interaction via cell adhesion [</w:t>
      </w:r>
      <w:r w:rsidR="00583482" w:rsidRPr="001C57D1">
        <w:rPr>
          <w:color w:val="auto"/>
        </w:rPr>
        <w:t>11</w:t>
      </w:r>
      <w:r w:rsidR="00C81760">
        <w:rPr>
          <w:color w:val="auto"/>
        </w:rPr>
        <w:t>0</w:t>
      </w:r>
      <w:r w:rsidRPr="001C57D1">
        <w:rPr>
          <w:color w:val="auto"/>
        </w:rPr>
        <w:t xml:space="preserve">]. The printed constructs are then implanted directly </w:t>
      </w:r>
      <w:r w:rsidR="00DE3048" w:rsidRPr="001C57D1">
        <w:rPr>
          <w:color w:val="auto"/>
        </w:rPr>
        <w:t>post</w:t>
      </w:r>
      <w:r w:rsidR="00DE3048">
        <w:rPr>
          <w:color w:val="auto"/>
        </w:rPr>
        <w:t>-</w:t>
      </w:r>
      <w:r w:rsidRPr="001C57D1">
        <w:rPr>
          <w:color w:val="auto"/>
        </w:rPr>
        <w:t xml:space="preserve">fabrication or in some cases are cultured </w:t>
      </w:r>
      <w:r w:rsidRPr="00747173">
        <w:rPr>
          <w:color w:val="auto"/>
        </w:rPr>
        <w:t>in vitro</w:t>
      </w:r>
      <w:r w:rsidRPr="001C57D1">
        <w:rPr>
          <w:color w:val="auto"/>
        </w:rPr>
        <w:t xml:space="preserve"> to allow tissue maturation before </w:t>
      </w:r>
      <w:r w:rsidRPr="00EC2281">
        <w:rPr>
          <w:color w:val="auto"/>
        </w:rPr>
        <w:t>implantation in vivo.</w:t>
      </w:r>
      <w:r w:rsidRPr="001C57D1">
        <w:rPr>
          <w:color w:val="auto"/>
        </w:rPr>
        <w:t xml:space="preserve"> </w:t>
      </w:r>
    </w:p>
    <w:p w14:paraId="7730230E" w14:textId="0B9F0E45" w:rsidR="00DA46DC" w:rsidRDefault="00DA46DC" w:rsidP="00545B0A">
      <w:pPr>
        <w:pStyle w:val="MDPI31text"/>
      </w:pPr>
      <w:r>
        <w:t xml:space="preserve">Different printing platforms have been utilized for bioprinting 3D </w:t>
      </w:r>
      <w:proofErr w:type="spellStart"/>
      <w:r>
        <w:t>GelMA</w:t>
      </w:r>
      <w:proofErr w:type="spellEnd"/>
      <w:r>
        <w:t xml:space="preserve"> constructs with high complexity utilizing </w:t>
      </w:r>
      <w:r w:rsidR="00230354">
        <w:t>computer-</w:t>
      </w:r>
      <w:r>
        <w:t xml:space="preserve">aided designs which rely on either </w:t>
      </w:r>
      <w:r w:rsidR="00230354">
        <w:t>extrusion-</w:t>
      </w:r>
      <w:r>
        <w:t>based bioprinting (EBB) or non-extrusion (inkjet or lithography assisted)</w:t>
      </w:r>
      <w:r w:rsidR="00230354">
        <w:t xml:space="preserve"> </w:t>
      </w:r>
      <w:r>
        <w:t xml:space="preserve">-based </w:t>
      </w:r>
      <w:r>
        <w:lastRenderedPageBreak/>
        <w:t>platform</w:t>
      </w:r>
      <w:r w:rsidR="00230354">
        <w:t>s</w:t>
      </w:r>
      <w:r>
        <w:t>. Each platform has its own advantages and limitations. For example, while inkjet printing is relatively fast and has high</w:t>
      </w:r>
      <w:r w:rsidR="00230354">
        <w:t xml:space="preserve"> </w:t>
      </w:r>
      <w:r>
        <w:t xml:space="preserve">resolution, it is also limited in the thicknesses that can be achieved and the cell density able to be incorporated. On the other hand, EBB permits </w:t>
      </w:r>
      <w:r w:rsidR="00230354">
        <w:t xml:space="preserve">the </w:t>
      </w:r>
      <w:r>
        <w:t>utilization of high cell densities but is often restricted by the resolution of the printed construct (200</w:t>
      </w:r>
      <w:r w:rsidR="00B51F11">
        <w:t>–</w:t>
      </w:r>
      <w:r>
        <w:t xml:space="preserve">1000 µm). The cost-effectiveness, ease of accessibility and ability to combine different materials (thermoplastics, hydrogels and/or growth factors and cells) with spatial organization has made EBB the most investigated printing platform. Irrespective of the printing platform selected, </w:t>
      </w:r>
      <w:proofErr w:type="spellStart"/>
      <w:r>
        <w:t>GelMA</w:t>
      </w:r>
      <w:proofErr w:type="spellEnd"/>
      <w:r>
        <w:t xml:space="preserve"> has been most extensively utilized as </w:t>
      </w:r>
      <w:proofErr w:type="spellStart"/>
      <w:r>
        <w:t>bioink</w:t>
      </w:r>
      <w:proofErr w:type="spellEnd"/>
      <w:r>
        <w:t xml:space="preserve">/bio-resin after taking rheological and technical constraints into consideration. </w:t>
      </w:r>
    </w:p>
    <w:p w14:paraId="7F84AA8F" w14:textId="326AD1D1" w:rsidR="00DA46DC" w:rsidRDefault="00DA46DC" w:rsidP="00545B0A">
      <w:pPr>
        <w:pStyle w:val="MDPI31text"/>
      </w:pPr>
      <w:r>
        <w:t xml:space="preserve">In this review, we focus primarily on </w:t>
      </w:r>
      <w:r w:rsidR="00230354">
        <w:t>extrusion-</w:t>
      </w:r>
      <w:r>
        <w:t xml:space="preserve">based bioprinting where </w:t>
      </w:r>
      <w:proofErr w:type="spellStart"/>
      <w:r>
        <w:t>GelMA</w:t>
      </w:r>
      <w:proofErr w:type="spellEnd"/>
      <w:r>
        <w:t xml:space="preserve"> is used as a base material and combined with other polymers or nano-fillers to achieve different functional attributes in the printed construct. The ability of the </w:t>
      </w:r>
      <w:proofErr w:type="spellStart"/>
      <w:r>
        <w:t>bioink</w:t>
      </w:r>
      <w:proofErr w:type="spellEnd"/>
      <w:r>
        <w:t xml:space="preserve"> to be utilized for extrusion-based printing relies on the ability of the ink to resist flow before extrusion but when high force is applied</w:t>
      </w:r>
      <w:r w:rsidR="00230354">
        <w:t>,</w:t>
      </w:r>
      <w:r>
        <w:t xml:space="preserve"> using air pressure or through a piston, the viscosity reduces to permit continuous filament flow through the nozzle. The extruded filament thus stacks on top of </w:t>
      </w:r>
      <w:r w:rsidR="00230354">
        <w:t xml:space="preserve">the </w:t>
      </w:r>
      <w:r>
        <w:t xml:space="preserve">previously printed layer and retains shape during crosslinking. Printing soft materials </w:t>
      </w:r>
      <w:r w:rsidR="00230354">
        <w:t xml:space="preserve">such as </w:t>
      </w:r>
      <w:proofErr w:type="spellStart"/>
      <w:r>
        <w:t>GelMA</w:t>
      </w:r>
      <w:proofErr w:type="spellEnd"/>
      <w:r>
        <w:t xml:space="preserve"> with low hydrogel network densities poses significant challenges that can be overcome either by using a </w:t>
      </w:r>
      <w:r w:rsidRPr="003D13DF">
        <w:rPr>
          <w:color w:val="auto"/>
        </w:rPr>
        <w:t xml:space="preserve">template sacrificial material </w:t>
      </w:r>
      <w:r w:rsidR="00230354">
        <w:rPr>
          <w:color w:val="auto"/>
        </w:rPr>
        <w:t>such as</w:t>
      </w:r>
      <w:r w:rsidR="00230354" w:rsidRPr="003D13DF">
        <w:rPr>
          <w:color w:val="auto"/>
        </w:rPr>
        <w:t xml:space="preserve"> </w:t>
      </w:r>
      <w:proofErr w:type="spellStart"/>
      <w:r w:rsidRPr="003D13DF">
        <w:rPr>
          <w:color w:val="auto"/>
        </w:rPr>
        <w:t>pluronics</w:t>
      </w:r>
      <w:proofErr w:type="spellEnd"/>
      <w:r w:rsidRPr="003D13DF">
        <w:rPr>
          <w:color w:val="auto"/>
        </w:rPr>
        <w:t xml:space="preserve"> or by significantly reducing the printing temperature conditions to form a stable extruded filament. Alternatively, the inclusion of nano-fillers (Figure </w:t>
      </w:r>
      <w:r w:rsidR="00583482" w:rsidRPr="003D13DF">
        <w:rPr>
          <w:color w:val="auto"/>
        </w:rPr>
        <w:t>6</w:t>
      </w:r>
      <w:r w:rsidRPr="003D13DF">
        <w:rPr>
          <w:color w:val="auto"/>
        </w:rPr>
        <w:t xml:space="preserve"> A and B) and/or other polymers (synthetic or natural (Figure </w:t>
      </w:r>
      <w:r w:rsidR="00583482" w:rsidRPr="003D13DF">
        <w:rPr>
          <w:color w:val="auto"/>
        </w:rPr>
        <w:t>6</w:t>
      </w:r>
      <w:r w:rsidRPr="003D13DF">
        <w:rPr>
          <w:color w:val="auto"/>
        </w:rPr>
        <w:t xml:space="preserve">C and D)) entail improved print fidelity by altering their rheological properties and biological functionality. The </w:t>
      </w:r>
      <w:r>
        <w:t xml:space="preserve">use of additives </w:t>
      </w:r>
      <w:r w:rsidR="00230354">
        <w:t xml:space="preserve">such as </w:t>
      </w:r>
      <w:r>
        <w:t>polymers started as a passive approach to improve the rheological properties of the hydrogel and permit printability of materials under fragile conditions. However, there has been a gradual shift in the focus where designing multifunctional 3D</w:t>
      </w:r>
      <w:r w:rsidR="002278FE">
        <w:t>-</w:t>
      </w:r>
      <w:r>
        <w:t xml:space="preserve">printed constructs is desirable. The desired output not only improves </w:t>
      </w:r>
      <w:proofErr w:type="spellStart"/>
      <w:r>
        <w:t>bioink</w:t>
      </w:r>
      <w:proofErr w:type="spellEnd"/>
      <w:r>
        <w:t xml:space="preserve"> printability and shape fidelity of multi-layered printed construct</w:t>
      </w:r>
      <w:r w:rsidR="00230354">
        <w:t>s</w:t>
      </w:r>
      <w:r>
        <w:t xml:space="preserve"> but also enhances the viability and functionality of cell-laden scaffolds. Table 2 summarizes a list of polymeric and bioactive additives used for bioprinting </w:t>
      </w:r>
      <w:proofErr w:type="spellStart"/>
      <w:r>
        <w:t>GelMA</w:t>
      </w:r>
      <w:proofErr w:type="spellEnd"/>
      <w:r>
        <w:t xml:space="preserve"> with </w:t>
      </w:r>
      <w:r w:rsidR="00230354">
        <w:t xml:space="preserve">a </w:t>
      </w:r>
      <w:r>
        <w:t>focus on bone regeneration.</w:t>
      </w:r>
    </w:p>
    <w:p w14:paraId="75E17400" w14:textId="1C06361A" w:rsidR="00DA46DC" w:rsidRDefault="00DA46DC" w:rsidP="00545B0A">
      <w:pPr>
        <w:pStyle w:val="MDPI31text"/>
      </w:pPr>
      <w:r>
        <w:t xml:space="preserve">Irrespective of the additives used to improve the </w:t>
      </w:r>
      <w:proofErr w:type="spellStart"/>
      <w:r>
        <w:t>physicomechanical</w:t>
      </w:r>
      <w:proofErr w:type="spellEnd"/>
      <w:r>
        <w:t xml:space="preserve"> properties, </w:t>
      </w:r>
      <w:proofErr w:type="gramStart"/>
      <w:r>
        <w:t>printability</w:t>
      </w:r>
      <w:proofErr w:type="gramEnd"/>
      <w:r>
        <w:t xml:space="preserve"> and biological functionality of </w:t>
      </w:r>
      <w:proofErr w:type="spellStart"/>
      <w:r>
        <w:t>GelMA</w:t>
      </w:r>
      <w:proofErr w:type="spellEnd"/>
      <w:r>
        <w:t xml:space="preserve"> for bone regeneration, these materials need additional mechanical reinforcement for designing 3D </w:t>
      </w:r>
      <w:r w:rsidR="00230354">
        <w:t>patient-</w:t>
      </w:r>
      <w:r>
        <w:t xml:space="preserve">specific constructs with appropriate </w:t>
      </w:r>
      <w:proofErr w:type="spellStart"/>
      <w:r>
        <w:t>physicomechanical</w:t>
      </w:r>
      <w:proofErr w:type="spellEnd"/>
      <w:r>
        <w:t xml:space="preserve"> requirements. ‘Hybrid </w:t>
      </w:r>
      <w:proofErr w:type="spellStart"/>
      <w:r>
        <w:t>biofabrication</w:t>
      </w:r>
      <w:proofErr w:type="spellEnd"/>
      <w:r>
        <w:t xml:space="preserve">’ is one of the strategies employed </w:t>
      </w:r>
      <w:r w:rsidR="00230354">
        <w:t xml:space="preserve">and </w:t>
      </w:r>
      <w:r>
        <w:t xml:space="preserve">involves designing a multi-material construct combining </w:t>
      </w:r>
      <w:proofErr w:type="spellStart"/>
      <w:r>
        <w:t>bioink</w:t>
      </w:r>
      <w:proofErr w:type="spellEnd"/>
      <w:r>
        <w:t xml:space="preserve"> as </w:t>
      </w:r>
      <w:r w:rsidR="00230354">
        <w:t xml:space="preserve">a </w:t>
      </w:r>
      <w:r>
        <w:t xml:space="preserve">cell-instructive component with biomaterial ink as a structural scaffold. This allows combining components with appropriate cell-specific cues to permit cell viability and functionality whereas ‘biomaterial ink’ improves its mechanical strength along with topological cues to dictate cell function. </w:t>
      </w:r>
      <w:r w:rsidR="00230354">
        <w:t>One p</w:t>
      </w:r>
      <w:r>
        <w:t xml:space="preserve">opular approach </w:t>
      </w:r>
      <w:proofErr w:type="spellStart"/>
      <w:proofErr w:type="gramStart"/>
      <w:r>
        <w:t>centres</w:t>
      </w:r>
      <w:proofErr w:type="spellEnd"/>
      <w:proofErr w:type="gramEnd"/>
      <w:r>
        <w:t xml:space="preserve"> on drop casting the pre-polymerized </w:t>
      </w:r>
      <w:r w:rsidR="00230354">
        <w:t>cell-</w:t>
      </w:r>
      <w:r>
        <w:t xml:space="preserve">laden </w:t>
      </w:r>
      <w:proofErr w:type="spellStart"/>
      <w:r>
        <w:t>GelMA</w:t>
      </w:r>
      <w:proofErr w:type="spellEnd"/>
      <w:r>
        <w:t xml:space="preserve"> onto </w:t>
      </w:r>
      <w:r w:rsidR="00230354">
        <w:t xml:space="preserve">a </w:t>
      </w:r>
      <w:r>
        <w:t xml:space="preserve">scaffolding construct. A recent study by </w:t>
      </w:r>
      <w:proofErr w:type="spellStart"/>
      <w:r>
        <w:t>Qiao</w:t>
      </w:r>
      <w:proofErr w:type="spellEnd"/>
      <w:r>
        <w:t xml:space="preserve"> et al prepared an </w:t>
      </w:r>
      <w:r w:rsidRPr="003D2557">
        <w:rPr>
          <w:color w:val="auto"/>
        </w:rPr>
        <w:t>osteochondral construct mimicking the structural and compositional gradient of the native tissue [</w:t>
      </w:r>
      <w:r w:rsidR="00583482" w:rsidRPr="003D2557">
        <w:rPr>
          <w:color w:val="auto"/>
        </w:rPr>
        <w:t>11</w:t>
      </w:r>
      <w:r w:rsidR="00C81760">
        <w:rPr>
          <w:color w:val="auto"/>
        </w:rPr>
        <w:t>1</w:t>
      </w:r>
      <w:r w:rsidRPr="003D2557">
        <w:rPr>
          <w:color w:val="auto"/>
        </w:rPr>
        <w:t xml:space="preserve">]. This was achieved by combining a polycaprolactone (PCL) scaffold prepared by melt “electro-writing” with varying </w:t>
      </w:r>
      <w:r w:rsidR="007F4BF2" w:rsidRPr="003D2557">
        <w:rPr>
          <w:color w:val="auto"/>
        </w:rPr>
        <w:t>fiber</w:t>
      </w:r>
      <w:r w:rsidRPr="003D2557">
        <w:rPr>
          <w:color w:val="auto"/>
        </w:rPr>
        <w:t xml:space="preserve"> organization with MSC-laden </w:t>
      </w:r>
      <w:proofErr w:type="spellStart"/>
      <w:r w:rsidRPr="003D2557">
        <w:rPr>
          <w:color w:val="auto"/>
        </w:rPr>
        <w:t>GelMA</w:t>
      </w:r>
      <w:proofErr w:type="spellEnd"/>
      <w:r w:rsidRPr="003D2557">
        <w:rPr>
          <w:color w:val="auto"/>
        </w:rPr>
        <w:t xml:space="preserve"> with TGFβ1 and/or BMP7 or BMP2</w:t>
      </w:r>
      <w:r w:rsidR="00230354">
        <w:rPr>
          <w:color w:val="auto"/>
        </w:rPr>
        <w:t>-</w:t>
      </w:r>
      <w:r w:rsidRPr="003D2557">
        <w:rPr>
          <w:color w:val="auto"/>
        </w:rPr>
        <w:t xml:space="preserve">containing PLGA microspheres. This enabled recapitulation of the superficial, deep and bone region of the osteochondral construct thus resulting in differential cellular phenotype and ECM deposition </w:t>
      </w:r>
      <w:r w:rsidRPr="00747173">
        <w:rPr>
          <w:color w:val="auto"/>
        </w:rPr>
        <w:t>in vitro</w:t>
      </w:r>
      <w:r w:rsidRPr="003D2557">
        <w:rPr>
          <w:color w:val="auto"/>
        </w:rPr>
        <w:t xml:space="preserve"> along with subchondral bone and cartilage </w:t>
      </w:r>
      <w:r w:rsidRPr="009F0B24">
        <w:rPr>
          <w:color w:val="auto"/>
        </w:rPr>
        <w:t>regeneration in vivo</w:t>
      </w:r>
      <w:r w:rsidRPr="003D2557">
        <w:rPr>
          <w:color w:val="auto"/>
        </w:rPr>
        <w:t xml:space="preserve">. The focus of the study was on osteochondral regeneration, but similar strategies can be employed for different tissues where, by mimicking </w:t>
      </w:r>
      <w:r w:rsidR="00230354">
        <w:rPr>
          <w:color w:val="auto"/>
        </w:rPr>
        <w:t xml:space="preserve">the </w:t>
      </w:r>
      <w:r w:rsidRPr="003D2557">
        <w:rPr>
          <w:color w:val="auto"/>
        </w:rPr>
        <w:t>structural and cellular composition of the tissue</w:t>
      </w:r>
      <w:r w:rsidR="00230354">
        <w:rPr>
          <w:color w:val="auto"/>
        </w:rPr>
        <w:t xml:space="preserve"> </w:t>
      </w:r>
      <w:r w:rsidRPr="003D2557">
        <w:rPr>
          <w:color w:val="auto"/>
        </w:rPr>
        <w:t>of interest, tissue regeneration can be achieved. Another strategy employed printing a hydrogel</w:t>
      </w:r>
      <w:r w:rsidR="00825F77">
        <w:rPr>
          <w:color w:val="auto"/>
        </w:rPr>
        <w:t>-</w:t>
      </w:r>
      <w:r w:rsidRPr="003D2557">
        <w:rPr>
          <w:color w:val="auto"/>
        </w:rPr>
        <w:t xml:space="preserve">engraved </w:t>
      </w:r>
      <w:r>
        <w:t xml:space="preserve">PCL scaffold where a layer of printed PCL was engraved using </w:t>
      </w:r>
      <w:r w:rsidR="00825F77">
        <w:t xml:space="preserve">a </w:t>
      </w:r>
      <w:r>
        <w:t xml:space="preserve">22G needle at high temperature and the void created was then filled with low viscosity </w:t>
      </w:r>
      <w:proofErr w:type="spellStart"/>
      <w:r>
        <w:t>GelMA</w:t>
      </w:r>
      <w:proofErr w:type="spellEnd"/>
      <w:r>
        <w:t xml:space="preserve"> via </w:t>
      </w:r>
      <w:r w:rsidR="00825F77">
        <w:t xml:space="preserve">a </w:t>
      </w:r>
      <w:r>
        <w:t xml:space="preserve">27G needle </w:t>
      </w:r>
      <w:r w:rsidRPr="003D2557">
        <w:rPr>
          <w:color w:val="auto"/>
        </w:rPr>
        <w:t>[1</w:t>
      </w:r>
      <w:r w:rsidR="00583482" w:rsidRPr="003D2557">
        <w:rPr>
          <w:color w:val="auto"/>
        </w:rPr>
        <w:t>1</w:t>
      </w:r>
      <w:r w:rsidR="00C81760">
        <w:rPr>
          <w:color w:val="auto"/>
        </w:rPr>
        <w:t>2</w:t>
      </w:r>
      <w:r w:rsidRPr="003D2557">
        <w:rPr>
          <w:color w:val="auto"/>
        </w:rPr>
        <w:t xml:space="preserve">]. In </w:t>
      </w:r>
      <w:r>
        <w:t xml:space="preserve">this study, </w:t>
      </w:r>
      <w:r w:rsidR="00825F77">
        <w:t xml:space="preserve">the </w:t>
      </w:r>
      <w:r>
        <w:t xml:space="preserve">high porosity of the printed construct was maintained </w:t>
      </w:r>
      <w:r w:rsidR="00825F77">
        <w:t xml:space="preserve">which </w:t>
      </w:r>
      <w:r>
        <w:t xml:space="preserve">allowed </w:t>
      </w:r>
      <w:r w:rsidR="00825F77">
        <w:t xml:space="preserve">the </w:t>
      </w:r>
      <w:r>
        <w:t xml:space="preserve">combining </w:t>
      </w:r>
      <w:r w:rsidR="00825F77">
        <w:t xml:space="preserve">of </w:t>
      </w:r>
      <w:r>
        <w:t xml:space="preserve">cell-laden soft hydrogels, which could otherwise not be printed. The layer-by-layer approach proposes a strategy where precise localization of </w:t>
      </w:r>
      <w:r>
        <w:lastRenderedPageBreak/>
        <w:t xml:space="preserve">cell-type and/or growth factors laden hydrogel can be achieved within the engraved construct without compromising the material porosity, </w:t>
      </w:r>
      <w:proofErr w:type="gramStart"/>
      <w:r>
        <w:t>connectivity</w:t>
      </w:r>
      <w:proofErr w:type="gramEnd"/>
      <w:r>
        <w:t xml:space="preserve"> and mechanical properties. However, the study was limited by the amount of hydrogel material that could be combined with the polymer matrix</w:t>
      </w:r>
      <w:r w:rsidR="0031252D">
        <w:t>,</w:t>
      </w:r>
      <w:r>
        <w:t xml:space="preserve"> but once optimized, the material can be used to design complex multi-cellular constructs with controlled spatial presentation of cellular and bioactive factors for designing </w:t>
      </w:r>
      <w:r w:rsidR="0031252D">
        <w:t>tissue-</w:t>
      </w:r>
      <w:r>
        <w:t>engineered constructs.</w:t>
      </w:r>
    </w:p>
    <w:p w14:paraId="177FED67" w14:textId="77777777" w:rsidR="00583482" w:rsidRDefault="00583482" w:rsidP="002725E5">
      <w:pPr>
        <w:pStyle w:val="MDPI31text"/>
        <w:jc w:val="left"/>
      </w:pPr>
    </w:p>
    <w:p w14:paraId="27335E97" w14:textId="74FB016F" w:rsidR="00DA46DC" w:rsidRDefault="00D13AA8" w:rsidP="00545B0A">
      <w:pPr>
        <w:pStyle w:val="MDPI52figure"/>
        <w:ind w:left="2608"/>
        <w:jc w:val="left"/>
      </w:pPr>
      <w:r>
        <w:rPr>
          <w:noProof/>
          <w:highlight w:val="yellow"/>
        </w:rPr>
        <w:drawing>
          <wp:inline distT="0" distB="0" distL="0" distR="0" wp14:anchorId="1A581F58" wp14:editId="66D3D948">
            <wp:extent cx="4975578" cy="55975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6993" cy="5599117"/>
                    </a:xfrm>
                    <a:prstGeom prst="rect">
                      <a:avLst/>
                    </a:prstGeom>
                    <a:noFill/>
                    <a:ln>
                      <a:noFill/>
                    </a:ln>
                  </pic:spPr>
                </pic:pic>
              </a:graphicData>
            </a:graphic>
          </wp:inline>
        </w:drawing>
      </w:r>
    </w:p>
    <w:p w14:paraId="3BB72936" w14:textId="44E4ADD7" w:rsidR="00DA46DC" w:rsidRDefault="00545B0A" w:rsidP="00545B0A">
      <w:pPr>
        <w:pStyle w:val="MDPI51figurecaption"/>
      </w:pPr>
      <w:r w:rsidRPr="00545B0A">
        <w:rPr>
          <w:b/>
          <w:bCs/>
        </w:rPr>
        <w:t xml:space="preserve">Figure 6. </w:t>
      </w:r>
      <w:r w:rsidR="00DA46DC" w:rsidRPr="00202AA0">
        <w:rPr>
          <w:b/>
          <w:bCs/>
        </w:rPr>
        <w:t xml:space="preserve">(A) </w:t>
      </w:r>
      <w:r w:rsidR="00DA46DC" w:rsidRPr="00DA46DC">
        <w:t xml:space="preserve">Comparison of printing fidelity achieved by 7.5 </w:t>
      </w:r>
      <w:proofErr w:type="spellStart"/>
      <w:r w:rsidR="00DA46DC" w:rsidRPr="00DA46DC">
        <w:t>wt</w:t>
      </w:r>
      <w:proofErr w:type="spellEnd"/>
      <w:r w:rsidR="00DA46DC" w:rsidRPr="00DA46DC">
        <w:t xml:space="preserve">% </w:t>
      </w:r>
      <w:proofErr w:type="spellStart"/>
      <w:r w:rsidR="00DA46DC" w:rsidRPr="00DA46DC">
        <w:t>GelMA</w:t>
      </w:r>
      <w:proofErr w:type="spellEnd"/>
      <w:r w:rsidR="00DA46DC" w:rsidRPr="00DA46DC">
        <w:t xml:space="preserve"> and 7.5 </w:t>
      </w:r>
      <w:proofErr w:type="spellStart"/>
      <w:r w:rsidR="00DA46DC" w:rsidRPr="00DA46DC">
        <w:t>wt</w:t>
      </w:r>
      <w:proofErr w:type="spellEnd"/>
      <w:r w:rsidR="00DA46DC" w:rsidRPr="00DA46DC">
        <w:t xml:space="preserve">% nanocomposite </w:t>
      </w:r>
      <w:proofErr w:type="spellStart"/>
      <w:r w:rsidR="00DA46DC" w:rsidRPr="00DA46DC">
        <w:t>bioinks</w:t>
      </w:r>
      <w:proofErr w:type="spellEnd"/>
      <w:r w:rsidR="00DA46DC" w:rsidRPr="00DA46DC">
        <w:t xml:space="preserve"> incorporating 1 </w:t>
      </w:r>
      <w:proofErr w:type="spellStart"/>
      <w:r w:rsidR="00DA46DC" w:rsidRPr="00DA46DC">
        <w:t>wt</w:t>
      </w:r>
      <w:proofErr w:type="spellEnd"/>
      <w:r w:rsidR="00DA46DC" w:rsidRPr="00DA46DC">
        <w:t>% LPN (Scale bars: 1 mm)</w:t>
      </w:r>
      <w:r w:rsidR="00ED6680">
        <w:t>;</w:t>
      </w:r>
      <w:r w:rsidR="00DA46DC" w:rsidRPr="00DA46DC">
        <w:t xml:space="preserve"> low magnification (top panel) and high magnification (middle panel); bottom panel represents matrix mineralization of HBMSCs-laden 3D</w:t>
      </w:r>
      <w:r w:rsidR="00ED6680">
        <w:t>-</w:t>
      </w:r>
      <w:r w:rsidR="00DA46DC" w:rsidRPr="00DA46DC">
        <w:t>printed LPN-</w:t>
      </w:r>
      <w:proofErr w:type="spellStart"/>
      <w:r w:rsidR="00DA46DC" w:rsidRPr="00DA46DC">
        <w:t>GelMA</w:t>
      </w:r>
      <w:proofErr w:type="spellEnd"/>
      <w:r w:rsidR="00DA46DC" w:rsidRPr="00DA46DC">
        <w:t xml:space="preserve"> construct cultured under osteogenic differentiation conditions (left) and media without dexamethasone (right) for 21 days. </w:t>
      </w:r>
      <w:r w:rsidR="00D13AA8" w:rsidRPr="00A40DC0">
        <w:rPr>
          <w:color w:val="auto"/>
        </w:rPr>
        <w:t xml:space="preserve">Adapted </w:t>
      </w:r>
      <w:r w:rsidR="00D13AA8">
        <w:rPr>
          <w:color w:val="auto"/>
        </w:rPr>
        <w:t>with permission from Ref.</w:t>
      </w:r>
      <w:r w:rsidR="00D13AA8" w:rsidRPr="00A40DC0">
        <w:rPr>
          <w:color w:val="auto"/>
        </w:rPr>
        <w:t xml:space="preserve"> </w:t>
      </w:r>
      <w:r w:rsidR="00DA46DC" w:rsidRPr="00DA46DC">
        <w:t>[51]</w:t>
      </w:r>
      <w:r w:rsidR="00ED6680">
        <w:t>.</w:t>
      </w:r>
      <w:r w:rsidR="00DA46DC" w:rsidRPr="00DA46DC">
        <w:t xml:space="preserve"> Copyright 2019</w:t>
      </w:r>
      <w:r w:rsidR="00D13AA8">
        <w:t>,</w:t>
      </w:r>
      <w:r w:rsidR="00DA46DC" w:rsidRPr="00DA46DC">
        <w:t xml:space="preserve"> IOP. </w:t>
      </w:r>
      <w:r w:rsidR="00DA46DC" w:rsidRPr="00202AA0">
        <w:rPr>
          <w:b/>
          <w:bCs/>
        </w:rPr>
        <w:t xml:space="preserve">(B) </w:t>
      </w:r>
      <w:r w:rsidR="00DA46DC" w:rsidRPr="00DA46DC">
        <w:t xml:space="preserve">Comparing printability of </w:t>
      </w:r>
      <w:proofErr w:type="spellStart"/>
      <w:r w:rsidR="00DA46DC" w:rsidRPr="00DA46DC">
        <w:t>GelMA</w:t>
      </w:r>
      <w:proofErr w:type="spellEnd"/>
      <w:r w:rsidR="00DA46DC" w:rsidRPr="00DA46DC">
        <w:t xml:space="preserve"> (i) with </w:t>
      </w:r>
      <w:proofErr w:type="spellStart"/>
      <w:r w:rsidR="00DA46DC" w:rsidRPr="00DA46DC">
        <w:t>GelMA</w:t>
      </w:r>
      <w:proofErr w:type="spellEnd"/>
      <w:r w:rsidR="00DA46DC" w:rsidRPr="00DA46DC">
        <w:t xml:space="preserve"> incorporating SrCO3 nanostructures (ii) which also supports high cell viability of encapsulated MSCs as determined by live (green)/dead (red) staining (iii) matrix mineralization assessed via Alizarin Red staining of mineralized (</w:t>
      </w:r>
      <w:proofErr w:type="spellStart"/>
      <w:r w:rsidR="00DA46DC" w:rsidRPr="00DA46DC">
        <w:t>CaP</w:t>
      </w:r>
      <w:proofErr w:type="spellEnd"/>
      <w:r w:rsidR="00DA46DC" w:rsidRPr="00DA46DC">
        <w:t xml:space="preserve">) nodules (iv) in </w:t>
      </w:r>
      <w:proofErr w:type="spellStart"/>
      <w:r w:rsidR="00DA46DC" w:rsidRPr="00DA46DC">
        <w:t>bioprinted</w:t>
      </w:r>
      <w:proofErr w:type="spellEnd"/>
      <w:r w:rsidR="00DA46DC" w:rsidRPr="00DA46DC">
        <w:t xml:space="preserve"> cell-laden Sr-</w:t>
      </w:r>
      <w:proofErr w:type="spellStart"/>
      <w:r w:rsidR="00DA46DC" w:rsidRPr="00DA46DC">
        <w:t>GelMA</w:t>
      </w:r>
      <w:proofErr w:type="spellEnd"/>
      <w:r w:rsidR="00DA46DC" w:rsidRPr="00DA46DC">
        <w:t xml:space="preserve"> scaffold. Adapted with permission from </w:t>
      </w:r>
      <w:r w:rsidR="00D13AA8">
        <w:t>Ref</w:t>
      </w:r>
      <w:r w:rsidR="00DA46DC" w:rsidRPr="00DA46DC">
        <w:t>. [52]</w:t>
      </w:r>
      <w:r w:rsidR="00ED6680">
        <w:t>.</w:t>
      </w:r>
      <w:r w:rsidR="00DA46DC" w:rsidRPr="00DA46DC">
        <w:t xml:space="preserve"> Copyright 2020</w:t>
      </w:r>
      <w:r w:rsidR="00D13AA8">
        <w:t>,</w:t>
      </w:r>
      <w:r w:rsidR="00DA46DC" w:rsidRPr="00DA46DC">
        <w:t xml:space="preserve"> Elsevier. </w:t>
      </w:r>
      <w:r w:rsidR="00DA46DC" w:rsidRPr="00202AA0">
        <w:rPr>
          <w:b/>
          <w:bCs/>
        </w:rPr>
        <w:t xml:space="preserve">(C) </w:t>
      </w:r>
      <w:proofErr w:type="spellStart"/>
      <w:r w:rsidR="00DA46DC" w:rsidRPr="00DA46DC">
        <w:t>GelMA</w:t>
      </w:r>
      <w:proofErr w:type="spellEnd"/>
      <w:r w:rsidR="00DA46DC" w:rsidRPr="00DA46DC">
        <w:t xml:space="preserve">+ (5 </w:t>
      </w:r>
      <w:proofErr w:type="spellStart"/>
      <w:r w:rsidR="00DA46DC" w:rsidRPr="00DA46DC">
        <w:t>wt</w:t>
      </w:r>
      <w:proofErr w:type="spellEnd"/>
      <w:r w:rsidR="00DA46DC" w:rsidRPr="00DA46DC">
        <w:t xml:space="preserve">% </w:t>
      </w:r>
      <w:proofErr w:type="spellStart"/>
      <w:r w:rsidR="00DA46DC" w:rsidRPr="00DA46DC">
        <w:t>GelMA</w:t>
      </w:r>
      <w:proofErr w:type="spellEnd"/>
      <w:r w:rsidR="00DA46DC" w:rsidRPr="00DA46DC">
        <w:t xml:space="preserve"> with 5% gelatin crosslinked using LAP) </w:t>
      </w:r>
      <w:proofErr w:type="spellStart"/>
      <w:r w:rsidR="00DA46DC" w:rsidRPr="00DA46DC">
        <w:t>bioprinted</w:t>
      </w:r>
      <w:proofErr w:type="spellEnd"/>
      <w:r w:rsidR="00DA46DC" w:rsidRPr="00DA46DC">
        <w:t xml:space="preserve"> to form a porous cylinder construct (diameter, 2 cm; height, 1 cm) with Saos-2 cells in the </w:t>
      </w:r>
      <w:proofErr w:type="spellStart"/>
      <w:r w:rsidR="00DA46DC" w:rsidRPr="00DA46DC">
        <w:t>bioink</w:t>
      </w:r>
      <w:proofErr w:type="spellEnd"/>
      <w:r w:rsidR="00DA46DC" w:rsidRPr="00DA46DC">
        <w:t xml:space="preserve"> before (0 day) (i and iii) and after culture (14 days) (ii and iv). (v) The microscopy image </w:t>
      </w:r>
      <w:r w:rsidR="00DA46DC" w:rsidRPr="00DA46DC">
        <w:lastRenderedPageBreak/>
        <w:t xml:space="preserve">(hematoxylin and eosin staining) of the cylinder </w:t>
      </w:r>
      <w:r w:rsidR="00ED6680" w:rsidRPr="00DA46DC">
        <w:t>cross</w:t>
      </w:r>
      <w:r w:rsidR="00ED6680">
        <w:t>-</w:t>
      </w:r>
      <w:r w:rsidR="00DA46DC" w:rsidRPr="00DA46DC">
        <w:t xml:space="preserve">section indicates the maintenance of a uniform pattern during tissue formation and (vi) Alizarin Red S staining of printed samples (14 days). The higher-magnification images indicate the top and bottom layers along the height of the cylinder. (vii) Model used for fabricating </w:t>
      </w:r>
      <w:r w:rsidR="00ED6680">
        <w:t>t</w:t>
      </w:r>
      <w:r w:rsidR="00DA46DC" w:rsidRPr="00DA46DC">
        <w:t xml:space="preserve">rifurcated tubular </w:t>
      </w:r>
      <w:proofErr w:type="spellStart"/>
      <w:r w:rsidR="00DA46DC" w:rsidRPr="00DA46DC">
        <w:t>bioprinted</w:t>
      </w:r>
      <w:proofErr w:type="spellEnd"/>
      <w:r w:rsidR="00DA46DC" w:rsidRPr="00DA46DC">
        <w:t xml:space="preserve"> constructs and the final printed construct. (viii) normalized ALP activity and (ix) Alizarin Red S staining of samples at different positions along the length of the trifurcated tube after 14 days of culture. </w:t>
      </w:r>
      <w:proofErr w:type="spellStart"/>
      <w:r w:rsidR="00DA46DC" w:rsidRPr="00DA46DC">
        <w:t>GelMA</w:t>
      </w:r>
      <w:proofErr w:type="spellEnd"/>
      <w:r w:rsidR="00DA46DC" w:rsidRPr="00DA46DC">
        <w:t xml:space="preserve">+ (5 </w:t>
      </w:r>
      <w:proofErr w:type="spellStart"/>
      <w:r w:rsidR="00DA46DC" w:rsidRPr="00DA46DC">
        <w:t>wt</w:t>
      </w:r>
      <w:proofErr w:type="spellEnd"/>
      <w:r w:rsidR="00DA46DC" w:rsidRPr="00DA46DC">
        <w:t xml:space="preserve"> %), Saos-2 (7.5 × 10</w:t>
      </w:r>
      <w:r w:rsidR="00DA46DC" w:rsidRPr="00D13AA8">
        <w:rPr>
          <w:vertAlign w:val="superscript"/>
        </w:rPr>
        <w:t>6</w:t>
      </w:r>
      <w:r w:rsidR="00DA46DC" w:rsidRPr="00DA46DC">
        <w:t xml:space="preserve"> </w:t>
      </w:r>
      <w:r w:rsidR="00D13AA8">
        <w:t>cells/</w:t>
      </w:r>
      <w:r w:rsidR="00DA46DC" w:rsidRPr="0037176B">
        <w:t>m</w:t>
      </w:r>
      <w:r w:rsidR="00781EBA" w:rsidRPr="0037176B">
        <w:t>L</w:t>
      </w:r>
      <w:r w:rsidR="00DA46DC" w:rsidRPr="0037176B">
        <w:t>) and</w:t>
      </w:r>
      <w:r w:rsidR="00DA46DC" w:rsidRPr="00DA46DC">
        <w:t xml:space="preserve"> osteogenic medium were used throughout. Adapted with permission from </w:t>
      </w:r>
      <w:r w:rsidR="00D13AA8">
        <w:t>Ref.</w:t>
      </w:r>
      <w:r w:rsidR="00DA46DC" w:rsidRPr="00EC47B1">
        <w:rPr>
          <w:color w:val="auto"/>
        </w:rPr>
        <w:t xml:space="preserve"> </w:t>
      </w:r>
      <w:r w:rsidR="00583482" w:rsidRPr="00EC47B1">
        <w:rPr>
          <w:color w:val="auto"/>
        </w:rPr>
        <w:t>[11</w:t>
      </w:r>
      <w:r w:rsidR="00906D55">
        <w:rPr>
          <w:color w:val="auto"/>
        </w:rPr>
        <w:t>3</w:t>
      </w:r>
      <w:r w:rsidR="00583482" w:rsidRPr="00EC47B1">
        <w:rPr>
          <w:color w:val="auto"/>
        </w:rPr>
        <w:t>]</w:t>
      </w:r>
      <w:r w:rsidR="00D32F33">
        <w:rPr>
          <w:color w:val="auto"/>
        </w:rPr>
        <w:t>, Copyright 2020, C</w:t>
      </w:r>
      <w:r w:rsidR="00DA46DC" w:rsidRPr="00DA46DC">
        <w:t xml:space="preserve">reative Commons CC-BY- 4.0 </w:t>
      </w:r>
      <w:r w:rsidR="007F4BF2" w:rsidRPr="00DA46DC">
        <w:t>license</w:t>
      </w:r>
      <w:r w:rsidR="00DA46DC" w:rsidRPr="00DA46DC">
        <w:t>.</w:t>
      </w:r>
      <w:r w:rsidR="00202AA0">
        <w:t xml:space="preserve"> </w:t>
      </w:r>
      <w:r w:rsidR="00DA46DC" w:rsidRPr="00202AA0">
        <w:rPr>
          <w:b/>
          <w:bCs/>
        </w:rPr>
        <w:t xml:space="preserve">(D) </w:t>
      </w:r>
      <w:r w:rsidR="00DA46DC" w:rsidRPr="00DA46DC">
        <w:t xml:space="preserve">Left: </w:t>
      </w:r>
      <w:r w:rsidR="00ED6680">
        <w:t>s</w:t>
      </w:r>
      <w:r w:rsidR="00DA46DC" w:rsidRPr="00DA46DC">
        <w:t>chematic illustration of coaxial bioprinting techniques usin</w:t>
      </w:r>
      <w:r w:rsidR="00DA46DC" w:rsidRPr="00DA46DC">
        <w:rPr>
          <w:rFonts w:hint="eastAsia"/>
        </w:rPr>
        <w:t xml:space="preserve">g human umbilical vascular endothelial cell (HUVEC)‐laden angiogenic </w:t>
      </w:r>
      <w:proofErr w:type="spellStart"/>
      <w:r w:rsidR="00DA46DC" w:rsidRPr="00DA46DC">
        <w:rPr>
          <w:rFonts w:hint="eastAsia"/>
        </w:rPr>
        <w:t>bioink</w:t>
      </w:r>
      <w:proofErr w:type="spellEnd"/>
      <w:r w:rsidR="00DA46DC" w:rsidRPr="00DA46DC">
        <w:rPr>
          <w:rFonts w:hint="eastAsia"/>
        </w:rPr>
        <w:t xml:space="preserve"> (core-</w:t>
      </w:r>
      <w:proofErr w:type="spellStart"/>
      <w:r w:rsidR="00DA46DC" w:rsidRPr="00DA46DC">
        <w:rPr>
          <w:rFonts w:hint="eastAsia"/>
        </w:rPr>
        <w:t>bioink</w:t>
      </w:r>
      <w:proofErr w:type="spellEnd"/>
      <w:r w:rsidR="00DA46DC" w:rsidRPr="00DA46DC">
        <w:rPr>
          <w:rFonts w:hint="eastAsia"/>
        </w:rPr>
        <w:t xml:space="preserve">) and MC3T3‐laden osteogenic </w:t>
      </w:r>
      <w:proofErr w:type="spellStart"/>
      <w:r w:rsidR="00DA46DC" w:rsidRPr="00DA46DC">
        <w:rPr>
          <w:rFonts w:hint="eastAsia"/>
        </w:rPr>
        <w:t>bioink</w:t>
      </w:r>
      <w:proofErr w:type="spellEnd"/>
      <w:r w:rsidR="00DA46DC" w:rsidRPr="00DA46DC">
        <w:rPr>
          <w:rFonts w:hint="eastAsia"/>
        </w:rPr>
        <w:t xml:space="preserve"> (shell </w:t>
      </w:r>
      <w:proofErr w:type="spellStart"/>
      <w:r w:rsidR="007F4BF2" w:rsidRPr="00DA46DC">
        <w:t>bioink</w:t>
      </w:r>
      <w:proofErr w:type="spellEnd"/>
      <w:r w:rsidR="00DA46DC" w:rsidRPr="00DA46DC">
        <w:rPr>
          <w:rFonts w:hint="eastAsia"/>
        </w:rPr>
        <w:t xml:space="preserve">) printed via the core and shell nozzle, respectively. Right top: </w:t>
      </w:r>
      <w:r w:rsidR="00ED6680">
        <w:t>c</w:t>
      </w:r>
      <w:r w:rsidR="00DA46DC" w:rsidRPr="00DA46DC">
        <w:rPr>
          <w:rFonts w:hint="eastAsia"/>
        </w:rPr>
        <w:t xml:space="preserve">onfocal fluorescence micrograph of the core‐shell structure on day 3 of culture. HUVECs (encapsulated in the core </w:t>
      </w:r>
      <w:proofErr w:type="spellStart"/>
      <w:r w:rsidR="00DA46DC" w:rsidRPr="00DA46DC">
        <w:rPr>
          <w:rFonts w:hint="eastAsia"/>
        </w:rPr>
        <w:t>bioink</w:t>
      </w:r>
      <w:proofErr w:type="spellEnd"/>
      <w:r w:rsidR="00DA46DC" w:rsidRPr="00DA46DC">
        <w:rPr>
          <w:rFonts w:hint="eastAsia"/>
        </w:rPr>
        <w:t xml:space="preserve">) were in the </w:t>
      </w:r>
      <w:r w:rsidR="007F4BF2" w:rsidRPr="00DA46DC">
        <w:t>center</w:t>
      </w:r>
      <w:r w:rsidR="00DA46DC" w:rsidRPr="00DA46DC">
        <w:rPr>
          <w:rFonts w:hint="eastAsia"/>
        </w:rPr>
        <w:t xml:space="preserve"> of the filament surrounded by MCT3T3 cells in the shell. HUVECs were labeled in blue using ER‐cell tracker, MC3T3 cells were stained in green using </w:t>
      </w:r>
      <w:proofErr w:type="spellStart"/>
      <w:r w:rsidR="00DA46DC" w:rsidRPr="00DA46DC">
        <w:rPr>
          <w:rFonts w:hint="eastAsia"/>
        </w:rPr>
        <w:t>Calcein</w:t>
      </w:r>
      <w:proofErr w:type="spellEnd"/>
      <w:r w:rsidR="00DA46DC" w:rsidRPr="00DA46DC">
        <w:rPr>
          <w:rFonts w:hint="eastAsia"/>
        </w:rPr>
        <w:t xml:space="preserve">‐AM and dead cells were stained in red using ethidium homodimer. Right bottom: </w:t>
      </w:r>
      <w:r w:rsidR="00ED6680">
        <w:t>r</w:t>
      </w:r>
      <w:r w:rsidR="00DA46DC" w:rsidRPr="00DA46DC">
        <w:rPr>
          <w:rFonts w:hint="eastAsia"/>
        </w:rPr>
        <w:t xml:space="preserve">elative gene expression analysis of CD31 (angiogenesis) and </w:t>
      </w:r>
      <w:r w:rsidR="00A54FDC" w:rsidRPr="00DA46DC">
        <w:t>osteocalcin</w:t>
      </w:r>
      <w:r w:rsidR="00DA46DC" w:rsidRPr="00DA46DC">
        <w:rPr>
          <w:rFonts w:hint="eastAsia"/>
        </w:rPr>
        <w:t xml:space="preserve"> (osteogenesis) in HUVECs and MC3T3 cells encapsulated in the homogeneous (direct co‐culture) and core‐shell (indirec</w:t>
      </w:r>
      <w:r w:rsidR="00DA46DC" w:rsidRPr="00DA46DC">
        <w:t>t co</w:t>
      </w:r>
      <w:r w:rsidR="00DA46DC" w:rsidRPr="00DA46DC">
        <w:rPr>
          <w:rFonts w:hint="eastAsia"/>
        </w:rPr>
        <w:t>‐</w:t>
      </w:r>
      <w:r w:rsidR="00DA46DC" w:rsidRPr="00DA46DC">
        <w:t>culture) structures printed using monoaxial or coaxial bioprinting techniques, respectively, on days 7, 14 and 21 of culture. Data are presented as mean values ± standard deviations (n=4). Significant differences are shown with *</w:t>
      </w:r>
      <w:r w:rsidR="00DA46DC" w:rsidRPr="00EC47B1">
        <w:rPr>
          <w:i/>
          <w:iCs/>
        </w:rPr>
        <w:t>p</w:t>
      </w:r>
      <w:r w:rsidR="00DA46DC" w:rsidRPr="00DA46DC">
        <w:t xml:space="preserve"> &lt; .05, and ns indicates the nonsignificant differences. </w:t>
      </w:r>
      <w:r w:rsidR="00ED6680" w:rsidRPr="00DA46DC">
        <w:t>Ad</w:t>
      </w:r>
      <w:r w:rsidR="00ED6680">
        <w:t>a</w:t>
      </w:r>
      <w:r w:rsidR="00ED6680" w:rsidRPr="00DA46DC">
        <w:t xml:space="preserve">pted </w:t>
      </w:r>
      <w:r w:rsidR="00DA46DC" w:rsidRPr="00DA46DC">
        <w:t xml:space="preserve">with permission from </w:t>
      </w:r>
      <w:r w:rsidR="00D32F33">
        <w:t>Ref.</w:t>
      </w:r>
      <w:r w:rsidR="00DA46DC" w:rsidRPr="00EC47B1">
        <w:rPr>
          <w:color w:val="auto"/>
        </w:rPr>
        <w:t xml:space="preserve"> </w:t>
      </w:r>
      <w:r w:rsidR="00DA46DC" w:rsidRPr="00AB3869">
        <w:rPr>
          <w:color w:val="auto"/>
        </w:rPr>
        <w:t>[1</w:t>
      </w:r>
      <w:r w:rsidR="00583482" w:rsidRPr="00AB3869">
        <w:rPr>
          <w:color w:val="auto"/>
        </w:rPr>
        <w:t>1</w:t>
      </w:r>
      <w:r w:rsidR="00906D55" w:rsidRPr="00AB3869">
        <w:rPr>
          <w:color w:val="auto"/>
        </w:rPr>
        <w:t>4</w:t>
      </w:r>
      <w:r w:rsidR="00DA46DC" w:rsidRPr="00AB3869">
        <w:rPr>
          <w:color w:val="auto"/>
        </w:rPr>
        <w:t>]</w:t>
      </w:r>
      <w:r w:rsidR="00ED6680" w:rsidRPr="00AB3869">
        <w:rPr>
          <w:color w:val="auto"/>
        </w:rPr>
        <w:t>.</w:t>
      </w:r>
      <w:r w:rsidR="00DA46DC" w:rsidRPr="00EC47B1">
        <w:rPr>
          <w:color w:val="auto"/>
        </w:rPr>
        <w:t xml:space="preserve"> </w:t>
      </w:r>
      <w:r w:rsidR="00DA46DC" w:rsidRPr="00DA46DC">
        <w:t>Copyright 2022</w:t>
      </w:r>
      <w:r w:rsidR="00D32F33">
        <w:t>,</w:t>
      </w:r>
      <w:r w:rsidR="00DA46DC" w:rsidRPr="00DA46DC">
        <w:t xml:space="preserve"> Wiley.</w:t>
      </w:r>
    </w:p>
    <w:p w14:paraId="0EDFEB5C" w14:textId="775EB29F" w:rsidR="00DA46DC" w:rsidRDefault="00DA46DC" w:rsidP="00545B0A">
      <w:pPr>
        <w:pStyle w:val="MDPI31text"/>
      </w:pPr>
      <w:r>
        <w:t xml:space="preserve">Contrary to the strategies mentioned earlier, a recent study focused on multi-material extrusion printing to design a hybrid bone-specific construct utilizing PCL to provide structural integrity and mechanical strength to the printed construct where </w:t>
      </w:r>
      <w:proofErr w:type="spellStart"/>
      <w:r>
        <w:t>GelMA</w:t>
      </w:r>
      <w:proofErr w:type="spellEnd"/>
      <w:r>
        <w:t xml:space="preserve"> served as a reservoir for stem cells [53]. Combining PCL with magnesium hydroxide </w:t>
      </w:r>
      <w:r w:rsidRPr="008B3AE8">
        <w:rPr>
          <w:color w:val="auto"/>
        </w:rPr>
        <w:t xml:space="preserve">nanostructures as bioactive nanofillers demonstrated improved degradability under accelerated </w:t>
      </w:r>
      <w:r w:rsidRPr="00747173">
        <w:rPr>
          <w:color w:val="auto"/>
        </w:rPr>
        <w:t>in vitro</w:t>
      </w:r>
      <w:r w:rsidRPr="008B3AE8">
        <w:rPr>
          <w:color w:val="auto"/>
        </w:rPr>
        <w:t xml:space="preserve"> degradation conditions. These nanostructures enhanced the mechanical properties of solid and porous scaffolds but also improved materials</w:t>
      </w:r>
      <w:r w:rsidR="00027B34">
        <w:rPr>
          <w:color w:val="auto"/>
        </w:rPr>
        <w:t>'</w:t>
      </w:r>
      <w:r w:rsidRPr="008B3AE8">
        <w:rPr>
          <w:color w:val="auto"/>
        </w:rPr>
        <w:t xml:space="preserve"> biological functionality without compromising </w:t>
      </w:r>
      <w:r w:rsidR="00027B34">
        <w:rPr>
          <w:color w:val="auto"/>
        </w:rPr>
        <w:t>their</w:t>
      </w:r>
      <w:r w:rsidR="00027B34" w:rsidRPr="008B3AE8">
        <w:rPr>
          <w:color w:val="auto"/>
        </w:rPr>
        <w:t xml:space="preserve"> </w:t>
      </w:r>
      <w:r>
        <w:t xml:space="preserve">printability and shape fidelity. The </w:t>
      </w:r>
      <w:proofErr w:type="spellStart"/>
      <w:r>
        <w:t>bioink</w:t>
      </w:r>
      <w:proofErr w:type="spellEnd"/>
      <w:r>
        <w:t xml:space="preserve"> on the other hand included strontium carbonate nanostructures previously reported to improve </w:t>
      </w:r>
      <w:r w:rsidR="00027B34">
        <w:t xml:space="preserve">the </w:t>
      </w:r>
      <w:r>
        <w:t xml:space="preserve">printability and osteogenic capacity of </w:t>
      </w:r>
      <w:proofErr w:type="spellStart"/>
      <w:r>
        <w:t>GelMA</w:t>
      </w:r>
      <w:proofErr w:type="spellEnd"/>
      <w:r>
        <w:t>. Relative to the hybrid construct fabricated using PCL with Sr-</w:t>
      </w:r>
      <w:proofErr w:type="spellStart"/>
      <w:r>
        <w:t>GelMA</w:t>
      </w:r>
      <w:proofErr w:type="spellEnd"/>
      <w:r>
        <w:t>, Mg-PCL combined with Sr-</w:t>
      </w:r>
      <w:proofErr w:type="spellStart"/>
      <w:r>
        <w:t>GelMA</w:t>
      </w:r>
      <w:proofErr w:type="spellEnd"/>
      <w:r>
        <w:t xml:space="preserve"> significantly upregulated osteogenic differentiation of encapsulated MSCs demonstrating functional synergies between different components of the hybrid construct. This strategy represents another approach to </w:t>
      </w:r>
      <w:r w:rsidR="00027B34">
        <w:t xml:space="preserve">combining </w:t>
      </w:r>
      <w:r>
        <w:t xml:space="preserve">different materials with varied bioactive cues (varied spatial distribution of different materials and/or cells/growth factors) which can work in harmony to support </w:t>
      </w:r>
      <w:r w:rsidR="00027B34">
        <w:t xml:space="preserve">the </w:t>
      </w:r>
      <w:r>
        <w:t xml:space="preserve">development of complex multifunctional constructs for tissue regeneration. </w:t>
      </w:r>
    </w:p>
    <w:p w14:paraId="6816A8A4" w14:textId="3DC4D5BC" w:rsidR="00DA46DC" w:rsidRDefault="00DA46DC" w:rsidP="002725E5">
      <w:pPr>
        <w:pStyle w:val="MDPI31text"/>
        <w:jc w:val="left"/>
      </w:pPr>
      <w:r>
        <w:br w:type="page"/>
      </w:r>
    </w:p>
    <w:p w14:paraId="2ED36F87" w14:textId="77777777" w:rsidR="00DA46DC" w:rsidRDefault="00DA46DC" w:rsidP="002725E5">
      <w:pPr>
        <w:pStyle w:val="MDPI31text"/>
        <w:jc w:val="left"/>
        <w:sectPr w:rsidR="00DA46DC" w:rsidSect="006F1FFB">
          <w:headerReference w:type="even" r:id="rId17"/>
          <w:headerReference w:type="default" r:id="rId18"/>
          <w:headerReference w:type="first" r:id="rId19"/>
          <w:footerReference w:type="first" r:id="rId20"/>
          <w:type w:val="continuous"/>
          <w:pgSz w:w="11906" w:h="16838" w:code="9"/>
          <w:pgMar w:top="1417" w:right="720" w:bottom="1077" w:left="720" w:header="1020" w:footer="340" w:gutter="0"/>
          <w:lnNumType w:countBy="1" w:distance="255" w:restart="continuous"/>
          <w:pgNumType w:start="1"/>
          <w:cols w:space="425"/>
          <w:titlePg/>
          <w:bidi/>
          <w:docGrid w:type="lines" w:linePitch="326"/>
        </w:sectPr>
      </w:pPr>
    </w:p>
    <w:p w14:paraId="6B3FB9D5" w14:textId="5644F763" w:rsidR="00DA46DC" w:rsidRDefault="00DA46DC" w:rsidP="002725E5">
      <w:pPr>
        <w:pStyle w:val="MDPI31text"/>
        <w:jc w:val="left"/>
      </w:pPr>
    </w:p>
    <w:p w14:paraId="48E2D600" w14:textId="05568421" w:rsidR="00275734" w:rsidRDefault="00545B0A" w:rsidP="00545B0A">
      <w:pPr>
        <w:pStyle w:val="MDPI41tablecaption"/>
        <w:jc w:val="left"/>
      </w:pPr>
      <w:r w:rsidRPr="00B50F29">
        <w:rPr>
          <w:b/>
        </w:rPr>
        <w:t xml:space="preserve">Table 2. </w:t>
      </w:r>
      <w:r w:rsidR="00DA46DC" w:rsidRPr="00B50F29">
        <w:t xml:space="preserve">Polymeric and bioactive additives for bioprinting </w:t>
      </w:r>
      <w:proofErr w:type="spellStart"/>
      <w:r w:rsidR="00DA46DC" w:rsidRPr="00B50F29">
        <w:t>GelMA</w:t>
      </w:r>
      <w:proofErr w:type="spellEnd"/>
      <w:r w:rsidR="00DA46DC" w:rsidRPr="00B50F29">
        <w:t xml:space="preserve"> for bone regeneration.</w:t>
      </w:r>
    </w:p>
    <w:tbl>
      <w:tblPr>
        <w:tblW w:w="13644" w:type="dxa"/>
        <w:tblInd w:w="426" w:type="dxa"/>
        <w:tblBorders>
          <w:top w:val="single" w:sz="8" w:space="0" w:color="auto"/>
          <w:bottom w:val="single" w:sz="8" w:space="0" w:color="auto"/>
        </w:tblBorders>
        <w:tblLayout w:type="fixed"/>
        <w:tblCellMar>
          <w:left w:w="0" w:type="dxa"/>
          <w:right w:w="57" w:type="dxa"/>
        </w:tblCellMar>
        <w:tblLook w:val="04A0" w:firstRow="1" w:lastRow="0" w:firstColumn="1" w:lastColumn="0" w:noHBand="0" w:noVBand="1"/>
      </w:tblPr>
      <w:tblGrid>
        <w:gridCol w:w="1984"/>
        <w:gridCol w:w="2106"/>
        <w:gridCol w:w="1559"/>
        <w:gridCol w:w="7230"/>
        <w:gridCol w:w="20"/>
        <w:gridCol w:w="567"/>
        <w:gridCol w:w="178"/>
      </w:tblGrid>
      <w:tr w:rsidR="00730786" w:rsidRPr="00730786" w14:paraId="3B74C64D" w14:textId="0FB85AB1" w:rsidTr="002725E5">
        <w:trPr>
          <w:gridAfter w:val="1"/>
          <w:wAfter w:w="178" w:type="dxa"/>
        </w:trPr>
        <w:tc>
          <w:tcPr>
            <w:tcW w:w="1984" w:type="dxa"/>
            <w:tcBorders>
              <w:top w:val="single" w:sz="8" w:space="0" w:color="auto"/>
              <w:bottom w:val="single" w:sz="4" w:space="0" w:color="auto"/>
            </w:tcBorders>
            <w:shd w:val="clear" w:color="auto" w:fill="auto"/>
            <w:vAlign w:val="center"/>
          </w:tcPr>
          <w:p w14:paraId="41388A5A" w14:textId="6020097F" w:rsidR="00DA46DC" w:rsidRPr="00730786" w:rsidRDefault="00DA46DC" w:rsidP="002725E5">
            <w:pPr>
              <w:pStyle w:val="MDPI42tablebody"/>
              <w:autoSpaceDE w:val="0"/>
              <w:autoSpaceDN w:val="0"/>
              <w:spacing w:line="240" w:lineRule="auto"/>
              <w:jc w:val="left"/>
              <w:rPr>
                <w:b/>
                <w:snapToGrid/>
                <w:color w:val="auto"/>
              </w:rPr>
            </w:pPr>
            <w:r w:rsidRPr="00730786">
              <w:rPr>
                <w:b/>
                <w:bCs/>
                <w:color w:val="auto"/>
              </w:rPr>
              <w:t>Additive</w:t>
            </w:r>
          </w:p>
        </w:tc>
        <w:tc>
          <w:tcPr>
            <w:tcW w:w="2106" w:type="dxa"/>
            <w:tcBorders>
              <w:top w:val="single" w:sz="8" w:space="0" w:color="auto"/>
              <w:bottom w:val="single" w:sz="4" w:space="0" w:color="auto"/>
            </w:tcBorders>
            <w:shd w:val="clear" w:color="auto" w:fill="auto"/>
            <w:vAlign w:val="center"/>
          </w:tcPr>
          <w:p w14:paraId="31207C0F" w14:textId="0D207B23" w:rsidR="00DA46DC" w:rsidRPr="00730786" w:rsidRDefault="00DA46DC" w:rsidP="002725E5">
            <w:pPr>
              <w:pStyle w:val="MDPI42tablebody"/>
              <w:autoSpaceDE w:val="0"/>
              <w:autoSpaceDN w:val="0"/>
              <w:spacing w:line="240" w:lineRule="auto"/>
              <w:jc w:val="left"/>
              <w:rPr>
                <w:b/>
                <w:snapToGrid/>
                <w:color w:val="auto"/>
              </w:rPr>
            </w:pPr>
            <w:r w:rsidRPr="00730786">
              <w:rPr>
                <w:b/>
                <w:bCs/>
                <w:color w:val="auto"/>
              </w:rPr>
              <w:t>Cell Source</w:t>
            </w:r>
          </w:p>
        </w:tc>
        <w:tc>
          <w:tcPr>
            <w:tcW w:w="1559" w:type="dxa"/>
            <w:tcBorders>
              <w:top w:val="single" w:sz="8" w:space="0" w:color="auto"/>
              <w:bottom w:val="single" w:sz="4" w:space="0" w:color="auto"/>
            </w:tcBorders>
            <w:shd w:val="clear" w:color="auto" w:fill="auto"/>
            <w:vAlign w:val="center"/>
          </w:tcPr>
          <w:p w14:paraId="46440B5D" w14:textId="27001B8E" w:rsidR="00DA46DC" w:rsidRPr="00730786" w:rsidRDefault="00DA46DC" w:rsidP="002725E5">
            <w:pPr>
              <w:pStyle w:val="MDPI42tablebody"/>
              <w:autoSpaceDE w:val="0"/>
              <w:autoSpaceDN w:val="0"/>
              <w:spacing w:line="240" w:lineRule="auto"/>
              <w:jc w:val="left"/>
              <w:rPr>
                <w:b/>
                <w:snapToGrid/>
                <w:color w:val="auto"/>
              </w:rPr>
            </w:pPr>
            <w:proofErr w:type="spellStart"/>
            <w:r w:rsidRPr="00730786">
              <w:rPr>
                <w:b/>
                <w:bCs/>
                <w:color w:val="auto"/>
              </w:rPr>
              <w:t>Photoinitiator</w:t>
            </w:r>
            <w:proofErr w:type="spellEnd"/>
            <w:r w:rsidRPr="00730786">
              <w:rPr>
                <w:b/>
                <w:bCs/>
                <w:color w:val="auto"/>
              </w:rPr>
              <w:t xml:space="preserve"> used for crosslinking</w:t>
            </w:r>
          </w:p>
        </w:tc>
        <w:tc>
          <w:tcPr>
            <w:tcW w:w="7250" w:type="dxa"/>
            <w:gridSpan w:val="2"/>
            <w:tcBorders>
              <w:top w:val="single" w:sz="8" w:space="0" w:color="auto"/>
              <w:bottom w:val="single" w:sz="4" w:space="0" w:color="auto"/>
            </w:tcBorders>
            <w:shd w:val="clear" w:color="auto" w:fill="auto"/>
            <w:vAlign w:val="center"/>
          </w:tcPr>
          <w:p w14:paraId="0B7F029E" w14:textId="4A2DDD2B" w:rsidR="00DA46DC" w:rsidRPr="00730786" w:rsidRDefault="00DA46DC" w:rsidP="002725E5">
            <w:pPr>
              <w:pStyle w:val="MDPI42tablebody"/>
              <w:autoSpaceDE w:val="0"/>
              <w:autoSpaceDN w:val="0"/>
              <w:spacing w:line="240" w:lineRule="auto"/>
              <w:jc w:val="left"/>
              <w:rPr>
                <w:b/>
                <w:snapToGrid/>
                <w:color w:val="auto"/>
              </w:rPr>
            </w:pPr>
            <w:r w:rsidRPr="00730786">
              <w:rPr>
                <w:b/>
                <w:bCs/>
                <w:color w:val="auto"/>
              </w:rPr>
              <w:t>Key finding</w:t>
            </w:r>
          </w:p>
        </w:tc>
        <w:tc>
          <w:tcPr>
            <w:tcW w:w="567" w:type="dxa"/>
            <w:tcBorders>
              <w:top w:val="single" w:sz="8" w:space="0" w:color="auto"/>
              <w:bottom w:val="single" w:sz="4" w:space="0" w:color="auto"/>
            </w:tcBorders>
            <w:shd w:val="clear" w:color="auto" w:fill="auto"/>
            <w:vAlign w:val="center"/>
          </w:tcPr>
          <w:p w14:paraId="2E7BF61E" w14:textId="5C8A9881" w:rsidR="00DA46DC" w:rsidRPr="00730786" w:rsidRDefault="00DA46DC" w:rsidP="002725E5">
            <w:pPr>
              <w:pStyle w:val="MDPI42tablebody"/>
              <w:tabs>
                <w:tab w:val="left" w:pos="145"/>
              </w:tabs>
              <w:autoSpaceDE w:val="0"/>
              <w:autoSpaceDN w:val="0"/>
              <w:spacing w:line="240" w:lineRule="auto"/>
              <w:jc w:val="left"/>
              <w:rPr>
                <w:b/>
                <w:snapToGrid/>
                <w:color w:val="auto"/>
              </w:rPr>
            </w:pPr>
            <w:r w:rsidRPr="00730786">
              <w:rPr>
                <w:b/>
                <w:bCs/>
                <w:color w:val="auto"/>
              </w:rPr>
              <w:t>Ref</w:t>
            </w:r>
          </w:p>
        </w:tc>
      </w:tr>
      <w:tr w:rsidR="00DA46DC" w:rsidRPr="00822DD9" w14:paraId="3DEA64E2" w14:textId="649DB11E" w:rsidTr="002725E5">
        <w:tc>
          <w:tcPr>
            <w:tcW w:w="1984" w:type="dxa"/>
            <w:shd w:val="clear" w:color="auto" w:fill="auto"/>
          </w:tcPr>
          <w:p w14:paraId="3AAE88A1" w14:textId="77777777" w:rsidR="00DA46DC" w:rsidRPr="00730786" w:rsidRDefault="00DA46DC" w:rsidP="002725E5">
            <w:pPr>
              <w:autoSpaceDE w:val="0"/>
              <w:autoSpaceDN w:val="0"/>
              <w:adjustRightInd w:val="0"/>
              <w:snapToGrid w:val="0"/>
              <w:spacing w:line="240" w:lineRule="auto"/>
              <w:jc w:val="left"/>
              <w:rPr>
                <w:color w:val="auto"/>
              </w:rPr>
            </w:pPr>
            <w:r w:rsidRPr="00730786">
              <w:rPr>
                <w:color w:val="auto"/>
              </w:rPr>
              <w:t>Gelatin</w:t>
            </w:r>
          </w:p>
          <w:p w14:paraId="09E857CF" w14:textId="69696C07" w:rsidR="00DA46DC" w:rsidRPr="00730786" w:rsidRDefault="00DA46DC" w:rsidP="002725E5">
            <w:pPr>
              <w:pStyle w:val="MDPI42tablebody"/>
              <w:autoSpaceDE w:val="0"/>
              <w:autoSpaceDN w:val="0"/>
              <w:spacing w:line="240" w:lineRule="auto"/>
              <w:jc w:val="left"/>
              <w:rPr>
                <w:color w:val="auto"/>
              </w:rPr>
            </w:pPr>
            <w:r w:rsidRPr="00730786">
              <w:rPr>
                <w:color w:val="auto"/>
              </w:rPr>
              <w:t xml:space="preserve">(Figure </w:t>
            </w:r>
            <w:r w:rsidR="00583482" w:rsidRPr="00730786">
              <w:rPr>
                <w:color w:val="auto"/>
                <w:szCs w:val="22"/>
              </w:rPr>
              <w:t>6</w:t>
            </w:r>
            <w:r w:rsidRPr="00730786">
              <w:rPr>
                <w:color w:val="auto"/>
              </w:rPr>
              <w:t>C)</w:t>
            </w:r>
          </w:p>
        </w:tc>
        <w:tc>
          <w:tcPr>
            <w:tcW w:w="2106" w:type="dxa"/>
            <w:shd w:val="clear" w:color="auto" w:fill="auto"/>
          </w:tcPr>
          <w:p w14:paraId="317D5FE4" w14:textId="34528E2E" w:rsidR="00DA46DC" w:rsidRPr="00730786" w:rsidRDefault="00DA46DC" w:rsidP="002725E5">
            <w:pPr>
              <w:pStyle w:val="MDPI42tablebody"/>
              <w:autoSpaceDE w:val="0"/>
              <w:autoSpaceDN w:val="0"/>
              <w:spacing w:line="240" w:lineRule="auto"/>
              <w:jc w:val="left"/>
              <w:rPr>
                <w:color w:val="auto"/>
              </w:rPr>
            </w:pPr>
            <w:r w:rsidRPr="00730786">
              <w:rPr>
                <w:color w:val="auto"/>
              </w:rPr>
              <w:t>Saos2 (human osteosarcoma cell line)</w:t>
            </w:r>
          </w:p>
        </w:tc>
        <w:tc>
          <w:tcPr>
            <w:tcW w:w="1559" w:type="dxa"/>
            <w:shd w:val="clear" w:color="auto" w:fill="auto"/>
          </w:tcPr>
          <w:p w14:paraId="31D47071" w14:textId="58FB78F6" w:rsidR="00DA46DC" w:rsidRPr="00730786" w:rsidRDefault="00DA46DC" w:rsidP="002725E5">
            <w:pPr>
              <w:pStyle w:val="MDPI42tablebody"/>
              <w:autoSpaceDE w:val="0"/>
              <w:autoSpaceDN w:val="0"/>
              <w:spacing w:line="240" w:lineRule="auto"/>
              <w:jc w:val="left"/>
              <w:rPr>
                <w:color w:val="auto"/>
              </w:rPr>
            </w:pPr>
            <w:r w:rsidRPr="00730786">
              <w:rPr>
                <w:color w:val="auto"/>
              </w:rPr>
              <w:t>LAP</w:t>
            </w:r>
          </w:p>
        </w:tc>
        <w:tc>
          <w:tcPr>
            <w:tcW w:w="7230" w:type="dxa"/>
            <w:shd w:val="clear" w:color="auto" w:fill="auto"/>
            <w:vAlign w:val="center"/>
          </w:tcPr>
          <w:p w14:paraId="2481EFF3" w14:textId="19A5BF4F" w:rsidR="00DA46DC" w:rsidRPr="00730786" w:rsidRDefault="00DA46DC" w:rsidP="002725E5">
            <w:pPr>
              <w:pStyle w:val="MDPI42tablebody"/>
              <w:autoSpaceDE w:val="0"/>
              <w:autoSpaceDN w:val="0"/>
              <w:spacing w:line="240" w:lineRule="auto"/>
              <w:jc w:val="left"/>
              <w:rPr>
                <w:color w:val="auto"/>
              </w:rPr>
            </w:pPr>
            <w:r w:rsidRPr="00730786">
              <w:rPr>
                <w:color w:val="auto"/>
              </w:rPr>
              <w:t xml:space="preserve">Inclusion of 5 </w:t>
            </w:r>
            <w:proofErr w:type="spellStart"/>
            <w:r w:rsidRPr="00730786">
              <w:rPr>
                <w:color w:val="auto"/>
              </w:rPr>
              <w:t>wt</w:t>
            </w:r>
            <w:proofErr w:type="spellEnd"/>
            <w:r w:rsidRPr="00730786">
              <w:rPr>
                <w:color w:val="auto"/>
              </w:rPr>
              <w:t xml:space="preserve">% gelatin in 5 </w:t>
            </w:r>
            <w:proofErr w:type="spellStart"/>
            <w:r w:rsidRPr="00730786">
              <w:rPr>
                <w:color w:val="auto"/>
              </w:rPr>
              <w:t>wt</w:t>
            </w:r>
            <w:proofErr w:type="spellEnd"/>
            <w:r w:rsidRPr="00730786">
              <w:rPr>
                <w:color w:val="auto"/>
              </w:rPr>
              <w:t xml:space="preserve">% </w:t>
            </w:r>
            <w:proofErr w:type="spellStart"/>
            <w:r w:rsidRPr="00730786">
              <w:rPr>
                <w:color w:val="auto"/>
              </w:rPr>
              <w:t>GelMA</w:t>
            </w:r>
            <w:proofErr w:type="spellEnd"/>
            <w:r w:rsidRPr="00730786">
              <w:rPr>
                <w:color w:val="auto"/>
              </w:rPr>
              <w:t xml:space="preserve"> to form a complementary </w:t>
            </w:r>
            <w:proofErr w:type="spellStart"/>
            <w:r w:rsidRPr="00730786">
              <w:rPr>
                <w:color w:val="auto"/>
              </w:rPr>
              <w:t>bioink</w:t>
            </w:r>
            <w:proofErr w:type="spellEnd"/>
            <w:r w:rsidRPr="00730786">
              <w:rPr>
                <w:color w:val="auto"/>
              </w:rPr>
              <w:t xml:space="preserve"> permits printability of complex structures. These include printing a </w:t>
            </w:r>
            <w:r w:rsidR="008432B2" w:rsidRPr="00730786">
              <w:rPr>
                <w:color w:val="auto"/>
              </w:rPr>
              <w:t>bone</w:t>
            </w:r>
            <w:r w:rsidR="008432B2">
              <w:rPr>
                <w:color w:val="auto"/>
              </w:rPr>
              <w:t>-</w:t>
            </w:r>
            <w:r w:rsidRPr="00730786">
              <w:rPr>
                <w:color w:val="auto"/>
              </w:rPr>
              <w:t xml:space="preserve">like geometry which was 4 cm long, 2 cm wide </w:t>
            </w:r>
            <w:r w:rsidR="008432B2">
              <w:rPr>
                <w:color w:val="auto"/>
              </w:rPr>
              <w:t>and</w:t>
            </w:r>
            <w:r w:rsidR="008432B2" w:rsidRPr="00730786">
              <w:rPr>
                <w:color w:val="auto"/>
              </w:rPr>
              <w:t xml:space="preserve"> </w:t>
            </w:r>
            <w:r w:rsidRPr="00730786">
              <w:rPr>
                <w:color w:val="auto"/>
              </w:rPr>
              <w:t xml:space="preserve">1 cm high and a 3 cm high and 1.5 cm wide trifurcated tube with hollow interior and overhanging walls. The different printed constructs displayed </w:t>
            </w:r>
            <w:r w:rsidR="008432B2">
              <w:rPr>
                <w:color w:val="auto"/>
              </w:rPr>
              <w:t xml:space="preserve">the </w:t>
            </w:r>
            <w:r w:rsidRPr="00730786">
              <w:rPr>
                <w:color w:val="auto"/>
              </w:rPr>
              <w:t>same levels of ALP activity and matrix mineralization in different segments of the construct.</w:t>
            </w:r>
          </w:p>
        </w:tc>
        <w:tc>
          <w:tcPr>
            <w:tcW w:w="765" w:type="dxa"/>
            <w:gridSpan w:val="3"/>
            <w:shd w:val="clear" w:color="auto" w:fill="auto"/>
            <w:vAlign w:val="center"/>
          </w:tcPr>
          <w:p w14:paraId="10A0AC09" w14:textId="6254AAD4" w:rsidR="00DA46DC" w:rsidRPr="00730786" w:rsidRDefault="00DA46DC" w:rsidP="002725E5">
            <w:pPr>
              <w:pStyle w:val="MDPI42tablebody"/>
              <w:autoSpaceDE w:val="0"/>
              <w:autoSpaceDN w:val="0"/>
              <w:spacing w:line="240" w:lineRule="auto"/>
              <w:jc w:val="left"/>
              <w:rPr>
                <w:color w:val="auto"/>
              </w:rPr>
            </w:pPr>
            <w:r w:rsidRPr="00730786">
              <w:rPr>
                <w:color w:val="auto"/>
              </w:rPr>
              <w:fldChar w:fldCharType="begin" w:fldLock="1"/>
            </w:r>
            <w:r w:rsidRPr="00730786">
              <w:rPr>
                <w:color w:val="auto"/>
              </w:rPr>
              <w:instrText>ADDIN CSL_CITATION {"citationItems":[{"id":"ITEM-1","itemData":{"ISSN":"2375-2548","author":[{"dropping-particle":"","family":"Ouyang","given":"Liliang","non-dropping-particle":"","parse-names":false,"suffix":""},{"dropping-particle":"","family":"Armstrong","given":"James P K","non-dropping-particle":"","parse-names":false,"suffix":""},{"dropping-particle":"","family":"Lin","given":"Yiyang","non-dropping-particle":"","parse-names":false,"suffix":""},{"dropping-particle":"","family":"Wojciechowski","given":"Jonathan P","non-dropping-particle":"","parse-names":false,"suffix":""},{"dropping-particle":"","family":"Lee-Reeves","given":"Charlotte","non-dropping-particle":"","parse-names":false,"suffix":""},{"dropping-particle":"","family":"Hachim","given":"Daniel","non-dropping-particle":"","parse-names":false,"suffix":""},{"dropping-particle":"","family":"Zhou","given":"Kun","non-dropping-particle":"","parse-names":false,"suffix":""},{"dropping-particle":"","family":"Burdick","given":"Jason A","non-dropping-particle":"","parse-names":false,"suffix":""},{"dropping-particle":"","family":"Stevens","given":"Molly M","non-dropping-particle":"","parse-names":false,"suffix":""}],"container-title":"Science advances","id":"ITEM-1","issue":"38","issued":{"date-parts":[["2020"]]},"page":"eabc5529","publisher":"American Association for the Advancement of Science","title":"Expanding and optimizing 3D bioprinting capabilities using complementary network bioinks","type":"article-journal","volume":"6"},"uris":["http://www.mendeley.com/documents/?uuid=07964529-4bcd-4232-b349-53fd306df59b"]}],"mendeley":{"formattedCitation":"[101]","plainTextFormattedCitation":"[101]","previouslyFormattedCitation":"&lt;span style=\"baseline\"&gt;[101]&lt;/span&gt;"},"properties":{"noteIndex":0},"schema":"https://github.com/citation-style-language/schema/raw/master/csl-citation.json"}</w:instrText>
            </w:r>
            <w:r w:rsidRPr="00730786">
              <w:rPr>
                <w:color w:val="auto"/>
              </w:rPr>
              <w:fldChar w:fldCharType="separate"/>
            </w:r>
            <w:r w:rsidRPr="00730786">
              <w:rPr>
                <w:noProof/>
                <w:color w:val="auto"/>
              </w:rPr>
              <w:t>[</w:t>
            </w:r>
            <w:r w:rsidR="00583482" w:rsidRPr="00730786">
              <w:rPr>
                <w:color w:val="auto"/>
                <w:szCs w:val="22"/>
              </w:rPr>
              <w:t>11</w:t>
            </w:r>
            <w:r w:rsidR="00C81760">
              <w:rPr>
                <w:color w:val="auto"/>
                <w:szCs w:val="22"/>
              </w:rPr>
              <w:t>3</w:t>
            </w:r>
            <w:r w:rsidRPr="00730786">
              <w:rPr>
                <w:noProof/>
                <w:color w:val="auto"/>
              </w:rPr>
              <w:t>]</w:t>
            </w:r>
            <w:r w:rsidRPr="00730786">
              <w:rPr>
                <w:color w:val="auto"/>
              </w:rPr>
              <w:fldChar w:fldCharType="end"/>
            </w:r>
          </w:p>
        </w:tc>
      </w:tr>
      <w:tr w:rsidR="00906D55" w:rsidRPr="00822DD9" w14:paraId="60BF5D9F" w14:textId="77777777" w:rsidTr="002725E5">
        <w:tc>
          <w:tcPr>
            <w:tcW w:w="1984" w:type="dxa"/>
            <w:shd w:val="clear" w:color="auto" w:fill="auto"/>
          </w:tcPr>
          <w:p w14:paraId="5AA2D1A6" w14:textId="5D28D492" w:rsidR="00906D55" w:rsidRPr="00730786" w:rsidRDefault="00906D55" w:rsidP="00906D55">
            <w:pPr>
              <w:autoSpaceDE w:val="0"/>
              <w:autoSpaceDN w:val="0"/>
              <w:adjustRightInd w:val="0"/>
              <w:snapToGrid w:val="0"/>
              <w:spacing w:line="240" w:lineRule="auto"/>
              <w:jc w:val="left"/>
              <w:rPr>
                <w:color w:val="auto"/>
              </w:rPr>
            </w:pPr>
            <w:r w:rsidRPr="00730786">
              <w:rPr>
                <w:color w:val="auto"/>
                <w:lang w:eastAsia="ko-KR"/>
              </w:rPr>
              <w:t>Gelatin, alginate and hydroxyapatite</w:t>
            </w:r>
          </w:p>
        </w:tc>
        <w:tc>
          <w:tcPr>
            <w:tcW w:w="2106" w:type="dxa"/>
            <w:shd w:val="clear" w:color="auto" w:fill="auto"/>
          </w:tcPr>
          <w:p w14:paraId="3351A473" w14:textId="026FDEF4" w:rsidR="00906D55" w:rsidRPr="00730786" w:rsidRDefault="00906D55" w:rsidP="00906D55">
            <w:pPr>
              <w:pStyle w:val="MDPI42tablebody"/>
              <w:autoSpaceDE w:val="0"/>
              <w:autoSpaceDN w:val="0"/>
              <w:spacing w:line="240" w:lineRule="auto"/>
              <w:jc w:val="left"/>
              <w:rPr>
                <w:color w:val="auto"/>
              </w:rPr>
            </w:pPr>
            <w:r w:rsidRPr="00730786">
              <w:rPr>
                <w:color w:val="auto"/>
                <w:lang w:eastAsia="ko-KR"/>
              </w:rPr>
              <w:t>MC3T3 (mouse pre-osteoblast cell line) and HUV</w:t>
            </w:r>
            <w:r w:rsidRPr="00730786">
              <w:rPr>
                <w:color w:val="auto"/>
              </w:rPr>
              <w:t>ECs (Human umbilical vein endothelial cells)</w:t>
            </w:r>
          </w:p>
        </w:tc>
        <w:tc>
          <w:tcPr>
            <w:tcW w:w="1559" w:type="dxa"/>
            <w:shd w:val="clear" w:color="auto" w:fill="auto"/>
          </w:tcPr>
          <w:p w14:paraId="5E1E8CC4" w14:textId="18C8D810" w:rsidR="00906D55" w:rsidRPr="00730786" w:rsidRDefault="00906D55" w:rsidP="00906D55">
            <w:pPr>
              <w:pStyle w:val="MDPI42tablebody"/>
              <w:autoSpaceDE w:val="0"/>
              <w:autoSpaceDN w:val="0"/>
              <w:spacing w:line="240" w:lineRule="auto"/>
              <w:jc w:val="left"/>
              <w:rPr>
                <w:color w:val="auto"/>
              </w:rPr>
            </w:pPr>
            <w:proofErr w:type="spellStart"/>
            <w:r w:rsidRPr="00730786">
              <w:rPr>
                <w:color w:val="auto"/>
              </w:rPr>
              <w:t>Irgacure</w:t>
            </w:r>
            <w:proofErr w:type="spellEnd"/>
            <w:r w:rsidRPr="00730786">
              <w:rPr>
                <w:color w:val="auto"/>
              </w:rPr>
              <w:t xml:space="preserve"> I-2959</w:t>
            </w:r>
          </w:p>
        </w:tc>
        <w:tc>
          <w:tcPr>
            <w:tcW w:w="7230" w:type="dxa"/>
            <w:shd w:val="clear" w:color="auto" w:fill="auto"/>
            <w:vAlign w:val="center"/>
          </w:tcPr>
          <w:p w14:paraId="550B35DC" w14:textId="6C1591BD" w:rsidR="00906D55" w:rsidRPr="00730786" w:rsidRDefault="00906D55" w:rsidP="00906D55">
            <w:pPr>
              <w:pStyle w:val="MDPI42tablebody"/>
              <w:autoSpaceDE w:val="0"/>
              <w:autoSpaceDN w:val="0"/>
              <w:spacing w:line="240" w:lineRule="auto"/>
              <w:jc w:val="left"/>
              <w:rPr>
                <w:color w:val="auto"/>
              </w:rPr>
            </w:pPr>
            <w:r w:rsidRPr="00730786">
              <w:rPr>
                <w:color w:val="auto"/>
              </w:rPr>
              <w:t>Co-axial printing results in a 3D</w:t>
            </w:r>
            <w:r>
              <w:rPr>
                <w:color w:val="auto"/>
              </w:rPr>
              <w:t>-</w:t>
            </w:r>
            <w:r w:rsidRPr="00730786">
              <w:rPr>
                <w:color w:val="auto"/>
              </w:rPr>
              <w:t xml:space="preserve">printed construct with </w:t>
            </w:r>
            <w:r>
              <w:rPr>
                <w:color w:val="auto"/>
              </w:rPr>
              <w:t xml:space="preserve">a </w:t>
            </w:r>
            <w:r w:rsidRPr="00730786">
              <w:rPr>
                <w:color w:val="auto"/>
              </w:rPr>
              <w:t>core-shell structure with endothelial cells-laden ink form</w:t>
            </w:r>
            <w:r>
              <w:rPr>
                <w:color w:val="auto"/>
              </w:rPr>
              <w:t>ing</w:t>
            </w:r>
            <w:r w:rsidRPr="00730786">
              <w:rPr>
                <w:color w:val="auto"/>
              </w:rPr>
              <w:t xml:space="preserve"> the core and the MC3T3</w:t>
            </w:r>
            <w:r>
              <w:rPr>
                <w:color w:val="auto"/>
              </w:rPr>
              <w:t>-</w:t>
            </w:r>
            <w:r w:rsidRPr="00730786">
              <w:rPr>
                <w:color w:val="auto"/>
              </w:rPr>
              <w:t>laden ink form</w:t>
            </w:r>
            <w:r>
              <w:rPr>
                <w:color w:val="auto"/>
              </w:rPr>
              <w:t>ing</w:t>
            </w:r>
            <w:r w:rsidRPr="00730786">
              <w:rPr>
                <w:color w:val="auto"/>
              </w:rPr>
              <w:t xml:space="preserve"> the shell of the extruded fiber. Significant upregulation in osteogenic and angiogenic activity was observed for the osteon-like structures relative to the constructs printed via monoaxial 3D bioprinting.  </w:t>
            </w:r>
          </w:p>
        </w:tc>
        <w:tc>
          <w:tcPr>
            <w:tcW w:w="765" w:type="dxa"/>
            <w:gridSpan w:val="3"/>
            <w:shd w:val="clear" w:color="auto" w:fill="auto"/>
            <w:vAlign w:val="center"/>
          </w:tcPr>
          <w:p w14:paraId="2A1E2006" w14:textId="1284EBC9" w:rsidR="00906D55" w:rsidRPr="00730786" w:rsidRDefault="00906D55" w:rsidP="00906D55">
            <w:pPr>
              <w:pStyle w:val="MDPI42tablebody"/>
              <w:autoSpaceDE w:val="0"/>
              <w:autoSpaceDN w:val="0"/>
              <w:spacing w:line="240" w:lineRule="auto"/>
              <w:jc w:val="left"/>
              <w:rPr>
                <w:color w:val="auto"/>
              </w:rPr>
            </w:pPr>
            <w:r w:rsidRPr="00730786">
              <w:rPr>
                <w:color w:val="auto"/>
              </w:rPr>
              <w:fldChar w:fldCharType="begin" w:fldLock="1"/>
            </w:r>
            <w:r w:rsidRPr="00730786">
              <w:rPr>
                <w:color w:val="auto"/>
              </w:rPr>
              <w:instrText>ADDIN CSL_CITATION {"citationItems":[{"id":"ITEM-1","itemData":{"DOI":"https://doi.org/10.1002/jbm.a.37354","ISSN":"1549-3296","abstract":"Abstract The crosstalk between osteoblasts and endothelial cells is critical for bone vascularization and regeneration. Here, we used a coaxial 3D bioprinting method to directly print an osteon-like structure by depositing angiogenic and osteogenic bioinks from the core and shell regions of the coaxial nozzle, respectively. The bioinks were made up of gelatin, gelatin methacryloyl (GelMA), alginate, and hydroxyapatite (HAp) nanoparticles and were loaded with human umbilical vascular endothelial cells (HUVECs) and osteoblasts (MC3T3) in the core and shell regions, respectively. Conventional monoaxial 3D bioprinting was used as a control method, where the hydrogels, HAp nanoparticles, MC3T3 cells, and HUVECs were all mixed in one bioink and printed from the core nozzle. As a result, the bioprinted scaffolds were composed of cell-laden fibers with either a core-shell or homogenous structure, providing a non-contact (indirect) or contact (direct) co-culture of MC3T3 cells and HUVECs, respectively. Both structures supported the 3D culture of HUVECs and osteoblasts over a long period. The scaffolds also supported the expression of osteogenic and angiogenic factors. However, the gene expression was significantly higher for the core-shell structure than the homogeneous structure due to the well-defined distribution of osteoblasts and endothelial cells and the formation of vessel-like structures in the co-culture system. Our results indicated that the coaxial bioprinting technique, with the ability to create a non-contact co-culture of cells, can provide a more efficient bioprinting strategy for printing highly vascularized and bioactive bone structures.","author":[{"dropping-particle":"","family":"Shahabipour","given":"Fahimeh","non-dropping-particle":"","parse-names":false,"suffix":""},{"dropping-particle":"","family":"Tavafoghi","given":"Maryam","non-dropping-particle":"","parse-names":false,"suffix":""},{"dropping-particle":"","family":"Aninwene II","given":"George E","non-dropping-particle":"","parse-names":false,"suffix":""},{"dropping-particle":"","family":"Bonakdar","given":"Shahin","non-dropping-particle":"","parse-names":false,"suffix":""},{"dropping-particle":"","family":"Oskuee","given":"Reza Kazemi","non-dropping-particle":"","parse-names":false,"suffix":""},{"dropping-particle":"","family":"Shokrgozar","given":"Mohammad Ali","non-dropping-particle":"","parse-names":false,"suffix":""},{"dropping-particle":"","family":"Potyondy","given":"Tyler","non-dropping-particle":"","parse-names":false,"suffix":""},{"dropping-particle":"","family":"Alambeigi","given":"Farshid","non-dropping-particle":"","parse-names":false,"suffix":""},{"dropping-particle":"","family":"Ahadian","given":"Samad","non-dropping-particle":"","parse-names":false,"suffix":""}],"container-title":"Journal of Biomedical Materials Research Part A","id":"ITEM-1","issue":"n/a","issued":{"date-parts":[["2022","1","13"]]},"note":"https://doi.org/10.1002/jbm.a.37354","publisher":"John Wiley &amp; Sons, Ltd","title":"Coaxial 3D bioprinting of tri-polymer scaffolds to improve the osteogenic and vasculogenic potential of cells in co-culture models","type":"article-journal","volume":"n/a"},"uris":["http://www.mendeley.com/documents/?uuid=7463b1fd-75e7-4a67-b73d-ca925b03eac2"]}],"mendeley":{"formattedCitation":"[103]","plainTextFormattedCitation":"[103]","previouslyFormattedCitation":"&lt;span style=\"baseline\"&gt;[103]&lt;/span&gt;"},"properties":{"noteIndex":0},"schema":"https://github.com/citation-style-language/schema/raw/master/csl-citation.json"}</w:instrText>
            </w:r>
            <w:r w:rsidRPr="00730786">
              <w:rPr>
                <w:color w:val="auto"/>
              </w:rPr>
              <w:fldChar w:fldCharType="separate"/>
            </w:r>
            <w:r w:rsidRPr="00730786">
              <w:rPr>
                <w:noProof/>
                <w:color w:val="auto"/>
              </w:rPr>
              <w:t>[</w:t>
            </w:r>
            <w:r w:rsidRPr="00730786">
              <w:rPr>
                <w:color w:val="auto"/>
                <w:szCs w:val="22"/>
              </w:rPr>
              <w:t>11</w:t>
            </w:r>
            <w:r>
              <w:rPr>
                <w:color w:val="auto"/>
                <w:szCs w:val="22"/>
              </w:rPr>
              <w:t>4</w:t>
            </w:r>
            <w:r w:rsidRPr="00730786">
              <w:rPr>
                <w:noProof/>
                <w:color w:val="auto"/>
              </w:rPr>
              <w:t>]</w:t>
            </w:r>
            <w:r w:rsidRPr="00730786">
              <w:rPr>
                <w:color w:val="auto"/>
              </w:rPr>
              <w:fldChar w:fldCharType="end"/>
            </w:r>
          </w:p>
        </w:tc>
      </w:tr>
      <w:tr w:rsidR="00DA46DC" w:rsidRPr="00822DD9" w14:paraId="60BF0486" w14:textId="77777777" w:rsidTr="002725E5">
        <w:tc>
          <w:tcPr>
            <w:tcW w:w="1984" w:type="dxa"/>
            <w:shd w:val="clear" w:color="auto" w:fill="auto"/>
          </w:tcPr>
          <w:p w14:paraId="27E59AE9" w14:textId="77777777" w:rsidR="00DA46DC" w:rsidRPr="00730786" w:rsidRDefault="00DA46DC" w:rsidP="002725E5">
            <w:pPr>
              <w:autoSpaceDE w:val="0"/>
              <w:autoSpaceDN w:val="0"/>
              <w:adjustRightInd w:val="0"/>
              <w:snapToGrid w:val="0"/>
              <w:spacing w:line="240" w:lineRule="auto"/>
              <w:jc w:val="left"/>
              <w:rPr>
                <w:color w:val="auto"/>
              </w:rPr>
            </w:pPr>
            <w:r w:rsidRPr="00730786">
              <w:rPr>
                <w:color w:val="auto"/>
              </w:rPr>
              <w:t>Gelatin microgel</w:t>
            </w:r>
          </w:p>
          <w:p w14:paraId="38362816" w14:textId="3DD510C2" w:rsidR="00DA46DC" w:rsidRPr="00730786" w:rsidRDefault="00DA46DC" w:rsidP="002725E5">
            <w:pPr>
              <w:pStyle w:val="MDPI42tablebody"/>
              <w:autoSpaceDE w:val="0"/>
              <w:autoSpaceDN w:val="0"/>
              <w:spacing w:line="240" w:lineRule="auto"/>
              <w:jc w:val="left"/>
              <w:rPr>
                <w:color w:val="auto"/>
              </w:rPr>
            </w:pPr>
            <w:r w:rsidRPr="00730786">
              <w:rPr>
                <w:color w:val="auto"/>
              </w:rPr>
              <w:t xml:space="preserve">(Figure </w:t>
            </w:r>
            <w:r w:rsidR="00583482" w:rsidRPr="00730786">
              <w:rPr>
                <w:color w:val="auto"/>
                <w:szCs w:val="22"/>
              </w:rPr>
              <w:t>6</w:t>
            </w:r>
            <w:r w:rsidRPr="00730786">
              <w:rPr>
                <w:color w:val="auto"/>
              </w:rPr>
              <w:t>D)</w:t>
            </w:r>
          </w:p>
        </w:tc>
        <w:tc>
          <w:tcPr>
            <w:tcW w:w="2106" w:type="dxa"/>
            <w:shd w:val="clear" w:color="auto" w:fill="auto"/>
          </w:tcPr>
          <w:p w14:paraId="10ACA54B" w14:textId="4A22B76A" w:rsidR="00DA46DC" w:rsidRPr="00730786" w:rsidRDefault="00DA46DC" w:rsidP="002725E5">
            <w:pPr>
              <w:pStyle w:val="MDPI42tablebody"/>
              <w:autoSpaceDE w:val="0"/>
              <w:autoSpaceDN w:val="0"/>
              <w:spacing w:line="240" w:lineRule="auto"/>
              <w:jc w:val="left"/>
              <w:rPr>
                <w:color w:val="auto"/>
              </w:rPr>
            </w:pPr>
            <w:r w:rsidRPr="00730786">
              <w:rPr>
                <w:color w:val="auto"/>
              </w:rPr>
              <w:t>MC3T3/HUVECs</w:t>
            </w:r>
          </w:p>
        </w:tc>
        <w:tc>
          <w:tcPr>
            <w:tcW w:w="1559" w:type="dxa"/>
            <w:shd w:val="clear" w:color="auto" w:fill="auto"/>
          </w:tcPr>
          <w:p w14:paraId="4A4DE4CB" w14:textId="30E33B18" w:rsidR="00DA46DC" w:rsidRPr="00730786" w:rsidRDefault="00DA46DC" w:rsidP="002725E5">
            <w:pPr>
              <w:pStyle w:val="MDPI42tablebody"/>
              <w:autoSpaceDE w:val="0"/>
              <w:autoSpaceDN w:val="0"/>
              <w:spacing w:line="240" w:lineRule="auto"/>
              <w:jc w:val="left"/>
              <w:rPr>
                <w:color w:val="auto"/>
              </w:rPr>
            </w:pPr>
            <w:r w:rsidRPr="00730786">
              <w:rPr>
                <w:color w:val="auto"/>
              </w:rPr>
              <w:t>LAP</w:t>
            </w:r>
          </w:p>
        </w:tc>
        <w:tc>
          <w:tcPr>
            <w:tcW w:w="7230" w:type="dxa"/>
            <w:shd w:val="clear" w:color="auto" w:fill="auto"/>
            <w:vAlign w:val="center"/>
          </w:tcPr>
          <w:p w14:paraId="294F2294" w14:textId="3163E1CF" w:rsidR="00DA46DC" w:rsidRPr="00730786" w:rsidRDefault="00DA46DC" w:rsidP="002725E5">
            <w:pPr>
              <w:pStyle w:val="MDPI42tablebody"/>
              <w:autoSpaceDE w:val="0"/>
              <w:autoSpaceDN w:val="0"/>
              <w:spacing w:line="240" w:lineRule="auto"/>
              <w:jc w:val="left"/>
              <w:rPr>
                <w:color w:val="auto"/>
              </w:rPr>
            </w:pPr>
            <w:r w:rsidRPr="00730786">
              <w:rPr>
                <w:color w:val="auto"/>
              </w:rPr>
              <w:t xml:space="preserve">Combining sacrificial gelatin microgels with </w:t>
            </w:r>
            <w:proofErr w:type="spellStart"/>
            <w:r w:rsidRPr="00730786">
              <w:rPr>
                <w:color w:val="auto"/>
              </w:rPr>
              <w:t>GelMA</w:t>
            </w:r>
            <w:proofErr w:type="spellEnd"/>
            <w:r w:rsidRPr="00730786">
              <w:rPr>
                <w:color w:val="auto"/>
              </w:rPr>
              <w:t xml:space="preserve"> allows development of printed constructs with mesoscale pore networks for enhanced nutrient delivery and cell growth. The encapsulated cells demonstrate improved bioactivity within printed constructs ≥</w:t>
            </w:r>
            <w:r w:rsidR="0064470F">
              <w:rPr>
                <w:color w:val="auto"/>
              </w:rPr>
              <w:t xml:space="preserve"> </w:t>
            </w:r>
            <w:r w:rsidRPr="00730786">
              <w:rPr>
                <w:color w:val="auto"/>
              </w:rPr>
              <w:t>1 cm. The effect of the mesoscale porosity on cell functionality and tissue maturation still needs investigation.</w:t>
            </w:r>
          </w:p>
        </w:tc>
        <w:tc>
          <w:tcPr>
            <w:tcW w:w="765" w:type="dxa"/>
            <w:gridSpan w:val="3"/>
            <w:shd w:val="clear" w:color="auto" w:fill="auto"/>
            <w:vAlign w:val="center"/>
          </w:tcPr>
          <w:p w14:paraId="5BEE51A5" w14:textId="77887964" w:rsidR="00DA46DC" w:rsidRPr="00730786" w:rsidRDefault="00DA46DC" w:rsidP="002725E5">
            <w:pPr>
              <w:pStyle w:val="MDPI42tablebody"/>
              <w:autoSpaceDE w:val="0"/>
              <w:autoSpaceDN w:val="0"/>
              <w:spacing w:line="240" w:lineRule="auto"/>
              <w:jc w:val="left"/>
              <w:rPr>
                <w:color w:val="auto"/>
              </w:rPr>
            </w:pPr>
            <w:r w:rsidRPr="00730786">
              <w:rPr>
                <w:color w:val="auto"/>
              </w:rPr>
              <w:fldChar w:fldCharType="begin" w:fldLock="1"/>
            </w:r>
            <w:r w:rsidRPr="00730786">
              <w:rPr>
                <w:color w:val="auto"/>
              </w:rPr>
              <w:instrText>ADDIN CSL_CITATION {"citationItems":[{"id":"ITEM-1","itemData":{"ISSN":"2522-8552","author":[{"dropping-particle":"","family":"Shao","given":"Lei","non-dropping-particle":"","parse-names":false,"suffix":""},{"dropping-particle":"","family":"Gao","given":"Qing","non-dropping-particle":"","parse-names":false,"suffix":""},{"dropping-particle":"","family":"Xie","given":"Chaoqi","non-dropping-particle":"","parse-names":false,"suffix":""},{"dropping-particle":"","family":"Fu","given":"Jianzhong","non-dropping-particle":"","parse-names":false,"suffix":""},{"dropping-particle":"","family":"Xiang","given":"Meixiang","non-dropping-particle":"","parse-names":false,"suffix":""},{"dropping-particle":"","family":"Liu","given":"Zhenjie","non-dropping-particle":"","parse-names":false,"suffix":""},{"dropping-particle":"","family":"Xiang","given":"Liulin","non-dropping-particle":"","parse-names":false,"suffix":""},{"dropping-particle":"","family":"He","given":"Yong","non-dropping-particle":"","parse-names":false,"suffix":""}],"container-title":"Bio-Design and Manufacturing","id":"ITEM-1","issue":"1","issued":{"date-parts":[["2020"]]},"page":"30-39","publisher":"Springer","title":"Sacrificial microgel-laden bioink-enabled 3D bioprinting of mesoscale pore networks","type":"article-journal","volume":"3"},"uris":["http://www.mendeley.com/documents/?uuid=91d4a6e9-3045-4d40-b343-fd7d59ad2aa7"]}],"mendeley":{"formattedCitation":"[102]","plainTextFormattedCitation":"[102]","previouslyFormattedCitation":"&lt;span style=\"baseline\"&gt;[102]&lt;/span&gt;"},"properties":{"noteIndex":0},"schema":"https://github.com/citation-style-language/schema/raw/master/csl-citation.json"}</w:instrText>
            </w:r>
            <w:r w:rsidRPr="00730786">
              <w:rPr>
                <w:color w:val="auto"/>
              </w:rPr>
              <w:fldChar w:fldCharType="separate"/>
            </w:r>
            <w:r w:rsidRPr="00730786">
              <w:rPr>
                <w:noProof/>
                <w:color w:val="auto"/>
              </w:rPr>
              <w:t>[</w:t>
            </w:r>
            <w:r w:rsidRPr="00730786">
              <w:rPr>
                <w:color w:val="auto"/>
                <w:szCs w:val="22"/>
              </w:rPr>
              <w:t>1</w:t>
            </w:r>
            <w:r w:rsidR="00583482" w:rsidRPr="00730786">
              <w:rPr>
                <w:color w:val="auto"/>
                <w:szCs w:val="22"/>
              </w:rPr>
              <w:t>1</w:t>
            </w:r>
            <w:r w:rsidR="00906D55">
              <w:rPr>
                <w:color w:val="auto"/>
                <w:szCs w:val="22"/>
              </w:rPr>
              <w:t>5</w:t>
            </w:r>
            <w:r w:rsidRPr="00730786">
              <w:rPr>
                <w:noProof/>
                <w:color w:val="auto"/>
              </w:rPr>
              <w:t>]</w:t>
            </w:r>
            <w:r w:rsidRPr="00730786">
              <w:rPr>
                <w:color w:val="auto"/>
              </w:rPr>
              <w:fldChar w:fldCharType="end"/>
            </w:r>
          </w:p>
        </w:tc>
      </w:tr>
      <w:tr w:rsidR="00DA46DC" w:rsidRPr="00822DD9" w14:paraId="1CDAEA8E" w14:textId="77777777" w:rsidTr="002725E5">
        <w:tc>
          <w:tcPr>
            <w:tcW w:w="1984" w:type="dxa"/>
            <w:shd w:val="clear" w:color="auto" w:fill="auto"/>
          </w:tcPr>
          <w:p w14:paraId="2E7FE419" w14:textId="3D1D827A" w:rsidR="00DA46DC" w:rsidRPr="00730786" w:rsidRDefault="00DA46DC" w:rsidP="002725E5">
            <w:pPr>
              <w:pStyle w:val="MDPI42tablebody"/>
              <w:autoSpaceDE w:val="0"/>
              <w:autoSpaceDN w:val="0"/>
              <w:spacing w:line="240" w:lineRule="auto"/>
              <w:jc w:val="left"/>
              <w:rPr>
                <w:color w:val="auto"/>
              </w:rPr>
            </w:pPr>
            <w:proofErr w:type="spellStart"/>
            <w:r w:rsidRPr="00730786">
              <w:rPr>
                <w:color w:val="auto"/>
              </w:rPr>
              <w:t>Gellan</w:t>
            </w:r>
            <w:proofErr w:type="spellEnd"/>
            <w:r w:rsidRPr="00730786">
              <w:rPr>
                <w:color w:val="auto"/>
              </w:rPr>
              <w:t xml:space="preserve"> gum (GG) and polylactic acid (PLA) microparticles as stem cell carriers</w:t>
            </w:r>
          </w:p>
        </w:tc>
        <w:tc>
          <w:tcPr>
            <w:tcW w:w="2106" w:type="dxa"/>
            <w:shd w:val="clear" w:color="auto" w:fill="auto"/>
          </w:tcPr>
          <w:p w14:paraId="7B5E6619" w14:textId="30235DCF" w:rsidR="00DA46DC" w:rsidRPr="00730786" w:rsidRDefault="00DA46DC" w:rsidP="002725E5">
            <w:pPr>
              <w:pStyle w:val="MDPI42tablebody"/>
              <w:autoSpaceDE w:val="0"/>
              <w:autoSpaceDN w:val="0"/>
              <w:spacing w:line="240" w:lineRule="auto"/>
              <w:jc w:val="left"/>
              <w:rPr>
                <w:color w:val="auto"/>
              </w:rPr>
            </w:pPr>
            <w:r w:rsidRPr="00730786">
              <w:rPr>
                <w:color w:val="auto"/>
              </w:rPr>
              <w:t xml:space="preserve">Rat MSCs </w:t>
            </w:r>
          </w:p>
        </w:tc>
        <w:tc>
          <w:tcPr>
            <w:tcW w:w="1559" w:type="dxa"/>
            <w:shd w:val="clear" w:color="auto" w:fill="auto"/>
          </w:tcPr>
          <w:p w14:paraId="6F7FD72C" w14:textId="57D29FB8" w:rsidR="00DA46DC" w:rsidRPr="00730786" w:rsidRDefault="00DA46DC" w:rsidP="002725E5">
            <w:pPr>
              <w:pStyle w:val="MDPI42tablebody"/>
              <w:autoSpaceDE w:val="0"/>
              <w:autoSpaceDN w:val="0"/>
              <w:spacing w:line="240" w:lineRule="auto"/>
              <w:jc w:val="left"/>
              <w:rPr>
                <w:color w:val="auto"/>
              </w:rPr>
            </w:pPr>
            <w:proofErr w:type="spellStart"/>
            <w:r w:rsidRPr="00730786">
              <w:rPr>
                <w:color w:val="auto"/>
              </w:rPr>
              <w:t>Irgacure</w:t>
            </w:r>
            <w:proofErr w:type="spellEnd"/>
            <w:r w:rsidRPr="00730786">
              <w:rPr>
                <w:color w:val="auto"/>
              </w:rPr>
              <w:t xml:space="preserve"> I-2959</w:t>
            </w:r>
          </w:p>
        </w:tc>
        <w:tc>
          <w:tcPr>
            <w:tcW w:w="7230" w:type="dxa"/>
            <w:shd w:val="clear" w:color="auto" w:fill="auto"/>
            <w:vAlign w:val="center"/>
          </w:tcPr>
          <w:p w14:paraId="166EAA33" w14:textId="2703C9D9" w:rsidR="00DA46DC" w:rsidRPr="00730786" w:rsidRDefault="00DA46DC" w:rsidP="002725E5">
            <w:pPr>
              <w:pStyle w:val="MDPI42tablebody"/>
              <w:autoSpaceDE w:val="0"/>
              <w:autoSpaceDN w:val="0"/>
              <w:spacing w:line="240" w:lineRule="auto"/>
              <w:jc w:val="left"/>
              <w:rPr>
                <w:color w:val="auto"/>
              </w:rPr>
            </w:pPr>
            <w:r w:rsidRPr="00730786">
              <w:rPr>
                <w:color w:val="auto"/>
              </w:rPr>
              <w:t xml:space="preserve">Microcarrier MSCs (MCs) complexes were formed by utilizing </w:t>
            </w:r>
            <w:r w:rsidR="008432B2" w:rsidRPr="00730786">
              <w:rPr>
                <w:color w:val="auto"/>
              </w:rPr>
              <w:t>PLA</w:t>
            </w:r>
            <w:r w:rsidR="008432B2">
              <w:rPr>
                <w:color w:val="auto"/>
              </w:rPr>
              <w:t>-</w:t>
            </w:r>
            <w:r w:rsidRPr="00730786">
              <w:rPr>
                <w:color w:val="auto"/>
              </w:rPr>
              <w:t xml:space="preserve">based particles with MSCs adhered to their surface. The MCs containing </w:t>
            </w:r>
            <w:proofErr w:type="spellStart"/>
            <w:r w:rsidRPr="00730786">
              <w:rPr>
                <w:color w:val="auto"/>
              </w:rPr>
              <w:t>GelMA-gellan</w:t>
            </w:r>
            <w:proofErr w:type="spellEnd"/>
            <w:r w:rsidRPr="00730786">
              <w:rPr>
                <w:color w:val="auto"/>
              </w:rPr>
              <w:t xml:space="preserve"> gum </w:t>
            </w:r>
            <w:proofErr w:type="spellStart"/>
            <w:r w:rsidRPr="00730786">
              <w:rPr>
                <w:color w:val="auto"/>
              </w:rPr>
              <w:t>bioink</w:t>
            </w:r>
            <w:proofErr w:type="spellEnd"/>
            <w:r w:rsidRPr="00730786">
              <w:rPr>
                <w:color w:val="auto"/>
              </w:rPr>
              <w:t xml:space="preserve"> formed the bone</w:t>
            </w:r>
            <w:r w:rsidR="008432B2">
              <w:rPr>
                <w:color w:val="auto"/>
              </w:rPr>
              <w:t xml:space="preserve"> </w:t>
            </w:r>
            <w:r w:rsidRPr="00730786">
              <w:rPr>
                <w:color w:val="auto"/>
              </w:rPr>
              <w:t>compartment of the osteochondral construct. The inclusion of MCs provided mechanical reinforcement to the construct</w:t>
            </w:r>
            <w:r w:rsidR="008432B2">
              <w:rPr>
                <w:color w:val="auto"/>
              </w:rPr>
              <w:t>,</w:t>
            </w:r>
            <w:r w:rsidRPr="00730786">
              <w:rPr>
                <w:color w:val="auto"/>
              </w:rPr>
              <w:t xml:space="preserve"> whereas incorporation of GG improved viscosity and printability of the </w:t>
            </w:r>
            <w:proofErr w:type="spellStart"/>
            <w:r w:rsidRPr="00730786">
              <w:rPr>
                <w:color w:val="auto"/>
              </w:rPr>
              <w:t>bioink</w:t>
            </w:r>
            <w:proofErr w:type="spellEnd"/>
            <w:r w:rsidRPr="00730786">
              <w:rPr>
                <w:color w:val="auto"/>
              </w:rPr>
              <w:t>.</w:t>
            </w:r>
          </w:p>
        </w:tc>
        <w:tc>
          <w:tcPr>
            <w:tcW w:w="765" w:type="dxa"/>
            <w:gridSpan w:val="3"/>
            <w:shd w:val="clear" w:color="auto" w:fill="auto"/>
            <w:vAlign w:val="center"/>
          </w:tcPr>
          <w:p w14:paraId="2E8419B4" w14:textId="1137F4DD" w:rsidR="00DA46DC" w:rsidRPr="00730786" w:rsidRDefault="00DA46DC" w:rsidP="002725E5">
            <w:pPr>
              <w:pStyle w:val="MDPI42tablebody"/>
              <w:autoSpaceDE w:val="0"/>
              <w:autoSpaceDN w:val="0"/>
              <w:spacing w:line="240" w:lineRule="auto"/>
              <w:jc w:val="left"/>
              <w:rPr>
                <w:color w:val="auto"/>
              </w:rPr>
            </w:pPr>
            <w:r w:rsidRPr="00730786">
              <w:rPr>
                <w:color w:val="auto"/>
              </w:rPr>
              <w:fldChar w:fldCharType="begin" w:fldLock="1"/>
            </w:r>
            <w:r w:rsidRPr="00730786">
              <w:rPr>
                <w:color w:val="auto"/>
              </w:rPr>
              <w:instrText>ADDIN CSL_CITATION {"citationItems":[{"id":"ITEM-1","itemData":{"DOI":"10.1088/1758-5082/6/3/035020","ISSN":"1758-5082","abstract":"Bioprinting allows the fabrication of living constructs with custom-made architectures by spatially controlled deposition of multiple bioinks. This is important for the generation of tissue, such as osteochondral tissue, which displays a zonal composition in the cartilage domain supported by the underlying subchondral bone. Challenges in fabricating functional grafts of clinically relevant size include the incorporation of cues to guide specific cell differentiation and the generation of sufficient cells, which is hard to obtain with conventional cell culture techniques. A novel strategy to address these demands is to combine bioprinting with microcarrier technology. This technology allows for the extensive expansion of cells, while they form multi-cellular aggregates, and their phenotype can be controlled. In this work, living constructs were fabricated via bioprinting of cell-laden microcarriers. Mesenchymal stromal cell (MSC)-laden polylactic acid microcarriers, obtained via static culture or spinner flask expansion, were encapsulated in gelatin methacrylamide-gellan gum bioinks, and the printability of the composite material was studied. This bioprinting approach allowed for the fabrication of constructs with high cell concentration and viability. Microcarrier encapsulation improved the compressive modulus of the hydrogel constructs, facilitated cell adhesion, and supported osteogenic differentiation and bone matrix deposition by MSCs. Bilayered osteochondral models were fabricated using microcarrier-laden bioink for the bone compartment. These findings underscore the potential of this new microcarrier-based biofabrication approach for bone and osteochondral constructs.","author":[{"dropping-particle":"","family":"Levato","given":"Riccardo","non-dropping-particle":"","parse-names":false,"suffix":""},{"dropping-particle":"","family":"Visser","given":"Jetze","non-dropping-particle":"","parse-names":false,"suffix":""},{"dropping-particle":"","family":"Planell","given":"Josep A","non-dropping-particle":"","parse-names":false,"suffix":""},{"dropping-particle":"","family":"Engel","given":"Elisabeth","non-dropping-particle":"","parse-names":false,"suffix":""},{"dropping-particle":"","family":"Malda","given":"Jos","non-dropping-particle":"","parse-names":false,"suffix":""},{"dropping-particle":"","family":"Mateos-Timoneda","given":"Miguel A","non-dropping-particle":"","parse-names":false,"suffix":""}],"container-title":"Biofabrication","id":"ITEM-1","issue":"3","issued":{"date-parts":[["2014"]]},"page":"35020","publisher":"IOP Publishing","title":"Biofabrication of tissue constructs by 3D bioprinting of cell-laden microcarriers","type":"article-journal","volume":"6"},"uris":["http://www.mendeley.com/documents/?uuid=43e24f4a-9e96-42a4-88ae-971793c46312"]}],"mendeley":{"formattedCitation":"[42]","plainTextFormattedCitation":"[42]","previouslyFormattedCitation":"&lt;span style=\"baseline\"&gt;[42]&lt;/span&gt;"},"properties":{"noteIndex":0},"schema":"https://github.com/citation-style-language/schema/raw/master/csl-citation.json"}</w:instrText>
            </w:r>
            <w:r w:rsidRPr="00730786">
              <w:rPr>
                <w:color w:val="auto"/>
              </w:rPr>
              <w:fldChar w:fldCharType="separate"/>
            </w:r>
            <w:r w:rsidRPr="00730786">
              <w:rPr>
                <w:noProof/>
                <w:color w:val="auto"/>
                <w:lang w:eastAsia="ko-KR"/>
              </w:rPr>
              <w:t>[42]</w:t>
            </w:r>
            <w:r w:rsidRPr="00730786">
              <w:rPr>
                <w:color w:val="auto"/>
              </w:rPr>
              <w:fldChar w:fldCharType="end"/>
            </w:r>
          </w:p>
        </w:tc>
      </w:tr>
      <w:tr w:rsidR="00DA46DC" w:rsidRPr="00822DD9" w14:paraId="6F4EE407" w14:textId="77777777" w:rsidTr="002725E5">
        <w:tc>
          <w:tcPr>
            <w:tcW w:w="1984" w:type="dxa"/>
            <w:shd w:val="clear" w:color="auto" w:fill="auto"/>
          </w:tcPr>
          <w:p w14:paraId="188D4873" w14:textId="71E9B142" w:rsidR="00DA46DC" w:rsidRPr="00730786" w:rsidRDefault="00DA46DC" w:rsidP="002725E5">
            <w:pPr>
              <w:pStyle w:val="MDPI42tablebody"/>
              <w:autoSpaceDE w:val="0"/>
              <w:autoSpaceDN w:val="0"/>
              <w:spacing w:line="240" w:lineRule="auto"/>
              <w:jc w:val="left"/>
              <w:rPr>
                <w:color w:val="auto"/>
              </w:rPr>
            </w:pPr>
            <w:r w:rsidRPr="00730786">
              <w:rPr>
                <w:color w:val="auto"/>
              </w:rPr>
              <w:t>Hydroxyapatite (</w:t>
            </w:r>
            <w:proofErr w:type="spellStart"/>
            <w:r w:rsidRPr="00730786">
              <w:rPr>
                <w:color w:val="auto"/>
              </w:rPr>
              <w:t>HAp</w:t>
            </w:r>
            <w:proofErr w:type="spellEnd"/>
            <w:r w:rsidRPr="00730786">
              <w:rPr>
                <w:color w:val="auto"/>
              </w:rPr>
              <w:t xml:space="preserve">) and </w:t>
            </w:r>
            <w:proofErr w:type="spellStart"/>
            <w:r w:rsidRPr="00730786">
              <w:rPr>
                <w:color w:val="auto"/>
              </w:rPr>
              <w:t>methacrylated</w:t>
            </w:r>
            <w:proofErr w:type="spellEnd"/>
            <w:r w:rsidRPr="00730786">
              <w:rPr>
                <w:color w:val="auto"/>
              </w:rPr>
              <w:t xml:space="preserve"> hyaluronic acid (HAM)</w:t>
            </w:r>
          </w:p>
        </w:tc>
        <w:tc>
          <w:tcPr>
            <w:tcW w:w="2106" w:type="dxa"/>
            <w:shd w:val="clear" w:color="auto" w:fill="auto"/>
          </w:tcPr>
          <w:p w14:paraId="7F21191F" w14:textId="71307F52" w:rsidR="00DA46DC" w:rsidRPr="00730786" w:rsidRDefault="00DA46DC" w:rsidP="002725E5">
            <w:pPr>
              <w:pStyle w:val="MDPI42tablebody"/>
              <w:autoSpaceDE w:val="0"/>
              <w:autoSpaceDN w:val="0"/>
              <w:spacing w:line="240" w:lineRule="auto"/>
              <w:jc w:val="left"/>
              <w:rPr>
                <w:color w:val="auto"/>
              </w:rPr>
            </w:pPr>
            <w:proofErr w:type="spellStart"/>
            <w:r w:rsidRPr="00730786">
              <w:rPr>
                <w:color w:val="auto"/>
              </w:rPr>
              <w:t>hASCs</w:t>
            </w:r>
            <w:proofErr w:type="spellEnd"/>
            <w:r w:rsidRPr="00730786">
              <w:rPr>
                <w:color w:val="auto"/>
              </w:rPr>
              <w:t xml:space="preserve"> (human </w:t>
            </w:r>
            <w:r w:rsidR="008432B2" w:rsidRPr="00730786">
              <w:rPr>
                <w:color w:val="auto"/>
              </w:rPr>
              <w:t>adipose</w:t>
            </w:r>
            <w:r w:rsidR="008432B2">
              <w:rPr>
                <w:color w:val="auto"/>
              </w:rPr>
              <w:t>-</w:t>
            </w:r>
            <w:r w:rsidRPr="00730786">
              <w:rPr>
                <w:color w:val="auto"/>
              </w:rPr>
              <w:t>derived stem cells)</w:t>
            </w:r>
          </w:p>
        </w:tc>
        <w:tc>
          <w:tcPr>
            <w:tcW w:w="1559" w:type="dxa"/>
            <w:shd w:val="clear" w:color="auto" w:fill="auto"/>
          </w:tcPr>
          <w:p w14:paraId="33CDC70E" w14:textId="04FB0B5B" w:rsidR="00DA46DC" w:rsidRPr="00730786" w:rsidRDefault="00DA46DC" w:rsidP="002725E5">
            <w:pPr>
              <w:pStyle w:val="MDPI42tablebody"/>
              <w:autoSpaceDE w:val="0"/>
              <w:autoSpaceDN w:val="0"/>
              <w:spacing w:line="240" w:lineRule="auto"/>
              <w:jc w:val="left"/>
              <w:rPr>
                <w:color w:val="auto"/>
              </w:rPr>
            </w:pPr>
            <w:r w:rsidRPr="00730786">
              <w:rPr>
                <w:color w:val="auto"/>
              </w:rPr>
              <w:t>LAP</w:t>
            </w:r>
          </w:p>
        </w:tc>
        <w:tc>
          <w:tcPr>
            <w:tcW w:w="7230" w:type="dxa"/>
            <w:shd w:val="clear" w:color="auto" w:fill="auto"/>
            <w:vAlign w:val="center"/>
          </w:tcPr>
          <w:p w14:paraId="785A233F" w14:textId="209F2E93" w:rsidR="00DA46DC" w:rsidRPr="00730786" w:rsidRDefault="00DA46DC" w:rsidP="002725E5">
            <w:pPr>
              <w:pStyle w:val="MDPI42tablebody"/>
              <w:autoSpaceDE w:val="0"/>
              <w:autoSpaceDN w:val="0"/>
              <w:spacing w:line="240" w:lineRule="auto"/>
              <w:jc w:val="left"/>
              <w:rPr>
                <w:color w:val="auto"/>
              </w:rPr>
            </w:pPr>
            <w:proofErr w:type="spellStart"/>
            <w:r w:rsidRPr="00730786">
              <w:rPr>
                <w:color w:val="auto"/>
              </w:rPr>
              <w:t>HAp</w:t>
            </w:r>
            <w:proofErr w:type="spellEnd"/>
            <w:r w:rsidRPr="00730786">
              <w:rPr>
                <w:color w:val="auto"/>
              </w:rPr>
              <w:t xml:space="preserve"> ink was prepared by incorporating </w:t>
            </w:r>
            <w:proofErr w:type="spellStart"/>
            <w:r w:rsidRPr="00730786">
              <w:rPr>
                <w:color w:val="auto"/>
              </w:rPr>
              <w:t>HAp</w:t>
            </w:r>
            <w:proofErr w:type="spellEnd"/>
            <w:r w:rsidRPr="00730786">
              <w:rPr>
                <w:color w:val="auto"/>
              </w:rPr>
              <w:t xml:space="preserve"> (5 </w:t>
            </w:r>
            <w:proofErr w:type="spellStart"/>
            <w:r w:rsidRPr="00730786">
              <w:rPr>
                <w:color w:val="auto"/>
              </w:rPr>
              <w:t>wt</w:t>
            </w:r>
            <w:proofErr w:type="spellEnd"/>
            <w:r w:rsidRPr="00730786">
              <w:rPr>
                <w:color w:val="auto"/>
              </w:rPr>
              <w:t xml:space="preserve">%) within gelatin </w:t>
            </w:r>
            <w:proofErr w:type="spellStart"/>
            <w:r w:rsidRPr="00730786">
              <w:rPr>
                <w:color w:val="auto"/>
              </w:rPr>
              <w:t>methacryloyl</w:t>
            </w:r>
            <w:proofErr w:type="spellEnd"/>
            <w:r w:rsidRPr="00730786">
              <w:rPr>
                <w:color w:val="auto"/>
              </w:rPr>
              <w:t xml:space="preserve"> of different degree</w:t>
            </w:r>
            <w:r w:rsidR="00D05277">
              <w:rPr>
                <w:color w:val="auto"/>
              </w:rPr>
              <w:t>s</w:t>
            </w:r>
            <w:r w:rsidRPr="00730786">
              <w:rPr>
                <w:color w:val="auto"/>
              </w:rPr>
              <w:t xml:space="preserve"> of </w:t>
            </w:r>
            <w:proofErr w:type="spellStart"/>
            <w:r w:rsidRPr="00730786">
              <w:rPr>
                <w:color w:val="auto"/>
              </w:rPr>
              <w:t>methacrylation</w:t>
            </w:r>
            <w:proofErr w:type="spellEnd"/>
            <w:r w:rsidRPr="00730786">
              <w:rPr>
                <w:color w:val="auto"/>
              </w:rPr>
              <w:t xml:space="preserve"> and hyaluronic acid (7 </w:t>
            </w:r>
            <w:proofErr w:type="spellStart"/>
            <w:r w:rsidRPr="00730786">
              <w:rPr>
                <w:color w:val="auto"/>
              </w:rPr>
              <w:t>wt</w:t>
            </w:r>
            <w:proofErr w:type="spellEnd"/>
            <w:r w:rsidRPr="00730786">
              <w:rPr>
                <w:color w:val="auto"/>
              </w:rPr>
              <w:t xml:space="preserve">% GM2, 5 </w:t>
            </w:r>
            <w:proofErr w:type="spellStart"/>
            <w:r w:rsidRPr="00730786">
              <w:rPr>
                <w:color w:val="auto"/>
              </w:rPr>
              <w:t>wt</w:t>
            </w:r>
            <w:proofErr w:type="spellEnd"/>
            <w:r w:rsidRPr="00730786">
              <w:rPr>
                <w:color w:val="auto"/>
              </w:rPr>
              <w:t xml:space="preserve">% GM5 and 1 </w:t>
            </w:r>
            <w:proofErr w:type="spellStart"/>
            <w:r w:rsidRPr="00730786">
              <w:rPr>
                <w:color w:val="auto"/>
              </w:rPr>
              <w:t>wt</w:t>
            </w:r>
            <w:proofErr w:type="spellEnd"/>
            <w:r w:rsidRPr="00730786">
              <w:rPr>
                <w:color w:val="auto"/>
              </w:rPr>
              <w:t xml:space="preserve">% HAM). </w:t>
            </w:r>
            <w:proofErr w:type="spellStart"/>
            <w:r w:rsidRPr="00730786">
              <w:rPr>
                <w:color w:val="auto"/>
              </w:rPr>
              <w:t>HAp</w:t>
            </w:r>
            <w:proofErr w:type="spellEnd"/>
            <w:r w:rsidRPr="00730786">
              <w:rPr>
                <w:color w:val="auto"/>
              </w:rPr>
              <w:t xml:space="preserve"> </w:t>
            </w:r>
            <w:proofErr w:type="spellStart"/>
            <w:r w:rsidRPr="00730786">
              <w:rPr>
                <w:color w:val="auto"/>
              </w:rPr>
              <w:t>bioink</w:t>
            </w:r>
            <w:proofErr w:type="spellEnd"/>
            <w:r w:rsidRPr="00730786">
              <w:rPr>
                <w:color w:val="auto"/>
              </w:rPr>
              <w:t xml:space="preserve"> demonstrated improved printability with printed structures </w:t>
            </w:r>
            <w:r w:rsidR="00D05277" w:rsidRPr="00730786">
              <w:rPr>
                <w:color w:val="auto"/>
              </w:rPr>
              <w:t>remain</w:t>
            </w:r>
            <w:r w:rsidR="00D05277">
              <w:rPr>
                <w:color w:val="auto"/>
              </w:rPr>
              <w:t>ing</w:t>
            </w:r>
            <w:r w:rsidR="00D05277" w:rsidRPr="00730786">
              <w:rPr>
                <w:color w:val="auto"/>
              </w:rPr>
              <w:t xml:space="preserve"> </w:t>
            </w:r>
            <w:r w:rsidRPr="00730786">
              <w:rPr>
                <w:color w:val="auto"/>
              </w:rPr>
              <w:t xml:space="preserve">structurally intact over </w:t>
            </w:r>
            <w:r w:rsidR="00D05277">
              <w:rPr>
                <w:color w:val="auto"/>
              </w:rPr>
              <w:t xml:space="preserve">a </w:t>
            </w:r>
            <w:r w:rsidRPr="00730786">
              <w:rPr>
                <w:color w:val="auto"/>
              </w:rPr>
              <w:t xml:space="preserve">28-day period. </w:t>
            </w:r>
            <w:r w:rsidR="00D05277">
              <w:rPr>
                <w:color w:val="auto"/>
              </w:rPr>
              <w:t>Furthermore</w:t>
            </w:r>
            <w:r w:rsidRPr="00730786">
              <w:rPr>
                <w:color w:val="auto"/>
              </w:rPr>
              <w:t xml:space="preserve">, the inclusion of </w:t>
            </w:r>
            <w:proofErr w:type="spellStart"/>
            <w:r w:rsidRPr="00730786">
              <w:rPr>
                <w:color w:val="auto"/>
              </w:rPr>
              <w:t>HAp</w:t>
            </w:r>
            <w:proofErr w:type="spellEnd"/>
            <w:r w:rsidRPr="00730786">
              <w:rPr>
                <w:color w:val="auto"/>
              </w:rPr>
              <w:t xml:space="preserve"> showed </w:t>
            </w:r>
            <w:r w:rsidR="00D05277">
              <w:rPr>
                <w:color w:val="auto"/>
              </w:rPr>
              <w:t xml:space="preserve">an </w:t>
            </w:r>
            <w:r w:rsidRPr="00730786">
              <w:rPr>
                <w:color w:val="auto"/>
              </w:rPr>
              <w:t xml:space="preserve">osteo-supportive effect with </w:t>
            </w:r>
            <w:r w:rsidRPr="00730786">
              <w:rPr>
                <w:color w:val="auto"/>
              </w:rPr>
              <w:lastRenderedPageBreak/>
              <w:t>upregulated osteogenic differentiation and matrix mineralization in osteogenic and control culture conditions.</w:t>
            </w:r>
          </w:p>
        </w:tc>
        <w:tc>
          <w:tcPr>
            <w:tcW w:w="765" w:type="dxa"/>
            <w:gridSpan w:val="3"/>
            <w:shd w:val="clear" w:color="auto" w:fill="auto"/>
            <w:vAlign w:val="center"/>
          </w:tcPr>
          <w:p w14:paraId="35072CCF" w14:textId="2BF34D85" w:rsidR="00DA46DC" w:rsidRPr="00730786" w:rsidRDefault="00DA46DC" w:rsidP="002725E5">
            <w:pPr>
              <w:pStyle w:val="MDPI42tablebody"/>
              <w:autoSpaceDE w:val="0"/>
              <w:autoSpaceDN w:val="0"/>
              <w:spacing w:line="240" w:lineRule="auto"/>
              <w:jc w:val="left"/>
              <w:rPr>
                <w:color w:val="auto"/>
              </w:rPr>
            </w:pPr>
            <w:r w:rsidRPr="00730786">
              <w:rPr>
                <w:color w:val="auto"/>
              </w:rPr>
              <w:lastRenderedPageBreak/>
              <w:fldChar w:fldCharType="begin" w:fldLock="1"/>
            </w:r>
            <w:r w:rsidRPr="00730786">
              <w:rPr>
                <w:color w:val="auto"/>
              </w:rPr>
              <w:instrText>ADDIN CSL_CITATION {"citationItems":[{"id":"ITEM-1","itemData":{"DOI":"10.1088/1758-5090/aa91ec","ISSN":"1758-5090","abstract":"Though bioprinting is a forward-looking approach in bone tissue engineering, the development of bioinks which are on the one hand processable with the chosen printing technique, and on the other hand possess the relevant mechanical as well as osteoconductive features remains a challenge. In the present study, polymer solutions based on methacrylated gelatin and methacrylated hyaluronic acid modified with hydroxyapatite (HAp) particles (5 wt%) were prepared. Encapsulation of primary human adipose-derived stem cells in the HAp-containing gels and culture for 28 d resulted in a storage moduli significantly increased to 126% ± 9.6% compared to the value on day 1 by the sole influence of the HAp. Additional use of osteogenic media components resulted in an increase of storage module up to 199% ± 27.8%. Similarly, the loss moduli was increased to 370% ± 122.1% under the influence of osteogenic media components and HAp. Those changes in rheological material characteristics indicate a distinct change in elastic and viscous hydrogel properties, and are attributed to extensive matrix production in the hydrogels by the encapsulated cells, what could also be proven by staining of bone matrix components like collagen I, fibronectin, alkaline phosphatase and osteopontin. When using the cell-laden polymer solutions as bioinks to build up relevant geometries, the ink showed excellent printability and the printed grid structure’s integrity remained intact over a culture time of 28 d. Again, an intense matrix formation as well as upregulation of osteogenic markers by the encapsulated cells could be shown. In conclusion, we demonstrated that our HAp-containing bioinks and hydrogels on basis of methacrylated gelatin and hyaluronic acid are on the one hand highly suitable for the build-up of relevant three-dimensional geometries with microextrusion bioprinting, and on the other hand exhibit a significant positive effect on bone matrix development and remodeling in the hydrogels, as indicated by rheological measurements and staining of bone components. This makes the developed composite hydrogels an excellent material for bone bioprinting approaches.","author":[{"dropping-particle":"","family":"Wenz","given":"Annika","non-dropping-particle":"","parse-names":false,"suffix":""},{"dropping-particle":"","family":"Borchers","given":"Kirsten","non-dropping-particle":"","parse-names":false,"suffix":""},{"dropping-particle":"","family":"Tovar","given":"Günter E M","non-dropping-particle":"","parse-names":false,"suffix":""},{"dropping-particle":"","family":"Kluger","given":"Petra J","non-dropping-particle":"","parse-names":false,"suffix":""}],"container-title":"Biofabrication","id":"ITEM-1","issue":"4","issued":{"date-parts":[["2017"]]},"page":"44103","publisher":"IOP Publishing","title":"Bone matrix production in hydroxyapatite-modified hydrogels suitable for bone bioprinting","type":"article-journal","volume":"9"},"uris":["http://www.mendeley.com/documents/?uuid=03a96d14-5349-4c22-9b1a-36d5c5702ba2"]}],"mendeley":{"formattedCitation":"[104]","plainTextFormattedCitation":"[104]","previouslyFormattedCitation":"&lt;span style=\"baseline\"&gt;[104]&lt;/span&gt;"},"properties":{"noteIndex":0},"schema":"https://github.com/citation-style-language/schema/raw/master/csl-citation.json"}</w:instrText>
            </w:r>
            <w:r w:rsidRPr="00730786">
              <w:rPr>
                <w:color w:val="auto"/>
              </w:rPr>
              <w:fldChar w:fldCharType="separate"/>
            </w:r>
            <w:r w:rsidRPr="00730786">
              <w:rPr>
                <w:noProof/>
                <w:color w:val="auto"/>
              </w:rPr>
              <w:t>[</w:t>
            </w:r>
            <w:r w:rsidRPr="00730786">
              <w:rPr>
                <w:color w:val="auto"/>
                <w:szCs w:val="22"/>
              </w:rPr>
              <w:t>1</w:t>
            </w:r>
            <w:r w:rsidR="00583482" w:rsidRPr="00730786">
              <w:rPr>
                <w:color w:val="auto"/>
                <w:szCs w:val="22"/>
              </w:rPr>
              <w:t>1</w:t>
            </w:r>
            <w:r w:rsidR="00C81760">
              <w:rPr>
                <w:color w:val="auto"/>
                <w:szCs w:val="22"/>
              </w:rPr>
              <w:t>6</w:t>
            </w:r>
            <w:r w:rsidRPr="00730786">
              <w:rPr>
                <w:noProof/>
                <w:color w:val="auto"/>
              </w:rPr>
              <w:t>]</w:t>
            </w:r>
            <w:r w:rsidRPr="00730786">
              <w:rPr>
                <w:color w:val="auto"/>
              </w:rPr>
              <w:fldChar w:fldCharType="end"/>
            </w:r>
          </w:p>
        </w:tc>
      </w:tr>
      <w:tr w:rsidR="00DA46DC" w:rsidRPr="00822DD9" w14:paraId="60A537A2" w14:textId="77777777" w:rsidTr="002725E5">
        <w:tc>
          <w:tcPr>
            <w:tcW w:w="1984" w:type="dxa"/>
            <w:shd w:val="clear" w:color="auto" w:fill="auto"/>
          </w:tcPr>
          <w:p w14:paraId="3A1CD13C" w14:textId="2AE25B39" w:rsidR="00DA46DC" w:rsidRPr="00B84993" w:rsidRDefault="00DA46DC" w:rsidP="002725E5">
            <w:pPr>
              <w:autoSpaceDE w:val="0"/>
              <w:autoSpaceDN w:val="0"/>
              <w:adjustRightInd w:val="0"/>
              <w:snapToGrid w:val="0"/>
              <w:spacing w:line="240" w:lineRule="auto"/>
              <w:jc w:val="left"/>
              <w:rPr>
                <w:color w:val="auto"/>
              </w:rPr>
            </w:pPr>
            <w:r w:rsidRPr="00B84993">
              <w:rPr>
                <w:color w:val="auto"/>
              </w:rPr>
              <w:t>Gelatin (G), acetylated gelatin methacryloyl (GMA), hydroxyapatite (HAp) and methacrylated hyaluronic acid (HAM)</w:t>
            </w:r>
          </w:p>
        </w:tc>
        <w:tc>
          <w:tcPr>
            <w:tcW w:w="2106" w:type="dxa"/>
            <w:shd w:val="clear" w:color="auto" w:fill="auto"/>
          </w:tcPr>
          <w:p w14:paraId="7E93BA11" w14:textId="48D25AD2" w:rsidR="00DA46DC" w:rsidRPr="00B84993" w:rsidRDefault="00DA46DC" w:rsidP="002725E5">
            <w:pPr>
              <w:pStyle w:val="MDPI42tablebody"/>
              <w:autoSpaceDE w:val="0"/>
              <w:autoSpaceDN w:val="0"/>
              <w:spacing w:line="240" w:lineRule="auto"/>
              <w:jc w:val="left"/>
              <w:rPr>
                <w:color w:val="auto"/>
              </w:rPr>
            </w:pPr>
            <w:r w:rsidRPr="00B84993">
              <w:rPr>
                <w:color w:val="auto"/>
              </w:rPr>
              <w:t>ASCs (adipose derived stem cells) and HDMECs (human dermal microvascular endothelial cells)</w:t>
            </w:r>
          </w:p>
        </w:tc>
        <w:tc>
          <w:tcPr>
            <w:tcW w:w="1559" w:type="dxa"/>
            <w:shd w:val="clear" w:color="auto" w:fill="auto"/>
          </w:tcPr>
          <w:p w14:paraId="04562520" w14:textId="48F2FE35" w:rsidR="00DA46DC" w:rsidRPr="00B84993" w:rsidRDefault="00DA46DC" w:rsidP="002725E5">
            <w:pPr>
              <w:pStyle w:val="MDPI42tablebody"/>
              <w:autoSpaceDE w:val="0"/>
              <w:autoSpaceDN w:val="0"/>
              <w:spacing w:line="240" w:lineRule="auto"/>
              <w:jc w:val="left"/>
              <w:rPr>
                <w:color w:val="auto"/>
              </w:rPr>
            </w:pPr>
            <w:r w:rsidRPr="00B84993">
              <w:rPr>
                <w:color w:val="auto"/>
              </w:rPr>
              <w:t>LAP</w:t>
            </w:r>
          </w:p>
        </w:tc>
        <w:tc>
          <w:tcPr>
            <w:tcW w:w="7230" w:type="dxa"/>
            <w:shd w:val="clear" w:color="auto" w:fill="auto"/>
            <w:vAlign w:val="center"/>
          </w:tcPr>
          <w:p w14:paraId="77DAF558" w14:textId="17A5FC5F" w:rsidR="00DA46DC" w:rsidRPr="00B84993" w:rsidRDefault="00DA46DC" w:rsidP="002725E5">
            <w:pPr>
              <w:pStyle w:val="MDPI42tablebody"/>
              <w:autoSpaceDE w:val="0"/>
              <w:autoSpaceDN w:val="0"/>
              <w:spacing w:line="240" w:lineRule="auto"/>
              <w:jc w:val="left"/>
              <w:rPr>
                <w:color w:val="auto"/>
              </w:rPr>
            </w:pPr>
            <w:r w:rsidRPr="00B84993">
              <w:rPr>
                <w:color w:val="auto"/>
              </w:rPr>
              <w:t xml:space="preserve">Inclusion of GMA and G within GM for preparing the vascular </w:t>
            </w:r>
            <w:proofErr w:type="spellStart"/>
            <w:r w:rsidRPr="00B84993">
              <w:rPr>
                <w:color w:val="auto"/>
              </w:rPr>
              <w:t>bioink</w:t>
            </w:r>
            <w:proofErr w:type="spellEnd"/>
            <w:r w:rsidRPr="00B84993">
              <w:rPr>
                <w:color w:val="auto"/>
              </w:rPr>
              <w:t xml:space="preserve"> allowed improved materials properties with reduced crosslinking density and high swelling which allows capillary formation and maintenance. The combination of the vascularized </w:t>
            </w:r>
            <w:proofErr w:type="spellStart"/>
            <w:r w:rsidRPr="00B84993">
              <w:rPr>
                <w:color w:val="auto"/>
              </w:rPr>
              <w:t>bioink</w:t>
            </w:r>
            <w:proofErr w:type="spellEnd"/>
            <w:r w:rsidRPr="00B84993">
              <w:rPr>
                <w:color w:val="auto"/>
              </w:rPr>
              <w:t xml:space="preserve"> with the bone </w:t>
            </w:r>
            <w:proofErr w:type="spellStart"/>
            <w:r w:rsidRPr="00B84993">
              <w:rPr>
                <w:color w:val="auto"/>
              </w:rPr>
              <w:t>bioink</w:t>
            </w:r>
            <w:proofErr w:type="spellEnd"/>
            <w:r w:rsidRPr="00B84993">
              <w:rPr>
                <w:color w:val="auto"/>
              </w:rPr>
              <w:t xml:space="preserve"> (G, GM, </w:t>
            </w:r>
            <w:proofErr w:type="gramStart"/>
            <w:r w:rsidRPr="00B84993">
              <w:rPr>
                <w:color w:val="auto"/>
              </w:rPr>
              <w:t>HAP</w:t>
            </w:r>
            <w:proofErr w:type="gramEnd"/>
            <w:r w:rsidRPr="00B84993">
              <w:rPr>
                <w:color w:val="auto"/>
              </w:rPr>
              <w:t xml:space="preserve"> and HAM) demonstrated formation of </w:t>
            </w:r>
            <w:r w:rsidR="00D05277">
              <w:rPr>
                <w:color w:val="auto"/>
              </w:rPr>
              <w:t xml:space="preserve">a </w:t>
            </w:r>
            <w:r w:rsidRPr="00B84993">
              <w:rPr>
                <w:color w:val="auto"/>
              </w:rPr>
              <w:t>stable capillary-like network along with improved expression of bone-</w:t>
            </w:r>
            <w:r w:rsidR="00D05277" w:rsidRPr="00B84993">
              <w:rPr>
                <w:color w:val="auto"/>
              </w:rPr>
              <w:t>matrix</w:t>
            </w:r>
            <w:r w:rsidR="00D05277">
              <w:rPr>
                <w:color w:val="auto"/>
              </w:rPr>
              <w:t>-</w:t>
            </w:r>
            <w:r w:rsidRPr="00B84993">
              <w:rPr>
                <w:color w:val="auto"/>
              </w:rPr>
              <w:t>specific proteins relative to monoculture controls.</w:t>
            </w:r>
          </w:p>
        </w:tc>
        <w:tc>
          <w:tcPr>
            <w:tcW w:w="765" w:type="dxa"/>
            <w:gridSpan w:val="3"/>
            <w:shd w:val="clear" w:color="auto" w:fill="auto"/>
            <w:vAlign w:val="center"/>
          </w:tcPr>
          <w:p w14:paraId="26031E11" w14:textId="1A92848B" w:rsidR="00DA46DC" w:rsidRPr="00B84993" w:rsidRDefault="00DA46DC" w:rsidP="002725E5">
            <w:pPr>
              <w:pStyle w:val="MDPI42tablebody"/>
              <w:autoSpaceDE w:val="0"/>
              <w:autoSpaceDN w:val="0"/>
              <w:spacing w:line="240" w:lineRule="auto"/>
              <w:jc w:val="left"/>
              <w:rPr>
                <w:color w:val="auto"/>
              </w:rPr>
            </w:pPr>
            <w:r w:rsidRPr="00B84993">
              <w:rPr>
                <w:color w:val="auto"/>
              </w:rPr>
              <w:fldChar w:fldCharType="begin" w:fldLock="1"/>
            </w:r>
            <w:r w:rsidRPr="00B84993">
              <w:rPr>
                <w:color w:val="auto"/>
              </w:rPr>
              <w:instrText>ADDIN CSL_CITATION {"citationItems":[{"id":"ITEM-1","itemData":{"DOI":"10.1038/s41598-020-62166-w","ISSN":"2045-2322","abstract":"Bone tissue is highly vascularized. The crosstalk of vascular and osteogenic cells is not only responsible for the formation of the strongly divergent tissue types but also for their physiological maintenance and repair. Extrusion-based bioprinting presents a promising fabrication method for bone replacement. It allows for the production of large-volume constructs, which can be tailored to individual tissue defect geometries. In this study, we used the all-gelatin-based toolbox of methacryl-modified gelatin (GM), non-modified gelatin (G) and acetylated GM (GMA) to tailor both the properties of the bioink towards improved printability, and the properties of the crosslinked hydrogel towards enhanced support of vascular network formation by simple blending. The vasculogenic behavior of human dermal microvascular endothelial cells (HDMECs) and human adipose-derived stem cells (ASCs) was evaluated in the different hydrogel formulations for 14 days. Co-culture constructs including a vascular component and an osteogenic component (i.e. a bone bioink based on GM, hydroxyapatite and ASCs) were fabricated via extrusion-based bioprinting. Bioprinted co-culture constructs exhibited functional tissue-specific cells whose interplay positively affected the formation and maintenance of vascular-like structures. The setup further enabled the deposition of bone matrix associated proteins like collagen type I, fibronectin and alkaline phosphatase within the 30-day culture.","author":[{"dropping-particle":"","family":"Leucht","given":"A","non-dropping-particle":"","parse-names":false,"suffix":""},{"dropping-particle":"","family":"Volz","given":"A-C","non-dropping-particle":"","parse-names":false,"suffix":""},{"dropping-particle":"","family":"Rogal","given":"J","non-dropping-particle":"","parse-names":false,"suffix":""},{"dropping-particle":"","family":"Borchers","given":"K","non-dropping-particle":"","parse-names":false,"suffix":""},{"dropping-particle":"","family":"Kluger","given":"P J","non-dropping-particle":"","parse-names":false,"suffix":""}],"container-title":"Scientific reports","id":"ITEM-1","issue":"1","issued":{"date-parts":[["2020","3","24"]]},"language":"eng","page":"5330","publisher":"Nature Publishing Group UK","title":"Advanced gelatin-based vascularization bioinks for extrusion-based bioprinting of vascularized bone equivalents","type":"article-journal","volume":"10"},"uris":["http://www.mendeley.com/documents/?uuid=a83160fd-c5df-4170-b908-7133f6891b38"]}],"mendeley":{"formattedCitation":"[105]","plainTextFormattedCitation":"[105]","previouslyFormattedCitation":"&lt;span style=\"baseline\"&gt;[105]&lt;/span&gt;"},"properties":{"noteIndex":0},"schema":"https://github.com/citation-style-language/schema/raw/master/csl-citation.json"}</w:instrText>
            </w:r>
            <w:r w:rsidRPr="00B84993">
              <w:rPr>
                <w:color w:val="auto"/>
              </w:rPr>
              <w:fldChar w:fldCharType="separate"/>
            </w:r>
            <w:r w:rsidRPr="00B84993">
              <w:rPr>
                <w:noProof/>
                <w:color w:val="auto"/>
              </w:rPr>
              <w:t>[</w:t>
            </w:r>
            <w:r w:rsidRPr="00B84993">
              <w:rPr>
                <w:color w:val="auto"/>
                <w:szCs w:val="22"/>
              </w:rPr>
              <w:t>1</w:t>
            </w:r>
            <w:r w:rsidR="00583482" w:rsidRPr="00B84993">
              <w:rPr>
                <w:color w:val="auto"/>
                <w:szCs w:val="22"/>
              </w:rPr>
              <w:t>1</w:t>
            </w:r>
            <w:r w:rsidR="00C81760">
              <w:rPr>
                <w:color w:val="auto"/>
                <w:szCs w:val="22"/>
              </w:rPr>
              <w:t>7</w:t>
            </w:r>
            <w:r w:rsidRPr="00B84993">
              <w:rPr>
                <w:noProof/>
                <w:color w:val="auto"/>
              </w:rPr>
              <w:t>]</w:t>
            </w:r>
            <w:r w:rsidRPr="00B84993">
              <w:rPr>
                <w:color w:val="auto"/>
              </w:rPr>
              <w:fldChar w:fldCharType="end"/>
            </w:r>
          </w:p>
        </w:tc>
      </w:tr>
      <w:tr w:rsidR="00DA46DC" w:rsidRPr="00822DD9" w14:paraId="2533DAB5" w14:textId="77777777" w:rsidTr="002725E5">
        <w:tc>
          <w:tcPr>
            <w:tcW w:w="1984" w:type="dxa"/>
            <w:shd w:val="clear" w:color="auto" w:fill="auto"/>
          </w:tcPr>
          <w:p w14:paraId="2F4CEABA" w14:textId="0CCC583B" w:rsidR="00DA46DC" w:rsidRPr="00B84993" w:rsidRDefault="00DA46DC" w:rsidP="002725E5">
            <w:pPr>
              <w:autoSpaceDE w:val="0"/>
              <w:autoSpaceDN w:val="0"/>
              <w:adjustRightInd w:val="0"/>
              <w:snapToGrid w:val="0"/>
              <w:spacing w:line="240" w:lineRule="auto"/>
              <w:jc w:val="left"/>
              <w:rPr>
                <w:color w:val="auto"/>
              </w:rPr>
            </w:pPr>
            <w:r w:rsidRPr="00B84993">
              <w:rPr>
                <w:color w:val="auto"/>
              </w:rPr>
              <w:t>Gelatin, polyethylene glycol and mesoporous calcium silicate nanostructure</w:t>
            </w:r>
          </w:p>
        </w:tc>
        <w:tc>
          <w:tcPr>
            <w:tcW w:w="2106" w:type="dxa"/>
            <w:shd w:val="clear" w:color="auto" w:fill="auto"/>
          </w:tcPr>
          <w:p w14:paraId="34D5A9CD" w14:textId="16617E7E" w:rsidR="00DA46DC" w:rsidRPr="00B84993" w:rsidRDefault="00DA46DC" w:rsidP="002725E5">
            <w:pPr>
              <w:pStyle w:val="MDPI42tablebody"/>
              <w:autoSpaceDE w:val="0"/>
              <w:autoSpaceDN w:val="0"/>
              <w:spacing w:line="240" w:lineRule="auto"/>
              <w:jc w:val="left"/>
              <w:rPr>
                <w:color w:val="auto"/>
              </w:rPr>
            </w:pPr>
            <w:proofErr w:type="spellStart"/>
            <w:r w:rsidRPr="00B84993">
              <w:rPr>
                <w:color w:val="auto"/>
              </w:rPr>
              <w:t>rBMSCs</w:t>
            </w:r>
            <w:proofErr w:type="spellEnd"/>
            <w:r w:rsidRPr="00B84993">
              <w:rPr>
                <w:color w:val="auto"/>
              </w:rPr>
              <w:t xml:space="preserve"> (rat bone marrow stem cells) and RAW264.7</w:t>
            </w:r>
          </w:p>
        </w:tc>
        <w:tc>
          <w:tcPr>
            <w:tcW w:w="1559" w:type="dxa"/>
            <w:shd w:val="clear" w:color="auto" w:fill="auto"/>
          </w:tcPr>
          <w:p w14:paraId="03DFFB36" w14:textId="353E5DF3" w:rsidR="00DA46DC" w:rsidRPr="00B84993" w:rsidRDefault="00DA46DC" w:rsidP="002725E5">
            <w:pPr>
              <w:pStyle w:val="MDPI42tablebody"/>
              <w:autoSpaceDE w:val="0"/>
              <w:autoSpaceDN w:val="0"/>
              <w:spacing w:line="240" w:lineRule="auto"/>
              <w:jc w:val="left"/>
              <w:rPr>
                <w:color w:val="auto"/>
              </w:rPr>
            </w:pPr>
            <w:r w:rsidRPr="00B84993">
              <w:rPr>
                <w:color w:val="auto"/>
              </w:rPr>
              <w:t>LAP</w:t>
            </w:r>
          </w:p>
        </w:tc>
        <w:tc>
          <w:tcPr>
            <w:tcW w:w="7230" w:type="dxa"/>
            <w:shd w:val="clear" w:color="auto" w:fill="auto"/>
            <w:vAlign w:val="center"/>
          </w:tcPr>
          <w:p w14:paraId="42B50302" w14:textId="55CF86ED" w:rsidR="00DA46DC" w:rsidRPr="00B84993" w:rsidRDefault="00DA46DC" w:rsidP="002725E5">
            <w:pPr>
              <w:pStyle w:val="MDPI42tablebody"/>
              <w:autoSpaceDE w:val="0"/>
              <w:autoSpaceDN w:val="0"/>
              <w:spacing w:line="240" w:lineRule="auto"/>
              <w:jc w:val="left"/>
              <w:rPr>
                <w:color w:val="auto"/>
              </w:rPr>
            </w:pPr>
            <w:r w:rsidRPr="00B84993">
              <w:rPr>
                <w:color w:val="auto"/>
              </w:rPr>
              <w:t xml:space="preserve">Incorporation of 3% gelatin, 2% PEG and 0.4% MSN within 5% </w:t>
            </w:r>
            <w:proofErr w:type="spellStart"/>
            <w:r w:rsidRPr="00B84993">
              <w:rPr>
                <w:color w:val="auto"/>
              </w:rPr>
              <w:t>GelMA</w:t>
            </w:r>
            <w:proofErr w:type="spellEnd"/>
            <w:r w:rsidRPr="00B84993">
              <w:rPr>
                <w:color w:val="auto"/>
              </w:rPr>
              <w:t xml:space="preserve"> improved hydrogel </w:t>
            </w:r>
            <w:proofErr w:type="spellStart"/>
            <w:r w:rsidRPr="00B84993">
              <w:rPr>
                <w:color w:val="auto"/>
              </w:rPr>
              <w:t>physicomechanical</w:t>
            </w:r>
            <w:proofErr w:type="spellEnd"/>
            <w:r w:rsidRPr="00B84993">
              <w:rPr>
                <w:color w:val="auto"/>
              </w:rPr>
              <w:t xml:space="preserve"> properties and </w:t>
            </w:r>
            <w:proofErr w:type="spellStart"/>
            <w:r w:rsidRPr="00B84993">
              <w:rPr>
                <w:color w:val="auto"/>
              </w:rPr>
              <w:t>bioink</w:t>
            </w:r>
            <w:proofErr w:type="spellEnd"/>
            <w:r w:rsidRPr="00B84993">
              <w:rPr>
                <w:color w:val="auto"/>
              </w:rPr>
              <w:t xml:space="preserve"> printability. Additionally, inclusion of BMP4-loaded MSN supported M2 type polarization, osteogenic differentiation of </w:t>
            </w:r>
            <w:proofErr w:type="spellStart"/>
            <w:r w:rsidRPr="00B84993">
              <w:rPr>
                <w:color w:val="auto"/>
              </w:rPr>
              <w:t>rBMSCs</w:t>
            </w:r>
            <w:proofErr w:type="spellEnd"/>
            <w:r w:rsidRPr="00B84993">
              <w:rPr>
                <w:color w:val="auto"/>
              </w:rPr>
              <w:t xml:space="preserve"> </w:t>
            </w:r>
            <w:r w:rsidRPr="00747173">
              <w:rPr>
                <w:color w:val="auto"/>
              </w:rPr>
              <w:t>in vitro</w:t>
            </w:r>
            <w:r w:rsidRPr="00B84993">
              <w:rPr>
                <w:color w:val="auto"/>
              </w:rPr>
              <w:t xml:space="preserve"> and accelerated bone healing in the critical-sized </w:t>
            </w:r>
            <w:proofErr w:type="spellStart"/>
            <w:r w:rsidRPr="00B84993">
              <w:rPr>
                <w:color w:val="auto"/>
              </w:rPr>
              <w:t>calvarial</w:t>
            </w:r>
            <w:proofErr w:type="spellEnd"/>
            <w:r w:rsidRPr="00B84993">
              <w:rPr>
                <w:color w:val="auto"/>
              </w:rPr>
              <w:t xml:space="preserve"> defect in </w:t>
            </w:r>
            <w:r w:rsidR="00D05277">
              <w:rPr>
                <w:color w:val="auto"/>
              </w:rPr>
              <w:t xml:space="preserve">a </w:t>
            </w:r>
            <w:r w:rsidRPr="00B84993">
              <w:rPr>
                <w:color w:val="auto"/>
              </w:rPr>
              <w:t>diabetic mouse model.</w:t>
            </w:r>
          </w:p>
        </w:tc>
        <w:tc>
          <w:tcPr>
            <w:tcW w:w="765" w:type="dxa"/>
            <w:gridSpan w:val="3"/>
            <w:shd w:val="clear" w:color="auto" w:fill="auto"/>
            <w:vAlign w:val="center"/>
          </w:tcPr>
          <w:p w14:paraId="35414D00" w14:textId="797CB35D" w:rsidR="00DA46DC" w:rsidRPr="00B84993" w:rsidRDefault="00DA46DC" w:rsidP="002725E5">
            <w:pPr>
              <w:pStyle w:val="MDPI42tablebody"/>
              <w:autoSpaceDE w:val="0"/>
              <w:autoSpaceDN w:val="0"/>
              <w:spacing w:line="240" w:lineRule="auto"/>
              <w:jc w:val="left"/>
              <w:rPr>
                <w:color w:val="auto"/>
              </w:rPr>
            </w:pPr>
            <w:r w:rsidRPr="00B84993">
              <w:rPr>
                <w:color w:val="auto"/>
              </w:rPr>
              <w:fldChar w:fldCharType="begin" w:fldLock="1"/>
            </w:r>
            <w:r w:rsidRPr="00B84993">
              <w:rPr>
                <w:color w:val="auto"/>
              </w:rPr>
              <w:instrText>ADDIN CSL_CITATION {"citationItems":[{"id":"ITEM-1","itemData":{"DOI":"https://doi.org/10.1016/j.bioactmat.2020.08.030","ISSN":"2452-199X","abstract":"Critical-sized bone defect repair in patients with diabetes mellitus remains a challenge in clinical treatment because of dysfunction of macrophage polarization and the inflammatory microenvironment in the bone defect region. Three-dimensional (3D) bioprinted scaffolds loaded with live cells and bioactive factors can improve cell viability and the inflammatory microenvironment and further accelerating bone repair. Here, we used modified bioinks comprising gelatin, gelatin methacryloyl (GelMA), and 4-arm poly (ethylene glycol) acrylate (PEG) to fabricate 3D bioprinted scaffolds containing BMSCs, RAW264.7 macrophages, and BMP-4-loaded mesoporous silica nanoparticles (MSNs). Addition of MSNs effectively improved the mechanical strength of GelMA/gelatin/PEG scaffolds. Moreover, MSNs sustainably released BMP-4 for long-term effectiveness. In 3D bioprinted scaffolds, BMP-4 promoted the polarization of RAW264.7 to M2 macrophages, which secrete anti-inflammatory factors and thereby reduce the levels of pro-inflammatory factors. BMP-4 released from MSNs and BMP-2 secreted from M2 macrophages collectively stimulated the osteogenic differentiation of BMSCs in the 3D bioprinted scaffolds. Furthermore, in calvarial critical-size defect models of diabetic rats, 3D bioprinted scaffolds loaded with MSNs/BMP-4 induced M2 macrophage polarization and improved the inflammatory microenvironment. And 3D bioprinted scaffolds with MSNs/BMP-4, BMSCs, and RAW264.7 cells significantly accelerated bone repair. In conclusion, our results indicated that implanting 3D bioprinted scaffolds containing MSNs/BMP-4, BMSCs, and RAW264.7 cells in bone defects may be an effective method for improving diabetic bone repair, owing to the direct effects of BMP-4 on promoting osteogenesis of BMSCs and regulating M2 type macrophage polarization to improve the inflammatory microenvironment and secrete BMP-2.","author":[{"dropping-particle":"","family":"Sun","given":"Xin","non-dropping-particle":"","parse-names":false,"suffix":""},{"dropping-particle":"","family":"Ma","given":"Zhenjiang","non-dropping-particle":"","parse-names":false,"suffix":""},{"dropping-particle":"","family":"Zhao","given":"Xue","non-dropping-particle":"","parse-names":false,"suffix":""},{"dropping-particle":"","family":"Jin","given":"Wenjie","non-dropping-particle":"","parse-names":false,"suffix":""},{"dropping-particle":"","family":"Zhang","given":"Chenyu","non-dropping-particle":"","parse-names":false,"suffix":""},{"dropping-particle":"","family":"Ma","given":"Jie","non-dropping-particle":"","parse-names":false,"suffix":""},{"dropping-particle":"","family":"Qiang","given":"Lei","non-dropping-particle":"","parse-names":false,"suffix":""},{"dropping-particle":"","family":"Wang","given":"Wenhao","non-dropping-particle":"","parse-names":false,"suffix":""},{"dropping-particle":"","family":"Deng","given":"Qian","non-dropping-particle":"","parse-names":false,"suffix":""},{"dropping-particle":"","family":"Yang","given":"Han","non-dropping-particle":"","parse-names":false,"suffix":""},{"dropping-particle":"","family":"Zhao","given":"Jinzhong","non-dropping-particle":"","parse-names":false,"suffix":""},{"dropping-particle":"","family":"Liang","given":"Qianqian","non-dropping-particle":"","parse-names":false,"suffix":""},{"dropping-particle":"","family":"Zhou","given":"Xiaojun","non-dropping-particle":"","parse-names":false,"suffix":""},{"dropping-particle":"","family":"Li","given":"Tao","non-dropping-particle":"","parse-names":false,"suffix":""},{"dropping-particle":"","family":"Wang","given":"Jinwu","non-dropping-particle":"","parse-names":false,"suffix":""}],"container-title":"Bioactive Materials","id":"ITEM-1","issue":"3","issued":{"date-parts":[["2021"]]},"page":"757-769","title":"Three-dimensional bioprinting of multicell-laden scaffolds containing bone morphogenic protein-4 for promoting M2 macrophage polarization and accelerating bone defect repair in diabetes mellitus","type":"article-journal","volume":"6"},"uris":["http://www.mendeley.com/documents/?uuid=6312e0a6-acaa-4bb8-a608-0608b2a22ec7"]}],"mendeley":{"formattedCitation":"[106]","plainTextFormattedCitation":"[106]","previouslyFormattedCitation":"&lt;span style=\"baseline\"&gt;[106]&lt;/span&gt;"},"properties":{"noteIndex":0},"schema":"https://github.com/citation-style-language/schema/raw/master/csl-citation.json"}</w:instrText>
            </w:r>
            <w:r w:rsidRPr="00B84993">
              <w:rPr>
                <w:color w:val="auto"/>
              </w:rPr>
              <w:fldChar w:fldCharType="separate"/>
            </w:r>
            <w:r w:rsidRPr="00B84993">
              <w:rPr>
                <w:noProof/>
                <w:color w:val="auto"/>
              </w:rPr>
              <w:t>[</w:t>
            </w:r>
            <w:r w:rsidRPr="00B84993">
              <w:rPr>
                <w:color w:val="auto"/>
                <w:szCs w:val="22"/>
              </w:rPr>
              <w:t>1</w:t>
            </w:r>
            <w:r w:rsidR="00583482" w:rsidRPr="00B84993">
              <w:rPr>
                <w:color w:val="auto"/>
                <w:szCs w:val="22"/>
              </w:rPr>
              <w:t>1</w:t>
            </w:r>
            <w:r w:rsidR="00C81760">
              <w:rPr>
                <w:color w:val="auto"/>
                <w:szCs w:val="22"/>
              </w:rPr>
              <w:t>8</w:t>
            </w:r>
            <w:r w:rsidRPr="00B84993">
              <w:rPr>
                <w:noProof/>
                <w:color w:val="auto"/>
              </w:rPr>
              <w:t>]</w:t>
            </w:r>
            <w:r w:rsidRPr="00B84993">
              <w:rPr>
                <w:color w:val="auto"/>
              </w:rPr>
              <w:fldChar w:fldCharType="end"/>
            </w:r>
          </w:p>
        </w:tc>
      </w:tr>
      <w:tr w:rsidR="00DA46DC" w:rsidRPr="00822DD9" w14:paraId="54E00C89" w14:textId="77777777" w:rsidTr="002725E5">
        <w:tc>
          <w:tcPr>
            <w:tcW w:w="1984" w:type="dxa"/>
            <w:shd w:val="clear" w:color="auto" w:fill="auto"/>
          </w:tcPr>
          <w:p w14:paraId="09319EEB" w14:textId="442A4B26" w:rsidR="00DA46DC" w:rsidRPr="00B84993" w:rsidRDefault="00DA46DC" w:rsidP="002725E5">
            <w:pPr>
              <w:autoSpaceDE w:val="0"/>
              <w:autoSpaceDN w:val="0"/>
              <w:adjustRightInd w:val="0"/>
              <w:snapToGrid w:val="0"/>
              <w:spacing w:line="240" w:lineRule="auto"/>
              <w:jc w:val="left"/>
              <w:rPr>
                <w:color w:val="auto"/>
              </w:rPr>
            </w:pPr>
            <w:r w:rsidRPr="00B84993">
              <w:rPr>
                <w:color w:val="auto"/>
              </w:rPr>
              <w:t>Bone Particles (BP)</w:t>
            </w:r>
          </w:p>
        </w:tc>
        <w:tc>
          <w:tcPr>
            <w:tcW w:w="2106" w:type="dxa"/>
            <w:shd w:val="clear" w:color="auto" w:fill="auto"/>
          </w:tcPr>
          <w:p w14:paraId="4FAA502C" w14:textId="2591D73C" w:rsidR="00DA46DC" w:rsidRPr="00B84993" w:rsidRDefault="00DA46DC" w:rsidP="002725E5">
            <w:pPr>
              <w:pStyle w:val="MDPI42tablebody"/>
              <w:autoSpaceDE w:val="0"/>
              <w:autoSpaceDN w:val="0"/>
              <w:spacing w:line="240" w:lineRule="auto"/>
              <w:jc w:val="left"/>
              <w:rPr>
                <w:color w:val="auto"/>
              </w:rPr>
            </w:pPr>
            <w:r w:rsidRPr="00B84993">
              <w:rPr>
                <w:color w:val="auto"/>
              </w:rPr>
              <w:t>Cells native to BP</w:t>
            </w:r>
          </w:p>
        </w:tc>
        <w:tc>
          <w:tcPr>
            <w:tcW w:w="1559" w:type="dxa"/>
            <w:shd w:val="clear" w:color="auto" w:fill="auto"/>
          </w:tcPr>
          <w:p w14:paraId="53D287AB" w14:textId="66FAD7E2" w:rsidR="00DA46DC" w:rsidRPr="00B84993" w:rsidRDefault="00DA46DC" w:rsidP="002725E5">
            <w:pPr>
              <w:pStyle w:val="MDPI42tablebody"/>
              <w:autoSpaceDE w:val="0"/>
              <w:autoSpaceDN w:val="0"/>
              <w:spacing w:line="240" w:lineRule="auto"/>
              <w:jc w:val="left"/>
              <w:rPr>
                <w:color w:val="auto"/>
              </w:rPr>
            </w:pPr>
            <w:r w:rsidRPr="00B84993">
              <w:rPr>
                <w:color w:val="auto"/>
              </w:rPr>
              <w:t>LAP</w:t>
            </w:r>
          </w:p>
        </w:tc>
        <w:tc>
          <w:tcPr>
            <w:tcW w:w="7230" w:type="dxa"/>
            <w:shd w:val="clear" w:color="auto" w:fill="auto"/>
            <w:vAlign w:val="center"/>
          </w:tcPr>
          <w:p w14:paraId="4EAB833C" w14:textId="65C30C02" w:rsidR="00DA46DC" w:rsidRPr="00B84993" w:rsidRDefault="00DA46DC" w:rsidP="002725E5">
            <w:pPr>
              <w:pStyle w:val="MDPI42tablebody"/>
              <w:autoSpaceDE w:val="0"/>
              <w:autoSpaceDN w:val="0"/>
              <w:spacing w:line="240" w:lineRule="auto"/>
              <w:jc w:val="left"/>
              <w:rPr>
                <w:color w:val="auto"/>
              </w:rPr>
            </w:pPr>
            <w:r w:rsidRPr="00B84993">
              <w:rPr>
                <w:color w:val="auto"/>
              </w:rPr>
              <w:t xml:space="preserve">Inclusion of BP with 0 – 500 µm size distribution within 10% and 12.5% </w:t>
            </w:r>
            <w:proofErr w:type="spellStart"/>
            <w:r w:rsidRPr="00B84993">
              <w:rPr>
                <w:color w:val="auto"/>
              </w:rPr>
              <w:t>GelMA</w:t>
            </w:r>
            <w:proofErr w:type="spellEnd"/>
            <w:r w:rsidRPr="00B84993">
              <w:rPr>
                <w:color w:val="auto"/>
              </w:rPr>
              <w:t xml:space="preserve"> at the filler concentration of 15% w/v improved </w:t>
            </w:r>
            <w:proofErr w:type="spellStart"/>
            <w:r w:rsidRPr="00B84993">
              <w:rPr>
                <w:color w:val="auto"/>
              </w:rPr>
              <w:t>bioink</w:t>
            </w:r>
            <w:proofErr w:type="spellEnd"/>
            <w:r w:rsidRPr="00B84993">
              <w:rPr>
                <w:color w:val="auto"/>
              </w:rPr>
              <w:t xml:space="preserve"> printability and mechanical properties. Additionally, the cellular reserve from the viable BPs displayed cell migration and colonization of the hydrogel scaffold while retaining their osteogenic differentiation capability relative to scaffolds with BP in the size range of 150</w:t>
            </w:r>
            <w:r w:rsidR="00B84993">
              <w:rPr>
                <w:color w:val="auto"/>
              </w:rPr>
              <w:t>–</w:t>
            </w:r>
            <w:r w:rsidRPr="00B84993">
              <w:rPr>
                <w:color w:val="auto"/>
              </w:rPr>
              <w:t>500 µm.</w:t>
            </w:r>
          </w:p>
        </w:tc>
        <w:tc>
          <w:tcPr>
            <w:tcW w:w="765" w:type="dxa"/>
            <w:gridSpan w:val="3"/>
            <w:shd w:val="clear" w:color="auto" w:fill="auto"/>
            <w:vAlign w:val="center"/>
          </w:tcPr>
          <w:p w14:paraId="24D68604" w14:textId="79A2E51B" w:rsidR="00DA46DC" w:rsidRPr="00B84993" w:rsidRDefault="00DA46DC" w:rsidP="002725E5">
            <w:pPr>
              <w:pStyle w:val="MDPI42tablebody"/>
              <w:autoSpaceDE w:val="0"/>
              <w:autoSpaceDN w:val="0"/>
              <w:spacing w:line="240" w:lineRule="auto"/>
              <w:jc w:val="left"/>
              <w:rPr>
                <w:color w:val="auto"/>
              </w:rPr>
            </w:pPr>
            <w:r w:rsidRPr="00B84993">
              <w:rPr>
                <w:color w:val="auto"/>
              </w:rPr>
              <w:fldChar w:fldCharType="begin" w:fldLock="1"/>
            </w:r>
            <w:r w:rsidRPr="00B84993">
              <w:rPr>
                <w:color w:val="auto"/>
              </w:rPr>
              <w:instrText>ADDIN CSL_CITATION {"citationItems":[{"id":"ITEM-1","itemData":{"ISSN":"2192-2659","author":[{"dropping-particle":"","family":"Ratheesh","given":"Greeshma","non-dropping-particle":"","parse-names":false,"suffix":""},{"dropping-particle":"","family":"Vaquette","given":"Cedryck","non-dropping-particle":"","parse-names":false,"suffix":""},{"dropping-particle":"","family":"Xiao","given":"Yin","non-dropping-particle":"","parse-names":false,"suffix":""}],"container-title":"Advanced Healthcare Materials","id":"ITEM-1","issue":"23","issued":{"date-parts":[["2020"]]},"publisher":"Wiley Online Library","title":"Patient‐Specific Bone Particles Bioprinting for Bone Tissue Engineering","type":"article-journal","volume":"9"},"uris":["http://www.mendeley.com/documents/?uuid=1dfa5e57-3341-4764-8ef6-8318eb75541e"]}],"mendeley":{"formattedCitation":"[107]","plainTextFormattedCitation":"[107]","previouslyFormattedCitation":"&lt;span style=\"baseline\"&gt;[107]&lt;/span&gt;"},"properties":{"noteIndex":0},"schema":"https://github.com/citation-style-language/schema/raw/master/csl-citation.json"}</w:instrText>
            </w:r>
            <w:r w:rsidRPr="00B84993">
              <w:rPr>
                <w:color w:val="auto"/>
              </w:rPr>
              <w:fldChar w:fldCharType="separate"/>
            </w:r>
            <w:r w:rsidRPr="00B84993">
              <w:rPr>
                <w:noProof/>
                <w:color w:val="auto"/>
              </w:rPr>
              <w:t>[</w:t>
            </w:r>
            <w:r w:rsidRPr="00B84993">
              <w:rPr>
                <w:color w:val="auto"/>
                <w:szCs w:val="22"/>
              </w:rPr>
              <w:t>1</w:t>
            </w:r>
            <w:r w:rsidR="00C81760">
              <w:rPr>
                <w:color w:val="auto"/>
                <w:szCs w:val="22"/>
              </w:rPr>
              <w:t>19</w:t>
            </w:r>
            <w:r w:rsidRPr="00B84993">
              <w:rPr>
                <w:noProof/>
                <w:color w:val="auto"/>
              </w:rPr>
              <w:t>]</w:t>
            </w:r>
            <w:r w:rsidRPr="00B84993">
              <w:rPr>
                <w:color w:val="auto"/>
              </w:rPr>
              <w:fldChar w:fldCharType="end"/>
            </w:r>
          </w:p>
        </w:tc>
      </w:tr>
      <w:tr w:rsidR="00DA46DC" w:rsidRPr="00822DD9" w14:paraId="59480065" w14:textId="77777777" w:rsidTr="002725E5">
        <w:tc>
          <w:tcPr>
            <w:tcW w:w="1984" w:type="dxa"/>
            <w:shd w:val="clear" w:color="auto" w:fill="auto"/>
          </w:tcPr>
          <w:p w14:paraId="5CB5ABF3" w14:textId="6D907865" w:rsidR="00DA46DC" w:rsidRPr="00B84993" w:rsidRDefault="00DA46DC" w:rsidP="002725E5">
            <w:pPr>
              <w:autoSpaceDE w:val="0"/>
              <w:autoSpaceDN w:val="0"/>
              <w:adjustRightInd w:val="0"/>
              <w:snapToGrid w:val="0"/>
              <w:spacing w:line="240" w:lineRule="auto"/>
              <w:jc w:val="left"/>
              <w:rPr>
                <w:color w:val="auto"/>
              </w:rPr>
            </w:pPr>
            <w:r w:rsidRPr="00B84993">
              <w:rPr>
                <w:color w:val="auto"/>
              </w:rPr>
              <w:t>Mesoporous silica nanoparticles (MSN) functionalized with calcium phosphate (CaP) and dexamethasone (Dex) (MSNCaPDex)</w:t>
            </w:r>
          </w:p>
        </w:tc>
        <w:tc>
          <w:tcPr>
            <w:tcW w:w="2106" w:type="dxa"/>
            <w:shd w:val="clear" w:color="auto" w:fill="auto"/>
          </w:tcPr>
          <w:p w14:paraId="40927E2A" w14:textId="5A67A40A" w:rsidR="00DA46DC" w:rsidRPr="00B84993" w:rsidRDefault="00DA46DC" w:rsidP="002725E5">
            <w:pPr>
              <w:pStyle w:val="MDPI42tablebody"/>
              <w:autoSpaceDE w:val="0"/>
              <w:autoSpaceDN w:val="0"/>
              <w:spacing w:line="240" w:lineRule="auto"/>
              <w:jc w:val="left"/>
              <w:rPr>
                <w:color w:val="auto"/>
              </w:rPr>
            </w:pPr>
            <w:r w:rsidRPr="00B84993">
              <w:rPr>
                <w:color w:val="auto"/>
              </w:rPr>
              <w:t>Human MSCs</w:t>
            </w:r>
          </w:p>
        </w:tc>
        <w:tc>
          <w:tcPr>
            <w:tcW w:w="1559" w:type="dxa"/>
            <w:shd w:val="clear" w:color="auto" w:fill="auto"/>
          </w:tcPr>
          <w:p w14:paraId="4EFEF8E2" w14:textId="550CFC75" w:rsidR="00DA46DC" w:rsidRPr="00B84993" w:rsidRDefault="00DA46DC" w:rsidP="002725E5">
            <w:pPr>
              <w:pStyle w:val="MDPI42tablebody"/>
              <w:autoSpaceDE w:val="0"/>
              <w:autoSpaceDN w:val="0"/>
              <w:spacing w:line="240" w:lineRule="auto"/>
              <w:jc w:val="left"/>
              <w:rPr>
                <w:color w:val="auto"/>
              </w:rPr>
            </w:pPr>
            <w:proofErr w:type="spellStart"/>
            <w:r w:rsidRPr="00B84993">
              <w:rPr>
                <w:color w:val="auto"/>
              </w:rPr>
              <w:t>Irgacure</w:t>
            </w:r>
            <w:proofErr w:type="spellEnd"/>
            <w:r w:rsidRPr="00B84993">
              <w:rPr>
                <w:color w:val="auto"/>
              </w:rPr>
              <w:t xml:space="preserve"> I-2959</w:t>
            </w:r>
          </w:p>
        </w:tc>
        <w:tc>
          <w:tcPr>
            <w:tcW w:w="7230" w:type="dxa"/>
            <w:shd w:val="clear" w:color="auto" w:fill="auto"/>
            <w:vAlign w:val="center"/>
          </w:tcPr>
          <w:p w14:paraId="269ED7F6" w14:textId="2D673C3A" w:rsidR="00DA46DC" w:rsidRPr="00B84993" w:rsidRDefault="00DA46DC" w:rsidP="002725E5">
            <w:pPr>
              <w:pStyle w:val="MDPI42tablebody"/>
              <w:autoSpaceDE w:val="0"/>
              <w:autoSpaceDN w:val="0"/>
              <w:spacing w:line="240" w:lineRule="auto"/>
              <w:jc w:val="left"/>
              <w:rPr>
                <w:color w:val="auto"/>
              </w:rPr>
            </w:pPr>
            <w:r w:rsidRPr="00B84993">
              <w:rPr>
                <w:color w:val="auto"/>
              </w:rPr>
              <w:t xml:space="preserve">Inclusion of </w:t>
            </w:r>
            <w:proofErr w:type="spellStart"/>
            <w:r w:rsidRPr="00B84993">
              <w:rPr>
                <w:color w:val="auto"/>
              </w:rPr>
              <w:t>MSNCaPDex</w:t>
            </w:r>
            <w:proofErr w:type="spellEnd"/>
            <w:r w:rsidRPr="00B84993">
              <w:rPr>
                <w:color w:val="auto"/>
              </w:rPr>
              <w:t xml:space="preserve"> at 0.5% w/v concentration within 10% </w:t>
            </w:r>
            <w:proofErr w:type="spellStart"/>
            <w:r w:rsidRPr="00B84993">
              <w:rPr>
                <w:color w:val="auto"/>
              </w:rPr>
              <w:t>GelMA</w:t>
            </w:r>
            <w:proofErr w:type="spellEnd"/>
            <w:r w:rsidRPr="00B84993">
              <w:rPr>
                <w:color w:val="auto"/>
              </w:rPr>
              <w:t xml:space="preserve"> improved hydrogel printability and shape fidelity while supporting stem cell viability and osteogenic differentiation capability in the basal media without additional osteogenic factors included during culture conditions.</w:t>
            </w:r>
          </w:p>
        </w:tc>
        <w:tc>
          <w:tcPr>
            <w:tcW w:w="765" w:type="dxa"/>
            <w:gridSpan w:val="3"/>
            <w:shd w:val="clear" w:color="auto" w:fill="auto"/>
            <w:vAlign w:val="center"/>
          </w:tcPr>
          <w:p w14:paraId="36CFB463" w14:textId="4F8EBD1F" w:rsidR="00DA46DC" w:rsidRPr="00B84993" w:rsidRDefault="00DA46DC" w:rsidP="002725E5">
            <w:pPr>
              <w:pStyle w:val="MDPI42tablebody"/>
              <w:autoSpaceDE w:val="0"/>
              <w:autoSpaceDN w:val="0"/>
              <w:spacing w:line="240" w:lineRule="auto"/>
              <w:jc w:val="left"/>
              <w:rPr>
                <w:color w:val="auto"/>
              </w:rPr>
            </w:pPr>
            <w:r w:rsidRPr="00B84993">
              <w:rPr>
                <w:color w:val="auto"/>
              </w:rPr>
              <w:fldChar w:fldCharType="begin" w:fldLock="1"/>
            </w:r>
            <w:r w:rsidRPr="00B84993">
              <w:rPr>
                <w:color w:val="auto"/>
              </w:rPr>
              <w:instrText>ADDIN CSL_CITATION {"citationItems":[{"id":"ITEM-1","itemData":{"DOI":"10.1088/1758-5090/abdc86","ISSN":"1758-5082","abstract":"Leveraging 3D bioprinting for processing stem cell-laden biomaterials has unlocked a tremendous potential for fabricating living 3D constructs for bone tissue engineering. Even though several bioinks developed to date display suitable physicochemical properties for stem cell seeding and proliferation, they generally lack the nanosized minerals present in native bone bioarchitecture. To enable the bottom-up fabrication of biomimetic 3D constructs for bioinstructing stem cells pro-osteogenic differentiation, herein we developed multi-bioactive nanocomposite bioinks that combine the organic and inorganic building blocks of bone. For the organic component gelatin methacrylate (GelMA), a photocrosslinkable denaturated collagen derivative used for 3D bioprinting was selected due to its rheological properties display of cell adhesion moieties to which bone tissue precursors such as human bone marrow derived mesenchymal stem cells (hBM-MSCs) can attach to. The inorganic building block was formulated by incorporating mesoporous silica nanoparticles functionalized with calcium, phosphate and dexamethasone (MSNCaPDex), which previously proven to induce osteogenic differentiation. The newly formulated photocrosslinkable nanocomposite GelMA bioink incorporating MSNCaPDex nanoparticles and laden with hBM-MSCs was successfully processed into a 3D bioprintable construct with structural fidelity, and well dispersed nanoparticles throughout the hydrogel matrix. These nanocomposite constructs could induce the deposition of apatite in vitro, thus showing attractive bioactivity properties. Viability and differentiation studies showed that hBM-MSCs remained viable and exhibited osteogenic differentiation biomarkers when incorporated in GelMA/MSNCaPDex constructs and without requiring further biochemical, nor mechanical stimuli. Overall, our nanocomposite bioink has demonstrated excellent processability via extrusion bioprinting into osteogenic constructs with potential application in bone tissue repair and regeneration.","author":[{"dropping-particle":"","family":"Tavares","given":"Márcia T","non-dropping-particle":"","parse-names":false,"suffix":""},{"dropping-particle":"","family":"Gaspar","given":"Vítor M","non-dropping-particle":"","parse-names":false,"suffix":""},{"dropping-particle":"V","family":"Monteiro","given":"Maria","non-dropping-particle":"","parse-names":false,"suffix":""},{"dropping-particle":"","family":"S Farinha","given":"José Paulo","non-dropping-particle":"","parse-names":false,"suffix":""},{"dropping-particle":"","family":"Baleizão","given":"Carlos","non-dropping-particle":"","parse-names":false,"suffix":""},{"dropping-particle":"","family":"Mano","given":"João F","non-dropping-particle":"","parse-names":false,"suffix":""}],"container-title":"Biofabrication","id":"ITEM-1","issue":"3","issued":{"date-parts":[["2021"]]},"page":"35012","publisher":"IOP Publishing","title":"GelMA/bioactive silica nanocomposite bioinks for stem cell osteogenic differentiation","type":"article-journal","volume":"13"},"uris":["http://www.mendeley.com/documents/?uuid=fa05b984-9f9c-4efa-a169-8a8523819f74"]}],"mendeley":{"formattedCitation":"[108]","plainTextFormattedCitation":"[108]","previouslyFormattedCitation":"&lt;span style=\"baseline\"&gt;[108]&lt;/span&gt;"},"properties":{"noteIndex":0},"schema":"https://github.com/citation-style-language/schema/raw/master/csl-citation.json"}</w:instrText>
            </w:r>
            <w:r w:rsidRPr="00B84993">
              <w:rPr>
                <w:color w:val="auto"/>
              </w:rPr>
              <w:fldChar w:fldCharType="separate"/>
            </w:r>
            <w:r w:rsidRPr="00B84993">
              <w:rPr>
                <w:noProof/>
                <w:color w:val="auto"/>
              </w:rPr>
              <w:t>[</w:t>
            </w:r>
            <w:r w:rsidRPr="00B84993">
              <w:rPr>
                <w:color w:val="auto"/>
                <w:szCs w:val="22"/>
              </w:rPr>
              <w:t>1</w:t>
            </w:r>
            <w:r w:rsidR="00583482" w:rsidRPr="00B84993">
              <w:rPr>
                <w:color w:val="auto"/>
                <w:szCs w:val="22"/>
              </w:rPr>
              <w:t>2</w:t>
            </w:r>
            <w:r w:rsidR="00C81760">
              <w:rPr>
                <w:color w:val="auto"/>
                <w:szCs w:val="22"/>
              </w:rPr>
              <w:t>0</w:t>
            </w:r>
            <w:r w:rsidRPr="00B84993">
              <w:rPr>
                <w:noProof/>
                <w:color w:val="auto"/>
              </w:rPr>
              <w:t>]</w:t>
            </w:r>
            <w:r w:rsidRPr="00B84993">
              <w:rPr>
                <w:color w:val="auto"/>
              </w:rPr>
              <w:fldChar w:fldCharType="end"/>
            </w:r>
          </w:p>
        </w:tc>
      </w:tr>
      <w:tr w:rsidR="00DA46DC" w:rsidRPr="00822DD9" w14:paraId="68E18EC4" w14:textId="77777777" w:rsidTr="002725E5">
        <w:tc>
          <w:tcPr>
            <w:tcW w:w="1984" w:type="dxa"/>
            <w:shd w:val="clear" w:color="auto" w:fill="auto"/>
          </w:tcPr>
          <w:p w14:paraId="50BDA279" w14:textId="77777777" w:rsidR="00DA46DC" w:rsidRPr="00B84993" w:rsidRDefault="00DA46DC" w:rsidP="002725E5">
            <w:pPr>
              <w:autoSpaceDE w:val="0"/>
              <w:autoSpaceDN w:val="0"/>
              <w:adjustRightInd w:val="0"/>
              <w:snapToGrid w:val="0"/>
              <w:spacing w:line="240" w:lineRule="auto"/>
              <w:jc w:val="left"/>
              <w:rPr>
                <w:color w:val="auto"/>
              </w:rPr>
            </w:pPr>
            <w:r w:rsidRPr="00B84993">
              <w:rPr>
                <w:color w:val="auto"/>
              </w:rPr>
              <w:t>Laponite®XLG</w:t>
            </w:r>
          </w:p>
          <w:p w14:paraId="2F881884" w14:textId="016BA0D3" w:rsidR="00DA46DC" w:rsidRPr="00B84993" w:rsidRDefault="00DA46DC" w:rsidP="002725E5">
            <w:pPr>
              <w:autoSpaceDE w:val="0"/>
              <w:autoSpaceDN w:val="0"/>
              <w:adjustRightInd w:val="0"/>
              <w:snapToGrid w:val="0"/>
              <w:spacing w:line="240" w:lineRule="auto"/>
              <w:jc w:val="left"/>
              <w:rPr>
                <w:color w:val="auto"/>
              </w:rPr>
            </w:pPr>
            <w:r w:rsidRPr="00B84993">
              <w:rPr>
                <w:color w:val="auto"/>
              </w:rPr>
              <w:t xml:space="preserve">(Figure </w:t>
            </w:r>
            <w:r w:rsidR="00583482" w:rsidRPr="00B84993">
              <w:rPr>
                <w:rFonts w:eastAsia="Times New Roman"/>
                <w:noProof w:val="0"/>
                <w:snapToGrid w:val="0"/>
                <w:color w:val="auto"/>
                <w:szCs w:val="22"/>
                <w:lang w:eastAsia="de-DE" w:bidi="en-US"/>
              </w:rPr>
              <w:t>6</w:t>
            </w:r>
            <w:r w:rsidRPr="00B84993">
              <w:rPr>
                <w:color w:val="auto"/>
              </w:rPr>
              <w:t>A)</w:t>
            </w:r>
          </w:p>
        </w:tc>
        <w:tc>
          <w:tcPr>
            <w:tcW w:w="2106" w:type="dxa"/>
            <w:shd w:val="clear" w:color="auto" w:fill="auto"/>
          </w:tcPr>
          <w:p w14:paraId="1321445E" w14:textId="5409EF50" w:rsidR="00DA46DC" w:rsidRPr="00B84993" w:rsidRDefault="00DA46DC" w:rsidP="002725E5">
            <w:pPr>
              <w:pStyle w:val="MDPI42tablebody"/>
              <w:autoSpaceDE w:val="0"/>
              <w:autoSpaceDN w:val="0"/>
              <w:spacing w:line="240" w:lineRule="auto"/>
              <w:jc w:val="left"/>
              <w:rPr>
                <w:color w:val="auto"/>
              </w:rPr>
            </w:pPr>
            <w:r w:rsidRPr="00B84993">
              <w:rPr>
                <w:color w:val="auto"/>
              </w:rPr>
              <w:t>Human MSCs</w:t>
            </w:r>
          </w:p>
        </w:tc>
        <w:tc>
          <w:tcPr>
            <w:tcW w:w="1559" w:type="dxa"/>
            <w:shd w:val="clear" w:color="auto" w:fill="auto"/>
          </w:tcPr>
          <w:p w14:paraId="7E487767" w14:textId="1C2EAFE6" w:rsidR="00DA46DC" w:rsidRPr="00B84993" w:rsidRDefault="00DA46DC" w:rsidP="002725E5">
            <w:pPr>
              <w:pStyle w:val="MDPI42tablebody"/>
              <w:autoSpaceDE w:val="0"/>
              <w:autoSpaceDN w:val="0"/>
              <w:spacing w:line="240" w:lineRule="auto"/>
              <w:jc w:val="left"/>
              <w:rPr>
                <w:color w:val="auto"/>
              </w:rPr>
            </w:pPr>
            <w:r w:rsidRPr="00B84993">
              <w:rPr>
                <w:color w:val="auto"/>
              </w:rPr>
              <w:t>Ru/SPS</w:t>
            </w:r>
          </w:p>
        </w:tc>
        <w:tc>
          <w:tcPr>
            <w:tcW w:w="7230" w:type="dxa"/>
            <w:shd w:val="clear" w:color="auto" w:fill="auto"/>
            <w:vAlign w:val="center"/>
          </w:tcPr>
          <w:p w14:paraId="3D199F88" w14:textId="1AC9486E" w:rsidR="00DA46DC" w:rsidRPr="00B84993" w:rsidRDefault="00DA46DC" w:rsidP="002725E5">
            <w:pPr>
              <w:pStyle w:val="MDPI42tablebody"/>
              <w:autoSpaceDE w:val="0"/>
              <w:autoSpaceDN w:val="0"/>
              <w:spacing w:line="240" w:lineRule="auto"/>
              <w:jc w:val="left"/>
              <w:rPr>
                <w:color w:val="auto"/>
              </w:rPr>
            </w:pPr>
            <w:r w:rsidRPr="00B84993">
              <w:rPr>
                <w:color w:val="auto"/>
              </w:rPr>
              <w:t xml:space="preserve">Inclusion of Laponite served multifold functionality where Laponite served as </w:t>
            </w:r>
            <w:r w:rsidR="00D05277">
              <w:rPr>
                <w:color w:val="auto"/>
              </w:rPr>
              <w:t xml:space="preserve">a </w:t>
            </w:r>
            <w:r w:rsidRPr="00B84993">
              <w:rPr>
                <w:color w:val="auto"/>
              </w:rPr>
              <w:t xml:space="preserve">growth factor reservoir, improved </w:t>
            </w:r>
            <w:proofErr w:type="spellStart"/>
            <w:r w:rsidRPr="00B84993">
              <w:rPr>
                <w:color w:val="auto"/>
              </w:rPr>
              <w:t>bioink</w:t>
            </w:r>
            <w:proofErr w:type="spellEnd"/>
            <w:r w:rsidRPr="00B84993">
              <w:rPr>
                <w:color w:val="auto"/>
              </w:rPr>
              <w:t xml:space="preserve"> printability and promoted osteogenic differentiation capability of encapsulated stem cells along with integration and vascularization of the implanted construct in the chick </w:t>
            </w:r>
            <w:proofErr w:type="spellStart"/>
            <w:r w:rsidRPr="00B84993">
              <w:rPr>
                <w:color w:val="auto"/>
              </w:rPr>
              <w:t>chorioallantoic</w:t>
            </w:r>
            <w:proofErr w:type="spellEnd"/>
            <w:r w:rsidRPr="00B84993">
              <w:rPr>
                <w:color w:val="auto"/>
              </w:rPr>
              <w:t xml:space="preserve"> membrane model. </w:t>
            </w:r>
          </w:p>
        </w:tc>
        <w:tc>
          <w:tcPr>
            <w:tcW w:w="765" w:type="dxa"/>
            <w:gridSpan w:val="3"/>
            <w:shd w:val="clear" w:color="auto" w:fill="auto"/>
            <w:vAlign w:val="center"/>
          </w:tcPr>
          <w:p w14:paraId="1B09FAA7" w14:textId="26419580" w:rsidR="00DA46DC" w:rsidRPr="00B84993" w:rsidRDefault="00DA46DC" w:rsidP="002725E5">
            <w:pPr>
              <w:pStyle w:val="MDPI42tablebody"/>
              <w:autoSpaceDE w:val="0"/>
              <w:autoSpaceDN w:val="0"/>
              <w:spacing w:line="240" w:lineRule="auto"/>
              <w:jc w:val="left"/>
              <w:rPr>
                <w:color w:val="auto"/>
              </w:rPr>
            </w:pPr>
            <w:r w:rsidRPr="00B84993">
              <w:rPr>
                <w:color w:val="auto"/>
              </w:rPr>
              <w:fldChar w:fldCharType="begin" w:fldLock="1"/>
            </w:r>
            <w:r w:rsidRPr="00B84993">
              <w:rPr>
                <w:color w:val="auto"/>
              </w:rPr>
              <w:instrText>ADDIN CSL_CITATION {"citationItems":[{"id":"ITEM-1","itemData":{"DOI":"10.1088/1758-5090/ab19fd","ISSN":"17585090","abstract":"© 2019 IOP Publishing Ltd. Bioprinting of living cells is rapidly developing as an advanced biofabrication approach to engineer tissues. Bioinks can be extruded in three-dimensions (3D) to fabricate complex and hierarchical constructs for implantation. However, a lack of functionality can often be attributed to poor bioink properties. Indeed, advanced bioinks encapsulating living cells should: (i) present optimal rheological properties and retain 3D structure post fabrication, (ii) promote cell viability and support cell differentiation, and (iii) localise proteins of interest (e.g. vascular endothelial growth factor (VEGF)) to stimulate encapsulated cell activity and tissue ingrowth upon implantation. In this study, we present the results of the inclusion of a synthetic nanoclay, Laponite® (LPN) together with a gelatin methacryloyl (GelMA) bioink and the development of a functional cell-instructive bioink. A nanocomposite bioink displaying enhanced shape fidelity retention and interconnected porosity within extrusion-bioprinted fibres was observed. Human bone marrow stromal cell (HBMSC) viability within the nanocomposite showed no significant changes over 21 days of culture in LPN-GelMA (85.60 ± 10.27%), compared to a significant decrease in GelMA from 7 (95.88 ± 2.90%) to 21 days (55.54 ± 14.72%) (p &lt; 0.01). HBMSCs were observed to proliferate in LPN-GelMA with a significant increase in cell number over 21 days (p &lt; 0.0001) compared to GelMA alone. HBMSC-laden LPN-GelMA scaffolds supported osteogenic differentiation evidenced by mineralised nodule formation, including in the absence of the osteogenic drug dexamethasone. Ex vivo implantation in a chick chorioallantoic membrane model, demonstrated excellent integration of the bioink constructs in the vascular chick embryo after 7 days of incubation. VEGF-loaded LPN-GelMA constructs demonstrated significantly higher vessel penetration than GelMA-VEGF (p &lt; 0.0001) scaffolds. Integration and vascularisation was directly related to increased drug absorption and retention by LPN-GelMA compared to LPN-free GelMA. In summary, a novel light-curable nanocomposite bioink for 3D skeletal regeneration supportive of cell growth and growth factor retention and delivery, evidenced by ex vivo vasculogenesis, was developed with potential application in hard and soft tissue reparation.","author":[{"dropping-particle":"","family":"Cidonio","given":"G.","non-dropping-particle":"","parse-names":false,"suffix":""},{"dropping-particle":"","family":"Alcala-Orozco","given":"C.R.","non-dropping-particle":"","parse-names":false,"suffix":""},{"dropping-particle":"","family":"Lim","given":"K.S.","non-dropping-particle":"","parse-names":false,"suffix":""},{"dropping-particle":"","family":"Glinka","given":"M.","non-dropping-particle":"","parse-names":false,"suffix":""},{"dropping-particle":"","family":"Mutreja","given":"I.","non-dropping-particle":"","parse-names":false,"suffix":""},{"dropping-particle":"","family":"Kim","given":"Y.-H.","non-dropping-particle":"","parse-names":false,"suffix":""},{"dropping-particle":"","family":"Dawson","given":"J.I.","non-dropping-particle":"","parse-names":false,"suffix":""},{"dropping-particle":"","family":"Woodfield","given":"T.B.F.","non-dropping-particle":"","parse-names":false,"suffix":""},{"dropping-particle":"","family":"Oreffo","given":"R.O.C.","non-dropping-particle":"","parse-names":false,"suffix":""}],"container-title":"Biofabrication","id":"ITEM-1","issue":"3","issued":{"date-parts":[["2019"]]},"title":"Osteogenic and angiogenic tissue formation in high fidelity nanocomposite Laponite-gelatin bioinks","type":"article-journal","volume":"11"},"uris":["http://www.mendeley.com/documents/?uuid=6f81e706-251a-3184-b5ff-50ee8863326c"]}],"mendeley":{"formattedCitation":"[51]","plainTextFormattedCitation":"[51]","previouslyFormattedCitation":"&lt;span style=\"baseline\"&gt;[51]&lt;/span&gt;"},"properties":{"noteIndex":0},"schema":"https://github.com/citation-style-language/schema/raw/master/csl-citation.json"}</w:instrText>
            </w:r>
            <w:r w:rsidRPr="00B84993">
              <w:rPr>
                <w:color w:val="auto"/>
              </w:rPr>
              <w:fldChar w:fldCharType="separate"/>
            </w:r>
            <w:r w:rsidRPr="00B84993">
              <w:rPr>
                <w:color w:val="auto"/>
              </w:rPr>
              <w:t>[51]</w:t>
            </w:r>
            <w:r w:rsidRPr="00B84993">
              <w:rPr>
                <w:color w:val="auto"/>
              </w:rPr>
              <w:fldChar w:fldCharType="end"/>
            </w:r>
          </w:p>
        </w:tc>
      </w:tr>
      <w:tr w:rsidR="00DA46DC" w:rsidRPr="00822DD9" w14:paraId="53C7F96F" w14:textId="77777777" w:rsidTr="002725E5">
        <w:tc>
          <w:tcPr>
            <w:tcW w:w="1984" w:type="dxa"/>
            <w:tcBorders>
              <w:bottom w:val="single" w:sz="8" w:space="0" w:color="auto"/>
            </w:tcBorders>
            <w:shd w:val="clear" w:color="auto" w:fill="auto"/>
            <w:vAlign w:val="center"/>
          </w:tcPr>
          <w:p w14:paraId="2FFAAD89" w14:textId="77777777" w:rsidR="00DA46DC" w:rsidRPr="00822DD9" w:rsidRDefault="00DA46DC" w:rsidP="002725E5">
            <w:pPr>
              <w:autoSpaceDE w:val="0"/>
              <w:autoSpaceDN w:val="0"/>
              <w:adjustRightInd w:val="0"/>
              <w:snapToGrid w:val="0"/>
              <w:spacing w:line="240" w:lineRule="auto"/>
              <w:jc w:val="left"/>
            </w:pPr>
            <w:r w:rsidRPr="00822DD9">
              <w:lastRenderedPageBreak/>
              <w:t>SrCO</w:t>
            </w:r>
            <w:r w:rsidRPr="00AD27F9">
              <w:rPr>
                <w:b/>
                <w:bCs/>
                <w:vertAlign w:val="subscript"/>
              </w:rPr>
              <w:t>3</w:t>
            </w:r>
          </w:p>
          <w:p w14:paraId="71EBC264" w14:textId="596BEAD7" w:rsidR="00DA46DC" w:rsidRPr="00822DD9" w:rsidRDefault="00DA46DC" w:rsidP="002725E5">
            <w:pPr>
              <w:autoSpaceDE w:val="0"/>
              <w:autoSpaceDN w:val="0"/>
              <w:adjustRightInd w:val="0"/>
              <w:snapToGrid w:val="0"/>
              <w:spacing w:line="240" w:lineRule="auto"/>
              <w:jc w:val="left"/>
            </w:pPr>
            <w:r w:rsidRPr="00822DD9">
              <w:t>(</w:t>
            </w:r>
            <w:r w:rsidRPr="00AD27F9">
              <w:rPr>
                <w:color w:val="auto"/>
              </w:rPr>
              <w:t xml:space="preserve">Figure </w:t>
            </w:r>
            <w:r w:rsidR="00583482" w:rsidRPr="00AD27F9">
              <w:rPr>
                <w:rFonts w:eastAsia="Times New Roman"/>
                <w:noProof w:val="0"/>
                <w:snapToGrid w:val="0"/>
                <w:color w:val="auto"/>
                <w:szCs w:val="22"/>
                <w:lang w:eastAsia="de-DE" w:bidi="en-US"/>
              </w:rPr>
              <w:t>6</w:t>
            </w:r>
            <w:r w:rsidRPr="00AD27F9">
              <w:rPr>
                <w:color w:val="auto"/>
              </w:rPr>
              <w:t>B</w:t>
            </w:r>
            <w:r w:rsidRPr="00822DD9">
              <w:t>)</w:t>
            </w:r>
          </w:p>
        </w:tc>
        <w:tc>
          <w:tcPr>
            <w:tcW w:w="2106" w:type="dxa"/>
            <w:tcBorders>
              <w:bottom w:val="single" w:sz="8" w:space="0" w:color="auto"/>
            </w:tcBorders>
            <w:shd w:val="clear" w:color="auto" w:fill="auto"/>
            <w:vAlign w:val="center"/>
          </w:tcPr>
          <w:p w14:paraId="7C8D6046" w14:textId="38D6BFA2" w:rsidR="00DA46DC" w:rsidRPr="00822DD9" w:rsidRDefault="00DA46DC" w:rsidP="002725E5">
            <w:pPr>
              <w:pStyle w:val="MDPI42tablebody"/>
              <w:autoSpaceDE w:val="0"/>
              <w:autoSpaceDN w:val="0"/>
              <w:spacing w:line="240" w:lineRule="auto"/>
              <w:jc w:val="left"/>
            </w:pPr>
            <w:r w:rsidRPr="00822DD9">
              <w:t>Human MSCs</w:t>
            </w:r>
          </w:p>
        </w:tc>
        <w:tc>
          <w:tcPr>
            <w:tcW w:w="1559" w:type="dxa"/>
            <w:tcBorders>
              <w:bottom w:val="single" w:sz="8" w:space="0" w:color="auto"/>
            </w:tcBorders>
            <w:shd w:val="clear" w:color="auto" w:fill="auto"/>
            <w:vAlign w:val="center"/>
          </w:tcPr>
          <w:p w14:paraId="56B357A3" w14:textId="2182766E" w:rsidR="00DA46DC" w:rsidRPr="00822DD9" w:rsidRDefault="00DA46DC" w:rsidP="002725E5">
            <w:pPr>
              <w:pStyle w:val="MDPI42tablebody"/>
              <w:autoSpaceDE w:val="0"/>
              <w:autoSpaceDN w:val="0"/>
              <w:spacing w:line="240" w:lineRule="auto"/>
              <w:jc w:val="left"/>
            </w:pPr>
            <w:r w:rsidRPr="00822DD9">
              <w:t>Ru/SPS</w:t>
            </w:r>
          </w:p>
        </w:tc>
        <w:tc>
          <w:tcPr>
            <w:tcW w:w="7230" w:type="dxa"/>
            <w:tcBorders>
              <w:bottom w:val="single" w:sz="8" w:space="0" w:color="auto"/>
            </w:tcBorders>
            <w:shd w:val="clear" w:color="auto" w:fill="auto"/>
            <w:vAlign w:val="center"/>
          </w:tcPr>
          <w:p w14:paraId="3935EBF2" w14:textId="64DBB5A2" w:rsidR="00DA46DC" w:rsidRPr="00822DD9" w:rsidRDefault="00DA46DC" w:rsidP="002725E5">
            <w:pPr>
              <w:pStyle w:val="MDPI42tablebody"/>
              <w:autoSpaceDE w:val="0"/>
              <w:autoSpaceDN w:val="0"/>
              <w:spacing w:line="240" w:lineRule="auto"/>
              <w:jc w:val="left"/>
            </w:pPr>
            <w:r w:rsidRPr="00822DD9">
              <w:t>Utilization of SrCO</w:t>
            </w:r>
            <w:r w:rsidRPr="00B84993">
              <w:rPr>
                <w:b/>
                <w:bCs/>
                <w:vertAlign w:val="subscript"/>
              </w:rPr>
              <w:t>3</w:t>
            </w:r>
            <w:r w:rsidRPr="00822DD9">
              <w:t xml:space="preserve"> as a nanofiller within 5 </w:t>
            </w:r>
            <w:proofErr w:type="spellStart"/>
            <w:r w:rsidRPr="00822DD9">
              <w:t>wt</w:t>
            </w:r>
            <w:proofErr w:type="spellEnd"/>
            <w:r w:rsidRPr="00822DD9">
              <w:t xml:space="preserve">% </w:t>
            </w:r>
            <w:proofErr w:type="spellStart"/>
            <w:r w:rsidRPr="00822DD9">
              <w:t>GelMA</w:t>
            </w:r>
            <w:proofErr w:type="spellEnd"/>
            <w:r w:rsidRPr="00822DD9">
              <w:t xml:space="preserve"> improved printability and shape fidelity of </w:t>
            </w:r>
            <w:r w:rsidR="00D05277">
              <w:t xml:space="preserve">the </w:t>
            </w:r>
            <w:r w:rsidRPr="00822DD9">
              <w:t>printed construct over prolonged culture periods and enhanced osteogenic differentiation of encapsulated stem cells.</w:t>
            </w:r>
          </w:p>
        </w:tc>
        <w:tc>
          <w:tcPr>
            <w:tcW w:w="765" w:type="dxa"/>
            <w:gridSpan w:val="3"/>
            <w:tcBorders>
              <w:bottom w:val="single" w:sz="8" w:space="0" w:color="auto"/>
            </w:tcBorders>
            <w:shd w:val="clear" w:color="auto" w:fill="auto"/>
            <w:vAlign w:val="center"/>
          </w:tcPr>
          <w:p w14:paraId="64A973AF" w14:textId="77E76932" w:rsidR="00DA46DC" w:rsidRPr="00822DD9" w:rsidRDefault="00DA46DC" w:rsidP="002725E5">
            <w:pPr>
              <w:pStyle w:val="MDPI42tablebody"/>
              <w:autoSpaceDE w:val="0"/>
              <w:autoSpaceDN w:val="0"/>
              <w:spacing w:line="240" w:lineRule="auto"/>
              <w:jc w:val="left"/>
            </w:pPr>
            <w:r w:rsidRPr="00822DD9">
              <w:fldChar w:fldCharType="begin" w:fldLock="1"/>
            </w:r>
            <w:r w:rsidRPr="00822DD9">
              <w:instrText>ADDIN CSL_CITATION {"citationItems":[{"id":"ITEM-1","itemData":{"DOI":"10.1016/j.bprint.2019.e00073","ISSN":"24058866","abstract":"© 2020 Elsevier B.V. 3D bioprinting of constructs for tissue engineering and regenerative medicine has steadily gained attention due to its potential to fabricate anatomically-precise living constructs, localise specific cell types and enable the regeneration of functional tissues in a clinical setting. However, the limited availability of bioinks that can be successfully 3D bioprinted with high fidelity and simultaneously provide encapsulated cells with a tailored, low-stiffness microenvironment supporting functional tissue formation remains an unmet challenge. To address both the physical and biological limitations of available bioinks, this study aimed to develop a nanocomposite bioink (Sr-GelMA) comprising of strontium-carbonate (Sr) nanoparticles and low concentration (5 w/v%) gelatin-methacryloyl (GelMA) hydrogel for extrusion-based 3D bioprinting of low-stiffness cell-laden scaffolds with high shape fidelity and bone-specific cell signalling factors. We systematically investigated the effect of Sr incorporation on hydrogel physico-chemical properties, print fidelity, scaffold shape retention, as well as cell viability, osteogenic differentiation and in vitro bone formation. Nanocomposite Sr-GelMA hydrogels retained their physical and mechanical properties, while rheological studies revealed a significant increase in viscosity profiles that led to notably enhanced printability compared to GelMA alone. Moreover, bioprinted Sr-GelMA scaffolds exhibited excellent shape fidelity evidenced by a defined pore geometry on the x-y-z axis, resulting in an interconnected bioink filament and pore network that was maintained even after long-term culture and osteogenic differentiation (28 days) of human mesenchymal stromal cells (hMSCs). The presence of clustered Sr nanoparticles in the cell-laden bioink allowed high quality bioprinting combined with high hMSC viability (&gt;95%) post-fabrication. Furthermore, Sr addition resulted in enhanced osteogenic differentiation of hMSCs as revealed by higher alkaline phosphatase (ALP) levels, osteocalcin (OCN) and collagen type-I (Col I) expression, with mineralised nodule formation distributed homogenously throughout the bioprinted construct. This study demonstrated that strontium-based nanocomposite bioinks optimised for extrusion-based 3D bioprinting of osteoconductive scaffolds support long-term shape retention with promising potential for bone tissue regeneration.","author":[{"dropping-particle":"","family":"Alcala-Orozco","given":"Cesar R.","non-dropping-particle":"","parse-names":false,"suffix":""},{"dropping-particle":"","family":"Mutreja","given":"Isha","non-dropping-particle":"","parse-names":false,"suffix":""},{"dropping-particle":"","family":"Cui","given":"Xiaolin","non-dropping-particle":"","parse-names":false,"suffix":""},{"dropping-particle":"","family":"Kumar","given":"Dhiraj","non-dropping-particle":"","parse-names":false,"suffix":""},{"dropping-particle":"","family":"Hooper","given":"Gary J.","non-dropping-particle":"","parse-names":false,"suffix":""},{"dropping-particle":"","family":"Lim","given":"Khoon S.","non-dropping-particle":"","parse-names":false,"suffix":""},{"dropping-particle":"","family":"Woodfield","given":"Tim B.F.","non-dropping-particle":"","parse-names":false,"suffix":""}],"container-title":"Bioprinting","id":"ITEM-1","issued":{"date-parts":[["2020","6"]]},"page":"e00073","title":"Design and characterisation of multi-functional strontium-gelatin nanocomposite bioinks with improved print fidelity and osteogenic capacity","type":"article-journal","volume":"18"},"uris":["http://www.mendeley.com/documents/?uuid=56930c07-d480-3804-9974-d1947da4bdbb"]}],"mendeley":{"formattedCitation":"[52]","plainTextFormattedCitation":"[52]","previouslyFormattedCitation":"&lt;span style=\"baseline\"&gt;[52]&lt;/span&gt;"},"properties":{"noteIndex":0},"schema":"https://github.com/citation-style-language/schema/raw/master/csl-citation.json"}</w:instrText>
            </w:r>
            <w:r w:rsidRPr="00822DD9">
              <w:fldChar w:fldCharType="separate"/>
            </w:r>
            <w:r w:rsidRPr="00822DD9">
              <w:t>[52]</w:t>
            </w:r>
            <w:r w:rsidRPr="00822DD9">
              <w:fldChar w:fldCharType="end"/>
            </w:r>
          </w:p>
        </w:tc>
      </w:tr>
    </w:tbl>
    <w:p w14:paraId="6F78E0DC" w14:textId="5FC7823E" w:rsidR="00DA46DC" w:rsidRDefault="00DA46DC" w:rsidP="002725E5">
      <w:pPr>
        <w:pStyle w:val="MDPI43tablefooter"/>
        <w:jc w:val="left"/>
      </w:pPr>
      <w:r>
        <w:br w:type="page"/>
      </w:r>
    </w:p>
    <w:p w14:paraId="62A00AF0" w14:textId="77777777" w:rsidR="00DA46DC" w:rsidRDefault="00DA46DC" w:rsidP="002725E5">
      <w:pPr>
        <w:pStyle w:val="MDPI43tablefooter"/>
        <w:jc w:val="left"/>
        <w:sectPr w:rsidR="00DA46DC" w:rsidSect="00DA46DC">
          <w:type w:val="continuous"/>
          <w:pgSz w:w="16838" w:h="11906" w:orient="landscape" w:code="9"/>
          <w:pgMar w:top="720" w:right="1077" w:bottom="720" w:left="1418" w:header="1021" w:footer="340" w:gutter="0"/>
          <w:lnNumType w:countBy="1" w:distance="255" w:restart="continuous"/>
          <w:pgNumType w:start="1"/>
          <w:cols w:space="425"/>
          <w:titlePg/>
          <w:bidi/>
          <w:docGrid w:type="linesAndChars" w:linePitch="326"/>
        </w:sectPr>
      </w:pPr>
    </w:p>
    <w:p w14:paraId="204467FD" w14:textId="2ECFFC64" w:rsidR="00275734" w:rsidRDefault="008A6952" w:rsidP="008A6952">
      <w:pPr>
        <w:pStyle w:val="MDPI21heading1"/>
      </w:pPr>
      <w:r>
        <w:lastRenderedPageBreak/>
        <w:t xml:space="preserve">4. </w:t>
      </w:r>
      <w:r w:rsidR="00A3718F" w:rsidRPr="00A3718F">
        <w:t>Concluding remarks and future perspectives</w:t>
      </w:r>
    </w:p>
    <w:p w14:paraId="0F4CE3A9" w14:textId="191824E5" w:rsidR="00A3718F" w:rsidRDefault="00A3718F" w:rsidP="008A6952">
      <w:pPr>
        <w:pStyle w:val="MDPI31text"/>
      </w:pPr>
      <w:proofErr w:type="spellStart"/>
      <w:r>
        <w:t>GelMA</w:t>
      </w:r>
      <w:proofErr w:type="spellEnd"/>
      <w:r>
        <w:t xml:space="preserve"> has been recognized as one of the most promising hydrogel platforms with widespread applicability for 3D bioprinting and tissue regeneration. This is attributed to </w:t>
      </w:r>
      <w:proofErr w:type="spellStart"/>
      <w:r>
        <w:t>GelMA’s</w:t>
      </w:r>
      <w:proofErr w:type="spellEnd"/>
      <w:r>
        <w:t xml:space="preserve"> biocompatibility, ease of synthesis in </w:t>
      </w:r>
      <w:r w:rsidR="00D05277">
        <w:t xml:space="preserve">a </w:t>
      </w:r>
      <w:r>
        <w:t xml:space="preserve">laboratory setting and the ability to tune the </w:t>
      </w:r>
      <w:proofErr w:type="spellStart"/>
      <w:r>
        <w:t>physicomechanical</w:t>
      </w:r>
      <w:proofErr w:type="spellEnd"/>
      <w:r>
        <w:t xml:space="preserve"> properties of the crosslinked matrix by changing the degree of modification. The similarity to the ECM and feasibility of incorporating bioactive factors </w:t>
      </w:r>
      <w:r w:rsidR="00D05277">
        <w:t xml:space="preserve">such as </w:t>
      </w:r>
      <w:r>
        <w:t xml:space="preserve">antimicrobial agents, growth factors etc. has prompted its utilization </w:t>
      </w:r>
      <w:r w:rsidR="00D05277">
        <w:t xml:space="preserve">in </w:t>
      </w:r>
      <w:r>
        <w:t xml:space="preserve">tissue regeneration, drug delivery and as tissue sealants. In addition, efforts have been expended to prepare </w:t>
      </w:r>
      <w:proofErr w:type="spellStart"/>
      <w:r>
        <w:t>GelMA</w:t>
      </w:r>
      <w:proofErr w:type="spellEnd"/>
      <w:r>
        <w:t xml:space="preserve">-based hybrid constructs by combining </w:t>
      </w:r>
      <w:proofErr w:type="spellStart"/>
      <w:r>
        <w:t>GelMA</w:t>
      </w:r>
      <w:proofErr w:type="spellEnd"/>
      <w:r>
        <w:t xml:space="preserve"> with other materials </w:t>
      </w:r>
      <w:r w:rsidR="00D05277">
        <w:t xml:space="preserve">such as </w:t>
      </w:r>
      <w:r>
        <w:t xml:space="preserve">synthetic or natural polymers </w:t>
      </w:r>
      <w:r w:rsidR="00D05277">
        <w:t xml:space="preserve">and </w:t>
      </w:r>
      <w:r>
        <w:t xml:space="preserve">inorganic or organic nanomaterials. The resulting hybrid material leverages the advantages that the individual components have to offer while improving the mechanical and rheological properties and/or bioactivity of the composite. Another research avenue where </w:t>
      </w:r>
      <w:proofErr w:type="spellStart"/>
      <w:r>
        <w:t>GelMA</w:t>
      </w:r>
      <w:proofErr w:type="spellEnd"/>
      <w:r>
        <w:t xml:space="preserve"> has been extensively investigated is 3D bioprinting whereby changing the composition, inclusion of additives and the platform used for printing has been tried to fabricate 3D constructs of varying shapes and over varying length scales. From designing simple lattice structures to test the printability of the ink to fabricating hierarchical structures with precise </w:t>
      </w:r>
      <w:proofErr w:type="spellStart"/>
      <w:r>
        <w:t>spatio</w:t>
      </w:r>
      <w:proofErr w:type="spellEnd"/>
      <w:r>
        <w:t xml:space="preserve">-temporal distribution of cells and/or bioactive factors has been the focus of research over </w:t>
      </w:r>
      <w:r w:rsidR="005E2576">
        <w:t xml:space="preserve">the </w:t>
      </w:r>
      <w:r>
        <w:t xml:space="preserve">last few years. To design complex, </w:t>
      </w:r>
      <w:r w:rsidR="005E2576">
        <w:t>patient-</w:t>
      </w:r>
      <w:r>
        <w:t xml:space="preserve">specific constructs with retained bioactivity and structural stability, hybrid </w:t>
      </w:r>
      <w:proofErr w:type="spellStart"/>
      <w:r>
        <w:t>biofabrication</w:t>
      </w:r>
      <w:proofErr w:type="spellEnd"/>
      <w:r>
        <w:t xml:space="preserve"> strategies are currently under investigation. The hybrid </w:t>
      </w:r>
      <w:proofErr w:type="spellStart"/>
      <w:r>
        <w:t>biofabrication</w:t>
      </w:r>
      <w:proofErr w:type="spellEnd"/>
      <w:r>
        <w:t xml:space="preserve"> strategies involve combining cell-laden </w:t>
      </w:r>
      <w:proofErr w:type="spellStart"/>
      <w:r>
        <w:t>GelMA</w:t>
      </w:r>
      <w:proofErr w:type="spellEnd"/>
      <w:r>
        <w:t xml:space="preserve"> </w:t>
      </w:r>
      <w:proofErr w:type="spellStart"/>
      <w:r>
        <w:t>bioink</w:t>
      </w:r>
      <w:proofErr w:type="spellEnd"/>
      <w:r>
        <w:t xml:space="preserve"> with thermoplastic polymers as biomaterial ink printed in a layer-by-layer fashion to fabricate a hybrid construct with high mechanical strength and improved bioactivity. An alternative approach will be modular fabrication</w:t>
      </w:r>
      <w:r w:rsidR="005E2576">
        <w:t>,</w:t>
      </w:r>
      <w:r>
        <w:t xml:space="preserve"> where cell-laden/growth-factor laden </w:t>
      </w:r>
      <w:proofErr w:type="spellStart"/>
      <w:r>
        <w:t>GelMA</w:t>
      </w:r>
      <w:proofErr w:type="spellEnd"/>
      <w:r>
        <w:t xml:space="preserve"> are prepared as bioactive modules that can then be uniquely positioned in a printed construct. </w:t>
      </w:r>
    </w:p>
    <w:p w14:paraId="3F45EE80" w14:textId="4EF8A5EE" w:rsidR="00A3718F" w:rsidRDefault="00A3718F" w:rsidP="008A6952">
      <w:pPr>
        <w:pStyle w:val="MDPI31text"/>
      </w:pPr>
      <w:r>
        <w:t xml:space="preserve">Designing complex hybrid constructs with anatomical specificity and tissue complexity is still relatively new and efforts are in progress to combine different materials and cells using a variety of new manufacturing techniques. This will therefore permit </w:t>
      </w:r>
      <w:r w:rsidR="005E2576">
        <w:t xml:space="preserve">the </w:t>
      </w:r>
      <w:r>
        <w:t xml:space="preserve">printing </w:t>
      </w:r>
      <w:r w:rsidR="005E2576">
        <w:t xml:space="preserve">of </w:t>
      </w:r>
      <w:r>
        <w:t xml:space="preserve">multifunctional hybrid constructs that are mechanically matched to the tissue of interest with </w:t>
      </w:r>
      <w:r w:rsidR="005E2576">
        <w:t xml:space="preserve">a </w:t>
      </w:r>
      <w:r>
        <w:t xml:space="preserve">structure that permits tissue integration. However, developments and improvements await in terms of i) improved </w:t>
      </w:r>
      <w:r w:rsidR="005E2576">
        <w:t>fine-</w:t>
      </w:r>
      <w:r>
        <w:t xml:space="preserve">tuning of the biodegradability profile of </w:t>
      </w:r>
      <w:proofErr w:type="spellStart"/>
      <w:r>
        <w:t>GelMA</w:t>
      </w:r>
      <w:proofErr w:type="spellEnd"/>
      <w:r>
        <w:t xml:space="preserve">-based constructs to adapt to the specific healing and regenerative needs of each musculoskeletal tissue, ii) better understanding of the </w:t>
      </w:r>
      <w:proofErr w:type="spellStart"/>
      <w:r>
        <w:t>bioinstructive</w:t>
      </w:r>
      <w:proofErr w:type="spellEnd"/>
      <w:r>
        <w:t xml:space="preserve"> properties of </w:t>
      </w:r>
      <w:proofErr w:type="spellStart"/>
      <w:r>
        <w:t>GelMA</w:t>
      </w:r>
      <w:proofErr w:type="spellEnd"/>
      <w:r>
        <w:t xml:space="preserve"> itself to facilitate translation, iii) </w:t>
      </w:r>
      <w:proofErr w:type="spellStart"/>
      <w:r>
        <w:t>GelMa</w:t>
      </w:r>
      <w:proofErr w:type="spellEnd"/>
      <w:r>
        <w:t xml:space="preserve"> derivatization with motifs that would provide more precise, iv) new modes of spatial-temporal control of the bioactive cues</w:t>
      </w:r>
      <w:r w:rsidR="005E2576">
        <w:t xml:space="preserve"> and</w:t>
      </w:r>
      <w:r>
        <w:t xml:space="preserve"> reduction of printing time for these constructs, and v) </w:t>
      </w:r>
      <w:r w:rsidR="005E2576">
        <w:t xml:space="preserve">a </w:t>
      </w:r>
      <w:r>
        <w:t xml:space="preserve">better understanding of the potential for printed constructs to be directly implanted into the patient or whether the constructs will need </w:t>
      </w:r>
      <w:r w:rsidRPr="008A4DFC">
        <w:rPr>
          <w:color w:val="auto"/>
        </w:rPr>
        <w:t>additional in vitro</w:t>
      </w:r>
      <w:r w:rsidRPr="003953A8">
        <w:rPr>
          <w:color w:val="auto"/>
        </w:rPr>
        <w:t xml:space="preserve"> maturation</w:t>
      </w:r>
      <w:r>
        <w:t xml:space="preserve">. As these new developments and improvements for the use of </w:t>
      </w:r>
      <w:proofErr w:type="spellStart"/>
      <w:r>
        <w:t>GelMA</w:t>
      </w:r>
      <w:proofErr w:type="spellEnd"/>
      <w:r>
        <w:t xml:space="preserve">-based constructs arise, further advancements should be made to regulate and approve </w:t>
      </w:r>
      <w:proofErr w:type="spellStart"/>
      <w:r>
        <w:t>GelMA</w:t>
      </w:r>
      <w:proofErr w:type="spellEnd"/>
      <w:r>
        <w:t xml:space="preserve">-based biomedical products to help clinicians and patients </w:t>
      </w:r>
      <w:proofErr w:type="gramStart"/>
      <w:r>
        <w:t>in the near future</w:t>
      </w:r>
      <w:proofErr w:type="gramEnd"/>
      <w:r>
        <w:t>.</w:t>
      </w:r>
    </w:p>
    <w:p w14:paraId="4CE20356" w14:textId="7AC8A427" w:rsidR="00A3718F" w:rsidRDefault="008A6952" w:rsidP="008A6952">
      <w:pPr>
        <w:pStyle w:val="MDPI21heading1"/>
      </w:pPr>
      <w:r>
        <w:t xml:space="preserve">5. </w:t>
      </w:r>
      <w:r w:rsidR="00A3718F">
        <w:t>Summary</w:t>
      </w:r>
    </w:p>
    <w:p w14:paraId="31235865" w14:textId="15C39F26" w:rsidR="00A3718F" w:rsidRDefault="00A3718F" w:rsidP="008A6952">
      <w:pPr>
        <w:pStyle w:val="MDPI31text"/>
      </w:pPr>
      <w:proofErr w:type="spellStart"/>
      <w:r>
        <w:t>GelMA</w:t>
      </w:r>
      <w:proofErr w:type="spellEnd"/>
      <w:r>
        <w:t xml:space="preserve"> has the advantage of holding both natural and synthetic polymer properties (e.g., good mechanical propert</w:t>
      </w:r>
      <w:r w:rsidR="005E2576">
        <w:t>ies</w:t>
      </w:r>
      <w:r>
        <w:t xml:space="preserve">, </w:t>
      </w:r>
      <w:proofErr w:type="gramStart"/>
      <w:r>
        <w:t>biocompatibility</w:t>
      </w:r>
      <w:proofErr w:type="gramEnd"/>
      <w:r>
        <w:t xml:space="preserve"> and easy chemical modification). Compared to other tissues, musculoskeletal tissues are additionally required for mechanical support and biological stimulation over the life course The </w:t>
      </w:r>
      <w:proofErr w:type="spellStart"/>
      <w:r>
        <w:t>tuneable</w:t>
      </w:r>
      <w:proofErr w:type="spellEnd"/>
      <w:r>
        <w:t xml:space="preserve"> physicochemical and mechanical properties of </w:t>
      </w:r>
      <w:proofErr w:type="spellStart"/>
      <w:r>
        <w:t>GelMA</w:t>
      </w:r>
      <w:proofErr w:type="spellEnd"/>
      <w:r>
        <w:t xml:space="preserve"> hydrogels offer exciting approaches </w:t>
      </w:r>
      <w:r w:rsidR="005E2576">
        <w:t xml:space="preserve">to </w:t>
      </w:r>
      <w:r>
        <w:t>the incorporation of cells and bioactive molecules (</w:t>
      </w:r>
      <w:r w:rsidR="00A54FDC">
        <w:t>e.g.,</w:t>
      </w:r>
      <w:r>
        <w:t xml:space="preserve"> growth factors, </w:t>
      </w:r>
      <w:proofErr w:type="gramStart"/>
      <w:r>
        <w:t>antibiotics</w:t>
      </w:r>
      <w:proofErr w:type="gramEnd"/>
      <w:r>
        <w:t xml:space="preserve"> and drugs) and in combination </w:t>
      </w:r>
      <w:r w:rsidR="005E2576">
        <w:t xml:space="preserve">with </w:t>
      </w:r>
      <w:r>
        <w:t>other biomaterials</w:t>
      </w:r>
      <w:r w:rsidR="005E2576">
        <w:t>,</w:t>
      </w:r>
      <w:r>
        <w:t xml:space="preserve"> to aid musculoskeletal tissue regeneration.</w:t>
      </w:r>
    </w:p>
    <w:p w14:paraId="5B5DC7C4" w14:textId="4FCD832E" w:rsidR="00A3718F" w:rsidRDefault="00A3718F" w:rsidP="008A6952">
      <w:pPr>
        <w:pStyle w:val="MDPI31text"/>
      </w:pPr>
      <w:r>
        <w:t xml:space="preserve">The future is bright for reparative applications using </w:t>
      </w:r>
      <w:proofErr w:type="spellStart"/>
      <w:r>
        <w:t>GelMA</w:t>
      </w:r>
      <w:proofErr w:type="spellEnd"/>
      <w:r>
        <w:t xml:space="preserve"> with new opportunities to advance musculoskeletal healthcare for an increasing</w:t>
      </w:r>
      <w:r w:rsidR="005E2576">
        <w:t>ly</w:t>
      </w:r>
      <w:r>
        <w:t xml:space="preserve"> ageing demographic. The </w:t>
      </w:r>
      <w:r>
        <w:lastRenderedPageBreak/>
        <w:t xml:space="preserve">challenge will be </w:t>
      </w:r>
      <w:r w:rsidR="005E2576">
        <w:t xml:space="preserve">the </w:t>
      </w:r>
      <w:r>
        <w:t xml:space="preserve">understanding of the design of </w:t>
      </w:r>
      <w:proofErr w:type="spellStart"/>
      <w:r>
        <w:t>GelMA</w:t>
      </w:r>
      <w:proofErr w:type="spellEnd"/>
      <w:r>
        <w:t xml:space="preserve">-based complex hybrid constructs that can orchestrate musculoskeletal tissue regeneration. The key will be studying to understand the cellular mechanism, including macrophage-associated inflammation modulation and stem cell-associated tissue </w:t>
      </w:r>
      <w:r w:rsidR="00A54FDC">
        <w:t>remodeling</w:t>
      </w:r>
      <w:r>
        <w:t xml:space="preserve">. Given the excellent biocompatibility and physicochemical and mechanical properties of </w:t>
      </w:r>
      <w:proofErr w:type="spellStart"/>
      <w:r>
        <w:t>GelMA</w:t>
      </w:r>
      <w:proofErr w:type="spellEnd"/>
      <w:r>
        <w:t xml:space="preserve">, we anticipate new approaches that will enable mimicking of native tissue structure and stimulation of the cell reparative niche to generate new tissue. The acceptance of the fundamental importance of the complex musculoskeletal tissue structure and process of reparation therein, offer a springboard to new approaches to using </w:t>
      </w:r>
      <w:proofErr w:type="spellStart"/>
      <w:r>
        <w:t>GelMA</w:t>
      </w:r>
      <w:proofErr w:type="spellEnd"/>
      <w:r>
        <w:t xml:space="preserve"> for tissue regeneration.</w:t>
      </w:r>
    </w:p>
    <w:p w14:paraId="1F19B8B7" w14:textId="1A2E66DC" w:rsidR="00AB5ED2" w:rsidRPr="00E5391A" w:rsidRDefault="00E5391A" w:rsidP="00E5391A">
      <w:pPr>
        <w:pStyle w:val="MDPI62BackMatter"/>
        <w:spacing w:before="240"/>
        <w:rPr>
          <w:highlight w:val="yellow"/>
        </w:rPr>
      </w:pPr>
      <w:r w:rsidRPr="006B7A70">
        <w:rPr>
          <w:b/>
        </w:rPr>
        <w:t xml:space="preserve">Author Contributions: </w:t>
      </w:r>
      <w:r w:rsidRPr="006B7A70">
        <w:rPr>
          <w:bCs/>
        </w:rPr>
        <w:t xml:space="preserve">K. </w:t>
      </w:r>
      <w:r w:rsidRPr="006B7A70">
        <w:t>Y</w:t>
      </w:r>
      <w:r>
        <w:t xml:space="preserve">-H. and M. I. wrote the first draft of the manuscript. </w:t>
      </w:r>
      <w:r w:rsidR="006246D5">
        <w:t xml:space="preserve">D. </w:t>
      </w:r>
      <w:r>
        <w:t>J.</w:t>
      </w:r>
      <w:r w:rsidR="006246D5">
        <w:t xml:space="preserve"> </w:t>
      </w:r>
      <w:r>
        <w:t xml:space="preserve">I., </w:t>
      </w:r>
      <w:r w:rsidR="006246D5">
        <w:t xml:space="preserve">O. </w:t>
      </w:r>
      <w:r>
        <w:t xml:space="preserve">R.O.C., </w:t>
      </w:r>
      <w:r w:rsidR="006246D5">
        <w:t xml:space="preserve">T. </w:t>
      </w:r>
      <w:r>
        <w:t xml:space="preserve">Y., </w:t>
      </w:r>
      <w:r w:rsidR="006246D5">
        <w:t xml:space="preserve">K. </w:t>
      </w:r>
      <w:r>
        <w:t xml:space="preserve">D. and </w:t>
      </w:r>
      <w:r w:rsidR="006246D5">
        <w:t xml:space="preserve">A. </w:t>
      </w:r>
      <w:r>
        <w:t xml:space="preserve">C. edited and reviewed the manuscript. All authors have read and agreed to the published version of the manuscript. </w:t>
      </w:r>
    </w:p>
    <w:p w14:paraId="68E50EC7" w14:textId="0EE1CE3B" w:rsidR="00AB5ED2" w:rsidRPr="00787EF8" w:rsidRDefault="009666AC" w:rsidP="009666AC">
      <w:pPr>
        <w:pStyle w:val="MDPI62BackMatter"/>
        <w:rPr>
          <w:highlight w:val="yellow"/>
        </w:rPr>
      </w:pPr>
      <w:r w:rsidRPr="00AB3869">
        <w:rPr>
          <w:b/>
        </w:rPr>
        <w:t>Funding:</w:t>
      </w:r>
      <w:r w:rsidRPr="00AB3869">
        <w:t xml:space="preserve"> </w:t>
      </w:r>
      <w:r w:rsidR="00787EF8" w:rsidRPr="00AB3869">
        <w:t xml:space="preserve">This research was funded by MRC-AMED Regenerative </w:t>
      </w:r>
      <w:proofErr w:type="spellStart"/>
      <w:r w:rsidR="00787EF8" w:rsidRPr="00AB3869">
        <w:t>Meicine</w:t>
      </w:r>
      <w:proofErr w:type="spellEnd"/>
      <w:r w:rsidR="00787EF8" w:rsidRPr="00AB3869">
        <w:t xml:space="preserve"> and Stem </w:t>
      </w:r>
      <w:proofErr w:type="spellStart"/>
      <w:r w:rsidR="00787EF8" w:rsidRPr="00AB3869">
        <w:t>ell</w:t>
      </w:r>
      <w:proofErr w:type="spellEnd"/>
      <w:r w:rsidR="00787EF8" w:rsidRPr="00AB3869">
        <w:t xml:space="preserve"> Research Initiative (MR/V00543X/1)</w:t>
      </w:r>
      <w:r w:rsidR="00CE119F" w:rsidRPr="00AB3869">
        <w:t>, EPSRC (EP/S017054/1), Biotechnology and Biological Sciences Research Council (BB/P017711/1), UK Regenerative Medicine</w:t>
      </w:r>
      <w:r w:rsidR="00CE119F" w:rsidRPr="00A3718F">
        <w:t xml:space="preserve"> Platform “Acellular / Smart Materials – 3D Architecture” (MR/R015651/1)</w:t>
      </w:r>
      <w:r w:rsidR="00CE119F">
        <w:t xml:space="preserve">, </w:t>
      </w:r>
      <w:r w:rsidR="00CE119F" w:rsidRPr="00A3718F">
        <w:t xml:space="preserve">Assistant Secretary of </w:t>
      </w:r>
      <w:proofErr w:type="spellStart"/>
      <w:r w:rsidR="00CE119F" w:rsidRPr="00A3718F">
        <w:t>Defence</w:t>
      </w:r>
      <w:proofErr w:type="spellEnd"/>
      <w:r w:rsidR="00CE119F" w:rsidRPr="00A3718F">
        <w:t xml:space="preserve"> for Health Affairs through the Peer Reviewed </w:t>
      </w:r>
      <w:proofErr w:type="spellStart"/>
      <w:r w:rsidR="00CE119F" w:rsidRPr="00A3718F">
        <w:t>Orthopaedic</w:t>
      </w:r>
      <w:proofErr w:type="spellEnd"/>
      <w:r w:rsidR="00CE119F" w:rsidRPr="00A3718F">
        <w:t xml:space="preserve"> Research Program (PRORP) under Applied Research Award </w:t>
      </w:r>
      <w:r w:rsidR="00CE119F">
        <w:t>(</w:t>
      </w:r>
      <w:r w:rsidR="00CE119F" w:rsidRPr="00A3718F">
        <w:t>No W81XWH-20-1-0563</w:t>
      </w:r>
      <w:r w:rsidR="00CE119F">
        <w:t xml:space="preserve">), </w:t>
      </w:r>
      <w:r w:rsidR="00CE119F" w:rsidRPr="00A3718F">
        <w:t>Army Medical Research Acquisition Activity, 839 Chandler Street, Fort Detrick MD 21702-5014</w:t>
      </w:r>
      <w:r w:rsidR="00CE119F">
        <w:t xml:space="preserve">, and </w:t>
      </w:r>
      <w:r w:rsidR="00CE119F" w:rsidRPr="00A3718F">
        <w:t>the University of Minnesota’s Office of Academic Clinical Affairs Faculty Research Development Grant</w:t>
      </w:r>
      <w:r w:rsidR="00CE119F">
        <w:t>.</w:t>
      </w:r>
    </w:p>
    <w:p w14:paraId="5F59CABC" w14:textId="012CD606" w:rsidR="00275734" w:rsidRDefault="00FC46FB" w:rsidP="008A6952">
      <w:pPr>
        <w:pStyle w:val="MDPI62BackMatter"/>
      </w:pPr>
      <w:r w:rsidRPr="008A6952">
        <w:rPr>
          <w:b/>
        </w:rPr>
        <w:t>Acknowledgments</w:t>
      </w:r>
      <w:r w:rsidR="00275734" w:rsidRPr="008A6952">
        <w:rPr>
          <w:b/>
        </w:rPr>
        <w:t>:</w:t>
      </w:r>
      <w:r w:rsidR="00275734" w:rsidRPr="00613B31">
        <w:t xml:space="preserve"> </w:t>
      </w:r>
      <w:r w:rsidR="009409B1">
        <w:t xml:space="preserve">K. </w:t>
      </w:r>
      <w:r w:rsidR="00A3718F" w:rsidRPr="00A3718F">
        <w:t>Y</w:t>
      </w:r>
      <w:r w:rsidR="009409B1">
        <w:t>.</w:t>
      </w:r>
      <w:r w:rsidR="00A3718F" w:rsidRPr="00A3718F">
        <w:t>-H</w:t>
      </w:r>
      <w:r w:rsidR="009409B1">
        <w:t xml:space="preserve">, O. </w:t>
      </w:r>
      <w:r w:rsidR="00A3718F" w:rsidRPr="00A3718F">
        <w:t>R</w:t>
      </w:r>
      <w:r w:rsidR="009409B1">
        <w:t xml:space="preserve">. </w:t>
      </w:r>
      <w:r w:rsidR="00A3718F" w:rsidRPr="00A3718F">
        <w:t>O</w:t>
      </w:r>
      <w:r w:rsidR="009409B1">
        <w:t xml:space="preserve">. </w:t>
      </w:r>
      <w:r w:rsidR="00A3718F" w:rsidRPr="00A3718F">
        <w:t>C</w:t>
      </w:r>
      <w:r w:rsidR="009409B1">
        <w:t>.</w:t>
      </w:r>
      <w:r w:rsidR="00A3718F" w:rsidRPr="00A3718F">
        <w:t xml:space="preserve"> and </w:t>
      </w:r>
      <w:r w:rsidR="009409B1">
        <w:t xml:space="preserve">D. </w:t>
      </w:r>
      <w:r w:rsidR="00A3718F" w:rsidRPr="00A3718F">
        <w:t>J</w:t>
      </w:r>
      <w:r w:rsidR="009409B1">
        <w:t xml:space="preserve">. </w:t>
      </w:r>
      <w:r w:rsidR="00A3718F" w:rsidRPr="00A3718F">
        <w:t>I</w:t>
      </w:r>
      <w:r w:rsidR="009409B1">
        <w:t>.</w:t>
      </w:r>
      <w:r w:rsidR="00A3718F" w:rsidRPr="00A3718F">
        <w:t xml:space="preserve"> gratefully acknowledge support from the MRC-AMED Regenerative Medicine and Stem Cell Research Initiative (MR/V00543X/1) and the EPSRC (EP/S017054/1). </w:t>
      </w:r>
      <w:r w:rsidR="00C947CF">
        <w:t xml:space="preserve">O. </w:t>
      </w:r>
      <w:r w:rsidR="00A3718F" w:rsidRPr="00A3718F">
        <w:t>R</w:t>
      </w:r>
      <w:r w:rsidR="00C947CF">
        <w:t xml:space="preserve">. </w:t>
      </w:r>
      <w:r w:rsidR="00A3718F" w:rsidRPr="00A3718F">
        <w:t>O</w:t>
      </w:r>
      <w:r w:rsidR="00C947CF">
        <w:t xml:space="preserve">. </w:t>
      </w:r>
      <w:r w:rsidR="00A3718F" w:rsidRPr="00A3718F">
        <w:t>C</w:t>
      </w:r>
      <w:r w:rsidR="00C947CF">
        <w:t>.</w:t>
      </w:r>
      <w:r w:rsidR="00A3718F" w:rsidRPr="00A3718F">
        <w:t xml:space="preserve"> acknowledges financial support from the Biotechnology and Biological Sciences Research Council (BB/P017711/1) and the UK Regenerative Medicine Platform “Acellular / Smart Materials – 3D Architecture” (MR/R015651/1). </w:t>
      </w:r>
      <w:r w:rsidR="00C947CF">
        <w:t xml:space="preserve">M. </w:t>
      </w:r>
      <w:r w:rsidR="00A3718F" w:rsidRPr="00A3718F">
        <w:t>I</w:t>
      </w:r>
      <w:r w:rsidR="00C947CF">
        <w:t>.</w:t>
      </w:r>
      <w:r w:rsidR="00A3718F" w:rsidRPr="00A3718F">
        <w:t xml:space="preserve"> and </w:t>
      </w:r>
      <w:r w:rsidR="00C947CF">
        <w:t xml:space="preserve">A. </w:t>
      </w:r>
      <w:r w:rsidR="00A3718F" w:rsidRPr="00A3718F">
        <w:t>C</w:t>
      </w:r>
      <w:r w:rsidR="00C947CF">
        <w:t>.</w:t>
      </w:r>
      <w:r w:rsidR="00A3718F" w:rsidRPr="00A3718F">
        <w:t xml:space="preserve"> acknowledge the financial support from </w:t>
      </w:r>
      <w:r w:rsidR="00A1672D">
        <w:t xml:space="preserve">the </w:t>
      </w:r>
      <w:r w:rsidR="00A3718F" w:rsidRPr="00A3718F">
        <w:t xml:space="preserve">Assistant Secretary of </w:t>
      </w:r>
      <w:proofErr w:type="spellStart"/>
      <w:r w:rsidR="00A3718F" w:rsidRPr="00A3718F">
        <w:t>Defence</w:t>
      </w:r>
      <w:proofErr w:type="spellEnd"/>
      <w:r w:rsidR="00A3718F" w:rsidRPr="00A3718F">
        <w:t xml:space="preserve"> for Health Affairs through the Peer Reviewed </w:t>
      </w:r>
      <w:proofErr w:type="spellStart"/>
      <w:r w:rsidR="00A3718F" w:rsidRPr="00A3718F">
        <w:t>Orthopaedic</w:t>
      </w:r>
      <w:proofErr w:type="spellEnd"/>
      <w:r w:rsidR="00A3718F" w:rsidRPr="00A3718F">
        <w:t xml:space="preserve"> Research Program (PRORP) under Applied Research Award No W81XWH-20-1-0563. Army Medical Research Acquisition Activity, 839 Chandler Street, Fort Detrick MD 21702-5014 is the awarding and administering acquisition office. Opinions, interpretations, </w:t>
      </w:r>
      <w:proofErr w:type="gramStart"/>
      <w:r w:rsidR="00A3718F" w:rsidRPr="00A3718F">
        <w:t>conclusions</w:t>
      </w:r>
      <w:proofErr w:type="gramEnd"/>
      <w:r w:rsidR="00A3718F" w:rsidRPr="00A3718F">
        <w:t xml:space="preserve"> and recommendations are those of the authors and are not necessarily endorsed by the Department of </w:t>
      </w:r>
      <w:proofErr w:type="spellStart"/>
      <w:r w:rsidR="00A3718F" w:rsidRPr="00A3718F">
        <w:t>Defence</w:t>
      </w:r>
      <w:proofErr w:type="spellEnd"/>
      <w:r w:rsidR="00A3718F" w:rsidRPr="00A3718F">
        <w:t xml:space="preserve">. </w:t>
      </w:r>
      <w:r w:rsidR="007B38CB">
        <w:t xml:space="preserve">M. </w:t>
      </w:r>
      <w:r w:rsidR="00A3718F" w:rsidRPr="00A3718F">
        <w:t>I</w:t>
      </w:r>
      <w:r w:rsidR="007B38CB">
        <w:t>.</w:t>
      </w:r>
      <w:r w:rsidR="00A3718F" w:rsidRPr="00A3718F">
        <w:t xml:space="preserve"> also acknowledges the financial support from the University of Minnesota’s Office of Academic Clinical Affairs Faculty Research Development Grant.</w:t>
      </w:r>
    </w:p>
    <w:p w14:paraId="12C367EA" w14:textId="7D77F0ED" w:rsidR="00275734" w:rsidRDefault="00275734" w:rsidP="000B5EAC">
      <w:pPr>
        <w:pStyle w:val="MDPI62BackMatter"/>
      </w:pPr>
      <w:r w:rsidRPr="000B5EAC">
        <w:rPr>
          <w:b/>
        </w:rPr>
        <w:t xml:space="preserve">Conflicts of Interest: </w:t>
      </w:r>
      <w:r w:rsidRPr="00613B31">
        <w:t>The authors declare no conflict of interest</w:t>
      </w:r>
      <w:r w:rsidR="00A3718F">
        <w:t>.</w:t>
      </w:r>
    </w:p>
    <w:p w14:paraId="74093F39" w14:textId="77777777" w:rsidR="004803E2" w:rsidRPr="00325902" w:rsidRDefault="004803E2" w:rsidP="004803E2">
      <w:pPr>
        <w:pStyle w:val="MDPI21heading1"/>
        <w:ind w:left="0"/>
      </w:pPr>
      <w:r w:rsidRPr="00AB3869">
        <w:t>References</w:t>
      </w:r>
    </w:p>
    <w:p w14:paraId="21CB5902"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4F44BF">
        <w:rPr>
          <w:rFonts w:eastAsia="Times New Roman"/>
          <w:sz w:val="18"/>
          <w:szCs w:val="18"/>
        </w:rPr>
        <w:t>Cieza</w:t>
      </w:r>
      <w:proofErr w:type="spellEnd"/>
      <w:r w:rsidRPr="004F44BF">
        <w:rPr>
          <w:rFonts w:eastAsia="Times New Roman"/>
          <w:sz w:val="18"/>
          <w:szCs w:val="18"/>
        </w:rPr>
        <w:t xml:space="preserve">, A.; Causey, K.; </w:t>
      </w:r>
      <w:proofErr w:type="spellStart"/>
      <w:r w:rsidRPr="004F44BF">
        <w:rPr>
          <w:rFonts w:eastAsia="Times New Roman"/>
          <w:sz w:val="18"/>
          <w:szCs w:val="18"/>
        </w:rPr>
        <w:t>Kamenov</w:t>
      </w:r>
      <w:proofErr w:type="spellEnd"/>
      <w:r w:rsidRPr="004F44BF">
        <w:rPr>
          <w:rFonts w:eastAsia="Times New Roman"/>
          <w:sz w:val="18"/>
          <w:szCs w:val="18"/>
        </w:rPr>
        <w:t>, K</w:t>
      </w:r>
      <w:r w:rsidRPr="00CE4013">
        <w:rPr>
          <w:rFonts w:eastAsia="Times New Roman"/>
          <w:sz w:val="18"/>
          <w:szCs w:val="18"/>
        </w:rPr>
        <w:t xml:space="preserve">.; Hanson, S.W.; </w:t>
      </w:r>
      <w:proofErr w:type="spellStart"/>
      <w:r w:rsidRPr="00CE4013">
        <w:rPr>
          <w:rFonts w:eastAsia="Times New Roman"/>
          <w:sz w:val="18"/>
          <w:szCs w:val="18"/>
        </w:rPr>
        <w:t>Chatterji</w:t>
      </w:r>
      <w:proofErr w:type="spellEnd"/>
      <w:r w:rsidRPr="00CE4013">
        <w:rPr>
          <w:rFonts w:eastAsia="Times New Roman"/>
          <w:sz w:val="18"/>
          <w:szCs w:val="18"/>
        </w:rPr>
        <w:t xml:space="preserve">, S.; Vos, T. Global estimates of the need for rehabilitation based on the Global Burden of Disease study 2019: A systematic analysis for the Global Burden of Disease Study 2019. </w:t>
      </w:r>
      <w:r w:rsidRPr="00CE4013">
        <w:rPr>
          <w:rFonts w:eastAsia="Times New Roman"/>
          <w:i/>
          <w:iCs/>
          <w:sz w:val="18"/>
          <w:szCs w:val="18"/>
        </w:rPr>
        <w:t>Lancet</w:t>
      </w:r>
      <w:r w:rsidRPr="00CE4013">
        <w:rPr>
          <w:rFonts w:eastAsia="Times New Roman"/>
          <w:sz w:val="18"/>
          <w:szCs w:val="18"/>
        </w:rPr>
        <w:t xml:space="preserve"> </w:t>
      </w:r>
      <w:r w:rsidRPr="00CE4013">
        <w:rPr>
          <w:rFonts w:eastAsia="Times New Roman"/>
          <w:b/>
          <w:bCs/>
          <w:sz w:val="18"/>
          <w:szCs w:val="18"/>
        </w:rPr>
        <w:t>2020</w:t>
      </w:r>
      <w:r w:rsidRPr="00CE4013">
        <w:rPr>
          <w:rFonts w:eastAsia="Times New Roman"/>
          <w:bCs/>
          <w:sz w:val="18"/>
          <w:szCs w:val="18"/>
        </w:rPr>
        <w:t xml:space="preserve">, </w:t>
      </w:r>
      <w:r w:rsidRPr="00CE4013">
        <w:rPr>
          <w:rFonts w:eastAsia="Times New Roman"/>
          <w:bCs/>
          <w:i/>
          <w:sz w:val="18"/>
          <w:szCs w:val="18"/>
        </w:rPr>
        <w:t>396</w:t>
      </w:r>
      <w:r w:rsidRPr="00CE4013">
        <w:rPr>
          <w:rFonts w:eastAsia="Times New Roman"/>
          <w:bCs/>
          <w:sz w:val="18"/>
          <w:szCs w:val="18"/>
        </w:rPr>
        <w:t>, 2006–2017</w:t>
      </w:r>
      <w:r w:rsidRPr="00CE4013">
        <w:rPr>
          <w:rFonts w:eastAsia="Times New Roman"/>
          <w:sz w:val="18"/>
          <w:szCs w:val="18"/>
        </w:rPr>
        <w:t>. https://doi.org/10.1016/s0140-6736(20)32340-0.</w:t>
      </w:r>
    </w:p>
    <w:p w14:paraId="11225967"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Charalambides</w:t>
      </w:r>
      <w:proofErr w:type="spellEnd"/>
      <w:r w:rsidRPr="00CE4013">
        <w:rPr>
          <w:rFonts w:eastAsia="Times New Roman"/>
          <w:sz w:val="18"/>
          <w:szCs w:val="18"/>
        </w:rPr>
        <w:t>, C.; Beer, M.; Cobb, A.G. Poor results after augmenting autograft with xenograft (</w:t>
      </w:r>
      <w:proofErr w:type="spellStart"/>
      <w:r w:rsidRPr="00CE4013">
        <w:rPr>
          <w:rFonts w:eastAsia="Times New Roman"/>
          <w:sz w:val="18"/>
          <w:szCs w:val="18"/>
        </w:rPr>
        <w:t>Surgibone</w:t>
      </w:r>
      <w:proofErr w:type="spellEnd"/>
      <w:r w:rsidRPr="00CE4013">
        <w:rPr>
          <w:rFonts w:eastAsia="Times New Roman"/>
          <w:sz w:val="18"/>
          <w:szCs w:val="18"/>
        </w:rPr>
        <w:t xml:space="preserve">) in hip revision surgery: A report of 27 cases. </w:t>
      </w:r>
      <w:r w:rsidRPr="00CE4013">
        <w:rPr>
          <w:rFonts w:eastAsia="Times New Roman"/>
          <w:i/>
          <w:iCs/>
          <w:sz w:val="18"/>
          <w:szCs w:val="18"/>
        </w:rPr>
        <w:t xml:space="preserve">Acta </w:t>
      </w:r>
      <w:proofErr w:type="spellStart"/>
      <w:r w:rsidRPr="00CE4013">
        <w:rPr>
          <w:rFonts w:eastAsia="Times New Roman"/>
          <w:i/>
          <w:iCs/>
          <w:sz w:val="18"/>
          <w:szCs w:val="18"/>
        </w:rPr>
        <w:t>Orthop</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sz w:val="18"/>
          <w:szCs w:val="18"/>
        </w:rPr>
        <w:t>2005</w:t>
      </w:r>
      <w:r w:rsidRPr="00CE4013">
        <w:rPr>
          <w:rFonts w:eastAsia="Times New Roman"/>
          <w:sz w:val="18"/>
          <w:szCs w:val="18"/>
        </w:rPr>
        <w:t xml:space="preserve">, </w:t>
      </w:r>
      <w:r w:rsidRPr="00CE4013">
        <w:rPr>
          <w:rFonts w:eastAsia="Times New Roman"/>
          <w:i/>
          <w:sz w:val="18"/>
          <w:szCs w:val="18"/>
        </w:rPr>
        <w:t>76</w:t>
      </w:r>
      <w:r w:rsidRPr="00CE4013">
        <w:rPr>
          <w:rFonts w:eastAsia="Times New Roman"/>
          <w:sz w:val="18"/>
          <w:szCs w:val="18"/>
        </w:rPr>
        <w:t>, 544–549.</w:t>
      </w:r>
    </w:p>
    <w:p w14:paraId="6DCC7651"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Zhu, J.; Marchant, R.E. Design properties of hydrogel tissue-engineering scaffolds. </w:t>
      </w:r>
      <w:r w:rsidRPr="00CE4013">
        <w:rPr>
          <w:rFonts w:eastAsia="Times New Roman"/>
          <w:i/>
          <w:iCs/>
          <w:sz w:val="18"/>
          <w:szCs w:val="18"/>
        </w:rPr>
        <w:t>Expert Rev. Med. Devices</w:t>
      </w:r>
      <w:r w:rsidRPr="00CE4013">
        <w:rPr>
          <w:rFonts w:eastAsia="Times New Roman"/>
          <w:sz w:val="18"/>
          <w:szCs w:val="18"/>
        </w:rPr>
        <w:t xml:space="preserve"> </w:t>
      </w:r>
      <w:r w:rsidRPr="00CE4013">
        <w:rPr>
          <w:rFonts w:eastAsia="Times New Roman"/>
          <w:b/>
          <w:bCs/>
          <w:sz w:val="18"/>
          <w:szCs w:val="18"/>
        </w:rPr>
        <w:t>2011</w:t>
      </w:r>
      <w:r w:rsidRPr="00CE4013">
        <w:rPr>
          <w:rFonts w:eastAsia="Times New Roman"/>
          <w:bCs/>
          <w:sz w:val="18"/>
          <w:szCs w:val="18"/>
        </w:rPr>
        <w:t xml:space="preserve">, </w:t>
      </w:r>
      <w:r w:rsidRPr="00CE4013">
        <w:rPr>
          <w:rFonts w:eastAsia="Times New Roman"/>
          <w:bCs/>
          <w:i/>
          <w:sz w:val="18"/>
          <w:szCs w:val="18"/>
        </w:rPr>
        <w:t>8</w:t>
      </w:r>
      <w:r w:rsidRPr="00CE4013">
        <w:rPr>
          <w:rFonts w:eastAsia="Times New Roman"/>
          <w:bCs/>
          <w:sz w:val="18"/>
          <w:szCs w:val="18"/>
        </w:rPr>
        <w:t>, 607–626</w:t>
      </w:r>
      <w:r w:rsidRPr="00CE4013">
        <w:rPr>
          <w:rFonts w:eastAsia="Times New Roman"/>
          <w:sz w:val="18"/>
          <w:szCs w:val="18"/>
        </w:rPr>
        <w:t>. https://doi.org/10.1586/erd.11.27.</w:t>
      </w:r>
    </w:p>
    <w:p w14:paraId="57E40094"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Sisson, K.; Zhang, C.; </w:t>
      </w:r>
      <w:proofErr w:type="spellStart"/>
      <w:r w:rsidRPr="00CE4013">
        <w:rPr>
          <w:rFonts w:eastAsia="Times New Roman"/>
          <w:sz w:val="18"/>
          <w:szCs w:val="18"/>
        </w:rPr>
        <w:t>Farach</w:t>
      </w:r>
      <w:proofErr w:type="spellEnd"/>
      <w:r w:rsidRPr="00CE4013">
        <w:rPr>
          <w:rFonts w:eastAsia="Times New Roman"/>
          <w:sz w:val="18"/>
          <w:szCs w:val="18"/>
        </w:rPr>
        <w:t xml:space="preserve">-Carson, M.; Chase, D.B.; </w:t>
      </w:r>
      <w:proofErr w:type="spellStart"/>
      <w:r w:rsidRPr="00CE4013">
        <w:rPr>
          <w:rFonts w:eastAsia="Times New Roman"/>
          <w:sz w:val="18"/>
          <w:szCs w:val="18"/>
        </w:rPr>
        <w:t>Rabolt</w:t>
      </w:r>
      <w:proofErr w:type="spellEnd"/>
      <w:r w:rsidRPr="00CE4013">
        <w:rPr>
          <w:rFonts w:eastAsia="Times New Roman"/>
          <w:sz w:val="18"/>
          <w:szCs w:val="18"/>
        </w:rPr>
        <w:t xml:space="preserve">, J.F. Evaluation of Cross-Linking Methods for </w:t>
      </w:r>
      <w:proofErr w:type="spellStart"/>
      <w:r w:rsidRPr="00CE4013">
        <w:rPr>
          <w:rFonts w:eastAsia="Times New Roman"/>
          <w:sz w:val="18"/>
          <w:szCs w:val="18"/>
        </w:rPr>
        <w:t>Electrospun</w:t>
      </w:r>
      <w:proofErr w:type="spellEnd"/>
      <w:r w:rsidRPr="00CE4013">
        <w:rPr>
          <w:rFonts w:eastAsia="Times New Roman"/>
          <w:sz w:val="18"/>
          <w:szCs w:val="18"/>
        </w:rPr>
        <w:t xml:space="preserve"> </w:t>
      </w:r>
      <w:proofErr w:type="spellStart"/>
      <w:r w:rsidRPr="00CE4013">
        <w:rPr>
          <w:rFonts w:eastAsia="Times New Roman"/>
          <w:sz w:val="18"/>
          <w:szCs w:val="18"/>
        </w:rPr>
        <w:t>Gelatin</w:t>
      </w:r>
      <w:proofErr w:type="spellEnd"/>
      <w:r w:rsidRPr="00CE4013">
        <w:rPr>
          <w:rFonts w:eastAsia="Times New Roman"/>
          <w:sz w:val="18"/>
          <w:szCs w:val="18"/>
        </w:rPr>
        <w:t xml:space="preserve"> on Cell Growth and Viability. </w:t>
      </w:r>
      <w:r w:rsidRPr="00CE4013">
        <w:rPr>
          <w:rFonts w:eastAsia="Times New Roman"/>
          <w:i/>
          <w:iCs/>
          <w:sz w:val="18"/>
          <w:szCs w:val="18"/>
        </w:rPr>
        <w:t>Biomacromolecules</w:t>
      </w:r>
      <w:r w:rsidRPr="00CE4013">
        <w:rPr>
          <w:rFonts w:eastAsia="Times New Roman"/>
          <w:sz w:val="18"/>
          <w:szCs w:val="18"/>
        </w:rPr>
        <w:t xml:space="preserve"> </w:t>
      </w:r>
      <w:r w:rsidRPr="00CE4013">
        <w:rPr>
          <w:rFonts w:eastAsia="Times New Roman"/>
          <w:b/>
          <w:bCs/>
          <w:sz w:val="18"/>
          <w:szCs w:val="18"/>
        </w:rPr>
        <w:t>2009</w:t>
      </w:r>
      <w:r w:rsidRPr="00CE4013">
        <w:rPr>
          <w:rFonts w:eastAsia="Times New Roman"/>
          <w:bCs/>
          <w:sz w:val="18"/>
          <w:szCs w:val="18"/>
        </w:rPr>
        <w:t xml:space="preserve">, </w:t>
      </w:r>
      <w:r w:rsidRPr="00CE4013">
        <w:rPr>
          <w:rFonts w:eastAsia="Times New Roman"/>
          <w:bCs/>
          <w:i/>
          <w:sz w:val="18"/>
          <w:szCs w:val="18"/>
        </w:rPr>
        <w:t>10</w:t>
      </w:r>
      <w:r w:rsidRPr="00CE4013">
        <w:rPr>
          <w:rFonts w:eastAsia="Times New Roman"/>
          <w:bCs/>
          <w:sz w:val="18"/>
          <w:szCs w:val="18"/>
        </w:rPr>
        <w:t>, 1675–1680</w:t>
      </w:r>
      <w:r w:rsidRPr="00CE4013">
        <w:rPr>
          <w:rFonts w:eastAsia="Times New Roman"/>
          <w:sz w:val="18"/>
          <w:szCs w:val="18"/>
        </w:rPr>
        <w:t>. https://doi.org/10.1021/bm900036s.</w:t>
      </w:r>
    </w:p>
    <w:p w14:paraId="60F7110B"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Ofner</w:t>
      </w:r>
      <w:proofErr w:type="spellEnd"/>
      <w:r w:rsidRPr="00CE4013">
        <w:rPr>
          <w:rFonts w:eastAsia="Times New Roman"/>
          <w:sz w:val="18"/>
          <w:szCs w:val="18"/>
        </w:rPr>
        <w:t xml:space="preserve">, I.C.M.; </w:t>
      </w:r>
      <w:proofErr w:type="spellStart"/>
      <w:r w:rsidRPr="00CE4013">
        <w:rPr>
          <w:rFonts w:eastAsia="Times New Roman"/>
          <w:sz w:val="18"/>
          <w:szCs w:val="18"/>
        </w:rPr>
        <w:t>Bubnis</w:t>
      </w:r>
      <w:proofErr w:type="spellEnd"/>
      <w:r w:rsidRPr="00CE4013">
        <w:rPr>
          <w:rFonts w:eastAsia="Times New Roman"/>
          <w:sz w:val="18"/>
          <w:szCs w:val="18"/>
        </w:rPr>
        <w:t xml:space="preserve">, W.A. Chemical and Swelling Evaluations of Amino Group Crosslinking in </w:t>
      </w:r>
      <w:proofErr w:type="spellStart"/>
      <w:r w:rsidRPr="00CE4013">
        <w:rPr>
          <w:rFonts w:eastAsia="Times New Roman"/>
          <w:sz w:val="18"/>
          <w:szCs w:val="18"/>
        </w:rPr>
        <w:t>Gelatin</w:t>
      </w:r>
      <w:proofErr w:type="spellEnd"/>
      <w:r w:rsidRPr="00CE4013">
        <w:rPr>
          <w:rFonts w:eastAsia="Times New Roman"/>
          <w:sz w:val="18"/>
          <w:szCs w:val="18"/>
        </w:rPr>
        <w:t xml:space="preserve"> and Modified </w:t>
      </w:r>
      <w:proofErr w:type="spellStart"/>
      <w:r w:rsidRPr="00CE4013">
        <w:rPr>
          <w:rFonts w:eastAsia="Times New Roman"/>
          <w:sz w:val="18"/>
          <w:szCs w:val="18"/>
        </w:rPr>
        <w:t>Gelatin</w:t>
      </w:r>
      <w:proofErr w:type="spellEnd"/>
      <w:r w:rsidRPr="00CE4013">
        <w:rPr>
          <w:rFonts w:eastAsia="Times New Roman"/>
          <w:sz w:val="18"/>
          <w:szCs w:val="18"/>
        </w:rPr>
        <w:t xml:space="preserve"> Matrices. </w:t>
      </w:r>
      <w:r w:rsidRPr="00CE4013">
        <w:rPr>
          <w:rFonts w:eastAsia="Times New Roman"/>
          <w:i/>
          <w:iCs/>
          <w:sz w:val="18"/>
          <w:szCs w:val="18"/>
        </w:rPr>
        <w:t>Pharm. Res.</w:t>
      </w:r>
      <w:r w:rsidRPr="00CE4013">
        <w:rPr>
          <w:rFonts w:eastAsia="Times New Roman"/>
          <w:sz w:val="18"/>
          <w:szCs w:val="18"/>
        </w:rPr>
        <w:t xml:space="preserve"> </w:t>
      </w:r>
      <w:r w:rsidRPr="00CE4013">
        <w:rPr>
          <w:rFonts w:eastAsia="Times New Roman"/>
          <w:b/>
          <w:bCs/>
          <w:sz w:val="18"/>
          <w:szCs w:val="18"/>
        </w:rPr>
        <w:t>1996</w:t>
      </w:r>
      <w:r w:rsidRPr="00CE4013">
        <w:rPr>
          <w:rFonts w:eastAsia="Times New Roman"/>
          <w:bCs/>
          <w:sz w:val="18"/>
          <w:szCs w:val="18"/>
        </w:rPr>
        <w:t xml:space="preserve">, </w:t>
      </w:r>
      <w:r w:rsidRPr="00CE4013">
        <w:rPr>
          <w:rFonts w:eastAsia="Times New Roman"/>
          <w:bCs/>
          <w:i/>
          <w:sz w:val="18"/>
          <w:szCs w:val="18"/>
        </w:rPr>
        <w:t>13</w:t>
      </w:r>
      <w:r w:rsidRPr="00CE4013">
        <w:rPr>
          <w:rFonts w:eastAsia="Times New Roman"/>
          <w:bCs/>
          <w:sz w:val="18"/>
          <w:szCs w:val="18"/>
        </w:rPr>
        <w:t>, 1821–1827</w:t>
      </w:r>
      <w:r w:rsidRPr="00CE4013">
        <w:rPr>
          <w:rFonts w:eastAsia="Times New Roman"/>
          <w:sz w:val="18"/>
          <w:szCs w:val="18"/>
        </w:rPr>
        <w:t>. https://doi.org/10.1023/a:1016029023910.</w:t>
      </w:r>
    </w:p>
    <w:p w14:paraId="0155C6B1"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Sung, H.-W.; Huang, D.-M.; Chang, W.-H.; Huang, R.N.; Hsu, J.-C. Evaluation of </w:t>
      </w:r>
      <w:proofErr w:type="spellStart"/>
      <w:r w:rsidRPr="00CE4013">
        <w:rPr>
          <w:rFonts w:eastAsia="Times New Roman"/>
          <w:sz w:val="18"/>
          <w:szCs w:val="18"/>
        </w:rPr>
        <w:t>gelatin</w:t>
      </w:r>
      <w:proofErr w:type="spellEnd"/>
      <w:r w:rsidRPr="00CE4013">
        <w:rPr>
          <w:rFonts w:eastAsia="Times New Roman"/>
          <w:sz w:val="18"/>
          <w:szCs w:val="18"/>
        </w:rPr>
        <w:t xml:space="preserve"> hydrogel crosslinked with various crosslinking agents as </w:t>
      </w:r>
      <w:proofErr w:type="spellStart"/>
      <w:proofErr w:type="gramStart"/>
      <w:r w:rsidRPr="00CE4013">
        <w:rPr>
          <w:rFonts w:eastAsia="Times New Roman"/>
          <w:sz w:val="18"/>
          <w:szCs w:val="18"/>
        </w:rPr>
        <w:t>bioadhesives:In</w:t>
      </w:r>
      <w:proofErr w:type="spellEnd"/>
      <w:proofErr w:type="gramEnd"/>
      <w:r w:rsidRPr="00CE4013">
        <w:rPr>
          <w:rFonts w:eastAsia="Times New Roman"/>
          <w:sz w:val="18"/>
          <w:szCs w:val="18"/>
        </w:rPr>
        <w:t xml:space="preserve"> vitro study. </w:t>
      </w:r>
      <w:r w:rsidRPr="00CE4013">
        <w:rPr>
          <w:rFonts w:eastAsia="Times New Roman"/>
          <w:i/>
          <w:iCs/>
          <w:sz w:val="18"/>
          <w:szCs w:val="18"/>
        </w:rPr>
        <w:t>J. Biomed. Mater. Res.</w:t>
      </w:r>
      <w:r w:rsidRPr="00CE4013">
        <w:rPr>
          <w:rFonts w:eastAsia="Times New Roman"/>
          <w:sz w:val="18"/>
          <w:szCs w:val="18"/>
        </w:rPr>
        <w:t xml:space="preserve"> </w:t>
      </w:r>
      <w:r w:rsidRPr="00CE4013">
        <w:rPr>
          <w:rFonts w:eastAsia="Times New Roman"/>
          <w:b/>
          <w:bCs/>
          <w:sz w:val="18"/>
          <w:szCs w:val="18"/>
        </w:rPr>
        <w:t>1999</w:t>
      </w:r>
      <w:r w:rsidRPr="00CE4013">
        <w:rPr>
          <w:rFonts w:eastAsia="Times New Roman"/>
          <w:bCs/>
          <w:sz w:val="18"/>
          <w:szCs w:val="18"/>
        </w:rPr>
        <w:t xml:space="preserve">, </w:t>
      </w:r>
      <w:r w:rsidRPr="00CE4013">
        <w:rPr>
          <w:rFonts w:eastAsia="Times New Roman"/>
          <w:bCs/>
          <w:i/>
          <w:sz w:val="18"/>
          <w:szCs w:val="18"/>
        </w:rPr>
        <w:t>46</w:t>
      </w:r>
      <w:r w:rsidRPr="00CE4013">
        <w:rPr>
          <w:rFonts w:eastAsia="Times New Roman"/>
          <w:bCs/>
          <w:sz w:val="18"/>
          <w:szCs w:val="18"/>
        </w:rPr>
        <w:t>, 520–530</w:t>
      </w:r>
      <w:r w:rsidRPr="00CE4013">
        <w:rPr>
          <w:rFonts w:eastAsia="Times New Roman"/>
          <w:sz w:val="18"/>
          <w:szCs w:val="18"/>
        </w:rPr>
        <w:t>. https://doi.org/10.1002/(sici)1097-4636(19990915)46:4&lt;</w:t>
      </w:r>
      <w:proofErr w:type="gramStart"/>
      <w:r w:rsidRPr="00CE4013">
        <w:rPr>
          <w:rFonts w:eastAsia="Times New Roman"/>
          <w:sz w:val="18"/>
          <w:szCs w:val="18"/>
        </w:rPr>
        <w:t>520::</w:t>
      </w:r>
      <w:proofErr w:type="gramEnd"/>
      <w:r w:rsidRPr="00CE4013">
        <w:rPr>
          <w:rFonts w:eastAsia="Times New Roman"/>
          <w:sz w:val="18"/>
          <w:szCs w:val="18"/>
        </w:rPr>
        <w:t>aid-jbm10&gt;3.0.co;2-9.</w:t>
      </w:r>
    </w:p>
    <w:p w14:paraId="52B412CC"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Chen, Y.-S.; Chang, J.-Y.; Cheng, C.-Y.; Tsai, F.-J.; Yao, C.-H.; Liu, B.-S. An in vivo evaluation of a biodegradable </w:t>
      </w:r>
      <w:proofErr w:type="spellStart"/>
      <w:r w:rsidRPr="00CE4013">
        <w:rPr>
          <w:rFonts w:eastAsia="Times New Roman"/>
          <w:sz w:val="18"/>
          <w:szCs w:val="18"/>
        </w:rPr>
        <w:t>genipin</w:t>
      </w:r>
      <w:proofErr w:type="spellEnd"/>
      <w:r w:rsidRPr="00CE4013">
        <w:rPr>
          <w:rFonts w:eastAsia="Times New Roman"/>
          <w:sz w:val="18"/>
          <w:szCs w:val="18"/>
        </w:rPr>
        <w:t xml:space="preserve">-cross-linked </w:t>
      </w:r>
      <w:proofErr w:type="spellStart"/>
      <w:r w:rsidRPr="00CE4013">
        <w:rPr>
          <w:rFonts w:eastAsia="Times New Roman"/>
          <w:sz w:val="18"/>
          <w:szCs w:val="18"/>
        </w:rPr>
        <w:t>gelatin</w:t>
      </w:r>
      <w:proofErr w:type="spellEnd"/>
      <w:r w:rsidRPr="00CE4013">
        <w:rPr>
          <w:rFonts w:eastAsia="Times New Roman"/>
          <w:sz w:val="18"/>
          <w:szCs w:val="18"/>
        </w:rPr>
        <w:t xml:space="preserve"> peripheral nerve guide conduit material. </w:t>
      </w:r>
      <w:r w:rsidRPr="00CE4013">
        <w:rPr>
          <w:rFonts w:eastAsia="Times New Roman"/>
          <w:i/>
          <w:iCs/>
          <w:sz w:val="18"/>
          <w:szCs w:val="18"/>
        </w:rPr>
        <w:t>Biomaterials</w:t>
      </w:r>
      <w:r w:rsidRPr="00CE4013">
        <w:rPr>
          <w:rFonts w:eastAsia="Times New Roman"/>
          <w:sz w:val="18"/>
          <w:szCs w:val="18"/>
        </w:rPr>
        <w:t xml:space="preserve"> </w:t>
      </w:r>
      <w:r w:rsidRPr="00CE4013">
        <w:rPr>
          <w:rFonts w:eastAsia="Times New Roman"/>
          <w:b/>
          <w:bCs/>
          <w:sz w:val="18"/>
          <w:szCs w:val="18"/>
        </w:rPr>
        <w:t>2005</w:t>
      </w:r>
      <w:r w:rsidRPr="00CE4013">
        <w:rPr>
          <w:rFonts w:eastAsia="Times New Roman"/>
          <w:bCs/>
          <w:sz w:val="18"/>
          <w:szCs w:val="18"/>
        </w:rPr>
        <w:t xml:space="preserve">, </w:t>
      </w:r>
      <w:r w:rsidRPr="00CE4013">
        <w:rPr>
          <w:rFonts w:eastAsia="Times New Roman"/>
          <w:bCs/>
          <w:i/>
          <w:sz w:val="18"/>
          <w:szCs w:val="18"/>
        </w:rPr>
        <w:t>26</w:t>
      </w:r>
      <w:r w:rsidRPr="00CE4013">
        <w:rPr>
          <w:rFonts w:eastAsia="Times New Roman"/>
          <w:bCs/>
          <w:sz w:val="18"/>
          <w:szCs w:val="18"/>
        </w:rPr>
        <w:t>, 3911–3918</w:t>
      </w:r>
      <w:r w:rsidRPr="00CE4013">
        <w:rPr>
          <w:rFonts w:eastAsia="Times New Roman"/>
          <w:sz w:val="18"/>
          <w:szCs w:val="18"/>
        </w:rPr>
        <w:t>. https://doi.org/10.1016/j.biomaterials.2004.09.060.</w:t>
      </w:r>
    </w:p>
    <w:p w14:paraId="6141F32D"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Bertozzi</w:t>
      </w:r>
      <w:proofErr w:type="spellEnd"/>
      <w:r w:rsidRPr="00CE4013">
        <w:rPr>
          <w:rFonts w:eastAsia="Times New Roman"/>
          <w:sz w:val="18"/>
          <w:szCs w:val="18"/>
        </w:rPr>
        <w:t xml:space="preserve">, N.; </w:t>
      </w:r>
      <w:proofErr w:type="spellStart"/>
      <w:r w:rsidRPr="00CE4013">
        <w:rPr>
          <w:rFonts w:eastAsia="Times New Roman"/>
          <w:sz w:val="18"/>
          <w:szCs w:val="18"/>
        </w:rPr>
        <w:t>Simonacci</w:t>
      </w:r>
      <w:proofErr w:type="spellEnd"/>
      <w:r w:rsidRPr="00CE4013">
        <w:rPr>
          <w:rFonts w:eastAsia="Times New Roman"/>
          <w:sz w:val="18"/>
          <w:szCs w:val="18"/>
        </w:rPr>
        <w:t xml:space="preserve">, F.; </w:t>
      </w:r>
      <w:proofErr w:type="spellStart"/>
      <w:r w:rsidRPr="00CE4013">
        <w:rPr>
          <w:rFonts w:eastAsia="Times New Roman"/>
          <w:sz w:val="18"/>
          <w:szCs w:val="18"/>
        </w:rPr>
        <w:t>Grieco</w:t>
      </w:r>
      <w:proofErr w:type="spellEnd"/>
      <w:r w:rsidRPr="00CE4013">
        <w:rPr>
          <w:rFonts w:eastAsia="Times New Roman"/>
          <w:sz w:val="18"/>
          <w:szCs w:val="18"/>
        </w:rPr>
        <w:t xml:space="preserve">, M.P.; </w:t>
      </w:r>
      <w:proofErr w:type="spellStart"/>
      <w:r w:rsidRPr="00CE4013">
        <w:rPr>
          <w:rFonts w:eastAsia="Times New Roman"/>
          <w:sz w:val="18"/>
          <w:szCs w:val="18"/>
        </w:rPr>
        <w:t>Grignaffini</w:t>
      </w:r>
      <w:proofErr w:type="spellEnd"/>
      <w:r w:rsidRPr="00CE4013">
        <w:rPr>
          <w:rFonts w:eastAsia="Times New Roman"/>
          <w:sz w:val="18"/>
          <w:szCs w:val="18"/>
        </w:rPr>
        <w:t xml:space="preserve">, E.; </w:t>
      </w:r>
      <w:proofErr w:type="spellStart"/>
      <w:r w:rsidRPr="00CE4013">
        <w:rPr>
          <w:rFonts w:eastAsia="Times New Roman"/>
          <w:sz w:val="18"/>
          <w:szCs w:val="18"/>
        </w:rPr>
        <w:t>Raposio</w:t>
      </w:r>
      <w:proofErr w:type="spellEnd"/>
      <w:r w:rsidRPr="00CE4013">
        <w:rPr>
          <w:rFonts w:eastAsia="Times New Roman"/>
          <w:sz w:val="18"/>
          <w:szCs w:val="18"/>
        </w:rPr>
        <w:t xml:space="preserve">, E. The biological and clinical basis for the use of adipose-derived stem cells in the field of wound healing. </w:t>
      </w:r>
      <w:r w:rsidRPr="00CE4013">
        <w:rPr>
          <w:rFonts w:eastAsia="Times New Roman"/>
          <w:i/>
          <w:iCs/>
          <w:sz w:val="18"/>
          <w:szCs w:val="18"/>
        </w:rPr>
        <w:t>Ann. Med. Surg.</w:t>
      </w:r>
      <w:r w:rsidRPr="00CE4013">
        <w:rPr>
          <w:rFonts w:eastAsia="Times New Roman"/>
          <w:sz w:val="18"/>
          <w:szCs w:val="18"/>
        </w:rPr>
        <w:t xml:space="preserve"> </w:t>
      </w:r>
      <w:r w:rsidRPr="00CE4013">
        <w:rPr>
          <w:rFonts w:eastAsia="Times New Roman"/>
          <w:b/>
          <w:bCs/>
          <w:sz w:val="18"/>
          <w:szCs w:val="18"/>
        </w:rPr>
        <w:t>2017</w:t>
      </w:r>
      <w:r w:rsidRPr="00CE4013">
        <w:rPr>
          <w:rFonts w:eastAsia="Times New Roman"/>
          <w:bCs/>
          <w:sz w:val="18"/>
          <w:szCs w:val="18"/>
        </w:rPr>
        <w:t xml:space="preserve">, </w:t>
      </w:r>
      <w:r w:rsidRPr="00CE4013">
        <w:rPr>
          <w:rFonts w:eastAsia="Times New Roman"/>
          <w:bCs/>
          <w:i/>
          <w:sz w:val="18"/>
          <w:szCs w:val="18"/>
        </w:rPr>
        <w:t>20</w:t>
      </w:r>
      <w:r w:rsidRPr="00CE4013">
        <w:rPr>
          <w:rFonts w:eastAsia="Times New Roman"/>
          <w:bCs/>
          <w:sz w:val="18"/>
          <w:szCs w:val="18"/>
        </w:rPr>
        <w:t>, 41–48</w:t>
      </w:r>
      <w:r w:rsidRPr="00CE4013">
        <w:rPr>
          <w:rFonts w:eastAsia="Times New Roman"/>
          <w:sz w:val="18"/>
          <w:szCs w:val="18"/>
        </w:rPr>
        <w:t>. https://doi.org/10.1016/j.amsu.2017.06.058.</w:t>
      </w:r>
    </w:p>
    <w:p w14:paraId="3A1AED33"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Chen, P.-Y.; Yang, K.-C.; Wu, C.-C.; Yu, J.-H.; Lin, F.-H.; Sun, J.-S. Fabrication of large </w:t>
      </w:r>
      <w:proofErr w:type="spellStart"/>
      <w:r w:rsidRPr="00CE4013">
        <w:rPr>
          <w:rFonts w:eastAsia="Times New Roman"/>
          <w:sz w:val="18"/>
          <w:szCs w:val="18"/>
        </w:rPr>
        <w:t>perfusable</w:t>
      </w:r>
      <w:proofErr w:type="spellEnd"/>
      <w:r w:rsidRPr="00CE4013">
        <w:rPr>
          <w:rFonts w:eastAsia="Times New Roman"/>
          <w:sz w:val="18"/>
          <w:szCs w:val="18"/>
        </w:rPr>
        <w:t xml:space="preserve"> </w:t>
      </w:r>
      <w:proofErr w:type="spellStart"/>
      <w:r w:rsidRPr="00CE4013">
        <w:rPr>
          <w:rFonts w:eastAsia="Times New Roman"/>
          <w:sz w:val="18"/>
          <w:szCs w:val="18"/>
        </w:rPr>
        <w:t>macroporous</w:t>
      </w:r>
      <w:proofErr w:type="spellEnd"/>
      <w:r w:rsidRPr="00CE4013">
        <w:rPr>
          <w:rFonts w:eastAsia="Times New Roman"/>
          <w:sz w:val="18"/>
          <w:szCs w:val="18"/>
        </w:rPr>
        <w:t xml:space="preserve"> cell-laden hydrogel scaffolds using microbial transglutaminase. </w:t>
      </w:r>
      <w:r w:rsidRPr="00CE4013">
        <w:rPr>
          <w:rFonts w:eastAsia="Times New Roman"/>
          <w:i/>
          <w:iCs/>
          <w:sz w:val="18"/>
          <w:szCs w:val="18"/>
        </w:rPr>
        <w:t xml:space="preserve">Acta </w:t>
      </w:r>
      <w:proofErr w:type="spellStart"/>
      <w:r w:rsidRPr="00CE4013">
        <w:rPr>
          <w:rFonts w:eastAsia="Times New Roman"/>
          <w:i/>
          <w:iCs/>
          <w:sz w:val="18"/>
          <w:szCs w:val="18"/>
        </w:rPr>
        <w:t>Biomater</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2014</w:t>
      </w:r>
      <w:r w:rsidRPr="00CE4013">
        <w:rPr>
          <w:rFonts w:eastAsia="Times New Roman"/>
          <w:bCs/>
          <w:sz w:val="18"/>
          <w:szCs w:val="18"/>
        </w:rPr>
        <w:t xml:space="preserve">, </w:t>
      </w:r>
      <w:r w:rsidRPr="00CE4013">
        <w:rPr>
          <w:rFonts w:eastAsia="Times New Roman"/>
          <w:bCs/>
          <w:i/>
          <w:sz w:val="18"/>
          <w:szCs w:val="18"/>
        </w:rPr>
        <w:t>10</w:t>
      </w:r>
      <w:r w:rsidRPr="00CE4013">
        <w:rPr>
          <w:rFonts w:eastAsia="Times New Roman"/>
          <w:bCs/>
          <w:sz w:val="18"/>
          <w:szCs w:val="18"/>
        </w:rPr>
        <w:t>, 912–920</w:t>
      </w:r>
      <w:r w:rsidRPr="00CE4013">
        <w:rPr>
          <w:rFonts w:eastAsia="Times New Roman"/>
          <w:sz w:val="18"/>
          <w:szCs w:val="18"/>
        </w:rPr>
        <w:t>. https://doi.org/10.1016/j.actbio.2013.11.009.</w:t>
      </w:r>
    </w:p>
    <w:p w14:paraId="360A8DED"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Das, S.; Pati, F.; Choi, Y.-J.; </w:t>
      </w:r>
      <w:proofErr w:type="spellStart"/>
      <w:r w:rsidRPr="00CE4013">
        <w:rPr>
          <w:rFonts w:eastAsia="Times New Roman"/>
          <w:sz w:val="18"/>
          <w:szCs w:val="18"/>
        </w:rPr>
        <w:t>Rijal</w:t>
      </w:r>
      <w:proofErr w:type="spellEnd"/>
      <w:r w:rsidRPr="00CE4013">
        <w:rPr>
          <w:rFonts w:eastAsia="Times New Roman"/>
          <w:sz w:val="18"/>
          <w:szCs w:val="18"/>
        </w:rPr>
        <w:t xml:space="preserve">, G.; Shim, J.-H.; Kim, S.W.; Ray, A.R.; Cho, D.-W.; Ghosh, S. </w:t>
      </w:r>
      <w:proofErr w:type="spellStart"/>
      <w:r w:rsidRPr="00CE4013">
        <w:rPr>
          <w:rFonts w:eastAsia="Times New Roman"/>
          <w:sz w:val="18"/>
          <w:szCs w:val="18"/>
        </w:rPr>
        <w:t>Bioprintable</w:t>
      </w:r>
      <w:proofErr w:type="spellEnd"/>
      <w:r w:rsidRPr="00CE4013">
        <w:rPr>
          <w:rFonts w:eastAsia="Times New Roman"/>
          <w:sz w:val="18"/>
          <w:szCs w:val="18"/>
        </w:rPr>
        <w:t>, cell-laden silk fibroin–</w:t>
      </w:r>
      <w:proofErr w:type="spellStart"/>
      <w:r w:rsidRPr="00CE4013">
        <w:rPr>
          <w:rFonts w:eastAsia="Times New Roman"/>
          <w:sz w:val="18"/>
          <w:szCs w:val="18"/>
        </w:rPr>
        <w:t>gelatin</w:t>
      </w:r>
      <w:proofErr w:type="spellEnd"/>
      <w:r w:rsidRPr="00CE4013">
        <w:rPr>
          <w:rFonts w:eastAsia="Times New Roman"/>
          <w:sz w:val="18"/>
          <w:szCs w:val="18"/>
        </w:rPr>
        <w:t xml:space="preserve"> hydrogel supporting multilineage differentiation of stem cells for fabrication of three-dimensional tissue constructs. </w:t>
      </w:r>
      <w:r w:rsidRPr="00CE4013">
        <w:rPr>
          <w:rFonts w:eastAsia="Times New Roman"/>
          <w:i/>
          <w:iCs/>
          <w:sz w:val="18"/>
          <w:szCs w:val="18"/>
        </w:rPr>
        <w:t xml:space="preserve">Acta </w:t>
      </w:r>
      <w:proofErr w:type="spellStart"/>
      <w:r w:rsidRPr="00CE4013">
        <w:rPr>
          <w:rFonts w:eastAsia="Times New Roman"/>
          <w:i/>
          <w:iCs/>
          <w:sz w:val="18"/>
          <w:szCs w:val="18"/>
        </w:rPr>
        <w:t>Biomater</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2014</w:t>
      </w:r>
      <w:r w:rsidRPr="00CE4013">
        <w:rPr>
          <w:rFonts w:eastAsia="Times New Roman"/>
          <w:bCs/>
          <w:sz w:val="18"/>
          <w:szCs w:val="18"/>
        </w:rPr>
        <w:t xml:space="preserve">, </w:t>
      </w:r>
      <w:r w:rsidRPr="00CE4013">
        <w:rPr>
          <w:rFonts w:eastAsia="Times New Roman"/>
          <w:bCs/>
          <w:i/>
          <w:sz w:val="18"/>
          <w:szCs w:val="18"/>
        </w:rPr>
        <w:t>11</w:t>
      </w:r>
      <w:r w:rsidRPr="00CE4013">
        <w:rPr>
          <w:rFonts w:eastAsia="Times New Roman"/>
          <w:bCs/>
          <w:sz w:val="18"/>
          <w:szCs w:val="18"/>
        </w:rPr>
        <w:t>, 233–246</w:t>
      </w:r>
      <w:r w:rsidRPr="00CE4013">
        <w:rPr>
          <w:rFonts w:eastAsia="Times New Roman"/>
          <w:sz w:val="18"/>
          <w:szCs w:val="18"/>
        </w:rPr>
        <w:t>. https://doi.org/10.1016/j.actbio.2014.09.023.</w:t>
      </w:r>
    </w:p>
    <w:p w14:paraId="4DF3931D"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lastRenderedPageBreak/>
        <w:t xml:space="preserve">Yue, K.; Trujillo-de Santiago, G.; Alvarez, M.M.; </w:t>
      </w:r>
      <w:proofErr w:type="spellStart"/>
      <w:r w:rsidRPr="00CE4013">
        <w:rPr>
          <w:rFonts w:eastAsia="Times New Roman"/>
          <w:sz w:val="18"/>
          <w:szCs w:val="18"/>
        </w:rPr>
        <w:t>Tamayol</w:t>
      </w:r>
      <w:proofErr w:type="spellEnd"/>
      <w:r w:rsidRPr="00CE4013">
        <w:rPr>
          <w:rFonts w:eastAsia="Times New Roman"/>
          <w:sz w:val="18"/>
          <w:szCs w:val="18"/>
        </w:rPr>
        <w:t xml:space="preserve">, A.; </w:t>
      </w:r>
      <w:proofErr w:type="spellStart"/>
      <w:r w:rsidRPr="00CE4013">
        <w:rPr>
          <w:rFonts w:eastAsia="Times New Roman"/>
          <w:sz w:val="18"/>
          <w:szCs w:val="18"/>
        </w:rPr>
        <w:t>Annabi</w:t>
      </w:r>
      <w:proofErr w:type="spellEnd"/>
      <w:r w:rsidRPr="00CE4013">
        <w:rPr>
          <w:rFonts w:eastAsia="Times New Roman"/>
          <w:sz w:val="18"/>
          <w:szCs w:val="18"/>
        </w:rPr>
        <w:t xml:space="preserve">, N.; </w:t>
      </w:r>
      <w:proofErr w:type="spellStart"/>
      <w:r w:rsidRPr="00CE4013">
        <w:rPr>
          <w:rFonts w:eastAsia="Times New Roman"/>
          <w:sz w:val="18"/>
          <w:szCs w:val="18"/>
        </w:rPr>
        <w:t>Khademhosseini</w:t>
      </w:r>
      <w:proofErr w:type="spellEnd"/>
      <w:r w:rsidRPr="00CE4013">
        <w:rPr>
          <w:rFonts w:eastAsia="Times New Roman"/>
          <w:sz w:val="18"/>
          <w:szCs w:val="18"/>
        </w:rPr>
        <w:t xml:space="preserve">, A. Synthesis, properties, and biomedical applications of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 xml:space="preserve"> (</w:t>
      </w:r>
      <w:proofErr w:type="spellStart"/>
      <w:r w:rsidRPr="00CE4013">
        <w:rPr>
          <w:rFonts w:eastAsia="Times New Roman"/>
          <w:sz w:val="18"/>
          <w:szCs w:val="18"/>
        </w:rPr>
        <w:t>GelMA</w:t>
      </w:r>
      <w:proofErr w:type="spellEnd"/>
      <w:r w:rsidRPr="00CE4013">
        <w:rPr>
          <w:rFonts w:eastAsia="Times New Roman"/>
          <w:sz w:val="18"/>
          <w:szCs w:val="18"/>
        </w:rPr>
        <w:t xml:space="preserve">) hydrogels. </w:t>
      </w:r>
      <w:r w:rsidRPr="00CE4013">
        <w:rPr>
          <w:rFonts w:eastAsia="Times New Roman"/>
          <w:i/>
          <w:iCs/>
          <w:sz w:val="18"/>
          <w:szCs w:val="18"/>
        </w:rPr>
        <w:t xml:space="preserve">Biomaterials </w:t>
      </w:r>
      <w:r w:rsidRPr="00CE4013">
        <w:rPr>
          <w:rFonts w:eastAsia="Times New Roman"/>
          <w:b/>
          <w:bCs/>
          <w:sz w:val="18"/>
          <w:szCs w:val="18"/>
        </w:rPr>
        <w:t>2015</w:t>
      </w:r>
      <w:r w:rsidRPr="00CE4013">
        <w:rPr>
          <w:rFonts w:eastAsia="Times New Roman"/>
          <w:bCs/>
          <w:sz w:val="18"/>
          <w:szCs w:val="18"/>
        </w:rPr>
        <w:t xml:space="preserve">, </w:t>
      </w:r>
      <w:r w:rsidRPr="00CE4013">
        <w:rPr>
          <w:rFonts w:eastAsia="Times New Roman"/>
          <w:bCs/>
          <w:i/>
          <w:sz w:val="18"/>
          <w:szCs w:val="18"/>
        </w:rPr>
        <w:t>73</w:t>
      </w:r>
      <w:r w:rsidRPr="00CE4013">
        <w:rPr>
          <w:rFonts w:eastAsia="Times New Roman"/>
          <w:bCs/>
          <w:sz w:val="18"/>
          <w:szCs w:val="18"/>
        </w:rPr>
        <w:t>, 254–271</w:t>
      </w:r>
      <w:r w:rsidRPr="00CE4013">
        <w:rPr>
          <w:rFonts w:eastAsia="Times New Roman"/>
          <w:sz w:val="18"/>
          <w:szCs w:val="18"/>
        </w:rPr>
        <w:t>. https://doi.org/10.1016/j.biomaterials.2015.08.045.</w:t>
      </w:r>
    </w:p>
    <w:p w14:paraId="145FAD75"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Van Den </w:t>
      </w:r>
      <w:proofErr w:type="spellStart"/>
      <w:r w:rsidRPr="004F44BF">
        <w:rPr>
          <w:rFonts w:eastAsia="Times New Roman"/>
          <w:sz w:val="18"/>
          <w:szCs w:val="18"/>
        </w:rPr>
        <w:t>Bulcke</w:t>
      </w:r>
      <w:proofErr w:type="spellEnd"/>
      <w:r w:rsidRPr="004F44BF">
        <w:rPr>
          <w:rFonts w:eastAsia="Times New Roman"/>
          <w:sz w:val="18"/>
          <w:szCs w:val="18"/>
        </w:rPr>
        <w:t xml:space="preserve">, A.I.; Bogdanov, B.; De </w:t>
      </w:r>
      <w:proofErr w:type="spellStart"/>
      <w:r w:rsidRPr="004F44BF">
        <w:rPr>
          <w:rFonts w:eastAsia="Times New Roman"/>
          <w:sz w:val="18"/>
          <w:szCs w:val="18"/>
        </w:rPr>
        <w:t>Rooze</w:t>
      </w:r>
      <w:proofErr w:type="spellEnd"/>
      <w:r w:rsidRPr="004F44BF">
        <w:rPr>
          <w:rFonts w:eastAsia="Times New Roman"/>
          <w:sz w:val="18"/>
          <w:szCs w:val="18"/>
        </w:rPr>
        <w:t xml:space="preserve">, N.; Schacht, E.H.; Cornelissen, M.; </w:t>
      </w:r>
      <w:proofErr w:type="spellStart"/>
      <w:r w:rsidRPr="004F44BF">
        <w:rPr>
          <w:rFonts w:eastAsia="Times New Roman"/>
          <w:sz w:val="18"/>
          <w:szCs w:val="18"/>
        </w:rPr>
        <w:t>Berghmans</w:t>
      </w:r>
      <w:proofErr w:type="spellEnd"/>
      <w:r w:rsidRPr="004F44BF">
        <w:rPr>
          <w:rFonts w:eastAsia="Times New Roman"/>
          <w:sz w:val="18"/>
          <w:szCs w:val="18"/>
        </w:rPr>
        <w:t xml:space="preserve">, H. Structural and Rheological Properties of </w:t>
      </w:r>
      <w:proofErr w:type="spellStart"/>
      <w:r w:rsidRPr="004F44BF">
        <w:rPr>
          <w:rFonts w:eastAsia="Times New Roman"/>
          <w:sz w:val="18"/>
          <w:szCs w:val="18"/>
        </w:rPr>
        <w:t>Methacrylamide</w:t>
      </w:r>
      <w:proofErr w:type="spellEnd"/>
      <w:r w:rsidRPr="004F44BF">
        <w:rPr>
          <w:rFonts w:eastAsia="Times New Roman"/>
          <w:sz w:val="18"/>
          <w:szCs w:val="18"/>
        </w:rPr>
        <w:t xml:space="preserve"> Modified </w:t>
      </w:r>
      <w:proofErr w:type="spellStart"/>
      <w:r w:rsidRPr="004F44BF">
        <w:rPr>
          <w:rFonts w:eastAsia="Times New Roman"/>
          <w:sz w:val="18"/>
          <w:szCs w:val="18"/>
        </w:rPr>
        <w:t>Gelatin</w:t>
      </w:r>
      <w:proofErr w:type="spellEnd"/>
      <w:r w:rsidRPr="004F44BF">
        <w:rPr>
          <w:rFonts w:eastAsia="Times New Roman"/>
          <w:sz w:val="18"/>
          <w:szCs w:val="18"/>
        </w:rPr>
        <w:t xml:space="preserve"> Hydrogels. </w:t>
      </w:r>
      <w:r w:rsidRPr="004F44BF">
        <w:rPr>
          <w:rFonts w:eastAsia="Times New Roman"/>
          <w:i/>
          <w:iCs/>
          <w:sz w:val="18"/>
          <w:szCs w:val="18"/>
        </w:rPr>
        <w:t>Biomacromolecules</w:t>
      </w:r>
      <w:r w:rsidRPr="004F44BF">
        <w:rPr>
          <w:rFonts w:eastAsia="Times New Roman"/>
          <w:sz w:val="18"/>
          <w:szCs w:val="18"/>
        </w:rPr>
        <w:t xml:space="preserve"> </w:t>
      </w:r>
      <w:r>
        <w:rPr>
          <w:rFonts w:eastAsia="Times New Roman"/>
          <w:b/>
          <w:bCs/>
          <w:sz w:val="18"/>
          <w:szCs w:val="18"/>
        </w:rPr>
        <w:t>2000</w:t>
      </w:r>
      <w:r>
        <w:rPr>
          <w:rFonts w:eastAsia="Times New Roman"/>
          <w:bCs/>
          <w:sz w:val="18"/>
          <w:szCs w:val="18"/>
        </w:rPr>
        <w:t xml:space="preserve">, </w:t>
      </w:r>
      <w:r>
        <w:rPr>
          <w:rFonts w:eastAsia="Times New Roman"/>
          <w:bCs/>
          <w:i/>
          <w:sz w:val="18"/>
          <w:szCs w:val="18"/>
        </w:rPr>
        <w:t>1</w:t>
      </w:r>
      <w:r>
        <w:rPr>
          <w:rFonts w:eastAsia="Times New Roman"/>
          <w:bCs/>
          <w:sz w:val="18"/>
          <w:szCs w:val="18"/>
        </w:rPr>
        <w:t>, 31–38</w:t>
      </w:r>
      <w:r w:rsidRPr="004F44BF">
        <w:rPr>
          <w:rFonts w:eastAsia="Times New Roman"/>
          <w:sz w:val="18"/>
          <w:szCs w:val="18"/>
        </w:rPr>
        <w:t>. https://doi.org/10.1021/bm990017d.</w:t>
      </w:r>
    </w:p>
    <w:p w14:paraId="358E26E3"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Nichol, J.W.; Koshy, S.T.; Bae, H.; Hwang, C.M.; </w:t>
      </w:r>
      <w:proofErr w:type="spellStart"/>
      <w:r w:rsidRPr="004F44BF">
        <w:rPr>
          <w:rFonts w:eastAsia="Times New Roman"/>
          <w:sz w:val="18"/>
          <w:szCs w:val="18"/>
        </w:rPr>
        <w:t>Yamanlar</w:t>
      </w:r>
      <w:proofErr w:type="spellEnd"/>
      <w:r w:rsidRPr="004F44BF">
        <w:rPr>
          <w:rFonts w:eastAsia="Times New Roman"/>
          <w:sz w:val="18"/>
          <w:szCs w:val="18"/>
        </w:rPr>
        <w:t xml:space="preserve">, S.; </w:t>
      </w:r>
      <w:proofErr w:type="spellStart"/>
      <w:r w:rsidRPr="004F44BF">
        <w:rPr>
          <w:rFonts w:eastAsia="Times New Roman"/>
          <w:sz w:val="18"/>
          <w:szCs w:val="18"/>
        </w:rPr>
        <w:t>Khademhosseini</w:t>
      </w:r>
      <w:proofErr w:type="spellEnd"/>
      <w:r w:rsidRPr="004F44BF">
        <w:rPr>
          <w:rFonts w:eastAsia="Times New Roman"/>
          <w:sz w:val="18"/>
          <w:szCs w:val="18"/>
        </w:rPr>
        <w:t xml:space="preserve">, A. Cell-laden </w:t>
      </w:r>
      <w:proofErr w:type="spellStart"/>
      <w:r w:rsidRPr="004F44BF">
        <w:rPr>
          <w:rFonts w:eastAsia="Times New Roman"/>
          <w:sz w:val="18"/>
          <w:szCs w:val="18"/>
        </w:rPr>
        <w:t>microengineered</w:t>
      </w:r>
      <w:proofErr w:type="spellEnd"/>
      <w:r w:rsidRPr="004F44BF">
        <w:rPr>
          <w:rFonts w:eastAsia="Times New Roman"/>
          <w:sz w:val="18"/>
          <w:szCs w:val="18"/>
        </w:rPr>
        <w:t xml:space="preserve"> </w:t>
      </w:r>
      <w:proofErr w:type="spellStart"/>
      <w:r w:rsidRPr="004F44BF">
        <w:rPr>
          <w:rFonts w:eastAsia="Times New Roman"/>
          <w:sz w:val="18"/>
          <w:szCs w:val="18"/>
        </w:rPr>
        <w:t>gelatin</w:t>
      </w:r>
      <w:proofErr w:type="spellEnd"/>
      <w:r w:rsidRPr="004F44BF">
        <w:rPr>
          <w:rFonts w:eastAsia="Times New Roman"/>
          <w:sz w:val="18"/>
          <w:szCs w:val="18"/>
        </w:rPr>
        <w:t xml:space="preserve"> meth-acrylate hydrogels. </w:t>
      </w:r>
      <w:r w:rsidRPr="004F44BF">
        <w:rPr>
          <w:rFonts w:eastAsia="Times New Roman"/>
          <w:i/>
          <w:iCs/>
          <w:sz w:val="18"/>
          <w:szCs w:val="18"/>
        </w:rPr>
        <w:t>Biomaterials</w:t>
      </w:r>
      <w:r w:rsidRPr="004F44BF">
        <w:rPr>
          <w:rFonts w:eastAsia="Times New Roman"/>
          <w:sz w:val="18"/>
          <w:szCs w:val="18"/>
        </w:rPr>
        <w:t xml:space="preserve"> </w:t>
      </w:r>
      <w:r>
        <w:rPr>
          <w:rFonts w:eastAsia="Times New Roman"/>
          <w:b/>
          <w:sz w:val="18"/>
          <w:szCs w:val="18"/>
        </w:rPr>
        <w:t>2010</w:t>
      </w:r>
      <w:r>
        <w:rPr>
          <w:rFonts w:eastAsia="Times New Roman"/>
          <w:sz w:val="18"/>
          <w:szCs w:val="18"/>
        </w:rPr>
        <w:t xml:space="preserve">, </w:t>
      </w:r>
      <w:r>
        <w:rPr>
          <w:rFonts w:eastAsia="Times New Roman"/>
          <w:i/>
          <w:sz w:val="18"/>
          <w:szCs w:val="18"/>
        </w:rPr>
        <w:t>31</w:t>
      </w:r>
      <w:r>
        <w:rPr>
          <w:rFonts w:eastAsia="Times New Roman"/>
          <w:sz w:val="18"/>
          <w:szCs w:val="18"/>
        </w:rPr>
        <w:t>, 5536–5544</w:t>
      </w:r>
      <w:r w:rsidRPr="004F44BF">
        <w:rPr>
          <w:rFonts w:eastAsia="Times New Roman"/>
          <w:sz w:val="18"/>
          <w:szCs w:val="18"/>
        </w:rPr>
        <w:t>.</w:t>
      </w:r>
    </w:p>
    <w:p w14:paraId="2976B3F3"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Hutson, C.B.; Nichol, J.W.; </w:t>
      </w:r>
      <w:r w:rsidRPr="00CE4013">
        <w:rPr>
          <w:rFonts w:eastAsia="Times New Roman"/>
          <w:sz w:val="18"/>
          <w:szCs w:val="18"/>
        </w:rPr>
        <w:t xml:space="preserve">Aubin, H.; Bae, H.; </w:t>
      </w:r>
      <w:proofErr w:type="spellStart"/>
      <w:r w:rsidRPr="00CE4013">
        <w:rPr>
          <w:rFonts w:eastAsia="Times New Roman"/>
          <w:sz w:val="18"/>
          <w:szCs w:val="18"/>
        </w:rPr>
        <w:t>Yamanlar</w:t>
      </w:r>
      <w:proofErr w:type="spellEnd"/>
      <w:r w:rsidRPr="00CE4013">
        <w:rPr>
          <w:rFonts w:eastAsia="Times New Roman"/>
          <w:sz w:val="18"/>
          <w:szCs w:val="18"/>
        </w:rPr>
        <w:t xml:space="preserve">, S.; Al-Haque, S.; Koshy, S.T.; </w:t>
      </w:r>
      <w:proofErr w:type="spellStart"/>
      <w:r w:rsidRPr="00CE4013">
        <w:rPr>
          <w:rFonts w:eastAsia="Times New Roman"/>
          <w:sz w:val="18"/>
          <w:szCs w:val="18"/>
        </w:rPr>
        <w:t>Khademhosseini</w:t>
      </w:r>
      <w:proofErr w:type="spellEnd"/>
      <w:r w:rsidRPr="00CE4013">
        <w:rPr>
          <w:rFonts w:eastAsia="Times New Roman"/>
          <w:sz w:val="18"/>
          <w:szCs w:val="18"/>
        </w:rPr>
        <w:t>, A. Synthesis and char-</w:t>
      </w:r>
      <w:proofErr w:type="spellStart"/>
      <w:r w:rsidRPr="00CE4013">
        <w:rPr>
          <w:rFonts w:eastAsia="Times New Roman"/>
          <w:sz w:val="18"/>
          <w:szCs w:val="18"/>
        </w:rPr>
        <w:t>acterization</w:t>
      </w:r>
      <w:proofErr w:type="spellEnd"/>
      <w:r w:rsidRPr="00CE4013">
        <w:rPr>
          <w:rFonts w:eastAsia="Times New Roman"/>
          <w:sz w:val="18"/>
          <w:szCs w:val="18"/>
        </w:rPr>
        <w:t xml:space="preserve"> of </w:t>
      </w:r>
      <w:proofErr w:type="spellStart"/>
      <w:r w:rsidRPr="00CE4013">
        <w:rPr>
          <w:rFonts w:eastAsia="Times New Roman"/>
          <w:sz w:val="18"/>
          <w:szCs w:val="18"/>
        </w:rPr>
        <w:t>tunable</w:t>
      </w:r>
      <w:proofErr w:type="spellEnd"/>
      <w:r w:rsidRPr="00CE4013">
        <w:rPr>
          <w:rFonts w:eastAsia="Times New Roman"/>
          <w:sz w:val="18"/>
          <w:szCs w:val="18"/>
        </w:rPr>
        <w:t xml:space="preserve"> poly (ethylene glycol): </w:t>
      </w:r>
      <w:proofErr w:type="spellStart"/>
      <w:r w:rsidRPr="00CE4013">
        <w:rPr>
          <w:rFonts w:eastAsia="Times New Roman"/>
          <w:sz w:val="18"/>
          <w:szCs w:val="18"/>
        </w:rPr>
        <w:t>Gelatin</w:t>
      </w:r>
      <w:proofErr w:type="spellEnd"/>
      <w:r w:rsidRPr="00CE4013">
        <w:rPr>
          <w:rFonts w:eastAsia="Times New Roman"/>
          <w:sz w:val="18"/>
          <w:szCs w:val="18"/>
        </w:rPr>
        <w:t xml:space="preserve"> methacrylate composite hydrogels. </w:t>
      </w:r>
      <w:r w:rsidRPr="00CE4013">
        <w:rPr>
          <w:rFonts w:eastAsia="Times New Roman"/>
          <w:i/>
          <w:iCs/>
          <w:sz w:val="18"/>
          <w:szCs w:val="18"/>
        </w:rPr>
        <w:t>Tissue Eng. Part A</w:t>
      </w:r>
      <w:r w:rsidRPr="00CE4013">
        <w:rPr>
          <w:rFonts w:eastAsia="Times New Roman"/>
          <w:sz w:val="18"/>
          <w:szCs w:val="18"/>
        </w:rPr>
        <w:t xml:space="preserve"> </w:t>
      </w:r>
      <w:r w:rsidRPr="00CE4013">
        <w:rPr>
          <w:rFonts w:eastAsia="Times New Roman"/>
          <w:b/>
          <w:sz w:val="18"/>
          <w:szCs w:val="18"/>
        </w:rPr>
        <w:t>2011</w:t>
      </w:r>
      <w:r w:rsidRPr="00CE4013">
        <w:rPr>
          <w:rFonts w:eastAsia="Times New Roman"/>
          <w:sz w:val="18"/>
          <w:szCs w:val="18"/>
        </w:rPr>
        <w:t xml:space="preserve">, </w:t>
      </w:r>
      <w:r w:rsidRPr="00CE4013">
        <w:rPr>
          <w:rFonts w:eastAsia="Times New Roman"/>
          <w:i/>
          <w:sz w:val="18"/>
          <w:szCs w:val="18"/>
        </w:rPr>
        <w:t>17</w:t>
      </w:r>
      <w:r w:rsidRPr="00CE4013">
        <w:rPr>
          <w:rFonts w:eastAsia="Times New Roman"/>
          <w:sz w:val="18"/>
          <w:szCs w:val="18"/>
        </w:rPr>
        <w:t>, 1713–1723.</w:t>
      </w:r>
    </w:p>
    <w:p w14:paraId="49E230D1"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Chen, M.B.; </w:t>
      </w:r>
      <w:proofErr w:type="spellStart"/>
      <w:r w:rsidRPr="00CE4013">
        <w:rPr>
          <w:rFonts w:eastAsia="Times New Roman"/>
          <w:sz w:val="18"/>
          <w:szCs w:val="18"/>
        </w:rPr>
        <w:t>Srigunapalan</w:t>
      </w:r>
      <w:proofErr w:type="spellEnd"/>
      <w:r w:rsidRPr="00CE4013">
        <w:rPr>
          <w:rFonts w:eastAsia="Times New Roman"/>
          <w:sz w:val="18"/>
          <w:szCs w:val="18"/>
        </w:rPr>
        <w:t xml:space="preserve">, S.; Wheeler, A.R.; Simmons, C.A. A 3D microfluidic platform incorporating </w:t>
      </w:r>
      <w:proofErr w:type="spellStart"/>
      <w:r w:rsidRPr="00CE4013">
        <w:rPr>
          <w:rFonts w:eastAsia="Times New Roman"/>
          <w:sz w:val="18"/>
          <w:szCs w:val="18"/>
        </w:rPr>
        <w:t>methacrylated</w:t>
      </w:r>
      <w:proofErr w:type="spellEnd"/>
      <w:r w:rsidRPr="00CE4013">
        <w:rPr>
          <w:rFonts w:eastAsia="Times New Roman"/>
          <w:sz w:val="18"/>
          <w:szCs w:val="18"/>
        </w:rPr>
        <w:t xml:space="preserve"> </w:t>
      </w:r>
      <w:proofErr w:type="spellStart"/>
      <w:r w:rsidRPr="00CE4013">
        <w:rPr>
          <w:rFonts w:eastAsia="Times New Roman"/>
          <w:sz w:val="18"/>
          <w:szCs w:val="18"/>
        </w:rPr>
        <w:t>gelatin</w:t>
      </w:r>
      <w:proofErr w:type="spellEnd"/>
      <w:r w:rsidRPr="00CE4013">
        <w:rPr>
          <w:rFonts w:eastAsia="Times New Roman"/>
          <w:sz w:val="18"/>
          <w:szCs w:val="18"/>
        </w:rPr>
        <w:t xml:space="preserve"> hydrogels to study physiological cardiovascular cell–cell interactions. </w:t>
      </w:r>
      <w:r w:rsidRPr="00CE4013">
        <w:rPr>
          <w:rFonts w:eastAsia="Times New Roman"/>
          <w:i/>
          <w:iCs/>
          <w:sz w:val="18"/>
          <w:szCs w:val="18"/>
        </w:rPr>
        <w:t>Lab a Chip</w:t>
      </w:r>
      <w:r w:rsidRPr="00CE4013">
        <w:rPr>
          <w:rFonts w:eastAsia="Times New Roman"/>
          <w:sz w:val="18"/>
          <w:szCs w:val="18"/>
        </w:rPr>
        <w:t xml:space="preserve"> </w:t>
      </w:r>
      <w:r w:rsidRPr="00CE4013">
        <w:rPr>
          <w:rFonts w:eastAsia="Times New Roman"/>
          <w:b/>
          <w:bCs/>
          <w:sz w:val="18"/>
          <w:szCs w:val="18"/>
        </w:rPr>
        <w:t>2013</w:t>
      </w:r>
      <w:r w:rsidRPr="00CE4013">
        <w:rPr>
          <w:rFonts w:eastAsia="Times New Roman"/>
          <w:bCs/>
          <w:sz w:val="18"/>
          <w:szCs w:val="18"/>
        </w:rPr>
        <w:t xml:space="preserve">, </w:t>
      </w:r>
      <w:r w:rsidRPr="00CE4013">
        <w:rPr>
          <w:rFonts w:eastAsia="Times New Roman"/>
          <w:bCs/>
          <w:i/>
          <w:sz w:val="18"/>
          <w:szCs w:val="18"/>
        </w:rPr>
        <w:t>13</w:t>
      </w:r>
      <w:r w:rsidRPr="00CE4013">
        <w:rPr>
          <w:rFonts w:eastAsia="Times New Roman"/>
          <w:bCs/>
          <w:sz w:val="18"/>
          <w:szCs w:val="18"/>
        </w:rPr>
        <w:t>, 2591–2598</w:t>
      </w:r>
      <w:r w:rsidRPr="00CE4013">
        <w:rPr>
          <w:rFonts w:eastAsia="Times New Roman"/>
          <w:sz w:val="18"/>
          <w:szCs w:val="18"/>
        </w:rPr>
        <w:t>. https://doi.org/10.1039/c3lc00051f.</w:t>
      </w:r>
    </w:p>
    <w:p w14:paraId="05779CF8"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Lin, R.-Z.; Chen, Y.-C.; Moreno-Luna, R.; </w:t>
      </w:r>
      <w:proofErr w:type="spellStart"/>
      <w:r w:rsidRPr="00CE4013">
        <w:rPr>
          <w:rFonts w:eastAsia="Times New Roman"/>
          <w:sz w:val="18"/>
          <w:szCs w:val="18"/>
        </w:rPr>
        <w:t>Khademhosseini</w:t>
      </w:r>
      <w:proofErr w:type="spellEnd"/>
      <w:r w:rsidRPr="00CE4013">
        <w:rPr>
          <w:rFonts w:eastAsia="Times New Roman"/>
          <w:sz w:val="18"/>
          <w:szCs w:val="18"/>
        </w:rPr>
        <w:t xml:space="preserve">, A.; </w:t>
      </w:r>
      <w:proofErr w:type="spellStart"/>
      <w:r w:rsidRPr="00CE4013">
        <w:rPr>
          <w:rFonts w:eastAsia="Times New Roman"/>
          <w:sz w:val="18"/>
          <w:szCs w:val="18"/>
        </w:rPr>
        <w:t>Melero</w:t>
      </w:r>
      <w:proofErr w:type="spellEnd"/>
      <w:r w:rsidRPr="00CE4013">
        <w:rPr>
          <w:rFonts w:eastAsia="Times New Roman"/>
          <w:sz w:val="18"/>
          <w:szCs w:val="18"/>
        </w:rPr>
        <w:t xml:space="preserve">-Martin, J.M. Transdermal regulation of vascular network bioengineering using a photopolymerizable </w:t>
      </w:r>
      <w:proofErr w:type="spellStart"/>
      <w:r w:rsidRPr="00CE4013">
        <w:rPr>
          <w:rFonts w:eastAsia="Times New Roman"/>
          <w:sz w:val="18"/>
          <w:szCs w:val="18"/>
        </w:rPr>
        <w:t>methacrylated</w:t>
      </w:r>
      <w:proofErr w:type="spellEnd"/>
      <w:r w:rsidRPr="00CE4013">
        <w:rPr>
          <w:rFonts w:eastAsia="Times New Roman"/>
          <w:sz w:val="18"/>
          <w:szCs w:val="18"/>
        </w:rPr>
        <w:t xml:space="preserve"> </w:t>
      </w:r>
      <w:proofErr w:type="spellStart"/>
      <w:r w:rsidRPr="00CE4013">
        <w:rPr>
          <w:rFonts w:eastAsia="Times New Roman"/>
          <w:sz w:val="18"/>
          <w:szCs w:val="18"/>
        </w:rPr>
        <w:t>gelatin</w:t>
      </w:r>
      <w:proofErr w:type="spellEnd"/>
      <w:r w:rsidRPr="00CE4013">
        <w:rPr>
          <w:rFonts w:eastAsia="Times New Roman"/>
          <w:sz w:val="18"/>
          <w:szCs w:val="18"/>
        </w:rPr>
        <w:t xml:space="preserve"> hydrogel. </w:t>
      </w:r>
      <w:r w:rsidRPr="00CE4013">
        <w:rPr>
          <w:rFonts w:eastAsia="Times New Roman"/>
          <w:i/>
          <w:iCs/>
          <w:sz w:val="18"/>
          <w:szCs w:val="18"/>
        </w:rPr>
        <w:t>Biomaterials</w:t>
      </w:r>
      <w:r w:rsidRPr="00CE4013">
        <w:rPr>
          <w:rFonts w:eastAsia="Times New Roman"/>
          <w:sz w:val="18"/>
          <w:szCs w:val="18"/>
        </w:rPr>
        <w:t xml:space="preserve"> </w:t>
      </w:r>
      <w:r w:rsidRPr="00CE4013">
        <w:rPr>
          <w:rFonts w:eastAsia="Times New Roman"/>
          <w:b/>
          <w:bCs/>
          <w:sz w:val="18"/>
          <w:szCs w:val="18"/>
        </w:rPr>
        <w:t>2013</w:t>
      </w:r>
      <w:r w:rsidRPr="00CE4013">
        <w:rPr>
          <w:rFonts w:eastAsia="Times New Roman"/>
          <w:bCs/>
          <w:sz w:val="18"/>
          <w:szCs w:val="18"/>
        </w:rPr>
        <w:t xml:space="preserve">, </w:t>
      </w:r>
      <w:r w:rsidRPr="00CE4013">
        <w:rPr>
          <w:rFonts w:eastAsia="Times New Roman"/>
          <w:bCs/>
          <w:i/>
          <w:sz w:val="18"/>
          <w:szCs w:val="18"/>
        </w:rPr>
        <w:t>34</w:t>
      </w:r>
      <w:r w:rsidRPr="00CE4013">
        <w:rPr>
          <w:rFonts w:eastAsia="Times New Roman"/>
          <w:bCs/>
          <w:sz w:val="18"/>
          <w:szCs w:val="18"/>
        </w:rPr>
        <w:t>, 6785–6796</w:t>
      </w:r>
      <w:r w:rsidRPr="00CE4013">
        <w:rPr>
          <w:rFonts w:eastAsia="Times New Roman"/>
          <w:sz w:val="18"/>
          <w:szCs w:val="18"/>
        </w:rPr>
        <w:t>. https://doi.org/10.1016/j.biomaterials.2013.05.060.</w:t>
      </w:r>
    </w:p>
    <w:p w14:paraId="58CD7DCE"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Schuurman, W.; </w:t>
      </w:r>
      <w:proofErr w:type="spellStart"/>
      <w:r w:rsidRPr="00CE4013">
        <w:rPr>
          <w:rFonts w:eastAsia="Times New Roman"/>
          <w:sz w:val="18"/>
          <w:szCs w:val="18"/>
        </w:rPr>
        <w:t>Levett</w:t>
      </w:r>
      <w:proofErr w:type="spellEnd"/>
      <w:r w:rsidRPr="00CE4013">
        <w:rPr>
          <w:rFonts w:eastAsia="Times New Roman"/>
          <w:sz w:val="18"/>
          <w:szCs w:val="18"/>
        </w:rPr>
        <w:t xml:space="preserve">, P.A.; Pot, M.W.; van </w:t>
      </w:r>
      <w:proofErr w:type="spellStart"/>
      <w:r w:rsidRPr="00CE4013">
        <w:rPr>
          <w:rFonts w:eastAsia="Times New Roman"/>
          <w:sz w:val="18"/>
          <w:szCs w:val="18"/>
        </w:rPr>
        <w:t>Weeren</w:t>
      </w:r>
      <w:proofErr w:type="spellEnd"/>
      <w:r w:rsidRPr="00CE4013">
        <w:rPr>
          <w:rFonts w:eastAsia="Times New Roman"/>
          <w:sz w:val="18"/>
          <w:szCs w:val="18"/>
        </w:rPr>
        <w:t xml:space="preserve">, P.R.; </w:t>
      </w:r>
      <w:proofErr w:type="spellStart"/>
      <w:r w:rsidRPr="00CE4013">
        <w:rPr>
          <w:rFonts w:eastAsia="Times New Roman"/>
          <w:sz w:val="18"/>
          <w:szCs w:val="18"/>
        </w:rPr>
        <w:t>Dhert</w:t>
      </w:r>
      <w:proofErr w:type="spellEnd"/>
      <w:r w:rsidRPr="00CE4013">
        <w:rPr>
          <w:rFonts w:eastAsia="Times New Roman"/>
          <w:sz w:val="18"/>
          <w:szCs w:val="18"/>
        </w:rPr>
        <w:t xml:space="preserve">, W.J.A.; </w:t>
      </w:r>
      <w:proofErr w:type="spellStart"/>
      <w:r w:rsidRPr="00CE4013">
        <w:rPr>
          <w:rFonts w:eastAsia="Times New Roman"/>
          <w:sz w:val="18"/>
          <w:szCs w:val="18"/>
        </w:rPr>
        <w:t>Hutmacher</w:t>
      </w:r>
      <w:proofErr w:type="spellEnd"/>
      <w:r w:rsidRPr="00CE4013">
        <w:rPr>
          <w:rFonts w:eastAsia="Times New Roman"/>
          <w:sz w:val="18"/>
          <w:szCs w:val="18"/>
        </w:rPr>
        <w:t xml:space="preserve">, D.W.; </w:t>
      </w:r>
      <w:proofErr w:type="spellStart"/>
      <w:r w:rsidRPr="00CE4013">
        <w:rPr>
          <w:rFonts w:eastAsia="Times New Roman"/>
          <w:sz w:val="18"/>
          <w:szCs w:val="18"/>
        </w:rPr>
        <w:t>Melchels</w:t>
      </w:r>
      <w:proofErr w:type="spellEnd"/>
      <w:r w:rsidRPr="00CE4013">
        <w:rPr>
          <w:rFonts w:eastAsia="Times New Roman"/>
          <w:sz w:val="18"/>
          <w:szCs w:val="18"/>
        </w:rPr>
        <w:t xml:space="preserve">, F.P.W.; Klein, T.J.; </w:t>
      </w:r>
      <w:proofErr w:type="spellStart"/>
      <w:r w:rsidRPr="00CE4013">
        <w:rPr>
          <w:rFonts w:eastAsia="Times New Roman"/>
          <w:sz w:val="18"/>
          <w:szCs w:val="18"/>
        </w:rPr>
        <w:t>Malda</w:t>
      </w:r>
      <w:proofErr w:type="spellEnd"/>
      <w:r w:rsidRPr="00CE4013">
        <w:rPr>
          <w:rFonts w:eastAsia="Times New Roman"/>
          <w:sz w:val="18"/>
          <w:szCs w:val="18"/>
        </w:rPr>
        <w:t xml:space="preserve">, J. </w:t>
      </w:r>
      <w:proofErr w:type="spellStart"/>
      <w:r w:rsidRPr="00CE4013">
        <w:rPr>
          <w:rFonts w:eastAsia="Times New Roman"/>
          <w:sz w:val="18"/>
          <w:szCs w:val="18"/>
        </w:rPr>
        <w:t>Gelatin-Methacrylamide</w:t>
      </w:r>
      <w:proofErr w:type="spellEnd"/>
      <w:r w:rsidRPr="00CE4013">
        <w:rPr>
          <w:rFonts w:eastAsia="Times New Roman"/>
          <w:sz w:val="18"/>
          <w:szCs w:val="18"/>
        </w:rPr>
        <w:t xml:space="preserve"> Hydrogels as Potential Biomaterials for Fabrication of Tissue-Engineered Cartilage Constructs. </w:t>
      </w:r>
      <w:proofErr w:type="spellStart"/>
      <w:r w:rsidRPr="00CE4013">
        <w:rPr>
          <w:rFonts w:eastAsia="Times New Roman"/>
          <w:i/>
          <w:iCs/>
          <w:sz w:val="18"/>
          <w:szCs w:val="18"/>
        </w:rPr>
        <w:t>Macromol</w:t>
      </w:r>
      <w:proofErr w:type="spellEnd"/>
      <w:r w:rsidRPr="00CE4013">
        <w:rPr>
          <w:rFonts w:eastAsia="Times New Roman"/>
          <w:i/>
          <w:iCs/>
          <w:sz w:val="18"/>
          <w:szCs w:val="18"/>
        </w:rPr>
        <w:t xml:space="preserve">. </w:t>
      </w:r>
      <w:proofErr w:type="spellStart"/>
      <w:r w:rsidRPr="00CE4013">
        <w:rPr>
          <w:rFonts w:eastAsia="Times New Roman"/>
          <w:i/>
          <w:iCs/>
          <w:sz w:val="18"/>
          <w:szCs w:val="18"/>
        </w:rPr>
        <w:t>Biosci</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2013</w:t>
      </w:r>
      <w:r w:rsidRPr="00CE4013">
        <w:rPr>
          <w:rFonts w:eastAsia="Times New Roman"/>
          <w:bCs/>
          <w:sz w:val="18"/>
          <w:szCs w:val="18"/>
        </w:rPr>
        <w:t xml:space="preserve">, </w:t>
      </w:r>
      <w:r w:rsidRPr="00CE4013">
        <w:rPr>
          <w:rFonts w:eastAsia="Times New Roman"/>
          <w:bCs/>
          <w:i/>
          <w:sz w:val="18"/>
          <w:szCs w:val="18"/>
        </w:rPr>
        <w:t>13</w:t>
      </w:r>
      <w:r w:rsidRPr="00CE4013">
        <w:rPr>
          <w:rFonts w:eastAsia="Times New Roman"/>
          <w:bCs/>
          <w:sz w:val="18"/>
          <w:szCs w:val="18"/>
        </w:rPr>
        <w:t>, 551–561</w:t>
      </w:r>
      <w:r w:rsidRPr="00CE4013">
        <w:rPr>
          <w:rFonts w:eastAsia="Times New Roman"/>
          <w:sz w:val="18"/>
          <w:szCs w:val="18"/>
        </w:rPr>
        <w:t>. https://doi.org/10.1002/mabi.201200471.</w:t>
      </w:r>
    </w:p>
    <w:p w14:paraId="5E602C03"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Kaemmerer</w:t>
      </w:r>
      <w:proofErr w:type="spellEnd"/>
      <w:r w:rsidRPr="00CE4013">
        <w:rPr>
          <w:rFonts w:eastAsia="Times New Roman"/>
          <w:sz w:val="18"/>
          <w:szCs w:val="18"/>
        </w:rPr>
        <w:t xml:space="preserve">, E.; </w:t>
      </w:r>
      <w:proofErr w:type="spellStart"/>
      <w:r w:rsidRPr="00CE4013">
        <w:rPr>
          <w:rFonts w:eastAsia="Times New Roman"/>
          <w:sz w:val="18"/>
          <w:szCs w:val="18"/>
        </w:rPr>
        <w:t>Melchels</w:t>
      </w:r>
      <w:proofErr w:type="spellEnd"/>
      <w:r w:rsidRPr="00CE4013">
        <w:rPr>
          <w:rFonts w:eastAsia="Times New Roman"/>
          <w:sz w:val="18"/>
          <w:szCs w:val="18"/>
        </w:rPr>
        <w:t xml:space="preserve">, F.P.; Holzapfel, B.M.; Meckel, T.; </w:t>
      </w:r>
      <w:proofErr w:type="spellStart"/>
      <w:r w:rsidRPr="00CE4013">
        <w:rPr>
          <w:rFonts w:eastAsia="Times New Roman"/>
          <w:sz w:val="18"/>
          <w:szCs w:val="18"/>
        </w:rPr>
        <w:t>Hutmacher</w:t>
      </w:r>
      <w:proofErr w:type="spellEnd"/>
      <w:r w:rsidRPr="00CE4013">
        <w:rPr>
          <w:rFonts w:eastAsia="Times New Roman"/>
          <w:sz w:val="18"/>
          <w:szCs w:val="18"/>
        </w:rPr>
        <w:t xml:space="preserve">, D.W.; </w:t>
      </w:r>
      <w:proofErr w:type="spellStart"/>
      <w:r w:rsidRPr="00CE4013">
        <w:rPr>
          <w:rFonts w:eastAsia="Times New Roman"/>
          <w:sz w:val="18"/>
          <w:szCs w:val="18"/>
        </w:rPr>
        <w:t>Loessner</w:t>
      </w:r>
      <w:proofErr w:type="spellEnd"/>
      <w:r w:rsidRPr="00CE4013">
        <w:rPr>
          <w:rFonts w:eastAsia="Times New Roman"/>
          <w:sz w:val="18"/>
          <w:szCs w:val="18"/>
        </w:rPr>
        <w:t xml:space="preserve">, D. Gelatine </w:t>
      </w:r>
      <w:proofErr w:type="spellStart"/>
      <w:r w:rsidRPr="00CE4013">
        <w:rPr>
          <w:rFonts w:eastAsia="Times New Roman"/>
          <w:sz w:val="18"/>
          <w:szCs w:val="18"/>
        </w:rPr>
        <w:t>methacrylamide</w:t>
      </w:r>
      <w:proofErr w:type="spellEnd"/>
      <w:r w:rsidRPr="00CE4013">
        <w:rPr>
          <w:rFonts w:eastAsia="Times New Roman"/>
          <w:sz w:val="18"/>
          <w:szCs w:val="18"/>
        </w:rPr>
        <w:t xml:space="preserve">-based hydrogels: An alternative three-dimensional cancer cell culture system. </w:t>
      </w:r>
      <w:r w:rsidRPr="00CE4013">
        <w:rPr>
          <w:rFonts w:eastAsia="Times New Roman"/>
          <w:i/>
          <w:iCs/>
          <w:sz w:val="18"/>
          <w:szCs w:val="18"/>
        </w:rPr>
        <w:t xml:space="preserve">Acta </w:t>
      </w:r>
      <w:proofErr w:type="spellStart"/>
      <w:r w:rsidRPr="00CE4013">
        <w:rPr>
          <w:rFonts w:eastAsia="Times New Roman"/>
          <w:i/>
          <w:iCs/>
          <w:sz w:val="18"/>
          <w:szCs w:val="18"/>
        </w:rPr>
        <w:t>Biomater</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2014</w:t>
      </w:r>
      <w:r w:rsidRPr="00CE4013">
        <w:rPr>
          <w:rFonts w:eastAsia="Times New Roman"/>
          <w:bCs/>
          <w:sz w:val="18"/>
          <w:szCs w:val="18"/>
        </w:rPr>
        <w:t xml:space="preserve">, </w:t>
      </w:r>
      <w:r w:rsidRPr="00CE4013">
        <w:rPr>
          <w:rFonts w:eastAsia="Times New Roman"/>
          <w:bCs/>
          <w:i/>
          <w:sz w:val="18"/>
          <w:szCs w:val="18"/>
        </w:rPr>
        <w:t>10</w:t>
      </w:r>
      <w:r w:rsidRPr="00CE4013">
        <w:rPr>
          <w:rFonts w:eastAsia="Times New Roman"/>
          <w:bCs/>
          <w:sz w:val="18"/>
          <w:szCs w:val="18"/>
        </w:rPr>
        <w:t>, 2551–2562</w:t>
      </w:r>
      <w:r w:rsidRPr="00CE4013">
        <w:rPr>
          <w:rFonts w:eastAsia="Times New Roman"/>
          <w:sz w:val="18"/>
          <w:szCs w:val="18"/>
        </w:rPr>
        <w:t>. https://doi.org/10.1016/j.actbio.2014.02.035.</w:t>
      </w:r>
    </w:p>
    <w:p w14:paraId="2A8569AD"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Klotz, B.J.; </w:t>
      </w:r>
      <w:proofErr w:type="spellStart"/>
      <w:r w:rsidRPr="00CE4013">
        <w:rPr>
          <w:rFonts w:eastAsia="Times New Roman"/>
          <w:sz w:val="18"/>
          <w:szCs w:val="18"/>
        </w:rPr>
        <w:t>Gawlitta</w:t>
      </w:r>
      <w:proofErr w:type="spellEnd"/>
      <w:r w:rsidRPr="00CE4013">
        <w:rPr>
          <w:rFonts w:eastAsia="Times New Roman"/>
          <w:sz w:val="18"/>
          <w:szCs w:val="18"/>
        </w:rPr>
        <w:t xml:space="preserve">, D.; Rosenberg, A.J.W.P.; </w:t>
      </w:r>
      <w:proofErr w:type="spellStart"/>
      <w:r w:rsidRPr="00CE4013">
        <w:rPr>
          <w:rFonts w:eastAsia="Times New Roman"/>
          <w:sz w:val="18"/>
          <w:szCs w:val="18"/>
        </w:rPr>
        <w:t>Malda</w:t>
      </w:r>
      <w:proofErr w:type="spellEnd"/>
      <w:r w:rsidRPr="00CE4013">
        <w:rPr>
          <w:rFonts w:eastAsia="Times New Roman"/>
          <w:sz w:val="18"/>
          <w:szCs w:val="18"/>
        </w:rPr>
        <w:t xml:space="preserve">, J.; </w:t>
      </w:r>
      <w:proofErr w:type="spellStart"/>
      <w:r w:rsidRPr="00CE4013">
        <w:rPr>
          <w:rFonts w:eastAsia="Times New Roman"/>
          <w:sz w:val="18"/>
          <w:szCs w:val="18"/>
        </w:rPr>
        <w:t>Melchels</w:t>
      </w:r>
      <w:proofErr w:type="spellEnd"/>
      <w:r w:rsidRPr="00CE4013">
        <w:rPr>
          <w:rFonts w:eastAsia="Times New Roman"/>
          <w:sz w:val="18"/>
          <w:szCs w:val="18"/>
        </w:rPr>
        <w:t xml:space="preserve">, F.P.W. </w:t>
      </w:r>
      <w:proofErr w:type="spellStart"/>
      <w:r w:rsidRPr="00CE4013">
        <w:rPr>
          <w:rFonts w:eastAsia="Times New Roman"/>
          <w:sz w:val="18"/>
          <w:szCs w:val="18"/>
        </w:rPr>
        <w:t>Gelatin-Methacryloyl</w:t>
      </w:r>
      <w:proofErr w:type="spellEnd"/>
      <w:r w:rsidRPr="00CE4013">
        <w:rPr>
          <w:rFonts w:eastAsia="Times New Roman"/>
          <w:sz w:val="18"/>
          <w:szCs w:val="18"/>
        </w:rPr>
        <w:t xml:space="preserve"> Hydrogels: Towards </w:t>
      </w:r>
      <w:proofErr w:type="spellStart"/>
      <w:r w:rsidRPr="00CE4013">
        <w:rPr>
          <w:rFonts w:eastAsia="Times New Roman"/>
          <w:sz w:val="18"/>
          <w:szCs w:val="18"/>
        </w:rPr>
        <w:t>Biofabrication</w:t>
      </w:r>
      <w:proofErr w:type="spellEnd"/>
      <w:r w:rsidRPr="00CE4013">
        <w:rPr>
          <w:rFonts w:eastAsia="Times New Roman"/>
          <w:sz w:val="18"/>
          <w:szCs w:val="18"/>
        </w:rPr>
        <w:t xml:space="preserve">-Based Tissue Repair. </w:t>
      </w:r>
      <w:r w:rsidRPr="00CE4013">
        <w:rPr>
          <w:rFonts w:eastAsia="Times New Roman"/>
          <w:i/>
          <w:iCs/>
          <w:sz w:val="18"/>
          <w:szCs w:val="18"/>
        </w:rPr>
        <w:t xml:space="preserve">Trends </w:t>
      </w:r>
      <w:proofErr w:type="spellStart"/>
      <w:r w:rsidRPr="00CE4013">
        <w:rPr>
          <w:rFonts w:eastAsia="Times New Roman"/>
          <w:i/>
          <w:iCs/>
          <w:sz w:val="18"/>
          <w:szCs w:val="18"/>
        </w:rPr>
        <w:t>Biotechnol</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2016</w:t>
      </w:r>
      <w:r w:rsidRPr="00CE4013">
        <w:rPr>
          <w:rFonts w:eastAsia="Times New Roman"/>
          <w:bCs/>
          <w:sz w:val="18"/>
          <w:szCs w:val="18"/>
        </w:rPr>
        <w:t xml:space="preserve">, </w:t>
      </w:r>
      <w:r w:rsidRPr="00CE4013">
        <w:rPr>
          <w:rFonts w:eastAsia="Times New Roman"/>
          <w:bCs/>
          <w:i/>
          <w:sz w:val="18"/>
          <w:szCs w:val="18"/>
        </w:rPr>
        <w:t>34</w:t>
      </w:r>
      <w:r w:rsidRPr="00CE4013">
        <w:rPr>
          <w:rFonts w:eastAsia="Times New Roman"/>
          <w:bCs/>
          <w:sz w:val="18"/>
          <w:szCs w:val="18"/>
        </w:rPr>
        <w:t>, 394–407</w:t>
      </w:r>
      <w:r w:rsidRPr="00CE4013">
        <w:rPr>
          <w:rFonts w:eastAsia="Times New Roman"/>
          <w:sz w:val="18"/>
          <w:szCs w:val="18"/>
        </w:rPr>
        <w:t>. https://doi.org/10.1016/j.tibtech.2016.01.002.</w:t>
      </w:r>
    </w:p>
    <w:p w14:paraId="5B33CB9E"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Greene, T.; Lin, T.-Y.; </w:t>
      </w:r>
      <w:proofErr w:type="spellStart"/>
      <w:r w:rsidRPr="00CE4013">
        <w:rPr>
          <w:rFonts w:eastAsia="Times New Roman"/>
          <w:sz w:val="18"/>
          <w:szCs w:val="18"/>
        </w:rPr>
        <w:t>Andrisani</w:t>
      </w:r>
      <w:proofErr w:type="spellEnd"/>
      <w:r w:rsidRPr="00CE4013">
        <w:rPr>
          <w:rFonts w:eastAsia="Times New Roman"/>
          <w:sz w:val="18"/>
          <w:szCs w:val="18"/>
        </w:rPr>
        <w:t xml:space="preserve">, O.M.; Lin, C.-C. Comparative study of visible light polymerized </w:t>
      </w:r>
      <w:proofErr w:type="spellStart"/>
      <w:r w:rsidRPr="00CE4013">
        <w:rPr>
          <w:rFonts w:eastAsia="Times New Roman"/>
          <w:sz w:val="18"/>
          <w:szCs w:val="18"/>
        </w:rPr>
        <w:t>gelatin</w:t>
      </w:r>
      <w:proofErr w:type="spellEnd"/>
      <w:r w:rsidRPr="00CE4013">
        <w:rPr>
          <w:rFonts w:eastAsia="Times New Roman"/>
          <w:sz w:val="18"/>
          <w:szCs w:val="18"/>
        </w:rPr>
        <w:t xml:space="preserve"> hydrogels for 3D culture of hepatic progenitor cells. </w:t>
      </w:r>
      <w:r w:rsidRPr="00CE4013">
        <w:rPr>
          <w:rFonts w:eastAsia="Times New Roman"/>
          <w:i/>
          <w:iCs/>
          <w:sz w:val="18"/>
          <w:szCs w:val="18"/>
        </w:rPr>
        <w:t xml:space="preserve">J. Appl. </w:t>
      </w:r>
      <w:proofErr w:type="spellStart"/>
      <w:r w:rsidRPr="00CE4013">
        <w:rPr>
          <w:rFonts w:eastAsia="Times New Roman"/>
          <w:i/>
          <w:iCs/>
          <w:sz w:val="18"/>
          <w:szCs w:val="18"/>
        </w:rPr>
        <w:t>Polym</w:t>
      </w:r>
      <w:proofErr w:type="spellEnd"/>
      <w:r w:rsidRPr="00CE4013">
        <w:rPr>
          <w:rFonts w:eastAsia="Times New Roman"/>
          <w:i/>
          <w:iCs/>
          <w:sz w:val="18"/>
          <w:szCs w:val="18"/>
        </w:rPr>
        <w:t>. Sci.</w:t>
      </w:r>
      <w:r w:rsidRPr="00CE4013">
        <w:rPr>
          <w:rFonts w:eastAsia="Times New Roman"/>
          <w:sz w:val="18"/>
          <w:szCs w:val="18"/>
        </w:rPr>
        <w:t xml:space="preserve"> </w:t>
      </w:r>
      <w:r w:rsidRPr="00CE4013">
        <w:rPr>
          <w:rFonts w:eastAsia="Times New Roman"/>
          <w:b/>
          <w:bCs/>
          <w:sz w:val="18"/>
          <w:szCs w:val="18"/>
        </w:rPr>
        <w:t>2016</w:t>
      </w:r>
      <w:r w:rsidRPr="00CE4013">
        <w:rPr>
          <w:rFonts w:eastAsia="Times New Roman"/>
          <w:bCs/>
          <w:sz w:val="18"/>
          <w:szCs w:val="18"/>
        </w:rPr>
        <w:t xml:space="preserve">, </w:t>
      </w:r>
      <w:r w:rsidRPr="00CE4013">
        <w:rPr>
          <w:rFonts w:eastAsia="Times New Roman"/>
          <w:bCs/>
          <w:i/>
          <w:sz w:val="18"/>
          <w:szCs w:val="18"/>
        </w:rPr>
        <w:t>134</w:t>
      </w:r>
      <w:r w:rsidRPr="00CE4013">
        <w:rPr>
          <w:rFonts w:eastAsia="Times New Roman"/>
          <w:bCs/>
          <w:sz w:val="18"/>
          <w:szCs w:val="18"/>
        </w:rPr>
        <w:t>, 44585</w:t>
      </w:r>
      <w:r w:rsidRPr="00CE4013">
        <w:rPr>
          <w:rFonts w:eastAsia="Times New Roman"/>
          <w:sz w:val="18"/>
          <w:szCs w:val="18"/>
        </w:rPr>
        <w:t>. https://doi.org/10.1002/app.44585.</w:t>
      </w:r>
    </w:p>
    <w:p w14:paraId="6D1747F5"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Wang, Y.; Cui, F.Z.; Hu, K.; Zhu, X.D.; Fan, D.D. Bone regeneration by using scaffold based on mineralized recombinant collagen. </w:t>
      </w:r>
      <w:r w:rsidRPr="00CE4013">
        <w:rPr>
          <w:rFonts w:eastAsia="Times New Roman"/>
          <w:i/>
          <w:iCs/>
          <w:sz w:val="18"/>
          <w:szCs w:val="18"/>
        </w:rPr>
        <w:t xml:space="preserve">J. Biomed. Mater. Res. Part B Appl. </w:t>
      </w:r>
      <w:proofErr w:type="spellStart"/>
      <w:r w:rsidRPr="00CE4013">
        <w:rPr>
          <w:rFonts w:eastAsia="Times New Roman"/>
          <w:i/>
          <w:iCs/>
          <w:sz w:val="18"/>
          <w:szCs w:val="18"/>
        </w:rPr>
        <w:t>Biomater</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2007</w:t>
      </w:r>
      <w:r w:rsidRPr="00CE4013">
        <w:rPr>
          <w:rFonts w:eastAsia="Times New Roman"/>
          <w:sz w:val="18"/>
          <w:szCs w:val="18"/>
        </w:rPr>
        <w:t xml:space="preserve">, </w:t>
      </w:r>
      <w:r w:rsidRPr="00CE4013">
        <w:rPr>
          <w:rFonts w:eastAsia="Times New Roman"/>
          <w:i/>
          <w:iCs/>
          <w:sz w:val="18"/>
          <w:szCs w:val="18"/>
        </w:rPr>
        <w:t>86B</w:t>
      </w:r>
      <w:r w:rsidRPr="00CE4013">
        <w:rPr>
          <w:rFonts w:eastAsia="Times New Roman"/>
          <w:sz w:val="18"/>
          <w:szCs w:val="18"/>
        </w:rPr>
        <w:t>, 29–35. https://doi.org/10.1002/jbm.b.30984.</w:t>
      </w:r>
    </w:p>
    <w:p w14:paraId="313080DC"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4F44BF">
        <w:rPr>
          <w:rFonts w:eastAsia="Times New Roman"/>
          <w:sz w:val="18"/>
          <w:szCs w:val="18"/>
        </w:rPr>
        <w:t>Mazaki</w:t>
      </w:r>
      <w:proofErr w:type="spellEnd"/>
      <w:r w:rsidRPr="004F44BF">
        <w:rPr>
          <w:rFonts w:eastAsia="Times New Roman"/>
          <w:sz w:val="18"/>
          <w:szCs w:val="18"/>
        </w:rPr>
        <w:t xml:space="preserve">, T.; </w:t>
      </w:r>
      <w:proofErr w:type="spellStart"/>
      <w:r w:rsidRPr="004F44BF">
        <w:rPr>
          <w:rFonts w:eastAsia="Times New Roman"/>
          <w:sz w:val="18"/>
          <w:szCs w:val="18"/>
        </w:rPr>
        <w:t>Shiozaki</w:t>
      </w:r>
      <w:proofErr w:type="spellEnd"/>
      <w:r w:rsidRPr="004F44BF">
        <w:rPr>
          <w:rFonts w:eastAsia="Times New Roman"/>
          <w:sz w:val="18"/>
          <w:szCs w:val="18"/>
        </w:rPr>
        <w:t xml:space="preserve">, Y.; Yamane, K.; Yoshida, A.; Nakamura, M.; Yoshida, Y.; Zhou, D.; Kitajima, T.; Tanaka, M.; Ito, Y.; et al. A novel, visible light-induced, rapidly cross-linkable </w:t>
      </w:r>
      <w:proofErr w:type="spellStart"/>
      <w:r w:rsidRPr="004F44BF">
        <w:rPr>
          <w:rFonts w:eastAsia="Times New Roman"/>
          <w:sz w:val="18"/>
          <w:szCs w:val="18"/>
        </w:rPr>
        <w:t>gelatin</w:t>
      </w:r>
      <w:proofErr w:type="spellEnd"/>
      <w:r w:rsidRPr="004F44BF">
        <w:rPr>
          <w:rFonts w:eastAsia="Times New Roman"/>
          <w:sz w:val="18"/>
          <w:szCs w:val="18"/>
        </w:rPr>
        <w:t xml:space="preserve"> scaffold for osteochondral tissue engineering. </w:t>
      </w:r>
      <w:r w:rsidRPr="004F44BF">
        <w:rPr>
          <w:rFonts w:eastAsia="Times New Roman"/>
          <w:i/>
          <w:iCs/>
          <w:sz w:val="18"/>
          <w:szCs w:val="18"/>
        </w:rPr>
        <w:t>Sci. Rep.</w:t>
      </w:r>
      <w:r w:rsidRPr="004F44BF">
        <w:rPr>
          <w:rFonts w:eastAsia="Times New Roman"/>
          <w:sz w:val="18"/>
          <w:szCs w:val="18"/>
        </w:rPr>
        <w:t xml:space="preserve"> </w:t>
      </w:r>
      <w:r>
        <w:rPr>
          <w:rFonts w:eastAsia="Times New Roman"/>
          <w:b/>
          <w:bCs/>
          <w:sz w:val="18"/>
          <w:szCs w:val="18"/>
        </w:rPr>
        <w:t>2014</w:t>
      </w:r>
      <w:r>
        <w:rPr>
          <w:rFonts w:eastAsia="Times New Roman"/>
          <w:bCs/>
          <w:sz w:val="18"/>
          <w:szCs w:val="18"/>
        </w:rPr>
        <w:t xml:space="preserve">, </w:t>
      </w:r>
      <w:r>
        <w:rPr>
          <w:rFonts w:eastAsia="Times New Roman"/>
          <w:bCs/>
          <w:i/>
          <w:sz w:val="18"/>
          <w:szCs w:val="18"/>
        </w:rPr>
        <w:t>4</w:t>
      </w:r>
      <w:r>
        <w:rPr>
          <w:rFonts w:eastAsia="Times New Roman"/>
          <w:bCs/>
          <w:sz w:val="18"/>
          <w:szCs w:val="18"/>
        </w:rPr>
        <w:t>, 4457</w:t>
      </w:r>
      <w:r w:rsidRPr="004F44BF">
        <w:rPr>
          <w:rFonts w:eastAsia="Times New Roman"/>
          <w:sz w:val="18"/>
          <w:szCs w:val="18"/>
        </w:rPr>
        <w:t>. https://doi.org/10.1038/srep04457.</w:t>
      </w:r>
    </w:p>
    <w:p w14:paraId="2CCC3F54"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Fairbanks, B.D.; Schwartz, M.P.; Bowman, C.N.; </w:t>
      </w:r>
      <w:proofErr w:type="spellStart"/>
      <w:r w:rsidRPr="004F44BF">
        <w:rPr>
          <w:rFonts w:eastAsia="Times New Roman"/>
          <w:sz w:val="18"/>
          <w:szCs w:val="18"/>
        </w:rPr>
        <w:t>Anseth</w:t>
      </w:r>
      <w:proofErr w:type="spellEnd"/>
      <w:r w:rsidRPr="004F44BF">
        <w:rPr>
          <w:rFonts w:eastAsia="Times New Roman"/>
          <w:sz w:val="18"/>
          <w:szCs w:val="18"/>
        </w:rPr>
        <w:t>, K.S. Photoinitiated polymerization of PEG-diacrylate with lithium phenyl-2,4,6-</w:t>
      </w:r>
      <w:r w:rsidRPr="00CE4013">
        <w:rPr>
          <w:rFonts w:eastAsia="Times New Roman"/>
          <w:sz w:val="18"/>
          <w:szCs w:val="18"/>
        </w:rPr>
        <w:t xml:space="preserve">trimethylbenzoylphosphinate: Polymerization rate and cytocompatibility. </w:t>
      </w:r>
      <w:r w:rsidRPr="00CE4013">
        <w:rPr>
          <w:rFonts w:eastAsia="Times New Roman"/>
          <w:i/>
          <w:iCs/>
          <w:sz w:val="18"/>
          <w:szCs w:val="18"/>
        </w:rPr>
        <w:t>Biomaterials</w:t>
      </w:r>
      <w:r w:rsidRPr="00CE4013">
        <w:rPr>
          <w:rFonts w:eastAsia="Times New Roman"/>
          <w:sz w:val="18"/>
          <w:szCs w:val="18"/>
        </w:rPr>
        <w:t xml:space="preserve"> </w:t>
      </w:r>
      <w:r w:rsidRPr="00CE4013">
        <w:rPr>
          <w:rFonts w:eastAsia="Times New Roman"/>
          <w:b/>
          <w:bCs/>
          <w:sz w:val="18"/>
          <w:szCs w:val="18"/>
        </w:rPr>
        <w:t>2009</w:t>
      </w:r>
      <w:r w:rsidRPr="00CE4013">
        <w:rPr>
          <w:rFonts w:eastAsia="Times New Roman"/>
          <w:bCs/>
          <w:sz w:val="18"/>
          <w:szCs w:val="18"/>
        </w:rPr>
        <w:t xml:space="preserve">, </w:t>
      </w:r>
      <w:r w:rsidRPr="00CE4013">
        <w:rPr>
          <w:rFonts w:eastAsia="Times New Roman"/>
          <w:bCs/>
          <w:i/>
          <w:sz w:val="18"/>
          <w:szCs w:val="18"/>
        </w:rPr>
        <w:t>30</w:t>
      </w:r>
      <w:r w:rsidRPr="00CE4013">
        <w:rPr>
          <w:rFonts w:eastAsia="Times New Roman"/>
          <w:bCs/>
          <w:sz w:val="18"/>
          <w:szCs w:val="18"/>
        </w:rPr>
        <w:t>, 6702–6707</w:t>
      </w:r>
      <w:r w:rsidRPr="00CE4013">
        <w:rPr>
          <w:rFonts w:eastAsia="Times New Roman"/>
          <w:sz w:val="18"/>
          <w:szCs w:val="18"/>
        </w:rPr>
        <w:t>. https://doi.org/10.1016/j.biomaterials.2009.08.055.</w:t>
      </w:r>
    </w:p>
    <w:p w14:paraId="32A65754"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Shih, H.; Lin, C.-C. Visible-Light-Mediated Thiol-</w:t>
      </w:r>
      <w:proofErr w:type="spellStart"/>
      <w:r w:rsidRPr="00CE4013">
        <w:rPr>
          <w:rFonts w:eastAsia="Times New Roman"/>
          <w:sz w:val="18"/>
          <w:szCs w:val="18"/>
        </w:rPr>
        <w:t>Ene</w:t>
      </w:r>
      <w:proofErr w:type="spellEnd"/>
      <w:r w:rsidRPr="00CE4013">
        <w:rPr>
          <w:rFonts w:eastAsia="Times New Roman"/>
          <w:sz w:val="18"/>
          <w:szCs w:val="18"/>
        </w:rPr>
        <w:t xml:space="preserve"> Hydrogelation Using Eosin-Y as the Only </w:t>
      </w:r>
      <w:proofErr w:type="spellStart"/>
      <w:r w:rsidRPr="00CE4013">
        <w:rPr>
          <w:rFonts w:eastAsia="Times New Roman"/>
          <w:sz w:val="18"/>
          <w:szCs w:val="18"/>
        </w:rPr>
        <w:t>Photoinitiator</w:t>
      </w:r>
      <w:proofErr w:type="spellEnd"/>
      <w:r w:rsidRPr="00CE4013">
        <w:rPr>
          <w:rFonts w:eastAsia="Times New Roman"/>
          <w:sz w:val="18"/>
          <w:szCs w:val="18"/>
        </w:rPr>
        <w:t xml:space="preserve">. </w:t>
      </w:r>
      <w:proofErr w:type="spellStart"/>
      <w:r w:rsidRPr="00CE4013">
        <w:rPr>
          <w:rFonts w:eastAsia="Times New Roman"/>
          <w:i/>
          <w:iCs/>
          <w:sz w:val="18"/>
          <w:szCs w:val="18"/>
        </w:rPr>
        <w:t>Macromol</w:t>
      </w:r>
      <w:proofErr w:type="spellEnd"/>
      <w:r w:rsidRPr="00CE4013">
        <w:rPr>
          <w:rFonts w:eastAsia="Times New Roman"/>
          <w:i/>
          <w:iCs/>
          <w:sz w:val="18"/>
          <w:szCs w:val="18"/>
        </w:rPr>
        <w:t xml:space="preserve">. Rapid </w:t>
      </w:r>
      <w:proofErr w:type="spellStart"/>
      <w:r w:rsidRPr="00CE4013">
        <w:rPr>
          <w:rFonts w:eastAsia="Times New Roman"/>
          <w:i/>
          <w:iCs/>
          <w:sz w:val="18"/>
          <w:szCs w:val="18"/>
        </w:rPr>
        <w:t>Commun</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2013</w:t>
      </w:r>
      <w:r w:rsidRPr="00CE4013">
        <w:rPr>
          <w:rFonts w:eastAsia="Times New Roman"/>
          <w:bCs/>
          <w:sz w:val="18"/>
          <w:szCs w:val="18"/>
        </w:rPr>
        <w:t xml:space="preserve">, </w:t>
      </w:r>
      <w:r w:rsidRPr="00CE4013">
        <w:rPr>
          <w:rFonts w:eastAsia="Times New Roman"/>
          <w:bCs/>
          <w:i/>
          <w:sz w:val="18"/>
          <w:szCs w:val="18"/>
        </w:rPr>
        <w:t>34</w:t>
      </w:r>
      <w:r w:rsidRPr="00CE4013">
        <w:rPr>
          <w:rFonts w:eastAsia="Times New Roman"/>
          <w:bCs/>
          <w:sz w:val="18"/>
          <w:szCs w:val="18"/>
        </w:rPr>
        <w:t>, 269–273</w:t>
      </w:r>
      <w:r w:rsidRPr="00CE4013">
        <w:rPr>
          <w:rFonts w:eastAsia="Times New Roman"/>
          <w:sz w:val="18"/>
          <w:szCs w:val="18"/>
        </w:rPr>
        <w:t>. https://doi.org/10.1002/marc.201200605.</w:t>
      </w:r>
    </w:p>
    <w:p w14:paraId="3270F4E1"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Lim, K.S.; Klotz, B.J.; Lindberg, G.C.J.; </w:t>
      </w:r>
      <w:proofErr w:type="spellStart"/>
      <w:r w:rsidRPr="00CE4013">
        <w:rPr>
          <w:rFonts w:eastAsia="Times New Roman"/>
          <w:sz w:val="18"/>
          <w:szCs w:val="18"/>
        </w:rPr>
        <w:t>Melchels</w:t>
      </w:r>
      <w:proofErr w:type="spellEnd"/>
      <w:r w:rsidRPr="00CE4013">
        <w:rPr>
          <w:rFonts w:eastAsia="Times New Roman"/>
          <w:sz w:val="18"/>
          <w:szCs w:val="18"/>
        </w:rPr>
        <w:t xml:space="preserve">, F.P.W.; Hooper, G.J.; </w:t>
      </w:r>
      <w:proofErr w:type="spellStart"/>
      <w:r w:rsidRPr="00CE4013">
        <w:rPr>
          <w:rFonts w:eastAsia="Times New Roman"/>
          <w:sz w:val="18"/>
          <w:szCs w:val="18"/>
        </w:rPr>
        <w:t>Malda</w:t>
      </w:r>
      <w:proofErr w:type="spellEnd"/>
      <w:r w:rsidRPr="00CE4013">
        <w:rPr>
          <w:rFonts w:eastAsia="Times New Roman"/>
          <w:sz w:val="18"/>
          <w:szCs w:val="18"/>
        </w:rPr>
        <w:t xml:space="preserve">, J.; </w:t>
      </w:r>
      <w:proofErr w:type="spellStart"/>
      <w:r w:rsidRPr="00CE4013">
        <w:rPr>
          <w:rFonts w:eastAsia="Times New Roman"/>
          <w:sz w:val="18"/>
          <w:szCs w:val="18"/>
        </w:rPr>
        <w:t>Gawlitta</w:t>
      </w:r>
      <w:proofErr w:type="spellEnd"/>
      <w:r w:rsidRPr="00CE4013">
        <w:rPr>
          <w:rFonts w:eastAsia="Times New Roman"/>
          <w:sz w:val="18"/>
          <w:szCs w:val="18"/>
        </w:rPr>
        <w:t xml:space="preserve">, D.; Woodfield, T.B.F. Visible Light Cross‐Linking of </w:t>
      </w:r>
      <w:proofErr w:type="spellStart"/>
      <w:r w:rsidRPr="00CE4013">
        <w:rPr>
          <w:rFonts w:eastAsia="Times New Roman"/>
          <w:sz w:val="18"/>
          <w:szCs w:val="18"/>
        </w:rPr>
        <w:t>Gelatin</w:t>
      </w:r>
      <w:proofErr w:type="spellEnd"/>
      <w:r w:rsidRPr="00CE4013">
        <w:rPr>
          <w:rFonts w:eastAsia="Times New Roman"/>
          <w:sz w:val="18"/>
          <w:szCs w:val="18"/>
        </w:rPr>
        <w:t xml:space="preserve"> Hydrogels Offers an Enhanced Cell Microenvironment with Improved Light Penetration Depth. </w:t>
      </w:r>
      <w:proofErr w:type="spellStart"/>
      <w:r w:rsidRPr="00CE4013">
        <w:rPr>
          <w:rFonts w:eastAsia="Times New Roman"/>
          <w:i/>
          <w:iCs/>
          <w:sz w:val="18"/>
          <w:szCs w:val="18"/>
        </w:rPr>
        <w:t>Macromol</w:t>
      </w:r>
      <w:proofErr w:type="spellEnd"/>
      <w:r w:rsidRPr="00CE4013">
        <w:rPr>
          <w:rFonts w:eastAsia="Times New Roman"/>
          <w:i/>
          <w:iCs/>
          <w:sz w:val="18"/>
          <w:szCs w:val="18"/>
        </w:rPr>
        <w:t xml:space="preserve">. </w:t>
      </w:r>
      <w:proofErr w:type="spellStart"/>
      <w:r w:rsidRPr="00CE4013">
        <w:rPr>
          <w:rFonts w:eastAsia="Times New Roman"/>
          <w:i/>
          <w:iCs/>
          <w:sz w:val="18"/>
          <w:szCs w:val="18"/>
        </w:rPr>
        <w:t>Biosci</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2019</w:t>
      </w:r>
      <w:r w:rsidRPr="00CE4013">
        <w:rPr>
          <w:rFonts w:eastAsia="Times New Roman"/>
          <w:bCs/>
          <w:sz w:val="18"/>
          <w:szCs w:val="18"/>
        </w:rPr>
        <w:t xml:space="preserve">, </w:t>
      </w:r>
      <w:r w:rsidRPr="00CE4013">
        <w:rPr>
          <w:rFonts w:eastAsia="Times New Roman"/>
          <w:bCs/>
          <w:i/>
          <w:sz w:val="18"/>
          <w:szCs w:val="18"/>
        </w:rPr>
        <w:t>19</w:t>
      </w:r>
      <w:r w:rsidRPr="00CE4013">
        <w:rPr>
          <w:rFonts w:eastAsia="Times New Roman"/>
          <w:bCs/>
          <w:sz w:val="18"/>
          <w:szCs w:val="18"/>
        </w:rPr>
        <w:t xml:space="preserve">, e19000982019, </w:t>
      </w:r>
      <w:r w:rsidRPr="00CE4013">
        <w:rPr>
          <w:rFonts w:eastAsia="Times New Roman"/>
          <w:bCs/>
          <w:i/>
          <w:sz w:val="18"/>
          <w:szCs w:val="18"/>
        </w:rPr>
        <w:t>19</w:t>
      </w:r>
      <w:r w:rsidRPr="00CE4013">
        <w:rPr>
          <w:rFonts w:eastAsia="Times New Roman"/>
          <w:bCs/>
          <w:sz w:val="18"/>
          <w:szCs w:val="18"/>
        </w:rPr>
        <w:t>, e1900098</w:t>
      </w:r>
      <w:r w:rsidRPr="00CE4013">
        <w:rPr>
          <w:rFonts w:eastAsia="Times New Roman"/>
          <w:sz w:val="18"/>
          <w:szCs w:val="18"/>
        </w:rPr>
        <w:t>. https://doi.org/10.1002/mabi.201900098.</w:t>
      </w:r>
    </w:p>
    <w:p w14:paraId="326F1A88"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Visser, J.; </w:t>
      </w:r>
      <w:proofErr w:type="spellStart"/>
      <w:r w:rsidRPr="00CE4013">
        <w:rPr>
          <w:rFonts w:eastAsia="Times New Roman"/>
          <w:sz w:val="18"/>
          <w:szCs w:val="18"/>
        </w:rPr>
        <w:t>Melchels</w:t>
      </w:r>
      <w:proofErr w:type="spellEnd"/>
      <w:r w:rsidRPr="00CE4013">
        <w:rPr>
          <w:rFonts w:eastAsia="Times New Roman"/>
          <w:sz w:val="18"/>
          <w:szCs w:val="18"/>
        </w:rPr>
        <w:t xml:space="preserve">, F.P.; Jeon, J.E.; Van </w:t>
      </w:r>
      <w:proofErr w:type="spellStart"/>
      <w:r w:rsidRPr="00CE4013">
        <w:rPr>
          <w:rFonts w:eastAsia="Times New Roman"/>
          <w:sz w:val="18"/>
          <w:szCs w:val="18"/>
        </w:rPr>
        <w:t>Bussel</w:t>
      </w:r>
      <w:proofErr w:type="spellEnd"/>
      <w:r w:rsidRPr="00CE4013">
        <w:rPr>
          <w:rFonts w:eastAsia="Times New Roman"/>
          <w:sz w:val="18"/>
          <w:szCs w:val="18"/>
        </w:rPr>
        <w:t xml:space="preserve">, E.M.; </w:t>
      </w:r>
      <w:proofErr w:type="spellStart"/>
      <w:r w:rsidRPr="00CE4013">
        <w:rPr>
          <w:rFonts w:eastAsia="Times New Roman"/>
          <w:sz w:val="18"/>
          <w:szCs w:val="18"/>
        </w:rPr>
        <w:t>Kimpton</w:t>
      </w:r>
      <w:proofErr w:type="spellEnd"/>
      <w:r w:rsidRPr="00CE4013">
        <w:rPr>
          <w:rFonts w:eastAsia="Times New Roman"/>
          <w:sz w:val="18"/>
          <w:szCs w:val="18"/>
        </w:rPr>
        <w:t xml:space="preserve">, L.S.; Byrne, H.; </w:t>
      </w:r>
      <w:proofErr w:type="spellStart"/>
      <w:r w:rsidRPr="00CE4013">
        <w:rPr>
          <w:rFonts w:eastAsia="Times New Roman"/>
          <w:sz w:val="18"/>
          <w:szCs w:val="18"/>
        </w:rPr>
        <w:t>Dhert</w:t>
      </w:r>
      <w:proofErr w:type="spellEnd"/>
      <w:r w:rsidRPr="00CE4013">
        <w:rPr>
          <w:rFonts w:eastAsia="Times New Roman"/>
          <w:sz w:val="18"/>
          <w:szCs w:val="18"/>
        </w:rPr>
        <w:t xml:space="preserve">, W.; Dalton, P.D.; </w:t>
      </w:r>
      <w:proofErr w:type="spellStart"/>
      <w:r w:rsidRPr="00CE4013">
        <w:rPr>
          <w:rFonts w:eastAsia="Times New Roman"/>
          <w:sz w:val="18"/>
          <w:szCs w:val="18"/>
        </w:rPr>
        <w:t>Hutmacher</w:t>
      </w:r>
      <w:proofErr w:type="spellEnd"/>
      <w:r w:rsidRPr="00CE4013">
        <w:rPr>
          <w:rFonts w:eastAsia="Times New Roman"/>
          <w:sz w:val="18"/>
          <w:szCs w:val="18"/>
        </w:rPr>
        <w:t xml:space="preserve">, D.W.; </w:t>
      </w:r>
      <w:proofErr w:type="spellStart"/>
      <w:r w:rsidRPr="00CE4013">
        <w:rPr>
          <w:rFonts w:eastAsia="Times New Roman"/>
          <w:sz w:val="18"/>
          <w:szCs w:val="18"/>
        </w:rPr>
        <w:t>Malda</w:t>
      </w:r>
      <w:proofErr w:type="spellEnd"/>
      <w:r w:rsidRPr="00CE4013">
        <w:rPr>
          <w:rFonts w:eastAsia="Times New Roman"/>
          <w:sz w:val="18"/>
          <w:szCs w:val="18"/>
        </w:rPr>
        <w:t xml:space="preserve">, J. Reinforcement of hydrogels using three-dimensionally printed microfibres. </w:t>
      </w:r>
      <w:r w:rsidRPr="00CE4013">
        <w:rPr>
          <w:rFonts w:eastAsia="Times New Roman"/>
          <w:i/>
          <w:iCs/>
          <w:sz w:val="18"/>
          <w:szCs w:val="18"/>
        </w:rPr>
        <w:t xml:space="preserve">Nat. </w:t>
      </w:r>
      <w:proofErr w:type="spellStart"/>
      <w:r w:rsidRPr="00CE4013">
        <w:rPr>
          <w:rFonts w:eastAsia="Times New Roman"/>
          <w:i/>
          <w:iCs/>
          <w:sz w:val="18"/>
          <w:szCs w:val="18"/>
        </w:rPr>
        <w:t>Commun</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2015</w:t>
      </w:r>
      <w:r w:rsidRPr="00CE4013">
        <w:rPr>
          <w:rFonts w:eastAsia="Times New Roman"/>
          <w:bCs/>
          <w:sz w:val="18"/>
          <w:szCs w:val="18"/>
        </w:rPr>
        <w:t xml:space="preserve">, </w:t>
      </w:r>
      <w:r w:rsidRPr="00CE4013">
        <w:rPr>
          <w:rFonts w:eastAsia="Times New Roman"/>
          <w:bCs/>
          <w:i/>
          <w:sz w:val="18"/>
          <w:szCs w:val="18"/>
        </w:rPr>
        <w:t>6</w:t>
      </w:r>
      <w:r w:rsidRPr="00CE4013">
        <w:rPr>
          <w:rFonts w:eastAsia="Times New Roman"/>
          <w:bCs/>
          <w:sz w:val="18"/>
          <w:szCs w:val="18"/>
        </w:rPr>
        <w:t>, 6933–6933</w:t>
      </w:r>
      <w:r w:rsidRPr="00CE4013">
        <w:rPr>
          <w:rFonts w:eastAsia="Times New Roman"/>
          <w:sz w:val="18"/>
          <w:szCs w:val="18"/>
        </w:rPr>
        <w:t>. https://doi.org/10.1038/ncomms7933.</w:t>
      </w:r>
    </w:p>
    <w:p w14:paraId="6B598F1F"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Hoch, E.; Schuh, C.; </w:t>
      </w:r>
      <w:proofErr w:type="spellStart"/>
      <w:r w:rsidRPr="00CE4013">
        <w:rPr>
          <w:rFonts w:eastAsia="Times New Roman"/>
          <w:sz w:val="18"/>
          <w:szCs w:val="18"/>
        </w:rPr>
        <w:t>Hirth</w:t>
      </w:r>
      <w:proofErr w:type="spellEnd"/>
      <w:r w:rsidRPr="00CE4013">
        <w:rPr>
          <w:rFonts w:eastAsia="Times New Roman"/>
          <w:sz w:val="18"/>
          <w:szCs w:val="18"/>
        </w:rPr>
        <w:t xml:space="preserve">, T.; Tovar, G.E.M.; Borchers, K. Stiff </w:t>
      </w:r>
      <w:proofErr w:type="spellStart"/>
      <w:r w:rsidRPr="00CE4013">
        <w:rPr>
          <w:rFonts w:eastAsia="Times New Roman"/>
          <w:sz w:val="18"/>
          <w:szCs w:val="18"/>
        </w:rPr>
        <w:t>gelatin</w:t>
      </w:r>
      <w:proofErr w:type="spellEnd"/>
      <w:r w:rsidRPr="00CE4013">
        <w:rPr>
          <w:rFonts w:eastAsia="Times New Roman"/>
          <w:sz w:val="18"/>
          <w:szCs w:val="18"/>
        </w:rPr>
        <w:t xml:space="preserve"> hydrogels can be photo-chemically synthesized from low viscous </w:t>
      </w:r>
      <w:proofErr w:type="spellStart"/>
      <w:r w:rsidRPr="00CE4013">
        <w:rPr>
          <w:rFonts w:eastAsia="Times New Roman"/>
          <w:sz w:val="18"/>
          <w:szCs w:val="18"/>
        </w:rPr>
        <w:t>gelatin</w:t>
      </w:r>
      <w:proofErr w:type="spellEnd"/>
      <w:r w:rsidRPr="00CE4013">
        <w:rPr>
          <w:rFonts w:eastAsia="Times New Roman"/>
          <w:sz w:val="18"/>
          <w:szCs w:val="18"/>
        </w:rPr>
        <w:t xml:space="preserve"> solutions using molecularly functionalized </w:t>
      </w:r>
      <w:proofErr w:type="spellStart"/>
      <w:r w:rsidRPr="00CE4013">
        <w:rPr>
          <w:rFonts w:eastAsia="Times New Roman"/>
          <w:sz w:val="18"/>
          <w:szCs w:val="18"/>
        </w:rPr>
        <w:t>gelatin</w:t>
      </w:r>
      <w:proofErr w:type="spellEnd"/>
      <w:r w:rsidRPr="00CE4013">
        <w:rPr>
          <w:rFonts w:eastAsia="Times New Roman"/>
          <w:sz w:val="18"/>
          <w:szCs w:val="18"/>
        </w:rPr>
        <w:t xml:space="preserve"> with a high degree of </w:t>
      </w:r>
      <w:proofErr w:type="spellStart"/>
      <w:r w:rsidRPr="00CE4013">
        <w:rPr>
          <w:rFonts w:eastAsia="Times New Roman"/>
          <w:sz w:val="18"/>
          <w:szCs w:val="18"/>
        </w:rPr>
        <w:t>methacrylation</w:t>
      </w:r>
      <w:proofErr w:type="spellEnd"/>
      <w:r w:rsidRPr="00CE4013">
        <w:rPr>
          <w:rFonts w:eastAsia="Times New Roman"/>
          <w:sz w:val="18"/>
          <w:szCs w:val="18"/>
        </w:rPr>
        <w:t xml:space="preserve">. </w:t>
      </w:r>
      <w:r w:rsidRPr="00CE4013">
        <w:rPr>
          <w:rFonts w:eastAsia="Times New Roman"/>
          <w:i/>
          <w:iCs/>
          <w:sz w:val="18"/>
          <w:szCs w:val="18"/>
        </w:rPr>
        <w:t>J. Mater. Sci. Mater. Med.</w:t>
      </w:r>
      <w:r w:rsidRPr="00CE4013">
        <w:rPr>
          <w:rFonts w:eastAsia="Times New Roman"/>
          <w:sz w:val="18"/>
          <w:szCs w:val="18"/>
        </w:rPr>
        <w:t xml:space="preserve"> </w:t>
      </w:r>
      <w:r w:rsidRPr="00CE4013">
        <w:rPr>
          <w:rFonts w:eastAsia="Times New Roman"/>
          <w:b/>
          <w:bCs/>
          <w:sz w:val="18"/>
          <w:szCs w:val="18"/>
        </w:rPr>
        <w:t>2012</w:t>
      </w:r>
      <w:r w:rsidRPr="00CE4013">
        <w:rPr>
          <w:rFonts w:eastAsia="Times New Roman"/>
          <w:bCs/>
          <w:sz w:val="18"/>
          <w:szCs w:val="18"/>
        </w:rPr>
        <w:t xml:space="preserve">, </w:t>
      </w:r>
      <w:r w:rsidRPr="00CE4013">
        <w:rPr>
          <w:rFonts w:eastAsia="Times New Roman"/>
          <w:bCs/>
          <w:i/>
          <w:sz w:val="18"/>
          <w:szCs w:val="18"/>
        </w:rPr>
        <w:t>23</w:t>
      </w:r>
      <w:r w:rsidRPr="00CE4013">
        <w:rPr>
          <w:rFonts w:eastAsia="Times New Roman"/>
          <w:bCs/>
          <w:sz w:val="18"/>
          <w:szCs w:val="18"/>
        </w:rPr>
        <w:t>, 2607–2617</w:t>
      </w:r>
      <w:r w:rsidRPr="00CE4013">
        <w:rPr>
          <w:rFonts w:eastAsia="Times New Roman"/>
          <w:sz w:val="18"/>
          <w:szCs w:val="18"/>
        </w:rPr>
        <w:t>. https://doi.org/10.1007/s10856-012-4731-2.</w:t>
      </w:r>
    </w:p>
    <w:p w14:paraId="65D48F8C"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Sutter, M.; </w:t>
      </w:r>
      <w:proofErr w:type="spellStart"/>
      <w:r w:rsidRPr="00CE4013">
        <w:rPr>
          <w:rFonts w:eastAsia="Times New Roman"/>
          <w:sz w:val="18"/>
          <w:szCs w:val="18"/>
        </w:rPr>
        <w:t>Siepmann</w:t>
      </w:r>
      <w:proofErr w:type="spellEnd"/>
      <w:r w:rsidRPr="00CE4013">
        <w:rPr>
          <w:rFonts w:eastAsia="Times New Roman"/>
          <w:sz w:val="18"/>
          <w:szCs w:val="18"/>
        </w:rPr>
        <w:t xml:space="preserve">, J.; </w:t>
      </w:r>
      <w:proofErr w:type="spellStart"/>
      <w:r w:rsidRPr="00CE4013">
        <w:rPr>
          <w:rFonts w:eastAsia="Times New Roman"/>
          <w:sz w:val="18"/>
          <w:szCs w:val="18"/>
        </w:rPr>
        <w:t>Hennink</w:t>
      </w:r>
      <w:proofErr w:type="spellEnd"/>
      <w:r w:rsidRPr="00CE4013">
        <w:rPr>
          <w:rFonts w:eastAsia="Times New Roman"/>
          <w:sz w:val="18"/>
          <w:szCs w:val="18"/>
        </w:rPr>
        <w:t xml:space="preserve">, W.E.; </w:t>
      </w:r>
      <w:proofErr w:type="spellStart"/>
      <w:r w:rsidRPr="00CE4013">
        <w:rPr>
          <w:rFonts w:eastAsia="Times New Roman"/>
          <w:sz w:val="18"/>
          <w:szCs w:val="18"/>
        </w:rPr>
        <w:t>Jiskoot</w:t>
      </w:r>
      <w:proofErr w:type="spellEnd"/>
      <w:r w:rsidRPr="00CE4013">
        <w:rPr>
          <w:rFonts w:eastAsia="Times New Roman"/>
          <w:sz w:val="18"/>
          <w:szCs w:val="18"/>
        </w:rPr>
        <w:t xml:space="preserve">, W. Recombinant </w:t>
      </w:r>
      <w:proofErr w:type="spellStart"/>
      <w:r w:rsidRPr="00CE4013">
        <w:rPr>
          <w:rFonts w:eastAsia="Times New Roman"/>
          <w:sz w:val="18"/>
          <w:szCs w:val="18"/>
        </w:rPr>
        <w:t>gelatin</w:t>
      </w:r>
      <w:proofErr w:type="spellEnd"/>
      <w:r w:rsidRPr="00CE4013">
        <w:rPr>
          <w:rFonts w:eastAsia="Times New Roman"/>
          <w:sz w:val="18"/>
          <w:szCs w:val="18"/>
        </w:rPr>
        <w:t xml:space="preserve"> hydrogels for the sustained release of proteins. </w:t>
      </w:r>
      <w:r w:rsidRPr="00CE4013">
        <w:rPr>
          <w:rFonts w:eastAsia="Times New Roman"/>
          <w:i/>
          <w:iCs/>
          <w:sz w:val="18"/>
          <w:szCs w:val="18"/>
        </w:rPr>
        <w:t>J. Control. Release</w:t>
      </w:r>
      <w:r w:rsidRPr="00CE4013">
        <w:rPr>
          <w:rFonts w:eastAsia="Times New Roman"/>
          <w:sz w:val="18"/>
          <w:szCs w:val="18"/>
        </w:rPr>
        <w:t xml:space="preserve"> </w:t>
      </w:r>
      <w:r w:rsidRPr="00CE4013">
        <w:rPr>
          <w:rFonts w:eastAsia="Times New Roman"/>
          <w:b/>
          <w:bCs/>
          <w:sz w:val="18"/>
          <w:szCs w:val="18"/>
        </w:rPr>
        <w:t>2007</w:t>
      </w:r>
      <w:r w:rsidRPr="00CE4013">
        <w:rPr>
          <w:rFonts w:eastAsia="Times New Roman"/>
          <w:bCs/>
          <w:sz w:val="18"/>
          <w:szCs w:val="18"/>
        </w:rPr>
        <w:t xml:space="preserve">, </w:t>
      </w:r>
      <w:r w:rsidRPr="00CE4013">
        <w:rPr>
          <w:rFonts w:eastAsia="Times New Roman"/>
          <w:bCs/>
          <w:i/>
          <w:sz w:val="18"/>
          <w:szCs w:val="18"/>
        </w:rPr>
        <w:t>119</w:t>
      </w:r>
      <w:r w:rsidRPr="00CE4013">
        <w:rPr>
          <w:rFonts w:eastAsia="Times New Roman"/>
          <w:bCs/>
          <w:sz w:val="18"/>
          <w:szCs w:val="18"/>
        </w:rPr>
        <w:t>, 301–312</w:t>
      </w:r>
      <w:r w:rsidRPr="00CE4013">
        <w:rPr>
          <w:rFonts w:eastAsia="Times New Roman"/>
          <w:sz w:val="18"/>
          <w:szCs w:val="18"/>
        </w:rPr>
        <w:t>. https://doi.org/10.1016/j.jconrel.2007.03.003.</w:t>
      </w:r>
    </w:p>
    <w:p w14:paraId="2693CE4B"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Lee, B.H.; </w:t>
      </w:r>
      <w:proofErr w:type="spellStart"/>
      <w:r w:rsidRPr="00CE4013">
        <w:rPr>
          <w:rFonts w:eastAsia="Times New Roman"/>
          <w:sz w:val="18"/>
          <w:szCs w:val="18"/>
        </w:rPr>
        <w:t>Shirahama</w:t>
      </w:r>
      <w:proofErr w:type="spellEnd"/>
      <w:r w:rsidRPr="00CE4013">
        <w:rPr>
          <w:rFonts w:eastAsia="Times New Roman"/>
          <w:sz w:val="18"/>
          <w:szCs w:val="18"/>
        </w:rPr>
        <w:t xml:space="preserve">, H.; Cho, N.-J.; Tan, L.P. Efficient and controllable synthesis of highly substituted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methacrylamide</w:t>
      </w:r>
      <w:proofErr w:type="spellEnd"/>
      <w:r w:rsidRPr="00CE4013">
        <w:rPr>
          <w:rFonts w:eastAsia="Times New Roman"/>
          <w:sz w:val="18"/>
          <w:szCs w:val="18"/>
        </w:rPr>
        <w:t xml:space="preserve"> for mechanically stiff hydrogels. </w:t>
      </w:r>
      <w:r w:rsidRPr="00CE4013">
        <w:rPr>
          <w:rFonts w:eastAsia="Times New Roman"/>
          <w:i/>
          <w:iCs/>
          <w:sz w:val="18"/>
          <w:szCs w:val="18"/>
        </w:rPr>
        <w:t>RSC Adv.</w:t>
      </w:r>
      <w:r w:rsidRPr="00CE4013">
        <w:rPr>
          <w:rFonts w:eastAsia="Times New Roman"/>
          <w:sz w:val="18"/>
          <w:szCs w:val="18"/>
        </w:rPr>
        <w:t xml:space="preserve"> </w:t>
      </w:r>
      <w:r w:rsidRPr="00CE4013">
        <w:rPr>
          <w:rFonts w:eastAsia="Times New Roman"/>
          <w:b/>
          <w:bCs/>
          <w:sz w:val="18"/>
          <w:szCs w:val="18"/>
        </w:rPr>
        <w:t>2015</w:t>
      </w:r>
      <w:r w:rsidRPr="00CE4013">
        <w:rPr>
          <w:rFonts w:eastAsia="Times New Roman"/>
          <w:bCs/>
          <w:sz w:val="18"/>
          <w:szCs w:val="18"/>
        </w:rPr>
        <w:t xml:space="preserve">, </w:t>
      </w:r>
      <w:r w:rsidRPr="00CE4013">
        <w:rPr>
          <w:rFonts w:eastAsia="Times New Roman"/>
          <w:bCs/>
          <w:i/>
          <w:sz w:val="18"/>
          <w:szCs w:val="18"/>
        </w:rPr>
        <w:t>5</w:t>
      </w:r>
      <w:r w:rsidRPr="00CE4013">
        <w:rPr>
          <w:rFonts w:eastAsia="Times New Roman"/>
          <w:bCs/>
          <w:sz w:val="18"/>
          <w:szCs w:val="18"/>
        </w:rPr>
        <w:t>, 106094–106097</w:t>
      </w:r>
      <w:r w:rsidRPr="00CE4013">
        <w:rPr>
          <w:rFonts w:eastAsia="Times New Roman"/>
          <w:sz w:val="18"/>
          <w:szCs w:val="18"/>
        </w:rPr>
        <w:t>. https://doi.org/10.1039/c5ra22028a.</w:t>
      </w:r>
    </w:p>
    <w:p w14:paraId="0F5DE452"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Shirahama</w:t>
      </w:r>
      <w:proofErr w:type="spellEnd"/>
      <w:r w:rsidRPr="00CE4013">
        <w:rPr>
          <w:rFonts w:eastAsia="Times New Roman"/>
          <w:sz w:val="18"/>
          <w:szCs w:val="18"/>
        </w:rPr>
        <w:t xml:space="preserve">, H.; Lee, B.H.; Tan, L.P.; Cho, N.-J. Precise Tuning of Facile One-Pot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 xml:space="preserve"> (</w:t>
      </w:r>
      <w:proofErr w:type="spellStart"/>
      <w:r w:rsidRPr="00CE4013">
        <w:rPr>
          <w:rFonts w:eastAsia="Times New Roman"/>
          <w:sz w:val="18"/>
          <w:szCs w:val="18"/>
        </w:rPr>
        <w:t>GelMA</w:t>
      </w:r>
      <w:proofErr w:type="spellEnd"/>
      <w:r w:rsidRPr="00CE4013">
        <w:rPr>
          <w:rFonts w:eastAsia="Times New Roman"/>
          <w:sz w:val="18"/>
          <w:szCs w:val="18"/>
        </w:rPr>
        <w:t xml:space="preserve">) Synthesis. </w:t>
      </w:r>
      <w:r w:rsidRPr="00CE4013">
        <w:rPr>
          <w:rFonts w:eastAsia="Times New Roman"/>
          <w:i/>
          <w:iCs/>
          <w:sz w:val="18"/>
          <w:szCs w:val="18"/>
        </w:rPr>
        <w:t>Sci. Rep.</w:t>
      </w:r>
      <w:r w:rsidRPr="00CE4013">
        <w:rPr>
          <w:rFonts w:eastAsia="Times New Roman"/>
          <w:sz w:val="18"/>
          <w:szCs w:val="18"/>
        </w:rPr>
        <w:t xml:space="preserve"> </w:t>
      </w:r>
      <w:r w:rsidRPr="00CE4013">
        <w:rPr>
          <w:rFonts w:eastAsia="Times New Roman"/>
          <w:b/>
          <w:bCs/>
          <w:sz w:val="18"/>
          <w:szCs w:val="18"/>
        </w:rPr>
        <w:t>2016</w:t>
      </w:r>
      <w:r w:rsidRPr="00CE4013">
        <w:rPr>
          <w:rFonts w:eastAsia="Times New Roman"/>
          <w:bCs/>
          <w:sz w:val="18"/>
          <w:szCs w:val="18"/>
        </w:rPr>
        <w:t xml:space="preserve">, </w:t>
      </w:r>
      <w:r w:rsidRPr="00CE4013">
        <w:rPr>
          <w:rFonts w:eastAsia="Times New Roman"/>
          <w:bCs/>
          <w:i/>
          <w:sz w:val="18"/>
          <w:szCs w:val="18"/>
        </w:rPr>
        <w:t>6</w:t>
      </w:r>
      <w:r w:rsidRPr="00CE4013">
        <w:rPr>
          <w:rFonts w:eastAsia="Times New Roman"/>
          <w:bCs/>
          <w:sz w:val="18"/>
          <w:szCs w:val="18"/>
        </w:rPr>
        <w:t>, 31036</w:t>
      </w:r>
      <w:r w:rsidRPr="00CE4013">
        <w:rPr>
          <w:rFonts w:eastAsia="Times New Roman"/>
          <w:sz w:val="18"/>
          <w:szCs w:val="18"/>
        </w:rPr>
        <w:t>. https://doi.org/10.1038/srep31036.</w:t>
      </w:r>
    </w:p>
    <w:p w14:paraId="200CE5CC"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Zhu, M.; Wang, Y.; </w:t>
      </w:r>
      <w:proofErr w:type="spellStart"/>
      <w:r w:rsidRPr="00CE4013">
        <w:rPr>
          <w:rFonts w:eastAsia="Times New Roman"/>
          <w:sz w:val="18"/>
          <w:szCs w:val="18"/>
        </w:rPr>
        <w:t>Ferracci</w:t>
      </w:r>
      <w:proofErr w:type="spellEnd"/>
      <w:r w:rsidRPr="00CE4013">
        <w:rPr>
          <w:rFonts w:eastAsia="Times New Roman"/>
          <w:sz w:val="18"/>
          <w:szCs w:val="18"/>
        </w:rPr>
        <w:t xml:space="preserve">, G.; Zheng, J.; Cho, N.-J.; Lee, B.H.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 xml:space="preserve"> and its hydrogels with an exceptional degree of controllability and batch-to-batch consistency. </w:t>
      </w:r>
      <w:r w:rsidRPr="00CE4013">
        <w:rPr>
          <w:rFonts w:eastAsia="Times New Roman"/>
          <w:i/>
          <w:iCs/>
          <w:sz w:val="18"/>
          <w:szCs w:val="18"/>
        </w:rPr>
        <w:t>Sci. Rep.</w:t>
      </w:r>
      <w:r w:rsidRPr="00CE4013">
        <w:rPr>
          <w:rFonts w:eastAsia="Times New Roman"/>
          <w:sz w:val="18"/>
          <w:szCs w:val="18"/>
        </w:rPr>
        <w:t xml:space="preserve"> </w:t>
      </w:r>
      <w:r w:rsidRPr="00CE4013">
        <w:rPr>
          <w:rFonts w:eastAsia="Times New Roman"/>
          <w:b/>
          <w:bCs/>
          <w:sz w:val="18"/>
          <w:szCs w:val="18"/>
        </w:rPr>
        <w:t>2019</w:t>
      </w:r>
      <w:r w:rsidRPr="00CE4013">
        <w:rPr>
          <w:rFonts w:eastAsia="Times New Roman"/>
          <w:bCs/>
          <w:sz w:val="18"/>
          <w:szCs w:val="18"/>
        </w:rPr>
        <w:t xml:space="preserve">, </w:t>
      </w:r>
      <w:r w:rsidRPr="00CE4013">
        <w:rPr>
          <w:rFonts w:eastAsia="Times New Roman"/>
          <w:bCs/>
          <w:i/>
          <w:sz w:val="18"/>
          <w:szCs w:val="18"/>
        </w:rPr>
        <w:t>9</w:t>
      </w:r>
      <w:r w:rsidRPr="00CE4013">
        <w:rPr>
          <w:rFonts w:eastAsia="Times New Roman"/>
          <w:bCs/>
          <w:sz w:val="18"/>
          <w:szCs w:val="18"/>
        </w:rPr>
        <w:t>, 6863</w:t>
      </w:r>
      <w:r w:rsidRPr="00CE4013">
        <w:rPr>
          <w:rFonts w:eastAsia="Times New Roman"/>
          <w:sz w:val="18"/>
          <w:szCs w:val="18"/>
        </w:rPr>
        <w:t>. https://doi.org/10.1038/s41598-019-42186-x.</w:t>
      </w:r>
    </w:p>
    <w:p w14:paraId="29D88BF1"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Kumar, H.; Sakthivel, K.; Mohamed, M.G.A.; Boras, E.; Shin, S.R.; Kim, K. Designing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 xml:space="preserve"> (</w:t>
      </w:r>
      <w:proofErr w:type="spellStart"/>
      <w:r w:rsidRPr="00CE4013">
        <w:rPr>
          <w:rFonts w:eastAsia="Times New Roman"/>
          <w:sz w:val="18"/>
          <w:szCs w:val="18"/>
        </w:rPr>
        <w:t>GelMA</w:t>
      </w:r>
      <w:proofErr w:type="spellEnd"/>
      <w:r w:rsidRPr="00CE4013">
        <w:rPr>
          <w:rFonts w:eastAsia="Times New Roman"/>
          <w:sz w:val="18"/>
          <w:szCs w:val="18"/>
        </w:rPr>
        <w:t xml:space="preserve">)‐Based </w:t>
      </w:r>
      <w:proofErr w:type="spellStart"/>
      <w:r w:rsidRPr="00CE4013">
        <w:rPr>
          <w:rFonts w:eastAsia="Times New Roman"/>
          <w:sz w:val="18"/>
          <w:szCs w:val="18"/>
        </w:rPr>
        <w:t>Bioinks</w:t>
      </w:r>
      <w:proofErr w:type="spellEnd"/>
      <w:r w:rsidRPr="00CE4013">
        <w:rPr>
          <w:rFonts w:eastAsia="Times New Roman"/>
          <w:sz w:val="18"/>
          <w:szCs w:val="18"/>
        </w:rPr>
        <w:t xml:space="preserve"> for Visible Light Stereolithographic 3D </w:t>
      </w:r>
      <w:proofErr w:type="spellStart"/>
      <w:r w:rsidRPr="00CE4013">
        <w:rPr>
          <w:rFonts w:eastAsia="Times New Roman"/>
          <w:sz w:val="18"/>
          <w:szCs w:val="18"/>
        </w:rPr>
        <w:t>Biofabrication</w:t>
      </w:r>
      <w:proofErr w:type="spellEnd"/>
      <w:r w:rsidRPr="00CE4013">
        <w:rPr>
          <w:rFonts w:eastAsia="Times New Roman"/>
          <w:sz w:val="18"/>
          <w:szCs w:val="18"/>
        </w:rPr>
        <w:t xml:space="preserve">. </w:t>
      </w:r>
      <w:proofErr w:type="spellStart"/>
      <w:r w:rsidRPr="00CE4013">
        <w:rPr>
          <w:rFonts w:eastAsia="Times New Roman"/>
          <w:i/>
          <w:iCs/>
          <w:sz w:val="18"/>
          <w:szCs w:val="18"/>
        </w:rPr>
        <w:t>Macromol</w:t>
      </w:r>
      <w:proofErr w:type="spellEnd"/>
      <w:r w:rsidRPr="00CE4013">
        <w:rPr>
          <w:rFonts w:eastAsia="Times New Roman"/>
          <w:i/>
          <w:iCs/>
          <w:sz w:val="18"/>
          <w:szCs w:val="18"/>
        </w:rPr>
        <w:t xml:space="preserve">. </w:t>
      </w:r>
      <w:proofErr w:type="spellStart"/>
      <w:r w:rsidRPr="00CE4013">
        <w:rPr>
          <w:rFonts w:eastAsia="Times New Roman"/>
          <w:i/>
          <w:iCs/>
          <w:sz w:val="18"/>
          <w:szCs w:val="18"/>
        </w:rPr>
        <w:t>Biosci</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2020</w:t>
      </w:r>
      <w:r w:rsidRPr="00CE4013">
        <w:rPr>
          <w:rFonts w:eastAsia="Times New Roman"/>
          <w:bCs/>
          <w:sz w:val="18"/>
          <w:szCs w:val="18"/>
        </w:rPr>
        <w:t xml:space="preserve">, </w:t>
      </w:r>
      <w:r w:rsidRPr="00CE4013">
        <w:rPr>
          <w:rFonts w:eastAsia="Times New Roman"/>
          <w:bCs/>
          <w:i/>
          <w:sz w:val="18"/>
          <w:szCs w:val="18"/>
        </w:rPr>
        <w:t>21</w:t>
      </w:r>
      <w:r w:rsidRPr="00CE4013">
        <w:rPr>
          <w:rFonts w:eastAsia="Times New Roman"/>
          <w:bCs/>
          <w:sz w:val="18"/>
          <w:szCs w:val="18"/>
        </w:rPr>
        <w:t>, e2000317</w:t>
      </w:r>
      <w:r w:rsidRPr="00CE4013">
        <w:rPr>
          <w:rFonts w:eastAsia="Times New Roman"/>
          <w:sz w:val="18"/>
          <w:szCs w:val="18"/>
        </w:rPr>
        <w:t>. https://doi.org/10.1002/mabi.202000317.</w:t>
      </w:r>
    </w:p>
    <w:p w14:paraId="737D654E" w14:textId="77777777" w:rsidR="004803E2" w:rsidRPr="00BD290E"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Young, A.T.; White, O.C.; Daniele, M.A. Rheological Properties of Coordinated Physical Gelation and Chemical Crosslinking in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BD290E">
        <w:rPr>
          <w:rFonts w:eastAsia="Times New Roman"/>
          <w:sz w:val="18"/>
          <w:szCs w:val="18"/>
        </w:rPr>
        <w:t>Methacryloyl</w:t>
      </w:r>
      <w:proofErr w:type="spellEnd"/>
      <w:r w:rsidRPr="00BD290E">
        <w:rPr>
          <w:rFonts w:eastAsia="Times New Roman"/>
          <w:sz w:val="18"/>
          <w:szCs w:val="18"/>
        </w:rPr>
        <w:t xml:space="preserve"> (</w:t>
      </w:r>
      <w:proofErr w:type="spellStart"/>
      <w:r w:rsidRPr="00BD290E">
        <w:rPr>
          <w:rFonts w:eastAsia="Times New Roman"/>
          <w:sz w:val="18"/>
          <w:szCs w:val="18"/>
        </w:rPr>
        <w:t>GelMA</w:t>
      </w:r>
      <w:proofErr w:type="spellEnd"/>
      <w:r w:rsidRPr="00BD290E">
        <w:rPr>
          <w:rFonts w:eastAsia="Times New Roman"/>
          <w:sz w:val="18"/>
          <w:szCs w:val="18"/>
        </w:rPr>
        <w:t xml:space="preserve">) Hydrogels. </w:t>
      </w:r>
      <w:proofErr w:type="spellStart"/>
      <w:r w:rsidRPr="00BD290E">
        <w:rPr>
          <w:rFonts w:eastAsia="Times New Roman"/>
          <w:i/>
          <w:iCs/>
          <w:sz w:val="18"/>
          <w:szCs w:val="18"/>
        </w:rPr>
        <w:t>Macromol</w:t>
      </w:r>
      <w:proofErr w:type="spellEnd"/>
      <w:r w:rsidRPr="00BD290E">
        <w:rPr>
          <w:rFonts w:eastAsia="Times New Roman"/>
          <w:i/>
          <w:iCs/>
          <w:sz w:val="18"/>
          <w:szCs w:val="18"/>
        </w:rPr>
        <w:t xml:space="preserve">. </w:t>
      </w:r>
      <w:proofErr w:type="spellStart"/>
      <w:r w:rsidRPr="00BD290E">
        <w:rPr>
          <w:rFonts w:eastAsia="Times New Roman"/>
          <w:i/>
          <w:iCs/>
          <w:sz w:val="18"/>
          <w:szCs w:val="18"/>
        </w:rPr>
        <w:t>Biosci</w:t>
      </w:r>
      <w:proofErr w:type="spellEnd"/>
      <w:r w:rsidRPr="00BD290E">
        <w:rPr>
          <w:rFonts w:eastAsia="Times New Roman"/>
          <w:i/>
          <w:iCs/>
          <w:sz w:val="18"/>
          <w:szCs w:val="18"/>
        </w:rPr>
        <w:t>.</w:t>
      </w:r>
      <w:r w:rsidRPr="00BD290E">
        <w:rPr>
          <w:rFonts w:eastAsia="Times New Roman"/>
          <w:sz w:val="18"/>
          <w:szCs w:val="18"/>
        </w:rPr>
        <w:t xml:space="preserve"> </w:t>
      </w:r>
      <w:r w:rsidRPr="00BD290E">
        <w:rPr>
          <w:rFonts w:eastAsia="Times New Roman"/>
          <w:b/>
          <w:bCs/>
          <w:sz w:val="18"/>
          <w:szCs w:val="18"/>
        </w:rPr>
        <w:t>2020</w:t>
      </w:r>
      <w:r w:rsidRPr="00BD290E">
        <w:rPr>
          <w:rFonts w:eastAsia="Times New Roman"/>
          <w:bCs/>
          <w:sz w:val="18"/>
          <w:szCs w:val="18"/>
        </w:rPr>
        <w:t xml:space="preserve">, </w:t>
      </w:r>
      <w:r w:rsidRPr="00BD290E">
        <w:rPr>
          <w:rFonts w:eastAsia="Times New Roman"/>
          <w:bCs/>
          <w:i/>
          <w:sz w:val="18"/>
          <w:szCs w:val="18"/>
        </w:rPr>
        <w:t>20</w:t>
      </w:r>
      <w:r w:rsidRPr="00BD290E">
        <w:rPr>
          <w:rFonts w:eastAsia="Times New Roman"/>
          <w:bCs/>
          <w:sz w:val="18"/>
          <w:szCs w:val="18"/>
        </w:rPr>
        <w:t>, 2000183</w:t>
      </w:r>
      <w:r w:rsidRPr="00BD290E">
        <w:rPr>
          <w:rFonts w:eastAsia="Times New Roman"/>
          <w:sz w:val="18"/>
          <w:szCs w:val="18"/>
        </w:rPr>
        <w:t>. https://doi.org/10.1002/mabi.202000183.</w:t>
      </w:r>
    </w:p>
    <w:p w14:paraId="2CA4497D" w14:textId="77777777" w:rsidR="004803E2" w:rsidRPr="00BD290E"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BD290E">
        <w:rPr>
          <w:rFonts w:eastAsia="Times New Roman"/>
          <w:sz w:val="18"/>
          <w:szCs w:val="18"/>
        </w:rPr>
        <w:t>Sakr</w:t>
      </w:r>
      <w:proofErr w:type="spellEnd"/>
      <w:r w:rsidRPr="00BD290E">
        <w:rPr>
          <w:rFonts w:eastAsia="Times New Roman"/>
          <w:sz w:val="18"/>
          <w:szCs w:val="18"/>
        </w:rPr>
        <w:t xml:space="preserve">, M.A.; Sakthivel, K.; Hossain, T.; Shin, S.R.; </w:t>
      </w:r>
      <w:proofErr w:type="spellStart"/>
      <w:r w:rsidRPr="00BD290E">
        <w:rPr>
          <w:rFonts w:eastAsia="Times New Roman"/>
          <w:sz w:val="18"/>
          <w:szCs w:val="18"/>
        </w:rPr>
        <w:t>Siddiqua</w:t>
      </w:r>
      <w:proofErr w:type="spellEnd"/>
      <w:r w:rsidRPr="00BD290E">
        <w:rPr>
          <w:rFonts w:eastAsia="Times New Roman"/>
          <w:sz w:val="18"/>
          <w:szCs w:val="18"/>
        </w:rPr>
        <w:t xml:space="preserve">, S.; Kim, J.; Kim, K. Recent trends in </w:t>
      </w:r>
      <w:proofErr w:type="spellStart"/>
      <w:r w:rsidRPr="00BD290E">
        <w:rPr>
          <w:rFonts w:eastAsia="Times New Roman"/>
          <w:sz w:val="18"/>
          <w:szCs w:val="18"/>
        </w:rPr>
        <w:t>gelatin</w:t>
      </w:r>
      <w:proofErr w:type="spellEnd"/>
      <w:r w:rsidRPr="00BD290E">
        <w:rPr>
          <w:rFonts w:eastAsia="Times New Roman"/>
          <w:sz w:val="18"/>
          <w:szCs w:val="18"/>
        </w:rPr>
        <w:t xml:space="preserve"> </w:t>
      </w:r>
      <w:proofErr w:type="spellStart"/>
      <w:r w:rsidRPr="00BD290E">
        <w:rPr>
          <w:rFonts w:eastAsia="Times New Roman"/>
          <w:sz w:val="18"/>
          <w:szCs w:val="18"/>
        </w:rPr>
        <w:t>methacryloyl</w:t>
      </w:r>
      <w:proofErr w:type="spellEnd"/>
      <w:r w:rsidRPr="00BD290E">
        <w:rPr>
          <w:rFonts w:eastAsia="Times New Roman"/>
          <w:sz w:val="18"/>
          <w:szCs w:val="18"/>
        </w:rPr>
        <w:t xml:space="preserve"> nanocomposite hydrogels for tissue engineering. </w:t>
      </w:r>
      <w:r w:rsidRPr="00BD290E">
        <w:rPr>
          <w:rFonts w:eastAsia="Times New Roman"/>
          <w:i/>
          <w:iCs/>
          <w:sz w:val="18"/>
          <w:szCs w:val="18"/>
        </w:rPr>
        <w:t>J. Biomed. Mater. Res. Part A</w:t>
      </w:r>
      <w:r w:rsidRPr="00BD290E">
        <w:rPr>
          <w:rFonts w:eastAsia="Times New Roman"/>
          <w:sz w:val="18"/>
          <w:szCs w:val="18"/>
        </w:rPr>
        <w:t xml:space="preserve"> </w:t>
      </w:r>
      <w:r w:rsidRPr="00BD290E">
        <w:rPr>
          <w:rFonts w:eastAsia="Times New Roman"/>
          <w:b/>
          <w:bCs/>
          <w:sz w:val="18"/>
          <w:szCs w:val="18"/>
        </w:rPr>
        <w:t>2021</w:t>
      </w:r>
      <w:r w:rsidRPr="00BD290E">
        <w:rPr>
          <w:rFonts w:eastAsia="Times New Roman"/>
          <w:bCs/>
          <w:sz w:val="18"/>
          <w:szCs w:val="18"/>
        </w:rPr>
        <w:t xml:space="preserve">, </w:t>
      </w:r>
      <w:r w:rsidRPr="00BD290E">
        <w:rPr>
          <w:rFonts w:eastAsia="Times New Roman"/>
          <w:bCs/>
          <w:i/>
          <w:sz w:val="18"/>
          <w:szCs w:val="18"/>
        </w:rPr>
        <w:t>110</w:t>
      </w:r>
      <w:r w:rsidRPr="00BD290E">
        <w:rPr>
          <w:rFonts w:eastAsia="Times New Roman"/>
          <w:bCs/>
          <w:sz w:val="18"/>
          <w:szCs w:val="18"/>
        </w:rPr>
        <w:t>, 708–724</w:t>
      </w:r>
      <w:r w:rsidRPr="00BD290E">
        <w:rPr>
          <w:rFonts w:eastAsia="Times New Roman"/>
          <w:sz w:val="18"/>
          <w:szCs w:val="18"/>
        </w:rPr>
        <w:t>. https://doi.org/10.1002/jbm.a.37310.</w:t>
      </w:r>
    </w:p>
    <w:p w14:paraId="35A40678"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Wang, Z.; Tian, Z.; Menard, F.; Kim, K. Comparative study of </w:t>
      </w:r>
      <w:proofErr w:type="spellStart"/>
      <w:r w:rsidRPr="00CE4013">
        <w:rPr>
          <w:rFonts w:eastAsia="Times New Roman"/>
          <w:sz w:val="18"/>
          <w:szCs w:val="18"/>
        </w:rPr>
        <w:t>gelatin</w:t>
      </w:r>
      <w:proofErr w:type="spellEnd"/>
      <w:r w:rsidRPr="00CE4013">
        <w:rPr>
          <w:rFonts w:eastAsia="Times New Roman"/>
          <w:sz w:val="18"/>
          <w:szCs w:val="18"/>
        </w:rPr>
        <w:t xml:space="preserve"> methacrylate hydrogels from different sources for bio-fabrication applications. </w:t>
      </w:r>
      <w:proofErr w:type="spellStart"/>
      <w:r w:rsidRPr="00CE4013">
        <w:rPr>
          <w:rFonts w:eastAsia="Times New Roman"/>
          <w:i/>
          <w:iCs/>
          <w:sz w:val="18"/>
          <w:szCs w:val="18"/>
        </w:rPr>
        <w:t>Biofabrication</w:t>
      </w:r>
      <w:proofErr w:type="spellEnd"/>
      <w:r w:rsidRPr="00CE4013">
        <w:rPr>
          <w:rFonts w:eastAsia="Times New Roman"/>
          <w:sz w:val="18"/>
          <w:szCs w:val="18"/>
        </w:rPr>
        <w:t xml:space="preserve"> </w:t>
      </w:r>
      <w:r w:rsidRPr="00CE4013">
        <w:rPr>
          <w:rFonts w:eastAsia="Times New Roman"/>
          <w:b/>
          <w:sz w:val="18"/>
          <w:szCs w:val="18"/>
        </w:rPr>
        <w:t>2017</w:t>
      </w:r>
      <w:r w:rsidRPr="00CE4013">
        <w:rPr>
          <w:rFonts w:eastAsia="Times New Roman"/>
          <w:sz w:val="18"/>
          <w:szCs w:val="18"/>
        </w:rPr>
        <w:t xml:space="preserve">, </w:t>
      </w:r>
      <w:r w:rsidRPr="00CE4013">
        <w:rPr>
          <w:rFonts w:eastAsia="Times New Roman"/>
          <w:i/>
          <w:sz w:val="18"/>
          <w:szCs w:val="18"/>
        </w:rPr>
        <w:t>9</w:t>
      </w:r>
      <w:r w:rsidRPr="00CE4013">
        <w:rPr>
          <w:rFonts w:eastAsia="Times New Roman"/>
          <w:sz w:val="18"/>
          <w:szCs w:val="18"/>
        </w:rPr>
        <w:t>, 44101.</w:t>
      </w:r>
    </w:p>
    <w:p w14:paraId="7098FD10"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4F44BF">
        <w:rPr>
          <w:rFonts w:eastAsia="Times New Roman"/>
          <w:sz w:val="18"/>
          <w:szCs w:val="18"/>
        </w:rPr>
        <w:t>Sewald</w:t>
      </w:r>
      <w:proofErr w:type="spellEnd"/>
      <w:r w:rsidRPr="004F44BF">
        <w:rPr>
          <w:rFonts w:eastAsia="Times New Roman"/>
          <w:sz w:val="18"/>
          <w:szCs w:val="18"/>
        </w:rPr>
        <w:t xml:space="preserve">, L.; </w:t>
      </w:r>
      <w:proofErr w:type="spellStart"/>
      <w:r w:rsidRPr="004F44BF">
        <w:rPr>
          <w:rFonts w:eastAsia="Times New Roman"/>
          <w:sz w:val="18"/>
          <w:szCs w:val="18"/>
        </w:rPr>
        <w:t>Claaßen</w:t>
      </w:r>
      <w:proofErr w:type="spellEnd"/>
      <w:r w:rsidRPr="004F44BF">
        <w:rPr>
          <w:rFonts w:eastAsia="Times New Roman"/>
          <w:sz w:val="18"/>
          <w:szCs w:val="18"/>
        </w:rPr>
        <w:t xml:space="preserve">, C.; </w:t>
      </w:r>
      <w:proofErr w:type="spellStart"/>
      <w:r w:rsidRPr="004F44BF">
        <w:rPr>
          <w:rFonts w:eastAsia="Times New Roman"/>
          <w:sz w:val="18"/>
          <w:szCs w:val="18"/>
        </w:rPr>
        <w:t>Götz</w:t>
      </w:r>
      <w:proofErr w:type="spellEnd"/>
      <w:r w:rsidRPr="004F44BF">
        <w:rPr>
          <w:rFonts w:eastAsia="Times New Roman"/>
          <w:sz w:val="18"/>
          <w:szCs w:val="18"/>
        </w:rPr>
        <w:t xml:space="preserve">, T.; </w:t>
      </w:r>
      <w:proofErr w:type="spellStart"/>
      <w:r w:rsidRPr="004F44BF">
        <w:rPr>
          <w:rFonts w:eastAsia="Times New Roman"/>
          <w:sz w:val="18"/>
          <w:szCs w:val="18"/>
        </w:rPr>
        <w:t>Claaßen</w:t>
      </w:r>
      <w:proofErr w:type="spellEnd"/>
      <w:r w:rsidRPr="004F44BF">
        <w:rPr>
          <w:rFonts w:eastAsia="Times New Roman"/>
          <w:sz w:val="18"/>
          <w:szCs w:val="18"/>
        </w:rPr>
        <w:t xml:space="preserve">, M.H.; </w:t>
      </w:r>
      <w:proofErr w:type="spellStart"/>
      <w:r w:rsidRPr="004F44BF">
        <w:rPr>
          <w:rFonts w:eastAsia="Times New Roman"/>
          <w:sz w:val="18"/>
          <w:szCs w:val="18"/>
        </w:rPr>
        <w:t>Truffault</w:t>
      </w:r>
      <w:proofErr w:type="spellEnd"/>
      <w:r w:rsidRPr="004F44BF">
        <w:rPr>
          <w:rFonts w:eastAsia="Times New Roman"/>
          <w:sz w:val="18"/>
          <w:szCs w:val="18"/>
        </w:rPr>
        <w:t xml:space="preserve">, V.; Tovar, G.E.M.; </w:t>
      </w:r>
      <w:proofErr w:type="spellStart"/>
      <w:r w:rsidRPr="004F44BF">
        <w:rPr>
          <w:rFonts w:eastAsia="Times New Roman"/>
          <w:sz w:val="18"/>
          <w:szCs w:val="18"/>
        </w:rPr>
        <w:t>Southan</w:t>
      </w:r>
      <w:proofErr w:type="spellEnd"/>
      <w:r w:rsidRPr="004F44BF">
        <w:rPr>
          <w:rFonts w:eastAsia="Times New Roman"/>
          <w:sz w:val="18"/>
          <w:szCs w:val="18"/>
        </w:rPr>
        <w:t xml:space="preserve">, A.; Borchers, K. Beyond the modification degree: Impact of raw material on physicochemical properties of </w:t>
      </w:r>
      <w:proofErr w:type="spellStart"/>
      <w:r w:rsidRPr="004F44BF">
        <w:rPr>
          <w:rFonts w:eastAsia="Times New Roman"/>
          <w:sz w:val="18"/>
          <w:szCs w:val="18"/>
        </w:rPr>
        <w:t>gelatin</w:t>
      </w:r>
      <w:proofErr w:type="spellEnd"/>
      <w:r w:rsidRPr="004F44BF">
        <w:rPr>
          <w:rFonts w:eastAsia="Times New Roman"/>
          <w:sz w:val="18"/>
          <w:szCs w:val="18"/>
        </w:rPr>
        <w:t xml:space="preserve"> type A and type B </w:t>
      </w:r>
      <w:proofErr w:type="spellStart"/>
      <w:r w:rsidRPr="004F44BF">
        <w:rPr>
          <w:rFonts w:eastAsia="Times New Roman"/>
          <w:sz w:val="18"/>
          <w:szCs w:val="18"/>
        </w:rPr>
        <w:t>methacryloyls</w:t>
      </w:r>
      <w:proofErr w:type="spellEnd"/>
      <w:r w:rsidRPr="004F44BF">
        <w:rPr>
          <w:rFonts w:eastAsia="Times New Roman"/>
          <w:sz w:val="18"/>
          <w:szCs w:val="18"/>
        </w:rPr>
        <w:t xml:space="preserve">. </w:t>
      </w:r>
      <w:proofErr w:type="spellStart"/>
      <w:r w:rsidRPr="004F44BF">
        <w:rPr>
          <w:rFonts w:eastAsia="Times New Roman"/>
          <w:i/>
          <w:iCs/>
          <w:sz w:val="18"/>
          <w:szCs w:val="18"/>
        </w:rPr>
        <w:t>Macromol</w:t>
      </w:r>
      <w:proofErr w:type="spellEnd"/>
      <w:r w:rsidRPr="004F44BF">
        <w:rPr>
          <w:rFonts w:eastAsia="Times New Roman"/>
          <w:i/>
          <w:iCs/>
          <w:sz w:val="18"/>
          <w:szCs w:val="18"/>
        </w:rPr>
        <w:t xml:space="preserve">. </w:t>
      </w:r>
      <w:proofErr w:type="spellStart"/>
      <w:r w:rsidRPr="004F44BF">
        <w:rPr>
          <w:rFonts w:eastAsia="Times New Roman"/>
          <w:i/>
          <w:iCs/>
          <w:sz w:val="18"/>
          <w:szCs w:val="18"/>
        </w:rPr>
        <w:t>Biosci</w:t>
      </w:r>
      <w:proofErr w:type="spellEnd"/>
      <w:r w:rsidRPr="004F44BF">
        <w:rPr>
          <w:rFonts w:eastAsia="Times New Roman"/>
          <w:i/>
          <w:iCs/>
          <w:sz w:val="18"/>
          <w:szCs w:val="18"/>
        </w:rPr>
        <w:t xml:space="preserve">. </w:t>
      </w:r>
      <w:r>
        <w:rPr>
          <w:rFonts w:eastAsia="Times New Roman"/>
          <w:b/>
          <w:sz w:val="18"/>
          <w:szCs w:val="18"/>
        </w:rPr>
        <w:t>2018</w:t>
      </w:r>
      <w:r>
        <w:rPr>
          <w:rFonts w:eastAsia="Times New Roman"/>
          <w:sz w:val="18"/>
          <w:szCs w:val="18"/>
        </w:rPr>
        <w:t xml:space="preserve">, </w:t>
      </w:r>
      <w:r>
        <w:rPr>
          <w:rFonts w:eastAsia="Times New Roman"/>
          <w:i/>
          <w:sz w:val="18"/>
          <w:szCs w:val="18"/>
        </w:rPr>
        <w:t>18</w:t>
      </w:r>
      <w:r>
        <w:rPr>
          <w:rFonts w:eastAsia="Times New Roman"/>
          <w:sz w:val="18"/>
          <w:szCs w:val="18"/>
        </w:rPr>
        <w:t>, 1800168</w:t>
      </w:r>
      <w:r w:rsidRPr="004F44BF">
        <w:rPr>
          <w:rFonts w:eastAsia="Times New Roman"/>
          <w:sz w:val="18"/>
          <w:szCs w:val="18"/>
        </w:rPr>
        <w:t>.</w:t>
      </w:r>
    </w:p>
    <w:p w14:paraId="383135FD"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Lee, B.H.; Lum, N.; </w:t>
      </w:r>
      <w:proofErr w:type="spellStart"/>
      <w:r w:rsidRPr="004F44BF">
        <w:rPr>
          <w:rFonts w:eastAsia="Times New Roman"/>
          <w:sz w:val="18"/>
          <w:szCs w:val="18"/>
        </w:rPr>
        <w:t>Seow</w:t>
      </w:r>
      <w:proofErr w:type="spellEnd"/>
      <w:r w:rsidRPr="004F44BF">
        <w:rPr>
          <w:rFonts w:eastAsia="Times New Roman"/>
          <w:sz w:val="18"/>
          <w:szCs w:val="18"/>
        </w:rPr>
        <w:t xml:space="preserve">, L.Y.; Lim, P.Q.; Tan, L.P. Synthesis and Characterization of Types A and B </w:t>
      </w:r>
      <w:proofErr w:type="spellStart"/>
      <w:r w:rsidRPr="004F44BF">
        <w:rPr>
          <w:rFonts w:eastAsia="Times New Roman"/>
          <w:sz w:val="18"/>
          <w:szCs w:val="18"/>
        </w:rPr>
        <w:t>Gelatin</w:t>
      </w:r>
      <w:proofErr w:type="spellEnd"/>
      <w:r w:rsidRPr="004F44BF">
        <w:rPr>
          <w:rFonts w:eastAsia="Times New Roman"/>
          <w:sz w:val="18"/>
          <w:szCs w:val="18"/>
        </w:rPr>
        <w:t xml:space="preserve"> </w:t>
      </w:r>
      <w:proofErr w:type="spellStart"/>
      <w:r w:rsidRPr="004F44BF">
        <w:rPr>
          <w:rFonts w:eastAsia="Times New Roman"/>
          <w:sz w:val="18"/>
          <w:szCs w:val="18"/>
        </w:rPr>
        <w:t>Methacryloyl</w:t>
      </w:r>
      <w:proofErr w:type="spellEnd"/>
      <w:r w:rsidRPr="004F44BF">
        <w:rPr>
          <w:rFonts w:eastAsia="Times New Roman"/>
          <w:sz w:val="18"/>
          <w:szCs w:val="18"/>
        </w:rPr>
        <w:t xml:space="preserve"> for </w:t>
      </w:r>
      <w:proofErr w:type="spellStart"/>
      <w:r w:rsidRPr="004F44BF">
        <w:rPr>
          <w:rFonts w:eastAsia="Times New Roman"/>
          <w:sz w:val="18"/>
          <w:szCs w:val="18"/>
        </w:rPr>
        <w:t>Bioink</w:t>
      </w:r>
      <w:proofErr w:type="spellEnd"/>
      <w:r w:rsidRPr="004F44BF">
        <w:rPr>
          <w:rFonts w:eastAsia="Times New Roman"/>
          <w:sz w:val="18"/>
          <w:szCs w:val="18"/>
        </w:rPr>
        <w:t xml:space="preserve"> Applications. </w:t>
      </w:r>
      <w:r w:rsidRPr="004F44BF">
        <w:rPr>
          <w:rFonts w:eastAsia="Times New Roman"/>
          <w:i/>
          <w:iCs/>
          <w:sz w:val="18"/>
          <w:szCs w:val="18"/>
        </w:rPr>
        <w:t>Materials</w:t>
      </w:r>
      <w:r w:rsidRPr="004F44BF">
        <w:rPr>
          <w:rFonts w:eastAsia="Times New Roman"/>
          <w:sz w:val="18"/>
          <w:szCs w:val="18"/>
        </w:rPr>
        <w:t xml:space="preserve"> </w:t>
      </w:r>
      <w:r>
        <w:rPr>
          <w:rFonts w:eastAsia="Times New Roman"/>
          <w:b/>
          <w:bCs/>
          <w:sz w:val="18"/>
          <w:szCs w:val="18"/>
        </w:rPr>
        <w:t>2016</w:t>
      </w:r>
      <w:r>
        <w:rPr>
          <w:rFonts w:eastAsia="Times New Roman"/>
          <w:bCs/>
          <w:sz w:val="18"/>
          <w:szCs w:val="18"/>
        </w:rPr>
        <w:t xml:space="preserve">, </w:t>
      </w:r>
      <w:r>
        <w:rPr>
          <w:rFonts w:eastAsia="Times New Roman"/>
          <w:bCs/>
          <w:i/>
          <w:sz w:val="18"/>
          <w:szCs w:val="18"/>
        </w:rPr>
        <w:t>9</w:t>
      </w:r>
      <w:r>
        <w:rPr>
          <w:rFonts w:eastAsia="Times New Roman"/>
          <w:bCs/>
          <w:sz w:val="18"/>
          <w:szCs w:val="18"/>
        </w:rPr>
        <w:t>, 797</w:t>
      </w:r>
      <w:r w:rsidRPr="004F44BF">
        <w:rPr>
          <w:rFonts w:eastAsia="Times New Roman"/>
          <w:sz w:val="18"/>
          <w:szCs w:val="18"/>
        </w:rPr>
        <w:t>. https://doi.org/10.3390/ma9100797.</w:t>
      </w:r>
    </w:p>
    <w:p w14:paraId="52F10965"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Liu, W.; Heinrich, M.A.; Zhou, Y.; </w:t>
      </w:r>
      <w:proofErr w:type="spellStart"/>
      <w:r w:rsidRPr="004F44BF">
        <w:rPr>
          <w:rFonts w:eastAsia="Times New Roman"/>
          <w:sz w:val="18"/>
          <w:szCs w:val="18"/>
        </w:rPr>
        <w:t>Akpek</w:t>
      </w:r>
      <w:proofErr w:type="spellEnd"/>
      <w:r w:rsidRPr="004F44BF">
        <w:rPr>
          <w:rFonts w:eastAsia="Times New Roman"/>
          <w:sz w:val="18"/>
          <w:szCs w:val="18"/>
        </w:rPr>
        <w:t xml:space="preserve">, A.; Hu, N.; Liu, X.; Guan, X.; Zhong, Z.; Jin, X.; </w:t>
      </w:r>
      <w:proofErr w:type="spellStart"/>
      <w:r w:rsidRPr="004F44BF">
        <w:rPr>
          <w:rFonts w:eastAsia="Times New Roman"/>
          <w:sz w:val="18"/>
          <w:szCs w:val="18"/>
        </w:rPr>
        <w:t>Khademhosseini</w:t>
      </w:r>
      <w:proofErr w:type="spellEnd"/>
      <w:r w:rsidRPr="004F44BF">
        <w:rPr>
          <w:rFonts w:eastAsia="Times New Roman"/>
          <w:sz w:val="18"/>
          <w:szCs w:val="18"/>
        </w:rPr>
        <w:t xml:space="preserve">, A.; et al. Extrusion Bioprinting of Shear‐Thinning </w:t>
      </w:r>
      <w:proofErr w:type="spellStart"/>
      <w:r w:rsidRPr="004F44BF">
        <w:rPr>
          <w:rFonts w:eastAsia="Times New Roman"/>
          <w:sz w:val="18"/>
          <w:szCs w:val="18"/>
        </w:rPr>
        <w:t>Gelatin</w:t>
      </w:r>
      <w:proofErr w:type="spellEnd"/>
      <w:r w:rsidRPr="004F44BF">
        <w:rPr>
          <w:rFonts w:eastAsia="Times New Roman"/>
          <w:sz w:val="18"/>
          <w:szCs w:val="18"/>
        </w:rPr>
        <w:t xml:space="preserve"> </w:t>
      </w:r>
      <w:proofErr w:type="spellStart"/>
      <w:r w:rsidRPr="004F44BF">
        <w:rPr>
          <w:rFonts w:eastAsia="Times New Roman"/>
          <w:sz w:val="18"/>
          <w:szCs w:val="18"/>
        </w:rPr>
        <w:t>Methacryloyl</w:t>
      </w:r>
      <w:proofErr w:type="spellEnd"/>
      <w:r w:rsidRPr="004F44BF">
        <w:rPr>
          <w:rFonts w:eastAsia="Times New Roman"/>
          <w:sz w:val="18"/>
          <w:szCs w:val="18"/>
        </w:rPr>
        <w:t xml:space="preserve"> </w:t>
      </w:r>
      <w:proofErr w:type="spellStart"/>
      <w:r w:rsidRPr="004F44BF">
        <w:rPr>
          <w:rFonts w:eastAsia="Times New Roman"/>
          <w:sz w:val="18"/>
          <w:szCs w:val="18"/>
        </w:rPr>
        <w:t>Bioinks</w:t>
      </w:r>
      <w:proofErr w:type="spellEnd"/>
      <w:r w:rsidRPr="004F44BF">
        <w:rPr>
          <w:rFonts w:eastAsia="Times New Roman"/>
          <w:sz w:val="18"/>
          <w:szCs w:val="18"/>
        </w:rPr>
        <w:t xml:space="preserve">. </w:t>
      </w:r>
      <w:r w:rsidRPr="00CE4013">
        <w:rPr>
          <w:rFonts w:eastAsia="Times New Roman"/>
          <w:i/>
          <w:iCs/>
          <w:sz w:val="18"/>
          <w:szCs w:val="18"/>
        </w:rPr>
        <w:t>Adv. Health Mater.</w:t>
      </w:r>
      <w:r w:rsidRPr="00CE4013">
        <w:rPr>
          <w:rFonts w:eastAsia="Times New Roman"/>
          <w:sz w:val="18"/>
          <w:szCs w:val="18"/>
        </w:rPr>
        <w:t xml:space="preserve"> </w:t>
      </w:r>
      <w:r w:rsidRPr="00CE4013">
        <w:rPr>
          <w:rFonts w:eastAsia="Times New Roman"/>
          <w:b/>
          <w:bCs/>
          <w:sz w:val="18"/>
          <w:szCs w:val="18"/>
        </w:rPr>
        <w:t>2017</w:t>
      </w:r>
      <w:r w:rsidRPr="00CE4013">
        <w:rPr>
          <w:rFonts w:eastAsia="Times New Roman"/>
          <w:bCs/>
          <w:sz w:val="18"/>
          <w:szCs w:val="18"/>
        </w:rPr>
        <w:t xml:space="preserve">, </w:t>
      </w:r>
      <w:r w:rsidRPr="00CE4013">
        <w:rPr>
          <w:rFonts w:eastAsia="Times New Roman"/>
          <w:bCs/>
          <w:i/>
          <w:sz w:val="18"/>
          <w:szCs w:val="18"/>
        </w:rPr>
        <w:t>6</w:t>
      </w:r>
      <w:r w:rsidRPr="00CE4013">
        <w:rPr>
          <w:rFonts w:eastAsia="Times New Roman"/>
          <w:bCs/>
          <w:sz w:val="18"/>
          <w:szCs w:val="18"/>
        </w:rPr>
        <w:t>, 1601451</w:t>
      </w:r>
      <w:r w:rsidRPr="00CE4013">
        <w:rPr>
          <w:sz w:val="18"/>
          <w:szCs w:val="18"/>
        </w:rPr>
        <w:t>.</w:t>
      </w:r>
      <w:r w:rsidRPr="00CE4013">
        <w:rPr>
          <w:rFonts w:eastAsia="Times New Roman"/>
          <w:sz w:val="18"/>
          <w:szCs w:val="18"/>
        </w:rPr>
        <w:t xml:space="preserve"> https://doi.org/10.1002/adhm.201601451.</w:t>
      </w:r>
    </w:p>
    <w:p w14:paraId="04024368"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Noshadi</w:t>
      </w:r>
      <w:proofErr w:type="spellEnd"/>
      <w:r w:rsidRPr="00CE4013">
        <w:rPr>
          <w:rFonts w:eastAsia="Times New Roman"/>
          <w:sz w:val="18"/>
          <w:szCs w:val="18"/>
        </w:rPr>
        <w:t xml:space="preserve">, I.; Hong, S.; Sullivan, K.E.; Sani, E.S.; Portillo-Lara, R.; </w:t>
      </w:r>
      <w:proofErr w:type="spellStart"/>
      <w:r w:rsidRPr="00CE4013">
        <w:rPr>
          <w:rFonts w:eastAsia="Times New Roman"/>
          <w:sz w:val="18"/>
          <w:szCs w:val="18"/>
        </w:rPr>
        <w:t>Tamayol</w:t>
      </w:r>
      <w:proofErr w:type="spellEnd"/>
      <w:r w:rsidRPr="00CE4013">
        <w:rPr>
          <w:rFonts w:eastAsia="Times New Roman"/>
          <w:sz w:val="18"/>
          <w:szCs w:val="18"/>
        </w:rPr>
        <w:t xml:space="preserve">, A.; Shin, S.R.; Gao, A.E.; </w:t>
      </w:r>
      <w:proofErr w:type="spellStart"/>
      <w:r w:rsidRPr="00CE4013">
        <w:rPr>
          <w:rFonts w:eastAsia="Times New Roman"/>
          <w:sz w:val="18"/>
          <w:szCs w:val="18"/>
        </w:rPr>
        <w:t>Stoppel</w:t>
      </w:r>
      <w:proofErr w:type="spellEnd"/>
      <w:r w:rsidRPr="00CE4013">
        <w:rPr>
          <w:rFonts w:eastAsia="Times New Roman"/>
          <w:sz w:val="18"/>
          <w:szCs w:val="18"/>
        </w:rPr>
        <w:t xml:space="preserve">, W.L; Black, L.D., III; et al. In vitro and in vivo analysis of visible light </w:t>
      </w:r>
      <w:proofErr w:type="spellStart"/>
      <w:r w:rsidRPr="00CE4013">
        <w:rPr>
          <w:rFonts w:eastAsia="Times New Roman"/>
          <w:sz w:val="18"/>
          <w:szCs w:val="18"/>
        </w:rPr>
        <w:t>crosslinkable</w:t>
      </w:r>
      <w:proofErr w:type="spellEnd"/>
      <w:r w:rsidRPr="00CE4013">
        <w:rPr>
          <w:rFonts w:eastAsia="Times New Roman"/>
          <w:sz w:val="18"/>
          <w:szCs w:val="18"/>
        </w:rPr>
        <w:t xml:space="preserve">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 xml:space="preserve"> (</w:t>
      </w:r>
      <w:proofErr w:type="spellStart"/>
      <w:r w:rsidRPr="00CE4013">
        <w:rPr>
          <w:rFonts w:eastAsia="Times New Roman"/>
          <w:sz w:val="18"/>
          <w:szCs w:val="18"/>
        </w:rPr>
        <w:t>GelMA</w:t>
      </w:r>
      <w:proofErr w:type="spellEnd"/>
      <w:r w:rsidRPr="00CE4013">
        <w:rPr>
          <w:rFonts w:eastAsia="Times New Roman"/>
          <w:sz w:val="18"/>
          <w:szCs w:val="18"/>
        </w:rPr>
        <w:t xml:space="preserve">) hydrogels. </w:t>
      </w:r>
      <w:proofErr w:type="spellStart"/>
      <w:r w:rsidRPr="00CE4013">
        <w:rPr>
          <w:rFonts w:eastAsia="Times New Roman"/>
          <w:i/>
          <w:iCs/>
          <w:sz w:val="18"/>
          <w:szCs w:val="18"/>
        </w:rPr>
        <w:t>Biomater</w:t>
      </w:r>
      <w:proofErr w:type="spellEnd"/>
      <w:r w:rsidRPr="00CE4013">
        <w:rPr>
          <w:rFonts w:eastAsia="Times New Roman"/>
          <w:i/>
          <w:iCs/>
          <w:sz w:val="18"/>
          <w:szCs w:val="18"/>
        </w:rPr>
        <w:t>. Sci.</w:t>
      </w:r>
      <w:r w:rsidRPr="00CE4013">
        <w:rPr>
          <w:rFonts w:eastAsia="Times New Roman"/>
          <w:sz w:val="18"/>
          <w:szCs w:val="18"/>
        </w:rPr>
        <w:t xml:space="preserve"> </w:t>
      </w:r>
      <w:r w:rsidRPr="00CE4013">
        <w:rPr>
          <w:rFonts w:eastAsia="Times New Roman"/>
          <w:b/>
          <w:bCs/>
          <w:sz w:val="18"/>
          <w:szCs w:val="18"/>
        </w:rPr>
        <w:t>2017</w:t>
      </w:r>
      <w:r w:rsidRPr="00CE4013">
        <w:rPr>
          <w:rFonts w:eastAsia="Times New Roman"/>
          <w:bCs/>
          <w:sz w:val="18"/>
          <w:szCs w:val="18"/>
        </w:rPr>
        <w:t xml:space="preserve">, </w:t>
      </w:r>
      <w:r w:rsidRPr="00CE4013">
        <w:rPr>
          <w:rFonts w:eastAsia="Times New Roman"/>
          <w:bCs/>
          <w:i/>
          <w:sz w:val="18"/>
          <w:szCs w:val="18"/>
        </w:rPr>
        <w:t>5</w:t>
      </w:r>
      <w:r w:rsidRPr="00CE4013">
        <w:rPr>
          <w:rFonts w:eastAsia="Times New Roman"/>
          <w:bCs/>
          <w:sz w:val="18"/>
          <w:szCs w:val="18"/>
        </w:rPr>
        <w:t>, 2093–2105</w:t>
      </w:r>
      <w:r w:rsidRPr="00CE4013">
        <w:rPr>
          <w:rFonts w:eastAsia="Times New Roman"/>
          <w:sz w:val="18"/>
          <w:szCs w:val="18"/>
        </w:rPr>
        <w:t>. https://doi.org/10.1039/c7bm00110j.</w:t>
      </w:r>
    </w:p>
    <w:p w14:paraId="65E0ACD8"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Sani, E.S.; Lara, R.P.; </w:t>
      </w:r>
      <w:proofErr w:type="spellStart"/>
      <w:r w:rsidRPr="00CE4013">
        <w:rPr>
          <w:rFonts w:eastAsia="Times New Roman"/>
          <w:sz w:val="18"/>
          <w:szCs w:val="18"/>
        </w:rPr>
        <w:t>Aldawood</w:t>
      </w:r>
      <w:proofErr w:type="spellEnd"/>
      <w:r w:rsidRPr="00CE4013">
        <w:rPr>
          <w:rFonts w:eastAsia="Times New Roman"/>
          <w:sz w:val="18"/>
          <w:szCs w:val="18"/>
        </w:rPr>
        <w:t xml:space="preserve">, Z.; </w:t>
      </w:r>
      <w:proofErr w:type="spellStart"/>
      <w:r w:rsidRPr="00CE4013">
        <w:rPr>
          <w:rFonts w:eastAsia="Times New Roman"/>
          <w:sz w:val="18"/>
          <w:szCs w:val="18"/>
        </w:rPr>
        <w:t>Bassir</w:t>
      </w:r>
      <w:proofErr w:type="spellEnd"/>
      <w:r w:rsidRPr="00CE4013">
        <w:rPr>
          <w:rFonts w:eastAsia="Times New Roman"/>
          <w:sz w:val="18"/>
          <w:szCs w:val="18"/>
        </w:rPr>
        <w:t xml:space="preserve">, S.H.; Nguyen, D.; </w:t>
      </w:r>
      <w:proofErr w:type="spellStart"/>
      <w:r w:rsidRPr="00CE4013">
        <w:rPr>
          <w:rFonts w:eastAsia="Times New Roman"/>
          <w:sz w:val="18"/>
          <w:szCs w:val="18"/>
        </w:rPr>
        <w:t>Kantarci</w:t>
      </w:r>
      <w:proofErr w:type="spellEnd"/>
      <w:r w:rsidRPr="00CE4013">
        <w:rPr>
          <w:rFonts w:eastAsia="Times New Roman"/>
          <w:sz w:val="18"/>
          <w:szCs w:val="18"/>
        </w:rPr>
        <w:t xml:space="preserve">, A.; </w:t>
      </w:r>
      <w:proofErr w:type="spellStart"/>
      <w:r w:rsidRPr="00CE4013">
        <w:rPr>
          <w:rFonts w:eastAsia="Times New Roman"/>
          <w:sz w:val="18"/>
          <w:szCs w:val="18"/>
        </w:rPr>
        <w:t>Intini</w:t>
      </w:r>
      <w:proofErr w:type="spellEnd"/>
      <w:r w:rsidRPr="00CE4013">
        <w:rPr>
          <w:rFonts w:eastAsia="Times New Roman"/>
          <w:sz w:val="18"/>
          <w:szCs w:val="18"/>
        </w:rPr>
        <w:t xml:space="preserve">, G.; </w:t>
      </w:r>
      <w:proofErr w:type="spellStart"/>
      <w:r w:rsidRPr="00CE4013">
        <w:rPr>
          <w:rFonts w:eastAsia="Times New Roman"/>
          <w:sz w:val="18"/>
          <w:szCs w:val="18"/>
        </w:rPr>
        <w:t>Annabi</w:t>
      </w:r>
      <w:proofErr w:type="spellEnd"/>
      <w:r w:rsidRPr="00CE4013">
        <w:rPr>
          <w:rFonts w:eastAsia="Times New Roman"/>
          <w:sz w:val="18"/>
          <w:szCs w:val="18"/>
        </w:rPr>
        <w:t xml:space="preserve">, N. An Antimicrobial Dental Light Curable </w:t>
      </w:r>
      <w:proofErr w:type="spellStart"/>
      <w:r w:rsidRPr="00CE4013">
        <w:rPr>
          <w:rFonts w:eastAsia="Times New Roman"/>
          <w:sz w:val="18"/>
          <w:szCs w:val="18"/>
        </w:rPr>
        <w:t>Bioadhesive</w:t>
      </w:r>
      <w:proofErr w:type="spellEnd"/>
      <w:r w:rsidRPr="00CE4013">
        <w:rPr>
          <w:rFonts w:eastAsia="Times New Roman"/>
          <w:sz w:val="18"/>
          <w:szCs w:val="18"/>
        </w:rPr>
        <w:t xml:space="preserve"> Hydrogel for Treatment of Peri-Implant Diseases. </w:t>
      </w:r>
      <w:r w:rsidRPr="00CE4013">
        <w:rPr>
          <w:rFonts w:eastAsia="Times New Roman"/>
          <w:i/>
          <w:iCs/>
          <w:sz w:val="18"/>
          <w:szCs w:val="18"/>
        </w:rPr>
        <w:t>Matter</w:t>
      </w:r>
      <w:r w:rsidRPr="00CE4013">
        <w:rPr>
          <w:rFonts w:eastAsia="Times New Roman"/>
          <w:sz w:val="18"/>
          <w:szCs w:val="18"/>
        </w:rPr>
        <w:t xml:space="preserve"> </w:t>
      </w:r>
      <w:r w:rsidRPr="00CE4013">
        <w:rPr>
          <w:rFonts w:eastAsia="Times New Roman"/>
          <w:b/>
          <w:bCs/>
          <w:sz w:val="18"/>
          <w:szCs w:val="18"/>
        </w:rPr>
        <w:t>2019</w:t>
      </w:r>
      <w:r w:rsidRPr="00CE4013">
        <w:rPr>
          <w:rFonts w:eastAsia="Times New Roman"/>
          <w:bCs/>
          <w:sz w:val="18"/>
          <w:szCs w:val="18"/>
        </w:rPr>
        <w:t xml:space="preserve">, </w:t>
      </w:r>
      <w:r w:rsidRPr="00CE4013">
        <w:rPr>
          <w:rFonts w:eastAsia="Times New Roman"/>
          <w:bCs/>
          <w:i/>
          <w:sz w:val="18"/>
          <w:szCs w:val="18"/>
        </w:rPr>
        <w:t>1</w:t>
      </w:r>
      <w:r w:rsidRPr="00CE4013">
        <w:rPr>
          <w:rFonts w:eastAsia="Times New Roman"/>
          <w:bCs/>
          <w:sz w:val="18"/>
          <w:szCs w:val="18"/>
        </w:rPr>
        <w:t>, 926–944</w:t>
      </w:r>
      <w:r w:rsidRPr="00CE4013">
        <w:rPr>
          <w:rFonts w:eastAsia="Times New Roman"/>
          <w:sz w:val="18"/>
          <w:szCs w:val="18"/>
        </w:rPr>
        <w:t>. https://doi.org/10.1016/j.matt.2019.07.019.</w:t>
      </w:r>
    </w:p>
    <w:p w14:paraId="7753BFEB"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lastRenderedPageBreak/>
        <w:t xml:space="preserve">Sharifi, S.; Sharifi, H.; Akbari, A.; Chodosh, J. Systematic optimization of visible light-induced crosslinking conditions of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 xml:space="preserve"> (</w:t>
      </w:r>
      <w:proofErr w:type="spellStart"/>
      <w:r w:rsidRPr="00CE4013">
        <w:rPr>
          <w:rFonts w:eastAsia="Times New Roman"/>
          <w:sz w:val="18"/>
          <w:szCs w:val="18"/>
        </w:rPr>
        <w:t>GelMA</w:t>
      </w:r>
      <w:proofErr w:type="spellEnd"/>
      <w:r w:rsidRPr="00CE4013">
        <w:rPr>
          <w:rFonts w:eastAsia="Times New Roman"/>
          <w:sz w:val="18"/>
          <w:szCs w:val="18"/>
        </w:rPr>
        <w:t xml:space="preserve">). </w:t>
      </w:r>
      <w:r w:rsidRPr="00CE4013">
        <w:rPr>
          <w:rFonts w:eastAsia="Times New Roman"/>
          <w:i/>
          <w:iCs/>
          <w:sz w:val="18"/>
          <w:szCs w:val="18"/>
        </w:rPr>
        <w:t>Sci. Rep.</w:t>
      </w:r>
      <w:r w:rsidRPr="00CE4013">
        <w:rPr>
          <w:rFonts w:eastAsia="Times New Roman"/>
          <w:sz w:val="18"/>
          <w:szCs w:val="18"/>
        </w:rPr>
        <w:t xml:space="preserve"> </w:t>
      </w:r>
      <w:r w:rsidRPr="00CE4013">
        <w:rPr>
          <w:rFonts w:eastAsia="Times New Roman"/>
          <w:b/>
          <w:bCs/>
          <w:sz w:val="18"/>
          <w:szCs w:val="18"/>
        </w:rPr>
        <w:t>2021</w:t>
      </w:r>
      <w:r w:rsidRPr="00CE4013">
        <w:rPr>
          <w:rFonts w:eastAsia="Times New Roman"/>
          <w:bCs/>
          <w:sz w:val="18"/>
          <w:szCs w:val="18"/>
        </w:rPr>
        <w:t xml:space="preserve">, </w:t>
      </w:r>
      <w:r w:rsidRPr="00CE4013">
        <w:rPr>
          <w:rFonts w:eastAsia="Times New Roman"/>
          <w:bCs/>
          <w:i/>
          <w:sz w:val="18"/>
          <w:szCs w:val="18"/>
        </w:rPr>
        <w:t>11</w:t>
      </w:r>
      <w:r w:rsidRPr="00CE4013">
        <w:rPr>
          <w:rFonts w:eastAsia="Times New Roman"/>
          <w:bCs/>
          <w:sz w:val="18"/>
          <w:szCs w:val="18"/>
        </w:rPr>
        <w:t>, 23276</w:t>
      </w:r>
      <w:r w:rsidRPr="00CE4013">
        <w:rPr>
          <w:rFonts w:eastAsia="Times New Roman"/>
          <w:sz w:val="18"/>
          <w:szCs w:val="18"/>
        </w:rPr>
        <w:t>. https://doi.org/10.1038/s41598-021-02830-x.</w:t>
      </w:r>
    </w:p>
    <w:p w14:paraId="62F69853"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Levato</w:t>
      </w:r>
      <w:proofErr w:type="spellEnd"/>
      <w:r w:rsidRPr="00CE4013">
        <w:rPr>
          <w:rFonts w:eastAsia="Times New Roman"/>
          <w:sz w:val="18"/>
          <w:szCs w:val="18"/>
        </w:rPr>
        <w:t xml:space="preserve">, R.; Visser, J.; A </w:t>
      </w:r>
      <w:proofErr w:type="spellStart"/>
      <w:r w:rsidRPr="00CE4013">
        <w:rPr>
          <w:rFonts w:eastAsia="Times New Roman"/>
          <w:sz w:val="18"/>
          <w:szCs w:val="18"/>
        </w:rPr>
        <w:t>Planell</w:t>
      </w:r>
      <w:proofErr w:type="spellEnd"/>
      <w:r w:rsidRPr="00CE4013">
        <w:rPr>
          <w:rFonts w:eastAsia="Times New Roman"/>
          <w:sz w:val="18"/>
          <w:szCs w:val="18"/>
        </w:rPr>
        <w:t xml:space="preserve">, J.; Engel, E.; </w:t>
      </w:r>
      <w:proofErr w:type="spellStart"/>
      <w:r w:rsidRPr="00CE4013">
        <w:rPr>
          <w:rFonts w:eastAsia="Times New Roman"/>
          <w:sz w:val="18"/>
          <w:szCs w:val="18"/>
        </w:rPr>
        <w:t>Malda</w:t>
      </w:r>
      <w:proofErr w:type="spellEnd"/>
      <w:r w:rsidRPr="00CE4013">
        <w:rPr>
          <w:rFonts w:eastAsia="Times New Roman"/>
          <w:sz w:val="18"/>
          <w:szCs w:val="18"/>
        </w:rPr>
        <w:t xml:space="preserve">, J.; </w:t>
      </w:r>
      <w:proofErr w:type="spellStart"/>
      <w:r w:rsidRPr="00CE4013">
        <w:rPr>
          <w:rFonts w:eastAsia="Times New Roman"/>
          <w:sz w:val="18"/>
          <w:szCs w:val="18"/>
        </w:rPr>
        <w:t>Timoneda</w:t>
      </w:r>
      <w:proofErr w:type="spellEnd"/>
      <w:r w:rsidRPr="00CE4013">
        <w:rPr>
          <w:rFonts w:eastAsia="Times New Roman"/>
          <w:sz w:val="18"/>
          <w:szCs w:val="18"/>
        </w:rPr>
        <w:t xml:space="preserve">, M.A.M. </w:t>
      </w:r>
      <w:proofErr w:type="spellStart"/>
      <w:r w:rsidRPr="00CE4013">
        <w:rPr>
          <w:rFonts w:eastAsia="Times New Roman"/>
          <w:sz w:val="18"/>
          <w:szCs w:val="18"/>
        </w:rPr>
        <w:t>Biofabrication</w:t>
      </w:r>
      <w:proofErr w:type="spellEnd"/>
      <w:r w:rsidRPr="00CE4013">
        <w:rPr>
          <w:rFonts w:eastAsia="Times New Roman"/>
          <w:sz w:val="18"/>
          <w:szCs w:val="18"/>
        </w:rPr>
        <w:t xml:space="preserve"> of tissue constructs by 3D bioprinting of cell-laden microcarriers. </w:t>
      </w:r>
      <w:proofErr w:type="spellStart"/>
      <w:r w:rsidRPr="00CE4013">
        <w:rPr>
          <w:rFonts w:eastAsia="Times New Roman"/>
          <w:i/>
          <w:iCs/>
          <w:sz w:val="18"/>
          <w:szCs w:val="18"/>
        </w:rPr>
        <w:t>Biofabrication</w:t>
      </w:r>
      <w:proofErr w:type="spellEnd"/>
      <w:r w:rsidRPr="00CE4013">
        <w:rPr>
          <w:rFonts w:eastAsia="Times New Roman"/>
          <w:sz w:val="18"/>
          <w:szCs w:val="18"/>
        </w:rPr>
        <w:t xml:space="preserve"> </w:t>
      </w:r>
      <w:r w:rsidRPr="00CE4013">
        <w:rPr>
          <w:rFonts w:eastAsia="Times New Roman"/>
          <w:b/>
          <w:bCs/>
          <w:sz w:val="18"/>
          <w:szCs w:val="18"/>
        </w:rPr>
        <w:t>2014</w:t>
      </w:r>
      <w:r w:rsidRPr="00CE4013">
        <w:rPr>
          <w:rFonts w:eastAsia="Times New Roman"/>
          <w:bCs/>
          <w:sz w:val="18"/>
          <w:szCs w:val="18"/>
        </w:rPr>
        <w:t xml:space="preserve">, </w:t>
      </w:r>
      <w:r w:rsidRPr="00CE4013">
        <w:rPr>
          <w:rFonts w:eastAsia="Times New Roman"/>
          <w:bCs/>
          <w:i/>
          <w:sz w:val="18"/>
          <w:szCs w:val="18"/>
        </w:rPr>
        <w:t>6</w:t>
      </w:r>
      <w:r w:rsidRPr="00CE4013">
        <w:rPr>
          <w:rFonts w:eastAsia="Times New Roman"/>
          <w:bCs/>
          <w:sz w:val="18"/>
          <w:szCs w:val="18"/>
        </w:rPr>
        <w:t>, 035020</w:t>
      </w:r>
      <w:r w:rsidRPr="00CE4013">
        <w:rPr>
          <w:rFonts w:eastAsia="Times New Roman"/>
          <w:sz w:val="18"/>
          <w:szCs w:val="18"/>
        </w:rPr>
        <w:t>. https://doi.org/10.1088/1758-5082/6/3/035020.</w:t>
      </w:r>
    </w:p>
    <w:p w14:paraId="293E8F08"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O’Connell, C.D.; Zhang, B.; </w:t>
      </w:r>
      <w:proofErr w:type="spellStart"/>
      <w:r w:rsidRPr="00CE4013">
        <w:rPr>
          <w:rFonts w:eastAsia="Times New Roman"/>
          <w:sz w:val="18"/>
          <w:szCs w:val="18"/>
        </w:rPr>
        <w:t>Onofrillo</w:t>
      </w:r>
      <w:proofErr w:type="spellEnd"/>
      <w:r w:rsidRPr="00CE4013">
        <w:rPr>
          <w:rFonts w:eastAsia="Times New Roman"/>
          <w:sz w:val="18"/>
          <w:szCs w:val="18"/>
        </w:rPr>
        <w:t xml:space="preserve">, C.; </w:t>
      </w:r>
      <w:proofErr w:type="spellStart"/>
      <w:r w:rsidRPr="00CE4013">
        <w:rPr>
          <w:rFonts w:eastAsia="Times New Roman"/>
          <w:sz w:val="18"/>
          <w:szCs w:val="18"/>
        </w:rPr>
        <w:t>Duchi</w:t>
      </w:r>
      <w:proofErr w:type="spellEnd"/>
      <w:r w:rsidRPr="00CE4013">
        <w:rPr>
          <w:rFonts w:eastAsia="Times New Roman"/>
          <w:sz w:val="18"/>
          <w:szCs w:val="18"/>
        </w:rPr>
        <w:t xml:space="preserve">, S.; Blanchard, R.; Quigley, A.; Bourke, J.; Gambhir, S.; </w:t>
      </w:r>
      <w:proofErr w:type="spellStart"/>
      <w:r w:rsidRPr="00CE4013">
        <w:rPr>
          <w:rFonts w:eastAsia="Times New Roman"/>
          <w:sz w:val="18"/>
          <w:szCs w:val="18"/>
        </w:rPr>
        <w:t>Kapsa</w:t>
      </w:r>
      <w:proofErr w:type="spellEnd"/>
      <w:r w:rsidRPr="00CE4013">
        <w:rPr>
          <w:rFonts w:eastAsia="Times New Roman"/>
          <w:sz w:val="18"/>
          <w:szCs w:val="18"/>
        </w:rPr>
        <w:t xml:space="preserve">, R.; Di Bella, C.; et al. Tailoring the mechanical properties of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 xml:space="preserve"> hydrogels through manipulation of the </w:t>
      </w:r>
      <w:proofErr w:type="spellStart"/>
      <w:r w:rsidRPr="00CE4013">
        <w:rPr>
          <w:rFonts w:eastAsia="Times New Roman"/>
          <w:sz w:val="18"/>
          <w:szCs w:val="18"/>
        </w:rPr>
        <w:t>photocrosslinking</w:t>
      </w:r>
      <w:proofErr w:type="spellEnd"/>
      <w:r w:rsidRPr="00CE4013">
        <w:rPr>
          <w:rFonts w:eastAsia="Times New Roman"/>
          <w:sz w:val="18"/>
          <w:szCs w:val="18"/>
        </w:rPr>
        <w:t xml:space="preserve"> conditions. </w:t>
      </w:r>
      <w:r w:rsidRPr="00CE4013">
        <w:rPr>
          <w:rFonts w:eastAsia="Times New Roman"/>
          <w:i/>
          <w:iCs/>
          <w:sz w:val="18"/>
          <w:szCs w:val="18"/>
        </w:rPr>
        <w:t>Soft Matter</w:t>
      </w:r>
      <w:r w:rsidRPr="00CE4013">
        <w:rPr>
          <w:rFonts w:eastAsia="Times New Roman"/>
          <w:sz w:val="18"/>
          <w:szCs w:val="18"/>
        </w:rPr>
        <w:t xml:space="preserve"> </w:t>
      </w:r>
      <w:r w:rsidRPr="00CE4013">
        <w:rPr>
          <w:rFonts w:eastAsia="Times New Roman"/>
          <w:b/>
          <w:bCs/>
          <w:sz w:val="18"/>
          <w:szCs w:val="18"/>
        </w:rPr>
        <w:t>2018</w:t>
      </w:r>
      <w:r w:rsidRPr="00CE4013">
        <w:rPr>
          <w:rFonts w:eastAsia="Times New Roman"/>
          <w:bCs/>
          <w:sz w:val="18"/>
          <w:szCs w:val="18"/>
        </w:rPr>
        <w:t xml:space="preserve">, </w:t>
      </w:r>
      <w:r w:rsidRPr="00CE4013">
        <w:rPr>
          <w:rFonts w:eastAsia="Times New Roman"/>
          <w:bCs/>
          <w:i/>
          <w:sz w:val="18"/>
          <w:szCs w:val="18"/>
        </w:rPr>
        <w:t>14</w:t>
      </w:r>
      <w:r w:rsidRPr="00CE4013">
        <w:rPr>
          <w:rFonts w:eastAsia="Times New Roman"/>
          <w:bCs/>
          <w:sz w:val="18"/>
          <w:szCs w:val="18"/>
        </w:rPr>
        <w:t>, 2142–2151</w:t>
      </w:r>
      <w:r w:rsidRPr="00CE4013">
        <w:rPr>
          <w:rFonts w:eastAsia="Times New Roman"/>
          <w:sz w:val="18"/>
          <w:szCs w:val="18"/>
        </w:rPr>
        <w:t>. https://doi.org/10.1039/c7sm02187a.</w:t>
      </w:r>
    </w:p>
    <w:p w14:paraId="6001E871"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Levett</w:t>
      </w:r>
      <w:proofErr w:type="spellEnd"/>
      <w:r w:rsidRPr="00CE4013">
        <w:rPr>
          <w:rFonts w:eastAsia="Times New Roman"/>
          <w:sz w:val="18"/>
          <w:szCs w:val="18"/>
        </w:rPr>
        <w:t xml:space="preserve">, P.A.; </w:t>
      </w:r>
      <w:proofErr w:type="spellStart"/>
      <w:r w:rsidRPr="00CE4013">
        <w:rPr>
          <w:rFonts w:eastAsia="Times New Roman"/>
          <w:sz w:val="18"/>
          <w:szCs w:val="18"/>
        </w:rPr>
        <w:t>Melchels</w:t>
      </w:r>
      <w:proofErr w:type="spellEnd"/>
      <w:r w:rsidRPr="00CE4013">
        <w:rPr>
          <w:rFonts w:eastAsia="Times New Roman"/>
          <w:sz w:val="18"/>
          <w:szCs w:val="18"/>
        </w:rPr>
        <w:t xml:space="preserve">, F.P.W.; </w:t>
      </w:r>
      <w:proofErr w:type="spellStart"/>
      <w:r w:rsidRPr="00CE4013">
        <w:rPr>
          <w:rFonts w:eastAsia="Times New Roman"/>
          <w:sz w:val="18"/>
          <w:szCs w:val="18"/>
        </w:rPr>
        <w:t>Schrobback</w:t>
      </w:r>
      <w:proofErr w:type="spellEnd"/>
      <w:r w:rsidRPr="00CE4013">
        <w:rPr>
          <w:rFonts w:eastAsia="Times New Roman"/>
          <w:sz w:val="18"/>
          <w:szCs w:val="18"/>
        </w:rPr>
        <w:t xml:space="preserve">, K.; </w:t>
      </w:r>
      <w:proofErr w:type="spellStart"/>
      <w:r w:rsidRPr="00CE4013">
        <w:rPr>
          <w:rFonts w:eastAsia="Times New Roman"/>
          <w:sz w:val="18"/>
          <w:szCs w:val="18"/>
        </w:rPr>
        <w:t>Hutmacher</w:t>
      </w:r>
      <w:proofErr w:type="spellEnd"/>
      <w:r w:rsidRPr="00CE4013">
        <w:rPr>
          <w:rFonts w:eastAsia="Times New Roman"/>
          <w:sz w:val="18"/>
          <w:szCs w:val="18"/>
        </w:rPr>
        <w:t xml:space="preserve">, D.W.; </w:t>
      </w:r>
      <w:proofErr w:type="spellStart"/>
      <w:r w:rsidRPr="00CE4013">
        <w:rPr>
          <w:rFonts w:eastAsia="Times New Roman"/>
          <w:sz w:val="18"/>
          <w:szCs w:val="18"/>
        </w:rPr>
        <w:t>Malda</w:t>
      </w:r>
      <w:proofErr w:type="spellEnd"/>
      <w:r w:rsidRPr="00CE4013">
        <w:rPr>
          <w:rFonts w:eastAsia="Times New Roman"/>
          <w:sz w:val="18"/>
          <w:szCs w:val="18"/>
        </w:rPr>
        <w:t xml:space="preserve">, J.; Klein, T.J. Chondrocyte redifferentiation and construct mechanical property development in </w:t>
      </w:r>
      <w:proofErr w:type="gramStart"/>
      <w:r w:rsidRPr="00CE4013">
        <w:rPr>
          <w:rFonts w:eastAsia="Times New Roman"/>
          <w:sz w:val="18"/>
          <w:szCs w:val="18"/>
        </w:rPr>
        <w:t>single-component</w:t>
      </w:r>
      <w:proofErr w:type="gramEnd"/>
      <w:r w:rsidRPr="00CE4013">
        <w:rPr>
          <w:rFonts w:eastAsia="Times New Roman"/>
          <w:sz w:val="18"/>
          <w:szCs w:val="18"/>
        </w:rPr>
        <w:t xml:space="preserve"> </w:t>
      </w:r>
      <w:proofErr w:type="spellStart"/>
      <w:r w:rsidRPr="00CE4013">
        <w:rPr>
          <w:rFonts w:eastAsia="Times New Roman"/>
          <w:sz w:val="18"/>
          <w:szCs w:val="18"/>
        </w:rPr>
        <w:t>photocrosslinkable</w:t>
      </w:r>
      <w:proofErr w:type="spellEnd"/>
      <w:r w:rsidRPr="00CE4013">
        <w:rPr>
          <w:rFonts w:eastAsia="Times New Roman"/>
          <w:sz w:val="18"/>
          <w:szCs w:val="18"/>
        </w:rPr>
        <w:t xml:space="preserve"> hydrogels. </w:t>
      </w:r>
      <w:r w:rsidRPr="00CE4013">
        <w:rPr>
          <w:rFonts w:eastAsia="Times New Roman"/>
          <w:i/>
          <w:iCs/>
          <w:sz w:val="18"/>
          <w:szCs w:val="18"/>
        </w:rPr>
        <w:t>J. Biomed. Mater. Res. Part A</w:t>
      </w:r>
      <w:r w:rsidRPr="00CE4013">
        <w:rPr>
          <w:rFonts w:eastAsia="Times New Roman"/>
          <w:sz w:val="18"/>
          <w:szCs w:val="18"/>
        </w:rPr>
        <w:t xml:space="preserve"> </w:t>
      </w:r>
      <w:r w:rsidRPr="00CE4013">
        <w:rPr>
          <w:rFonts w:eastAsia="Times New Roman"/>
          <w:b/>
          <w:bCs/>
          <w:sz w:val="18"/>
          <w:szCs w:val="18"/>
        </w:rPr>
        <w:t>2013</w:t>
      </w:r>
      <w:r w:rsidRPr="00CE4013">
        <w:rPr>
          <w:rFonts w:eastAsia="Times New Roman"/>
          <w:bCs/>
          <w:sz w:val="18"/>
          <w:szCs w:val="18"/>
        </w:rPr>
        <w:t xml:space="preserve">, </w:t>
      </w:r>
      <w:r w:rsidRPr="00CE4013">
        <w:rPr>
          <w:rFonts w:eastAsia="Times New Roman"/>
          <w:bCs/>
          <w:i/>
          <w:sz w:val="18"/>
          <w:szCs w:val="18"/>
        </w:rPr>
        <w:t>102</w:t>
      </w:r>
      <w:r w:rsidRPr="00CE4013">
        <w:rPr>
          <w:rFonts w:eastAsia="Times New Roman"/>
          <w:bCs/>
          <w:sz w:val="18"/>
          <w:szCs w:val="18"/>
        </w:rPr>
        <w:t>, 2544–2553</w:t>
      </w:r>
      <w:r w:rsidRPr="00CE4013">
        <w:rPr>
          <w:rFonts w:eastAsia="Times New Roman"/>
          <w:sz w:val="18"/>
          <w:szCs w:val="18"/>
        </w:rPr>
        <w:t>. https://doi.org/10.1002/jbm.a.34924.</w:t>
      </w:r>
    </w:p>
    <w:p w14:paraId="443F1C47"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Kolesky</w:t>
      </w:r>
      <w:proofErr w:type="spellEnd"/>
      <w:r w:rsidRPr="00CE4013">
        <w:rPr>
          <w:rFonts w:eastAsia="Times New Roman"/>
          <w:sz w:val="18"/>
          <w:szCs w:val="18"/>
        </w:rPr>
        <w:t xml:space="preserve">, D.B.; </w:t>
      </w:r>
      <w:proofErr w:type="spellStart"/>
      <w:r w:rsidRPr="00CE4013">
        <w:rPr>
          <w:rFonts w:eastAsia="Times New Roman"/>
          <w:sz w:val="18"/>
          <w:szCs w:val="18"/>
        </w:rPr>
        <w:t>Truby</w:t>
      </w:r>
      <w:proofErr w:type="spellEnd"/>
      <w:r w:rsidRPr="00CE4013">
        <w:rPr>
          <w:rFonts w:eastAsia="Times New Roman"/>
          <w:sz w:val="18"/>
          <w:szCs w:val="18"/>
        </w:rPr>
        <w:t xml:space="preserve">, R.L.; Gladman, A.S.; </w:t>
      </w:r>
      <w:proofErr w:type="spellStart"/>
      <w:r w:rsidRPr="00CE4013">
        <w:rPr>
          <w:rFonts w:eastAsia="Times New Roman"/>
          <w:sz w:val="18"/>
          <w:szCs w:val="18"/>
        </w:rPr>
        <w:t>Busbee</w:t>
      </w:r>
      <w:proofErr w:type="spellEnd"/>
      <w:r w:rsidRPr="00CE4013">
        <w:rPr>
          <w:rFonts w:eastAsia="Times New Roman"/>
          <w:sz w:val="18"/>
          <w:szCs w:val="18"/>
        </w:rPr>
        <w:t xml:space="preserve">, T.A.; Homan, K.A.; Lewis, J.A. 3D Bioprinting of Vascularized, Heterogeneous Cell-Laden Tissue Constructs. </w:t>
      </w:r>
      <w:r w:rsidRPr="00CE4013">
        <w:rPr>
          <w:rFonts w:eastAsia="Times New Roman"/>
          <w:i/>
          <w:iCs/>
          <w:sz w:val="18"/>
          <w:szCs w:val="18"/>
        </w:rPr>
        <w:t>Adv. Mater.</w:t>
      </w:r>
      <w:r w:rsidRPr="00CE4013">
        <w:rPr>
          <w:rFonts w:eastAsia="Times New Roman"/>
          <w:sz w:val="18"/>
          <w:szCs w:val="18"/>
        </w:rPr>
        <w:t xml:space="preserve"> </w:t>
      </w:r>
      <w:r w:rsidRPr="00CE4013">
        <w:rPr>
          <w:rFonts w:eastAsia="Times New Roman"/>
          <w:b/>
          <w:bCs/>
          <w:sz w:val="18"/>
          <w:szCs w:val="18"/>
        </w:rPr>
        <w:t>2014</w:t>
      </w:r>
      <w:r w:rsidRPr="00CE4013">
        <w:rPr>
          <w:rFonts w:eastAsia="Times New Roman"/>
          <w:bCs/>
          <w:sz w:val="18"/>
          <w:szCs w:val="18"/>
        </w:rPr>
        <w:t xml:space="preserve">, </w:t>
      </w:r>
      <w:r w:rsidRPr="00CE4013">
        <w:rPr>
          <w:rFonts w:eastAsia="Times New Roman"/>
          <w:bCs/>
          <w:i/>
          <w:sz w:val="18"/>
          <w:szCs w:val="18"/>
        </w:rPr>
        <w:t>26</w:t>
      </w:r>
      <w:r w:rsidRPr="00CE4013">
        <w:rPr>
          <w:rFonts w:eastAsia="Times New Roman"/>
          <w:bCs/>
          <w:sz w:val="18"/>
          <w:szCs w:val="18"/>
        </w:rPr>
        <w:t>, 3124–3130</w:t>
      </w:r>
      <w:r w:rsidRPr="00CE4013">
        <w:rPr>
          <w:rFonts w:eastAsia="Times New Roman"/>
          <w:sz w:val="18"/>
          <w:szCs w:val="18"/>
        </w:rPr>
        <w:t>. https://doi.org/10.1002/adma.201305506.</w:t>
      </w:r>
    </w:p>
    <w:p w14:paraId="442CB8D8"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Stratesteffen</w:t>
      </w:r>
      <w:proofErr w:type="spellEnd"/>
      <w:r w:rsidRPr="00CE4013">
        <w:rPr>
          <w:rFonts w:eastAsia="Times New Roman"/>
          <w:sz w:val="18"/>
          <w:szCs w:val="18"/>
        </w:rPr>
        <w:t xml:space="preserve">, H.; </w:t>
      </w:r>
      <w:proofErr w:type="spellStart"/>
      <w:r w:rsidRPr="00CE4013">
        <w:rPr>
          <w:rFonts w:eastAsia="Times New Roman"/>
          <w:sz w:val="18"/>
          <w:szCs w:val="18"/>
        </w:rPr>
        <w:t>Köpf</w:t>
      </w:r>
      <w:proofErr w:type="spellEnd"/>
      <w:r w:rsidRPr="00CE4013">
        <w:rPr>
          <w:rFonts w:eastAsia="Times New Roman"/>
          <w:sz w:val="18"/>
          <w:szCs w:val="18"/>
        </w:rPr>
        <w:t xml:space="preserve">, M.; </w:t>
      </w:r>
      <w:proofErr w:type="spellStart"/>
      <w:r w:rsidRPr="00CE4013">
        <w:rPr>
          <w:rFonts w:eastAsia="Times New Roman"/>
          <w:sz w:val="18"/>
          <w:szCs w:val="18"/>
        </w:rPr>
        <w:t>Kreimendahl</w:t>
      </w:r>
      <w:proofErr w:type="spellEnd"/>
      <w:r w:rsidRPr="00CE4013">
        <w:rPr>
          <w:rFonts w:eastAsia="Times New Roman"/>
          <w:sz w:val="18"/>
          <w:szCs w:val="18"/>
        </w:rPr>
        <w:t xml:space="preserve">, F.; </w:t>
      </w:r>
      <w:proofErr w:type="spellStart"/>
      <w:r w:rsidRPr="00CE4013">
        <w:rPr>
          <w:rFonts w:eastAsia="Times New Roman"/>
          <w:sz w:val="18"/>
          <w:szCs w:val="18"/>
        </w:rPr>
        <w:t>Blaeser</w:t>
      </w:r>
      <w:proofErr w:type="spellEnd"/>
      <w:r w:rsidRPr="00CE4013">
        <w:rPr>
          <w:rFonts w:eastAsia="Times New Roman"/>
          <w:sz w:val="18"/>
          <w:szCs w:val="18"/>
        </w:rPr>
        <w:t xml:space="preserve">, A.; </w:t>
      </w:r>
      <w:proofErr w:type="spellStart"/>
      <w:r w:rsidRPr="00CE4013">
        <w:rPr>
          <w:rFonts w:eastAsia="Times New Roman"/>
          <w:sz w:val="18"/>
          <w:szCs w:val="18"/>
        </w:rPr>
        <w:t>Jockenhoevel</w:t>
      </w:r>
      <w:proofErr w:type="spellEnd"/>
      <w:r w:rsidRPr="00CE4013">
        <w:rPr>
          <w:rFonts w:eastAsia="Times New Roman"/>
          <w:sz w:val="18"/>
          <w:szCs w:val="18"/>
        </w:rPr>
        <w:t xml:space="preserve">, S.; Fischer, H. </w:t>
      </w:r>
      <w:proofErr w:type="spellStart"/>
      <w:r w:rsidRPr="00CE4013">
        <w:rPr>
          <w:rFonts w:eastAsia="Times New Roman"/>
          <w:sz w:val="18"/>
          <w:szCs w:val="18"/>
        </w:rPr>
        <w:t>GelMA</w:t>
      </w:r>
      <w:proofErr w:type="spellEnd"/>
      <w:r w:rsidRPr="00CE4013">
        <w:rPr>
          <w:rFonts w:eastAsia="Times New Roman"/>
          <w:sz w:val="18"/>
          <w:szCs w:val="18"/>
        </w:rPr>
        <w:t xml:space="preserve">-collagen blends enable drop-on-demand 3D </w:t>
      </w:r>
      <w:proofErr w:type="spellStart"/>
      <w:r w:rsidRPr="00CE4013">
        <w:rPr>
          <w:rFonts w:eastAsia="Times New Roman"/>
          <w:sz w:val="18"/>
          <w:szCs w:val="18"/>
        </w:rPr>
        <w:t>printablility</w:t>
      </w:r>
      <w:proofErr w:type="spellEnd"/>
      <w:r w:rsidRPr="00CE4013">
        <w:rPr>
          <w:rFonts w:eastAsia="Times New Roman"/>
          <w:sz w:val="18"/>
          <w:szCs w:val="18"/>
        </w:rPr>
        <w:t xml:space="preserve"> and promote angiogenesis. </w:t>
      </w:r>
      <w:proofErr w:type="spellStart"/>
      <w:r w:rsidRPr="00CE4013">
        <w:rPr>
          <w:rFonts w:eastAsia="Times New Roman"/>
          <w:i/>
          <w:iCs/>
          <w:sz w:val="18"/>
          <w:szCs w:val="18"/>
        </w:rPr>
        <w:t>Biofabrication</w:t>
      </w:r>
      <w:proofErr w:type="spellEnd"/>
      <w:r w:rsidRPr="00CE4013">
        <w:rPr>
          <w:rFonts w:eastAsia="Times New Roman"/>
          <w:sz w:val="18"/>
          <w:szCs w:val="18"/>
        </w:rPr>
        <w:t xml:space="preserve"> </w:t>
      </w:r>
      <w:r w:rsidRPr="00CE4013">
        <w:rPr>
          <w:rFonts w:eastAsia="Times New Roman"/>
          <w:b/>
          <w:bCs/>
          <w:sz w:val="18"/>
          <w:szCs w:val="18"/>
        </w:rPr>
        <w:t>2017</w:t>
      </w:r>
      <w:r w:rsidRPr="00CE4013">
        <w:rPr>
          <w:rFonts w:eastAsia="Times New Roman"/>
          <w:bCs/>
          <w:sz w:val="18"/>
          <w:szCs w:val="18"/>
        </w:rPr>
        <w:t xml:space="preserve">, </w:t>
      </w:r>
      <w:r w:rsidRPr="00CE4013">
        <w:rPr>
          <w:rFonts w:eastAsia="Times New Roman"/>
          <w:bCs/>
          <w:i/>
          <w:sz w:val="18"/>
          <w:szCs w:val="18"/>
        </w:rPr>
        <w:t>9</w:t>
      </w:r>
      <w:r w:rsidRPr="00CE4013">
        <w:rPr>
          <w:rFonts w:eastAsia="Times New Roman"/>
          <w:bCs/>
          <w:sz w:val="18"/>
          <w:szCs w:val="18"/>
        </w:rPr>
        <w:t>, 045002</w:t>
      </w:r>
      <w:r w:rsidRPr="00CE4013">
        <w:rPr>
          <w:rFonts w:eastAsia="Times New Roman"/>
          <w:sz w:val="18"/>
          <w:szCs w:val="18"/>
        </w:rPr>
        <w:t>. https://doi.org/10.1088/1758-5090/aa857c.</w:t>
      </w:r>
    </w:p>
    <w:p w14:paraId="02BC0346"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De Moor, L.; </w:t>
      </w:r>
      <w:proofErr w:type="spellStart"/>
      <w:r w:rsidRPr="00CE4013">
        <w:rPr>
          <w:rFonts w:eastAsia="Times New Roman"/>
          <w:sz w:val="18"/>
          <w:szCs w:val="18"/>
        </w:rPr>
        <w:t>Minne</w:t>
      </w:r>
      <w:proofErr w:type="spellEnd"/>
      <w:r w:rsidRPr="00CE4013">
        <w:rPr>
          <w:rFonts w:eastAsia="Times New Roman"/>
          <w:sz w:val="18"/>
          <w:szCs w:val="18"/>
        </w:rPr>
        <w:t xml:space="preserve">, M.; </w:t>
      </w:r>
      <w:proofErr w:type="spellStart"/>
      <w:r w:rsidRPr="00CE4013">
        <w:rPr>
          <w:rFonts w:eastAsia="Times New Roman"/>
          <w:sz w:val="18"/>
          <w:szCs w:val="18"/>
        </w:rPr>
        <w:t>Tytgat</w:t>
      </w:r>
      <w:proofErr w:type="spellEnd"/>
      <w:r w:rsidRPr="00CE4013">
        <w:rPr>
          <w:rFonts w:eastAsia="Times New Roman"/>
          <w:sz w:val="18"/>
          <w:szCs w:val="18"/>
        </w:rPr>
        <w:t xml:space="preserve">, L.; </w:t>
      </w:r>
      <w:proofErr w:type="spellStart"/>
      <w:r w:rsidRPr="00CE4013">
        <w:rPr>
          <w:rFonts w:eastAsia="Times New Roman"/>
          <w:sz w:val="18"/>
          <w:szCs w:val="18"/>
        </w:rPr>
        <w:t>Vercruysse</w:t>
      </w:r>
      <w:proofErr w:type="spellEnd"/>
      <w:r w:rsidRPr="00CE4013">
        <w:rPr>
          <w:rFonts w:eastAsia="Times New Roman"/>
          <w:sz w:val="18"/>
          <w:szCs w:val="18"/>
        </w:rPr>
        <w:t xml:space="preserve">, C.; </w:t>
      </w:r>
      <w:proofErr w:type="spellStart"/>
      <w:r w:rsidRPr="00CE4013">
        <w:rPr>
          <w:rFonts w:eastAsia="Times New Roman"/>
          <w:sz w:val="18"/>
          <w:szCs w:val="18"/>
        </w:rPr>
        <w:t>Dubruel</w:t>
      </w:r>
      <w:proofErr w:type="spellEnd"/>
      <w:r w:rsidRPr="00CE4013">
        <w:rPr>
          <w:rFonts w:eastAsia="Times New Roman"/>
          <w:sz w:val="18"/>
          <w:szCs w:val="18"/>
        </w:rPr>
        <w:t xml:space="preserve">, P.; Van </w:t>
      </w:r>
      <w:proofErr w:type="spellStart"/>
      <w:r w:rsidRPr="00CE4013">
        <w:rPr>
          <w:rFonts w:eastAsia="Times New Roman"/>
          <w:sz w:val="18"/>
          <w:szCs w:val="18"/>
        </w:rPr>
        <w:t>Vlierberghe</w:t>
      </w:r>
      <w:proofErr w:type="spellEnd"/>
      <w:r w:rsidRPr="00CE4013">
        <w:rPr>
          <w:rFonts w:eastAsia="Times New Roman"/>
          <w:sz w:val="18"/>
          <w:szCs w:val="18"/>
        </w:rPr>
        <w:t xml:space="preserve">, S.; </w:t>
      </w:r>
      <w:proofErr w:type="spellStart"/>
      <w:r w:rsidRPr="00CE4013">
        <w:rPr>
          <w:rFonts w:eastAsia="Times New Roman"/>
          <w:sz w:val="18"/>
          <w:szCs w:val="18"/>
        </w:rPr>
        <w:t>Declercq</w:t>
      </w:r>
      <w:proofErr w:type="spellEnd"/>
      <w:r w:rsidRPr="00CE4013">
        <w:rPr>
          <w:rFonts w:eastAsia="Times New Roman"/>
          <w:sz w:val="18"/>
          <w:szCs w:val="18"/>
        </w:rPr>
        <w:t xml:space="preserve">, H. Tuning the Phenotype of Cartilage Tissue Mimics by Varying Spheroid Maturation and </w:t>
      </w:r>
      <w:proofErr w:type="spellStart"/>
      <w:r w:rsidRPr="00CE4013">
        <w:rPr>
          <w:rFonts w:eastAsia="Times New Roman"/>
          <w:sz w:val="18"/>
          <w:szCs w:val="18"/>
        </w:rPr>
        <w:t>Methacrylamide</w:t>
      </w:r>
      <w:proofErr w:type="spellEnd"/>
      <w:r w:rsidRPr="00CE4013">
        <w:rPr>
          <w:rFonts w:eastAsia="Times New Roman"/>
          <w:sz w:val="18"/>
          <w:szCs w:val="18"/>
        </w:rPr>
        <w:t xml:space="preserve">‐Modified </w:t>
      </w:r>
      <w:proofErr w:type="spellStart"/>
      <w:r w:rsidRPr="00CE4013">
        <w:rPr>
          <w:rFonts w:eastAsia="Times New Roman"/>
          <w:sz w:val="18"/>
          <w:szCs w:val="18"/>
        </w:rPr>
        <w:t>Gelatin</w:t>
      </w:r>
      <w:proofErr w:type="spellEnd"/>
      <w:r w:rsidRPr="00CE4013">
        <w:rPr>
          <w:rFonts w:eastAsia="Times New Roman"/>
          <w:sz w:val="18"/>
          <w:szCs w:val="18"/>
        </w:rPr>
        <w:t xml:space="preserve"> Hydrogel Characteristics. </w:t>
      </w:r>
      <w:proofErr w:type="spellStart"/>
      <w:r w:rsidRPr="00CE4013">
        <w:rPr>
          <w:rFonts w:eastAsia="Times New Roman"/>
          <w:i/>
          <w:iCs/>
          <w:sz w:val="18"/>
          <w:szCs w:val="18"/>
        </w:rPr>
        <w:t>Macromol</w:t>
      </w:r>
      <w:proofErr w:type="spellEnd"/>
      <w:r w:rsidRPr="00CE4013">
        <w:rPr>
          <w:rFonts w:eastAsia="Times New Roman"/>
          <w:i/>
          <w:iCs/>
          <w:sz w:val="18"/>
          <w:szCs w:val="18"/>
        </w:rPr>
        <w:t xml:space="preserve">. </w:t>
      </w:r>
      <w:proofErr w:type="spellStart"/>
      <w:r w:rsidRPr="00CE4013">
        <w:rPr>
          <w:rFonts w:eastAsia="Times New Roman"/>
          <w:i/>
          <w:iCs/>
          <w:sz w:val="18"/>
          <w:szCs w:val="18"/>
        </w:rPr>
        <w:t>Biosci</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2021</w:t>
      </w:r>
      <w:r w:rsidRPr="00CE4013">
        <w:rPr>
          <w:rFonts w:eastAsia="Times New Roman"/>
          <w:bCs/>
          <w:sz w:val="18"/>
          <w:szCs w:val="18"/>
        </w:rPr>
        <w:t xml:space="preserve">, </w:t>
      </w:r>
      <w:r w:rsidRPr="00CE4013">
        <w:rPr>
          <w:rFonts w:eastAsia="Times New Roman"/>
          <w:bCs/>
          <w:i/>
          <w:sz w:val="18"/>
          <w:szCs w:val="18"/>
        </w:rPr>
        <w:t>21</w:t>
      </w:r>
      <w:r w:rsidRPr="00CE4013">
        <w:rPr>
          <w:rFonts w:eastAsia="Times New Roman"/>
          <w:bCs/>
          <w:sz w:val="18"/>
          <w:szCs w:val="18"/>
        </w:rPr>
        <w:t>, 2000401</w:t>
      </w:r>
      <w:r w:rsidRPr="00CE4013">
        <w:rPr>
          <w:rFonts w:eastAsia="Times New Roman"/>
          <w:sz w:val="18"/>
          <w:szCs w:val="18"/>
        </w:rPr>
        <w:t>. https://doi.org/10.1002/mabi.202000401.</w:t>
      </w:r>
    </w:p>
    <w:p w14:paraId="01D64EE1"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Xu, H.; Casillas, J.; Krishnamoorthy, S.; Xu, C. Effects of </w:t>
      </w:r>
      <w:proofErr w:type="spellStart"/>
      <w:r w:rsidRPr="00CE4013">
        <w:rPr>
          <w:rFonts w:eastAsia="Times New Roman"/>
          <w:sz w:val="18"/>
          <w:szCs w:val="18"/>
        </w:rPr>
        <w:t>Irgacure</w:t>
      </w:r>
      <w:proofErr w:type="spellEnd"/>
      <w:r w:rsidRPr="00CE4013">
        <w:rPr>
          <w:rFonts w:eastAsia="Times New Roman"/>
          <w:sz w:val="18"/>
          <w:szCs w:val="18"/>
        </w:rPr>
        <w:t xml:space="preserve"> 2959 and lithium phenyl-2,4,6-trimethylbenzoylphosphinate on cell viability, physical properties, and microstructure in 3D bioprinting of vascular-like constructs. </w:t>
      </w:r>
      <w:r w:rsidRPr="00CE4013">
        <w:rPr>
          <w:rFonts w:eastAsia="Times New Roman"/>
          <w:i/>
          <w:iCs/>
          <w:sz w:val="18"/>
          <w:szCs w:val="18"/>
        </w:rPr>
        <w:t>Biomed. Mater.</w:t>
      </w:r>
      <w:r w:rsidRPr="00CE4013">
        <w:rPr>
          <w:rFonts w:eastAsia="Times New Roman"/>
          <w:sz w:val="18"/>
          <w:szCs w:val="18"/>
        </w:rPr>
        <w:t xml:space="preserve"> </w:t>
      </w:r>
      <w:r w:rsidRPr="00CE4013">
        <w:rPr>
          <w:rFonts w:eastAsia="Times New Roman"/>
          <w:b/>
          <w:bCs/>
          <w:sz w:val="18"/>
          <w:szCs w:val="18"/>
        </w:rPr>
        <w:t>2020</w:t>
      </w:r>
      <w:r w:rsidRPr="00CE4013">
        <w:rPr>
          <w:rFonts w:eastAsia="Times New Roman"/>
          <w:bCs/>
          <w:sz w:val="18"/>
          <w:szCs w:val="18"/>
        </w:rPr>
        <w:t xml:space="preserve">, </w:t>
      </w:r>
      <w:r w:rsidRPr="00CE4013">
        <w:rPr>
          <w:rFonts w:eastAsia="Times New Roman"/>
          <w:bCs/>
          <w:i/>
          <w:sz w:val="18"/>
          <w:szCs w:val="18"/>
        </w:rPr>
        <w:t>15</w:t>
      </w:r>
      <w:r w:rsidRPr="00CE4013">
        <w:rPr>
          <w:rFonts w:eastAsia="Times New Roman"/>
          <w:bCs/>
          <w:sz w:val="18"/>
          <w:szCs w:val="18"/>
        </w:rPr>
        <w:t>, 055021</w:t>
      </w:r>
      <w:r w:rsidRPr="00CE4013">
        <w:rPr>
          <w:rFonts w:eastAsia="Times New Roman"/>
          <w:sz w:val="18"/>
          <w:szCs w:val="18"/>
        </w:rPr>
        <w:t>. https://doi.org/10.1088/1748-605x/ab954e.</w:t>
      </w:r>
    </w:p>
    <w:p w14:paraId="159CB4EE"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Monteiro, N.; </w:t>
      </w:r>
      <w:proofErr w:type="spellStart"/>
      <w:r w:rsidRPr="00CE4013">
        <w:rPr>
          <w:rFonts w:eastAsia="Times New Roman"/>
          <w:sz w:val="18"/>
          <w:szCs w:val="18"/>
        </w:rPr>
        <w:t>Thrivikraman</w:t>
      </w:r>
      <w:proofErr w:type="spellEnd"/>
      <w:r w:rsidRPr="00CE4013">
        <w:rPr>
          <w:rFonts w:eastAsia="Times New Roman"/>
          <w:sz w:val="18"/>
          <w:szCs w:val="18"/>
        </w:rPr>
        <w:t xml:space="preserve">, G.; </w:t>
      </w:r>
      <w:proofErr w:type="spellStart"/>
      <w:r w:rsidRPr="00CE4013">
        <w:rPr>
          <w:rFonts w:eastAsia="Times New Roman"/>
          <w:sz w:val="18"/>
          <w:szCs w:val="18"/>
        </w:rPr>
        <w:t>Athirasala</w:t>
      </w:r>
      <w:proofErr w:type="spellEnd"/>
      <w:r w:rsidRPr="00CE4013">
        <w:rPr>
          <w:rFonts w:eastAsia="Times New Roman"/>
          <w:sz w:val="18"/>
          <w:szCs w:val="18"/>
        </w:rPr>
        <w:t xml:space="preserve">, A.; </w:t>
      </w:r>
      <w:proofErr w:type="spellStart"/>
      <w:r w:rsidRPr="00CE4013">
        <w:rPr>
          <w:rFonts w:eastAsia="Times New Roman"/>
          <w:sz w:val="18"/>
          <w:szCs w:val="18"/>
        </w:rPr>
        <w:t>Tahayeri</w:t>
      </w:r>
      <w:proofErr w:type="spellEnd"/>
      <w:r w:rsidRPr="00CE4013">
        <w:rPr>
          <w:rFonts w:eastAsia="Times New Roman"/>
          <w:sz w:val="18"/>
          <w:szCs w:val="18"/>
        </w:rPr>
        <w:t xml:space="preserve">, A.; Franca, C.; Ferracane, J.L.; </w:t>
      </w:r>
      <w:proofErr w:type="spellStart"/>
      <w:r w:rsidRPr="00CE4013">
        <w:rPr>
          <w:rFonts w:eastAsia="Times New Roman"/>
          <w:sz w:val="18"/>
          <w:szCs w:val="18"/>
        </w:rPr>
        <w:t>Bertassoni</w:t>
      </w:r>
      <w:proofErr w:type="spellEnd"/>
      <w:r w:rsidRPr="00CE4013">
        <w:rPr>
          <w:rFonts w:eastAsia="Times New Roman"/>
          <w:sz w:val="18"/>
          <w:szCs w:val="18"/>
        </w:rPr>
        <w:t xml:space="preserve">, L.E. Photopolymerization of cell-laden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 xml:space="preserve"> hydrogels using a dental curing light for regenerative dentistry. </w:t>
      </w:r>
      <w:r w:rsidRPr="00CE4013">
        <w:rPr>
          <w:rFonts w:eastAsia="Times New Roman"/>
          <w:i/>
          <w:iCs/>
          <w:sz w:val="18"/>
          <w:szCs w:val="18"/>
        </w:rPr>
        <w:t>Dent. Mater.</w:t>
      </w:r>
      <w:r w:rsidRPr="00CE4013">
        <w:rPr>
          <w:rFonts w:eastAsia="Times New Roman"/>
          <w:sz w:val="18"/>
          <w:szCs w:val="18"/>
        </w:rPr>
        <w:t xml:space="preserve"> </w:t>
      </w:r>
      <w:r w:rsidRPr="00CE4013">
        <w:rPr>
          <w:rFonts w:eastAsia="Times New Roman"/>
          <w:b/>
          <w:bCs/>
          <w:sz w:val="18"/>
          <w:szCs w:val="18"/>
        </w:rPr>
        <w:t>2018</w:t>
      </w:r>
      <w:r w:rsidRPr="00CE4013">
        <w:rPr>
          <w:rFonts w:eastAsia="Times New Roman"/>
          <w:bCs/>
          <w:sz w:val="18"/>
          <w:szCs w:val="18"/>
        </w:rPr>
        <w:t xml:space="preserve">, </w:t>
      </w:r>
      <w:r w:rsidRPr="00CE4013">
        <w:rPr>
          <w:rFonts w:eastAsia="Times New Roman"/>
          <w:bCs/>
          <w:i/>
          <w:sz w:val="18"/>
          <w:szCs w:val="18"/>
        </w:rPr>
        <w:t>34</w:t>
      </w:r>
      <w:r w:rsidRPr="00CE4013">
        <w:rPr>
          <w:rFonts w:eastAsia="Times New Roman"/>
          <w:bCs/>
          <w:sz w:val="18"/>
          <w:szCs w:val="18"/>
        </w:rPr>
        <w:t>, 389–399</w:t>
      </w:r>
      <w:r w:rsidRPr="00CE4013">
        <w:rPr>
          <w:rFonts w:eastAsia="Times New Roman"/>
          <w:sz w:val="18"/>
          <w:szCs w:val="18"/>
        </w:rPr>
        <w:t>. https://doi.org/10.1016/j.dental.2017.11.020.</w:t>
      </w:r>
    </w:p>
    <w:p w14:paraId="37D5D8DC"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Pahoff</w:t>
      </w:r>
      <w:proofErr w:type="spellEnd"/>
      <w:r w:rsidRPr="00CE4013">
        <w:rPr>
          <w:rFonts w:eastAsia="Times New Roman"/>
          <w:sz w:val="18"/>
          <w:szCs w:val="18"/>
        </w:rPr>
        <w:t xml:space="preserve">, S.; </w:t>
      </w:r>
      <w:proofErr w:type="spellStart"/>
      <w:r w:rsidRPr="00CE4013">
        <w:rPr>
          <w:rFonts w:eastAsia="Times New Roman"/>
          <w:sz w:val="18"/>
          <w:szCs w:val="18"/>
        </w:rPr>
        <w:t>Meinert</w:t>
      </w:r>
      <w:proofErr w:type="spellEnd"/>
      <w:r w:rsidRPr="00CE4013">
        <w:rPr>
          <w:rFonts w:eastAsia="Times New Roman"/>
          <w:sz w:val="18"/>
          <w:szCs w:val="18"/>
        </w:rPr>
        <w:t xml:space="preserve">, C.; Bas, O.; Nguyen, L.; Klein, T.J.; </w:t>
      </w:r>
      <w:proofErr w:type="spellStart"/>
      <w:r w:rsidRPr="00CE4013">
        <w:rPr>
          <w:rFonts w:eastAsia="Times New Roman"/>
          <w:sz w:val="18"/>
          <w:szCs w:val="18"/>
        </w:rPr>
        <w:t>Hutmacher</w:t>
      </w:r>
      <w:proofErr w:type="spellEnd"/>
      <w:r w:rsidRPr="00CE4013">
        <w:rPr>
          <w:rFonts w:eastAsia="Times New Roman"/>
          <w:sz w:val="18"/>
          <w:szCs w:val="18"/>
        </w:rPr>
        <w:t xml:space="preserve">, D.W. Effect of </w:t>
      </w:r>
      <w:proofErr w:type="spellStart"/>
      <w:r w:rsidRPr="00CE4013">
        <w:rPr>
          <w:rFonts w:eastAsia="Times New Roman"/>
          <w:sz w:val="18"/>
          <w:szCs w:val="18"/>
        </w:rPr>
        <w:t>gelatin</w:t>
      </w:r>
      <w:proofErr w:type="spellEnd"/>
      <w:r w:rsidRPr="00CE4013">
        <w:rPr>
          <w:rFonts w:eastAsia="Times New Roman"/>
          <w:sz w:val="18"/>
          <w:szCs w:val="18"/>
        </w:rPr>
        <w:t xml:space="preserve"> source and </w:t>
      </w:r>
      <w:proofErr w:type="spellStart"/>
      <w:r w:rsidRPr="00CE4013">
        <w:rPr>
          <w:rFonts w:eastAsia="Times New Roman"/>
          <w:sz w:val="18"/>
          <w:szCs w:val="18"/>
        </w:rPr>
        <w:t>photoinitiator</w:t>
      </w:r>
      <w:proofErr w:type="spellEnd"/>
      <w:r w:rsidRPr="00CE4013">
        <w:rPr>
          <w:rFonts w:eastAsia="Times New Roman"/>
          <w:sz w:val="18"/>
          <w:szCs w:val="18"/>
        </w:rPr>
        <w:t xml:space="preserve"> type on chondrocyte redifferentiation in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 xml:space="preserve">-based tissue-engineered cartilage constructs. </w:t>
      </w:r>
      <w:r w:rsidRPr="00CE4013">
        <w:rPr>
          <w:rFonts w:eastAsia="Times New Roman"/>
          <w:i/>
          <w:iCs/>
          <w:sz w:val="18"/>
          <w:szCs w:val="18"/>
        </w:rPr>
        <w:t>J. Mater. Chem. B</w:t>
      </w:r>
      <w:r w:rsidRPr="00CE4013">
        <w:rPr>
          <w:rFonts w:eastAsia="Times New Roman"/>
          <w:sz w:val="18"/>
          <w:szCs w:val="18"/>
        </w:rPr>
        <w:t xml:space="preserve"> </w:t>
      </w:r>
      <w:r w:rsidRPr="00CE4013">
        <w:rPr>
          <w:rFonts w:eastAsia="Times New Roman"/>
          <w:b/>
          <w:bCs/>
          <w:sz w:val="18"/>
          <w:szCs w:val="18"/>
        </w:rPr>
        <w:t>2019</w:t>
      </w:r>
      <w:r w:rsidRPr="00CE4013">
        <w:rPr>
          <w:rFonts w:eastAsia="Times New Roman"/>
          <w:bCs/>
          <w:sz w:val="18"/>
          <w:szCs w:val="18"/>
        </w:rPr>
        <w:t xml:space="preserve">, </w:t>
      </w:r>
      <w:r w:rsidRPr="00CE4013">
        <w:rPr>
          <w:rFonts w:eastAsia="Times New Roman"/>
          <w:bCs/>
          <w:i/>
          <w:sz w:val="18"/>
          <w:szCs w:val="18"/>
        </w:rPr>
        <w:t>7</w:t>
      </w:r>
      <w:r w:rsidRPr="00CE4013">
        <w:rPr>
          <w:rFonts w:eastAsia="Times New Roman"/>
          <w:bCs/>
          <w:sz w:val="18"/>
          <w:szCs w:val="18"/>
        </w:rPr>
        <w:t>, 1761–1772</w:t>
      </w:r>
      <w:r w:rsidRPr="00CE4013">
        <w:rPr>
          <w:rFonts w:eastAsia="Times New Roman"/>
          <w:sz w:val="18"/>
          <w:szCs w:val="18"/>
        </w:rPr>
        <w:t>. https://doi.org/10.1039/c8tb02607f.</w:t>
      </w:r>
    </w:p>
    <w:p w14:paraId="21ED504D"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Cidonio, G.; Alcala-Orozco, C.R.; Lim, K.S.; Glinka, M.; Mutreja, I.; Kim, Y.-H.; I Dawson, J.; Woodfield, T.B.F.; Oreffo, R.O.C. Osteogenic and angiogenic tissue formation in high fidelity nanocomposite Laponite-</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bioinks</w:t>
      </w:r>
      <w:proofErr w:type="spellEnd"/>
      <w:r w:rsidRPr="00CE4013">
        <w:rPr>
          <w:rFonts w:eastAsia="Times New Roman"/>
          <w:sz w:val="18"/>
          <w:szCs w:val="18"/>
        </w:rPr>
        <w:t xml:space="preserve">. </w:t>
      </w:r>
      <w:proofErr w:type="spellStart"/>
      <w:r w:rsidRPr="00CE4013">
        <w:rPr>
          <w:rFonts w:eastAsia="Times New Roman"/>
          <w:i/>
          <w:iCs/>
          <w:sz w:val="18"/>
          <w:szCs w:val="18"/>
        </w:rPr>
        <w:t>Biofabrication</w:t>
      </w:r>
      <w:proofErr w:type="spellEnd"/>
      <w:r w:rsidRPr="00CE4013">
        <w:rPr>
          <w:rFonts w:eastAsia="Times New Roman"/>
          <w:sz w:val="18"/>
          <w:szCs w:val="18"/>
        </w:rPr>
        <w:t xml:space="preserve"> </w:t>
      </w:r>
      <w:r w:rsidRPr="00CE4013">
        <w:rPr>
          <w:rFonts w:eastAsia="Times New Roman"/>
          <w:b/>
          <w:bCs/>
          <w:sz w:val="18"/>
          <w:szCs w:val="18"/>
        </w:rPr>
        <w:t>2019</w:t>
      </w:r>
      <w:r w:rsidRPr="00CE4013">
        <w:rPr>
          <w:rFonts w:eastAsia="Times New Roman"/>
          <w:bCs/>
          <w:sz w:val="18"/>
          <w:szCs w:val="18"/>
        </w:rPr>
        <w:t xml:space="preserve">, </w:t>
      </w:r>
      <w:r w:rsidRPr="00CE4013">
        <w:rPr>
          <w:rFonts w:eastAsia="Times New Roman"/>
          <w:bCs/>
          <w:i/>
          <w:sz w:val="18"/>
          <w:szCs w:val="18"/>
        </w:rPr>
        <w:t>11</w:t>
      </w:r>
      <w:r w:rsidRPr="00CE4013">
        <w:rPr>
          <w:rFonts w:eastAsia="Times New Roman"/>
          <w:bCs/>
          <w:sz w:val="18"/>
          <w:szCs w:val="18"/>
        </w:rPr>
        <w:t>, 035027</w:t>
      </w:r>
      <w:r w:rsidRPr="00CE4013">
        <w:rPr>
          <w:rFonts w:eastAsia="Times New Roman"/>
          <w:sz w:val="18"/>
          <w:szCs w:val="18"/>
        </w:rPr>
        <w:t>. https://doi.org/10.1088/1758-5090/ab19fd.</w:t>
      </w:r>
    </w:p>
    <w:p w14:paraId="282E5C36"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Alcala-Orozco, C.R.; Mutreja, I.; Cui, X.; Kumar, D.; Hooper, G.J.; Lim, K.S.; Woodfield, T.B.F. </w:t>
      </w:r>
      <w:proofErr w:type="gramStart"/>
      <w:r w:rsidRPr="00CE4013">
        <w:rPr>
          <w:rFonts w:eastAsia="Times New Roman"/>
          <w:sz w:val="18"/>
          <w:szCs w:val="18"/>
        </w:rPr>
        <w:t>Design</w:t>
      </w:r>
      <w:proofErr w:type="gramEnd"/>
      <w:r w:rsidRPr="00CE4013">
        <w:rPr>
          <w:rFonts w:eastAsia="Times New Roman"/>
          <w:sz w:val="18"/>
          <w:szCs w:val="18"/>
        </w:rPr>
        <w:t xml:space="preserve"> and characterisation of multi-functional strontium-</w:t>
      </w:r>
      <w:proofErr w:type="spellStart"/>
      <w:r w:rsidRPr="00CE4013">
        <w:rPr>
          <w:rFonts w:eastAsia="Times New Roman"/>
          <w:sz w:val="18"/>
          <w:szCs w:val="18"/>
        </w:rPr>
        <w:t>gelatin</w:t>
      </w:r>
      <w:proofErr w:type="spellEnd"/>
      <w:r w:rsidRPr="00CE4013">
        <w:rPr>
          <w:rFonts w:eastAsia="Times New Roman"/>
          <w:sz w:val="18"/>
          <w:szCs w:val="18"/>
        </w:rPr>
        <w:t xml:space="preserve"> nanocomposite </w:t>
      </w:r>
      <w:proofErr w:type="spellStart"/>
      <w:r w:rsidRPr="00CE4013">
        <w:rPr>
          <w:rFonts w:eastAsia="Times New Roman"/>
          <w:sz w:val="18"/>
          <w:szCs w:val="18"/>
        </w:rPr>
        <w:t>bioinks</w:t>
      </w:r>
      <w:proofErr w:type="spellEnd"/>
      <w:r w:rsidRPr="00CE4013">
        <w:rPr>
          <w:rFonts w:eastAsia="Times New Roman"/>
          <w:sz w:val="18"/>
          <w:szCs w:val="18"/>
        </w:rPr>
        <w:t xml:space="preserve"> with improved print fidelity and osteogenic capacity. </w:t>
      </w:r>
      <w:r w:rsidRPr="00CE4013">
        <w:rPr>
          <w:rFonts w:eastAsia="Times New Roman"/>
          <w:i/>
          <w:iCs/>
          <w:sz w:val="18"/>
          <w:szCs w:val="18"/>
        </w:rPr>
        <w:t>Bioprinting</w:t>
      </w:r>
      <w:r w:rsidRPr="00CE4013">
        <w:rPr>
          <w:rFonts w:eastAsia="Times New Roman"/>
          <w:sz w:val="18"/>
          <w:szCs w:val="18"/>
        </w:rPr>
        <w:t xml:space="preserve"> </w:t>
      </w:r>
      <w:r w:rsidRPr="00CE4013">
        <w:rPr>
          <w:rFonts w:eastAsia="Times New Roman"/>
          <w:b/>
          <w:bCs/>
          <w:sz w:val="18"/>
          <w:szCs w:val="18"/>
        </w:rPr>
        <w:t>2020</w:t>
      </w:r>
      <w:r w:rsidRPr="00CE4013">
        <w:rPr>
          <w:rFonts w:eastAsia="Times New Roman"/>
          <w:bCs/>
          <w:sz w:val="18"/>
          <w:szCs w:val="18"/>
        </w:rPr>
        <w:t xml:space="preserve">, </w:t>
      </w:r>
      <w:r w:rsidRPr="00CE4013">
        <w:rPr>
          <w:rFonts w:eastAsia="Times New Roman"/>
          <w:bCs/>
          <w:i/>
          <w:sz w:val="18"/>
          <w:szCs w:val="18"/>
        </w:rPr>
        <w:t>18</w:t>
      </w:r>
      <w:r w:rsidRPr="00CE4013">
        <w:rPr>
          <w:rFonts w:eastAsia="Times New Roman"/>
          <w:bCs/>
          <w:sz w:val="18"/>
          <w:szCs w:val="18"/>
        </w:rPr>
        <w:t>, e00073</w:t>
      </w:r>
      <w:r w:rsidRPr="00CE4013">
        <w:rPr>
          <w:rFonts w:eastAsia="Times New Roman"/>
          <w:sz w:val="18"/>
          <w:szCs w:val="18"/>
        </w:rPr>
        <w:t>. https://doi.org/10.1016/j.bprint.2019.e00073.</w:t>
      </w:r>
    </w:p>
    <w:p w14:paraId="15944CFA"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Alcala-Orozco, C.R.; Mutreja, I.; Cui, X.; Hooper, G.J.; Lim, K.S.; Woodfield, T.B. Hybrid </w:t>
      </w:r>
      <w:proofErr w:type="spellStart"/>
      <w:r w:rsidRPr="00CE4013">
        <w:rPr>
          <w:rFonts w:eastAsia="Times New Roman"/>
          <w:sz w:val="18"/>
          <w:szCs w:val="18"/>
        </w:rPr>
        <w:t>biofabrication</w:t>
      </w:r>
      <w:proofErr w:type="spellEnd"/>
      <w:r w:rsidRPr="00CE4013">
        <w:rPr>
          <w:rFonts w:eastAsia="Times New Roman"/>
          <w:sz w:val="18"/>
          <w:szCs w:val="18"/>
        </w:rPr>
        <w:t xml:space="preserve"> of 3D osteoconductive constructs comprising Mg-based nanocomposites and cell-laden </w:t>
      </w:r>
      <w:proofErr w:type="spellStart"/>
      <w:r w:rsidRPr="00CE4013">
        <w:rPr>
          <w:rFonts w:eastAsia="Times New Roman"/>
          <w:sz w:val="18"/>
          <w:szCs w:val="18"/>
        </w:rPr>
        <w:t>bioinks</w:t>
      </w:r>
      <w:proofErr w:type="spellEnd"/>
      <w:r w:rsidRPr="00CE4013">
        <w:rPr>
          <w:rFonts w:eastAsia="Times New Roman"/>
          <w:sz w:val="18"/>
          <w:szCs w:val="18"/>
        </w:rPr>
        <w:t xml:space="preserve"> for bone repair. </w:t>
      </w:r>
      <w:r w:rsidRPr="00CE4013">
        <w:rPr>
          <w:rFonts w:eastAsia="Times New Roman"/>
          <w:i/>
          <w:iCs/>
          <w:sz w:val="18"/>
          <w:szCs w:val="18"/>
        </w:rPr>
        <w:t>Bone</w:t>
      </w:r>
      <w:r w:rsidRPr="00CE4013">
        <w:rPr>
          <w:rFonts w:eastAsia="Times New Roman"/>
          <w:sz w:val="18"/>
          <w:szCs w:val="18"/>
        </w:rPr>
        <w:t xml:space="preserve"> </w:t>
      </w:r>
      <w:r w:rsidRPr="00CE4013">
        <w:rPr>
          <w:rFonts w:eastAsia="Times New Roman"/>
          <w:b/>
          <w:bCs/>
          <w:sz w:val="18"/>
          <w:szCs w:val="18"/>
        </w:rPr>
        <w:t>2021</w:t>
      </w:r>
      <w:r w:rsidRPr="00CE4013">
        <w:rPr>
          <w:rFonts w:eastAsia="Times New Roman"/>
          <w:bCs/>
          <w:sz w:val="18"/>
          <w:szCs w:val="18"/>
        </w:rPr>
        <w:t xml:space="preserve">, </w:t>
      </w:r>
      <w:r w:rsidRPr="00CE4013">
        <w:rPr>
          <w:rFonts w:eastAsia="Times New Roman"/>
          <w:bCs/>
          <w:i/>
          <w:sz w:val="18"/>
          <w:szCs w:val="18"/>
        </w:rPr>
        <w:t>154</w:t>
      </w:r>
      <w:r w:rsidRPr="00CE4013">
        <w:rPr>
          <w:rFonts w:eastAsia="Times New Roman"/>
          <w:bCs/>
          <w:sz w:val="18"/>
          <w:szCs w:val="18"/>
        </w:rPr>
        <w:t>, 116198</w:t>
      </w:r>
      <w:r w:rsidRPr="00CE4013">
        <w:rPr>
          <w:rFonts w:eastAsia="Times New Roman"/>
          <w:sz w:val="18"/>
          <w:szCs w:val="18"/>
        </w:rPr>
        <w:t>. https://doi.org/10.1016/j.bone.2021.116198.</w:t>
      </w:r>
    </w:p>
    <w:p w14:paraId="7559BFA0"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CE4013">
        <w:rPr>
          <w:rFonts w:eastAsia="Times New Roman"/>
          <w:sz w:val="18"/>
          <w:szCs w:val="18"/>
        </w:rPr>
        <w:t>Goto</w:t>
      </w:r>
      <w:proofErr w:type="spellEnd"/>
      <w:r w:rsidRPr="00CE4013">
        <w:rPr>
          <w:rFonts w:eastAsia="Times New Roman"/>
          <w:sz w:val="18"/>
          <w:szCs w:val="18"/>
        </w:rPr>
        <w:t xml:space="preserve">, R.; Nishida, E.; Kobayashi, S.; Aino, M.; Ohno, T.; </w:t>
      </w:r>
      <w:proofErr w:type="spellStart"/>
      <w:r w:rsidRPr="00CE4013">
        <w:rPr>
          <w:rFonts w:eastAsia="Times New Roman"/>
          <w:sz w:val="18"/>
          <w:szCs w:val="18"/>
        </w:rPr>
        <w:t>Iwamura</w:t>
      </w:r>
      <w:proofErr w:type="spellEnd"/>
      <w:r w:rsidRPr="00CE4013">
        <w:rPr>
          <w:rFonts w:eastAsia="Times New Roman"/>
          <w:sz w:val="18"/>
          <w:szCs w:val="18"/>
        </w:rPr>
        <w:t xml:space="preserve">, Y.; Kikuchi, T.; Hayashi, J.-I.; Yamamoto, G.; </w:t>
      </w:r>
      <w:proofErr w:type="spellStart"/>
      <w:r w:rsidRPr="00CE4013">
        <w:rPr>
          <w:rFonts w:eastAsia="Times New Roman"/>
          <w:sz w:val="18"/>
          <w:szCs w:val="18"/>
        </w:rPr>
        <w:t>Asakura</w:t>
      </w:r>
      <w:proofErr w:type="spellEnd"/>
      <w:r w:rsidRPr="00CE4013">
        <w:rPr>
          <w:rFonts w:eastAsia="Times New Roman"/>
          <w:sz w:val="18"/>
          <w:szCs w:val="18"/>
        </w:rPr>
        <w:t xml:space="preserve">, M.; et al. </w:t>
      </w:r>
      <w:proofErr w:type="spellStart"/>
      <w:r w:rsidRPr="00CE4013">
        <w:rPr>
          <w:rFonts w:eastAsia="Times New Roman"/>
          <w:sz w:val="18"/>
          <w:szCs w:val="18"/>
        </w:rPr>
        <w:t>Gelatin</w:t>
      </w:r>
      <w:proofErr w:type="spellEnd"/>
      <w:r w:rsidRPr="00CE4013">
        <w:rPr>
          <w:rFonts w:eastAsia="Times New Roman"/>
          <w:sz w:val="18"/>
          <w:szCs w:val="18"/>
        </w:rPr>
        <w:t xml:space="preserve"> </w:t>
      </w:r>
      <w:proofErr w:type="spellStart"/>
      <w:r w:rsidRPr="00CE4013">
        <w:rPr>
          <w:rFonts w:eastAsia="Times New Roman"/>
          <w:sz w:val="18"/>
          <w:szCs w:val="18"/>
        </w:rPr>
        <w:t>Methacryloyl</w:t>
      </w:r>
      <w:proofErr w:type="spellEnd"/>
      <w:r w:rsidRPr="00CE4013">
        <w:rPr>
          <w:rFonts w:eastAsia="Times New Roman"/>
          <w:sz w:val="18"/>
          <w:szCs w:val="18"/>
        </w:rPr>
        <w:t>–Riboflavin (</w:t>
      </w:r>
      <w:proofErr w:type="spellStart"/>
      <w:r w:rsidRPr="00CE4013">
        <w:rPr>
          <w:rFonts w:eastAsia="Times New Roman"/>
          <w:sz w:val="18"/>
          <w:szCs w:val="18"/>
        </w:rPr>
        <w:t>GelMA</w:t>
      </w:r>
      <w:proofErr w:type="spellEnd"/>
      <w:r w:rsidRPr="00CE4013">
        <w:rPr>
          <w:rFonts w:eastAsia="Times New Roman"/>
          <w:sz w:val="18"/>
          <w:szCs w:val="18"/>
        </w:rPr>
        <w:t xml:space="preserve">–RF) Hydrogels for Bone Regeneration. </w:t>
      </w:r>
      <w:r w:rsidRPr="00CE4013">
        <w:rPr>
          <w:rFonts w:eastAsia="Times New Roman"/>
          <w:i/>
          <w:iCs/>
          <w:sz w:val="18"/>
          <w:szCs w:val="18"/>
        </w:rPr>
        <w:t>Int. J. Mol. Sci.</w:t>
      </w:r>
      <w:r w:rsidRPr="00CE4013">
        <w:rPr>
          <w:rFonts w:eastAsia="Times New Roman"/>
          <w:sz w:val="18"/>
          <w:szCs w:val="18"/>
        </w:rPr>
        <w:t xml:space="preserve"> </w:t>
      </w:r>
      <w:r w:rsidRPr="00CE4013">
        <w:rPr>
          <w:rFonts w:eastAsia="Times New Roman"/>
          <w:b/>
          <w:bCs/>
          <w:sz w:val="18"/>
          <w:szCs w:val="18"/>
        </w:rPr>
        <w:t>2021</w:t>
      </w:r>
      <w:r w:rsidRPr="00CE4013">
        <w:rPr>
          <w:rFonts w:eastAsia="Times New Roman"/>
          <w:bCs/>
          <w:sz w:val="18"/>
          <w:szCs w:val="18"/>
        </w:rPr>
        <w:t xml:space="preserve">, </w:t>
      </w:r>
      <w:r w:rsidRPr="00CE4013">
        <w:rPr>
          <w:rFonts w:eastAsia="Times New Roman"/>
          <w:bCs/>
          <w:i/>
          <w:sz w:val="18"/>
          <w:szCs w:val="18"/>
        </w:rPr>
        <w:t>22</w:t>
      </w:r>
      <w:r w:rsidRPr="00CE4013">
        <w:rPr>
          <w:rFonts w:eastAsia="Times New Roman"/>
          <w:bCs/>
          <w:sz w:val="18"/>
          <w:szCs w:val="18"/>
        </w:rPr>
        <w:t>, 1635</w:t>
      </w:r>
      <w:r w:rsidRPr="00CE4013">
        <w:rPr>
          <w:rFonts w:eastAsia="Times New Roman"/>
          <w:sz w:val="18"/>
          <w:szCs w:val="18"/>
        </w:rPr>
        <w:t>. https://doi.org/10.3390/ijms22041635.</w:t>
      </w:r>
    </w:p>
    <w:p w14:paraId="58F08A5A" w14:textId="77777777" w:rsidR="004803E2" w:rsidRPr="00CE4013"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 xml:space="preserve">Zhao, Y.; Chen, X.; Bai, S.; Li, B.; Liu, H.; Wu, G.; Liu, S. Fabrication of </w:t>
      </w:r>
      <w:proofErr w:type="spellStart"/>
      <w:r w:rsidRPr="00CE4013">
        <w:rPr>
          <w:rFonts w:eastAsia="Times New Roman"/>
          <w:sz w:val="18"/>
          <w:szCs w:val="18"/>
        </w:rPr>
        <w:t>gelatin</w:t>
      </w:r>
      <w:proofErr w:type="spellEnd"/>
      <w:r w:rsidRPr="00CE4013">
        <w:rPr>
          <w:rFonts w:eastAsia="Times New Roman"/>
          <w:sz w:val="18"/>
          <w:szCs w:val="18"/>
        </w:rPr>
        <w:t xml:space="preserve"> methacrylate/nanohydroxyapatite microgel arrays for periodontal tissue regeneration. </w:t>
      </w:r>
      <w:r w:rsidRPr="00CE4013">
        <w:rPr>
          <w:rFonts w:eastAsia="Times New Roman"/>
          <w:i/>
          <w:iCs/>
          <w:sz w:val="18"/>
          <w:szCs w:val="18"/>
        </w:rPr>
        <w:t xml:space="preserve">Int. J. </w:t>
      </w:r>
      <w:proofErr w:type="spellStart"/>
      <w:r w:rsidRPr="00CE4013">
        <w:rPr>
          <w:rFonts w:eastAsia="Times New Roman"/>
          <w:i/>
          <w:iCs/>
          <w:sz w:val="18"/>
          <w:szCs w:val="18"/>
        </w:rPr>
        <w:t>Nanomed</w:t>
      </w:r>
      <w:proofErr w:type="spellEnd"/>
      <w:r w:rsidRPr="00CE4013">
        <w:rPr>
          <w:rFonts w:eastAsia="Times New Roman"/>
          <w:i/>
          <w:iCs/>
          <w:sz w:val="18"/>
          <w:szCs w:val="18"/>
        </w:rPr>
        <w:t>.</w:t>
      </w:r>
      <w:r w:rsidRPr="00CE4013">
        <w:rPr>
          <w:rFonts w:eastAsia="Times New Roman"/>
          <w:sz w:val="18"/>
          <w:szCs w:val="18"/>
        </w:rPr>
        <w:t xml:space="preserve"> </w:t>
      </w:r>
      <w:r w:rsidRPr="00CE4013">
        <w:rPr>
          <w:rFonts w:eastAsia="Times New Roman"/>
          <w:b/>
          <w:bCs/>
          <w:sz w:val="18"/>
          <w:szCs w:val="18"/>
        </w:rPr>
        <w:t>2016</w:t>
      </w:r>
      <w:r w:rsidRPr="00CE4013">
        <w:rPr>
          <w:rFonts w:eastAsia="Times New Roman"/>
          <w:bCs/>
          <w:sz w:val="18"/>
          <w:szCs w:val="18"/>
        </w:rPr>
        <w:t xml:space="preserve">, </w:t>
      </w:r>
      <w:r w:rsidRPr="00CE4013">
        <w:rPr>
          <w:rFonts w:eastAsia="Times New Roman"/>
          <w:bCs/>
          <w:i/>
          <w:sz w:val="18"/>
          <w:szCs w:val="18"/>
        </w:rPr>
        <w:t>11</w:t>
      </w:r>
      <w:r w:rsidRPr="00CE4013">
        <w:rPr>
          <w:rFonts w:eastAsia="Times New Roman"/>
          <w:bCs/>
          <w:sz w:val="18"/>
          <w:szCs w:val="18"/>
        </w:rPr>
        <w:t>, 4707–4718</w:t>
      </w:r>
      <w:r w:rsidRPr="00CE4013">
        <w:rPr>
          <w:rFonts w:eastAsia="Times New Roman"/>
          <w:sz w:val="18"/>
          <w:szCs w:val="18"/>
        </w:rPr>
        <w:t>. https://doi.org/10.2147/ijn.s111701.</w:t>
      </w:r>
    </w:p>
    <w:p w14:paraId="1EF878E9"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CE4013">
        <w:rPr>
          <w:rFonts w:eastAsia="Times New Roman"/>
          <w:sz w:val="18"/>
          <w:szCs w:val="18"/>
        </w:rPr>
        <w:t>Sadat-</w:t>
      </w:r>
      <w:proofErr w:type="spellStart"/>
      <w:r w:rsidRPr="00CE4013">
        <w:rPr>
          <w:rFonts w:eastAsia="Times New Roman"/>
          <w:sz w:val="18"/>
          <w:szCs w:val="18"/>
        </w:rPr>
        <w:t>Shojai</w:t>
      </w:r>
      <w:proofErr w:type="spellEnd"/>
      <w:r w:rsidRPr="00CE4013">
        <w:rPr>
          <w:rFonts w:eastAsia="Times New Roman"/>
          <w:sz w:val="18"/>
          <w:szCs w:val="18"/>
        </w:rPr>
        <w:t xml:space="preserve">, M.; </w:t>
      </w:r>
      <w:proofErr w:type="spellStart"/>
      <w:r w:rsidRPr="00CE4013">
        <w:rPr>
          <w:rFonts w:eastAsia="Times New Roman"/>
          <w:sz w:val="18"/>
          <w:szCs w:val="18"/>
        </w:rPr>
        <w:t>Khorasani</w:t>
      </w:r>
      <w:proofErr w:type="spellEnd"/>
      <w:r w:rsidRPr="00CE4013">
        <w:rPr>
          <w:rFonts w:eastAsia="Times New Roman"/>
          <w:sz w:val="18"/>
          <w:szCs w:val="18"/>
        </w:rPr>
        <w:t xml:space="preserve">, M.-T.; </w:t>
      </w:r>
      <w:proofErr w:type="spellStart"/>
      <w:r w:rsidRPr="00CE4013">
        <w:rPr>
          <w:rFonts w:eastAsia="Times New Roman"/>
          <w:sz w:val="18"/>
          <w:szCs w:val="18"/>
        </w:rPr>
        <w:t>Jamshidi</w:t>
      </w:r>
      <w:proofErr w:type="spellEnd"/>
      <w:r w:rsidRPr="00CE4013">
        <w:rPr>
          <w:rFonts w:eastAsia="Times New Roman"/>
          <w:sz w:val="18"/>
          <w:szCs w:val="18"/>
        </w:rPr>
        <w:t xml:space="preserve">, A. 3-Dimensional cell-laden nano-hydroxyapatite/protein hydrogels for bone regeneration applications. </w:t>
      </w:r>
      <w:r w:rsidRPr="00CE4013">
        <w:rPr>
          <w:rFonts w:eastAsia="Times New Roman"/>
          <w:i/>
          <w:iCs/>
          <w:sz w:val="18"/>
          <w:szCs w:val="18"/>
        </w:rPr>
        <w:t>Mater. Sci. Eng. C</w:t>
      </w:r>
      <w:r w:rsidRPr="00CE4013">
        <w:rPr>
          <w:rFonts w:eastAsia="Times New Roman"/>
          <w:sz w:val="18"/>
          <w:szCs w:val="18"/>
        </w:rPr>
        <w:t xml:space="preserve"> </w:t>
      </w:r>
      <w:r w:rsidRPr="00CE4013">
        <w:rPr>
          <w:rFonts w:eastAsia="Times New Roman"/>
          <w:b/>
          <w:bCs/>
          <w:sz w:val="18"/>
          <w:szCs w:val="18"/>
        </w:rPr>
        <w:t>2015</w:t>
      </w:r>
      <w:r w:rsidRPr="00CE4013">
        <w:rPr>
          <w:rFonts w:eastAsia="Times New Roman"/>
          <w:bCs/>
          <w:sz w:val="18"/>
          <w:szCs w:val="18"/>
        </w:rPr>
        <w:t xml:space="preserve">, </w:t>
      </w:r>
      <w:r w:rsidRPr="00CE4013">
        <w:rPr>
          <w:rFonts w:eastAsia="Times New Roman"/>
          <w:bCs/>
          <w:i/>
          <w:sz w:val="18"/>
          <w:szCs w:val="18"/>
        </w:rPr>
        <w:t>49</w:t>
      </w:r>
      <w:r w:rsidRPr="00CE4013">
        <w:rPr>
          <w:rFonts w:eastAsia="Times New Roman"/>
          <w:bCs/>
          <w:sz w:val="18"/>
          <w:szCs w:val="18"/>
        </w:rPr>
        <w:t>, 835–843</w:t>
      </w:r>
      <w:r w:rsidRPr="00CE4013">
        <w:rPr>
          <w:rFonts w:eastAsia="Times New Roman"/>
          <w:sz w:val="18"/>
          <w:szCs w:val="18"/>
        </w:rPr>
        <w:t>. https://doi.org/10.1016/j.msec.2015</w:t>
      </w:r>
      <w:r w:rsidRPr="004F44BF">
        <w:rPr>
          <w:rFonts w:eastAsia="Times New Roman"/>
          <w:sz w:val="18"/>
          <w:szCs w:val="18"/>
        </w:rPr>
        <w:t>.01.067.</w:t>
      </w:r>
    </w:p>
    <w:p w14:paraId="3D4350CC"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Pu, X.; Tong, L.; Wang, X.; Liu, Q.; Chen, M.; Li, X.; Lu, G.; Lan, W.; Li, Q.; Liang, J.; et al. Bioinspired Hydrogel Anchoring 3DP </w:t>
      </w:r>
      <w:proofErr w:type="spellStart"/>
      <w:r w:rsidRPr="004F44BF">
        <w:rPr>
          <w:rFonts w:eastAsia="Times New Roman"/>
          <w:sz w:val="18"/>
          <w:szCs w:val="18"/>
        </w:rPr>
        <w:t>GelMA</w:t>
      </w:r>
      <w:proofErr w:type="spellEnd"/>
      <w:r w:rsidRPr="004F44BF">
        <w:rPr>
          <w:rFonts w:eastAsia="Times New Roman"/>
          <w:sz w:val="18"/>
          <w:szCs w:val="18"/>
        </w:rPr>
        <w:t>/</w:t>
      </w:r>
      <w:proofErr w:type="spellStart"/>
      <w:r w:rsidRPr="004F44BF">
        <w:rPr>
          <w:rFonts w:eastAsia="Times New Roman"/>
          <w:sz w:val="18"/>
          <w:szCs w:val="18"/>
        </w:rPr>
        <w:t>HAp</w:t>
      </w:r>
      <w:proofErr w:type="spellEnd"/>
      <w:r w:rsidRPr="004F44BF">
        <w:rPr>
          <w:rFonts w:eastAsia="Times New Roman"/>
          <w:sz w:val="18"/>
          <w:szCs w:val="18"/>
        </w:rPr>
        <w:t xml:space="preserve"> Scaffolds Accelerates Bone Reconstruction. </w:t>
      </w:r>
      <w:r w:rsidRPr="004F44BF">
        <w:rPr>
          <w:rFonts w:eastAsia="Times New Roman"/>
          <w:i/>
          <w:iCs/>
          <w:sz w:val="18"/>
          <w:szCs w:val="18"/>
        </w:rPr>
        <w:t>ACS Appl. Mater. Interfaces</w:t>
      </w:r>
      <w:r w:rsidRPr="004F44BF">
        <w:rPr>
          <w:rFonts w:eastAsia="Times New Roman"/>
          <w:sz w:val="18"/>
          <w:szCs w:val="18"/>
        </w:rPr>
        <w:t xml:space="preserve"> </w:t>
      </w:r>
      <w:r>
        <w:rPr>
          <w:rFonts w:eastAsia="Times New Roman"/>
          <w:b/>
          <w:bCs/>
          <w:sz w:val="18"/>
          <w:szCs w:val="18"/>
        </w:rPr>
        <w:t>2022</w:t>
      </w:r>
      <w:r>
        <w:rPr>
          <w:rFonts w:eastAsia="Times New Roman"/>
          <w:bCs/>
          <w:sz w:val="18"/>
          <w:szCs w:val="18"/>
        </w:rPr>
        <w:t xml:space="preserve">, </w:t>
      </w:r>
      <w:r>
        <w:rPr>
          <w:rFonts w:eastAsia="Times New Roman"/>
          <w:bCs/>
          <w:i/>
          <w:sz w:val="18"/>
          <w:szCs w:val="18"/>
        </w:rPr>
        <w:t>14</w:t>
      </w:r>
      <w:r>
        <w:rPr>
          <w:rFonts w:eastAsia="Times New Roman"/>
          <w:bCs/>
          <w:sz w:val="18"/>
          <w:szCs w:val="18"/>
        </w:rPr>
        <w:t>, 20591–20602</w:t>
      </w:r>
      <w:r w:rsidRPr="004F44BF">
        <w:rPr>
          <w:rFonts w:eastAsia="Times New Roman"/>
          <w:sz w:val="18"/>
          <w:szCs w:val="18"/>
        </w:rPr>
        <w:t>. https://doi.org/10.1021/acsami.1c25015.</w:t>
      </w:r>
    </w:p>
    <w:p w14:paraId="5A7F66E4"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4F44BF">
        <w:rPr>
          <w:rFonts w:eastAsia="Times New Roman"/>
          <w:sz w:val="18"/>
          <w:szCs w:val="18"/>
        </w:rPr>
        <w:t>Suvarnapathaki</w:t>
      </w:r>
      <w:proofErr w:type="spellEnd"/>
      <w:r w:rsidRPr="004F44BF">
        <w:rPr>
          <w:rFonts w:eastAsia="Times New Roman"/>
          <w:sz w:val="18"/>
          <w:szCs w:val="18"/>
        </w:rPr>
        <w:t xml:space="preserve">, S.; Wu, X.; </w:t>
      </w:r>
      <w:proofErr w:type="spellStart"/>
      <w:r w:rsidRPr="004F44BF">
        <w:rPr>
          <w:rFonts w:eastAsia="Times New Roman"/>
          <w:sz w:val="18"/>
          <w:szCs w:val="18"/>
        </w:rPr>
        <w:t>Lantigua</w:t>
      </w:r>
      <w:proofErr w:type="spellEnd"/>
      <w:r w:rsidRPr="004F44BF">
        <w:rPr>
          <w:rFonts w:eastAsia="Times New Roman"/>
          <w:sz w:val="18"/>
          <w:szCs w:val="18"/>
        </w:rPr>
        <w:t xml:space="preserve">, D.; Nguyen, M.; </w:t>
      </w:r>
      <w:proofErr w:type="spellStart"/>
      <w:r w:rsidRPr="004F44BF">
        <w:rPr>
          <w:rFonts w:eastAsia="Times New Roman"/>
          <w:sz w:val="18"/>
          <w:szCs w:val="18"/>
        </w:rPr>
        <w:t>Camci‐Unal</w:t>
      </w:r>
      <w:proofErr w:type="spellEnd"/>
      <w:r w:rsidRPr="004F44BF">
        <w:rPr>
          <w:rFonts w:eastAsia="Times New Roman"/>
          <w:sz w:val="18"/>
          <w:szCs w:val="18"/>
        </w:rPr>
        <w:t xml:space="preserve">, G. Hydroxyapatite‐Incorporated Composite Gels Improve Mechanical Properties and Bioactivity of Bone Scaffolds. </w:t>
      </w:r>
      <w:proofErr w:type="spellStart"/>
      <w:r w:rsidRPr="004F44BF">
        <w:rPr>
          <w:rFonts w:eastAsia="Times New Roman"/>
          <w:i/>
          <w:iCs/>
          <w:sz w:val="18"/>
          <w:szCs w:val="18"/>
        </w:rPr>
        <w:t>Macromol</w:t>
      </w:r>
      <w:proofErr w:type="spellEnd"/>
      <w:r w:rsidRPr="004F44BF">
        <w:rPr>
          <w:rFonts w:eastAsia="Times New Roman"/>
          <w:i/>
          <w:iCs/>
          <w:sz w:val="18"/>
          <w:szCs w:val="18"/>
        </w:rPr>
        <w:t xml:space="preserve">. </w:t>
      </w:r>
      <w:proofErr w:type="spellStart"/>
      <w:r w:rsidRPr="004F44BF">
        <w:rPr>
          <w:rFonts w:eastAsia="Times New Roman"/>
          <w:i/>
          <w:iCs/>
          <w:sz w:val="18"/>
          <w:szCs w:val="18"/>
        </w:rPr>
        <w:t>Biosci</w:t>
      </w:r>
      <w:proofErr w:type="spellEnd"/>
      <w:r w:rsidRPr="004F44BF">
        <w:rPr>
          <w:rFonts w:eastAsia="Times New Roman"/>
          <w:i/>
          <w:iCs/>
          <w:sz w:val="18"/>
          <w:szCs w:val="18"/>
        </w:rPr>
        <w:t>.</w:t>
      </w:r>
      <w:r w:rsidRPr="004F44BF">
        <w:rPr>
          <w:rFonts w:eastAsia="Times New Roman"/>
          <w:sz w:val="18"/>
          <w:szCs w:val="18"/>
        </w:rPr>
        <w:t xml:space="preserve"> </w:t>
      </w:r>
      <w:r>
        <w:rPr>
          <w:rFonts w:eastAsia="Times New Roman"/>
          <w:b/>
          <w:bCs/>
          <w:sz w:val="18"/>
          <w:szCs w:val="18"/>
        </w:rPr>
        <w:t>2020</w:t>
      </w:r>
      <w:r>
        <w:rPr>
          <w:rFonts w:eastAsia="Times New Roman"/>
          <w:bCs/>
          <w:sz w:val="18"/>
          <w:szCs w:val="18"/>
        </w:rPr>
        <w:t xml:space="preserve">, </w:t>
      </w:r>
      <w:r>
        <w:rPr>
          <w:rFonts w:eastAsia="Times New Roman"/>
          <w:bCs/>
          <w:i/>
          <w:sz w:val="18"/>
          <w:szCs w:val="18"/>
        </w:rPr>
        <w:t>20</w:t>
      </w:r>
      <w:r>
        <w:rPr>
          <w:rFonts w:eastAsia="Times New Roman"/>
          <w:bCs/>
          <w:sz w:val="18"/>
          <w:szCs w:val="18"/>
        </w:rPr>
        <w:t>, e2000176</w:t>
      </w:r>
      <w:r w:rsidRPr="004F44BF">
        <w:rPr>
          <w:rFonts w:eastAsia="Times New Roman"/>
          <w:sz w:val="18"/>
          <w:szCs w:val="18"/>
        </w:rPr>
        <w:t>. https://doi.org/10.1002/mabi.202000176.</w:t>
      </w:r>
    </w:p>
    <w:p w14:paraId="649B2F4A"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Wang, H.; Hu, B.; Li, H.; Feng, G.; Pan, S.; Chen, Z.; Li, B.; Song, J. Biomimetic Mineralized Hydroxyapatite Nanofiber-Incorporated </w:t>
      </w:r>
      <w:proofErr w:type="spellStart"/>
      <w:r w:rsidRPr="004F44BF">
        <w:rPr>
          <w:rFonts w:eastAsia="Times New Roman"/>
          <w:sz w:val="18"/>
          <w:szCs w:val="18"/>
        </w:rPr>
        <w:t>Methacrylated</w:t>
      </w:r>
      <w:proofErr w:type="spellEnd"/>
      <w:r w:rsidRPr="004F44BF">
        <w:rPr>
          <w:rFonts w:eastAsia="Times New Roman"/>
          <w:sz w:val="18"/>
          <w:szCs w:val="18"/>
        </w:rPr>
        <w:t xml:space="preserve"> </w:t>
      </w:r>
      <w:proofErr w:type="spellStart"/>
      <w:r w:rsidRPr="004F44BF">
        <w:rPr>
          <w:rFonts w:eastAsia="Times New Roman"/>
          <w:sz w:val="18"/>
          <w:szCs w:val="18"/>
        </w:rPr>
        <w:t>Gelatin</w:t>
      </w:r>
      <w:proofErr w:type="spellEnd"/>
      <w:r w:rsidRPr="004F44BF">
        <w:rPr>
          <w:rFonts w:eastAsia="Times New Roman"/>
          <w:sz w:val="18"/>
          <w:szCs w:val="18"/>
        </w:rPr>
        <w:t xml:space="preserve"> Hydrogel with Improved Mechanical and </w:t>
      </w:r>
      <w:proofErr w:type="spellStart"/>
      <w:r w:rsidRPr="004F44BF">
        <w:rPr>
          <w:rFonts w:eastAsia="Times New Roman"/>
          <w:sz w:val="18"/>
          <w:szCs w:val="18"/>
        </w:rPr>
        <w:t>Osteoinductive</w:t>
      </w:r>
      <w:proofErr w:type="spellEnd"/>
      <w:r w:rsidRPr="004F44BF">
        <w:rPr>
          <w:rFonts w:eastAsia="Times New Roman"/>
          <w:sz w:val="18"/>
          <w:szCs w:val="18"/>
        </w:rPr>
        <w:t xml:space="preserve"> Performances for Bone Regeneration. </w:t>
      </w:r>
      <w:r w:rsidRPr="004F44BF">
        <w:rPr>
          <w:rFonts w:eastAsia="Times New Roman"/>
          <w:i/>
          <w:iCs/>
          <w:sz w:val="18"/>
          <w:szCs w:val="18"/>
        </w:rPr>
        <w:t xml:space="preserve">Int. J. </w:t>
      </w:r>
      <w:proofErr w:type="spellStart"/>
      <w:r w:rsidRPr="004F44BF">
        <w:rPr>
          <w:rFonts w:eastAsia="Times New Roman"/>
          <w:i/>
          <w:iCs/>
          <w:sz w:val="18"/>
          <w:szCs w:val="18"/>
        </w:rPr>
        <w:t>Nanomed</w:t>
      </w:r>
      <w:proofErr w:type="spellEnd"/>
      <w:r w:rsidRPr="004F44BF">
        <w:rPr>
          <w:rFonts w:eastAsia="Times New Roman"/>
          <w:i/>
          <w:iCs/>
          <w:sz w:val="18"/>
          <w:szCs w:val="18"/>
        </w:rPr>
        <w:t>.</w:t>
      </w:r>
      <w:r w:rsidRPr="004F44BF">
        <w:rPr>
          <w:rFonts w:eastAsia="Times New Roman"/>
          <w:sz w:val="18"/>
          <w:szCs w:val="18"/>
        </w:rPr>
        <w:t xml:space="preserve"> </w:t>
      </w:r>
      <w:r>
        <w:rPr>
          <w:rFonts w:eastAsia="Times New Roman"/>
          <w:b/>
          <w:bCs/>
          <w:sz w:val="18"/>
          <w:szCs w:val="18"/>
        </w:rPr>
        <w:t>2022</w:t>
      </w:r>
      <w:r>
        <w:rPr>
          <w:rFonts w:eastAsia="Times New Roman"/>
          <w:bCs/>
          <w:sz w:val="18"/>
          <w:szCs w:val="18"/>
        </w:rPr>
        <w:t xml:space="preserve">, </w:t>
      </w:r>
      <w:r>
        <w:rPr>
          <w:rFonts w:eastAsia="Times New Roman"/>
          <w:bCs/>
          <w:i/>
          <w:sz w:val="18"/>
          <w:szCs w:val="18"/>
        </w:rPr>
        <w:t>17</w:t>
      </w:r>
      <w:r>
        <w:rPr>
          <w:rFonts w:eastAsia="Times New Roman"/>
          <w:bCs/>
          <w:sz w:val="18"/>
          <w:szCs w:val="18"/>
        </w:rPr>
        <w:t>, 1511–1529</w:t>
      </w:r>
      <w:r w:rsidRPr="004F44BF">
        <w:rPr>
          <w:rFonts w:eastAsia="Times New Roman"/>
          <w:sz w:val="18"/>
          <w:szCs w:val="18"/>
        </w:rPr>
        <w:t>. https://doi.org/10.2147/ijn.s354127.</w:t>
      </w:r>
    </w:p>
    <w:p w14:paraId="30720A64"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Paul, A.; Manoharan, V.; </w:t>
      </w:r>
      <w:proofErr w:type="spellStart"/>
      <w:r w:rsidRPr="004F44BF">
        <w:rPr>
          <w:rFonts w:eastAsia="Times New Roman"/>
          <w:sz w:val="18"/>
          <w:szCs w:val="18"/>
        </w:rPr>
        <w:t>Krafft</w:t>
      </w:r>
      <w:proofErr w:type="spellEnd"/>
      <w:r w:rsidRPr="004F44BF">
        <w:rPr>
          <w:rFonts w:eastAsia="Times New Roman"/>
          <w:sz w:val="18"/>
          <w:szCs w:val="18"/>
        </w:rPr>
        <w:t xml:space="preserve">, D.; </w:t>
      </w:r>
      <w:proofErr w:type="spellStart"/>
      <w:r w:rsidRPr="004F44BF">
        <w:rPr>
          <w:rFonts w:eastAsia="Times New Roman"/>
          <w:sz w:val="18"/>
          <w:szCs w:val="18"/>
        </w:rPr>
        <w:t>Assmann</w:t>
      </w:r>
      <w:proofErr w:type="spellEnd"/>
      <w:r w:rsidRPr="004F44BF">
        <w:rPr>
          <w:rFonts w:eastAsia="Times New Roman"/>
          <w:sz w:val="18"/>
          <w:szCs w:val="18"/>
        </w:rPr>
        <w:t xml:space="preserve">, A.; </w:t>
      </w:r>
      <w:proofErr w:type="spellStart"/>
      <w:r w:rsidRPr="004F44BF">
        <w:rPr>
          <w:rFonts w:eastAsia="Times New Roman"/>
          <w:sz w:val="18"/>
          <w:szCs w:val="18"/>
        </w:rPr>
        <w:t>Uquillas</w:t>
      </w:r>
      <w:proofErr w:type="spellEnd"/>
      <w:r w:rsidRPr="004F44BF">
        <w:rPr>
          <w:rFonts w:eastAsia="Times New Roman"/>
          <w:sz w:val="18"/>
          <w:szCs w:val="18"/>
        </w:rPr>
        <w:t xml:space="preserve">, J.; Shin, S.R.; Hasan, A.; Hussain, M.A.; </w:t>
      </w:r>
      <w:proofErr w:type="spellStart"/>
      <w:r w:rsidRPr="004F44BF">
        <w:rPr>
          <w:rFonts w:eastAsia="Times New Roman"/>
          <w:sz w:val="18"/>
          <w:szCs w:val="18"/>
        </w:rPr>
        <w:t>Memic</w:t>
      </w:r>
      <w:proofErr w:type="spellEnd"/>
      <w:r w:rsidRPr="004F44BF">
        <w:rPr>
          <w:rFonts w:eastAsia="Times New Roman"/>
          <w:sz w:val="18"/>
          <w:szCs w:val="18"/>
        </w:rPr>
        <w:t xml:space="preserve">, A.; </w:t>
      </w:r>
      <w:proofErr w:type="spellStart"/>
      <w:r w:rsidRPr="004F44BF">
        <w:rPr>
          <w:rFonts w:eastAsia="Times New Roman"/>
          <w:sz w:val="18"/>
          <w:szCs w:val="18"/>
        </w:rPr>
        <w:t>Gaharwar</w:t>
      </w:r>
      <w:proofErr w:type="spellEnd"/>
      <w:r w:rsidRPr="004F44BF">
        <w:rPr>
          <w:rFonts w:eastAsia="Times New Roman"/>
          <w:sz w:val="18"/>
          <w:szCs w:val="18"/>
        </w:rPr>
        <w:t xml:space="preserve">, A.K.; et al. Nanoengineered biomimetic hydrogels for guiding human stem cell osteogenesis in three dimensional microenvironments. </w:t>
      </w:r>
      <w:r w:rsidRPr="004F44BF">
        <w:rPr>
          <w:rFonts w:eastAsia="Times New Roman"/>
          <w:i/>
          <w:iCs/>
          <w:sz w:val="18"/>
          <w:szCs w:val="18"/>
        </w:rPr>
        <w:t>J. Mater. Chem. B</w:t>
      </w:r>
      <w:r w:rsidRPr="004F44BF">
        <w:rPr>
          <w:rFonts w:eastAsia="Times New Roman"/>
          <w:sz w:val="18"/>
          <w:szCs w:val="18"/>
        </w:rPr>
        <w:t xml:space="preserve"> </w:t>
      </w:r>
      <w:r>
        <w:rPr>
          <w:rFonts w:eastAsia="Times New Roman"/>
          <w:b/>
          <w:bCs/>
          <w:sz w:val="18"/>
          <w:szCs w:val="18"/>
        </w:rPr>
        <w:t>2016</w:t>
      </w:r>
      <w:r>
        <w:rPr>
          <w:rFonts w:eastAsia="Times New Roman"/>
          <w:bCs/>
          <w:sz w:val="18"/>
          <w:szCs w:val="18"/>
        </w:rPr>
        <w:t xml:space="preserve">, </w:t>
      </w:r>
      <w:r>
        <w:rPr>
          <w:rFonts w:eastAsia="Times New Roman"/>
          <w:bCs/>
          <w:i/>
          <w:sz w:val="18"/>
          <w:szCs w:val="18"/>
        </w:rPr>
        <w:t>4</w:t>
      </w:r>
      <w:r>
        <w:rPr>
          <w:rFonts w:eastAsia="Times New Roman"/>
          <w:bCs/>
          <w:sz w:val="18"/>
          <w:szCs w:val="18"/>
        </w:rPr>
        <w:t>, 3544–3554</w:t>
      </w:r>
      <w:r w:rsidRPr="004F44BF">
        <w:rPr>
          <w:rFonts w:eastAsia="Times New Roman"/>
          <w:sz w:val="18"/>
          <w:szCs w:val="18"/>
        </w:rPr>
        <w:t>. https://doi.org/10.1039/c5tb02745d.</w:t>
      </w:r>
    </w:p>
    <w:p w14:paraId="2205765F"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Xavier, J.R.; Thakur, T.; Desai, P.; Jaiswal, M.K.; Sears, N.; </w:t>
      </w:r>
      <w:proofErr w:type="spellStart"/>
      <w:r w:rsidRPr="004F44BF">
        <w:rPr>
          <w:rFonts w:eastAsia="Times New Roman"/>
          <w:sz w:val="18"/>
          <w:szCs w:val="18"/>
        </w:rPr>
        <w:t>Cosgriff</w:t>
      </w:r>
      <w:proofErr w:type="spellEnd"/>
      <w:r w:rsidRPr="004F44BF">
        <w:rPr>
          <w:rFonts w:eastAsia="Times New Roman"/>
          <w:sz w:val="18"/>
          <w:szCs w:val="18"/>
        </w:rPr>
        <w:t xml:space="preserve">-Hernandez, E.; Kaunas, R.; </w:t>
      </w:r>
      <w:proofErr w:type="spellStart"/>
      <w:r w:rsidRPr="004F44BF">
        <w:rPr>
          <w:rFonts w:eastAsia="Times New Roman"/>
          <w:sz w:val="18"/>
          <w:szCs w:val="18"/>
        </w:rPr>
        <w:t>Gaharwar</w:t>
      </w:r>
      <w:proofErr w:type="spellEnd"/>
      <w:r w:rsidRPr="004F44BF">
        <w:rPr>
          <w:rFonts w:eastAsia="Times New Roman"/>
          <w:sz w:val="18"/>
          <w:szCs w:val="18"/>
        </w:rPr>
        <w:t xml:space="preserve">, A.K. Bioactive Nanoengineered Hydrogels for Bone Tissue Engineering: A Growth-Factor-Free Approach. </w:t>
      </w:r>
      <w:r w:rsidRPr="004F44BF">
        <w:rPr>
          <w:rFonts w:eastAsia="Times New Roman"/>
          <w:i/>
          <w:iCs/>
          <w:sz w:val="18"/>
          <w:szCs w:val="18"/>
        </w:rPr>
        <w:t>ACS Nano</w:t>
      </w:r>
      <w:r w:rsidRPr="004F44BF">
        <w:rPr>
          <w:rFonts w:eastAsia="Times New Roman"/>
          <w:sz w:val="18"/>
          <w:szCs w:val="18"/>
        </w:rPr>
        <w:t xml:space="preserve"> </w:t>
      </w:r>
      <w:r>
        <w:rPr>
          <w:rFonts w:eastAsia="Times New Roman"/>
          <w:b/>
          <w:bCs/>
          <w:sz w:val="18"/>
          <w:szCs w:val="18"/>
        </w:rPr>
        <w:t>2015</w:t>
      </w:r>
      <w:r>
        <w:rPr>
          <w:rFonts w:eastAsia="Times New Roman"/>
          <w:bCs/>
          <w:sz w:val="18"/>
          <w:szCs w:val="18"/>
        </w:rPr>
        <w:t xml:space="preserve">, </w:t>
      </w:r>
      <w:r>
        <w:rPr>
          <w:rFonts w:eastAsia="Times New Roman"/>
          <w:bCs/>
          <w:i/>
          <w:sz w:val="18"/>
          <w:szCs w:val="18"/>
        </w:rPr>
        <w:t>9</w:t>
      </w:r>
      <w:r>
        <w:rPr>
          <w:rFonts w:eastAsia="Times New Roman"/>
          <w:bCs/>
          <w:sz w:val="18"/>
          <w:szCs w:val="18"/>
        </w:rPr>
        <w:t>, 3109–3118</w:t>
      </w:r>
      <w:r w:rsidRPr="004F44BF">
        <w:rPr>
          <w:rFonts w:eastAsia="Times New Roman"/>
          <w:sz w:val="18"/>
          <w:szCs w:val="18"/>
        </w:rPr>
        <w:t>. https://doi.org/10.1021/nn507488s.</w:t>
      </w:r>
    </w:p>
    <w:p w14:paraId="469ADE66"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Zheng, J.; Zhao, F.; Zhang, W.; Mo, Y.; Zeng, L.; Li, X.; Chen, X. </w:t>
      </w:r>
      <w:proofErr w:type="gramStart"/>
      <w:r w:rsidRPr="004F44BF">
        <w:rPr>
          <w:rFonts w:eastAsia="Times New Roman"/>
          <w:sz w:val="18"/>
          <w:szCs w:val="18"/>
        </w:rPr>
        <w:t>Sequentially-crosslinked</w:t>
      </w:r>
      <w:proofErr w:type="gramEnd"/>
      <w:r w:rsidRPr="004F44BF">
        <w:rPr>
          <w:rFonts w:eastAsia="Times New Roman"/>
          <w:sz w:val="18"/>
          <w:szCs w:val="18"/>
        </w:rPr>
        <w:t xml:space="preserve"> biomimetic bioactive glass/</w:t>
      </w:r>
      <w:proofErr w:type="spellStart"/>
      <w:r w:rsidRPr="004F44BF">
        <w:rPr>
          <w:rFonts w:eastAsia="Times New Roman"/>
          <w:sz w:val="18"/>
          <w:szCs w:val="18"/>
        </w:rPr>
        <w:t>gelatin</w:t>
      </w:r>
      <w:proofErr w:type="spellEnd"/>
      <w:r w:rsidRPr="004F44BF">
        <w:rPr>
          <w:rFonts w:eastAsia="Times New Roman"/>
          <w:sz w:val="18"/>
          <w:szCs w:val="18"/>
        </w:rPr>
        <w:t xml:space="preserve"> </w:t>
      </w:r>
      <w:proofErr w:type="spellStart"/>
      <w:r w:rsidRPr="004F44BF">
        <w:rPr>
          <w:rFonts w:eastAsia="Times New Roman"/>
          <w:sz w:val="18"/>
          <w:szCs w:val="18"/>
        </w:rPr>
        <w:t>methacryloyl</w:t>
      </w:r>
      <w:proofErr w:type="spellEnd"/>
      <w:r w:rsidRPr="004F44BF">
        <w:rPr>
          <w:rFonts w:eastAsia="Times New Roman"/>
          <w:sz w:val="18"/>
          <w:szCs w:val="18"/>
        </w:rPr>
        <w:t xml:space="preserve"> composites hydrogels for bone regeneration. </w:t>
      </w:r>
      <w:r w:rsidRPr="004F44BF">
        <w:rPr>
          <w:rFonts w:eastAsia="Times New Roman"/>
          <w:i/>
          <w:iCs/>
          <w:sz w:val="18"/>
          <w:szCs w:val="18"/>
        </w:rPr>
        <w:t>Mater. Sci. Eng. C</w:t>
      </w:r>
      <w:r w:rsidRPr="004F44BF">
        <w:rPr>
          <w:rFonts w:eastAsia="Times New Roman"/>
          <w:sz w:val="18"/>
          <w:szCs w:val="18"/>
        </w:rPr>
        <w:t xml:space="preserve"> </w:t>
      </w:r>
      <w:r>
        <w:rPr>
          <w:rFonts w:eastAsia="Times New Roman"/>
          <w:b/>
          <w:bCs/>
          <w:sz w:val="18"/>
          <w:szCs w:val="18"/>
        </w:rPr>
        <w:t>2018</w:t>
      </w:r>
      <w:r>
        <w:rPr>
          <w:rFonts w:eastAsia="Times New Roman"/>
          <w:bCs/>
          <w:sz w:val="18"/>
          <w:szCs w:val="18"/>
        </w:rPr>
        <w:t xml:space="preserve">, </w:t>
      </w:r>
      <w:r>
        <w:rPr>
          <w:rFonts w:eastAsia="Times New Roman"/>
          <w:bCs/>
          <w:i/>
          <w:sz w:val="18"/>
          <w:szCs w:val="18"/>
        </w:rPr>
        <w:t>89</w:t>
      </w:r>
      <w:r>
        <w:rPr>
          <w:rFonts w:eastAsia="Times New Roman"/>
          <w:bCs/>
          <w:sz w:val="18"/>
          <w:szCs w:val="18"/>
        </w:rPr>
        <w:t>, 119–127</w:t>
      </w:r>
      <w:r w:rsidRPr="004F44BF">
        <w:rPr>
          <w:rFonts w:eastAsia="Times New Roman"/>
          <w:sz w:val="18"/>
          <w:szCs w:val="18"/>
        </w:rPr>
        <w:t>. https://doi.org/10.1016/j.msec.2018.03.029.</w:t>
      </w:r>
    </w:p>
    <w:p w14:paraId="3E52B843"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Li, Z.; Xiang, S.; Lin, Z.; Li, E.N.; Yagi, H.; Cao, G.; Yocum, L.; Li, L.; Hao, T.; Bruce, K.K.; et al. Graphene oxide-functionalized nanocomposites promote osteogenesis of human mesenchymal stem cells via enhancement of BMP-SMAD1/5 </w:t>
      </w:r>
      <w:proofErr w:type="spellStart"/>
      <w:r w:rsidRPr="00AB3869">
        <w:rPr>
          <w:rFonts w:eastAsia="Times New Roman"/>
          <w:sz w:val="18"/>
          <w:szCs w:val="18"/>
        </w:rPr>
        <w:t>signaling</w:t>
      </w:r>
      <w:proofErr w:type="spellEnd"/>
      <w:r w:rsidRPr="00AB3869">
        <w:rPr>
          <w:rFonts w:eastAsia="Times New Roman"/>
          <w:sz w:val="18"/>
          <w:szCs w:val="18"/>
        </w:rPr>
        <w:t xml:space="preserve"> pathway. </w:t>
      </w:r>
      <w:r w:rsidRPr="00AB3869">
        <w:rPr>
          <w:rFonts w:eastAsia="Times New Roman"/>
          <w:i/>
          <w:iCs/>
          <w:sz w:val="18"/>
          <w:szCs w:val="18"/>
        </w:rPr>
        <w:t>Biomaterials</w:t>
      </w:r>
      <w:r w:rsidRPr="00AB3869">
        <w:rPr>
          <w:rFonts w:eastAsia="Times New Roman"/>
          <w:sz w:val="18"/>
          <w:szCs w:val="18"/>
        </w:rPr>
        <w:t xml:space="preserve"> </w:t>
      </w:r>
      <w:r w:rsidRPr="00AB3869">
        <w:rPr>
          <w:rFonts w:eastAsia="Times New Roman"/>
          <w:b/>
          <w:bCs/>
          <w:sz w:val="18"/>
          <w:szCs w:val="18"/>
        </w:rPr>
        <w:t>2021</w:t>
      </w:r>
      <w:r w:rsidRPr="00AB3869">
        <w:rPr>
          <w:rFonts w:eastAsia="Times New Roman"/>
          <w:bCs/>
          <w:sz w:val="18"/>
          <w:szCs w:val="18"/>
        </w:rPr>
        <w:t xml:space="preserve">, </w:t>
      </w:r>
      <w:r w:rsidRPr="00AB3869">
        <w:rPr>
          <w:rFonts w:eastAsia="Times New Roman"/>
          <w:bCs/>
          <w:i/>
          <w:sz w:val="18"/>
          <w:szCs w:val="18"/>
        </w:rPr>
        <w:t>277</w:t>
      </w:r>
      <w:r w:rsidRPr="00AB3869">
        <w:rPr>
          <w:rFonts w:eastAsia="Times New Roman"/>
          <w:bCs/>
          <w:sz w:val="18"/>
          <w:szCs w:val="18"/>
        </w:rPr>
        <w:t>, 121082</w:t>
      </w:r>
      <w:r w:rsidRPr="00AB3869">
        <w:rPr>
          <w:rFonts w:eastAsia="Times New Roman"/>
          <w:sz w:val="18"/>
          <w:szCs w:val="18"/>
        </w:rPr>
        <w:t>. https://doi.org/10.1016/j.biomaterials.2021.121082.</w:t>
      </w:r>
    </w:p>
    <w:p w14:paraId="0673A794"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Heo, D.N.; Ko, W.-K.; Bae, M.S.; Lee, J.B.; Lee, D.-W.; Byun, W.; Lee, C.H.; Kim, E.-C.; Jung, B.-Y.; Kwon, I.K. Enhanced bone regeneration with a gold nanoparticle–hydrogel complex. </w:t>
      </w:r>
      <w:r w:rsidRPr="004F44BF">
        <w:rPr>
          <w:rFonts w:eastAsia="Times New Roman"/>
          <w:i/>
          <w:iCs/>
          <w:sz w:val="18"/>
          <w:szCs w:val="18"/>
        </w:rPr>
        <w:t>J. Mater. Chem. B</w:t>
      </w:r>
      <w:r w:rsidRPr="004F44BF">
        <w:rPr>
          <w:rFonts w:eastAsia="Times New Roman"/>
          <w:sz w:val="18"/>
          <w:szCs w:val="18"/>
        </w:rPr>
        <w:t xml:space="preserve"> </w:t>
      </w:r>
      <w:r>
        <w:rPr>
          <w:rFonts w:eastAsia="Times New Roman"/>
          <w:b/>
          <w:bCs/>
          <w:sz w:val="18"/>
          <w:szCs w:val="18"/>
        </w:rPr>
        <w:t>2014</w:t>
      </w:r>
      <w:r>
        <w:rPr>
          <w:rFonts w:eastAsia="Times New Roman"/>
          <w:bCs/>
          <w:sz w:val="18"/>
          <w:szCs w:val="18"/>
        </w:rPr>
        <w:t xml:space="preserve">, </w:t>
      </w:r>
      <w:r>
        <w:rPr>
          <w:rFonts w:eastAsia="Times New Roman"/>
          <w:bCs/>
          <w:i/>
          <w:sz w:val="18"/>
          <w:szCs w:val="18"/>
        </w:rPr>
        <w:t>2</w:t>
      </w:r>
      <w:r>
        <w:rPr>
          <w:rFonts w:eastAsia="Times New Roman"/>
          <w:bCs/>
          <w:sz w:val="18"/>
          <w:szCs w:val="18"/>
        </w:rPr>
        <w:t>, 1584–1593</w:t>
      </w:r>
      <w:r w:rsidRPr="004F44BF">
        <w:rPr>
          <w:rFonts w:eastAsia="Times New Roman"/>
          <w:sz w:val="18"/>
          <w:szCs w:val="18"/>
        </w:rPr>
        <w:t>. https://doi.org/10.1039/c3tb21246g.</w:t>
      </w:r>
    </w:p>
    <w:p w14:paraId="1DF085F3"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Kurian, A.G.; Singh, R.K.; Lee, J.-H.; Kim, H.-W. Surface-Engineered Hybrid </w:t>
      </w:r>
      <w:proofErr w:type="spellStart"/>
      <w:r w:rsidRPr="004F44BF">
        <w:rPr>
          <w:rFonts w:eastAsia="Times New Roman"/>
          <w:sz w:val="18"/>
          <w:szCs w:val="18"/>
        </w:rPr>
        <w:t>Gelatin</w:t>
      </w:r>
      <w:proofErr w:type="spellEnd"/>
      <w:r w:rsidRPr="004F44BF">
        <w:rPr>
          <w:rFonts w:eastAsia="Times New Roman"/>
          <w:sz w:val="18"/>
          <w:szCs w:val="18"/>
        </w:rPr>
        <w:t xml:space="preserve"> </w:t>
      </w:r>
      <w:proofErr w:type="spellStart"/>
      <w:r w:rsidRPr="004F44BF">
        <w:rPr>
          <w:rFonts w:eastAsia="Times New Roman"/>
          <w:sz w:val="18"/>
          <w:szCs w:val="18"/>
        </w:rPr>
        <w:t>Methacryloyl</w:t>
      </w:r>
      <w:proofErr w:type="spellEnd"/>
      <w:r w:rsidRPr="004F44BF">
        <w:rPr>
          <w:rFonts w:eastAsia="Times New Roman"/>
          <w:sz w:val="18"/>
          <w:szCs w:val="18"/>
        </w:rPr>
        <w:t xml:space="preserve"> with Nanoceria as Reactive Oxygen Species Responsive Matrixes for Bone Therapeutics. </w:t>
      </w:r>
      <w:r w:rsidRPr="004F44BF">
        <w:rPr>
          <w:rFonts w:eastAsia="Times New Roman"/>
          <w:i/>
          <w:iCs/>
          <w:sz w:val="18"/>
          <w:szCs w:val="18"/>
        </w:rPr>
        <w:t>ACS Appl. Bio Mater.</w:t>
      </w:r>
      <w:r w:rsidRPr="004F44BF">
        <w:rPr>
          <w:rFonts w:eastAsia="Times New Roman"/>
          <w:sz w:val="18"/>
          <w:szCs w:val="18"/>
        </w:rPr>
        <w:t xml:space="preserve"> </w:t>
      </w:r>
      <w:r>
        <w:rPr>
          <w:rFonts w:eastAsia="Times New Roman"/>
          <w:b/>
          <w:bCs/>
          <w:sz w:val="18"/>
          <w:szCs w:val="18"/>
        </w:rPr>
        <w:t>2022</w:t>
      </w:r>
      <w:r>
        <w:rPr>
          <w:rFonts w:eastAsia="Times New Roman"/>
          <w:bCs/>
          <w:sz w:val="18"/>
          <w:szCs w:val="18"/>
        </w:rPr>
        <w:t xml:space="preserve">, </w:t>
      </w:r>
      <w:r>
        <w:rPr>
          <w:rFonts w:eastAsia="Times New Roman"/>
          <w:bCs/>
          <w:i/>
          <w:sz w:val="18"/>
          <w:szCs w:val="18"/>
        </w:rPr>
        <w:t>5</w:t>
      </w:r>
      <w:r>
        <w:rPr>
          <w:rFonts w:eastAsia="Times New Roman"/>
          <w:bCs/>
          <w:sz w:val="18"/>
          <w:szCs w:val="18"/>
        </w:rPr>
        <w:t>, 1130–1138</w:t>
      </w:r>
      <w:r w:rsidRPr="004F44BF">
        <w:rPr>
          <w:rFonts w:eastAsia="Times New Roman"/>
          <w:sz w:val="18"/>
          <w:szCs w:val="18"/>
        </w:rPr>
        <w:t>. https://doi.org/10.1021/acsabm.1c01189.</w:t>
      </w:r>
    </w:p>
    <w:p w14:paraId="2F4F830F"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Comeau, P.; Willett, T. </w:t>
      </w:r>
      <w:proofErr w:type="spellStart"/>
      <w:r w:rsidRPr="004F44BF">
        <w:rPr>
          <w:rFonts w:eastAsia="Times New Roman"/>
          <w:sz w:val="18"/>
          <w:szCs w:val="18"/>
        </w:rPr>
        <w:t>Triethyleneglycol</w:t>
      </w:r>
      <w:proofErr w:type="spellEnd"/>
      <w:r w:rsidRPr="004F44BF">
        <w:rPr>
          <w:rFonts w:eastAsia="Times New Roman"/>
          <w:sz w:val="18"/>
          <w:szCs w:val="18"/>
        </w:rPr>
        <w:t xml:space="preserve"> </w:t>
      </w:r>
      <w:proofErr w:type="spellStart"/>
      <w:r w:rsidRPr="004F44BF">
        <w:rPr>
          <w:rFonts w:eastAsia="Times New Roman"/>
          <w:sz w:val="18"/>
          <w:szCs w:val="18"/>
        </w:rPr>
        <w:t>dimethacrylate</w:t>
      </w:r>
      <w:proofErr w:type="spellEnd"/>
      <w:r w:rsidRPr="004F44BF">
        <w:rPr>
          <w:rFonts w:eastAsia="Times New Roman"/>
          <w:sz w:val="18"/>
          <w:szCs w:val="18"/>
        </w:rPr>
        <w:t xml:space="preserve"> addition improves the 3D-printability and construct properties of a </w:t>
      </w:r>
      <w:proofErr w:type="spellStart"/>
      <w:r w:rsidRPr="004F44BF">
        <w:rPr>
          <w:rFonts w:eastAsia="Times New Roman"/>
          <w:sz w:val="18"/>
          <w:szCs w:val="18"/>
        </w:rPr>
        <w:t>GelMA-nHA</w:t>
      </w:r>
      <w:proofErr w:type="spellEnd"/>
      <w:r w:rsidRPr="004F44BF">
        <w:rPr>
          <w:rFonts w:eastAsia="Times New Roman"/>
          <w:sz w:val="18"/>
          <w:szCs w:val="18"/>
        </w:rPr>
        <w:t xml:space="preserve"> composite system towards tissue engineering applications. </w:t>
      </w:r>
      <w:r w:rsidRPr="004F44BF">
        <w:rPr>
          <w:rFonts w:eastAsia="Times New Roman"/>
          <w:i/>
          <w:iCs/>
          <w:sz w:val="18"/>
          <w:szCs w:val="18"/>
        </w:rPr>
        <w:t>Mater. Sci. Eng. C</w:t>
      </w:r>
      <w:r w:rsidRPr="004F44BF">
        <w:rPr>
          <w:rFonts w:eastAsia="Times New Roman"/>
          <w:sz w:val="18"/>
          <w:szCs w:val="18"/>
        </w:rPr>
        <w:t xml:space="preserve"> </w:t>
      </w:r>
      <w:r>
        <w:rPr>
          <w:rFonts w:eastAsia="Times New Roman"/>
          <w:b/>
          <w:bCs/>
          <w:sz w:val="18"/>
          <w:szCs w:val="18"/>
        </w:rPr>
        <w:t>2020</w:t>
      </w:r>
      <w:r>
        <w:rPr>
          <w:rFonts w:eastAsia="Times New Roman"/>
          <w:bCs/>
          <w:sz w:val="18"/>
          <w:szCs w:val="18"/>
        </w:rPr>
        <w:t xml:space="preserve">, </w:t>
      </w:r>
      <w:r>
        <w:rPr>
          <w:rFonts w:eastAsia="Times New Roman"/>
          <w:bCs/>
          <w:i/>
          <w:sz w:val="18"/>
          <w:szCs w:val="18"/>
        </w:rPr>
        <w:t>112</w:t>
      </w:r>
      <w:r>
        <w:rPr>
          <w:rFonts w:eastAsia="Times New Roman"/>
          <w:bCs/>
          <w:sz w:val="18"/>
          <w:szCs w:val="18"/>
        </w:rPr>
        <w:t>, 110937</w:t>
      </w:r>
      <w:r w:rsidRPr="004F44BF">
        <w:rPr>
          <w:rFonts w:eastAsia="Times New Roman"/>
          <w:sz w:val="18"/>
          <w:szCs w:val="18"/>
        </w:rPr>
        <w:t>. https://doi.org/10.1016/j.msec.2020.110937.</w:t>
      </w:r>
    </w:p>
    <w:p w14:paraId="1863B0BE"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Li, J.; Mooney, D.J. Designing hydrogels for controlled drug delivery. </w:t>
      </w:r>
      <w:r w:rsidRPr="004F44BF">
        <w:rPr>
          <w:rFonts w:eastAsia="Times New Roman"/>
          <w:i/>
          <w:iCs/>
          <w:sz w:val="18"/>
          <w:szCs w:val="18"/>
        </w:rPr>
        <w:t>Nat. Rev. Mater.</w:t>
      </w:r>
      <w:r w:rsidRPr="004F44BF">
        <w:rPr>
          <w:rFonts w:eastAsia="Times New Roman"/>
          <w:sz w:val="18"/>
          <w:szCs w:val="18"/>
        </w:rPr>
        <w:t xml:space="preserve"> </w:t>
      </w:r>
      <w:r>
        <w:rPr>
          <w:rFonts w:eastAsia="Times New Roman"/>
          <w:b/>
          <w:bCs/>
          <w:sz w:val="18"/>
          <w:szCs w:val="18"/>
        </w:rPr>
        <w:t>2016</w:t>
      </w:r>
      <w:r>
        <w:rPr>
          <w:rFonts w:eastAsia="Times New Roman"/>
          <w:bCs/>
          <w:sz w:val="18"/>
          <w:szCs w:val="18"/>
        </w:rPr>
        <w:t xml:space="preserve">, </w:t>
      </w:r>
      <w:r>
        <w:rPr>
          <w:rFonts w:eastAsia="Times New Roman"/>
          <w:bCs/>
          <w:i/>
          <w:sz w:val="18"/>
          <w:szCs w:val="18"/>
        </w:rPr>
        <w:t>1</w:t>
      </w:r>
      <w:r>
        <w:rPr>
          <w:rFonts w:eastAsia="Times New Roman"/>
          <w:bCs/>
          <w:sz w:val="18"/>
          <w:szCs w:val="18"/>
        </w:rPr>
        <w:t>, 16071</w:t>
      </w:r>
      <w:r w:rsidRPr="004F44BF">
        <w:rPr>
          <w:rFonts w:eastAsia="Times New Roman"/>
          <w:sz w:val="18"/>
          <w:szCs w:val="18"/>
        </w:rPr>
        <w:t>. https://doi.org/10.1038/natrevmats.2016.71.</w:t>
      </w:r>
    </w:p>
    <w:p w14:paraId="438017C7" w14:textId="77777777" w:rsidR="004803E2" w:rsidRPr="00EB64D2"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4F44BF">
        <w:rPr>
          <w:rFonts w:eastAsia="Times New Roman"/>
          <w:sz w:val="18"/>
          <w:szCs w:val="18"/>
        </w:rPr>
        <w:lastRenderedPageBreak/>
        <w:t>Lutolf</w:t>
      </w:r>
      <w:proofErr w:type="spellEnd"/>
      <w:r w:rsidRPr="004F44BF">
        <w:rPr>
          <w:rFonts w:eastAsia="Times New Roman"/>
          <w:sz w:val="18"/>
          <w:szCs w:val="18"/>
        </w:rPr>
        <w:t xml:space="preserve">, M.P.; Lauer-Fields, J.L.; </w:t>
      </w:r>
      <w:proofErr w:type="spellStart"/>
      <w:r w:rsidRPr="00EB64D2">
        <w:rPr>
          <w:rFonts w:eastAsia="Times New Roman"/>
          <w:sz w:val="18"/>
          <w:szCs w:val="18"/>
        </w:rPr>
        <w:t>Schmoekel</w:t>
      </w:r>
      <w:proofErr w:type="spellEnd"/>
      <w:r w:rsidRPr="00EB64D2">
        <w:rPr>
          <w:rFonts w:eastAsia="Times New Roman"/>
          <w:sz w:val="18"/>
          <w:szCs w:val="18"/>
        </w:rPr>
        <w:t xml:space="preserve">, H.G.; </w:t>
      </w:r>
      <w:proofErr w:type="spellStart"/>
      <w:r w:rsidRPr="00EB64D2">
        <w:rPr>
          <w:rFonts w:eastAsia="Times New Roman"/>
          <w:sz w:val="18"/>
          <w:szCs w:val="18"/>
        </w:rPr>
        <w:t>Metters</w:t>
      </w:r>
      <w:proofErr w:type="spellEnd"/>
      <w:r w:rsidRPr="00EB64D2">
        <w:rPr>
          <w:rFonts w:eastAsia="Times New Roman"/>
          <w:sz w:val="18"/>
          <w:szCs w:val="18"/>
        </w:rPr>
        <w:t xml:space="preserve">, A.T.; Weber, F.E.; Fields, G.B.; Hubbell, J.A. Synthetic matrix </w:t>
      </w:r>
      <w:proofErr w:type="spellStart"/>
      <w:r w:rsidRPr="00EB64D2">
        <w:rPr>
          <w:rFonts w:eastAsia="Times New Roman"/>
          <w:sz w:val="18"/>
          <w:szCs w:val="18"/>
        </w:rPr>
        <w:t>metallo</w:t>
      </w:r>
      <w:proofErr w:type="spellEnd"/>
      <w:r w:rsidRPr="00EB64D2">
        <w:rPr>
          <w:rFonts w:eastAsia="Times New Roman"/>
          <w:sz w:val="18"/>
          <w:szCs w:val="18"/>
        </w:rPr>
        <w:t xml:space="preserve">-proteinase-sensitive hydrogels for the conduction of tissue regeneration: Engineering cell-invasion characteristics. </w:t>
      </w:r>
      <w:r w:rsidRPr="00EB64D2">
        <w:rPr>
          <w:rFonts w:eastAsia="Times New Roman"/>
          <w:i/>
          <w:iCs/>
          <w:sz w:val="18"/>
          <w:szCs w:val="18"/>
        </w:rPr>
        <w:t>Proc. Natl. Acad. Sci. USA</w:t>
      </w:r>
      <w:r w:rsidRPr="00EB64D2">
        <w:rPr>
          <w:rFonts w:eastAsia="Times New Roman"/>
          <w:sz w:val="18"/>
          <w:szCs w:val="18"/>
        </w:rPr>
        <w:t xml:space="preserve"> </w:t>
      </w:r>
      <w:r w:rsidRPr="00EB64D2">
        <w:rPr>
          <w:rFonts w:eastAsia="Times New Roman"/>
          <w:b/>
          <w:sz w:val="18"/>
          <w:szCs w:val="18"/>
        </w:rPr>
        <w:t>2003</w:t>
      </w:r>
      <w:r w:rsidRPr="00EB64D2">
        <w:rPr>
          <w:rFonts w:eastAsia="Times New Roman"/>
          <w:sz w:val="18"/>
          <w:szCs w:val="18"/>
        </w:rPr>
        <w:t xml:space="preserve">, </w:t>
      </w:r>
      <w:r w:rsidRPr="00EB64D2">
        <w:rPr>
          <w:rFonts w:eastAsia="Times New Roman"/>
          <w:i/>
          <w:sz w:val="18"/>
          <w:szCs w:val="18"/>
        </w:rPr>
        <w:t>100</w:t>
      </w:r>
      <w:r w:rsidRPr="00EB64D2">
        <w:rPr>
          <w:rFonts w:eastAsia="Times New Roman"/>
          <w:sz w:val="18"/>
          <w:szCs w:val="18"/>
        </w:rPr>
        <w:t>, 5413–5418.</w:t>
      </w:r>
    </w:p>
    <w:p w14:paraId="241D1452"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Um, S.H.; Lee, J.B.; Park, N.; Kwon, S.Y.; </w:t>
      </w:r>
      <w:proofErr w:type="spellStart"/>
      <w:r w:rsidRPr="004F44BF">
        <w:rPr>
          <w:rFonts w:eastAsia="Times New Roman"/>
          <w:sz w:val="18"/>
          <w:szCs w:val="18"/>
        </w:rPr>
        <w:t>Umbach</w:t>
      </w:r>
      <w:proofErr w:type="spellEnd"/>
      <w:r w:rsidRPr="004F44BF">
        <w:rPr>
          <w:rFonts w:eastAsia="Times New Roman"/>
          <w:sz w:val="18"/>
          <w:szCs w:val="18"/>
        </w:rPr>
        <w:t xml:space="preserve">, C.C.; Luo, D. Enzyme-catalysed assembly of DNA hydrogel. </w:t>
      </w:r>
      <w:r w:rsidRPr="004F44BF">
        <w:rPr>
          <w:rFonts w:eastAsia="Times New Roman"/>
          <w:i/>
          <w:iCs/>
          <w:sz w:val="18"/>
          <w:szCs w:val="18"/>
        </w:rPr>
        <w:t>Nat. Mater.</w:t>
      </w:r>
      <w:r w:rsidRPr="004F44BF">
        <w:rPr>
          <w:rFonts w:eastAsia="Times New Roman"/>
          <w:sz w:val="18"/>
          <w:szCs w:val="18"/>
        </w:rPr>
        <w:t xml:space="preserve"> </w:t>
      </w:r>
      <w:r>
        <w:rPr>
          <w:rFonts w:eastAsia="Times New Roman"/>
          <w:b/>
          <w:bCs/>
          <w:sz w:val="18"/>
          <w:szCs w:val="18"/>
        </w:rPr>
        <w:t>2006</w:t>
      </w:r>
      <w:r>
        <w:rPr>
          <w:rFonts w:eastAsia="Times New Roman"/>
          <w:bCs/>
          <w:sz w:val="18"/>
          <w:szCs w:val="18"/>
        </w:rPr>
        <w:t xml:space="preserve">, </w:t>
      </w:r>
      <w:r>
        <w:rPr>
          <w:rFonts w:eastAsia="Times New Roman"/>
          <w:bCs/>
          <w:i/>
          <w:sz w:val="18"/>
          <w:szCs w:val="18"/>
        </w:rPr>
        <w:t>5</w:t>
      </w:r>
      <w:r>
        <w:rPr>
          <w:rFonts w:eastAsia="Times New Roman"/>
          <w:bCs/>
          <w:sz w:val="18"/>
          <w:szCs w:val="18"/>
        </w:rPr>
        <w:t>, 797–</w:t>
      </w:r>
      <w:r w:rsidRPr="00AB3869">
        <w:rPr>
          <w:rFonts w:eastAsia="Times New Roman"/>
          <w:bCs/>
          <w:sz w:val="18"/>
          <w:szCs w:val="18"/>
        </w:rPr>
        <w:t>801</w:t>
      </w:r>
      <w:r w:rsidRPr="00AB3869">
        <w:rPr>
          <w:rFonts w:eastAsia="Times New Roman"/>
          <w:sz w:val="18"/>
          <w:szCs w:val="18"/>
        </w:rPr>
        <w:t>. https://doi.org/10.1038/nmat1741.</w:t>
      </w:r>
    </w:p>
    <w:p w14:paraId="0AA15E44"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AB3869">
        <w:rPr>
          <w:rFonts w:eastAsia="Times New Roman"/>
          <w:sz w:val="18"/>
          <w:szCs w:val="18"/>
        </w:rPr>
        <w:t>Kuijpers</w:t>
      </w:r>
      <w:proofErr w:type="spellEnd"/>
      <w:r w:rsidRPr="00AB3869">
        <w:rPr>
          <w:rFonts w:eastAsia="Times New Roman"/>
          <w:sz w:val="18"/>
          <w:szCs w:val="18"/>
        </w:rPr>
        <w:t xml:space="preserve">, A.J.; </w:t>
      </w:r>
      <w:proofErr w:type="spellStart"/>
      <w:r w:rsidRPr="00AB3869">
        <w:rPr>
          <w:rFonts w:eastAsia="Times New Roman"/>
          <w:sz w:val="18"/>
          <w:szCs w:val="18"/>
        </w:rPr>
        <w:t>Engbers</w:t>
      </w:r>
      <w:proofErr w:type="spellEnd"/>
      <w:r w:rsidRPr="00AB3869">
        <w:rPr>
          <w:rFonts w:eastAsia="Times New Roman"/>
          <w:sz w:val="18"/>
          <w:szCs w:val="18"/>
        </w:rPr>
        <w:t xml:space="preserve">, G.H.M.; </w:t>
      </w:r>
      <w:proofErr w:type="spellStart"/>
      <w:r w:rsidRPr="00AB3869">
        <w:rPr>
          <w:rFonts w:eastAsia="Times New Roman"/>
          <w:sz w:val="18"/>
          <w:szCs w:val="18"/>
        </w:rPr>
        <w:t>Krijgsveld</w:t>
      </w:r>
      <w:proofErr w:type="spellEnd"/>
      <w:r w:rsidRPr="00AB3869">
        <w:rPr>
          <w:rFonts w:eastAsia="Times New Roman"/>
          <w:sz w:val="18"/>
          <w:szCs w:val="18"/>
        </w:rPr>
        <w:t xml:space="preserve">, J.; </w:t>
      </w:r>
      <w:proofErr w:type="spellStart"/>
      <w:r w:rsidRPr="00AB3869">
        <w:rPr>
          <w:rFonts w:eastAsia="Times New Roman"/>
          <w:sz w:val="18"/>
          <w:szCs w:val="18"/>
        </w:rPr>
        <w:t>Zaat</w:t>
      </w:r>
      <w:proofErr w:type="spellEnd"/>
      <w:r w:rsidRPr="00AB3869">
        <w:rPr>
          <w:rFonts w:eastAsia="Times New Roman"/>
          <w:sz w:val="18"/>
          <w:szCs w:val="18"/>
        </w:rPr>
        <w:t xml:space="preserve">, S.A.J.; </w:t>
      </w:r>
      <w:proofErr w:type="spellStart"/>
      <w:r w:rsidRPr="00AB3869">
        <w:rPr>
          <w:rFonts w:eastAsia="Times New Roman"/>
          <w:sz w:val="18"/>
          <w:szCs w:val="18"/>
        </w:rPr>
        <w:t>Dankert</w:t>
      </w:r>
      <w:proofErr w:type="spellEnd"/>
      <w:r w:rsidRPr="00AB3869">
        <w:rPr>
          <w:rFonts w:eastAsia="Times New Roman"/>
          <w:sz w:val="18"/>
          <w:szCs w:val="18"/>
        </w:rPr>
        <w:t xml:space="preserve">, J.; </w:t>
      </w:r>
      <w:proofErr w:type="spellStart"/>
      <w:r w:rsidRPr="00AB3869">
        <w:rPr>
          <w:rFonts w:eastAsia="Times New Roman"/>
          <w:sz w:val="18"/>
          <w:szCs w:val="18"/>
        </w:rPr>
        <w:t>Feijen</w:t>
      </w:r>
      <w:proofErr w:type="spellEnd"/>
      <w:r w:rsidRPr="00AB3869">
        <w:rPr>
          <w:rFonts w:eastAsia="Times New Roman"/>
          <w:sz w:val="18"/>
          <w:szCs w:val="18"/>
        </w:rPr>
        <w:t xml:space="preserve">, J. Cross-linking and characterisation of </w:t>
      </w:r>
      <w:proofErr w:type="spellStart"/>
      <w:r w:rsidRPr="00AB3869">
        <w:rPr>
          <w:rFonts w:eastAsia="Times New Roman"/>
          <w:sz w:val="18"/>
          <w:szCs w:val="18"/>
        </w:rPr>
        <w:t>gelatin</w:t>
      </w:r>
      <w:proofErr w:type="spellEnd"/>
      <w:r w:rsidRPr="00AB3869">
        <w:rPr>
          <w:rFonts w:eastAsia="Times New Roman"/>
          <w:sz w:val="18"/>
          <w:szCs w:val="18"/>
        </w:rPr>
        <w:t xml:space="preserve"> matrices for biomedical applications. </w:t>
      </w:r>
      <w:r w:rsidRPr="00AB3869">
        <w:rPr>
          <w:rFonts w:eastAsia="Times New Roman"/>
          <w:i/>
          <w:iCs/>
          <w:sz w:val="18"/>
          <w:szCs w:val="18"/>
        </w:rPr>
        <w:t xml:space="preserve">J. </w:t>
      </w:r>
      <w:proofErr w:type="spellStart"/>
      <w:r w:rsidRPr="00AB3869">
        <w:rPr>
          <w:rFonts w:eastAsia="Times New Roman"/>
          <w:i/>
          <w:iCs/>
          <w:sz w:val="18"/>
          <w:szCs w:val="18"/>
        </w:rPr>
        <w:t>Biomater</w:t>
      </w:r>
      <w:proofErr w:type="spellEnd"/>
      <w:r w:rsidRPr="00AB3869">
        <w:rPr>
          <w:rFonts w:eastAsia="Times New Roman"/>
          <w:i/>
          <w:iCs/>
          <w:sz w:val="18"/>
          <w:szCs w:val="18"/>
        </w:rPr>
        <w:t xml:space="preserve">. Sci. </w:t>
      </w:r>
      <w:proofErr w:type="spellStart"/>
      <w:r w:rsidRPr="00AB3869">
        <w:rPr>
          <w:rFonts w:eastAsia="Times New Roman"/>
          <w:i/>
          <w:iCs/>
          <w:sz w:val="18"/>
          <w:szCs w:val="18"/>
        </w:rPr>
        <w:t>Polym</w:t>
      </w:r>
      <w:proofErr w:type="spellEnd"/>
      <w:r w:rsidRPr="00AB3869">
        <w:rPr>
          <w:rFonts w:eastAsia="Times New Roman"/>
          <w:i/>
          <w:iCs/>
          <w:sz w:val="18"/>
          <w:szCs w:val="18"/>
        </w:rPr>
        <w:t>. Ed.</w:t>
      </w:r>
      <w:r w:rsidRPr="00AB3869">
        <w:rPr>
          <w:rFonts w:eastAsia="Times New Roman"/>
          <w:sz w:val="18"/>
          <w:szCs w:val="18"/>
        </w:rPr>
        <w:t xml:space="preserve"> </w:t>
      </w:r>
      <w:r w:rsidRPr="00AB3869">
        <w:rPr>
          <w:rFonts w:eastAsia="Times New Roman"/>
          <w:b/>
          <w:bCs/>
          <w:sz w:val="18"/>
          <w:szCs w:val="18"/>
        </w:rPr>
        <w:t>2000</w:t>
      </w:r>
      <w:r w:rsidRPr="00AB3869">
        <w:rPr>
          <w:rFonts w:eastAsia="Times New Roman"/>
          <w:bCs/>
          <w:sz w:val="18"/>
          <w:szCs w:val="18"/>
        </w:rPr>
        <w:t xml:space="preserve">, </w:t>
      </w:r>
      <w:r w:rsidRPr="00AB3869">
        <w:rPr>
          <w:rFonts w:eastAsia="Times New Roman"/>
          <w:bCs/>
          <w:i/>
          <w:sz w:val="18"/>
          <w:szCs w:val="18"/>
        </w:rPr>
        <w:t>11</w:t>
      </w:r>
      <w:r w:rsidRPr="00AB3869">
        <w:rPr>
          <w:rFonts w:eastAsia="Times New Roman"/>
          <w:bCs/>
          <w:sz w:val="18"/>
          <w:szCs w:val="18"/>
        </w:rPr>
        <w:t>, 225–243</w:t>
      </w:r>
      <w:r w:rsidRPr="00AB3869">
        <w:rPr>
          <w:rFonts w:eastAsia="Times New Roman"/>
          <w:sz w:val="18"/>
          <w:szCs w:val="18"/>
        </w:rPr>
        <w:t>. https://doi.org/10.1163/156856200743670.</w:t>
      </w:r>
    </w:p>
    <w:p w14:paraId="6BAA0D53"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AB3869">
        <w:rPr>
          <w:rFonts w:eastAsia="Times New Roman"/>
          <w:sz w:val="18"/>
          <w:szCs w:val="18"/>
        </w:rPr>
        <w:t>Skopinska-Wisniewska</w:t>
      </w:r>
      <w:proofErr w:type="spellEnd"/>
      <w:r w:rsidRPr="00AB3869">
        <w:rPr>
          <w:rFonts w:eastAsia="Times New Roman"/>
          <w:sz w:val="18"/>
          <w:szCs w:val="18"/>
        </w:rPr>
        <w:t xml:space="preserve">, J.; </w:t>
      </w:r>
      <w:proofErr w:type="spellStart"/>
      <w:r w:rsidRPr="00AB3869">
        <w:rPr>
          <w:rFonts w:eastAsia="Times New Roman"/>
          <w:sz w:val="18"/>
          <w:szCs w:val="18"/>
        </w:rPr>
        <w:t>Tuszynska</w:t>
      </w:r>
      <w:proofErr w:type="spellEnd"/>
      <w:r w:rsidRPr="00AB3869">
        <w:rPr>
          <w:rFonts w:eastAsia="Times New Roman"/>
          <w:sz w:val="18"/>
          <w:szCs w:val="18"/>
        </w:rPr>
        <w:t xml:space="preserve">, M.; </w:t>
      </w:r>
      <w:proofErr w:type="spellStart"/>
      <w:r w:rsidRPr="00AB3869">
        <w:rPr>
          <w:rFonts w:eastAsia="Times New Roman"/>
          <w:sz w:val="18"/>
          <w:szCs w:val="18"/>
        </w:rPr>
        <w:t>Olewnik-Kruszkowska</w:t>
      </w:r>
      <w:proofErr w:type="spellEnd"/>
      <w:r w:rsidRPr="00AB3869">
        <w:rPr>
          <w:rFonts w:eastAsia="Times New Roman"/>
          <w:sz w:val="18"/>
          <w:szCs w:val="18"/>
        </w:rPr>
        <w:t xml:space="preserve">, E. Comparative Study of </w:t>
      </w:r>
      <w:proofErr w:type="spellStart"/>
      <w:r w:rsidRPr="00AB3869">
        <w:rPr>
          <w:rFonts w:eastAsia="Times New Roman"/>
          <w:sz w:val="18"/>
          <w:szCs w:val="18"/>
        </w:rPr>
        <w:t>Gelatin</w:t>
      </w:r>
      <w:proofErr w:type="spellEnd"/>
      <w:r w:rsidRPr="00AB3869">
        <w:rPr>
          <w:rFonts w:eastAsia="Times New Roman"/>
          <w:sz w:val="18"/>
          <w:szCs w:val="18"/>
        </w:rPr>
        <w:t xml:space="preserve"> Hydrogels Modified by Various Cross-Linking Agents. </w:t>
      </w:r>
      <w:r w:rsidRPr="00AB3869">
        <w:rPr>
          <w:rFonts w:eastAsia="Times New Roman"/>
          <w:i/>
          <w:iCs/>
          <w:sz w:val="18"/>
          <w:szCs w:val="18"/>
        </w:rPr>
        <w:t>Materials</w:t>
      </w:r>
      <w:r w:rsidRPr="00AB3869">
        <w:rPr>
          <w:rFonts w:eastAsia="Times New Roman"/>
          <w:sz w:val="18"/>
          <w:szCs w:val="18"/>
        </w:rPr>
        <w:t xml:space="preserve"> </w:t>
      </w:r>
      <w:r w:rsidRPr="00AB3869">
        <w:rPr>
          <w:rFonts w:eastAsia="Times New Roman"/>
          <w:b/>
          <w:bCs/>
          <w:sz w:val="18"/>
          <w:szCs w:val="18"/>
        </w:rPr>
        <w:t>2021</w:t>
      </w:r>
      <w:r w:rsidRPr="00AB3869">
        <w:rPr>
          <w:rFonts w:eastAsia="Times New Roman"/>
          <w:bCs/>
          <w:sz w:val="18"/>
          <w:szCs w:val="18"/>
        </w:rPr>
        <w:t xml:space="preserve">, </w:t>
      </w:r>
      <w:r w:rsidRPr="00AB3869">
        <w:rPr>
          <w:rFonts w:eastAsia="Times New Roman"/>
          <w:bCs/>
          <w:i/>
          <w:sz w:val="18"/>
          <w:szCs w:val="18"/>
        </w:rPr>
        <w:t>14</w:t>
      </w:r>
      <w:r w:rsidRPr="00AB3869">
        <w:rPr>
          <w:rFonts w:eastAsia="Times New Roman"/>
          <w:bCs/>
          <w:sz w:val="18"/>
          <w:szCs w:val="18"/>
        </w:rPr>
        <w:t>, 396</w:t>
      </w:r>
      <w:r w:rsidRPr="00AB3869">
        <w:rPr>
          <w:rFonts w:eastAsia="Times New Roman"/>
          <w:sz w:val="18"/>
          <w:szCs w:val="18"/>
        </w:rPr>
        <w:t>. https://doi.org/10.3390/ma14020396.</w:t>
      </w:r>
    </w:p>
    <w:p w14:paraId="75CE12F3"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AB3869">
        <w:rPr>
          <w:rFonts w:eastAsia="Times New Roman"/>
          <w:sz w:val="18"/>
          <w:szCs w:val="18"/>
        </w:rPr>
        <w:t>Samorezov</w:t>
      </w:r>
      <w:proofErr w:type="spellEnd"/>
      <w:r w:rsidRPr="00AB3869">
        <w:rPr>
          <w:rFonts w:eastAsia="Times New Roman"/>
          <w:sz w:val="18"/>
          <w:szCs w:val="18"/>
        </w:rPr>
        <w:t xml:space="preserve">, J.E.; Headley, E.B.; Everett, C.R.; </w:t>
      </w:r>
      <w:proofErr w:type="spellStart"/>
      <w:r w:rsidRPr="00AB3869">
        <w:rPr>
          <w:rFonts w:eastAsia="Times New Roman"/>
          <w:sz w:val="18"/>
          <w:szCs w:val="18"/>
        </w:rPr>
        <w:t>Alsberg</w:t>
      </w:r>
      <w:proofErr w:type="spellEnd"/>
      <w:r w:rsidRPr="00AB3869">
        <w:rPr>
          <w:rFonts w:eastAsia="Times New Roman"/>
          <w:sz w:val="18"/>
          <w:szCs w:val="18"/>
        </w:rPr>
        <w:t xml:space="preserve">, E. Sustained presentation of BMP-2 enhances osteogenic differentiation of human adipose-derived stem cells in </w:t>
      </w:r>
      <w:proofErr w:type="spellStart"/>
      <w:r w:rsidRPr="00AB3869">
        <w:rPr>
          <w:rFonts w:eastAsia="Times New Roman"/>
          <w:sz w:val="18"/>
          <w:szCs w:val="18"/>
        </w:rPr>
        <w:t>gelatin</w:t>
      </w:r>
      <w:proofErr w:type="spellEnd"/>
      <w:r w:rsidRPr="00AB3869">
        <w:rPr>
          <w:rFonts w:eastAsia="Times New Roman"/>
          <w:sz w:val="18"/>
          <w:szCs w:val="18"/>
        </w:rPr>
        <w:t xml:space="preserve"> hydrogels. </w:t>
      </w:r>
      <w:r w:rsidRPr="00AB3869">
        <w:rPr>
          <w:rFonts w:eastAsia="Times New Roman"/>
          <w:i/>
          <w:iCs/>
          <w:sz w:val="18"/>
          <w:szCs w:val="18"/>
        </w:rPr>
        <w:t>J. Biomed. Mater. Res. Part A</w:t>
      </w:r>
      <w:r w:rsidRPr="00AB3869">
        <w:rPr>
          <w:rFonts w:eastAsia="Times New Roman"/>
          <w:sz w:val="18"/>
          <w:szCs w:val="18"/>
        </w:rPr>
        <w:t xml:space="preserve"> </w:t>
      </w:r>
      <w:r w:rsidRPr="00AB3869">
        <w:rPr>
          <w:rFonts w:eastAsia="Times New Roman"/>
          <w:b/>
          <w:bCs/>
          <w:sz w:val="18"/>
          <w:szCs w:val="18"/>
        </w:rPr>
        <w:t>2016</w:t>
      </w:r>
      <w:r w:rsidRPr="00AB3869">
        <w:rPr>
          <w:rFonts w:eastAsia="Times New Roman"/>
          <w:bCs/>
          <w:sz w:val="18"/>
          <w:szCs w:val="18"/>
        </w:rPr>
        <w:t xml:space="preserve">, </w:t>
      </w:r>
      <w:r w:rsidRPr="00AB3869">
        <w:rPr>
          <w:rFonts w:eastAsia="Times New Roman"/>
          <w:bCs/>
          <w:i/>
          <w:sz w:val="18"/>
          <w:szCs w:val="18"/>
        </w:rPr>
        <w:t>104</w:t>
      </w:r>
      <w:r w:rsidRPr="00AB3869">
        <w:rPr>
          <w:rFonts w:eastAsia="Times New Roman"/>
          <w:bCs/>
          <w:sz w:val="18"/>
          <w:szCs w:val="18"/>
        </w:rPr>
        <w:t>, 1387–1397</w:t>
      </w:r>
      <w:r w:rsidRPr="00AB3869">
        <w:rPr>
          <w:rFonts w:eastAsia="Times New Roman"/>
          <w:sz w:val="18"/>
          <w:szCs w:val="18"/>
        </w:rPr>
        <w:t>. https://doi.org/10.1002/jbm.a.35668.</w:t>
      </w:r>
    </w:p>
    <w:p w14:paraId="7DB9E065"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Nguyen, A.H.; McKinney, J.; Miller, T.; </w:t>
      </w:r>
      <w:proofErr w:type="spellStart"/>
      <w:r w:rsidRPr="00AB3869">
        <w:rPr>
          <w:rFonts w:eastAsia="Times New Roman"/>
          <w:sz w:val="18"/>
          <w:szCs w:val="18"/>
        </w:rPr>
        <w:t>Bongiorno</w:t>
      </w:r>
      <w:proofErr w:type="spellEnd"/>
      <w:r w:rsidRPr="00AB3869">
        <w:rPr>
          <w:rFonts w:eastAsia="Times New Roman"/>
          <w:sz w:val="18"/>
          <w:szCs w:val="18"/>
        </w:rPr>
        <w:t xml:space="preserve">, T.; McDevitt, T.C. </w:t>
      </w:r>
      <w:proofErr w:type="spellStart"/>
      <w:r w:rsidRPr="00AB3869">
        <w:rPr>
          <w:rFonts w:eastAsia="Times New Roman"/>
          <w:sz w:val="18"/>
          <w:szCs w:val="18"/>
        </w:rPr>
        <w:t>Gelatin</w:t>
      </w:r>
      <w:proofErr w:type="spellEnd"/>
      <w:r w:rsidRPr="00AB3869">
        <w:rPr>
          <w:rFonts w:eastAsia="Times New Roman"/>
          <w:sz w:val="18"/>
          <w:szCs w:val="18"/>
        </w:rPr>
        <w:t xml:space="preserve"> methacrylate microspheres for controlled growth factor release. </w:t>
      </w:r>
      <w:r w:rsidRPr="00AB3869">
        <w:rPr>
          <w:rFonts w:eastAsia="Times New Roman"/>
          <w:i/>
          <w:iCs/>
          <w:sz w:val="18"/>
          <w:szCs w:val="18"/>
        </w:rPr>
        <w:t xml:space="preserve">Acta </w:t>
      </w:r>
      <w:proofErr w:type="spellStart"/>
      <w:r w:rsidRPr="00AB3869">
        <w:rPr>
          <w:rFonts w:eastAsia="Times New Roman"/>
          <w:i/>
          <w:iCs/>
          <w:sz w:val="18"/>
          <w:szCs w:val="18"/>
        </w:rPr>
        <w:t>Biomater</w:t>
      </w:r>
      <w:proofErr w:type="spellEnd"/>
      <w:r w:rsidRPr="00AB3869">
        <w:rPr>
          <w:rFonts w:eastAsia="Times New Roman"/>
          <w:i/>
          <w:iCs/>
          <w:sz w:val="18"/>
          <w:szCs w:val="18"/>
        </w:rPr>
        <w:t>.</w:t>
      </w:r>
      <w:r w:rsidRPr="00AB3869">
        <w:rPr>
          <w:rFonts w:eastAsia="Times New Roman"/>
          <w:sz w:val="18"/>
          <w:szCs w:val="18"/>
        </w:rPr>
        <w:t xml:space="preserve"> </w:t>
      </w:r>
      <w:r w:rsidRPr="00AB3869">
        <w:rPr>
          <w:rFonts w:eastAsia="Times New Roman"/>
          <w:b/>
          <w:bCs/>
          <w:sz w:val="18"/>
          <w:szCs w:val="18"/>
        </w:rPr>
        <w:t>2014</w:t>
      </w:r>
      <w:r w:rsidRPr="00AB3869">
        <w:rPr>
          <w:rFonts w:eastAsia="Times New Roman"/>
          <w:bCs/>
          <w:sz w:val="18"/>
          <w:szCs w:val="18"/>
        </w:rPr>
        <w:t xml:space="preserve">, </w:t>
      </w:r>
      <w:r w:rsidRPr="00AB3869">
        <w:rPr>
          <w:rFonts w:eastAsia="Times New Roman"/>
          <w:bCs/>
          <w:i/>
          <w:sz w:val="18"/>
          <w:szCs w:val="18"/>
        </w:rPr>
        <w:t>13</w:t>
      </w:r>
      <w:r w:rsidRPr="00AB3869">
        <w:rPr>
          <w:rFonts w:eastAsia="Times New Roman"/>
          <w:bCs/>
          <w:sz w:val="18"/>
          <w:szCs w:val="18"/>
        </w:rPr>
        <w:t>, 101–110</w:t>
      </w:r>
      <w:r w:rsidRPr="00AB3869">
        <w:rPr>
          <w:rFonts w:eastAsia="Times New Roman"/>
          <w:sz w:val="18"/>
          <w:szCs w:val="18"/>
        </w:rPr>
        <w:t>. https://doi.org/10.1016/j.actbio.2014.11.028.</w:t>
      </w:r>
    </w:p>
    <w:p w14:paraId="5EE28717"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Chen, J.; Zhou, X.; Sun, W.; Zhang, Z.; Teng, W.; Wang, F.; Sun, H.; Zhang, W.; Wang, J.; Yu, X.; et al. Vascular Derived ECM Improves Therapeutic Index of BMP‐2 and Drives Vascularized Bone Regeneration. </w:t>
      </w:r>
      <w:r w:rsidRPr="00AB3869">
        <w:rPr>
          <w:rFonts w:eastAsia="Times New Roman"/>
          <w:i/>
          <w:iCs/>
          <w:sz w:val="18"/>
          <w:szCs w:val="18"/>
        </w:rPr>
        <w:t>Small</w:t>
      </w:r>
      <w:r w:rsidRPr="00AB3869">
        <w:rPr>
          <w:rFonts w:eastAsia="Times New Roman"/>
          <w:sz w:val="18"/>
          <w:szCs w:val="18"/>
        </w:rPr>
        <w:t xml:space="preserve"> </w:t>
      </w:r>
      <w:r w:rsidRPr="00AB3869">
        <w:rPr>
          <w:rFonts w:eastAsia="Times New Roman"/>
          <w:b/>
          <w:bCs/>
          <w:sz w:val="18"/>
          <w:szCs w:val="18"/>
        </w:rPr>
        <w:t>2022</w:t>
      </w:r>
      <w:r w:rsidRPr="00AB3869">
        <w:rPr>
          <w:rFonts w:eastAsia="Times New Roman"/>
          <w:sz w:val="18"/>
          <w:szCs w:val="18"/>
        </w:rPr>
        <w:t>, 2107991. https://doi.org/10.1002/smll.202107991.</w:t>
      </w:r>
    </w:p>
    <w:p w14:paraId="336555B2"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Wei, B.; Wang, W.; Liu, X.; Xu, C.; Wang, Y.; Wang, Z.; Xu, J.; Guan, J.; Zhou, P.; Mao, Y. </w:t>
      </w:r>
      <w:proofErr w:type="spellStart"/>
      <w:r w:rsidRPr="00AB3869">
        <w:rPr>
          <w:rFonts w:eastAsia="Times New Roman"/>
          <w:sz w:val="18"/>
          <w:szCs w:val="18"/>
        </w:rPr>
        <w:t>Gelatin</w:t>
      </w:r>
      <w:proofErr w:type="spellEnd"/>
      <w:r w:rsidRPr="00AB3869">
        <w:rPr>
          <w:rFonts w:eastAsia="Times New Roman"/>
          <w:sz w:val="18"/>
          <w:szCs w:val="18"/>
        </w:rPr>
        <w:t xml:space="preserve"> methacrylate hydrogel scaffold carrying resveratrol-loaded solid lipid nanoparticles for enhancement of osteogenic differentiation of BMSCs and effective bone regeneration. </w:t>
      </w:r>
      <w:r w:rsidRPr="00AB3869">
        <w:rPr>
          <w:rFonts w:eastAsia="Times New Roman"/>
          <w:i/>
          <w:iCs/>
          <w:sz w:val="18"/>
          <w:szCs w:val="18"/>
        </w:rPr>
        <w:t xml:space="preserve">Regen. </w:t>
      </w:r>
      <w:proofErr w:type="spellStart"/>
      <w:r w:rsidRPr="00AB3869">
        <w:rPr>
          <w:rFonts w:eastAsia="Times New Roman"/>
          <w:i/>
          <w:iCs/>
          <w:sz w:val="18"/>
          <w:szCs w:val="18"/>
        </w:rPr>
        <w:t>Biomater</w:t>
      </w:r>
      <w:proofErr w:type="spellEnd"/>
      <w:r w:rsidRPr="00AB3869">
        <w:rPr>
          <w:rFonts w:eastAsia="Times New Roman"/>
          <w:i/>
          <w:iCs/>
          <w:sz w:val="18"/>
          <w:szCs w:val="18"/>
        </w:rPr>
        <w:t>.</w:t>
      </w:r>
      <w:r w:rsidRPr="00AB3869">
        <w:rPr>
          <w:rFonts w:eastAsia="Times New Roman"/>
          <w:sz w:val="18"/>
          <w:szCs w:val="18"/>
        </w:rPr>
        <w:t xml:space="preserve"> </w:t>
      </w:r>
      <w:r w:rsidRPr="00AB3869">
        <w:rPr>
          <w:rFonts w:eastAsia="Times New Roman"/>
          <w:b/>
          <w:bCs/>
          <w:sz w:val="18"/>
          <w:szCs w:val="18"/>
        </w:rPr>
        <w:t>2021</w:t>
      </w:r>
      <w:r w:rsidRPr="00AB3869">
        <w:rPr>
          <w:rFonts w:eastAsia="Times New Roman"/>
          <w:sz w:val="18"/>
          <w:szCs w:val="18"/>
        </w:rPr>
        <w:t xml:space="preserve">, </w:t>
      </w:r>
      <w:r w:rsidRPr="00AB3869">
        <w:rPr>
          <w:rFonts w:eastAsia="Times New Roman"/>
          <w:i/>
          <w:iCs/>
          <w:sz w:val="18"/>
          <w:szCs w:val="18"/>
        </w:rPr>
        <w:t>8</w:t>
      </w:r>
      <w:r w:rsidRPr="00AB3869">
        <w:rPr>
          <w:rFonts w:eastAsia="Times New Roman"/>
          <w:sz w:val="18"/>
          <w:szCs w:val="18"/>
        </w:rPr>
        <w:t xml:space="preserve">, </w:t>
      </w:r>
      <w:r w:rsidRPr="00AB3869">
        <w:rPr>
          <w:sz w:val="18"/>
          <w:szCs w:val="18"/>
        </w:rPr>
        <w:t>rbab044.</w:t>
      </w:r>
      <w:r w:rsidRPr="00AB3869">
        <w:rPr>
          <w:rFonts w:eastAsia="Times New Roman"/>
          <w:sz w:val="18"/>
          <w:szCs w:val="18"/>
        </w:rPr>
        <w:t xml:space="preserve"> https://doi.org/10.1093/rb/rbab044.</w:t>
      </w:r>
    </w:p>
    <w:p w14:paraId="51956D6C"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Pacelli, S.; Maloney, R.; </w:t>
      </w:r>
      <w:proofErr w:type="spellStart"/>
      <w:r w:rsidRPr="00AB3869">
        <w:rPr>
          <w:rFonts w:eastAsia="Times New Roman"/>
          <w:sz w:val="18"/>
          <w:szCs w:val="18"/>
        </w:rPr>
        <w:t>Chakravarti</w:t>
      </w:r>
      <w:proofErr w:type="spellEnd"/>
      <w:r w:rsidRPr="00AB3869">
        <w:rPr>
          <w:rFonts w:eastAsia="Times New Roman"/>
          <w:sz w:val="18"/>
          <w:szCs w:val="18"/>
        </w:rPr>
        <w:t xml:space="preserve">, A.R.; Whitlow, J.; </w:t>
      </w:r>
      <w:proofErr w:type="spellStart"/>
      <w:r w:rsidRPr="00AB3869">
        <w:rPr>
          <w:rFonts w:eastAsia="Times New Roman"/>
          <w:sz w:val="18"/>
          <w:szCs w:val="18"/>
        </w:rPr>
        <w:t>Basu</w:t>
      </w:r>
      <w:proofErr w:type="spellEnd"/>
      <w:r w:rsidRPr="00AB3869">
        <w:rPr>
          <w:rFonts w:eastAsia="Times New Roman"/>
          <w:sz w:val="18"/>
          <w:szCs w:val="18"/>
        </w:rPr>
        <w:t xml:space="preserve">, S.; </w:t>
      </w:r>
      <w:proofErr w:type="spellStart"/>
      <w:r w:rsidRPr="00AB3869">
        <w:rPr>
          <w:rFonts w:eastAsia="Times New Roman"/>
          <w:sz w:val="18"/>
          <w:szCs w:val="18"/>
        </w:rPr>
        <w:t>Modaresi</w:t>
      </w:r>
      <w:proofErr w:type="spellEnd"/>
      <w:r w:rsidRPr="00AB3869">
        <w:rPr>
          <w:rFonts w:eastAsia="Times New Roman"/>
          <w:sz w:val="18"/>
          <w:szCs w:val="18"/>
        </w:rPr>
        <w:t xml:space="preserve">, S.; </w:t>
      </w:r>
      <w:proofErr w:type="spellStart"/>
      <w:r w:rsidRPr="00AB3869">
        <w:rPr>
          <w:rFonts w:eastAsia="Times New Roman"/>
          <w:sz w:val="18"/>
          <w:szCs w:val="18"/>
        </w:rPr>
        <w:t>Gehrke</w:t>
      </w:r>
      <w:proofErr w:type="spellEnd"/>
      <w:r w:rsidRPr="00AB3869">
        <w:rPr>
          <w:rFonts w:eastAsia="Times New Roman"/>
          <w:sz w:val="18"/>
          <w:szCs w:val="18"/>
        </w:rPr>
        <w:t xml:space="preserve">, S.; Paul, A. Controlling Adult Stem Cell </w:t>
      </w:r>
      <w:proofErr w:type="spellStart"/>
      <w:r w:rsidRPr="00AB3869">
        <w:rPr>
          <w:rFonts w:eastAsia="Times New Roman"/>
          <w:sz w:val="18"/>
          <w:szCs w:val="18"/>
        </w:rPr>
        <w:t>Behavior</w:t>
      </w:r>
      <w:proofErr w:type="spellEnd"/>
      <w:r w:rsidRPr="00AB3869">
        <w:rPr>
          <w:rFonts w:eastAsia="Times New Roman"/>
          <w:sz w:val="18"/>
          <w:szCs w:val="18"/>
        </w:rPr>
        <w:t xml:space="preserve"> Using </w:t>
      </w:r>
      <w:proofErr w:type="spellStart"/>
      <w:r w:rsidRPr="00AB3869">
        <w:rPr>
          <w:rFonts w:eastAsia="Times New Roman"/>
          <w:sz w:val="18"/>
          <w:szCs w:val="18"/>
        </w:rPr>
        <w:t>Nanodiamond</w:t>
      </w:r>
      <w:proofErr w:type="spellEnd"/>
      <w:r w:rsidRPr="00AB3869">
        <w:rPr>
          <w:rFonts w:eastAsia="Times New Roman"/>
          <w:sz w:val="18"/>
          <w:szCs w:val="18"/>
        </w:rPr>
        <w:t xml:space="preserve">-Reinforced Hydrogel: Implication in Bone Regeneration Therapy. </w:t>
      </w:r>
      <w:r w:rsidRPr="00AB3869">
        <w:rPr>
          <w:rFonts w:eastAsia="Times New Roman"/>
          <w:i/>
          <w:iCs/>
          <w:sz w:val="18"/>
          <w:szCs w:val="18"/>
        </w:rPr>
        <w:t>Sci. Rep.</w:t>
      </w:r>
      <w:r w:rsidRPr="00AB3869">
        <w:rPr>
          <w:rFonts w:eastAsia="Times New Roman"/>
          <w:sz w:val="18"/>
          <w:szCs w:val="18"/>
        </w:rPr>
        <w:t xml:space="preserve"> </w:t>
      </w:r>
      <w:r w:rsidRPr="00AB3869">
        <w:rPr>
          <w:rFonts w:eastAsia="Times New Roman"/>
          <w:b/>
          <w:bCs/>
          <w:sz w:val="18"/>
          <w:szCs w:val="18"/>
        </w:rPr>
        <w:t>2017</w:t>
      </w:r>
      <w:r w:rsidRPr="00AB3869">
        <w:rPr>
          <w:rFonts w:eastAsia="Times New Roman"/>
          <w:bCs/>
          <w:sz w:val="18"/>
          <w:szCs w:val="18"/>
        </w:rPr>
        <w:t xml:space="preserve">, </w:t>
      </w:r>
      <w:r w:rsidRPr="00AB3869">
        <w:rPr>
          <w:rFonts w:eastAsia="Times New Roman"/>
          <w:bCs/>
          <w:i/>
          <w:sz w:val="18"/>
          <w:szCs w:val="18"/>
        </w:rPr>
        <w:t>7</w:t>
      </w:r>
      <w:r w:rsidRPr="00AB3869">
        <w:rPr>
          <w:rFonts w:eastAsia="Times New Roman"/>
          <w:bCs/>
          <w:sz w:val="18"/>
          <w:szCs w:val="18"/>
        </w:rPr>
        <w:t>, 6577</w:t>
      </w:r>
      <w:r w:rsidRPr="00AB3869">
        <w:rPr>
          <w:rFonts w:eastAsia="Times New Roman"/>
          <w:sz w:val="18"/>
          <w:szCs w:val="18"/>
        </w:rPr>
        <w:t>. https://doi.org/10.1038/s41598-017-06028-y.</w:t>
      </w:r>
    </w:p>
    <w:p w14:paraId="6C93A751"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Van </w:t>
      </w:r>
      <w:proofErr w:type="spellStart"/>
      <w:r w:rsidRPr="00AB3869">
        <w:rPr>
          <w:rFonts w:eastAsia="Times New Roman"/>
          <w:sz w:val="18"/>
          <w:szCs w:val="18"/>
        </w:rPr>
        <w:t>Tienderen</w:t>
      </w:r>
      <w:proofErr w:type="spellEnd"/>
      <w:r w:rsidRPr="00AB3869">
        <w:rPr>
          <w:rFonts w:eastAsia="Times New Roman"/>
          <w:sz w:val="18"/>
          <w:szCs w:val="18"/>
        </w:rPr>
        <w:t xml:space="preserve">, G.S.; </w:t>
      </w:r>
      <w:proofErr w:type="spellStart"/>
      <w:r w:rsidRPr="00AB3869">
        <w:rPr>
          <w:rFonts w:eastAsia="Times New Roman"/>
          <w:sz w:val="18"/>
          <w:szCs w:val="18"/>
        </w:rPr>
        <w:t>Berthel</w:t>
      </w:r>
      <w:proofErr w:type="spellEnd"/>
      <w:r w:rsidRPr="00AB3869">
        <w:rPr>
          <w:rFonts w:eastAsia="Times New Roman"/>
          <w:sz w:val="18"/>
          <w:szCs w:val="18"/>
        </w:rPr>
        <w:t xml:space="preserve">, M.; Yue, Z.; Cook, M.; Liu, X.; </w:t>
      </w:r>
      <w:proofErr w:type="spellStart"/>
      <w:r w:rsidRPr="00AB3869">
        <w:rPr>
          <w:rFonts w:eastAsia="Times New Roman"/>
          <w:sz w:val="18"/>
          <w:szCs w:val="18"/>
        </w:rPr>
        <w:t>Beirne</w:t>
      </w:r>
      <w:proofErr w:type="spellEnd"/>
      <w:r w:rsidRPr="00AB3869">
        <w:rPr>
          <w:rFonts w:eastAsia="Times New Roman"/>
          <w:sz w:val="18"/>
          <w:szCs w:val="18"/>
        </w:rPr>
        <w:t xml:space="preserve">, S.; Wallace, G.G. Advanced fabrication approaches to controlled delivery systems for epilepsy treatment. </w:t>
      </w:r>
      <w:r w:rsidRPr="00AB3869">
        <w:rPr>
          <w:rFonts w:eastAsia="Times New Roman"/>
          <w:i/>
          <w:iCs/>
          <w:sz w:val="18"/>
          <w:szCs w:val="18"/>
        </w:rPr>
        <w:t xml:space="preserve">Expert </w:t>
      </w:r>
      <w:proofErr w:type="spellStart"/>
      <w:r w:rsidRPr="00AB3869">
        <w:rPr>
          <w:rFonts w:eastAsia="Times New Roman"/>
          <w:i/>
          <w:iCs/>
          <w:sz w:val="18"/>
          <w:szCs w:val="18"/>
        </w:rPr>
        <w:t>Opin</w:t>
      </w:r>
      <w:proofErr w:type="spellEnd"/>
      <w:r w:rsidRPr="00AB3869">
        <w:rPr>
          <w:rFonts w:eastAsia="Times New Roman"/>
          <w:i/>
          <w:iCs/>
          <w:sz w:val="18"/>
          <w:szCs w:val="18"/>
        </w:rPr>
        <w:t xml:space="preserve">. Drug </w:t>
      </w:r>
      <w:proofErr w:type="spellStart"/>
      <w:r w:rsidRPr="00AB3869">
        <w:rPr>
          <w:rFonts w:eastAsia="Times New Roman"/>
          <w:i/>
          <w:iCs/>
          <w:sz w:val="18"/>
          <w:szCs w:val="18"/>
        </w:rPr>
        <w:t>Deliv</w:t>
      </w:r>
      <w:proofErr w:type="spellEnd"/>
      <w:r w:rsidRPr="00AB3869">
        <w:rPr>
          <w:rFonts w:eastAsia="Times New Roman"/>
          <w:i/>
          <w:iCs/>
          <w:sz w:val="18"/>
          <w:szCs w:val="18"/>
        </w:rPr>
        <w:t>.</w:t>
      </w:r>
      <w:r w:rsidRPr="00AB3869">
        <w:rPr>
          <w:rFonts w:eastAsia="Times New Roman"/>
          <w:sz w:val="18"/>
          <w:szCs w:val="18"/>
        </w:rPr>
        <w:t xml:space="preserve"> </w:t>
      </w:r>
      <w:r w:rsidRPr="00AB3869">
        <w:rPr>
          <w:rFonts w:eastAsia="Times New Roman"/>
          <w:b/>
          <w:bCs/>
          <w:sz w:val="18"/>
          <w:szCs w:val="18"/>
        </w:rPr>
        <w:t>2018</w:t>
      </w:r>
      <w:r w:rsidRPr="00AB3869">
        <w:rPr>
          <w:rFonts w:eastAsia="Times New Roman"/>
          <w:bCs/>
          <w:sz w:val="18"/>
          <w:szCs w:val="18"/>
        </w:rPr>
        <w:t xml:space="preserve">, </w:t>
      </w:r>
      <w:r w:rsidRPr="00AB3869">
        <w:rPr>
          <w:rFonts w:eastAsia="Times New Roman"/>
          <w:bCs/>
          <w:i/>
          <w:sz w:val="18"/>
          <w:szCs w:val="18"/>
        </w:rPr>
        <w:t>15</w:t>
      </w:r>
      <w:r w:rsidRPr="00AB3869">
        <w:rPr>
          <w:rFonts w:eastAsia="Times New Roman"/>
          <w:bCs/>
          <w:sz w:val="18"/>
          <w:szCs w:val="18"/>
        </w:rPr>
        <w:t>, 915–925</w:t>
      </w:r>
      <w:r w:rsidRPr="00AB3869">
        <w:rPr>
          <w:rFonts w:eastAsia="Times New Roman"/>
          <w:sz w:val="18"/>
          <w:szCs w:val="18"/>
        </w:rPr>
        <w:t>. https://doi.org/10.1080/17425247.2018.1517745.</w:t>
      </w:r>
    </w:p>
    <w:p w14:paraId="7786BB85"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Xiao, L.; Lin, J.; Chen, R.; Huang, Y.; Liu, Y.; Bai, J.; Ge, G.; Shi, X.; Chen, Y.; Shi, J.; et al. Sustained Release of Melatonin from </w:t>
      </w:r>
      <w:proofErr w:type="spellStart"/>
      <w:r w:rsidRPr="00AB3869">
        <w:rPr>
          <w:rFonts w:eastAsia="Times New Roman"/>
          <w:sz w:val="18"/>
          <w:szCs w:val="18"/>
        </w:rPr>
        <w:t>GelMA</w:t>
      </w:r>
      <w:proofErr w:type="spellEnd"/>
      <w:r w:rsidRPr="00AB3869">
        <w:rPr>
          <w:rFonts w:eastAsia="Times New Roman"/>
          <w:sz w:val="18"/>
          <w:szCs w:val="18"/>
        </w:rPr>
        <w:t xml:space="preserve"> Liposomes Reduced Osteoblast Apoptosis and Improved Implant Osseointegration in Osteoporosis. </w:t>
      </w:r>
      <w:r w:rsidRPr="00AB3869">
        <w:rPr>
          <w:rFonts w:eastAsia="Times New Roman"/>
          <w:i/>
          <w:iCs/>
          <w:sz w:val="18"/>
          <w:szCs w:val="18"/>
        </w:rPr>
        <w:t xml:space="preserve">Oxidative Med. Cell. </w:t>
      </w:r>
      <w:proofErr w:type="spellStart"/>
      <w:r w:rsidRPr="00AB3869">
        <w:rPr>
          <w:rFonts w:eastAsia="Times New Roman"/>
          <w:i/>
          <w:iCs/>
          <w:sz w:val="18"/>
          <w:szCs w:val="18"/>
        </w:rPr>
        <w:t>Longev</w:t>
      </w:r>
      <w:proofErr w:type="spellEnd"/>
      <w:r w:rsidRPr="00AB3869">
        <w:rPr>
          <w:rFonts w:eastAsia="Times New Roman"/>
          <w:i/>
          <w:iCs/>
          <w:sz w:val="18"/>
          <w:szCs w:val="18"/>
        </w:rPr>
        <w:t>.</w:t>
      </w:r>
      <w:r w:rsidRPr="00AB3869">
        <w:rPr>
          <w:rFonts w:eastAsia="Times New Roman"/>
          <w:sz w:val="18"/>
          <w:szCs w:val="18"/>
        </w:rPr>
        <w:t xml:space="preserve"> </w:t>
      </w:r>
      <w:r w:rsidRPr="00AB3869">
        <w:rPr>
          <w:rFonts w:eastAsia="Times New Roman"/>
          <w:b/>
          <w:bCs/>
          <w:sz w:val="18"/>
          <w:szCs w:val="18"/>
        </w:rPr>
        <w:t>2020</w:t>
      </w:r>
      <w:r w:rsidRPr="00AB3869">
        <w:rPr>
          <w:rFonts w:eastAsia="Times New Roman"/>
          <w:bCs/>
          <w:sz w:val="18"/>
          <w:szCs w:val="18"/>
        </w:rPr>
        <w:t xml:space="preserve">, </w:t>
      </w:r>
      <w:r w:rsidRPr="00AB3869">
        <w:rPr>
          <w:rFonts w:eastAsia="Times New Roman"/>
          <w:bCs/>
          <w:i/>
          <w:sz w:val="18"/>
          <w:szCs w:val="18"/>
        </w:rPr>
        <w:t>2020</w:t>
      </w:r>
      <w:r w:rsidRPr="00AB3869">
        <w:rPr>
          <w:rFonts w:eastAsia="Times New Roman"/>
          <w:bCs/>
          <w:sz w:val="18"/>
          <w:szCs w:val="18"/>
        </w:rPr>
        <w:t>, 6797154</w:t>
      </w:r>
      <w:r w:rsidRPr="00AB3869">
        <w:rPr>
          <w:rFonts w:eastAsia="Times New Roman"/>
          <w:sz w:val="18"/>
          <w:szCs w:val="18"/>
        </w:rPr>
        <w:t>. https://doi.org/10.1155/2020/6797154.</w:t>
      </w:r>
    </w:p>
    <w:p w14:paraId="06D4C924"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Wu, W.; Dai, Y.; Liu, H.; Cheng, R.; Ni, Q.; Ye, T.; Cui, W. Local release of gemcitabine via </w:t>
      </w:r>
      <w:r w:rsidRPr="00AB3869">
        <w:rPr>
          <w:rFonts w:eastAsia="Times New Roman"/>
          <w:i/>
          <w:iCs/>
          <w:sz w:val="18"/>
          <w:szCs w:val="18"/>
        </w:rPr>
        <w:t>in situ</w:t>
      </w:r>
      <w:r w:rsidRPr="00AB3869">
        <w:rPr>
          <w:rFonts w:eastAsia="Times New Roman"/>
          <w:sz w:val="18"/>
          <w:szCs w:val="18"/>
        </w:rPr>
        <w:t xml:space="preserve"> UV-crosslinked lipid-strengthened hydrogel for inhibiting osteosarcoma. </w:t>
      </w:r>
      <w:r w:rsidRPr="00AB3869">
        <w:rPr>
          <w:rFonts w:eastAsia="Times New Roman"/>
          <w:i/>
          <w:iCs/>
          <w:sz w:val="18"/>
          <w:szCs w:val="18"/>
        </w:rPr>
        <w:t xml:space="preserve">Drug </w:t>
      </w:r>
      <w:proofErr w:type="spellStart"/>
      <w:r w:rsidRPr="00AB3869">
        <w:rPr>
          <w:rFonts w:eastAsia="Times New Roman"/>
          <w:i/>
          <w:iCs/>
          <w:sz w:val="18"/>
          <w:szCs w:val="18"/>
        </w:rPr>
        <w:t>Deliv</w:t>
      </w:r>
      <w:proofErr w:type="spellEnd"/>
      <w:r w:rsidRPr="00AB3869">
        <w:rPr>
          <w:rFonts w:eastAsia="Times New Roman"/>
          <w:i/>
          <w:iCs/>
          <w:sz w:val="18"/>
          <w:szCs w:val="18"/>
        </w:rPr>
        <w:t>.</w:t>
      </w:r>
      <w:r w:rsidRPr="00AB3869">
        <w:rPr>
          <w:rFonts w:eastAsia="Times New Roman"/>
          <w:sz w:val="18"/>
          <w:szCs w:val="18"/>
        </w:rPr>
        <w:t xml:space="preserve"> </w:t>
      </w:r>
      <w:r w:rsidRPr="00AB3869">
        <w:rPr>
          <w:rFonts w:eastAsia="Times New Roman"/>
          <w:b/>
          <w:bCs/>
          <w:sz w:val="18"/>
          <w:szCs w:val="18"/>
        </w:rPr>
        <w:t>2018</w:t>
      </w:r>
      <w:r w:rsidRPr="00AB3869">
        <w:rPr>
          <w:rFonts w:eastAsia="Times New Roman"/>
          <w:bCs/>
          <w:sz w:val="18"/>
          <w:szCs w:val="18"/>
        </w:rPr>
        <w:t xml:space="preserve">, </w:t>
      </w:r>
      <w:r w:rsidRPr="00AB3869">
        <w:rPr>
          <w:rFonts w:eastAsia="Times New Roman"/>
          <w:bCs/>
          <w:i/>
          <w:sz w:val="18"/>
          <w:szCs w:val="18"/>
        </w:rPr>
        <w:t>25</w:t>
      </w:r>
      <w:r w:rsidRPr="00AB3869">
        <w:rPr>
          <w:rFonts w:eastAsia="Times New Roman"/>
          <w:bCs/>
          <w:sz w:val="18"/>
          <w:szCs w:val="18"/>
        </w:rPr>
        <w:t>, 1642–1651</w:t>
      </w:r>
      <w:r w:rsidRPr="00AB3869">
        <w:rPr>
          <w:rFonts w:eastAsia="Times New Roman"/>
          <w:sz w:val="18"/>
          <w:szCs w:val="18"/>
        </w:rPr>
        <w:t>. https://doi.org/10.1080/10717544.2018.1497105.</w:t>
      </w:r>
    </w:p>
    <w:p w14:paraId="2C352C3E"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Kim, Y.-H.; Tabata, Y. Dual-controlled release system of drugs for bone regeneration. </w:t>
      </w:r>
      <w:r w:rsidRPr="00AB3869">
        <w:rPr>
          <w:rFonts w:eastAsia="Times New Roman"/>
          <w:i/>
          <w:iCs/>
          <w:sz w:val="18"/>
          <w:szCs w:val="18"/>
        </w:rPr>
        <w:t xml:space="preserve">Adv. Drug </w:t>
      </w:r>
      <w:proofErr w:type="spellStart"/>
      <w:r w:rsidRPr="00AB3869">
        <w:rPr>
          <w:rFonts w:eastAsia="Times New Roman"/>
          <w:i/>
          <w:iCs/>
          <w:sz w:val="18"/>
          <w:szCs w:val="18"/>
        </w:rPr>
        <w:t>Deliv</w:t>
      </w:r>
      <w:proofErr w:type="spellEnd"/>
      <w:r w:rsidRPr="00AB3869">
        <w:rPr>
          <w:rFonts w:eastAsia="Times New Roman"/>
          <w:i/>
          <w:iCs/>
          <w:sz w:val="18"/>
          <w:szCs w:val="18"/>
        </w:rPr>
        <w:t>. Rev.</w:t>
      </w:r>
      <w:r w:rsidRPr="00AB3869">
        <w:rPr>
          <w:rFonts w:eastAsia="Times New Roman"/>
          <w:sz w:val="18"/>
          <w:szCs w:val="18"/>
        </w:rPr>
        <w:t xml:space="preserve"> </w:t>
      </w:r>
      <w:r w:rsidRPr="00AB3869">
        <w:rPr>
          <w:rFonts w:eastAsia="Times New Roman"/>
          <w:b/>
          <w:bCs/>
          <w:sz w:val="18"/>
          <w:szCs w:val="18"/>
        </w:rPr>
        <w:t>2015</w:t>
      </w:r>
      <w:r w:rsidRPr="00AB3869">
        <w:rPr>
          <w:rFonts w:eastAsia="Times New Roman"/>
          <w:bCs/>
          <w:sz w:val="18"/>
          <w:szCs w:val="18"/>
        </w:rPr>
        <w:t xml:space="preserve">, </w:t>
      </w:r>
      <w:r w:rsidRPr="00AB3869">
        <w:rPr>
          <w:rFonts w:eastAsia="Times New Roman"/>
          <w:bCs/>
          <w:i/>
          <w:sz w:val="18"/>
          <w:szCs w:val="18"/>
        </w:rPr>
        <w:t>94</w:t>
      </w:r>
      <w:r w:rsidRPr="00AB3869">
        <w:rPr>
          <w:rFonts w:eastAsia="Times New Roman"/>
          <w:bCs/>
          <w:sz w:val="18"/>
          <w:szCs w:val="18"/>
        </w:rPr>
        <w:t>, 28–40</w:t>
      </w:r>
      <w:r w:rsidRPr="00AB3869">
        <w:rPr>
          <w:rFonts w:eastAsia="Times New Roman"/>
          <w:sz w:val="18"/>
          <w:szCs w:val="18"/>
        </w:rPr>
        <w:t>. https://doi.org/10.1016/j.addr.2015.06.003.</w:t>
      </w:r>
    </w:p>
    <w:p w14:paraId="0EEF08EA"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Kanczler, J.; </w:t>
      </w:r>
      <w:proofErr w:type="spellStart"/>
      <w:r w:rsidRPr="00AB3869">
        <w:rPr>
          <w:rFonts w:eastAsia="Times New Roman"/>
          <w:sz w:val="18"/>
          <w:szCs w:val="18"/>
        </w:rPr>
        <w:t>Ginty</w:t>
      </w:r>
      <w:proofErr w:type="spellEnd"/>
      <w:r w:rsidRPr="00AB3869">
        <w:rPr>
          <w:rFonts w:eastAsia="Times New Roman"/>
          <w:sz w:val="18"/>
          <w:szCs w:val="18"/>
        </w:rPr>
        <w:t xml:space="preserve">, P.J.; White, L.; Clarke, N.M.; </w:t>
      </w:r>
      <w:proofErr w:type="spellStart"/>
      <w:r w:rsidRPr="00AB3869">
        <w:rPr>
          <w:rFonts w:eastAsia="Times New Roman"/>
          <w:sz w:val="18"/>
          <w:szCs w:val="18"/>
        </w:rPr>
        <w:t>Howdle</w:t>
      </w:r>
      <w:proofErr w:type="spellEnd"/>
      <w:r w:rsidRPr="00AB3869">
        <w:rPr>
          <w:rFonts w:eastAsia="Times New Roman"/>
          <w:sz w:val="18"/>
          <w:szCs w:val="18"/>
        </w:rPr>
        <w:t xml:space="preserve">, S.M.; Shakesheff, K.; Oreffo, R. The effect of the delivery of vascular endothelial growth factor and bone morphogenic protein-2 to osteoprogenitor cell populations on bone formation. </w:t>
      </w:r>
      <w:r w:rsidRPr="00AB3869">
        <w:rPr>
          <w:rFonts w:eastAsia="Times New Roman"/>
          <w:i/>
          <w:iCs/>
          <w:sz w:val="18"/>
          <w:szCs w:val="18"/>
        </w:rPr>
        <w:t>Biomaterials</w:t>
      </w:r>
      <w:r w:rsidRPr="00AB3869">
        <w:rPr>
          <w:rFonts w:eastAsia="Times New Roman"/>
          <w:sz w:val="18"/>
          <w:szCs w:val="18"/>
        </w:rPr>
        <w:t xml:space="preserve"> </w:t>
      </w:r>
      <w:r w:rsidRPr="00AB3869">
        <w:rPr>
          <w:rFonts w:eastAsia="Times New Roman"/>
          <w:b/>
          <w:bCs/>
          <w:sz w:val="18"/>
          <w:szCs w:val="18"/>
        </w:rPr>
        <w:t>2010</w:t>
      </w:r>
      <w:r w:rsidRPr="00AB3869">
        <w:rPr>
          <w:rFonts w:eastAsia="Times New Roman"/>
          <w:bCs/>
          <w:sz w:val="18"/>
          <w:szCs w:val="18"/>
        </w:rPr>
        <w:t xml:space="preserve">, </w:t>
      </w:r>
      <w:r w:rsidRPr="00AB3869">
        <w:rPr>
          <w:rFonts w:eastAsia="Times New Roman"/>
          <w:bCs/>
          <w:i/>
          <w:sz w:val="18"/>
          <w:szCs w:val="18"/>
        </w:rPr>
        <w:t>31</w:t>
      </w:r>
      <w:r w:rsidRPr="00AB3869">
        <w:rPr>
          <w:rFonts w:eastAsia="Times New Roman"/>
          <w:bCs/>
          <w:sz w:val="18"/>
          <w:szCs w:val="18"/>
        </w:rPr>
        <w:t>, 1242–1250</w:t>
      </w:r>
      <w:r w:rsidRPr="00AB3869">
        <w:rPr>
          <w:rFonts w:eastAsia="Times New Roman"/>
          <w:sz w:val="18"/>
          <w:szCs w:val="18"/>
        </w:rPr>
        <w:t>. https://doi.org/10.1016/j.biomaterials.2009.10.059.</w:t>
      </w:r>
    </w:p>
    <w:p w14:paraId="0335A9F1"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Zhou, X.; Chen, J.; Sun, H.; Wang, F.; Wang, Y.; Zhang, Z.; Teng, W.; Ye, Y.; Huang, D.; Zhang, W.; et al. Spatiotemporal regulation of angiogenesis/osteogenesis emulating natural bone healing cascade for vascularized bone formation. </w:t>
      </w:r>
      <w:r w:rsidRPr="00AB3869">
        <w:rPr>
          <w:rFonts w:eastAsia="Times New Roman"/>
          <w:i/>
          <w:iCs/>
          <w:sz w:val="18"/>
          <w:szCs w:val="18"/>
        </w:rPr>
        <w:t>J. Nanobiotechnology</w:t>
      </w:r>
      <w:r w:rsidRPr="00AB3869">
        <w:rPr>
          <w:rFonts w:eastAsia="Times New Roman"/>
          <w:sz w:val="18"/>
          <w:szCs w:val="18"/>
        </w:rPr>
        <w:t xml:space="preserve"> </w:t>
      </w:r>
      <w:r w:rsidRPr="00AB3869">
        <w:rPr>
          <w:rFonts w:eastAsia="Times New Roman"/>
          <w:b/>
          <w:bCs/>
          <w:sz w:val="18"/>
          <w:szCs w:val="18"/>
        </w:rPr>
        <w:t>2021</w:t>
      </w:r>
      <w:r w:rsidRPr="00AB3869">
        <w:rPr>
          <w:rFonts w:eastAsia="Times New Roman"/>
          <w:bCs/>
          <w:sz w:val="18"/>
          <w:szCs w:val="18"/>
        </w:rPr>
        <w:t xml:space="preserve">, </w:t>
      </w:r>
      <w:r w:rsidRPr="00AB3869">
        <w:rPr>
          <w:rFonts w:eastAsia="Times New Roman"/>
          <w:bCs/>
          <w:i/>
          <w:sz w:val="18"/>
          <w:szCs w:val="18"/>
        </w:rPr>
        <w:t>19</w:t>
      </w:r>
      <w:r w:rsidRPr="00AB3869">
        <w:rPr>
          <w:rFonts w:eastAsia="Times New Roman"/>
          <w:bCs/>
          <w:sz w:val="18"/>
          <w:szCs w:val="18"/>
        </w:rPr>
        <w:t>, 420</w:t>
      </w:r>
      <w:r w:rsidRPr="00AB3869">
        <w:rPr>
          <w:rFonts w:eastAsia="Times New Roman"/>
          <w:sz w:val="18"/>
          <w:szCs w:val="18"/>
        </w:rPr>
        <w:t>. https://doi.org/10.1186/s12951-021-01173-z.</w:t>
      </w:r>
    </w:p>
    <w:p w14:paraId="3CC5271E"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AB3869">
        <w:rPr>
          <w:rFonts w:eastAsia="Times New Roman"/>
          <w:sz w:val="18"/>
          <w:szCs w:val="18"/>
        </w:rPr>
        <w:t>Barati</w:t>
      </w:r>
      <w:proofErr w:type="spellEnd"/>
      <w:r w:rsidRPr="004F44BF">
        <w:rPr>
          <w:rFonts w:eastAsia="Times New Roman"/>
          <w:sz w:val="18"/>
          <w:szCs w:val="18"/>
        </w:rPr>
        <w:t xml:space="preserve">, D.; Shariati, S.R.P.; </w:t>
      </w:r>
      <w:proofErr w:type="spellStart"/>
      <w:r w:rsidRPr="004F44BF">
        <w:rPr>
          <w:rFonts w:eastAsia="Times New Roman"/>
          <w:sz w:val="18"/>
          <w:szCs w:val="18"/>
        </w:rPr>
        <w:t>Moeinzadeh</w:t>
      </w:r>
      <w:proofErr w:type="spellEnd"/>
      <w:r w:rsidRPr="004F44BF">
        <w:rPr>
          <w:rFonts w:eastAsia="Times New Roman"/>
          <w:sz w:val="18"/>
          <w:szCs w:val="18"/>
        </w:rPr>
        <w:t xml:space="preserve">, S.; </w:t>
      </w:r>
      <w:proofErr w:type="spellStart"/>
      <w:r w:rsidRPr="004F44BF">
        <w:rPr>
          <w:rFonts w:eastAsia="Times New Roman"/>
          <w:sz w:val="18"/>
          <w:szCs w:val="18"/>
        </w:rPr>
        <w:t>Melero</w:t>
      </w:r>
      <w:proofErr w:type="spellEnd"/>
      <w:r w:rsidRPr="004F44BF">
        <w:rPr>
          <w:rFonts w:eastAsia="Times New Roman"/>
          <w:sz w:val="18"/>
          <w:szCs w:val="18"/>
        </w:rPr>
        <w:t xml:space="preserve">-Martin, J.M.; </w:t>
      </w:r>
      <w:proofErr w:type="spellStart"/>
      <w:r w:rsidRPr="004F44BF">
        <w:rPr>
          <w:rFonts w:eastAsia="Times New Roman"/>
          <w:sz w:val="18"/>
          <w:szCs w:val="18"/>
        </w:rPr>
        <w:t>Khademhosseini</w:t>
      </w:r>
      <w:proofErr w:type="spellEnd"/>
      <w:r w:rsidRPr="004F44BF">
        <w:rPr>
          <w:rFonts w:eastAsia="Times New Roman"/>
          <w:sz w:val="18"/>
          <w:szCs w:val="18"/>
        </w:rPr>
        <w:t xml:space="preserve">, A.; Jabbari, E. Spatiotemporal release of BMP-2 and VEGF enhances osteogenic and vasculogenic differentiation of human mesenchymal stem cells and endothelial colony-forming cells co-encapsulated in a patterned hydrogel. </w:t>
      </w:r>
      <w:r w:rsidRPr="004F44BF">
        <w:rPr>
          <w:rFonts w:eastAsia="Times New Roman"/>
          <w:i/>
          <w:iCs/>
          <w:sz w:val="18"/>
          <w:szCs w:val="18"/>
        </w:rPr>
        <w:t>J. Control. Release</w:t>
      </w:r>
      <w:r w:rsidRPr="004F44BF">
        <w:rPr>
          <w:rFonts w:eastAsia="Times New Roman"/>
          <w:sz w:val="18"/>
          <w:szCs w:val="18"/>
        </w:rPr>
        <w:t xml:space="preserve"> </w:t>
      </w:r>
      <w:r>
        <w:rPr>
          <w:rFonts w:eastAsia="Times New Roman"/>
          <w:b/>
          <w:bCs/>
          <w:sz w:val="18"/>
          <w:szCs w:val="18"/>
        </w:rPr>
        <w:t>2015</w:t>
      </w:r>
      <w:r>
        <w:rPr>
          <w:rFonts w:eastAsia="Times New Roman"/>
          <w:bCs/>
          <w:sz w:val="18"/>
          <w:szCs w:val="18"/>
        </w:rPr>
        <w:t xml:space="preserve">, </w:t>
      </w:r>
      <w:r>
        <w:rPr>
          <w:rFonts w:eastAsia="Times New Roman"/>
          <w:bCs/>
          <w:i/>
          <w:sz w:val="18"/>
          <w:szCs w:val="18"/>
        </w:rPr>
        <w:t>223</w:t>
      </w:r>
      <w:r>
        <w:rPr>
          <w:rFonts w:eastAsia="Times New Roman"/>
          <w:bCs/>
          <w:sz w:val="18"/>
          <w:szCs w:val="18"/>
        </w:rPr>
        <w:t>, 126–136</w:t>
      </w:r>
      <w:r w:rsidRPr="004F44BF">
        <w:rPr>
          <w:rFonts w:eastAsia="Times New Roman"/>
          <w:sz w:val="18"/>
          <w:szCs w:val="18"/>
        </w:rPr>
        <w:t>. https://doi.org/10.1016/j.jconrel.2015.12.031.</w:t>
      </w:r>
    </w:p>
    <w:p w14:paraId="727A75F3"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Song, J.; </w:t>
      </w:r>
      <w:proofErr w:type="spellStart"/>
      <w:r w:rsidRPr="004F44BF">
        <w:rPr>
          <w:rFonts w:eastAsia="Times New Roman"/>
          <w:sz w:val="18"/>
          <w:szCs w:val="18"/>
        </w:rPr>
        <w:t>Leeuwenburgh</w:t>
      </w:r>
      <w:proofErr w:type="spellEnd"/>
      <w:r w:rsidRPr="004F44BF">
        <w:rPr>
          <w:rFonts w:eastAsia="Times New Roman"/>
          <w:sz w:val="18"/>
          <w:szCs w:val="18"/>
        </w:rPr>
        <w:t xml:space="preserve">, S.C. Sustained delivery of biomolecules from </w:t>
      </w:r>
      <w:proofErr w:type="spellStart"/>
      <w:r w:rsidRPr="004F44BF">
        <w:rPr>
          <w:rFonts w:eastAsia="Times New Roman"/>
          <w:sz w:val="18"/>
          <w:szCs w:val="18"/>
        </w:rPr>
        <w:t>gelatin</w:t>
      </w:r>
      <w:proofErr w:type="spellEnd"/>
      <w:r w:rsidRPr="004F44BF">
        <w:rPr>
          <w:rFonts w:eastAsia="Times New Roman"/>
          <w:sz w:val="18"/>
          <w:szCs w:val="18"/>
        </w:rPr>
        <w:t xml:space="preserve"> carriers for applications in bone regeneration. </w:t>
      </w:r>
      <w:proofErr w:type="spellStart"/>
      <w:r w:rsidRPr="004F44BF">
        <w:rPr>
          <w:rFonts w:eastAsia="Times New Roman"/>
          <w:i/>
          <w:iCs/>
          <w:sz w:val="18"/>
          <w:szCs w:val="18"/>
        </w:rPr>
        <w:t>Ther</w:t>
      </w:r>
      <w:proofErr w:type="spellEnd"/>
      <w:r w:rsidRPr="004F44BF">
        <w:rPr>
          <w:rFonts w:eastAsia="Times New Roman"/>
          <w:i/>
          <w:iCs/>
          <w:sz w:val="18"/>
          <w:szCs w:val="18"/>
        </w:rPr>
        <w:t xml:space="preserve">. </w:t>
      </w:r>
      <w:proofErr w:type="spellStart"/>
      <w:r w:rsidRPr="004F44BF">
        <w:rPr>
          <w:rFonts w:eastAsia="Times New Roman"/>
          <w:i/>
          <w:iCs/>
          <w:sz w:val="18"/>
          <w:szCs w:val="18"/>
        </w:rPr>
        <w:t>Deliv</w:t>
      </w:r>
      <w:proofErr w:type="spellEnd"/>
      <w:r w:rsidRPr="004F44BF">
        <w:rPr>
          <w:rFonts w:eastAsia="Times New Roman"/>
          <w:i/>
          <w:iCs/>
          <w:sz w:val="18"/>
          <w:szCs w:val="18"/>
        </w:rPr>
        <w:t>.</w:t>
      </w:r>
      <w:r w:rsidRPr="004F44BF">
        <w:rPr>
          <w:rFonts w:eastAsia="Times New Roman"/>
          <w:sz w:val="18"/>
          <w:szCs w:val="18"/>
        </w:rPr>
        <w:t xml:space="preserve"> </w:t>
      </w:r>
      <w:r>
        <w:rPr>
          <w:rFonts w:eastAsia="Times New Roman"/>
          <w:b/>
          <w:bCs/>
          <w:sz w:val="18"/>
          <w:szCs w:val="18"/>
        </w:rPr>
        <w:t>2014</w:t>
      </w:r>
      <w:r>
        <w:rPr>
          <w:rFonts w:eastAsia="Times New Roman"/>
          <w:bCs/>
          <w:sz w:val="18"/>
          <w:szCs w:val="18"/>
        </w:rPr>
        <w:t xml:space="preserve">, </w:t>
      </w:r>
      <w:r>
        <w:rPr>
          <w:rFonts w:eastAsia="Times New Roman"/>
          <w:bCs/>
          <w:i/>
          <w:sz w:val="18"/>
          <w:szCs w:val="18"/>
        </w:rPr>
        <w:t>5</w:t>
      </w:r>
      <w:r>
        <w:rPr>
          <w:rFonts w:eastAsia="Times New Roman"/>
          <w:bCs/>
          <w:sz w:val="18"/>
          <w:szCs w:val="18"/>
        </w:rPr>
        <w:t>, 943–958</w:t>
      </w:r>
      <w:r w:rsidRPr="004F44BF">
        <w:rPr>
          <w:rFonts w:eastAsia="Times New Roman"/>
          <w:sz w:val="18"/>
          <w:szCs w:val="18"/>
        </w:rPr>
        <w:t>. https://doi.org/10.4155/tde.14.42.</w:t>
      </w:r>
    </w:p>
    <w:p w14:paraId="5F0BEA21"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Shi, M.; </w:t>
      </w:r>
      <w:proofErr w:type="spellStart"/>
      <w:r w:rsidRPr="004F44BF">
        <w:rPr>
          <w:rFonts w:eastAsia="Times New Roman"/>
          <w:sz w:val="18"/>
          <w:szCs w:val="18"/>
        </w:rPr>
        <w:t>Kretlow</w:t>
      </w:r>
      <w:proofErr w:type="spellEnd"/>
      <w:r w:rsidRPr="004F44BF">
        <w:rPr>
          <w:rFonts w:eastAsia="Times New Roman"/>
          <w:sz w:val="18"/>
          <w:szCs w:val="18"/>
        </w:rPr>
        <w:t xml:space="preserve">, J.D.; Spicer, P.P.; Tabata, Y.; </w:t>
      </w:r>
      <w:proofErr w:type="spellStart"/>
      <w:r w:rsidRPr="004F44BF">
        <w:rPr>
          <w:rFonts w:eastAsia="Times New Roman"/>
          <w:sz w:val="18"/>
          <w:szCs w:val="18"/>
        </w:rPr>
        <w:t>Demian</w:t>
      </w:r>
      <w:proofErr w:type="spellEnd"/>
      <w:r w:rsidRPr="004F44BF">
        <w:rPr>
          <w:rFonts w:eastAsia="Times New Roman"/>
          <w:sz w:val="18"/>
          <w:szCs w:val="18"/>
        </w:rPr>
        <w:t xml:space="preserve">, N.; Wong, M.E.; Kasper, F.; </w:t>
      </w:r>
      <w:proofErr w:type="spellStart"/>
      <w:r w:rsidRPr="004F44BF">
        <w:rPr>
          <w:rFonts w:eastAsia="Times New Roman"/>
          <w:sz w:val="18"/>
          <w:szCs w:val="18"/>
        </w:rPr>
        <w:t>Mikos</w:t>
      </w:r>
      <w:proofErr w:type="spellEnd"/>
      <w:r w:rsidRPr="004F44BF">
        <w:rPr>
          <w:rFonts w:eastAsia="Times New Roman"/>
          <w:sz w:val="18"/>
          <w:szCs w:val="18"/>
        </w:rPr>
        <w:t>, A.G. Antibiotic-releasing porous polymethylmethacrylate/</w:t>
      </w:r>
      <w:proofErr w:type="spellStart"/>
      <w:r w:rsidRPr="004F44BF">
        <w:rPr>
          <w:rFonts w:eastAsia="Times New Roman"/>
          <w:sz w:val="18"/>
          <w:szCs w:val="18"/>
        </w:rPr>
        <w:t>gelatin</w:t>
      </w:r>
      <w:proofErr w:type="spellEnd"/>
      <w:r w:rsidRPr="004F44BF">
        <w:rPr>
          <w:rFonts w:eastAsia="Times New Roman"/>
          <w:sz w:val="18"/>
          <w:szCs w:val="18"/>
        </w:rPr>
        <w:t xml:space="preserve">/antibiotic constructs for craniofacial tissue engineering. </w:t>
      </w:r>
      <w:r w:rsidRPr="004F44BF">
        <w:rPr>
          <w:rFonts w:eastAsia="Times New Roman"/>
          <w:i/>
          <w:iCs/>
          <w:sz w:val="18"/>
          <w:szCs w:val="18"/>
        </w:rPr>
        <w:t>J. Control. Release</w:t>
      </w:r>
      <w:r w:rsidRPr="004F44BF">
        <w:rPr>
          <w:rFonts w:eastAsia="Times New Roman"/>
          <w:sz w:val="18"/>
          <w:szCs w:val="18"/>
        </w:rPr>
        <w:t xml:space="preserve"> </w:t>
      </w:r>
      <w:r>
        <w:rPr>
          <w:rFonts w:eastAsia="Times New Roman"/>
          <w:b/>
          <w:bCs/>
          <w:sz w:val="18"/>
          <w:szCs w:val="18"/>
        </w:rPr>
        <w:t>2011</w:t>
      </w:r>
      <w:r>
        <w:rPr>
          <w:rFonts w:eastAsia="Times New Roman"/>
          <w:bCs/>
          <w:sz w:val="18"/>
          <w:szCs w:val="18"/>
        </w:rPr>
        <w:t xml:space="preserve">, </w:t>
      </w:r>
      <w:r>
        <w:rPr>
          <w:rFonts w:eastAsia="Times New Roman"/>
          <w:bCs/>
          <w:i/>
          <w:sz w:val="18"/>
          <w:szCs w:val="18"/>
        </w:rPr>
        <w:t>152</w:t>
      </w:r>
      <w:r>
        <w:rPr>
          <w:rFonts w:eastAsia="Times New Roman"/>
          <w:bCs/>
          <w:sz w:val="18"/>
          <w:szCs w:val="18"/>
        </w:rPr>
        <w:t>, 196–205</w:t>
      </w:r>
      <w:r w:rsidRPr="004F44BF">
        <w:rPr>
          <w:rFonts w:eastAsia="Times New Roman"/>
          <w:sz w:val="18"/>
          <w:szCs w:val="18"/>
        </w:rPr>
        <w:t>. https://doi.org/10.1016/j.jconrel.2011.01.029.</w:t>
      </w:r>
    </w:p>
    <w:p w14:paraId="6721E1C2"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Wu, T.; Zhang, Q.; Ren, W.; Yi, X.; Zhou, Z.; Peng, X.; Yu, X.; Lang, M. Controlled release of gentamicin from </w:t>
      </w:r>
      <w:proofErr w:type="spellStart"/>
      <w:r w:rsidRPr="004F44BF">
        <w:rPr>
          <w:rFonts w:eastAsia="Times New Roman"/>
          <w:sz w:val="18"/>
          <w:szCs w:val="18"/>
        </w:rPr>
        <w:t>gelatin</w:t>
      </w:r>
      <w:proofErr w:type="spellEnd"/>
      <w:r w:rsidRPr="004F44BF">
        <w:rPr>
          <w:rFonts w:eastAsia="Times New Roman"/>
          <w:sz w:val="18"/>
          <w:szCs w:val="18"/>
        </w:rPr>
        <w:t>/</w:t>
      </w:r>
      <w:proofErr w:type="spellStart"/>
      <w:r w:rsidRPr="004F44BF">
        <w:rPr>
          <w:rFonts w:eastAsia="Times New Roman"/>
          <w:sz w:val="18"/>
          <w:szCs w:val="18"/>
        </w:rPr>
        <w:t>genipin</w:t>
      </w:r>
      <w:proofErr w:type="spellEnd"/>
      <w:r w:rsidRPr="004F44BF">
        <w:rPr>
          <w:rFonts w:eastAsia="Times New Roman"/>
          <w:sz w:val="18"/>
          <w:szCs w:val="18"/>
        </w:rPr>
        <w:t xml:space="preserve"> reinforced beta-tricalcium phosphate scaffold for the treatment of osteomyelitis. </w:t>
      </w:r>
      <w:r w:rsidRPr="004F44BF">
        <w:rPr>
          <w:rFonts w:eastAsia="Times New Roman"/>
          <w:i/>
          <w:iCs/>
          <w:sz w:val="18"/>
          <w:szCs w:val="18"/>
        </w:rPr>
        <w:t>J. Mater. Chem. B</w:t>
      </w:r>
      <w:r w:rsidRPr="004F44BF">
        <w:rPr>
          <w:rFonts w:eastAsia="Times New Roman"/>
          <w:sz w:val="18"/>
          <w:szCs w:val="18"/>
        </w:rPr>
        <w:t xml:space="preserve"> </w:t>
      </w:r>
      <w:r>
        <w:rPr>
          <w:rFonts w:eastAsia="Times New Roman"/>
          <w:b/>
          <w:bCs/>
          <w:sz w:val="18"/>
          <w:szCs w:val="18"/>
        </w:rPr>
        <w:t>2013</w:t>
      </w:r>
      <w:r>
        <w:rPr>
          <w:rFonts w:eastAsia="Times New Roman"/>
          <w:bCs/>
          <w:sz w:val="18"/>
          <w:szCs w:val="18"/>
        </w:rPr>
        <w:t xml:space="preserve">, </w:t>
      </w:r>
      <w:r>
        <w:rPr>
          <w:rFonts w:eastAsia="Times New Roman"/>
          <w:bCs/>
          <w:i/>
          <w:sz w:val="18"/>
          <w:szCs w:val="18"/>
        </w:rPr>
        <w:t>1</w:t>
      </w:r>
      <w:r>
        <w:rPr>
          <w:rFonts w:eastAsia="Times New Roman"/>
          <w:bCs/>
          <w:sz w:val="18"/>
          <w:szCs w:val="18"/>
        </w:rPr>
        <w:t>, 3304–3313</w:t>
      </w:r>
      <w:r w:rsidRPr="004F44BF">
        <w:rPr>
          <w:rFonts w:eastAsia="Times New Roman"/>
          <w:sz w:val="18"/>
          <w:szCs w:val="18"/>
        </w:rPr>
        <w:t>. https://doi.org/10.1039/c3tb20261e.</w:t>
      </w:r>
    </w:p>
    <w:p w14:paraId="19DEAD4A"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4F44BF">
        <w:rPr>
          <w:rFonts w:eastAsia="Times New Roman"/>
          <w:sz w:val="18"/>
          <w:szCs w:val="18"/>
        </w:rPr>
        <w:t>Yaylaoğlu</w:t>
      </w:r>
      <w:proofErr w:type="spellEnd"/>
      <w:r w:rsidRPr="004F44BF">
        <w:rPr>
          <w:rFonts w:eastAsia="Times New Roman"/>
          <w:sz w:val="18"/>
          <w:szCs w:val="18"/>
        </w:rPr>
        <w:t>, M.B. Development of a calcium phosphate–</w:t>
      </w:r>
      <w:proofErr w:type="spellStart"/>
      <w:r w:rsidRPr="004F44BF">
        <w:rPr>
          <w:rFonts w:eastAsia="Times New Roman"/>
          <w:sz w:val="18"/>
          <w:szCs w:val="18"/>
        </w:rPr>
        <w:t>gelatin</w:t>
      </w:r>
      <w:proofErr w:type="spellEnd"/>
      <w:r w:rsidRPr="004F44BF">
        <w:rPr>
          <w:rFonts w:eastAsia="Times New Roman"/>
          <w:sz w:val="18"/>
          <w:szCs w:val="18"/>
        </w:rPr>
        <w:t xml:space="preserve"> composite as a bone substitute and its use in drug release. </w:t>
      </w:r>
      <w:r w:rsidRPr="004F44BF">
        <w:rPr>
          <w:rFonts w:eastAsia="Times New Roman"/>
          <w:i/>
          <w:iCs/>
          <w:sz w:val="18"/>
          <w:szCs w:val="18"/>
        </w:rPr>
        <w:t>Biomaterials</w:t>
      </w:r>
      <w:r w:rsidRPr="004F44BF">
        <w:rPr>
          <w:rFonts w:eastAsia="Times New Roman"/>
          <w:sz w:val="18"/>
          <w:szCs w:val="18"/>
        </w:rPr>
        <w:t xml:space="preserve"> </w:t>
      </w:r>
      <w:r>
        <w:rPr>
          <w:rFonts w:eastAsia="Times New Roman"/>
          <w:b/>
          <w:bCs/>
          <w:sz w:val="18"/>
          <w:szCs w:val="18"/>
        </w:rPr>
        <w:t>1999</w:t>
      </w:r>
      <w:r>
        <w:rPr>
          <w:rFonts w:eastAsia="Times New Roman"/>
          <w:bCs/>
          <w:sz w:val="18"/>
          <w:szCs w:val="18"/>
        </w:rPr>
        <w:t xml:space="preserve">, </w:t>
      </w:r>
      <w:r>
        <w:rPr>
          <w:rFonts w:eastAsia="Times New Roman"/>
          <w:bCs/>
          <w:i/>
          <w:sz w:val="18"/>
          <w:szCs w:val="18"/>
        </w:rPr>
        <w:t>20</w:t>
      </w:r>
      <w:r>
        <w:rPr>
          <w:rFonts w:eastAsia="Times New Roman"/>
          <w:bCs/>
          <w:sz w:val="18"/>
          <w:szCs w:val="18"/>
        </w:rPr>
        <w:t>, 711–719</w:t>
      </w:r>
      <w:r w:rsidRPr="004F44BF">
        <w:rPr>
          <w:rFonts w:eastAsia="Times New Roman"/>
          <w:sz w:val="18"/>
          <w:szCs w:val="18"/>
        </w:rPr>
        <w:t>. https://doi.org/10.1016/s0142-9612(98)00199-9.</w:t>
      </w:r>
    </w:p>
    <w:p w14:paraId="0EAAB33F"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Sezer, U.A.; Aksoy, E.A.; </w:t>
      </w:r>
      <w:proofErr w:type="spellStart"/>
      <w:r w:rsidRPr="004F44BF">
        <w:rPr>
          <w:rFonts w:eastAsia="Times New Roman"/>
          <w:sz w:val="18"/>
          <w:szCs w:val="18"/>
        </w:rPr>
        <w:t>Durucan</w:t>
      </w:r>
      <w:proofErr w:type="spellEnd"/>
      <w:r w:rsidRPr="004F44BF">
        <w:rPr>
          <w:rFonts w:eastAsia="Times New Roman"/>
          <w:sz w:val="18"/>
          <w:szCs w:val="18"/>
        </w:rPr>
        <w:t xml:space="preserve">, C.; </w:t>
      </w:r>
      <w:proofErr w:type="spellStart"/>
      <w:r w:rsidRPr="004F44BF">
        <w:rPr>
          <w:rFonts w:eastAsia="Times New Roman"/>
          <w:sz w:val="18"/>
          <w:szCs w:val="18"/>
        </w:rPr>
        <w:t>Hasirci</w:t>
      </w:r>
      <w:proofErr w:type="spellEnd"/>
      <w:r w:rsidRPr="004F44BF">
        <w:rPr>
          <w:rFonts w:eastAsia="Times New Roman"/>
          <w:sz w:val="18"/>
          <w:szCs w:val="18"/>
        </w:rPr>
        <w:t>, N. Gentamicin loaded β-tricalcium phosphate/</w:t>
      </w:r>
      <w:proofErr w:type="spellStart"/>
      <w:r w:rsidRPr="004F44BF">
        <w:rPr>
          <w:rFonts w:eastAsia="Times New Roman"/>
          <w:sz w:val="18"/>
          <w:szCs w:val="18"/>
        </w:rPr>
        <w:t>gelatin</w:t>
      </w:r>
      <w:proofErr w:type="spellEnd"/>
      <w:r w:rsidRPr="004F44BF">
        <w:rPr>
          <w:rFonts w:eastAsia="Times New Roman"/>
          <w:sz w:val="18"/>
          <w:szCs w:val="18"/>
        </w:rPr>
        <w:t xml:space="preserve"> composite microspheres as biodegradable bone fillers. </w:t>
      </w:r>
      <w:proofErr w:type="spellStart"/>
      <w:r w:rsidRPr="004F44BF">
        <w:rPr>
          <w:rFonts w:eastAsia="Times New Roman"/>
          <w:i/>
          <w:iCs/>
          <w:sz w:val="18"/>
          <w:szCs w:val="18"/>
        </w:rPr>
        <w:t>Polym</w:t>
      </w:r>
      <w:proofErr w:type="spellEnd"/>
      <w:r w:rsidRPr="004F44BF">
        <w:rPr>
          <w:rFonts w:eastAsia="Times New Roman"/>
          <w:i/>
          <w:iCs/>
          <w:sz w:val="18"/>
          <w:szCs w:val="18"/>
        </w:rPr>
        <w:t>. Compos.</w:t>
      </w:r>
      <w:r w:rsidRPr="004F44BF">
        <w:rPr>
          <w:rFonts w:eastAsia="Times New Roman"/>
          <w:sz w:val="18"/>
          <w:szCs w:val="18"/>
        </w:rPr>
        <w:t xml:space="preserve"> </w:t>
      </w:r>
      <w:r>
        <w:rPr>
          <w:rFonts w:eastAsia="Times New Roman"/>
          <w:b/>
          <w:bCs/>
          <w:sz w:val="18"/>
          <w:szCs w:val="18"/>
        </w:rPr>
        <w:t>2012</w:t>
      </w:r>
      <w:r>
        <w:rPr>
          <w:rFonts w:eastAsia="Times New Roman"/>
          <w:bCs/>
          <w:sz w:val="18"/>
          <w:szCs w:val="18"/>
        </w:rPr>
        <w:t xml:space="preserve">, </w:t>
      </w:r>
      <w:r>
        <w:rPr>
          <w:rFonts w:eastAsia="Times New Roman"/>
          <w:bCs/>
          <w:i/>
          <w:sz w:val="18"/>
          <w:szCs w:val="18"/>
        </w:rPr>
        <w:t>33</w:t>
      </w:r>
      <w:r>
        <w:rPr>
          <w:rFonts w:eastAsia="Times New Roman"/>
          <w:bCs/>
          <w:sz w:val="18"/>
          <w:szCs w:val="18"/>
        </w:rPr>
        <w:t>, 1644–1651</w:t>
      </w:r>
      <w:r w:rsidRPr="004F44BF">
        <w:rPr>
          <w:rFonts w:eastAsia="Times New Roman"/>
          <w:sz w:val="18"/>
          <w:szCs w:val="18"/>
        </w:rPr>
        <w:t>. https://doi.org/10.1002/pc.22288.</w:t>
      </w:r>
    </w:p>
    <w:p w14:paraId="45AB36AD"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Kim, H.-W.; Knowles, J.C.; Kim, H.-E. Porous scaffolds of </w:t>
      </w:r>
      <w:proofErr w:type="spellStart"/>
      <w:r w:rsidRPr="004F44BF">
        <w:rPr>
          <w:rFonts w:eastAsia="Times New Roman"/>
          <w:sz w:val="18"/>
          <w:szCs w:val="18"/>
        </w:rPr>
        <w:t>gelatin</w:t>
      </w:r>
      <w:proofErr w:type="spellEnd"/>
      <w:r w:rsidRPr="004F44BF">
        <w:rPr>
          <w:rFonts w:eastAsia="Times New Roman"/>
          <w:sz w:val="18"/>
          <w:szCs w:val="18"/>
        </w:rPr>
        <w:t xml:space="preserve">-hydroxyapatite nanocomposites obtained by biomimetic approach: Characterization and </w:t>
      </w:r>
      <w:r w:rsidRPr="00AB3869">
        <w:rPr>
          <w:rFonts w:eastAsia="Times New Roman"/>
          <w:sz w:val="18"/>
          <w:szCs w:val="18"/>
        </w:rPr>
        <w:t xml:space="preserve">antibiotic drug release. </w:t>
      </w:r>
      <w:r w:rsidRPr="00AB3869">
        <w:rPr>
          <w:rFonts w:eastAsia="Times New Roman"/>
          <w:i/>
          <w:iCs/>
          <w:sz w:val="18"/>
          <w:szCs w:val="18"/>
        </w:rPr>
        <w:t xml:space="preserve">J. Biomed. Mater. Res. Part B: Appl. </w:t>
      </w:r>
      <w:proofErr w:type="spellStart"/>
      <w:r w:rsidRPr="00AB3869">
        <w:rPr>
          <w:rFonts w:eastAsia="Times New Roman"/>
          <w:i/>
          <w:iCs/>
          <w:sz w:val="18"/>
          <w:szCs w:val="18"/>
        </w:rPr>
        <w:t>Biomater</w:t>
      </w:r>
      <w:proofErr w:type="spellEnd"/>
      <w:r w:rsidRPr="00AB3869">
        <w:rPr>
          <w:rFonts w:eastAsia="Times New Roman"/>
          <w:i/>
          <w:iCs/>
          <w:sz w:val="18"/>
          <w:szCs w:val="18"/>
        </w:rPr>
        <w:t>.</w:t>
      </w:r>
      <w:r w:rsidRPr="00AB3869">
        <w:rPr>
          <w:rFonts w:eastAsia="Times New Roman"/>
          <w:sz w:val="18"/>
          <w:szCs w:val="18"/>
        </w:rPr>
        <w:t xml:space="preserve"> </w:t>
      </w:r>
      <w:r w:rsidRPr="00AB3869">
        <w:rPr>
          <w:rFonts w:eastAsia="Times New Roman"/>
          <w:b/>
          <w:bCs/>
          <w:sz w:val="18"/>
          <w:szCs w:val="18"/>
        </w:rPr>
        <w:t>2005</w:t>
      </w:r>
      <w:r w:rsidRPr="00AB3869">
        <w:rPr>
          <w:rFonts w:eastAsia="Times New Roman"/>
          <w:sz w:val="18"/>
          <w:szCs w:val="18"/>
        </w:rPr>
        <w:t xml:space="preserve">, </w:t>
      </w:r>
      <w:r w:rsidRPr="00AB3869">
        <w:rPr>
          <w:rFonts w:eastAsia="Times New Roman"/>
          <w:i/>
          <w:iCs/>
          <w:sz w:val="18"/>
          <w:szCs w:val="18"/>
        </w:rPr>
        <w:t>74B</w:t>
      </w:r>
      <w:r w:rsidRPr="00AB3869">
        <w:rPr>
          <w:rFonts w:eastAsia="Times New Roman"/>
          <w:sz w:val="18"/>
          <w:szCs w:val="18"/>
        </w:rPr>
        <w:t>, 686–698. https://doi.org/10.1002/jbm.b.30236.</w:t>
      </w:r>
    </w:p>
    <w:p w14:paraId="545D6CEE"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Sezer, U.A.; Aksoy, E.A.; </w:t>
      </w:r>
      <w:proofErr w:type="spellStart"/>
      <w:r w:rsidRPr="00AB3869">
        <w:rPr>
          <w:rFonts w:eastAsia="Times New Roman"/>
          <w:sz w:val="18"/>
          <w:szCs w:val="18"/>
        </w:rPr>
        <w:t>Hasirci</w:t>
      </w:r>
      <w:proofErr w:type="spellEnd"/>
      <w:r w:rsidRPr="00AB3869">
        <w:rPr>
          <w:rFonts w:eastAsia="Times New Roman"/>
          <w:sz w:val="18"/>
          <w:szCs w:val="18"/>
        </w:rPr>
        <w:t xml:space="preserve">, V.; </w:t>
      </w:r>
      <w:proofErr w:type="spellStart"/>
      <w:r w:rsidRPr="00AB3869">
        <w:rPr>
          <w:rFonts w:eastAsia="Times New Roman"/>
          <w:sz w:val="18"/>
          <w:szCs w:val="18"/>
        </w:rPr>
        <w:t>Hasirci</w:t>
      </w:r>
      <w:proofErr w:type="spellEnd"/>
      <w:r w:rsidRPr="00AB3869">
        <w:rPr>
          <w:rFonts w:eastAsia="Times New Roman"/>
          <w:sz w:val="18"/>
          <w:szCs w:val="18"/>
        </w:rPr>
        <w:t>, N. Poly (ε‐caprolactone) composites containing gentamicin‐loaded β‐tricalcium phosphate/</w:t>
      </w:r>
      <w:proofErr w:type="spellStart"/>
      <w:r w:rsidRPr="00AB3869">
        <w:rPr>
          <w:rFonts w:eastAsia="Times New Roman"/>
          <w:sz w:val="18"/>
          <w:szCs w:val="18"/>
        </w:rPr>
        <w:t>gelatin</w:t>
      </w:r>
      <w:proofErr w:type="spellEnd"/>
      <w:r w:rsidRPr="00AB3869">
        <w:rPr>
          <w:rFonts w:eastAsia="Times New Roman"/>
          <w:sz w:val="18"/>
          <w:szCs w:val="18"/>
        </w:rPr>
        <w:t xml:space="preserve"> microspheres as bone tissue supports. </w:t>
      </w:r>
      <w:r w:rsidRPr="00AB3869">
        <w:rPr>
          <w:rFonts w:eastAsia="Times New Roman"/>
          <w:i/>
          <w:iCs/>
          <w:sz w:val="18"/>
          <w:szCs w:val="18"/>
        </w:rPr>
        <w:t xml:space="preserve">J. Appl. </w:t>
      </w:r>
      <w:proofErr w:type="spellStart"/>
      <w:r w:rsidRPr="00AB3869">
        <w:rPr>
          <w:rFonts w:eastAsia="Times New Roman"/>
          <w:i/>
          <w:iCs/>
          <w:sz w:val="18"/>
          <w:szCs w:val="18"/>
        </w:rPr>
        <w:t>Polym</w:t>
      </w:r>
      <w:proofErr w:type="spellEnd"/>
      <w:r w:rsidRPr="00AB3869">
        <w:rPr>
          <w:rFonts w:eastAsia="Times New Roman"/>
          <w:i/>
          <w:iCs/>
          <w:sz w:val="18"/>
          <w:szCs w:val="18"/>
        </w:rPr>
        <w:t>. Sci.</w:t>
      </w:r>
      <w:r w:rsidRPr="00AB3869">
        <w:rPr>
          <w:rFonts w:eastAsia="Times New Roman"/>
          <w:sz w:val="18"/>
          <w:szCs w:val="18"/>
        </w:rPr>
        <w:t xml:space="preserve"> </w:t>
      </w:r>
      <w:r w:rsidRPr="00AB3869">
        <w:rPr>
          <w:rFonts w:eastAsia="Times New Roman"/>
          <w:b/>
          <w:sz w:val="18"/>
          <w:szCs w:val="18"/>
        </w:rPr>
        <w:t>2013</w:t>
      </w:r>
      <w:r w:rsidRPr="00AB3869">
        <w:rPr>
          <w:rFonts w:eastAsia="Times New Roman"/>
          <w:sz w:val="18"/>
          <w:szCs w:val="18"/>
        </w:rPr>
        <w:t xml:space="preserve">, </w:t>
      </w:r>
      <w:r w:rsidRPr="00AB3869">
        <w:rPr>
          <w:rFonts w:eastAsia="Times New Roman"/>
          <w:i/>
          <w:sz w:val="18"/>
          <w:szCs w:val="18"/>
        </w:rPr>
        <w:t>127</w:t>
      </w:r>
      <w:r w:rsidRPr="00AB3869">
        <w:rPr>
          <w:rFonts w:eastAsia="Times New Roman"/>
          <w:sz w:val="18"/>
          <w:szCs w:val="18"/>
        </w:rPr>
        <w:t>, 2132–2139.</w:t>
      </w:r>
    </w:p>
    <w:p w14:paraId="1F28B763"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AB3869">
        <w:rPr>
          <w:rFonts w:eastAsia="Times New Roman"/>
          <w:sz w:val="18"/>
          <w:szCs w:val="18"/>
        </w:rPr>
        <w:t>Changez</w:t>
      </w:r>
      <w:proofErr w:type="spellEnd"/>
      <w:r w:rsidRPr="00AB3869">
        <w:rPr>
          <w:rFonts w:eastAsia="Times New Roman"/>
          <w:sz w:val="18"/>
          <w:szCs w:val="18"/>
        </w:rPr>
        <w:t xml:space="preserve">, M.; </w:t>
      </w:r>
      <w:proofErr w:type="spellStart"/>
      <w:r w:rsidRPr="00AB3869">
        <w:rPr>
          <w:rFonts w:eastAsia="Times New Roman"/>
          <w:sz w:val="18"/>
          <w:szCs w:val="18"/>
        </w:rPr>
        <w:t>Koul</w:t>
      </w:r>
      <w:proofErr w:type="spellEnd"/>
      <w:r w:rsidRPr="00AB3869">
        <w:rPr>
          <w:rFonts w:eastAsia="Times New Roman"/>
          <w:sz w:val="18"/>
          <w:szCs w:val="18"/>
        </w:rPr>
        <w:t xml:space="preserve">, V.; </w:t>
      </w:r>
      <w:proofErr w:type="spellStart"/>
      <w:r w:rsidRPr="00AB3869">
        <w:rPr>
          <w:rFonts w:eastAsia="Times New Roman"/>
          <w:sz w:val="18"/>
          <w:szCs w:val="18"/>
        </w:rPr>
        <w:t>Dinda</w:t>
      </w:r>
      <w:proofErr w:type="spellEnd"/>
      <w:r w:rsidRPr="00AB3869">
        <w:rPr>
          <w:rFonts w:eastAsia="Times New Roman"/>
          <w:sz w:val="18"/>
          <w:szCs w:val="18"/>
        </w:rPr>
        <w:t xml:space="preserve">, A.K. Efficacy of antibiotics-loaded interpenetrating network (IPNs) hydrogel based on </w:t>
      </w:r>
      <w:proofErr w:type="gramStart"/>
      <w:r w:rsidRPr="00AB3869">
        <w:rPr>
          <w:rFonts w:eastAsia="Times New Roman"/>
          <w:sz w:val="18"/>
          <w:szCs w:val="18"/>
        </w:rPr>
        <w:t>poly(</w:t>
      </w:r>
      <w:proofErr w:type="gramEnd"/>
      <w:r w:rsidRPr="00AB3869">
        <w:rPr>
          <w:rFonts w:eastAsia="Times New Roman"/>
          <w:sz w:val="18"/>
          <w:szCs w:val="18"/>
        </w:rPr>
        <w:t xml:space="preserve">acrylic acid) and </w:t>
      </w:r>
      <w:proofErr w:type="spellStart"/>
      <w:r w:rsidRPr="00AB3869">
        <w:rPr>
          <w:rFonts w:eastAsia="Times New Roman"/>
          <w:sz w:val="18"/>
          <w:szCs w:val="18"/>
        </w:rPr>
        <w:t>gelatin</w:t>
      </w:r>
      <w:proofErr w:type="spellEnd"/>
      <w:r w:rsidRPr="00AB3869">
        <w:rPr>
          <w:rFonts w:eastAsia="Times New Roman"/>
          <w:sz w:val="18"/>
          <w:szCs w:val="18"/>
        </w:rPr>
        <w:t xml:space="preserve"> for treatment of experimental osteomyelitis: In vivo study. </w:t>
      </w:r>
      <w:r w:rsidRPr="00AB3869">
        <w:rPr>
          <w:rFonts w:eastAsia="Times New Roman"/>
          <w:i/>
          <w:iCs/>
          <w:sz w:val="18"/>
          <w:szCs w:val="18"/>
        </w:rPr>
        <w:t>Biomaterials</w:t>
      </w:r>
      <w:r w:rsidRPr="00AB3869">
        <w:rPr>
          <w:rFonts w:eastAsia="Times New Roman"/>
          <w:sz w:val="18"/>
          <w:szCs w:val="18"/>
        </w:rPr>
        <w:t xml:space="preserve"> </w:t>
      </w:r>
      <w:r w:rsidRPr="00AB3869">
        <w:rPr>
          <w:rFonts w:eastAsia="Times New Roman"/>
          <w:b/>
          <w:bCs/>
          <w:sz w:val="18"/>
          <w:szCs w:val="18"/>
        </w:rPr>
        <w:t>2005</w:t>
      </w:r>
      <w:r w:rsidRPr="00AB3869">
        <w:rPr>
          <w:rFonts w:eastAsia="Times New Roman"/>
          <w:bCs/>
          <w:sz w:val="18"/>
          <w:szCs w:val="18"/>
        </w:rPr>
        <w:t xml:space="preserve">, </w:t>
      </w:r>
      <w:r w:rsidRPr="00AB3869">
        <w:rPr>
          <w:rFonts w:eastAsia="Times New Roman"/>
          <w:bCs/>
          <w:i/>
          <w:sz w:val="18"/>
          <w:szCs w:val="18"/>
        </w:rPr>
        <w:t>26</w:t>
      </w:r>
      <w:r w:rsidRPr="00AB3869">
        <w:rPr>
          <w:rFonts w:eastAsia="Times New Roman"/>
          <w:bCs/>
          <w:sz w:val="18"/>
          <w:szCs w:val="18"/>
        </w:rPr>
        <w:t>, 2095–2104</w:t>
      </w:r>
      <w:r w:rsidRPr="00AB3869">
        <w:rPr>
          <w:rFonts w:eastAsia="Times New Roman"/>
          <w:sz w:val="18"/>
          <w:szCs w:val="18"/>
        </w:rPr>
        <w:t>. https://doi.org/10.1016/j.biomaterials.2004.06.008.</w:t>
      </w:r>
    </w:p>
    <w:p w14:paraId="78100B08" w14:textId="77777777" w:rsidR="004803E2" w:rsidRPr="00AB3869"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Lin, J.; He, Z.; Liu, F.; Feng, J.; Huang, C.; Sun, X.; Deng, H. Hybrid Hydrogels for Synergistic Periodontal Antibacterial Treatment with Sustained Drug Release and NIR-Responsive Photothermal Effect. </w:t>
      </w:r>
      <w:r w:rsidRPr="00AB3869">
        <w:rPr>
          <w:rFonts w:eastAsia="Times New Roman"/>
          <w:i/>
          <w:iCs/>
          <w:sz w:val="18"/>
          <w:szCs w:val="18"/>
        </w:rPr>
        <w:t xml:space="preserve">Int. J. </w:t>
      </w:r>
      <w:proofErr w:type="spellStart"/>
      <w:r w:rsidRPr="00AB3869">
        <w:rPr>
          <w:rFonts w:eastAsia="Times New Roman"/>
          <w:i/>
          <w:iCs/>
          <w:sz w:val="18"/>
          <w:szCs w:val="18"/>
        </w:rPr>
        <w:t>Nanomed</w:t>
      </w:r>
      <w:proofErr w:type="spellEnd"/>
      <w:r w:rsidRPr="00AB3869">
        <w:rPr>
          <w:rFonts w:eastAsia="Times New Roman"/>
          <w:i/>
          <w:iCs/>
          <w:sz w:val="18"/>
          <w:szCs w:val="18"/>
        </w:rPr>
        <w:t>.</w:t>
      </w:r>
      <w:r w:rsidRPr="00AB3869">
        <w:rPr>
          <w:rFonts w:eastAsia="Times New Roman"/>
          <w:sz w:val="18"/>
          <w:szCs w:val="18"/>
        </w:rPr>
        <w:t xml:space="preserve"> </w:t>
      </w:r>
      <w:r w:rsidRPr="00AB3869">
        <w:rPr>
          <w:rFonts w:eastAsia="Times New Roman"/>
          <w:b/>
          <w:bCs/>
          <w:sz w:val="18"/>
          <w:szCs w:val="18"/>
        </w:rPr>
        <w:t>2020</w:t>
      </w:r>
      <w:r w:rsidRPr="00AB3869">
        <w:rPr>
          <w:rFonts w:eastAsia="Times New Roman"/>
          <w:bCs/>
          <w:sz w:val="18"/>
          <w:szCs w:val="18"/>
        </w:rPr>
        <w:t xml:space="preserve">, </w:t>
      </w:r>
      <w:r w:rsidRPr="00AB3869">
        <w:rPr>
          <w:rFonts w:eastAsia="Times New Roman"/>
          <w:bCs/>
          <w:i/>
          <w:sz w:val="18"/>
          <w:szCs w:val="18"/>
        </w:rPr>
        <w:t>15</w:t>
      </w:r>
      <w:r w:rsidRPr="00AB3869">
        <w:rPr>
          <w:rFonts w:eastAsia="Times New Roman"/>
          <w:bCs/>
          <w:sz w:val="18"/>
          <w:szCs w:val="18"/>
        </w:rPr>
        <w:t>, 5377–5387</w:t>
      </w:r>
      <w:r w:rsidRPr="00AB3869">
        <w:rPr>
          <w:rFonts w:eastAsia="Times New Roman"/>
          <w:sz w:val="18"/>
          <w:szCs w:val="18"/>
        </w:rPr>
        <w:t>. https://doi.org/10.2147/ijn.s248538.</w:t>
      </w:r>
    </w:p>
    <w:p w14:paraId="1A842958"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AB3869">
        <w:rPr>
          <w:rFonts w:eastAsia="Times New Roman"/>
          <w:sz w:val="18"/>
          <w:szCs w:val="18"/>
        </w:rPr>
        <w:t xml:space="preserve">Huang, S.; Liu, H.; Liao, K.; Hu, Q.; Guo, R.; Deng, K. Functionalized GO </w:t>
      </w:r>
      <w:proofErr w:type="spellStart"/>
      <w:r w:rsidRPr="00AB3869">
        <w:rPr>
          <w:rFonts w:eastAsia="Times New Roman"/>
          <w:sz w:val="18"/>
          <w:szCs w:val="18"/>
        </w:rPr>
        <w:t>Nanovehicles</w:t>
      </w:r>
      <w:proofErr w:type="spellEnd"/>
      <w:r w:rsidRPr="00AB3869">
        <w:rPr>
          <w:rFonts w:eastAsia="Times New Roman"/>
          <w:sz w:val="18"/>
          <w:szCs w:val="18"/>
        </w:rPr>
        <w:t xml:space="preserve"> with Nitric Oxide Release and Photothermal Activity-Based Hydrogels for Bacteria-Infected Wound Healing. </w:t>
      </w:r>
      <w:r w:rsidRPr="00AB3869">
        <w:rPr>
          <w:rFonts w:eastAsia="Times New Roman"/>
          <w:i/>
          <w:iCs/>
          <w:sz w:val="18"/>
          <w:szCs w:val="18"/>
        </w:rPr>
        <w:t>ACS Appl. Mater. Interfaces</w:t>
      </w:r>
      <w:r w:rsidRPr="00AB3869">
        <w:rPr>
          <w:rFonts w:eastAsia="Times New Roman"/>
          <w:sz w:val="18"/>
          <w:szCs w:val="18"/>
        </w:rPr>
        <w:t xml:space="preserve"> </w:t>
      </w:r>
      <w:r w:rsidRPr="00AB3869">
        <w:rPr>
          <w:rFonts w:eastAsia="Times New Roman"/>
          <w:b/>
          <w:bCs/>
          <w:sz w:val="18"/>
          <w:szCs w:val="18"/>
        </w:rPr>
        <w:t>2020</w:t>
      </w:r>
      <w:r w:rsidRPr="00AB3869">
        <w:rPr>
          <w:rFonts w:eastAsia="Times New Roman"/>
          <w:bCs/>
          <w:sz w:val="18"/>
          <w:szCs w:val="18"/>
        </w:rPr>
        <w:t xml:space="preserve">, </w:t>
      </w:r>
      <w:r w:rsidRPr="00AB3869">
        <w:rPr>
          <w:rFonts w:eastAsia="Times New Roman"/>
          <w:bCs/>
          <w:i/>
          <w:sz w:val="18"/>
          <w:szCs w:val="18"/>
        </w:rPr>
        <w:t>12</w:t>
      </w:r>
      <w:r w:rsidRPr="00AB3869">
        <w:rPr>
          <w:rFonts w:eastAsia="Times New Roman"/>
          <w:bCs/>
          <w:sz w:val="18"/>
          <w:szCs w:val="18"/>
        </w:rPr>
        <w:t>, 28952–28964</w:t>
      </w:r>
      <w:r w:rsidRPr="00AB3869">
        <w:rPr>
          <w:sz w:val="18"/>
          <w:szCs w:val="18"/>
        </w:rPr>
        <w:t>.</w:t>
      </w:r>
      <w:r w:rsidRPr="00AB3869">
        <w:rPr>
          <w:rFonts w:eastAsia="Times New Roman"/>
          <w:sz w:val="18"/>
          <w:szCs w:val="18"/>
        </w:rPr>
        <w:t xml:space="preserve"> https://doi.org/10.1021/acsami.0c04080</w:t>
      </w:r>
      <w:r w:rsidRPr="006A408B">
        <w:rPr>
          <w:rFonts w:eastAsia="Times New Roman"/>
          <w:sz w:val="18"/>
          <w:szCs w:val="18"/>
        </w:rPr>
        <w:t>.</w:t>
      </w:r>
    </w:p>
    <w:p w14:paraId="5B32DD20"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Cheng, H.; Yue, K.; </w:t>
      </w:r>
      <w:proofErr w:type="spellStart"/>
      <w:r w:rsidRPr="006A408B">
        <w:rPr>
          <w:rFonts w:eastAsia="Times New Roman"/>
          <w:sz w:val="18"/>
          <w:szCs w:val="18"/>
        </w:rPr>
        <w:t>Kazemzadeh-Narbat</w:t>
      </w:r>
      <w:proofErr w:type="spellEnd"/>
      <w:r w:rsidRPr="006A408B">
        <w:rPr>
          <w:rFonts w:eastAsia="Times New Roman"/>
          <w:sz w:val="18"/>
          <w:szCs w:val="18"/>
        </w:rPr>
        <w:t xml:space="preserve">, M.; Liu, Y.; </w:t>
      </w:r>
      <w:proofErr w:type="spellStart"/>
      <w:r w:rsidRPr="006A408B">
        <w:rPr>
          <w:rFonts w:eastAsia="Times New Roman"/>
          <w:sz w:val="18"/>
          <w:szCs w:val="18"/>
        </w:rPr>
        <w:t>Khalilpour</w:t>
      </w:r>
      <w:proofErr w:type="spellEnd"/>
      <w:r w:rsidRPr="006A408B">
        <w:rPr>
          <w:rFonts w:eastAsia="Times New Roman"/>
          <w:sz w:val="18"/>
          <w:szCs w:val="18"/>
        </w:rPr>
        <w:t xml:space="preserve">, A.; Li, B.; Zhang, Y.S.; </w:t>
      </w:r>
      <w:proofErr w:type="spellStart"/>
      <w:r w:rsidRPr="006A408B">
        <w:rPr>
          <w:rFonts w:eastAsia="Times New Roman"/>
          <w:sz w:val="18"/>
          <w:szCs w:val="18"/>
        </w:rPr>
        <w:t>Annabi</w:t>
      </w:r>
      <w:proofErr w:type="spellEnd"/>
      <w:r w:rsidRPr="006A408B">
        <w:rPr>
          <w:rFonts w:eastAsia="Times New Roman"/>
          <w:sz w:val="18"/>
          <w:szCs w:val="18"/>
        </w:rPr>
        <w:t xml:space="preserve">, N.; </w:t>
      </w:r>
      <w:proofErr w:type="spellStart"/>
      <w:r w:rsidRPr="006A408B">
        <w:rPr>
          <w:rFonts w:eastAsia="Times New Roman"/>
          <w:sz w:val="18"/>
          <w:szCs w:val="18"/>
        </w:rPr>
        <w:t>Khademhosseini</w:t>
      </w:r>
      <w:proofErr w:type="spellEnd"/>
      <w:r w:rsidRPr="006A408B">
        <w:rPr>
          <w:rFonts w:eastAsia="Times New Roman"/>
          <w:sz w:val="18"/>
          <w:szCs w:val="18"/>
        </w:rPr>
        <w:t xml:space="preserve">, A. Mussel-Inspired Multifunctional Hydrogel Coating for Prevention of Infections and Enhanced Osteogenesis. </w:t>
      </w:r>
      <w:r w:rsidRPr="006A408B">
        <w:rPr>
          <w:rFonts w:eastAsia="Times New Roman"/>
          <w:i/>
          <w:iCs/>
          <w:sz w:val="18"/>
          <w:szCs w:val="18"/>
        </w:rPr>
        <w:t>ACS Appl. Mater. Interfaces</w:t>
      </w:r>
      <w:r w:rsidRPr="006A408B">
        <w:rPr>
          <w:rFonts w:eastAsia="Times New Roman"/>
          <w:sz w:val="18"/>
          <w:szCs w:val="18"/>
        </w:rPr>
        <w:t xml:space="preserve"> </w:t>
      </w:r>
      <w:r w:rsidRPr="006A408B">
        <w:rPr>
          <w:rFonts w:eastAsia="Times New Roman"/>
          <w:b/>
          <w:bCs/>
          <w:sz w:val="18"/>
          <w:szCs w:val="18"/>
        </w:rPr>
        <w:t>2017</w:t>
      </w:r>
      <w:r w:rsidRPr="006A408B">
        <w:rPr>
          <w:rFonts w:eastAsia="Times New Roman"/>
          <w:bCs/>
          <w:sz w:val="18"/>
          <w:szCs w:val="18"/>
        </w:rPr>
        <w:t xml:space="preserve">, </w:t>
      </w:r>
      <w:r w:rsidRPr="006A408B">
        <w:rPr>
          <w:rFonts w:eastAsia="Times New Roman"/>
          <w:bCs/>
          <w:i/>
          <w:sz w:val="18"/>
          <w:szCs w:val="18"/>
        </w:rPr>
        <w:t>9</w:t>
      </w:r>
      <w:r w:rsidRPr="006A408B">
        <w:rPr>
          <w:rFonts w:eastAsia="Times New Roman"/>
          <w:bCs/>
          <w:sz w:val="18"/>
          <w:szCs w:val="18"/>
        </w:rPr>
        <w:t>, 11428–11439</w:t>
      </w:r>
      <w:r w:rsidRPr="006A408B">
        <w:rPr>
          <w:rFonts w:eastAsia="Times New Roman"/>
          <w:sz w:val="18"/>
          <w:szCs w:val="18"/>
        </w:rPr>
        <w:t>. https://doi.org/10.1021/acsami.6b16779.</w:t>
      </w:r>
    </w:p>
    <w:p w14:paraId="4959EB64"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6A408B">
        <w:rPr>
          <w:rFonts w:eastAsia="Times New Roman"/>
          <w:sz w:val="18"/>
          <w:szCs w:val="18"/>
        </w:rPr>
        <w:lastRenderedPageBreak/>
        <w:t>Ou</w:t>
      </w:r>
      <w:proofErr w:type="spellEnd"/>
      <w:r w:rsidRPr="006A408B">
        <w:rPr>
          <w:rFonts w:eastAsia="Times New Roman"/>
          <w:sz w:val="18"/>
          <w:szCs w:val="18"/>
        </w:rPr>
        <w:t xml:space="preserve">, Q.; Huang, K.; Fu, C.; Huang, C.; Fang, Y.; Gu, Z.; Wu, J.; Wang, Y. </w:t>
      </w:r>
      <w:proofErr w:type="spellStart"/>
      <w:r w:rsidRPr="006A408B">
        <w:rPr>
          <w:rFonts w:eastAsia="Times New Roman"/>
          <w:sz w:val="18"/>
          <w:szCs w:val="18"/>
        </w:rPr>
        <w:t>Nanosilver</w:t>
      </w:r>
      <w:proofErr w:type="spellEnd"/>
      <w:r w:rsidRPr="006A408B">
        <w:rPr>
          <w:rFonts w:eastAsia="Times New Roman"/>
          <w:sz w:val="18"/>
          <w:szCs w:val="18"/>
        </w:rPr>
        <w:t>-incorporated halloysite nanotubes/</w:t>
      </w:r>
      <w:proofErr w:type="spellStart"/>
      <w:r w:rsidRPr="006A408B">
        <w:rPr>
          <w:rFonts w:eastAsia="Times New Roman"/>
          <w:sz w:val="18"/>
          <w:szCs w:val="18"/>
        </w:rPr>
        <w:t>gelatin</w:t>
      </w:r>
      <w:proofErr w:type="spellEnd"/>
      <w:r w:rsidRPr="006A408B">
        <w:rPr>
          <w:rFonts w:eastAsia="Times New Roman"/>
          <w:sz w:val="18"/>
          <w:szCs w:val="18"/>
        </w:rPr>
        <w:t xml:space="preserve"> methacrylate hybrid hydrogel with </w:t>
      </w:r>
      <w:proofErr w:type="spellStart"/>
      <w:r w:rsidRPr="006A408B">
        <w:rPr>
          <w:rFonts w:eastAsia="Times New Roman"/>
          <w:sz w:val="18"/>
          <w:szCs w:val="18"/>
        </w:rPr>
        <w:t>osteoimmunomodulatory</w:t>
      </w:r>
      <w:proofErr w:type="spellEnd"/>
      <w:r w:rsidRPr="006A408B">
        <w:rPr>
          <w:rFonts w:eastAsia="Times New Roman"/>
          <w:sz w:val="18"/>
          <w:szCs w:val="18"/>
        </w:rPr>
        <w:t xml:space="preserve"> and antibacterial activity for bone regeneration. </w:t>
      </w:r>
      <w:r w:rsidRPr="006A408B">
        <w:rPr>
          <w:rFonts w:eastAsia="Times New Roman"/>
          <w:i/>
          <w:iCs/>
          <w:sz w:val="18"/>
          <w:szCs w:val="18"/>
        </w:rPr>
        <w:t>Chem. Eng. J.</w:t>
      </w:r>
      <w:r w:rsidRPr="006A408B">
        <w:rPr>
          <w:rFonts w:eastAsia="Times New Roman"/>
          <w:sz w:val="18"/>
          <w:szCs w:val="18"/>
        </w:rPr>
        <w:t xml:space="preserve"> </w:t>
      </w:r>
      <w:r w:rsidRPr="006A408B">
        <w:rPr>
          <w:rFonts w:eastAsia="Times New Roman"/>
          <w:b/>
          <w:bCs/>
          <w:sz w:val="18"/>
          <w:szCs w:val="18"/>
        </w:rPr>
        <w:t>2019</w:t>
      </w:r>
      <w:r w:rsidRPr="006A408B">
        <w:rPr>
          <w:rFonts w:eastAsia="Times New Roman"/>
          <w:bCs/>
          <w:sz w:val="18"/>
          <w:szCs w:val="18"/>
        </w:rPr>
        <w:t xml:space="preserve">, </w:t>
      </w:r>
      <w:r w:rsidRPr="006A408B">
        <w:rPr>
          <w:rFonts w:eastAsia="Times New Roman"/>
          <w:bCs/>
          <w:i/>
          <w:sz w:val="18"/>
          <w:szCs w:val="18"/>
        </w:rPr>
        <w:t>382</w:t>
      </w:r>
      <w:r w:rsidRPr="006A408B">
        <w:rPr>
          <w:rFonts w:eastAsia="Times New Roman"/>
          <w:bCs/>
          <w:sz w:val="18"/>
          <w:szCs w:val="18"/>
        </w:rPr>
        <w:t>, 123019</w:t>
      </w:r>
      <w:r w:rsidRPr="006A408B">
        <w:rPr>
          <w:rFonts w:eastAsia="Times New Roman"/>
          <w:sz w:val="18"/>
          <w:szCs w:val="18"/>
        </w:rPr>
        <w:t>. https://doi.org/10.1016/j.cej.2019.123019.</w:t>
      </w:r>
    </w:p>
    <w:p w14:paraId="19A84235"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Tao, B.; Chen, M.; Lin, C.; Lu, L.; Yuan, Z.; Liu, J.; Liao, Q.; Xia, Z.; Peng, Z.; Cai, K. Zn‐incorporation with graphene oxide on </w:t>
      </w:r>
      <w:proofErr w:type="spellStart"/>
      <w:r w:rsidRPr="006A408B">
        <w:rPr>
          <w:rFonts w:eastAsia="Times New Roman"/>
          <w:sz w:val="18"/>
          <w:szCs w:val="18"/>
        </w:rPr>
        <w:t>Ti</w:t>
      </w:r>
      <w:proofErr w:type="spellEnd"/>
      <w:r w:rsidRPr="006A408B">
        <w:rPr>
          <w:rFonts w:eastAsia="Times New Roman"/>
          <w:sz w:val="18"/>
          <w:szCs w:val="18"/>
        </w:rPr>
        <w:t xml:space="preserve"> substrates surface to improve osteogenic activity and inhibit bacterial adhesion. </w:t>
      </w:r>
      <w:r w:rsidRPr="006A408B">
        <w:rPr>
          <w:rFonts w:eastAsia="Times New Roman"/>
          <w:i/>
          <w:iCs/>
          <w:sz w:val="18"/>
          <w:szCs w:val="18"/>
        </w:rPr>
        <w:t>J. Biomed. Mater. Res. Part A</w:t>
      </w:r>
      <w:r w:rsidRPr="006A408B">
        <w:rPr>
          <w:rFonts w:eastAsia="Times New Roman"/>
          <w:sz w:val="18"/>
          <w:szCs w:val="18"/>
        </w:rPr>
        <w:t xml:space="preserve"> </w:t>
      </w:r>
      <w:r w:rsidRPr="006A408B">
        <w:rPr>
          <w:rFonts w:eastAsia="Times New Roman"/>
          <w:b/>
          <w:bCs/>
          <w:sz w:val="18"/>
          <w:szCs w:val="18"/>
        </w:rPr>
        <w:t>2019</w:t>
      </w:r>
      <w:r w:rsidRPr="006A408B">
        <w:rPr>
          <w:rFonts w:eastAsia="Times New Roman"/>
          <w:bCs/>
          <w:sz w:val="18"/>
          <w:szCs w:val="18"/>
        </w:rPr>
        <w:t xml:space="preserve">, </w:t>
      </w:r>
      <w:r w:rsidRPr="006A408B">
        <w:rPr>
          <w:rFonts w:eastAsia="Times New Roman"/>
          <w:bCs/>
          <w:i/>
          <w:sz w:val="18"/>
          <w:szCs w:val="18"/>
        </w:rPr>
        <w:t>107</w:t>
      </w:r>
      <w:r w:rsidRPr="006A408B">
        <w:rPr>
          <w:rFonts w:eastAsia="Times New Roman"/>
          <w:bCs/>
          <w:sz w:val="18"/>
          <w:szCs w:val="18"/>
        </w:rPr>
        <w:t>, 2310–2326</w:t>
      </w:r>
      <w:r w:rsidRPr="006A408B">
        <w:rPr>
          <w:rFonts w:eastAsia="Times New Roman"/>
          <w:sz w:val="18"/>
          <w:szCs w:val="18"/>
        </w:rPr>
        <w:t>. https://doi.org/10.1002/jbm.a.36740.</w:t>
      </w:r>
    </w:p>
    <w:p w14:paraId="6700ADCA"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6A408B">
        <w:rPr>
          <w:rFonts w:eastAsia="Times New Roman"/>
          <w:sz w:val="18"/>
          <w:szCs w:val="18"/>
        </w:rPr>
        <w:t>Leng</w:t>
      </w:r>
      <w:proofErr w:type="spellEnd"/>
      <w:r w:rsidRPr="006A408B">
        <w:rPr>
          <w:rFonts w:eastAsia="Times New Roman"/>
          <w:sz w:val="18"/>
          <w:szCs w:val="18"/>
        </w:rPr>
        <w:t xml:space="preserve">, J.; He, Y.; Yuan, Z.; Tao, B.; Li, K.; Lin, C.; Xu, K.; Chen, M.; Dai, L.; Li, X.; et al. </w:t>
      </w:r>
      <w:proofErr w:type="gramStart"/>
      <w:r w:rsidRPr="006A408B">
        <w:rPr>
          <w:rFonts w:eastAsia="Times New Roman"/>
          <w:sz w:val="18"/>
          <w:szCs w:val="18"/>
        </w:rPr>
        <w:t>Enzymatically-degradable</w:t>
      </w:r>
      <w:proofErr w:type="gramEnd"/>
      <w:r w:rsidRPr="006A408B">
        <w:rPr>
          <w:rFonts w:eastAsia="Times New Roman"/>
          <w:sz w:val="18"/>
          <w:szCs w:val="18"/>
        </w:rPr>
        <w:t xml:space="preserve"> hydrogel coatings on titanium for bacterial infection inhibition and enhanced soft tissue compatibility via a self-adaptive strategy. </w:t>
      </w:r>
      <w:proofErr w:type="spellStart"/>
      <w:r w:rsidRPr="006A408B">
        <w:rPr>
          <w:rFonts w:eastAsia="Times New Roman"/>
          <w:i/>
          <w:iCs/>
          <w:sz w:val="18"/>
          <w:szCs w:val="18"/>
        </w:rPr>
        <w:t>Bioact</w:t>
      </w:r>
      <w:proofErr w:type="spellEnd"/>
      <w:r w:rsidRPr="006A408B">
        <w:rPr>
          <w:rFonts w:eastAsia="Times New Roman"/>
          <w:i/>
          <w:iCs/>
          <w:sz w:val="18"/>
          <w:szCs w:val="18"/>
        </w:rPr>
        <w:t>. Mater.</w:t>
      </w:r>
      <w:r w:rsidRPr="006A408B">
        <w:rPr>
          <w:rFonts w:eastAsia="Times New Roman"/>
          <w:sz w:val="18"/>
          <w:szCs w:val="18"/>
        </w:rPr>
        <w:t xml:space="preserve"> </w:t>
      </w:r>
      <w:r w:rsidRPr="006A408B">
        <w:rPr>
          <w:rFonts w:eastAsia="Times New Roman"/>
          <w:b/>
          <w:bCs/>
          <w:sz w:val="18"/>
          <w:szCs w:val="18"/>
        </w:rPr>
        <w:t>2021</w:t>
      </w:r>
      <w:r w:rsidRPr="006A408B">
        <w:rPr>
          <w:rFonts w:eastAsia="Times New Roman"/>
          <w:bCs/>
          <w:sz w:val="18"/>
          <w:szCs w:val="18"/>
        </w:rPr>
        <w:t xml:space="preserve">, </w:t>
      </w:r>
      <w:r w:rsidRPr="006A408B">
        <w:rPr>
          <w:rFonts w:eastAsia="Times New Roman"/>
          <w:bCs/>
          <w:i/>
          <w:sz w:val="18"/>
          <w:szCs w:val="18"/>
        </w:rPr>
        <w:t>6</w:t>
      </w:r>
      <w:r w:rsidRPr="006A408B">
        <w:rPr>
          <w:rFonts w:eastAsia="Times New Roman"/>
          <w:bCs/>
          <w:sz w:val="18"/>
          <w:szCs w:val="18"/>
        </w:rPr>
        <w:t>, 4670–4685</w:t>
      </w:r>
      <w:r w:rsidRPr="006A408B">
        <w:rPr>
          <w:rFonts w:eastAsia="Times New Roman"/>
          <w:sz w:val="18"/>
          <w:szCs w:val="18"/>
        </w:rPr>
        <w:t>. https://doi.org/10.1016/j.bioactmat.2021.05.001.</w:t>
      </w:r>
    </w:p>
    <w:p w14:paraId="2018039D"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Yin, J.; Han, Q.; Zhang, J.; Liu, Y.; Gan, X.; </w:t>
      </w:r>
      <w:proofErr w:type="spellStart"/>
      <w:r w:rsidRPr="006A408B">
        <w:rPr>
          <w:rFonts w:eastAsia="Times New Roman"/>
          <w:sz w:val="18"/>
          <w:szCs w:val="18"/>
        </w:rPr>
        <w:t>Xie</w:t>
      </w:r>
      <w:proofErr w:type="spellEnd"/>
      <w:r w:rsidRPr="006A408B">
        <w:rPr>
          <w:rFonts w:eastAsia="Times New Roman"/>
          <w:sz w:val="18"/>
          <w:szCs w:val="18"/>
        </w:rPr>
        <w:t xml:space="preserve">, K.; </w:t>
      </w:r>
      <w:proofErr w:type="spellStart"/>
      <w:r w:rsidRPr="006A408B">
        <w:rPr>
          <w:rFonts w:eastAsia="Times New Roman"/>
          <w:sz w:val="18"/>
          <w:szCs w:val="18"/>
        </w:rPr>
        <w:t>Xie</w:t>
      </w:r>
      <w:proofErr w:type="spellEnd"/>
      <w:r w:rsidRPr="006A408B">
        <w:rPr>
          <w:rFonts w:eastAsia="Times New Roman"/>
          <w:sz w:val="18"/>
          <w:szCs w:val="18"/>
        </w:rPr>
        <w:t xml:space="preserve">, L.; Deng, Y. </w:t>
      </w:r>
      <w:proofErr w:type="spellStart"/>
      <w:r w:rsidRPr="006A408B">
        <w:rPr>
          <w:rFonts w:eastAsia="Times New Roman"/>
          <w:sz w:val="18"/>
          <w:szCs w:val="18"/>
        </w:rPr>
        <w:t>MXene</w:t>
      </w:r>
      <w:proofErr w:type="spellEnd"/>
      <w:r w:rsidRPr="006A408B">
        <w:rPr>
          <w:rFonts w:eastAsia="Times New Roman"/>
          <w:sz w:val="18"/>
          <w:szCs w:val="18"/>
        </w:rPr>
        <w:t xml:space="preserve">-Based Hydrogels Endow </w:t>
      </w:r>
      <w:proofErr w:type="spellStart"/>
      <w:r w:rsidRPr="006A408B">
        <w:rPr>
          <w:rFonts w:eastAsia="Times New Roman"/>
          <w:sz w:val="18"/>
          <w:szCs w:val="18"/>
        </w:rPr>
        <w:t>Polyetheretherketone</w:t>
      </w:r>
      <w:proofErr w:type="spellEnd"/>
      <w:r w:rsidRPr="006A408B">
        <w:rPr>
          <w:rFonts w:eastAsia="Times New Roman"/>
          <w:sz w:val="18"/>
          <w:szCs w:val="18"/>
        </w:rPr>
        <w:t xml:space="preserve"> with Effective </w:t>
      </w:r>
      <w:proofErr w:type="spellStart"/>
      <w:r w:rsidRPr="006A408B">
        <w:rPr>
          <w:rFonts w:eastAsia="Times New Roman"/>
          <w:sz w:val="18"/>
          <w:szCs w:val="18"/>
        </w:rPr>
        <w:t>Osteogenicity</w:t>
      </w:r>
      <w:proofErr w:type="spellEnd"/>
      <w:r w:rsidRPr="006A408B">
        <w:rPr>
          <w:rFonts w:eastAsia="Times New Roman"/>
          <w:sz w:val="18"/>
          <w:szCs w:val="18"/>
        </w:rPr>
        <w:t xml:space="preserve"> and Combined Treatment of Osteosarcoma and Bacterial Infection. </w:t>
      </w:r>
      <w:r w:rsidRPr="006A408B">
        <w:rPr>
          <w:rFonts w:eastAsia="Times New Roman"/>
          <w:i/>
          <w:iCs/>
          <w:sz w:val="18"/>
          <w:szCs w:val="18"/>
        </w:rPr>
        <w:t>ACS Appl. Mater. Interfaces</w:t>
      </w:r>
      <w:r w:rsidRPr="006A408B">
        <w:rPr>
          <w:rFonts w:eastAsia="Times New Roman"/>
          <w:sz w:val="18"/>
          <w:szCs w:val="18"/>
        </w:rPr>
        <w:t xml:space="preserve"> </w:t>
      </w:r>
      <w:r w:rsidRPr="006A408B">
        <w:rPr>
          <w:rFonts w:eastAsia="Times New Roman"/>
          <w:b/>
          <w:bCs/>
          <w:sz w:val="18"/>
          <w:szCs w:val="18"/>
        </w:rPr>
        <w:t>2020</w:t>
      </w:r>
      <w:r w:rsidRPr="006A408B">
        <w:rPr>
          <w:rFonts w:eastAsia="Times New Roman"/>
          <w:bCs/>
          <w:sz w:val="18"/>
          <w:szCs w:val="18"/>
        </w:rPr>
        <w:t xml:space="preserve">, </w:t>
      </w:r>
      <w:r w:rsidRPr="006A408B">
        <w:rPr>
          <w:rFonts w:eastAsia="Times New Roman"/>
          <w:bCs/>
          <w:i/>
          <w:sz w:val="18"/>
          <w:szCs w:val="18"/>
        </w:rPr>
        <w:t>12</w:t>
      </w:r>
      <w:r w:rsidRPr="006A408B">
        <w:rPr>
          <w:rFonts w:eastAsia="Times New Roman"/>
          <w:bCs/>
          <w:sz w:val="18"/>
          <w:szCs w:val="18"/>
        </w:rPr>
        <w:t>, 45891–45903</w:t>
      </w:r>
      <w:r w:rsidRPr="006A408B">
        <w:rPr>
          <w:rFonts w:eastAsia="Times New Roman"/>
          <w:sz w:val="18"/>
          <w:szCs w:val="18"/>
        </w:rPr>
        <w:t>. https://doi.org/10.1021/acsami.0c14752.</w:t>
      </w:r>
    </w:p>
    <w:p w14:paraId="544F60B8"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Stevens, K.R.; </w:t>
      </w:r>
      <w:proofErr w:type="spellStart"/>
      <w:r w:rsidRPr="006A408B">
        <w:rPr>
          <w:rFonts w:eastAsia="Times New Roman"/>
          <w:sz w:val="18"/>
          <w:szCs w:val="18"/>
        </w:rPr>
        <w:t>Einerson</w:t>
      </w:r>
      <w:proofErr w:type="spellEnd"/>
      <w:r w:rsidRPr="006A408B">
        <w:rPr>
          <w:rFonts w:eastAsia="Times New Roman"/>
          <w:sz w:val="18"/>
          <w:szCs w:val="18"/>
        </w:rPr>
        <w:t xml:space="preserve">, N.J.; </w:t>
      </w:r>
      <w:proofErr w:type="spellStart"/>
      <w:r w:rsidRPr="006A408B">
        <w:rPr>
          <w:rFonts w:eastAsia="Times New Roman"/>
          <w:sz w:val="18"/>
          <w:szCs w:val="18"/>
        </w:rPr>
        <w:t>Burmania</w:t>
      </w:r>
      <w:proofErr w:type="spellEnd"/>
      <w:r w:rsidRPr="006A408B">
        <w:rPr>
          <w:rFonts w:eastAsia="Times New Roman"/>
          <w:sz w:val="18"/>
          <w:szCs w:val="18"/>
        </w:rPr>
        <w:t xml:space="preserve">, J.A.; Kao, W.J. In vivo biocompatibility of </w:t>
      </w:r>
      <w:proofErr w:type="spellStart"/>
      <w:r w:rsidRPr="006A408B">
        <w:rPr>
          <w:rFonts w:eastAsia="Times New Roman"/>
          <w:sz w:val="18"/>
          <w:szCs w:val="18"/>
        </w:rPr>
        <w:t>gelatin</w:t>
      </w:r>
      <w:proofErr w:type="spellEnd"/>
      <w:r w:rsidRPr="006A408B">
        <w:rPr>
          <w:rFonts w:eastAsia="Times New Roman"/>
          <w:sz w:val="18"/>
          <w:szCs w:val="18"/>
        </w:rPr>
        <w:t xml:space="preserve">-based hydrogels and interpenetrating networks. </w:t>
      </w:r>
      <w:r w:rsidRPr="006A408B">
        <w:rPr>
          <w:rFonts w:eastAsia="Times New Roman"/>
          <w:i/>
          <w:iCs/>
          <w:sz w:val="18"/>
          <w:szCs w:val="18"/>
        </w:rPr>
        <w:t xml:space="preserve">J. </w:t>
      </w:r>
      <w:proofErr w:type="spellStart"/>
      <w:r w:rsidRPr="006A408B">
        <w:rPr>
          <w:rFonts w:eastAsia="Times New Roman"/>
          <w:i/>
          <w:iCs/>
          <w:sz w:val="18"/>
          <w:szCs w:val="18"/>
        </w:rPr>
        <w:t>Biomater</w:t>
      </w:r>
      <w:proofErr w:type="spellEnd"/>
      <w:r w:rsidRPr="006A408B">
        <w:rPr>
          <w:rFonts w:eastAsia="Times New Roman"/>
          <w:i/>
          <w:iCs/>
          <w:sz w:val="18"/>
          <w:szCs w:val="18"/>
        </w:rPr>
        <w:t xml:space="preserve">. Sci. </w:t>
      </w:r>
      <w:proofErr w:type="spellStart"/>
      <w:r w:rsidRPr="006A408B">
        <w:rPr>
          <w:rFonts w:eastAsia="Times New Roman"/>
          <w:i/>
          <w:iCs/>
          <w:sz w:val="18"/>
          <w:szCs w:val="18"/>
        </w:rPr>
        <w:t>Polym</w:t>
      </w:r>
      <w:proofErr w:type="spellEnd"/>
      <w:r w:rsidRPr="006A408B">
        <w:rPr>
          <w:rFonts w:eastAsia="Times New Roman"/>
          <w:i/>
          <w:iCs/>
          <w:sz w:val="18"/>
          <w:szCs w:val="18"/>
        </w:rPr>
        <w:t>. Ed.</w:t>
      </w:r>
      <w:r w:rsidRPr="006A408B">
        <w:rPr>
          <w:rFonts w:eastAsia="Times New Roman"/>
          <w:sz w:val="18"/>
          <w:szCs w:val="18"/>
        </w:rPr>
        <w:t xml:space="preserve"> </w:t>
      </w:r>
      <w:r w:rsidRPr="006A408B">
        <w:rPr>
          <w:rFonts w:eastAsia="Times New Roman"/>
          <w:b/>
          <w:bCs/>
          <w:sz w:val="18"/>
          <w:szCs w:val="18"/>
        </w:rPr>
        <w:t>2002</w:t>
      </w:r>
      <w:r w:rsidRPr="006A408B">
        <w:rPr>
          <w:rFonts w:eastAsia="Times New Roman"/>
          <w:bCs/>
          <w:sz w:val="18"/>
          <w:szCs w:val="18"/>
        </w:rPr>
        <w:t xml:space="preserve">, </w:t>
      </w:r>
      <w:r w:rsidRPr="006A408B">
        <w:rPr>
          <w:rFonts w:eastAsia="Times New Roman"/>
          <w:bCs/>
          <w:i/>
          <w:sz w:val="18"/>
          <w:szCs w:val="18"/>
        </w:rPr>
        <w:t>13</w:t>
      </w:r>
      <w:r w:rsidRPr="006A408B">
        <w:rPr>
          <w:rFonts w:eastAsia="Times New Roman"/>
          <w:bCs/>
          <w:sz w:val="18"/>
          <w:szCs w:val="18"/>
        </w:rPr>
        <w:t>, 1353–1366</w:t>
      </w:r>
      <w:r w:rsidRPr="006A408B">
        <w:rPr>
          <w:rFonts w:eastAsia="Times New Roman"/>
          <w:sz w:val="18"/>
          <w:szCs w:val="18"/>
        </w:rPr>
        <w:t>. https://doi.org/10.1163/15685620260449741.</w:t>
      </w:r>
    </w:p>
    <w:p w14:paraId="043E6603"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Yu, T.; Wang, W.; </w:t>
      </w:r>
      <w:proofErr w:type="spellStart"/>
      <w:r w:rsidRPr="004F44BF">
        <w:rPr>
          <w:rFonts w:eastAsia="Times New Roman"/>
          <w:sz w:val="18"/>
          <w:szCs w:val="18"/>
        </w:rPr>
        <w:t>Nassiri</w:t>
      </w:r>
      <w:proofErr w:type="spellEnd"/>
      <w:r w:rsidRPr="004F44BF">
        <w:rPr>
          <w:rFonts w:eastAsia="Times New Roman"/>
          <w:sz w:val="18"/>
          <w:szCs w:val="18"/>
        </w:rPr>
        <w:t xml:space="preserve">, S.; Kwan, T.; Dang, C.; Liu, W.; Spiller, K.L. Temporal and spatial distribution of macrophage phenotype markers in the foreign body response to glutaraldehyde-crosslinked </w:t>
      </w:r>
      <w:proofErr w:type="spellStart"/>
      <w:r w:rsidRPr="004F44BF">
        <w:rPr>
          <w:rFonts w:eastAsia="Times New Roman"/>
          <w:sz w:val="18"/>
          <w:szCs w:val="18"/>
        </w:rPr>
        <w:t>gelatin</w:t>
      </w:r>
      <w:proofErr w:type="spellEnd"/>
      <w:r w:rsidRPr="004F44BF">
        <w:rPr>
          <w:rFonts w:eastAsia="Times New Roman"/>
          <w:sz w:val="18"/>
          <w:szCs w:val="18"/>
        </w:rPr>
        <w:t xml:space="preserve"> hydrogels. </w:t>
      </w:r>
      <w:r w:rsidRPr="004F44BF">
        <w:rPr>
          <w:rFonts w:eastAsia="Times New Roman"/>
          <w:i/>
          <w:iCs/>
          <w:sz w:val="18"/>
          <w:szCs w:val="18"/>
        </w:rPr>
        <w:t xml:space="preserve">J. </w:t>
      </w:r>
      <w:proofErr w:type="spellStart"/>
      <w:r w:rsidRPr="004F44BF">
        <w:rPr>
          <w:rFonts w:eastAsia="Times New Roman"/>
          <w:i/>
          <w:iCs/>
          <w:sz w:val="18"/>
          <w:szCs w:val="18"/>
        </w:rPr>
        <w:t>Biomater</w:t>
      </w:r>
      <w:proofErr w:type="spellEnd"/>
      <w:r w:rsidRPr="004F44BF">
        <w:rPr>
          <w:rFonts w:eastAsia="Times New Roman"/>
          <w:i/>
          <w:iCs/>
          <w:sz w:val="18"/>
          <w:szCs w:val="18"/>
        </w:rPr>
        <w:t xml:space="preserve">. Sci. </w:t>
      </w:r>
      <w:proofErr w:type="spellStart"/>
      <w:r w:rsidRPr="004F44BF">
        <w:rPr>
          <w:rFonts w:eastAsia="Times New Roman"/>
          <w:i/>
          <w:iCs/>
          <w:sz w:val="18"/>
          <w:szCs w:val="18"/>
        </w:rPr>
        <w:t>Polym</w:t>
      </w:r>
      <w:proofErr w:type="spellEnd"/>
      <w:r w:rsidRPr="004F44BF">
        <w:rPr>
          <w:rFonts w:eastAsia="Times New Roman"/>
          <w:i/>
          <w:iCs/>
          <w:sz w:val="18"/>
          <w:szCs w:val="18"/>
        </w:rPr>
        <w:t>. Ed.</w:t>
      </w:r>
      <w:r w:rsidRPr="004F44BF">
        <w:rPr>
          <w:rFonts w:eastAsia="Times New Roman"/>
          <w:sz w:val="18"/>
          <w:szCs w:val="18"/>
        </w:rPr>
        <w:t xml:space="preserve"> </w:t>
      </w:r>
      <w:r>
        <w:rPr>
          <w:rFonts w:eastAsia="Times New Roman"/>
          <w:b/>
          <w:sz w:val="18"/>
          <w:szCs w:val="18"/>
        </w:rPr>
        <w:t>2016</w:t>
      </w:r>
      <w:r>
        <w:rPr>
          <w:rFonts w:eastAsia="Times New Roman"/>
          <w:sz w:val="18"/>
          <w:szCs w:val="18"/>
        </w:rPr>
        <w:t xml:space="preserve">, </w:t>
      </w:r>
      <w:r>
        <w:rPr>
          <w:rFonts w:eastAsia="Times New Roman"/>
          <w:i/>
          <w:sz w:val="18"/>
          <w:szCs w:val="18"/>
        </w:rPr>
        <w:t>27</w:t>
      </w:r>
      <w:r>
        <w:rPr>
          <w:rFonts w:eastAsia="Times New Roman"/>
          <w:sz w:val="18"/>
          <w:szCs w:val="18"/>
        </w:rPr>
        <w:t>, 721–742</w:t>
      </w:r>
      <w:r w:rsidRPr="004F44BF">
        <w:rPr>
          <w:rFonts w:eastAsia="Times New Roman"/>
          <w:sz w:val="18"/>
          <w:szCs w:val="18"/>
        </w:rPr>
        <w:t>.</w:t>
      </w:r>
    </w:p>
    <w:p w14:paraId="68DC3B88"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Donaldson, A.R.; </w:t>
      </w:r>
      <w:proofErr w:type="spellStart"/>
      <w:r w:rsidRPr="004F44BF">
        <w:rPr>
          <w:rFonts w:eastAsia="Times New Roman"/>
          <w:sz w:val="18"/>
          <w:szCs w:val="18"/>
        </w:rPr>
        <w:t>Tanase</w:t>
      </w:r>
      <w:proofErr w:type="spellEnd"/>
      <w:r w:rsidRPr="004F44BF">
        <w:rPr>
          <w:rFonts w:eastAsia="Times New Roman"/>
          <w:sz w:val="18"/>
          <w:szCs w:val="18"/>
        </w:rPr>
        <w:t xml:space="preserve">, C.E.; Awuah, D.; </w:t>
      </w:r>
      <w:proofErr w:type="spellStart"/>
      <w:r w:rsidRPr="004F44BF">
        <w:rPr>
          <w:rFonts w:eastAsia="Times New Roman"/>
          <w:sz w:val="18"/>
          <w:szCs w:val="18"/>
        </w:rPr>
        <w:t>Bathrinarayanan</w:t>
      </w:r>
      <w:proofErr w:type="spellEnd"/>
      <w:r w:rsidRPr="004F44BF">
        <w:rPr>
          <w:rFonts w:eastAsia="Times New Roman"/>
          <w:sz w:val="18"/>
          <w:szCs w:val="18"/>
        </w:rPr>
        <w:t xml:space="preserve">, P.V.; Hall, L.; </w:t>
      </w:r>
      <w:proofErr w:type="spellStart"/>
      <w:r w:rsidRPr="004F44BF">
        <w:rPr>
          <w:rFonts w:eastAsia="Times New Roman"/>
          <w:sz w:val="18"/>
          <w:szCs w:val="18"/>
        </w:rPr>
        <w:t>Nikkhah</w:t>
      </w:r>
      <w:proofErr w:type="spellEnd"/>
      <w:r w:rsidRPr="004F44BF">
        <w:rPr>
          <w:rFonts w:eastAsia="Times New Roman"/>
          <w:sz w:val="18"/>
          <w:szCs w:val="18"/>
        </w:rPr>
        <w:t xml:space="preserve">, M.; </w:t>
      </w:r>
      <w:proofErr w:type="spellStart"/>
      <w:r w:rsidRPr="004F44BF">
        <w:rPr>
          <w:rFonts w:eastAsia="Times New Roman"/>
          <w:sz w:val="18"/>
          <w:szCs w:val="18"/>
        </w:rPr>
        <w:t>Khademhosseini</w:t>
      </w:r>
      <w:proofErr w:type="spellEnd"/>
      <w:r w:rsidRPr="004F44BF">
        <w:rPr>
          <w:rFonts w:eastAsia="Times New Roman"/>
          <w:sz w:val="18"/>
          <w:szCs w:val="18"/>
        </w:rPr>
        <w:t xml:space="preserve">, A.; Rose, F.; Alexander, C.; </w:t>
      </w:r>
      <w:proofErr w:type="spellStart"/>
      <w:r w:rsidRPr="004F44BF">
        <w:rPr>
          <w:rFonts w:eastAsia="Times New Roman"/>
          <w:sz w:val="18"/>
          <w:szCs w:val="18"/>
        </w:rPr>
        <w:t>Ghaemmaghami</w:t>
      </w:r>
      <w:proofErr w:type="spellEnd"/>
      <w:r w:rsidRPr="004F44BF">
        <w:rPr>
          <w:rFonts w:eastAsia="Times New Roman"/>
          <w:sz w:val="18"/>
          <w:szCs w:val="18"/>
        </w:rPr>
        <w:t xml:space="preserve">, A.M. </w:t>
      </w:r>
      <w:proofErr w:type="spellStart"/>
      <w:r w:rsidRPr="004F44BF">
        <w:rPr>
          <w:rFonts w:eastAsia="Times New Roman"/>
          <w:sz w:val="18"/>
          <w:szCs w:val="18"/>
        </w:rPr>
        <w:t>Photocrosslinkable</w:t>
      </w:r>
      <w:proofErr w:type="spellEnd"/>
      <w:r w:rsidRPr="004F44BF">
        <w:rPr>
          <w:rFonts w:eastAsia="Times New Roman"/>
          <w:sz w:val="18"/>
          <w:szCs w:val="18"/>
        </w:rPr>
        <w:t xml:space="preserve"> </w:t>
      </w:r>
      <w:proofErr w:type="spellStart"/>
      <w:r w:rsidRPr="004F44BF">
        <w:rPr>
          <w:rFonts w:eastAsia="Times New Roman"/>
          <w:sz w:val="18"/>
          <w:szCs w:val="18"/>
        </w:rPr>
        <w:t>Gelatin</w:t>
      </w:r>
      <w:proofErr w:type="spellEnd"/>
      <w:r w:rsidRPr="004F44BF">
        <w:rPr>
          <w:rFonts w:eastAsia="Times New Roman"/>
          <w:sz w:val="18"/>
          <w:szCs w:val="18"/>
        </w:rPr>
        <w:t xml:space="preserve"> Hydrogels Modulate the Production of the Major Pro-inflammatory Cytokine, TNF-α, by Human Mononuclear Cells. </w:t>
      </w:r>
      <w:r w:rsidRPr="004F44BF">
        <w:rPr>
          <w:rFonts w:eastAsia="Times New Roman"/>
          <w:i/>
          <w:iCs/>
          <w:sz w:val="18"/>
          <w:szCs w:val="18"/>
        </w:rPr>
        <w:t xml:space="preserve">Front. </w:t>
      </w:r>
      <w:proofErr w:type="spellStart"/>
      <w:r w:rsidRPr="004F44BF">
        <w:rPr>
          <w:rFonts w:eastAsia="Times New Roman"/>
          <w:i/>
          <w:iCs/>
          <w:sz w:val="18"/>
          <w:szCs w:val="18"/>
        </w:rPr>
        <w:t>Bioeng</w:t>
      </w:r>
      <w:proofErr w:type="spellEnd"/>
      <w:r w:rsidRPr="004F44BF">
        <w:rPr>
          <w:rFonts w:eastAsia="Times New Roman"/>
          <w:i/>
          <w:iCs/>
          <w:sz w:val="18"/>
          <w:szCs w:val="18"/>
        </w:rPr>
        <w:t xml:space="preserve">. </w:t>
      </w:r>
      <w:proofErr w:type="spellStart"/>
      <w:r w:rsidRPr="004F44BF">
        <w:rPr>
          <w:rFonts w:eastAsia="Times New Roman"/>
          <w:i/>
          <w:iCs/>
          <w:sz w:val="18"/>
          <w:szCs w:val="18"/>
        </w:rPr>
        <w:t>Biotechnol</w:t>
      </w:r>
      <w:proofErr w:type="spellEnd"/>
      <w:r w:rsidRPr="004F44BF">
        <w:rPr>
          <w:rFonts w:eastAsia="Times New Roman"/>
          <w:i/>
          <w:iCs/>
          <w:sz w:val="18"/>
          <w:szCs w:val="18"/>
        </w:rPr>
        <w:t>.</w:t>
      </w:r>
      <w:r w:rsidRPr="004F44BF">
        <w:rPr>
          <w:rFonts w:eastAsia="Times New Roman"/>
          <w:sz w:val="18"/>
          <w:szCs w:val="18"/>
        </w:rPr>
        <w:t xml:space="preserve"> </w:t>
      </w:r>
      <w:r>
        <w:rPr>
          <w:rFonts w:eastAsia="Times New Roman"/>
          <w:b/>
          <w:bCs/>
          <w:sz w:val="18"/>
          <w:szCs w:val="18"/>
        </w:rPr>
        <w:t>2018</w:t>
      </w:r>
      <w:r>
        <w:rPr>
          <w:rFonts w:eastAsia="Times New Roman"/>
          <w:bCs/>
          <w:sz w:val="18"/>
          <w:szCs w:val="18"/>
        </w:rPr>
        <w:t xml:space="preserve">, </w:t>
      </w:r>
      <w:r>
        <w:rPr>
          <w:rFonts w:eastAsia="Times New Roman"/>
          <w:bCs/>
          <w:i/>
          <w:sz w:val="18"/>
          <w:szCs w:val="18"/>
        </w:rPr>
        <w:t>6</w:t>
      </w:r>
      <w:r>
        <w:rPr>
          <w:rFonts w:eastAsia="Times New Roman"/>
          <w:bCs/>
          <w:sz w:val="18"/>
          <w:szCs w:val="18"/>
        </w:rPr>
        <w:t>, 116</w:t>
      </w:r>
      <w:r w:rsidRPr="004F44BF">
        <w:rPr>
          <w:rFonts w:eastAsia="Times New Roman"/>
          <w:sz w:val="18"/>
          <w:szCs w:val="18"/>
        </w:rPr>
        <w:t>. https://doi.org/10.3389/fbioe.2018.00116.</w:t>
      </w:r>
    </w:p>
    <w:p w14:paraId="63E4C452"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Zhuang, Z.; Zhang, Y.; Sun, S.; Li, Q.; Chen, K.; An, C.; Wang, L.; </w:t>
      </w:r>
      <w:proofErr w:type="spellStart"/>
      <w:r w:rsidRPr="004F44BF">
        <w:rPr>
          <w:rFonts w:eastAsia="Times New Roman"/>
          <w:sz w:val="18"/>
          <w:szCs w:val="18"/>
        </w:rPr>
        <w:t>Beucken</w:t>
      </w:r>
      <w:proofErr w:type="spellEnd"/>
      <w:r w:rsidRPr="004F44BF">
        <w:rPr>
          <w:rFonts w:eastAsia="Times New Roman"/>
          <w:sz w:val="18"/>
          <w:szCs w:val="18"/>
        </w:rPr>
        <w:t>, J.J.J.P.V.D.; Wang, H. Control of Matrix Stiffness Using Methacrylate–</w:t>
      </w:r>
      <w:proofErr w:type="spellStart"/>
      <w:r w:rsidRPr="004F44BF">
        <w:rPr>
          <w:rFonts w:eastAsia="Times New Roman"/>
          <w:sz w:val="18"/>
          <w:szCs w:val="18"/>
        </w:rPr>
        <w:t>Gelatin</w:t>
      </w:r>
      <w:proofErr w:type="spellEnd"/>
      <w:r w:rsidRPr="004F44BF">
        <w:rPr>
          <w:rFonts w:eastAsia="Times New Roman"/>
          <w:sz w:val="18"/>
          <w:szCs w:val="18"/>
        </w:rPr>
        <w:t xml:space="preserve"> Hydrogels for a Macrophage-Mediated Inflammatory Response. </w:t>
      </w:r>
      <w:r w:rsidRPr="004F44BF">
        <w:rPr>
          <w:rFonts w:eastAsia="Times New Roman"/>
          <w:i/>
          <w:iCs/>
          <w:sz w:val="18"/>
          <w:szCs w:val="18"/>
        </w:rPr>
        <w:t xml:space="preserve">ACS </w:t>
      </w:r>
      <w:proofErr w:type="spellStart"/>
      <w:r w:rsidRPr="004F44BF">
        <w:rPr>
          <w:rFonts w:eastAsia="Times New Roman"/>
          <w:i/>
          <w:iCs/>
          <w:sz w:val="18"/>
          <w:szCs w:val="18"/>
        </w:rPr>
        <w:t>Biomater</w:t>
      </w:r>
      <w:proofErr w:type="spellEnd"/>
      <w:r w:rsidRPr="004F44BF">
        <w:rPr>
          <w:rFonts w:eastAsia="Times New Roman"/>
          <w:i/>
          <w:iCs/>
          <w:sz w:val="18"/>
          <w:szCs w:val="18"/>
        </w:rPr>
        <w:t>. Sci. Eng.</w:t>
      </w:r>
      <w:r w:rsidRPr="004F44BF">
        <w:rPr>
          <w:rFonts w:eastAsia="Times New Roman"/>
          <w:sz w:val="18"/>
          <w:szCs w:val="18"/>
        </w:rPr>
        <w:t xml:space="preserve"> </w:t>
      </w:r>
      <w:r>
        <w:rPr>
          <w:rFonts w:eastAsia="Times New Roman"/>
          <w:b/>
          <w:bCs/>
          <w:sz w:val="18"/>
          <w:szCs w:val="18"/>
        </w:rPr>
        <w:t>2020</w:t>
      </w:r>
      <w:r>
        <w:rPr>
          <w:rFonts w:eastAsia="Times New Roman"/>
          <w:bCs/>
          <w:sz w:val="18"/>
          <w:szCs w:val="18"/>
        </w:rPr>
        <w:t xml:space="preserve">, </w:t>
      </w:r>
      <w:r>
        <w:rPr>
          <w:rFonts w:eastAsia="Times New Roman"/>
          <w:bCs/>
          <w:i/>
          <w:sz w:val="18"/>
          <w:szCs w:val="18"/>
        </w:rPr>
        <w:t>6</w:t>
      </w:r>
      <w:r>
        <w:rPr>
          <w:rFonts w:eastAsia="Times New Roman"/>
          <w:bCs/>
          <w:sz w:val="18"/>
          <w:szCs w:val="18"/>
        </w:rPr>
        <w:t>, 3091–3102</w:t>
      </w:r>
      <w:r w:rsidRPr="004F44BF">
        <w:rPr>
          <w:rFonts w:eastAsia="Times New Roman"/>
          <w:sz w:val="18"/>
          <w:szCs w:val="18"/>
        </w:rPr>
        <w:t>. https://doi.org/10.1021/acsbiomaterials.0c00295.</w:t>
      </w:r>
    </w:p>
    <w:p w14:paraId="5A4C578D"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Cha, B.; Shin, S.R.; </w:t>
      </w:r>
      <w:proofErr w:type="spellStart"/>
      <w:r w:rsidRPr="004F44BF">
        <w:rPr>
          <w:rFonts w:eastAsia="Times New Roman"/>
          <w:sz w:val="18"/>
          <w:szCs w:val="18"/>
        </w:rPr>
        <w:t>Leijten</w:t>
      </w:r>
      <w:proofErr w:type="spellEnd"/>
      <w:r w:rsidRPr="004F44BF">
        <w:rPr>
          <w:rFonts w:eastAsia="Times New Roman"/>
          <w:sz w:val="18"/>
          <w:szCs w:val="18"/>
        </w:rPr>
        <w:t xml:space="preserve">, J.; Li, Y.; Singh, S.; Liu, J.C.; </w:t>
      </w:r>
      <w:proofErr w:type="spellStart"/>
      <w:r w:rsidRPr="004F44BF">
        <w:rPr>
          <w:rFonts w:eastAsia="Times New Roman"/>
          <w:sz w:val="18"/>
          <w:szCs w:val="18"/>
        </w:rPr>
        <w:t>Annabi</w:t>
      </w:r>
      <w:proofErr w:type="spellEnd"/>
      <w:r w:rsidRPr="004F44BF">
        <w:rPr>
          <w:rFonts w:eastAsia="Times New Roman"/>
          <w:sz w:val="18"/>
          <w:szCs w:val="18"/>
        </w:rPr>
        <w:t xml:space="preserve">, N.; Abdi, R.; </w:t>
      </w:r>
      <w:proofErr w:type="spellStart"/>
      <w:r w:rsidRPr="004F44BF">
        <w:rPr>
          <w:rFonts w:eastAsia="Times New Roman"/>
          <w:sz w:val="18"/>
          <w:szCs w:val="18"/>
        </w:rPr>
        <w:t>Dokmeci</w:t>
      </w:r>
      <w:proofErr w:type="spellEnd"/>
      <w:r w:rsidRPr="004F44BF">
        <w:rPr>
          <w:rFonts w:eastAsia="Times New Roman"/>
          <w:sz w:val="18"/>
          <w:szCs w:val="18"/>
        </w:rPr>
        <w:t xml:space="preserve">, M.R.; </w:t>
      </w:r>
      <w:proofErr w:type="spellStart"/>
      <w:r w:rsidRPr="004F44BF">
        <w:rPr>
          <w:rFonts w:eastAsia="Times New Roman"/>
          <w:sz w:val="18"/>
          <w:szCs w:val="18"/>
        </w:rPr>
        <w:t>Vrana</w:t>
      </w:r>
      <w:proofErr w:type="spellEnd"/>
      <w:r w:rsidRPr="004F44BF">
        <w:rPr>
          <w:rFonts w:eastAsia="Times New Roman"/>
          <w:sz w:val="18"/>
          <w:szCs w:val="18"/>
        </w:rPr>
        <w:t xml:space="preserve">, N.E. Integrin‐mediated inter-actions control macrophage polarization in 3D hydrogels. </w:t>
      </w:r>
      <w:r w:rsidRPr="004F44BF">
        <w:rPr>
          <w:rFonts w:eastAsia="Times New Roman"/>
          <w:i/>
          <w:iCs/>
          <w:sz w:val="18"/>
          <w:szCs w:val="18"/>
        </w:rPr>
        <w:t xml:space="preserve">Adv. </w:t>
      </w:r>
      <w:proofErr w:type="spellStart"/>
      <w:r w:rsidRPr="004F44BF">
        <w:rPr>
          <w:rFonts w:eastAsia="Times New Roman"/>
          <w:i/>
          <w:iCs/>
          <w:sz w:val="18"/>
          <w:szCs w:val="18"/>
        </w:rPr>
        <w:t>Healthc</w:t>
      </w:r>
      <w:proofErr w:type="spellEnd"/>
      <w:r w:rsidRPr="004F44BF">
        <w:rPr>
          <w:rFonts w:eastAsia="Times New Roman"/>
          <w:i/>
          <w:iCs/>
          <w:sz w:val="18"/>
          <w:szCs w:val="18"/>
        </w:rPr>
        <w:t>. Mater.</w:t>
      </w:r>
      <w:r w:rsidRPr="004F44BF">
        <w:rPr>
          <w:rFonts w:eastAsia="Times New Roman"/>
          <w:sz w:val="18"/>
          <w:szCs w:val="18"/>
        </w:rPr>
        <w:t xml:space="preserve"> </w:t>
      </w:r>
      <w:r>
        <w:rPr>
          <w:rFonts w:eastAsia="Times New Roman"/>
          <w:b/>
          <w:sz w:val="18"/>
          <w:szCs w:val="18"/>
        </w:rPr>
        <w:t>2017</w:t>
      </w:r>
      <w:r>
        <w:rPr>
          <w:rFonts w:eastAsia="Times New Roman"/>
          <w:sz w:val="18"/>
          <w:szCs w:val="18"/>
        </w:rPr>
        <w:t xml:space="preserve">, </w:t>
      </w:r>
      <w:r>
        <w:rPr>
          <w:rFonts w:eastAsia="Times New Roman"/>
          <w:i/>
          <w:sz w:val="18"/>
          <w:szCs w:val="18"/>
        </w:rPr>
        <w:t>6</w:t>
      </w:r>
      <w:r>
        <w:rPr>
          <w:rFonts w:eastAsia="Times New Roman"/>
          <w:sz w:val="18"/>
          <w:szCs w:val="18"/>
        </w:rPr>
        <w:t>, 1700289</w:t>
      </w:r>
      <w:r w:rsidRPr="004F44BF">
        <w:rPr>
          <w:rFonts w:eastAsia="Times New Roman"/>
          <w:sz w:val="18"/>
          <w:szCs w:val="18"/>
        </w:rPr>
        <w:t>.</w:t>
      </w:r>
    </w:p>
    <w:p w14:paraId="3DC7AD4A"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Kim, Y.-H.; Oreffo, R.O.; Dawson, J.I. From hurdle to springboard: The macrophage as target in biomaterial-based bone regeneration strategies. </w:t>
      </w:r>
      <w:r w:rsidRPr="004F44BF">
        <w:rPr>
          <w:rFonts w:eastAsia="Times New Roman"/>
          <w:i/>
          <w:iCs/>
          <w:sz w:val="18"/>
          <w:szCs w:val="18"/>
        </w:rPr>
        <w:t>Bone</w:t>
      </w:r>
      <w:r w:rsidRPr="004F44BF">
        <w:rPr>
          <w:rFonts w:eastAsia="Times New Roman"/>
          <w:sz w:val="18"/>
          <w:szCs w:val="18"/>
        </w:rPr>
        <w:t xml:space="preserve"> </w:t>
      </w:r>
      <w:r>
        <w:rPr>
          <w:rFonts w:eastAsia="Times New Roman"/>
          <w:b/>
          <w:bCs/>
          <w:sz w:val="18"/>
          <w:szCs w:val="18"/>
        </w:rPr>
        <w:t>2022</w:t>
      </w:r>
      <w:r>
        <w:rPr>
          <w:rFonts w:eastAsia="Times New Roman"/>
          <w:bCs/>
          <w:sz w:val="18"/>
          <w:szCs w:val="18"/>
        </w:rPr>
        <w:t xml:space="preserve">, </w:t>
      </w:r>
      <w:r>
        <w:rPr>
          <w:rFonts w:eastAsia="Times New Roman"/>
          <w:bCs/>
          <w:i/>
          <w:sz w:val="18"/>
          <w:szCs w:val="18"/>
        </w:rPr>
        <w:t>159</w:t>
      </w:r>
      <w:r>
        <w:rPr>
          <w:rFonts w:eastAsia="Times New Roman"/>
          <w:bCs/>
          <w:sz w:val="18"/>
          <w:szCs w:val="18"/>
        </w:rPr>
        <w:t>, 116389</w:t>
      </w:r>
      <w:r w:rsidRPr="004F44BF">
        <w:rPr>
          <w:sz w:val="18"/>
          <w:szCs w:val="18"/>
        </w:rPr>
        <w:t>.</w:t>
      </w:r>
      <w:r w:rsidRPr="004F44BF">
        <w:rPr>
          <w:rFonts w:eastAsia="Times New Roman"/>
          <w:sz w:val="18"/>
          <w:szCs w:val="18"/>
        </w:rPr>
        <w:t xml:space="preserve"> https://doi.org/10.1016/j.bone.2022.116389.</w:t>
      </w:r>
    </w:p>
    <w:p w14:paraId="304FCD65"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4F44BF">
        <w:rPr>
          <w:rFonts w:eastAsia="Times New Roman"/>
          <w:sz w:val="18"/>
          <w:szCs w:val="18"/>
        </w:rPr>
        <w:t>Rajabi</w:t>
      </w:r>
      <w:proofErr w:type="spellEnd"/>
      <w:r w:rsidRPr="004F44BF">
        <w:rPr>
          <w:rFonts w:eastAsia="Times New Roman"/>
          <w:sz w:val="18"/>
          <w:szCs w:val="18"/>
        </w:rPr>
        <w:t xml:space="preserve">, N.; Rezaei, A.; </w:t>
      </w:r>
      <w:proofErr w:type="spellStart"/>
      <w:r w:rsidRPr="004F44BF">
        <w:rPr>
          <w:rFonts w:eastAsia="Times New Roman"/>
          <w:sz w:val="18"/>
          <w:szCs w:val="18"/>
        </w:rPr>
        <w:t>Kharaziha</w:t>
      </w:r>
      <w:proofErr w:type="spellEnd"/>
      <w:r w:rsidRPr="004F44BF">
        <w:rPr>
          <w:rFonts w:eastAsia="Times New Roman"/>
          <w:sz w:val="18"/>
          <w:szCs w:val="18"/>
        </w:rPr>
        <w:t xml:space="preserve">, M.; </w:t>
      </w:r>
      <w:proofErr w:type="spellStart"/>
      <w:r w:rsidRPr="004F44BF">
        <w:rPr>
          <w:rFonts w:eastAsia="Times New Roman"/>
          <w:sz w:val="18"/>
          <w:szCs w:val="18"/>
        </w:rPr>
        <w:t>Bakhsheshi</w:t>
      </w:r>
      <w:proofErr w:type="spellEnd"/>
      <w:r w:rsidRPr="004F44BF">
        <w:rPr>
          <w:rFonts w:eastAsia="Times New Roman"/>
          <w:sz w:val="18"/>
          <w:szCs w:val="18"/>
        </w:rPr>
        <w:t xml:space="preserve">-Rad, H.R.; Luo, H.; </w:t>
      </w:r>
      <w:proofErr w:type="spellStart"/>
      <w:r w:rsidRPr="004F44BF">
        <w:rPr>
          <w:rFonts w:eastAsia="Times New Roman"/>
          <w:sz w:val="18"/>
          <w:szCs w:val="18"/>
        </w:rPr>
        <w:t>RamaKrishna</w:t>
      </w:r>
      <w:proofErr w:type="spellEnd"/>
      <w:r w:rsidRPr="004F44BF">
        <w:rPr>
          <w:rFonts w:eastAsia="Times New Roman"/>
          <w:sz w:val="18"/>
          <w:szCs w:val="18"/>
        </w:rPr>
        <w:t xml:space="preserve">, S.; </w:t>
      </w:r>
      <w:proofErr w:type="spellStart"/>
      <w:r w:rsidRPr="004F44BF">
        <w:rPr>
          <w:rFonts w:eastAsia="Times New Roman"/>
          <w:sz w:val="18"/>
          <w:szCs w:val="18"/>
        </w:rPr>
        <w:t>Berto</w:t>
      </w:r>
      <w:proofErr w:type="spellEnd"/>
      <w:r w:rsidRPr="004F44BF">
        <w:rPr>
          <w:rFonts w:eastAsia="Times New Roman"/>
          <w:sz w:val="18"/>
          <w:szCs w:val="18"/>
        </w:rPr>
        <w:t xml:space="preserve">, F. Recent Advances on </w:t>
      </w:r>
      <w:proofErr w:type="spellStart"/>
      <w:r w:rsidRPr="004F44BF">
        <w:rPr>
          <w:rFonts w:eastAsia="Times New Roman"/>
          <w:sz w:val="18"/>
          <w:szCs w:val="18"/>
        </w:rPr>
        <w:t>Bioprinted</w:t>
      </w:r>
      <w:proofErr w:type="spellEnd"/>
      <w:r w:rsidRPr="004F44BF">
        <w:rPr>
          <w:rFonts w:eastAsia="Times New Roman"/>
          <w:sz w:val="18"/>
          <w:szCs w:val="18"/>
        </w:rPr>
        <w:t xml:space="preserve"> </w:t>
      </w:r>
      <w:proofErr w:type="spellStart"/>
      <w:r w:rsidRPr="004F44BF">
        <w:rPr>
          <w:rFonts w:eastAsia="Times New Roman"/>
          <w:sz w:val="18"/>
          <w:szCs w:val="18"/>
        </w:rPr>
        <w:t>Gelatin</w:t>
      </w:r>
      <w:proofErr w:type="spellEnd"/>
      <w:r w:rsidRPr="004F44BF">
        <w:rPr>
          <w:rFonts w:eastAsia="Times New Roman"/>
          <w:sz w:val="18"/>
          <w:szCs w:val="18"/>
        </w:rPr>
        <w:t xml:space="preserve"> Methacrylate-Based Hydrogels for Tissue Repair. </w:t>
      </w:r>
      <w:r w:rsidRPr="004F44BF">
        <w:rPr>
          <w:rFonts w:eastAsia="Times New Roman"/>
          <w:i/>
          <w:iCs/>
          <w:sz w:val="18"/>
          <w:szCs w:val="18"/>
        </w:rPr>
        <w:t>Tissue Eng. Part A</w:t>
      </w:r>
      <w:r w:rsidRPr="004F44BF">
        <w:rPr>
          <w:rFonts w:eastAsia="Times New Roman"/>
          <w:sz w:val="18"/>
          <w:szCs w:val="18"/>
        </w:rPr>
        <w:t xml:space="preserve"> </w:t>
      </w:r>
      <w:r>
        <w:rPr>
          <w:rFonts w:eastAsia="Times New Roman"/>
          <w:b/>
          <w:bCs/>
          <w:sz w:val="18"/>
          <w:szCs w:val="18"/>
        </w:rPr>
        <w:t>2021</w:t>
      </w:r>
      <w:r>
        <w:rPr>
          <w:rFonts w:eastAsia="Times New Roman"/>
          <w:bCs/>
          <w:sz w:val="18"/>
          <w:szCs w:val="18"/>
        </w:rPr>
        <w:t xml:space="preserve">, </w:t>
      </w:r>
      <w:r>
        <w:rPr>
          <w:rFonts w:eastAsia="Times New Roman"/>
          <w:bCs/>
          <w:i/>
          <w:sz w:val="18"/>
          <w:szCs w:val="18"/>
        </w:rPr>
        <w:t>27</w:t>
      </w:r>
      <w:r>
        <w:rPr>
          <w:rFonts w:eastAsia="Times New Roman"/>
          <w:bCs/>
          <w:sz w:val="18"/>
          <w:szCs w:val="18"/>
        </w:rPr>
        <w:t>, 679–702</w:t>
      </w:r>
      <w:r w:rsidRPr="004F44BF">
        <w:rPr>
          <w:rFonts w:eastAsia="Times New Roman"/>
          <w:sz w:val="18"/>
          <w:szCs w:val="18"/>
        </w:rPr>
        <w:t>. https://doi.org/10.1089/ten.tea.2020.0350.</w:t>
      </w:r>
    </w:p>
    <w:p w14:paraId="0087698C"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Askari, M.; </w:t>
      </w:r>
      <w:proofErr w:type="spellStart"/>
      <w:r w:rsidRPr="004F44BF">
        <w:rPr>
          <w:rFonts w:eastAsia="Times New Roman"/>
          <w:sz w:val="18"/>
          <w:szCs w:val="18"/>
        </w:rPr>
        <w:t>Naniz</w:t>
      </w:r>
      <w:proofErr w:type="spellEnd"/>
      <w:r w:rsidRPr="004F44BF">
        <w:rPr>
          <w:rFonts w:eastAsia="Times New Roman"/>
          <w:sz w:val="18"/>
          <w:szCs w:val="18"/>
        </w:rPr>
        <w:t xml:space="preserve">, M.A.; </w:t>
      </w:r>
      <w:proofErr w:type="spellStart"/>
      <w:r w:rsidRPr="004F44BF">
        <w:rPr>
          <w:rFonts w:eastAsia="Times New Roman"/>
          <w:sz w:val="18"/>
          <w:szCs w:val="18"/>
        </w:rPr>
        <w:t>Kouhi</w:t>
      </w:r>
      <w:proofErr w:type="spellEnd"/>
      <w:r w:rsidRPr="004F44BF">
        <w:rPr>
          <w:rFonts w:eastAsia="Times New Roman"/>
          <w:sz w:val="18"/>
          <w:szCs w:val="18"/>
        </w:rPr>
        <w:t xml:space="preserve">, M.; </w:t>
      </w:r>
      <w:proofErr w:type="spellStart"/>
      <w:r w:rsidRPr="004F44BF">
        <w:rPr>
          <w:rFonts w:eastAsia="Times New Roman"/>
          <w:sz w:val="18"/>
          <w:szCs w:val="18"/>
        </w:rPr>
        <w:t>Saberi</w:t>
      </w:r>
      <w:proofErr w:type="spellEnd"/>
      <w:r w:rsidRPr="004F44BF">
        <w:rPr>
          <w:rFonts w:eastAsia="Times New Roman"/>
          <w:sz w:val="18"/>
          <w:szCs w:val="18"/>
        </w:rPr>
        <w:t xml:space="preserve">, A.; </w:t>
      </w:r>
      <w:proofErr w:type="spellStart"/>
      <w:r w:rsidRPr="004F44BF">
        <w:rPr>
          <w:rFonts w:eastAsia="Times New Roman"/>
          <w:sz w:val="18"/>
          <w:szCs w:val="18"/>
        </w:rPr>
        <w:t>Zolfagharian</w:t>
      </w:r>
      <w:proofErr w:type="spellEnd"/>
      <w:r w:rsidRPr="004F44BF">
        <w:rPr>
          <w:rFonts w:eastAsia="Times New Roman"/>
          <w:sz w:val="18"/>
          <w:szCs w:val="18"/>
        </w:rPr>
        <w:t xml:space="preserve">, A.; </w:t>
      </w:r>
      <w:proofErr w:type="spellStart"/>
      <w:r w:rsidRPr="004F44BF">
        <w:rPr>
          <w:rFonts w:eastAsia="Times New Roman"/>
          <w:sz w:val="18"/>
          <w:szCs w:val="18"/>
        </w:rPr>
        <w:t>Bodaghi</w:t>
      </w:r>
      <w:proofErr w:type="spellEnd"/>
      <w:r w:rsidRPr="004F44BF">
        <w:rPr>
          <w:rFonts w:eastAsia="Times New Roman"/>
          <w:sz w:val="18"/>
          <w:szCs w:val="18"/>
        </w:rPr>
        <w:t xml:space="preserve">, M. Recent progress in extrusion 3D bioprinting of hydrogel biomaterials for tissue </w:t>
      </w:r>
      <w:r w:rsidRPr="006A408B">
        <w:rPr>
          <w:rFonts w:eastAsia="Times New Roman"/>
          <w:sz w:val="18"/>
          <w:szCs w:val="18"/>
        </w:rPr>
        <w:t xml:space="preserve">regeneration: A comprehensive review with focus on advanced fabrication techniques. </w:t>
      </w:r>
      <w:proofErr w:type="spellStart"/>
      <w:r w:rsidRPr="006A408B">
        <w:rPr>
          <w:rFonts w:eastAsia="Times New Roman"/>
          <w:i/>
          <w:iCs/>
          <w:sz w:val="18"/>
          <w:szCs w:val="18"/>
        </w:rPr>
        <w:t>Biomater</w:t>
      </w:r>
      <w:proofErr w:type="spellEnd"/>
      <w:r w:rsidRPr="006A408B">
        <w:rPr>
          <w:rFonts w:eastAsia="Times New Roman"/>
          <w:i/>
          <w:iCs/>
          <w:sz w:val="18"/>
          <w:szCs w:val="18"/>
        </w:rPr>
        <w:t>. Sci.</w:t>
      </w:r>
      <w:r w:rsidRPr="006A408B">
        <w:rPr>
          <w:rFonts w:eastAsia="Times New Roman"/>
          <w:sz w:val="18"/>
          <w:szCs w:val="18"/>
        </w:rPr>
        <w:t xml:space="preserve"> </w:t>
      </w:r>
      <w:r w:rsidRPr="006A408B">
        <w:rPr>
          <w:rFonts w:eastAsia="Times New Roman"/>
          <w:b/>
          <w:bCs/>
          <w:sz w:val="18"/>
          <w:szCs w:val="18"/>
        </w:rPr>
        <w:t>2020</w:t>
      </w:r>
      <w:r w:rsidRPr="006A408B">
        <w:rPr>
          <w:rFonts w:eastAsia="Times New Roman"/>
          <w:bCs/>
          <w:sz w:val="18"/>
          <w:szCs w:val="18"/>
        </w:rPr>
        <w:t xml:space="preserve">, </w:t>
      </w:r>
      <w:r w:rsidRPr="006A408B">
        <w:rPr>
          <w:rFonts w:eastAsia="Times New Roman"/>
          <w:bCs/>
          <w:i/>
          <w:sz w:val="18"/>
          <w:szCs w:val="18"/>
        </w:rPr>
        <w:t>9</w:t>
      </w:r>
      <w:r w:rsidRPr="006A408B">
        <w:rPr>
          <w:rFonts w:eastAsia="Times New Roman"/>
          <w:bCs/>
          <w:sz w:val="18"/>
          <w:szCs w:val="18"/>
        </w:rPr>
        <w:t>, 535–573</w:t>
      </w:r>
      <w:r w:rsidRPr="006A408B">
        <w:rPr>
          <w:rFonts w:eastAsia="Times New Roman"/>
          <w:sz w:val="18"/>
          <w:szCs w:val="18"/>
        </w:rPr>
        <w:t>. https://doi.org/10.1039/d0bm00973c.</w:t>
      </w:r>
    </w:p>
    <w:p w14:paraId="65E8C8C5"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Abdulghani, S.; </w:t>
      </w:r>
      <w:proofErr w:type="spellStart"/>
      <w:r w:rsidRPr="006A408B">
        <w:rPr>
          <w:rFonts w:eastAsia="Times New Roman"/>
          <w:sz w:val="18"/>
          <w:szCs w:val="18"/>
        </w:rPr>
        <w:t>Morouço</w:t>
      </w:r>
      <w:proofErr w:type="spellEnd"/>
      <w:r w:rsidRPr="006A408B">
        <w:rPr>
          <w:rFonts w:eastAsia="Times New Roman"/>
          <w:sz w:val="18"/>
          <w:szCs w:val="18"/>
        </w:rPr>
        <w:t xml:space="preserve">, P.G. </w:t>
      </w:r>
      <w:proofErr w:type="spellStart"/>
      <w:r w:rsidRPr="006A408B">
        <w:rPr>
          <w:rFonts w:eastAsia="Times New Roman"/>
          <w:sz w:val="18"/>
          <w:szCs w:val="18"/>
        </w:rPr>
        <w:t>Biofabrication</w:t>
      </w:r>
      <w:proofErr w:type="spellEnd"/>
      <w:r w:rsidRPr="006A408B">
        <w:rPr>
          <w:rFonts w:eastAsia="Times New Roman"/>
          <w:sz w:val="18"/>
          <w:szCs w:val="18"/>
        </w:rPr>
        <w:t xml:space="preserve"> for osteochondral tissue regeneration: </w:t>
      </w:r>
      <w:proofErr w:type="spellStart"/>
      <w:r w:rsidRPr="006A408B">
        <w:rPr>
          <w:rFonts w:eastAsia="Times New Roman"/>
          <w:sz w:val="18"/>
          <w:szCs w:val="18"/>
        </w:rPr>
        <w:t>Bioink</w:t>
      </w:r>
      <w:proofErr w:type="spellEnd"/>
      <w:r w:rsidRPr="006A408B">
        <w:rPr>
          <w:rFonts w:eastAsia="Times New Roman"/>
          <w:sz w:val="18"/>
          <w:szCs w:val="18"/>
        </w:rPr>
        <w:t xml:space="preserve"> printability requirements. </w:t>
      </w:r>
      <w:r w:rsidRPr="006A408B">
        <w:rPr>
          <w:rFonts w:eastAsia="Times New Roman"/>
          <w:i/>
          <w:iCs/>
          <w:sz w:val="18"/>
          <w:szCs w:val="18"/>
        </w:rPr>
        <w:t>J. Mater. Sci. Mater. Med.</w:t>
      </w:r>
      <w:r w:rsidRPr="006A408B">
        <w:rPr>
          <w:rFonts w:eastAsia="Times New Roman"/>
          <w:sz w:val="18"/>
          <w:szCs w:val="18"/>
        </w:rPr>
        <w:t xml:space="preserve"> </w:t>
      </w:r>
      <w:r w:rsidRPr="006A408B">
        <w:rPr>
          <w:rFonts w:eastAsia="Times New Roman"/>
          <w:b/>
          <w:bCs/>
          <w:sz w:val="18"/>
          <w:szCs w:val="18"/>
        </w:rPr>
        <w:t>2019</w:t>
      </w:r>
      <w:r w:rsidRPr="006A408B">
        <w:rPr>
          <w:rFonts w:eastAsia="Times New Roman"/>
          <w:bCs/>
          <w:sz w:val="18"/>
          <w:szCs w:val="18"/>
        </w:rPr>
        <w:t xml:space="preserve">, </w:t>
      </w:r>
      <w:r w:rsidRPr="006A408B">
        <w:rPr>
          <w:rFonts w:eastAsia="Times New Roman"/>
          <w:bCs/>
          <w:i/>
          <w:sz w:val="18"/>
          <w:szCs w:val="18"/>
        </w:rPr>
        <w:t>30</w:t>
      </w:r>
      <w:r w:rsidRPr="006A408B">
        <w:rPr>
          <w:rFonts w:eastAsia="Times New Roman"/>
          <w:bCs/>
          <w:sz w:val="18"/>
          <w:szCs w:val="18"/>
        </w:rPr>
        <w:t>, 20</w:t>
      </w:r>
      <w:r w:rsidRPr="006A408B">
        <w:rPr>
          <w:rFonts w:eastAsia="Times New Roman"/>
          <w:sz w:val="18"/>
          <w:szCs w:val="18"/>
        </w:rPr>
        <w:t>. https://doi.org/10.1007/s10856-019-6218-x.</w:t>
      </w:r>
    </w:p>
    <w:p w14:paraId="2E6B0E27"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Freeman, F.E.; </w:t>
      </w:r>
      <w:proofErr w:type="spellStart"/>
      <w:r w:rsidRPr="006A408B">
        <w:rPr>
          <w:rFonts w:eastAsia="Times New Roman"/>
          <w:sz w:val="18"/>
          <w:szCs w:val="18"/>
        </w:rPr>
        <w:t>Burdis</w:t>
      </w:r>
      <w:proofErr w:type="spellEnd"/>
      <w:r w:rsidRPr="006A408B">
        <w:rPr>
          <w:rFonts w:eastAsia="Times New Roman"/>
          <w:sz w:val="18"/>
          <w:szCs w:val="18"/>
        </w:rPr>
        <w:t xml:space="preserve">, R.; Kelly, D.J. Printing New Bones: From Print-and-Implant Devices to </w:t>
      </w:r>
      <w:proofErr w:type="spellStart"/>
      <w:r w:rsidRPr="006A408B">
        <w:rPr>
          <w:rFonts w:eastAsia="Times New Roman"/>
          <w:sz w:val="18"/>
          <w:szCs w:val="18"/>
        </w:rPr>
        <w:t>Bioprinted</w:t>
      </w:r>
      <w:proofErr w:type="spellEnd"/>
      <w:r w:rsidRPr="006A408B">
        <w:rPr>
          <w:rFonts w:eastAsia="Times New Roman"/>
          <w:sz w:val="18"/>
          <w:szCs w:val="18"/>
        </w:rPr>
        <w:t xml:space="preserve"> </w:t>
      </w:r>
      <w:r w:rsidRPr="004F44BF">
        <w:rPr>
          <w:rFonts w:eastAsia="Times New Roman"/>
          <w:sz w:val="18"/>
          <w:szCs w:val="18"/>
        </w:rPr>
        <w:t xml:space="preserve">Bone Organ Precursors. </w:t>
      </w:r>
      <w:r w:rsidRPr="004F44BF">
        <w:rPr>
          <w:rFonts w:eastAsia="Times New Roman"/>
          <w:i/>
          <w:iCs/>
          <w:sz w:val="18"/>
          <w:szCs w:val="18"/>
        </w:rPr>
        <w:t>Trends Mol. Med.</w:t>
      </w:r>
      <w:r w:rsidRPr="004F44BF">
        <w:rPr>
          <w:rFonts w:eastAsia="Times New Roman"/>
          <w:sz w:val="18"/>
          <w:szCs w:val="18"/>
        </w:rPr>
        <w:t xml:space="preserve"> </w:t>
      </w:r>
      <w:r>
        <w:rPr>
          <w:rFonts w:eastAsia="Times New Roman"/>
          <w:b/>
          <w:bCs/>
          <w:sz w:val="18"/>
          <w:szCs w:val="18"/>
        </w:rPr>
        <w:t>2021</w:t>
      </w:r>
      <w:r>
        <w:rPr>
          <w:rFonts w:eastAsia="Times New Roman"/>
          <w:bCs/>
          <w:sz w:val="18"/>
          <w:szCs w:val="18"/>
        </w:rPr>
        <w:t xml:space="preserve">, </w:t>
      </w:r>
      <w:r>
        <w:rPr>
          <w:rFonts w:eastAsia="Times New Roman"/>
          <w:bCs/>
          <w:i/>
          <w:sz w:val="18"/>
          <w:szCs w:val="18"/>
        </w:rPr>
        <w:t>27</w:t>
      </w:r>
      <w:r>
        <w:rPr>
          <w:rFonts w:eastAsia="Times New Roman"/>
          <w:bCs/>
          <w:sz w:val="18"/>
          <w:szCs w:val="18"/>
        </w:rPr>
        <w:t>, 700–711</w:t>
      </w:r>
      <w:r w:rsidRPr="004F44BF">
        <w:rPr>
          <w:rFonts w:eastAsia="Times New Roman"/>
          <w:sz w:val="18"/>
          <w:szCs w:val="18"/>
        </w:rPr>
        <w:t>. https://doi.org/10.1016/j.molmed.2021.05.001.</w:t>
      </w:r>
    </w:p>
    <w:p w14:paraId="5C0AB247"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Ying, G.; Jiang, N.; Yu, C.; Zhang, Y.S. Three-dimensional bioprinting of </w:t>
      </w:r>
      <w:proofErr w:type="spellStart"/>
      <w:r w:rsidRPr="004F44BF">
        <w:rPr>
          <w:rFonts w:eastAsia="Times New Roman"/>
          <w:sz w:val="18"/>
          <w:szCs w:val="18"/>
        </w:rPr>
        <w:t>gelatin</w:t>
      </w:r>
      <w:proofErr w:type="spellEnd"/>
      <w:r w:rsidRPr="004F44BF">
        <w:rPr>
          <w:rFonts w:eastAsia="Times New Roman"/>
          <w:sz w:val="18"/>
          <w:szCs w:val="18"/>
        </w:rPr>
        <w:t xml:space="preserve"> </w:t>
      </w:r>
      <w:proofErr w:type="spellStart"/>
      <w:r w:rsidRPr="004F44BF">
        <w:rPr>
          <w:rFonts w:eastAsia="Times New Roman"/>
          <w:sz w:val="18"/>
          <w:szCs w:val="18"/>
        </w:rPr>
        <w:t>methacryloyl</w:t>
      </w:r>
      <w:proofErr w:type="spellEnd"/>
      <w:r w:rsidRPr="004F44BF">
        <w:rPr>
          <w:rFonts w:eastAsia="Times New Roman"/>
          <w:sz w:val="18"/>
          <w:szCs w:val="18"/>
        </w:rPr>
        <w:t xml:space="preserve"> (</w:t>
      </w:r>
      <w:proofErr w:type="spellStart"/>
      <w:r w:rsidRPr="004F44BF">
        <w:rPr>
          <w:rFonts w:eastAsia="Times New Roman"/>
          <w:sz w:val="18"/>
          <w:szCs w:val="18"/>
        </w:rPr>
        <w:t>GelMA</w:t>
      </w:r>
      <w:proofErr w:type="spellEnd"/>
      <w:r w:rsidRPr="004F44BF">
        <w:rPr>
          <w:rFonts w:eastAsia="Times New Roman"/>
          <w:sz w:val="18"/>
          <w:szCs w:val="18"/>
        </w:rPr>
        <w:t xml:space="preserve">). </w:t>
      </w:r>
      <w:r w:rsidRPr="004F44BF">
        <w:rPr>
          <w:rFonts w:eastAsia="Times New Roman"/>
          <w:i/>
          <w:iCs/>
          <w:sz w:val="18"/>
          <w:szCs w:val="18"/>
        </w:rPr>
        <w:t>Bio-Design Manuf.</w:t>
      </w:r>
      <w:r w:rsidRPr="004F44BF">
        <w:rPr>
          <w:rFonts w:eastAsia="Times New Roman"/>
          <w:sz w:val="18"/>
          <w:szCs w:val="18"/>
        </w:rPr>
        <w:t xml:space="preserve"> </w:t>
      </w:r>
      <w:r>
        <w:rPr>
          <w:rFonts w:eastAsia="Times New Roman"/>
          <w:b/>
          <w:bCs/>
          <w:sz w:val="18"/>
          <w:szCs w:val="18"/>
        </w:rPr>
        <w:t>2018</w:t>
      </w:r>
      <w:r>
        <w:rPr>
          <w:rFonts w:eastAsia="Times New Roman"/>
          <w:bCs/>
          <w:sz w:val="18"/>
          <w:szCs w:val="18"/>
        </w:rPr>
        <w:t xml:space="preserve">, </w:t>
      </w:r>
      <w:r>
        <w:rPr>
          <w:rFonts w:eastAsia="Times New Roman"/>
          <w:bCs/>
          <w:i/>
          <w:sz w:val="18"/>
          <w:szCs w:val="18"/>
        </w:rPr>
        <w:t>1</w:t>
      </w:r>
      <w:r>
        <w:rPr>
          <w:rFonts w:eastAsia="Times New Roman"/>
          <w:bCs/>
          <w:sz w:val="18"/>
          <w:szCs w:val="18"/>
        </w:rPr>
        <w:t>, 215–224</w:t>
      </w:r>
      <w:r w:rsidRPr="004F44BF">
        <w:rPr>
          <w:rFonts w:eastAsia="Times New Roman"/>
          <w:sz w:val="18"/>
          <w:szCs w:val="18"/>
        </w:rPr>
        <w:t>. https://doi.org/10.1007/s42242-018-0028-8.</w:t>
      </w:r>
    </w:p>
    <w:p w14:paraId="21662BE8" w14:textId="01BCA28E"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023B2B">
        <w:rPr>
          <w:rFonts w:eastAsia="Times New Roman"/>
          <w:sz w:val="18"/>
          <w:szCs w:val="18"/>
        </w:rPr>
        <w:t>Arumugasaamy</w:t>
      </w:r>
      <w:proofErr w:type="spellEnd"/>
      <w:r w:rsidRPr="00023B2B">
        <w:rPr>
          <w:rFonts w:eastAsia="Times New Roman"/>
          <w:sz w:val="18"/>
          <w:szCs w:val="18"/>
        </w:rPr>
        <w:t xml:space="preserve">, N.; Baker, H.B.; Kaplan, D.S.; Kim, P.C.W.; Fisher, J.P. Fabrication and Printing of Multi-material Hydrogels. </w:t>
      </w:r>
      <w:r w:rsidRPr="00023B2B">
        <w:rPr>
          <w:sz w:val="18"/>
          <w:szCs w:val="18"/>
        </w:rPr>
        <w:t>In</w:t>
      </w:r>
      <w:r w:rsidR="00BD6B81" w:rsidRPr="00023B2B">
        <w:rPr>
          <w:sz w:val="18"/>
          <w:szCs w:val="18"/>
        </w:rPr>
        <w:t xml:space="preserve"> eds. </w:t>
      </w:r>
      <w:proofErr w:type="spellStart"/>
      <w:r w:rsidR="00BD6B81" w:rsidRPr="00023B2B">
        <w:rPr>
          <w:sz w:val="18"/>
          <w:szCs w:val="18"/>
        </w:rPr>
        <w:t>Ovsianikov</w:t>
      </w:r>
      <w:proofErr w:type="spellEnd"/>
      <w:r w:rsidR="00BD6B81" w:rsidRPr="00023B2B">
        <w:rPr>
          <w:sz w:val="18"/>
          <w:szCs w:val="18"/>
        </w:rPr>
        <w:t xml:space="preserve">, A., </w:t>
      </w:r>
      <w:proofErr w:type="spellStart"/>
      <w:r w:rsidR="00BD6B81" w:rsidRPr="00023B2B">
        <w:rPr>
          <w:sz w:val="18"/>
          <w:szCs w:val="18"/>
        </w:rPr>
        <w:t>Yoo</w:t>
      </w:r>
      <w:proofErr w:type="spellEnd"/>
      <w:r w:rsidR="00BD6B81" w:rsidRPr="00023B2B">
        <w:rPr>
          <w:sz w:val="18"/>
          <w:szCs w:val="18"/>
        </w:rPr>
        <w:t xml:space="preserve"> J., Mironov V. </w:t>
      </w:r>
      <w:r w:rsidRPr="00023B2B">
        <w:rPr>
          <w:i/>
          <w:iCs/>
          <w:sz w:val="18"/>
          <w:szCs w:val="18"/>
        </w:rPr>
        <w:t xml:space="preserve">3D Printing and </w:t>
      </w:r>
      <w:proofErr w:type="spellStart"/>
      <w:r w:rsidRPr="00023B2B">
        <w:rPr>
          <w:i/>
          <w:iCs/>
          <w:sz w:val="18"/>
          <w:szCs w:val="18"/>
        </w:rPr>
        <w:t>Biofabrication</w:t>
      </w:r>
      <w:proofErr w:type="spellEnd"/>
      <w:r w:rsidRPr="00023B2B">
        <w:rPr>
          <w:sz w:val="18"/>
          <w:szCs w:val="18"/>
        </w:rPr>
        <w:t>; Springer International Publishing: Cham, Switzerland</w:t>
      </w:r>
      <w:r w:rsidRPr="00023B2B">
        <w:rPr>
          <w:rFonts w:eastAsia="Times New Roman"/>
          <w:sz w:val="18"/>
          <w:szCs w:val="18"/>
        </w:rPr>
        <w:t>, 2016;</w:t>
      </w:r>
      <w:r w:rsidRPr="004F44BF">
        <w:rPr>
          <w:rFonts w:eastAsia="Times New Roman"/>
          <w:sz w:val="18"/>
          <w:szCs w:val="18"/>
        </w:rPr>
        <w:t xml:space="preserve"> </w:t>
      </w:r>
      <w:r w:rsidRPr="004F44BF">
        <w:rPr>
          <w:sz w:val="18"/>
          <w:szCs w:val="18"/>
        </w:rPr>
        <w:t>pp. 1–34.</w:t>
      </w:r>
      <w:r w:rsidRPr="004F44BF">
        <w:rPr>
          <w:rFonts w:eastAsia="Times New Roman"/>
          <w:sz w:val="18"/>
          <w:szCs w:val="18"/>
        </w:rPr>
        <w:t xml:space="preserve"> https://doi.org/10.1007/978-3-319-40498-1_13-1.</w:t>
      </w:r>
    </w:p>
    <w:p w14:paraId="67AF1C26"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4F44BF">
        <w:rPr>
          <w:rFonts w:eastAsia="Times New Roman"/>
          <w:sz w:val="18"/>
          <w:szCs w:val="18"/>
        </w:rPr>
        <w:t>Qiao</w:t>
      </w:r>
      <w:proofErr w:type="spellEnd"/>
      <w:r w:rsidRPr="004F44BF">
        <w:rPr>
          <w:rFonts w:eastAsia="Times New Roman"/>
          <w:sz w:val="18"/>
          <w:szCs w:val="18"/>
        </w:rPr>
        <w:t xml:space="preserve">, Z.; Lian, M.; Han, Y.; Sun, B.; Zhang, X.; Jiang, W.; Li, H.; Hao, Y.; Dai, K. Bioinspired stratified </w:t>
      </w:r>
      <w:proofErr w:type="spellStart"/>
      <w:r w:rsidRPr="004F44BF">
        <w:rPr>
          <w:rFonts w:eastAsia="Times New Roman"/>
          <w:sz w:val="18"/>
          <w:szCs w:val="18"/>
        </w:rPr>
        <w:t>electrowritten</w:t>
      </w:r>
      <w:proofErr w:type="spellEnd"/>
      <w:r w:rsidRPr="004F44BF">
        <w:rPr>
          <w:rFonts w:eastAsia="Times New Roman"/>
          <w:sz w:val="18"/>
          <w:szCs w:val="18"/>
        </w:rPr>
        <w:t xml:space="preserve"> </w:t>
      </w:r>
      <w:proofErr w:type="spellStart"/>
      <w:r w:rsidRPr="004F44BF">
        <w:rPr>
          <w:rFonts w:eastAsia="Times New Roman"/>
          <w:sz w:val="18"/>
          <w:szCs w:val="18"/>
        </w:rPr>
        <w:t>fiber</w:t>
      </w:r>
      <w:proofErr w:type="spellEnd"/>
      <w:r w:rsidRPr="004F44BF">
        <w:rPr>
          <w:rFonts w:eastAsia="Times New Roman"/>
          <w:sz w:val="18"/>
          <w:szCs w:val="18"/>
        </w:rPr>
        <w:t xml:space="preserve">-reinforced hydrogel constructs with layer-specific induction capacity for functional osteochondral regeneration. </w:t>
      </w:r>
      <w:r w:rsidRPr="004F44BF">
        <w:rPr>
          <w:rFonts w:eastAsia="Times New Roman"/>
          <w:i/>
          <w:iCs/>
          <w:sz w:val="18"/>
          <w:szCs w:val="18"/>
        </w:rPr>
        <w:t>Biomaterials</w:t>
      </w:r>
      <w:r w:rsidRPr="004F44BF">
        <w:rPr>
          <w:rFonts w:eastAsia="Times New Roman"/>
          <w:sz w:val="18"/>
          <w:szCs w:val="18"/>
        </w:rPr>
        <w:t xml:space="preserve"> </w:t>
      </w:r>
      <w:r>
        <w:rPr>
          <w:rFonts w:eastAsia="Times New Roman"/>
          <w:b/>
          <w:bCs/>
          <w:sz w:val="18"/>
          <w:szCs w:val="18"/>
        </w:rPr>
        <w:t>2020</w:t>
      </w:r>
      <w:r>
        <w:rPr>
          <w:rFonts w:eastAsia="Times New Roman"/>
          <w:bCs/>
          <w:sz w:val="18"/>
          <w:szCs w:val="18"/>
        </w:rPr>
        <w:t xml:space="preserve">, </w:t>
      </w:r>
      <w:r>
        <w:rPr>
          <w:rFonts w:eastAsia="Times New Roman"/>
          <w:bCs/>
          <w:i/>
          <w:sz w:val="18"/>
          <w:szCs w:val="18"/>
        </w:rPr>
        <w:t>266</w:t>
      </w:r>
      <w:r>
        <w:rPr>
          <w:rFonts w:eastAsia="Times New Roman"/>
          <w:bCs/>
          <w:sz w:val="18"/>
          <w:szCs w:val="18"/>
        </w:rPr>
        <w:t>, 120385</w:t>
      </w:r>
      <w:r w:rsidRPr="004F44BF">
        <w:rPr>
          <w:rFonts w:eastAsia="Times New Roman"/>
          <w:sz w:val="18"/>
          <w:szCs w:val="18"/>
        </w:rPr>
        <w:t>. https://doi.org/10.1016/j.biomaterials.2020.120385.</w:t>
      </w:r>
    </w:p>
    <w:p w14:paraId="43D7D8D6"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Diaz-Gomez, L.; Elizondo, M.E.; Koons, G.L.; </w:t>
      </w:r>
      <w:proofErr w:type="spellStart"/>
      <w:r w:rsidRPr="004F44BF">
        <w:rPr>
          <w:rFonts w:eastAsia="Times New Roman"/>
          <w:sz w:val="18"/>
          <w:szCs w:val="18"/>
        </w:rPr>
        <w:t>Diba</w:t>
      </w:r>
      <w:proofErr w:type="spellEnd"/>
      <w:r w:rsidRPr="004F44BF">
        <w:rPr>
          <w:rFonts w:eastAsia="Times New Roman"/>
          <w:sz w:val="18"/>
          <w:szCs w:val="18"/>
        </w:rPr>
        <w:t xml:space="preserve">, M.; </w:t>
      </w:r>
      <w:proofErr w:type="spellStart"/>
      <w:r w:rsidRPr="004F44BF">
        <w:rPr>
          <w:rFonts w:eastAsia="Times New Roman"/>
          <w:sz w:val="18"/>
          <w:szCs w:val="18"/>
        </w:rPr>
        <w:t>Chim</w:t>
      </w:r>
      <w:proofErr w:type="spellEnd"/>
      <w:r w:rsidRPr="004F44BF">
        <w:rPr>
          <w:rFonts w:eastAsia="Times New Roman"/>
          <w:sz w:val="18"/>
          <w:szCs w:val="18"/>
        </w:rPr>
        <w:t xml:space="preserve">, L.K.; </w:t>
      </w:r>
      <w:proofErr w:type="spellStart"/>
      <w:r w:rsidRPr="004F44BF">
        <w:rPr>
          <w:rFonts w:eastAsia="Times New Roman"/>
          <w:sz w:val="18"/>
          <w:szCs w:val="18"/>
        </w:rPr>
        <w:t>Cosgriff</w:t>
      </w:r>
      <w:proofErr w:type="spellEnd"/>
      <w:r w:rsidRPr="004F44BF">
        <w:rPr>
          <w:rFonts w:eastAsia="Times New Roman"/>
          <w:sz w:val="18"/>
          <w:szCs w:val="18"/>
        </w:rPr>
        <w:t xml:space="preserve">-Hernandez, E.; Melchiorri, A.J.; </w:t>
      </w:r>
      <w:proofErr w:type="spellStart"/>
      <w:r w:rsidRPr="004F44BF">
        <w:rPr>
          <w:rFonts w:eastAsia="Times New Roman"/>
          <w:sz w:val="18"/>
          <w:szCs w:val="18"/>
        </w:rPr>
        <w:t>Mikos</w:t>
      </w:r>
      <w:proofErr w:type="spellEnd"/>
      <w:r w:rsidRPr="004F44BF">
        <w:rPr>
          <w:rFonts w:eastAsia="Times New Roman"/>
          <w:sz w:val="18"/>
          <w:szCs w:val="18"/>
        </w:rPr>
        <w:t xml:space="preserve">, A.G. </w:t>
      </w:r>
      <w:proofErr w:type="spellStart"/>
      <w:r w:rsidRPr="004F44BF">
        <w:rPr>
          <w:rFonts w:eastAsia="Times New Roman"/>
          <w:sz w:val="18"/>
          <w:szCs w:val="18"/>
        </w:rPr>
        <w:t>Fiber</w:t>
      </w:r>
      <w:proofErr w:type="spellEnd"/>
      <w:r w:rsidRPr="004F44BF">
        <w:rPr>
          <w:rFonts w:eastAsia="Times New Roman"/>
          <w:sz w:val="18"/>
          <w:szCs w:val="18"/>
        </w:rPr>
        <w:t xml:space="preserve"> engraving for </w:t>
      </w:r>
      <w:proofErr w:type="spellStart"/>
      <w:r w:rsidRPr="004F44BF">
        <w:rPr>
          <w:rFonts w:eastAsia="Times New Roman"/>
          <w:sz w:val="18"/>
          <w:szCs w:val="18"/>
        </w:rPr>
        <w:t>bioink</w:t>
      </w:r>
      <w:proofErr w:type="spellEnd"/>
      <w:r w:rsidRPr="004F44BF">
        <w:rPr>
          <w:rFonts w:eastAsia="Times New Roman"/>
          <w:sz w:val="18"/>
          <w:szCs w:val="18"/>
        </w:rPr>
        <w:t xml:space="preserve"> bioprinting within 3D printed tissue engineering scaffolds. </w:t>
      </w:r>
      <w:r w:rsidRPr="004F44BF">
        <w:rPr>
          <w:rFonts w:eastAsia="Times New Roman"/>
          <w:i/>
          <w:iCs/>
          <w:sz w:val="18"/>
          <w:szCs w:val="18"/>
        </w:rPr>
        <w:t>Bioprinting</w:t>
      </w:r>
      <w:r w:rsidRPr="004F44BF">
        <w:rPr>
          <w:rFonts w:eastAsia="Times New Roman"/>
          <w:sz w:val="18"/>
          <w:szCs w:val="18"/>
        </w:rPr>
        <w:t xml:space="preserve"> </w:t>
      </w:r>
      <w:r>
        <w:rPr>
          <w:rFonts w:eastAsia="Times New Roman"/>
          <w:b/>
          <w:bCs/>
          <w:sz w:val="18"/>
          <w:szCs w:val="18"/>
        </w:rPr>
        <w:t>2020</w:t>
      </w:r>
      <w:r>
        <w:rPr>
          <w:rFonts w:eastAsia="Times New Roman"/>
          <w:bCs/>
          <w:sz w:val="18"/>
          <w:szCs w:val="18"/>
        </w:rPr>
        <w:t xml:space="preserve">, </w:t>
      </w:r>
      <w:r>
        <w:rPr>
          <w:rFonts w:eastAsia="Times New Roman"/>
          <w:bCs/>
          <w:i/>
          <w:sz w:val="18"/>
          <w:szCs w:val="18"/>
        </w:rPr>
        <w:t>18</w:t>
      </w:r>
      <w:r>
        <w:rPr>
          <w:rFonts w:eastAsia="Times New Roman"/>
          <w:bCs/>
          <w:sz w:val="18"/>
          <w:szCs w:val="18"/>
        </w:rPr>
        <w:t>, e00076</w:t>
      </w:r>
      <w:r w:rsidRPr="004F44BF">
        <w:rPr>
          <w:rFonts w:eastAsia="Times New Roman"/>
          <w:sz w:val="18"/>
          <w:szCs w:val="18"/>
        </w:rPr>
        <w:t>. https://doi.org/10.1016/j.bprint.2020.e00076.</w:t>
      </w:r>
    </w:p>
    <w:p w14:paraId="4AA66D52"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Ouyang, L.; Armstrong, J.P.K.; Lin, Y.; Wojciechowski, J.P.; Lee-Reeves, C.; </w:t>
      </w:r>
      <w:proofErr w:type="spellStart"/>
      <w:r w:rsidRPr="004F44BF">
        <w:rPr>
          <w:rFonts w:eastAsia="Times New Roman"/>
          <w:sz w:val="18"/>
          <w:szCs w:val="18"/>
        </w:rPr>
        <w:t>Hachim</w:t>
      </w:r>
      <w:proofErr w:type="spellEnd"/>
      <w:r w:rsidRPr="004F44BF">
        <w:rPr>
          <w:rFonts w:eastAsia="Times New Roman"/>
          <w:sz w:val="18"/>
          <w:szCs w:val="18"/>
        </w:rPr>
        <w:t>, D.; Zhou, K</w:t>
      </w:r>
      <w:r w:rsidRPr="006A408B">
        <w:rPr>
          <w:rFonts w:eastAsia="Times New Roman"/>
          <w:sz w:val="18"/>
          <w:szCs w:val="18"/>
        </w:rPr>
        <w:t xml:space="preserve">.; Burdick, J.A.; Stevens, M.M. Expanding and optimizing 3D bioprinting capabilities using complementary network </w:t>
      </w:r>
      <w:proofErr w:type="spellStart"/>
      <w:r w:rsidRPr="006A408B">
        <w:rPr>
          <w:rFonts w:eastAsia="Times New Roman"/>
          <w:sz w:val="18"/>
          <w:szCs w:val="18"/>
        </w:rPr>
        <w:t>bioinks</w:t>
      </w:r>
      <w:proofErr w:type="spellEnd"/>
      <w:r w:rsidRPr="006A408B">
        <w:rPr>
          <w:rFonts w:eastAsia="Times New Roman"/>
          <w:sz w:val="18"/>
          <w:szCs w:val="18"/>
        </w:rPr>
        <w:t xml:space="preserve">. </w:t>
      </w:r>
      <w:r w:rsidRPr="006A408B">
        <w:rPr>
          <w:rFonts w:eastAsia="Times New Roman"/>
          <w:i/>
          <w:iCs/>
          <w:sz w:val="18"/>
          <w:szCs w:val="18"/>
        </w:rPr>
        <w:t>Sci. Adv.</w:t>
      </w:r>
      <w:r w:rsidRPr="006A408B">
        <w:rPr>
          <w:rFonts w:eastAsia="Times New Roman"/>
          <w:sz w:val="18"/>
          <w:szCs w:val="18"/>
        </w:rPr>
        <w:t xml:space="preserve"> </w:t>
      </w:r>
      <w:r w:rsidRPr="006A408B">
        <w:rPr>
          <w:rFonts w:eastAsia="Times New Roman"/>
          <w:b/>
          <w:bCs/>
          <w:sz w:val="18"/>
          <w:szCs w:val="18"/>
        </w:rPr>
        <w:t>2020</w:t>
      </w:r>
      <w:r w:rsidRPr="006A408B">
        <w:rPr>
          <w:rFonts w:eastAsia="Times New Roman"/>
          <w:sz w:val="18"/>
          <w:szCs w:val="18"/>
        </w:rPr>
        <w:t xml:space="preserve">, </w:t>
      </w:r>
      <w:r w:rsidRPr="006A408B">
        <w:rPr>
          <w:rFonts w:eastAsia="Times New Roman"/>
          <w:i/>
          <w:iCs/>
          <w:sz w:val="18"/>
          <w:szCs w:val="18"/>
        </w:rPr>
        <w:t>6</w:t>
      </w:r>
      <w:r w:rsidRPr="006A408B">
        <w:rPr>
          <w:rFonts w:eastAsia="Times New Roman"/>
          <w:sz w:val="18"/>
          <w:szCs w:val="18"/>
        </w:rPr>
        <w:t>, eabc5529. https://doi.org/10.1126/sciadv.abc5529.</w:t>
      </w:r>
    </w:p>
    <w:p w14:paraId="7EEA83A5" w14:textId="57456509" w:rsidR="004803E2"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6A408B">
        <w:rPr>
          <w:rFonts w:eastAsia="Times New Roman"/>
          <w:sz w:val="18"/>
          <w:szCs w:val="18"/>
        </w:rPr>
        <w:t>Shahabipour</w:t>
      </w:r>
      <w:proofErr w:type="spellEnd"/>
      <w:r w:rsidRPr="006A408B">
        <w:rPr>
          <w:rFonts w:eastAsia="Times New Roman"/>
          <w:sz w:val="18"/>
          <w:szCs w:val="18"/>
        </w:rPr>
        <w:t xml:space="preserve">, F.; </w:t>
      </w:r>
      <w:proofErr w:type="spellStart"/>
      <w:r w:rsidRPr="006A408B">
        <w:rPr>
          <w:rFonts w:eastAsia="Times New Roman"/>
          <w:sz w:val="18"/>
          <w:szCs w:val="18"/>
        </w:rPr>
        <w:t>Tavafoghi</w:t>
      </w:r>
      <w:proofErr w:type="spellEnd"/>
      <w:r w:rsidRPr="006A408B">
        <w:rPr>
          <w:rFonts w:eastAsia="Times New Roman"/>
          <w:sz w:val="18"/>
          <w:szCs w:val="18"/>
        </w:rPr>
        <w:t xml:space="preserve">, M.; </w:t>
      </w:r>
      <w:proofErr w:type="spellStart"/>
      <w:r w:rsidRPr="006A408B">
        <w:rPr>
          <w:rFonts w:eastAsia="Times New Roman"/>
          <w:sz w:val="18"/>
          <w:szCs w:val="18"/>
        </w:rPr>
        <w:t>Ii</w:t>
      </w:r>
      <w:proofErr w:type="spellEnd"/>
      <w:r w:rsidRPr="006A408B">
        <w:rPr>
          <w:rFonts w:eastAsia="Times New Roman"/>
          <w:sz w:val="18"/>
          <w:szCs w:val="18"/>
        </w:rPr>
        <w:t xml:space="preserve">, G.E.A.; </w:t>
      </w:r>
      <w:proofErr w:type="spellStart"/>
      <w:r w:rsidRPr="006A408B">
        <w:rPr>
          <w:rFonts w:eastAsia="Times New Roman"/>
          <w:sz w:val="18"/>
          <w:szCs w:val="18"/>
        </w:rPr>
        <w:t>Bonakdar</w:t>
      </w:r>
      <w:proofErr w:type="spellEnd"/>
      <w:r w:rsidRPr="006A408B">
        <w:rPr>
          <w:rFonts w:eastAsia="Times New Roman"/>
          <w:sz w:val="18"/>
          <w:szCs w:val="18"/>
        </w:rPr>
        <w:t xml:space="preserve">, S.; </w:t>
      </w:r>
      <w:proofErr w:type="spellStart"/>
      <w:r w:rsidRPr="006A408B">
        <w:rPr>
          <w:rFonts w:eastAsia="Times New Roman"/>
          <w:sz w:val="18"/>
          <w:szCs w:val="18"/>
        </w:rPr>
        <w:t>Oskuee</w:t>
      </w:r>
      <w:proofErr w:type="spellEnd"/>
      <w:r w:rsidRPr="006A408B">
        <w:rPr>
          <w:rFonts w:eastAsia="Times New Roman"/>
          <w:sz w:val="18"/>
          <w:szCs w:val="18"/>
        </w:rPr>
        <w:t xml:space="preserve">, R.K.; </w:t>
      </w:r>
      <w:proofErr w:type="spellStart"/>
      <w:r w:rsidRPr="006A408B">
        <w:rPr>
          <w:rFonts w:eastAsia="Times New Roman"/>
          <w:sz w:val="18"/>
          <w:szCs w:val="18"/>
        </w:rPr>
        <w:t>Shokrgozar</w:t>
      </w:r>
      <w:proofErr w:type="spellEnd"/>
      <w:r w:rsidRPr="006A408B">
        <w:rPr>
          <w:rFonts w:eastAsia="Times New Roman"/>
          <w:sz w:val="18"/>
          <w:szCs w:val="18"/>
        </w:rPr>
        <w:t xml:space="preserve">, M.A.; </w:t>
      </w:r>
      <w:proofErr w:type="spellStart"/>
      <w:r w:rsidRPr="006A408B">
        <w:rPr>
          <w:rFonts w:eastAsia="Times New Roman"/>
          <w:sz w:val="18"/>
          <w:szCs w:val="18"/>
        </w:rPr>
        <w:t>Potyondy</w:t>
      </w:r>
      <w:proofErr w:type="spellEnd"/>
      <w:r w:rsidRPr="006A408B">
        <w:rPr>
          <w:rFonts w:eastAsia="Times New Roman"/>
          <w:sz w:val="18"/>
          <w:szCs w:val="18"/>
        </w:rPr>
        <w:t xml:space="preserve">, T.; </w:t>
      </w:r>
      <w:proofErr w:type="spellStart"/>
      <w:r w:rsidRPr="006A408B">
        <w:rPr>
          <w:rFonts w:eastAsia="Times New Roman"/>
          <w:sz w:val="18"/>
          <w:szCs w:val="18"/>
        </w:rPr>
        <w:t>Alambeigi</w:t>
      </w:r>
      <w:proofErr w:type="spellEnd"/>
      <w:r w:rsidRPr="006A408B">
        <w:rPr>
          <w:rFonts w:eastAsia="Times New Roman"/>
          <w:sz w:val="18"/>
          <w:szCs w:val="18"/>
        </w:rPr>
        <w:t xml:space="preserve">, F.; </w:t>
      </w:r>
      <w:proofErr w:type="spellStart"/>
      <w:r w:rsidRPr="006A408B">
        <w:rPr>
          <w:rFonts w:eastAsia="Times New Roman"/>
          <w:sz w:val="18"/>
          <w:szCs w:val="18"/>
        </w:rPr>
        <w:t>Ahadian</w:t>
      </w:r>
      <w:proofErr w:type="spellEnd"/>
      <w:r w:rsidRPr="006A408B">
        <w:rPr>
          <w:rFonts w:eastAsia="Times New Roman"/>
          <w:sz w:val="18"/>
          <w:szCs w:val="18"/>
        </w:rPr>
        <w:t xml:space="preserve">, S. Coaxial 3D bioprinting of tri‐polymer scaffolds to improve the osteogenic and vasculogenic potential of cells in co‐culture models. </w:t>
      </w:r>
      <w:r w:rsidRPr="006A408B">
        <w:rPr>
          <w:rFonts w:eastAsia="Times New Roman"/>
          <w:i/>
          <w:iCs/>
          <w:sz w:val="18"/>
          <w:szCs w:val="18"/>
        </w:rPr>
        <w:t>J. Biomed. Mater. Res. Part A</w:t>
      </w:r>
      <w:r w:rsidRPr="006A408B">
        <w:rPr>
          <w:rFonts w:eastAsia="Times New Roman"/>
          <w:sz w:val="18"/>
          <w:szCs w:val="18"/>
        </w:rPr>
        <w:t xml:space="preserve"> </w:t>
      </w:r>
      <w:r w:rsidRPr="006A408B">
        <w:rPr>
          <w:rFonts w:eastAsia="Times New Roman"/>
          <w:b/>
          <w:bCs/>
          <w:sz w:val="18"/>
          <w:szCs w:val="18"/>
        </w:rPr>
        <w:t>2022</w:t>
      </w:r>
      <w:r w:rsidRPr="006A408B">
        <w:rPr>
          <w:rFonts w:eastAsia="Times New Roman"/>
          <w:bCs/>
          <w:sz w:val="18"/>
          <w:szCs w:val="18"/>
        </w:rPr>
        <w:t xml:space="preserve">, </w:t>
      </w:r>
      <w:r w:rsidRPr="006A408B">
        <w:rPr>
          <w:rFonts w:eastAsia="Times New Roman"/>
          <w:bCs/>
          <w:i/>
          <w:sz w:val="18"/>
          <w:szCs w:val="18"/>
        </w:rPr>
        <w:t>110</w:t>
      </w:r>
      <w:r w:rsidRPr="006A408B">
        <w:rPr>
          <w:rFonts w:eastAsia="Times New Roman"/>
          <w:bCs/>
          <w:sz w:val="18"/>
          <w:szCs w:val="18"/>
        </w:rPr>
        <w:t>, 1077–1089</w:t>
      </w:r>
      <w:r w:rsidRPr="006A408B">
        <w:rPr>
          <w:rFonts w:eastAsia="Times New Roman"/>
          <w:sz w:val="18"/>
          <w:szCs w:val="18"/>
        </w:rPr>
        <w:t xml:space="preserve">. </w:t>
      </w:r>
      <w:hyperlink r:id="rId21" w:history="1">
        <w:r w:rsidR="00906D55" w:rsidRPr="003C192B">
          <w:rPr>
            <w:rStyle w:val="Hyperlink"/>
            <w:rFonts w:eastAsia="Times New Roman"/>
            <w:sz w:val="18"/>
            <w:szCs w:val="18"/>
          </w:rPr>
          <w:t>https://doi.org/10.1002/jbm.a.37354</w:t>
        </w:r>
      </w:hyperlink>
      <w:r w:rsidRPr="006A408B">
        <w:rPr>
          <w:rFonts w:eastAsia="Times New Roman"/>
          <w:sz w:val="18"/>
          <w:szCs w:val="18"/>
        </w:rPr>
        <w:t>.</w:t>
      </w:r>
    </w:p>
    <w:p w14:paraId="7C69210E" w14:textId="40F94AF6" w:rsidR="00906D55" w:rsidRPr="00906D55" w:rsidRDefault="00906D55" w:rsidP="00906D55">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Shao, L.; Gao, Q.; </w:t>
      </w:r>
      <w:proofErr w:type="spellStart"/>
      <w:r w:rsidRPr="006A408B">
        <w:rPr>
          <w:rFonts w:eastAsia="Times New Roman"/>
          <w:sz w:val="18"/>
          <w:szCs w:val="18"/>
        </w:rPr>
        <w:t>Xie</w:t>
      </w:r>
      <w:proofErr w:type="spellEnd"/>
      <w:r w:rsidRPr="006A408B">
        <w:rPr>
          <w:rFonts w:eastAsia="Times New Roman"/>
          <w:sz w:val="18"/>
          <w:szCs w:val="18"/>
        </w:rPr>
        <w:t xml:space="preserve">, C.; Fu, J.; Xiang, M.; Liu, Z.; Xiang, L.; He, Y. Sacrificial microgel-laden </w:t>
      </w:r>
      <w:proofErr w:type="spellStart"/>
      <w:r w:rsidRPr="006A408B">
        <w:rPr>
          <w:rFonts w:eastAsia="Times New Roman"/>
          <w:sz w:val="18"/>
          <w:szCs w:val="18"/>
        </w:rPr>
        <w:t>bioink</w:t>
      </w:r>
      <w:proofErr w:type="spellEnd"/>
      <w:r w:rsidRPr="006A408B">
        <w:rPr>
          <w:rFonts w:eastAsia="Times New Roman"/>
          <w:sz w:val="18"/>
          <w:szCs w:val="18"/>
        </w:rPr>
        <w:t xml:space="preserve">-enabled 3D bioprinting of mesoscale pore networks. </w:t>
      </w:r>
      <w:r w:rsidRPr="006A408B">
        <w:rPr>
          <w:rFonts w:eastAsia="Times New Roman"/>
          <w:i/>
          <w:iCs/>
          <w:sz w:val="18"/>
          <w:szCs w:val="18"/>
        </w:rPr>
        <w:t>Bio-Design Manuf.</w:t>
      </w:r>
      <w:r w:rsidRPr="006A408B">
        <w:rPr>
          <w:rFonts w:eastAsia="Times New Roman"/>
          <w:sz w:val="18"/>
          <w:szCs w:val="18"/>
        </w:rPr>
        <w:t xml:space="preserve"> </w:t>
      </w:r>
      <w:r w:rsidRPr="006A408B">
        <w:rPr>
          <w:rFonts w:eastAsia="Times New Roman"/>
          <w:b/>
          <w:bCs/>
          <w:sz w:val="18"/>
          <w:szCs w:val="18"/>
        </w:rPr>
        <w:t>2020</w:t>
      </w:r>
      <w:r w:rsidRPr="006A408B">
        <w:rPr>
          <w:rFonts w:eastAsia="Times New Roman"/>
          <w:bCs/>
          <w:sz w:val="18"/>
          <w:szCs w:val="18"/>
        </w:rPr>
        <w:t xml:space="preserve">, </w:t>
      </w:r>
      <w:r w:rsidRPr="006A408B">
        <w:rPr>
          <w:rFonts w:eastAsia="Times New Roman"/>
          <w:bCs/>
          <w:i/>
          <w:sz w:val="18"/>
          <w:szCs w:val="18"/>
        </w:rPr>
        <w:t>3</w:t>
      </w:r>
      <w:r w:rsidRPr="006A408B">
        <w:rPr>
          <w:rFonts w:eastAsia="Times New Roman"/>
          <w:bCs/>
          <w:sz w:val="18"/>
          <w:szCs w:val="18"/>
        </w:rPr>
        <w:t>, 30–39</w:t>
      </w:r>
      <w:r w:rsidRPr="006A408B">
        <w:rPr>
          <w:rFonts w:eastAsia="Times New Roman"/>
          <w:sz w:val="18"/>
          <w:szCs w:val="18"/>
        </w:rPr>
        <w:t>. https://doi.org/10.1007/s42242-020-00062-y.</w:t>
      </w:r>
    </w:p>
    <w:p w14:paraId="05C94FF3"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Wenz, A.; Borchers, K.; Tovar, G.E.M.; Kluger, P.J. Bone matrix production in hydroxyapatite-modified hydrogels suitable for bone bioprinting. </w:t>
      </w:r>
      <w:proofErr w:type="spellStart"/>
      <w:r w:rsidRPr="006A408B">
        <w:rPr>
          <w:rFonts w:eastAsia="Times New Roman"/>
          <w:i/>
          <w:iCs/>
          <w:sz w:val="18"/>
          <w:szCs w:val="18"/>
        </w:rPr>
        <w:t>Biofabrication</w:t>
      </w:r>
      <w:proofErr w:type="spellEnd"/>
      <w:r w:rsidRPr="006A408B">
        <w:rPr>
          <w:rFonts w:eastAsia="Times New Roman"/>
          <w:sz w:val="18"/>
          <w:szCs w:val="18"/>
        </w:rPr>
        <w:t xml:space="preserve"> </w:t>
      </w:r>
      <w:r w:rsidRPr="006A408B">
        <w:rPr>
          <w:rFonts w:eastAsia="Times New Roman"/>
          <w:b/>
          <w:bCs/>
          <w:sz w:val="18"/>
          <w:szCs w:val="18"/>
        </w:rPr>
        <w:t>2017</w:t>
      </w:r>
      <w:r w:rsidRPr="006A408B">
        <w:rPr>
          <w:rFonts w:eastAsia="Times New Roman"/>
          <w:bCs/>
          <w:sz w:val="18"/>
          <w:szCs w:val="18"/>
        </w:rPr>
        <w:t xml:space="preserve">, </w:t>
      </w:r>
      <w:r w:rsidRPr="006A408B">
        <w:rPr>
          <w:rFonts w:eastAsia="Times New Roman"/>
          <w:bCs/>
          <w:i/>
          <w:sz w:val="18"/>
          <w:szCs w:val="18"/>
        </w:rPr>
        <w:t>9</w:t>
      </w:r>
      <w:r w:rsidRPr="006A408B">
        <w:rPr>
          <w:rFonts w:eastAsia="Times New Roman"/>
          <w:bCs/>
          <w:sz w:val="18"/>
          <w:szCs w:val="18"/>
        </w:rPr>
        <w:t>, 044103</w:t>
      </w:r>
      <w:r w:rsidRPr="006A408B">
        <w:rPr>
          <w:rFonts w:eastAsia="Times New Roman"/>
          <w:sz w:val="18"/>
          <w:szCs w:val="18"/>
        </w:rPr>
        <w:t>. https://doi.org/10.1088/1758-5090/aa91ec.</w:t>
      </w:r>
    </w:p>
    <w:p w14:paraId="170CCC43" w14:textId="77777777" w:rsidR="004803E2" w:rsidRPr="004F44BF"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proofErr w:type="spellStart"/>
      <w:r w:rsidRPr="006A408B">
        <w:rPr>
          <w:rFonts w:eastAsia="Times New Roman"/>
          <w:sz w:val="18"/>
          <w:szCs w:val="18"/>
        </w:rPr>
        <w:t>Leucht</w:t>
      </w:r>
      <w:proofErr w:type="spellEnd"/>
      <w:r w:rsidRPr="006A408B">
        <w:rPr>
          <w:rFonts w:eastAsia="Times New Roman"/>
          <w:sz w:val="18"/>
          <w:szCs w:val="18"/>
        </w:rPr>
        <w:t xml:space="preserve">, A.; Volz, A.-C.; </w:t>
      </w:r>
      <w:proofErr w:type="spellStart"/>
      <w:r w:rsidRPr="006A408B">
        <w:rPr>
          <w:rFonts w:eastAsia="Times New Roman"/>
          <w:sz w:val="18"/>
          <w:szCs w:val="18"/>
        </w:rPr>
        <w:t>Rogal</w:t>
      </w:r>
      <w:proofErr w:type="spellEnd"/>
      <w:r w:rsidRPr="006A408B">
        <w:rPr>
          <w:rFonts w:eastAsia="Times New Roman"/>
          <w:sz w:val="18"/>
          <w:szCs w:val="18"/>
        </w:rPr>
        <w:t xml:space="preserve">, J.; Borchers, K.; Kluger, P.J. Advanced </w:t>
      </w:r>
      <w:proofErr w:type="spellStart"/>
      <w:r w:rsidRPr="006A408B">
        <w:rPr>
          <w:rFonts w:eastAsia="Times New Roman"/>
          <w:sz w:val="18"/>
          <w:szCs w:val="18"/>
        </w:rPr>
        <w:t>gelatin</w:t>
      </w:r>
      <w:proofErr w:type="spellEnd"/>
      <w:r w:rsidRPr="006A408B">
        <w:rPr>
          <w:rFonts w:eastAsia="Times New Roman"/>
          <w:sz w:val="18"/>
          <w:szCs w:val="18"/>
        </w:rPr>
        <w:t xml:space="preserve">-based vascularization </w:t>
      </w:r>
      <w:proofErr w:type="spellStart"/>
      <w:r w:rsidRPr="006A408B">
        <w:rPr>
          <w:rFonts w:eastAsia="Times New Roman"/>
          <w:sz w:val="18"/>
          <w:szCs w:val="18"/>
        </w:rPr>
        <w:t>bioinks</w:t>
      </w:r>
      <w:proofErr w:type="spellEnd"/>
      <w:r w:rsidRPr="006A408B">
        <w:rPr>
          <w:rFonts w:eastAsia="Times New Roman"/>
          <w:sz w:val="18"/>
          <w:szCs w:val="18"/>
        </w:rPr>
        <w:t xml:space="preserve"> for extrusion-based bioprinting of vascularized bone equivalents. </w:t>
      </w:r>
      <w:r w:rsidRPr="006A408B">
        <w:rPr>
          <w:rFonts w:eastAsia="Times New Roman"/>
          <w:i/>
          <w:iCs/>
          <w:sz w:val="18"/>
          <w:szCs w:val="18"/>
        </w:rPr>
        <w:t>Sci. Rep.</w:t>
      </w:r>
      <w:r w:rsidRPr="006A408B">
        <w:rPr>
          <w:rFonts w:eastAsia="Times New Roman"/>
          <w:sz w:val="18"/>
          <w:szCs w:val="18"/>
        </w:rPr>
        <w:t xml:space="preserve"> </w:t>
      </w:r>
      <w:r w:rsidRPr="006A408B">
        <w:rPr>
          <w:rFonts w:eastAsia="Times New Roman"/>
          <w:b/>
          <w:bCs/>
          <w:sz w:val="18"/>
          <w:szCs w:val="18"/>
        </w:rPr>
        <w:t>2020</w:t>
      </w:r>
      <w:r w:rsidRPr="006A408B">
        <w:rPr>
          <w:rFonts w:eastAsia="Times New Roman"/>
          <w:bCs/>
          <w:sz w:val="18"/>
          <w:szCs w:val="18"/>
        </w:rPr>
        <w:t xml:space="preserve">, </w:t>
      </w:r>
      <w:r w:rsidRPr="006A408B">
        <w:rPr>
          <w:rFonts w:eastAsia="Times New Roman"/>
          <w:bCs/>
          <w:i/>
          <w:sz w:val="18"/>
          <w:szCs w:val="18"/>
        </w:rPr>
        <w:t>10</w:t>
      </w:r>
      <w:r w:rsidRPr="006A408B">
        <w:rPr>
          <w:rFonts w:eastAsia="Times New Roman"/>
          <w:bCs/>
          <w:sz w:val="18"/>
          <w:szCs w:val="18"/>
        </w:rPr>
        <w:t>, 5330</w:t>
      </w:r>
      <w:r w:rsidRPr="006A408B">
        <w:rPr>
          <w:rFonts w:eastAsia="Times New Roman"/>
          <w:sz w:val="18"/>
          <w:szCs w:val="18"/>
        </w:rPr>
        <w:t>. https://doi.org/10.1038/s41598-020-62166</w:t>
      </w:r>
      <w:r w:rsidRPr="004F44BF">
        <w:rPr>
          <w:rFonts w:eastAsia="Times New Roman"/>
          <w:sz w:val="18"/>
          <w:szCs w:val="18"/>
        </w:rPr>
        <w:t>-w.</w:t>
      </w:r>
    </w:p>
    <w:p w14:paraId="6104D58B" w14:textId="77777777"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4F44BF">
        <w:rPr>
          <w:rFonts w:eastAsia="Times New Roman"/>
          <w:sz w:val="18"/>
          <w:szCs w:val="18"/>
        </w:rPr>
        <w:t xml:space="preserve">Sun, X.; Ma, Z.; Zhao, X.; Jin, W.; Zhang, C.; Ma, J.; </w:t>
      </w:r>
      <w:proofErr w:type="spellStart"/>
      <w:r w:rsidRPr="004F44BF">
        <w:rPr>
          <w:rFonts w:eastAsia="Times New Roman"/>
          <w:sz w:val="18"/>
          <w:szCs w:val="18"/>
        </w:rPr>
        <w:t>Qiang</w:t>
      </w:r>
      <w:proofErr w:type="spellEnd"/>
      <w:r w:rsidRPr="004F44BF">
        <w:rPr>
          <w:rFonts w:eastAsia="Times New Roman"/>
          <w:sz w:val="18"/>
          <w:szCs w:val="18"/>
        </w:rPr>
        <w:t xml:space="preserve">, L.; Wang, W.; Deng, Q.; Yang, H.; et al. Three-dimensional bioprinting of multicell-laden scaffolds containing bone morphogenic protein-4 for promoting M2 macrophage polarization and accelerating bone defect repair in diabetes mellitus. </w:t>
      </w:r>
      <w:proofErr w:type="spellStart"/>
      <w:r w:rsidRPr="004F44BF">
        <w:rPr>
          <w:rFonts w:eastAsia="Times New Roman"/>
          <w:i/>
          <w:iCs/>
          <w:sz w:val="18"/>
          <w:szCs w:val="18"/>
        </w:rPr>
        <w:t>Bioact</w:t>
      </w:r>
      <w:proofErr w:type="spellEnd"/>
      <w:r w:rsidRPr="004F44BF">
        <w:rPr>
          <w:rFonts w:eastAsia="Times New Roman"/>
          <w:i/>
          <w:iCs/>
          <w:sz w:val="18"/>
          <w:szCs w:val="18"/>
        </w:rPr>
        <w:t>. Mater.</w:t>
      </w:r>
      <w:r w:rsidRPr="004F44BF">
        <w:rPr>
          <w:rFonts w:eastAsia="Times New Roman"/>
          <w:sz w:val="18"/>
          <w:szCs w:val="18"/>
        </w:rPr>
        <w:t xml:space="preserve"> </w:t>
      </w:r>
      <w:r>
        <w:rPr>
          <w:rFonts w:eastAsia="Times New Roman"/>
          <w:b/>
          <w:bCs/>
          <w:sz w:val="18"/>
          <w:szCs w:val="18"/>
        </w:rPr>
        <w:t>2020</w:t>
      </w:r>
      <w:r>
        <w:rPr>
          <w:rFonts w:eastAsia="Times New Roman"/>
          <w:bCs/>
          <w:sz w:val="18"/>
          <w:szCs w:val="18"/>
        </w:rPr>
        <w:t xml:space="preserve">, </w:t>
      </w:r>
      <w:r>
        <w:rPr>
          <w:rFonts w:eastAsia="Times New Roman"/>
          <w:bCs/>
          <w:i/>
          <w:sz w:val="18"/>
          <w:szCs w:val="18"/>
        </w:rPr>
        <w:t>6</w:t>
      </w:r>
      <w:r>
        <w:rPr>
          <w:rFonts w:eastAsia="Times New Roman"/>
          <w:bCs/>
          <w:sz w:val="18"/>
          <w:szCs w:val="18"/>
        </w:rPr>
        <w:t>, 757–769</w:t>
      </w:r>
      <w:r w:rsidRPr="004F44BF">
        <w:rPr>
          <w:rFonts w:eastAsia="Times New Roman"/>
          <w:sz w:val="18"/>
          <w:szCs w:val="18"/>
        </w:rPr>
        <w:t>. https://doi.org/10.1016/j.</w:t>
      </w:r>
      <w:r w:rsidRPr="006A408B">
        <w:rPr>
          <w:rFonts w:eastAsia="Times New Roman"/>
          <w:sz w:val="18"/>
          <w:szCs w:val="18"/>
        </w:rPr>
        <w:t>bioactmat.2020.08.030.</w:t>
      </w:r>
    </w:p>
    <w:p w14:paraId="11811FF9" w14:textId="036825BC" w:rsidR="004803E2"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Ratheesh, G.; </w:t>
      </w:r>
      <w:proofErr w:type="spellStart"/>
      <w:r w:rsidRPr="006A408B">
        <w:rPr>
          <w:rFonts w:eastAsia="Times New Roman"/>
          <w:sz w:val="18"/>
          <w:szCs w:val="18"/>
        </w:rPr>
        <w:t>Vaquette</w:t>
      </w:r>
      <w:proofErr w:type="spellEnd"/>
      <w:r w:rsidRPr="006A408B">
        <w:rPr>
          <w:rFonts w:eastAsia="Times New Roman"/>
          <w:sz w:val="18"/>
          <w:szCs w:val="18"/>
        </w:rPr>
        <w:t xml:space="preserve">, C.; Xiao, Y. Patient‐Specific Bone Particles Bioprinting for Bone Tissue Engineering. </w:t>
      </w:r>
      <w:r w:rsidRPr="006A408B">
        <w:rPr>
          <w:rFonts w:eastAsia="Times New Roman"/>
          <w:i/>
          <w:iCs/>
          <w:sz w:val="18"/>
          <w:szCs w:val="18"/>
        </w:rPr>
        <w:t>Adv. Health Mater.</w:t>
      </w:r>
      <w:r w:rsidRPr="006A408B">
        <w:rPr>
          <w:rFonts w:eastAsia="Times New Roman"/>
          <w:sz w:val="18"/>
          <w:szCs w:val="18"/>
        </w:rPr>
        <w:t xml:space="preserve"> </w:t>
      </w:r>
      <w:r w:rsidRPr="006A408B">
        <w:rPr>
          <w:rFonts w:eastAsia="Times New Roman"/>
          <w:b/>
          <w:bCs/>
          <w:sz w:val="18"/>
          <w:szCs w:val="18"/>
        </w:rPr>
        <w:t>2020</w:t>
      </w:r>
      <w:r w:rsidRPr="006A408B">
        <w:rPr>
          <w:rFonts w:eastAsia="Times New Roman"/>
          <w:bCs/>
          <w:sz w:val="18"/>
          <w:szCs w:val="18"/>
        </w:rPr>
        <w:t xml:space="preserve">, </w:t>
      </w:r>
      <w:r w:rsidRPr="006A408B">
        <w:rPr>
          <w:rFonts w:eastAsia="Times New Roman"/>
          <w:bCs/>
          <w:i/>
          <w:sz w:val="18"/>
          <w:szCs w:val="18"/>
        </w:rPr>
        <w:t>9</w:t>
      </w:r>
      <w:r w:rsidRPr="006A408B">
        <w:rPr>
          <w:rFonts w:eastAsia="Times New Roman"/>
          <w:bCs/>
          <w:sz w:val="18"/>
          <w:szCs w:val="18"/>
        </w:rPr>
        <w:t>, e2001323</w:t>
      </w:r>
      <w:r w:rsidRPr="006A408B">
        <w:rPr>
          <w:rFonts w:eastAsia="Times New Roman"/>
          <w:sz w:val="18"/>
          <w:szCs w:val="18"/>
        </w:rPr>
        <w:t xml:space="preserve">. </w:t>
      </w:r>
      <w:hyperlink r:id="rId22" w:history="1">
        <w:r w:rsidRPr="00B914DD">
          <w:rPr>
            <w:rStyle w:val="Hyperlink"/>
            <w:rFonts w:eastAsia="Times New Roman"/>
            <w:sz w:val="18"/>
            <w:szCs w:val="18"/>
          </w:rPr>
          <w:t>https://doi.org/10.1002/adhm.202001323</w:t>
        </w:r>
      </w:hyperlink>
      <w:r w:rsidRPr="006A408B">
        <w:rPr>
          <w:rFonts w:eastAsia="Times New Roman"/>
          <w:sz w:val="18"/>
          <w:szCs w:val="18"/>
        </w:rPr>
        <w:t>.</w:t>
      </w:r>
    </w:p>
    <w:p w14:paraId="36190B64" w14:textId="3AF691CC" w:rsidR="004803E2" w:rsidRPr="006A408B" w:rsidRDefault="004803E2" w:rsidP="004803E2">
      <w:pPr>
        <w:pStyle w:val="ListParagraph"/>
        <w:numPr>
          <w:ilvl w:val="0"/>
          <w:numId w:val="27"/>
        </w:numPr>
        <w:adjustRightInd w:val="0"/>
        <w:snapToGrid w:val="0"/>
        <w:spacing w:after="0" w:line="228" w:lineRule="auto"/>
        <w:ind w:left="425" w:hanging="425"/>
        <w:rPr>
          <w:rFonts w:eastAsia="Times New Roman"/>
          <w:sz w:val="18"/>
          <w:szCs w:val="18"/>
        </w:rPr>
      </w:pPr>
      <w:r w:rsidRPr="006A408B">
        <w:rPr>
          <w:rFonts w:eastAsia="Times New Roman"/>
          <w:sz w:val="18"/>
          <w:szCs w:val="18"/>
        </w:rPr>
        <w:t xml:space="preserve">Tavares, M.T.; Gaspar, V.M.; Monteiro, M.V.; Farinha, J.P.S.; </w:t>
      </w:r>
      <w:proofErr w:type="spellStart"/>
      <w:r w:rsidRPr="006A408B">
        <w:rPr>
          <w:rFonts w:eastAsia="Times New Roman"/>
          <w:sz w:val="18"/>
          <w:szCs w:val="18"/>
        </w:rPr>
        <w:t>Baleizão</w:t>
      </w:r>
      <w:proofErr w:type="spellEnd"/>
      <w:r w:rsidRPr="006A408B">
        <w:rPr>
          <w:rFonts w:eastAsia="Times New Roman"/>
          <w:sz w:val="18"/>
          <w:szCs w:val="18"/>
        </w:rPr>
        <w:t xml:space="preserve">, C.; Mano, J.F. </w:t>
      </w:r>
      <w:proofErr w:type="spellStart"/>
      <w:r w:rsidRPr="006A408B">
        <w:rPr>
          <w:rFonts w:eastAsia="Times New Roman"/>
          <w:sz w:val="18"/>
          <w:szCs w:val="18"/>
        </w:rPr>
        <w:t>GelMA</w:t>
      </w:r>
      <w:proofErr w:type="spellEnd"/>
      <w:r w:rsidRPr="006A408B">
        <w:rPr>
          <w:rFonts w:eastAsia="Times New Roman"/>
          <w:sz w:val="18"/>
          <w:szCs w:val="18"/>
        </w:rPr>
        <w:t xml:space="preserve">/bioactive silica nanocomposite </w:t>
      </w:r>
      <w:proofErr w:type="spellStart"/>
      <w:r w:rsidRPr="006A408B">
        <w:rPr>
          <w:rFonts w:eastAsia="Times New Roman"/>
          <w:sz w:val="18"/>
          <w:szCs w:val="18"/>
        </w:rPr>
        <w:t>bioinks</w:t>
      </w:r>
      <w:proofErr w:type="spellEnd"/>
      <w:r w:rsidRPr="006A408B">
        <w:rPr>
          <w:rFonts w:eastAsia="Times New Roman"/>
          <w:sz w:val="18"/>
          <w:szCs w:val="18"/>
        </w:rPr>
        <w:t xml:space="preserve"> for stem cell osteogenic differentiation. </w:t>
      </w:r>
      <w:proofErr w:type="spellStart"/>
      <w:r w:rsidRPr="006A408B">
        <w:rPr>
          <w:rFonts w:eastAsia="Times New Roman"/>
          <w:i/>
          <w:iCs/>
          <w:sz w:val="18"/>
          <w:szCs w:val="18"/>
        </w:rPr>
        <w:t>Biofabrication</w:t>
      </w:r>
      <w:proofErr w:type="spellEnd"/>
      <w:r w:rsidRPr="006A408B">
        <w:rPr>
          <w:rFonts w:eastAsia="Times New Roman"/>
          <w:sz w:val="18"/>
          <w:szCs w:val="18"/>
        </w:rPr>
        <w:t xml:space="preserve"> </w:t>
      </w:r>
      <w:r w:rsidRPr="006A408B">
        <w:rPr>
          <w:rFonts w:eastAsia="Times New Roman"/>
          <w:b/>
          <w:bCs/>
          <w:sz w:val="18"/>
          <w:szCs w:val="18"/>
        </w:rPr>
        <w:t>2021</w:t>
      </w:r>
      <w:r w:rsidRPr="006A408B">
        <w:rPr>
          <w:rFonts w:eastAsia="Times New Roman"/>
          <w:bCs/>
          <w:sz w:val="18"/>
          <w:szCs w:val="18"/>
        </w:rPr>
        <w:t xml:space="preserve">, </w:t>
      </w:r>
      <w:r w:rsidRPr="006A408B">
        <w:rPr>
          <w:rFonts w:eastAsia="Times New Roman"/>
          <w:bCs/>
          <w:i/>
          <w:sz w:val="18"/>
          <w:szCs w:val="18"/>
        </w:rPr>
        <w:t>13</w:t>
      </w:r>
      <w:r w:rsidRPr="006A408B">
        <w:rPr>
          <w:rFonts w:eastAsia="Times New Roman"/>
          <w:bCs/>
          <w:sz w:val="18"/>
          <w:szCs w:val="18"/>
        </w:rPr>
        <w:t>, 035012</w:t>
      </w:r>
      <w:r w:rsidRPr="006A408B">
        <w:rPr>
          <w:rFonts w:eastAsia="Times New Roman"/>
          <w:sz w:val="18"/>
          <w:szCs w:val="18"/>
        </w:rPr>
        <w:t>. https://doi.org/10.1088/1758-5090/abdc86</w:t>
      </w:r>
      <w:r>
        <w:rPr>
          <w:rFonts w:eastAsia="Times New Roman"/>
          <w:sz w:val="18"/>
          <w:szCs w:val="18"/>
        </w:rPr>
        <w:t>.</w:t>
      </w:r>
    </w:p>
    <w:p w14:paraId="49D4A221" w14:textId="603C61E0" w:rsidR="00275734" w:rsidRPr="001C2FE1" w:rsidRDefault="00275734" w:rsidP="004803E2">
      <w:pPr>
        <w:pStyle w:val="MDPI71References"/>
        <w:numPr>
          <w:ilvl w:val="0"/>
          <w:numId w:val="0"/>
        </w:numPr>
        <w:ind w:left="426"/>
        <w:jc w:val="left"/>
        <w:rPr>
          <w:color w:val="auto"/>
        </w:rPr>
      </w:pPr>
    </w:p>
    <w:sectPr w:rsidR="00275734" w:rsidRPr="001C2FE1" w:rsidSect="00DA46DC">
      <w:type w:val="continuous"/>
      <w:pgSz w:w="11906" w:h="16838" w:code="9"/>
      <w:pgMar w:top="1418" w:right="720" w:bottom="1077" w:left="720" w:header="1021"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85F5C" w14:textId="77777777" w:rsidR="00AB6046" w:rsidRDefault="00AB6046">
      <w:pPr>
        <w:spacing w:line="240" w:lineRule="auto"/>
      </w:pPr>
      <w:r>
        <w:separator/>
      </w:r>
    </w:p>
  </w:endnote>
  <w:endnote w:type="continuationSeparator" w:id="0">
    <w:p w14:paraId="2D1CFFF1" w14:textId="77777777" w:rsidR="00AB6046" w:rsidRDefault="00AB60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Gulim">
    <w:altName w:val="Gulim"/>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9EE9" w14:textId="77777777" w:rsidR="00C83240" w:rsidRDefault="00C83240" w:rsidP="00822519">
    <w:pPr>
      <w:pBdr>
        <w:top w:val="single" w:sz="4" w:space="0" w:color="000000"/>
      </w:pBdr>
      <w:tabs>
        <w:tab w:val="right" w:pos="8844"/>
      </w:tabs>
      <w:adjustRightInd w:val="0"/>
      <w:snapToGrid w:val="0"/>
      <w:spacing w:before="480" w:line="100" w:lineRule="exact"/>
      <w:jc w:val="left"/>
      <w:rPr>
        <w:i/>
        <w:sz w:val="16"/>
        <w:szCs w:val="16"/>
      </w:rPr>
    </w:pPr>
  </w:p>
  <w:p w14:paraId="4A525258" w14:textId="77777777" w:rsidR="00F55360" w:rsidRPr="00372FCD" w:rsidRDefault="00F55360" w:rsidP="00243DED">
    <w:pPr>
      <w:tabs>
        <w:tab w:val="right" w:pos="10466"/>
      </w:tabs>
      <w:adjustRightInd w:val="0"/>
      <w:snapToGrid w:val="0"/>
      <w:spacing w:line="240" w:lineRule="auto"/>
      <w:rPr>
        <w:sz w:val="16"/>
        <w:szCs w:val="16"/>
        <w:lang w:val="fr-CH"/>
      </w:rPr>
    </w:pPr>
    <w:r w:rsidRPr="00925FCD">
      <w:rPr>
        <w:i/>
        <w:sz w:val="16"/>
        <w:szCs w:val="16"/>
      </w:rPr>
      <w:t xml:space="preserve">Bioengineering </w:t>
    </w:r>
    <w:r w:rsidR="00AD5C46">
      <w:rPr>
        <w:b/>
        <w:bCs/>
        <w:iCs/>
        <w:sz w:val="16"/>
        <w:szCs w:val="16"/>
      </w:rPr>
      <w:t>2022</w:t>
    </w:r>
    <w:r w:rsidR="00673D6E" w:rsidRPr="00673D6E">
      <w:rPr>
        <w:bCs/>
        <w:iCs/>
        <w:sz w:val="16"/>
        <w:szCs w:val="16"/>
      </w:rPr>
      <w:t>,</w:t>
    </w:r>
    <w:r w:rsidR="00AD5C46">
      <w:rPr>
        <w:bCs/>
        <w:i/>
        <w:iCs/>
        <w:sz w:val="16"/>
        <w:szCs w:val="16"/>
      </w:rPr>
      <w:t xml:space="preserve"> 9</w:t>
    </w:r>
    <w:r w:rsidR="00673D6E" w:rsidRPr="00673D6E">
      <w:rPr>
        <w:bCs/>
        <w:iCs/>
        <w:sz w:val="16"/>
        <w:szCs w:val="16"/>
      </w:rPr>
      <w:t xml:space="preserve">, </w:t>
    </w:r>
    <w:r w:rsidR="00500C88">
      <w:rPr>
        <w:bCs/>
        <w:iCs/>
        <w:sz w:val="16"/>
        <w:szCs w:val="16"/>
      </w:rPr>
      <w:t>x</w:t>
    </w:r>
    <w:r w:rsidR="00C83240">
      <w:rPr>
        <w:bCs/>
        <w:iCs/>
        <w:sz w:val="16"/>
        <w:szCs w:val="16"/>
      </w:rPr>
      <w:t>. https://doi.org/10.3390/xxxxx</w:t>
    </w:r>
    <w:r w:rsidR="00243DED" w:rsidRPr="00372FCD">
      <w:rPr>
        <w:sz w:val="16"/>
        <w:szCs w:val="16"/>
        <w:lang w:val="fr-CH"/>
      </w:rPr>
      <w:tab/>
    </w:r>
    <w:r w:rsidRPr="00372FCD">
      <w:rPr>
        <w:sz w:val="16"/>
        <w:szCs w:val="16"/>
        <w:lang w:val="fr-CH"/>
      </w:rPr>
      <w:t>www.mdpi.com/journal/</w:t>
    </w:r>
    <w:r w:rsidRPr="00925FCD">
      <w:rPr>
        <w:sz w:val="16"/>
        <w:szCs w:val="16"/>
      </w:rPr>
      <w:t>bioengineering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2288F" w14:textId="77777777" w:rsidR="00AB6046" w:rsidRDefault="00AB6046">
      <w:pPr>
        <w:spacing w:line="240" w:lineRule="auto"/>
      </w:pPr>
      <w:r>
        <w:separator/>
      </w:r>
    </w:p>
  </w:footnote>
  <w:footnote w:type="continuationSeparator" w:id="0">
    <w:p w14:paraId="215E059A" w14:textId="77777777" w:rsidR="00AB6046" w:rsidRDefault="00AB60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722C" w14:textId="77777777" w:rsidR="00F55360" w:rsidRDefault="00F55360" w:rsidP="00F5536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3C5E" w14:textId="77777777" w:rsidR="00C83240" w:rsidRDefault="00F55360" w:rsidP="00243DED">
    <w:pPr>
      <w:tabs>
        <w:tab w:val="right" w:pos="10466"/>
      </w:tabs>
      <w:adjustRightInd w:val="0"/>
      <w:snapToGrid w:val="0"/>
      <w:spacing w:line="240" w:lineRule="auto"/>
      <w:rPr>
        <w:sz w:val="16"/>
      </w:rPr>
    </w:pPr>
    <w:r>
      <w:rPr>
        <w:i/>
        <w:sz w:val="16"/>
      </w:rPr>
      <w:t xml:space="preserve">Bioengineering </w:t>
    </w:r>
    <w:r w:rsidR="00AD5C46">
      <w:rPr>
        <w:b/>
        <w:sz w:val="16"/>
      </w:rPr>
      <w:t>2022</w:t>
    </w:r>
    <w:r w:rsidR="00673D6E" w:rsidRPr="00673D6E">
      <w:rPr>
        <w:sz w:val="16"/>
      </w:rPr>
      <w:t>,</w:t>
    </w:r>
    <w:r w:rsidR="00AD5C46">
      <w:rPr>
        <w:i/>
        <w:sz w:val="16"/>
      </w:rPr>
      <w:t xml:space="preserve"> 9</w:t>
    </w:r>
    <w:r w:rsidR="00500C88">
      <w:rPr>
        <w:sz w:val="16"/>
      </w:rPr>
      <w:t>, x FOR PEER REVIEW</w:t>
    </w:r>
    <w:r w:rsidR="00243DED">
      <w:rPr>
        <w:sz w:val="16"/>
      </w:rPr>
      <w:tab/>
    </w:r>
    <w:r w:rsidR="00500C88">
      <w:rPr>
        <w:sz w:val="16"/>
      </w:rPr>
      <w:fldChar w:fldCharType="begin"/>
    </w:r>
    <w:r w:rsidR="00500C88">
      <w:rPr>
        <w:sz w:val="16"/>
      </w:rPr>
      <w:instrText xml:space="preserve"> PAGE   \* MERGEFORMAT </w:instrText>
    </w:r>
    <w:r w:rsidR="00500C88">
      <w:rPr>
        <w:sz w:val="16"/>
      </w:rPr>
      <w:fldChar w:fldCharType="separate"/>
    </w:r>
    <w:r w:rsidR="008402F8">
      <w:rPr>
        <w:sz w:val="16"/>
      </w:rPr>
      <w:t>5</w:t>
    </w:r>
    <w:r w:rsidR="00500C88">
      <w:rPr>
        <w:sz w:val="16"/>
      </w:rPr>
      <w:fldChar w:fldCharType="end"/>
    </w:r>
    <w:r w:rsidR="00500C88">
      <w:rPr>
        <w:sz w:val="16"/>
      </w:rPr>
      <w:t xml:space="preserve"> of </w:t>
    </w:r>
    <w:r w:rsidR="00500C88">
      <w:rPr>
        <w:sz w:val="16"/>
      </w:rPr>
      <w:fldChar w:fldCharType="begin"/>
    </w:r>
    <w:r w:rsidR="00500C88">
      <w:rPr>
        <w:sz w:val="16"/>
      </w:rPr>
      <w:instrText xml:space="preserve"> NUMPAGES   \* MERGEFORMAT </w:instrText>
    </w:r>
    <w:r w:rsidR="00500C88">
      <w:rPr>
        <w:sz w:val="16"/>
      </w:rPr>
      <w:fldChar w:fldCharType="separate"/>
    </w:r>
    <w:r w:rsidR="008402F8">
      <w:rPr>
        <w:sz w:val="16"/>
      </w:rPr>
      <w:t>5</w:t>
    </w:r>
    <w:r w:rsidR="00500C88">
      <w:rPr>
        <w:sz w:val="16"/>
      </w:rPr>
      <w:fldChar w:fldCharType="end"/>
    </w:r>
  </w:p>
  <w:p w14:paraId="58EBB026" w14:textId="77777777" w:rsidR="00F55360" w:rsidRPr="00515631" w:rsidRDefault="00F55360" w:rsidP="0082251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C83240" w:rsidRPr="00243DED" w14:paraId="217F7F04" w14:textId="77777777" w:rsidTr="008C0EA2">
      <w:trPr>
        <w:trHeight w:val="686"/>
      </w:trPr>
      <w:tc>
        <w:tcPr>
          <w:tcW w:w="3679" w:type="dxa"/>
          <w:shd w:val="clear" w:color="auto" w:fill="auto"/>
          <w:vAlign w:val="center"/>
        </w:tcPr>
        <w:p w14:paraId="540294CB" w14:textId="77777777" w:rsidR="00C83240" w:rsidRPr="001406A6" w:rsidRDefault="003E1140" w:rsidP="00243DED">
          <w:pPr>
            <w:pStyle w:val="Header"/>
            <w:pBdr>
              <w:bottom w:val="none" w:sz="0" w:space="0" w:color="auto"/>
            </w:pBdr>
            <w:jc w:val="left"/>
            <w:rPr>
              <w:rFonts w:eastAsia="DengXian"/>
              <w:b/>
              <w:bCs/>
            </w:rPr>
          </w:pPr>
          <w:r w:rsidRPr="001406A6">
            <w:rPr>
              <w:rFonts w:eastAsia="DengXian"/>
              <w:b/>
              <w:bCs/>
            </w:rPr>
            <w:drawing>
              <wp:inline distT="0" distB="0" distL="0" distR="0" wp14:anchorId="180A05CA" wp14:editId="538CC271">
                <wp:extent cx="1759585" cy="436245"/>
                <wp:effectExtent l="0" t="0" r="0" b="0"/>
                <wp:docPr id="25" name="Picture 3" descr="C:\Users\home\AppData\Local\Temp\HZ$D.082.3281\bioengineerin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281\bioengineerin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585" cy="436245"/>
                        </a:xfrm>
                        <a:prstGeom prst="rect">
                          <a:avLst/>
                        </a:prstGeom>
                        <a:noFill/>
                        <a:ln>
                          <a:noFill/>
                        </a:ln>
                      </pic:spPr>
                    </pic:pic>
                  </a:graphicData>
                </a:graphic>
              </wp:inline>
            </w:drawing>
          </w:r>
        </w:p>
      </w:tc>
      <w:tc>
        <w:tcPr>
          <w:tcW w:w="4535" w:type="dxa"/>
          <w:shd w:val="clear" w:color="auto" w:fill="auto"/>
          <w:vAlign w:val="center"/>
        </w:tcPr>
        <w:p w14:paraId="02130F82" w14:textId="77777777" w:rsidR="00C83240" w:rsidRPr="001406A6" w:rsidRDefault="00C83240" w:rsidP="00243DED">
          <w:pPr>
            <w:pStyle w:val="Header"/>
            <w:pBdr>
              <w:bottom w:val="none" w:sz="0" w:space="0" w:color="auto"/>
            </w:pBdr>
            <w:rPr>
              <w:rFonts w:eastAsia="DengXian"/>
              <w:b/>
              <w:bCs/>
            </w:rPr>
          </w:pPr>
        </w:p>
      </w:tc>
      <w:tc>
        <w:tcPr>
          <w:tcW w:w="2273" w:type="dxa"/>
          <w:shd w:val="clear" w:color="auto" w:fill="auto"/>
          <w:vAlign w:val="center"/>
        </w:tcPr>
        <w:p w14:paraId="3046A6F3" w14:textId="77777777" w:rsidR="00C83240" w:rsidRPr="001406A6" w:rsidRDefault="008C0EA2" w:rsidP="008C0EA2">
          <w:pPr>
            <w:pStyle w:val="Header"/>
            <w:pBdr>
              <w:bottom w:val="none" w:sz="0" w:space="0" w:color="auto"/>
            </w:pBdr>
            <w:jc w:val="right"/>
            <w:rPr>
              <w:rFonts w:eastAsia="DengXian"/>
              <w:b/>
              <w:bCs/>
            </w:rPr>
          </w:pPr>
          <w:r>
            <w:rPr>
              <w:rFonts w:eastAsia="DengXian"/>
              <w:b/>
              <w:bCs/>
            </w:rPr>
            <w:drawing>
              <wp:inline distT="0" distB="0" distL="0" distR="0" wp14:anchorId="5A0C3B65" wp14:editId="224F836F">
                <wp:extent cx="540000" cy="360000"/>
                <wp:effectExtent l="0" t="0" r="0" b="2540"/>
                <wp:docPr id="26" name="Picture 26"/>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338728D" w14:textId="77777777" w:rsidR="00F55360" w:rsidRPr="00C83240" w:rsidRDefault="00F55360" w:rsidP="0082251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D6CEA"/>
    <w:multiLevelType w:val="hybridMultilevel"/>
    <w:tmpl w:val="DBBC473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647A1BBC"/>
    <w:lvl w:ilvl="0" w:tplc="14D0E94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435EDCC8"/>
    <w:lvl w:ilvl="0" w:tplc="776A84AC">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030756F"/>
    <w:multiLevelType w:val="hybridMultilevel"/>
    <w:tmpl w:val="56A215EE"/>
    <w:lvl w:ilvl="0" w:tplc="03A8BB5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66C973DD"/>
    <w:multiLevelType w:val="hybridMultilevel"/>
    <w:tmpl w:val="3C06259C"/>
    <w:lvl w:ilvl="0" w:tplc="D0107F6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6"/>
  </w:num>
  <w:num w:numId="5">
    <w:abstractNumId w:val="10"/>
  </w:num>
  <w:num w:numId="6">
    <w:abstractNumId w:val="3"/>
  </w:num>
  <w:num w:numId="7">
    <w:abstractNumId w:val="10"/>
  </w:num>
  <w:num w:numId="8">
    <w:abstractNumId w:val="3"/>
  </w:num>
  <w:num w:numId="9">
    <w:abstractNumId w:val="10"/>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2"/>
  </w:num>
  <w:num w:numId="14">
    <w:abstractNumId w:val="10"/>
  </w:num>
  <w:num w:numId="15">
    <w:abstractNumId w:val="3"/>
  </w:num>
  <w:num w:numId="16">
    <w:abstractNumId w:val="2"/>
  </w:num>
  <w:num w:numId="17">
    <w:abstractNumId w:val="9"/>
  </w:num>
  <w:num w:numId="18">
    <w:abstractNumId w:val="1"/>
  </w:num>
  <w:num w:numId="19">
    <w:abstractNumId w:val="10"/>
  </w:num>
  <w:num w:numId="20">
    <w:abstractNumId w:val="3"/>
  </w:num>
  <w:num w:numId="21">
    <w:abstractNumId w:val="2"/>
  </w:num>
  <w:num w:numId="22">
    <w:abstractNumId w:val="11"/>
  </w:num>
  <w:num w:numId="23">
    <w:abstractNumId w:val="8"/>
  </w:num>
  <w:num w:numId="24">
    <w:abstractNumId w:val="8"/>
  </w:num>
  <w:num w:numId="25">
    <w:abstractNumId w:val="8"/>
  </w:num>
  <w:num w:numId="26">
    <w:abstractNumId w:val="8"/>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SwMDQzsjAyMjcytjBX0lEKTi0uzszPAykwNKwFAHVC/vctAAAA"/>
  </w:docVars>
  <w:rsids>
    <w:rsidRoot w:val="00CD7915"/>
    <w:rsid w:val="0000064C"/>
    <w:rsid w:val="0000366F"/>
    <w:rsid w:val="0001041B"/>
    <w:rsid w:val="000118EB"/>
    <w:rsid w:val="00023B2B"/>
    <w:rsid w:val="000244F3"/>
    <w:rsid w:val="00027B34"/>
    <w:rsid w:val="00036016"/>
    <w:rsid w:val="00037820"/>
    <w:rsid w:val="000808BA"/>
    <w:rsid w:val="000853FD"/>
    <w:rsid w:val="00093E01"/>
    <w:rsid w:val="000B5EAC"/>
    <w:rsid w:val="000B7299"/>
    <w:rsid w:val="000B7C63"/>
    <w:rsid w:val="000C29A4"/>
    <w:rsid w:val="00100E8D"/>
    <w:rsid w:val="00101C0E"/>
    <w:rsid w:val="0011150B"/>
    <w:rsid w:val="0011287A"/>
    <w:rsid w:val="00120929"/>
    <w:rsid w:val="0013458D"/>
    <w:rsid w:val="001406A6"/>
    <w:rsid w:val="00157EFB"/>
    <w:rsid w:val="00165B80"/>
    <w:rsid w:val="0016610C"/>
    <w:rsid w:val="00185F87"/>
    <w:rsid w:val="0019091F"/>
    <w:rsid w:val="001976DC"/>
    <w:rsid w:val="001A015C"/>
    <w:rsid w:val="001B296F"/>
    <w:rsid w:val="001C2FE1"/>
    <w:rsid w:val="001C3ACA"/>
    <w:rsid w:val="001C57D1"/>
    <w:rsid w:val="001E2AEB"/>
    <w:rsid w:val="00200AA5"/>
    <w:rsid w:val="00202AA0"/>
    <w:rsid w:val="00204D59"/>
    <w:rsid w:val="002137C9"/>
    <w:rsid w:val="00214FA6"/>
    <w:rsid w:val="002169A1"/>
    <w:rsid w:val="002278FE"/>
    <w:rsid w:val="00230354"/>
    <w:rsid w:val="00233A2B"/>
    <w:rsid w:val="00243DED"/>
    <w:rsid w:val="0025521D"/>
    <w:rsid w:val="002627A7"/>
    <w:rsid w:val="0026752E"/>
    <w:rsid w:val="00267F89"/>
    <w:rsid w:val="002725E5"/>
    <w:rsid w:val="00273AF4"/>
    <w:rsid w:val="00275734"/>
    <w:rsid w:val="00284910"/>
    <w:rsid w:val="002934B4"/>
    <w:rsid w:val="002A11CA"/>
    <w:rsid w:val="002C3EC3"/>
    <w:rsid w:val="002F75E9"/>
    <w:rsid w:val="00300482"/>
    <w:rsid w:val="00307D7C"/>
    <w:rsid w:val="00310A47"/>
    <w:rsid w:val="0031252D"/>
    <w:rsid w:val="003125F8"/>
    <w:rsid w:val="00322827"/>
    <w:rsid w:val="00326141"/>
    <w:rsid w:val="0033328A"/>
    <w:rsid w:val="00333C23"/>
    <w:rsid w:val="0035361B"/>
    <w:rsid w:val="00361A3A"/>
    <w:rsid w:val="003709B0"/>
    <w:rsid w:val="0037176B"/>
    <w:rsid w:val="00373418"/>
    <w:rsid w:val="0037514E"/>
    <w:rsid w:val="00380A99"/>
    <w:rsid w:val="003901BC"/>
    <w:rsid w:val="003932BB"/>
    <w:rsid w:val="00394263"/>
    <w:rsid w:val="003953A8"/>
    <w:rsid w:val="003A1BE6"/>
    <w:rsid w:val="003B268A"/>
    <w:rsid w:val="003C2042"/>
    <w:rsid w:val="003C5AAB"/>
    <w:rsid w:val="003C74EB"/>
    <w:rsid w:val="003D13DF"/>
    <w:rsid w:val="003D2557"/>
    <w:rsid w:val="003E1140"/>
    <w:rsid w:val="003E156D"/>
    <w:rsid w:val="00400F45"/>
    <w:rsid w:val="00401D30"/>
    <w:rsid w:val="00403600"/>
    <w:rsid w:val="00407787"/>
    <w:rsid w:val="004204E9"/>
    <w:rsid w:val="00434103"/>
    <w:rsid w:val="004532AC"/>
    <w:rsid w:val="00454225"/>
    <w:rsid w:val="00455E9D"/>
    <w:rsid w:val="00464511"/>
    <w:rsid w:val="004705D5"/>
    <w:rsid w:val="004724D4"/>
    <w:rsid w:val="00474BE9"/>
    <w:rsid w:val="00477486"/>
    <w:rsid w:val="004803E2"/>
    <w:rsid w:val="00491633"/>
    <w:rsid w:val="00493156"/>
    <w:rsid w:val="0049449E"/>
    <w:rsid w:val="004949B0"/>
    <w:rsid w:val="004967B3"/>
    <w:rsid w:val="004C0556"/>
    <w:rsid w:val="004D12C2"/>
    <w:rsid w:val="004D34E4"/>
    <w:rsid w:val="004D3F45"/>
    <w:rsid w:val="004E6549"/>
    <w:rsid w:val="004F0391"/>
    <w:rsid w:val="004F03DE"/>
    <w:rsid w:val="00500B05"/>
    <w:rsid w:val="00500C88"/>
    <w:rsid w:val="005040F1"/>
    <w:rsid w:val="005071C7"/>
    <w:rsid w:val="00510692"/>
    <w:rsid w:val="00510A66"/>
    <w:rsid w:val="005130E8"/>
    <w:rsid w:val="005146F0"/>
    <w:rsid w:val="00530067"/>
    <w:rsid w:val="0053162F"/>
    <w:rsid w:val="005407EF"/>
    <w:rsid w:val="00545B0A"/>
    <w:rsid w:val="00553FE2"/>
    <w:rsid w:val="005575E7"/>
    <w:rsid w:val="005601C8"/>
    <w:rsid w:val="00563B44"/>
    <w:rsid w:val="00563B9B"/>
    <w:rsid w:val="00564D7E"/>
    <w:rsid w:val="0057004F"/>
    <w:rsid w:val="00572506"/>
    <w:rsid w:val="005831A6"/>
    <w:rsid w:val="00583482"/>
    <w:rsid w:val="005938A7"/>
    <w:rsid w:val="005967D2"/>
    <w:rsid w:val="005B0467"/>
    <w:rsid w:val="005B0EA0"/>
    <w:rsid w:val="005B6BED"/>
    <w:rsid w:val="005C74D5"/>
    <w:rsid w:val="005D1B80"/>
    <w:rsid w:val="005D1E78"/>
    <w:rsid w:val="005D2026"/>
    <w:rsid w:val="005E2576"/>
    <w:rsid w:val="005E3720"/>
    <w:rsid w:val="005F46B9"/>
    <w:rsid w:val="00605E56"/>
    <w:rsid w:val="0061059B"/>
    <w:rsid w:val="00611EF8"/>
    <w:rsid w:val="006214DD"/>
    <w:rsid w:val="00622582"/>
    <w:rsid w:val="006246D5"/>
    <w:rsid w:val="00626BFF"/>
    <w:rsid w:val="006338E1"/>
    <w:rsid w:val="006407B8"/>
    <w:rsid w:val="0064470F"/>
    <w:rsid w:val="00647994"/>
    <w:rsid w:val="00647C9F"/>
    <w:rsid w:val="00660E1A"/>
    <w:rsid w:val="00662E31"/>
    <w:rsid w:val="00671CE7"/>
    <w:rsid w:val="00673146"/>
    <w:rsid w:val="00673D6E"/>
    <w:rsid w:val="006858BA"/>
    <w:rsid w:val="00692178"/>
    <w:rsid w:val="00692393"/>
    <w:rsid w:val="006A2C25"/>
    <w:rsid w:val="006A765A"/>
    <w:rsid w:val="006B6AC7"/>
    <w:rsid w:val="006B6FED"/>
    <w:rsid w:val="006B7A70"/>
    <w:rsid w:val="006D0DD0"/>
    <w:rsid w:val="006D4BDD"/>
    <w:rsid w:val="006E5150"/>
    <w:rsid w:val="006F1FFB"/>
    <w:rsid w:val="007235B7"/>
    <w:rsid w:val="00730786"/>
    <w:rsid w:val="00746E1E"/>
    <w:rsid w:val="00747173"/>
    <w:rsid w:val="00754BE3"/>
    <w:rsid w:val="007552B1"/>
    <w:rsid w:val="00755A93"/>
    <w:rsid w:val="0075661D"/>
    <w:rsid w:val="0076332E"/>
    <w:rsid w:val="00771D92"/>
    <w:rsid w:val="007751A4"/>
    <w:rsid w:val="00776000"/>
    <w:rsid w:val="00777855"/>
    <w:rsid w:val="007803D9"/>
    <w:rsid w:val="00781EBA"/>
    <w:rsid w:val="00784006"/>
    <w:rsid w:val="00786C15"/>
    <w:rsid w:val="00787EF8"/>
    <w:rsid w:val="007A0EF0"/>
    <w:rsid w:val="007A3779"/>
    <w:rsid w:val="007B312E"/>
    <w:rsid w:val="007B38CB"/>
    <w:rsid w:val="007B5813"/>
    <w:rsid w:val="007C4CA7"/>
    <w:rsid w:val="007D190A"/>
    <w:rsid w:val="007E00E9"/>
    <w:rsid w:val="007F23EA"/>
    <w:rsid w:val="007F4BF2"/>
    <w:rsid w:val="007F790C"/>
    <w:rsid w:val="007F7D57"/>
    <w:rsid w:val="00805014"/>
    <w:rsid w:val="008160C4"/>
    <w:rsid w:val="00821EA5"/>
    <w:rsid w:val="00822519"/>
    <w:rsid w:val="00822DD9"/>
    <w:rsid w:val="00825F77"/>
    <w:rsid w:val="00836701"/>
    <w:rsid w:val="008402F8"/>
    <w:rsid w:val="008432B2"/>
    <w:rsid w:val="00846262"/>
    <w:rsid w:val="00850454"/>
    <w:rsid w:val="00850E31"/>
    <w:rsid w:val="00851262"/>
    <w:rsid w:val="008632C7"/>
    <w:rsid w:val="0087196B"/>
    <w:rsid w:val="0087265C"/>
    <w:rsid w:val="00885C8A"/>
    <w:rsid w:val="008A4DFC"/>
    <w:rsid w:val="008A6952"/>
    <w:rsid w:val="008A7032"/>
    <w:rsid w:val="008B3AE8"/>
    <w:rsid w:val="008C0EA2"/>
    <w:rsid w:val="008C2E33"/>
    <w:rsid w:val="008C523D"/>
    <w:rsid w:val="008E76A7"/>
    <w:rsid w:val="009016D5"/>
    <w:rsid w:val="009028A1"/>
    <w:rsid w:val="00906D55"/>
    <w:rsid w:val="0091207F"/>
    <w:rsid w:val="009131BC"/>
    <w:rsid w:val="009164FE"/>
    <w:rsid w:val="009217D2"/>
    <w:rsid w:val="009354C9"/>
    <w:rsid w:val="009409B1"/>
    <w:rsid w:val="00945DE7"/>
    <w:rsid w:val="0094709A"/>
    <w:rsid w:val="00960FFF"/>
    <w:rsid w:val="009666AC"/>
    <w:rsid w:val="0099268D"/>
    <w:rsid w:val="009A67CC"/>
    <w:rsid w:val="009B2266"/>
    <w:rsid w:val="009D2114"/>
    <w:rsid w:val="009D2F25"/>
    <w:rsid w:val="009D61FD"/>
    <w:rsid w:val="009F0B24"/>
    <w:rsid w:val="009F3810"/>
    <w:rsid w:val="009F70E6"/>
    <w:rsid w:val="00A0552D"/>
    <w:rsid w:val="00A122CF"/>
    <w:rsid w:val="00A1672D"/>
    <w:rsid w:val="00A36765"/>
    <w:rsid w:val="00A36C2D"/>
    <w:rsid w:val="00A3718F"/>
    <w:rsid w:val="00A40DC0"/>
    <w:rsid w:val="00A476B4"/>
    <w:rsid w:val="00A54FDC"/>
    <w:rsid w:val="00A61C36"/>
    <w:rsid w:val="00A65239"/>
    <w:rsid w:val="00A65A2F"/>
    <w:rsid w:val="00A85465"/>
    <w:rsid w:val="00A8635F"/>
    <w:rsid w:val="00AA5B12"/>
    <w:rsid w:val="00AA7BFD"/>
    <w:rsid w:val="00AB3869"/>
    <w:rsid w:val="00AB5ED2"/>
    <w:rsid w:val="00AB6046"/>
    <w:rsid w:val="00AC2EB2"/>
    <w:rsid w:val="00AC6066"/>
    <w:rsid w:val="00AD27F9"/>
    <w:rsid w:val="00AD2A4A"/>
    <w:rsid w:val="00AD5C46"/>
    <w:rsid w:val="00AD7BF2"/>
    <w:rsid w:val="00AD7F2F"/>
    <w:rsid w:val="00AE4FA3"/>
    <w:rsid w:val="00AE7451"/>
    <w:rsid w:val="00AF0D14"/>
    <w:rsid w:val="00AF2A30"/>
    <w:rsid w:val="00AF311C"/>
    <w:rsid w:val="00AF48C1"/>
    <w:rsid w:val="00B034B0"/>
    <w:rsid w:val="00B33CA5"/>
    <w:rsid w:val="00B430D8"/>
    <w:rsid w:val="00B509F5"/>
    <w:rsid w:val="00B50A99"/>
    <w:rsid w:val="00B50F29"/>
    <w:rsid w:val="00B51F11"/>
    <w:rsid w:val="00B61723"/>
    <w:rsid w:val="00B61E74"/>
    <w:rsid w:val="00B6497B"/>
    <w:rsid w:val="00B67E7F"/>
    <w:rsid w:val="00B75A48"/>
    <w:rsid w:val="00B76B32"/>
    <w:rsid w:val="00B84993"/>
    <w:rsid w:val="00B8645E"/>
    <w:rsid w:val="00B918AB"/>
    <w:rsid w:val="00B96D09"/>
    <w:rsid w:val="00BB1ADA"/>
    <w:rsid w:val="00BD290E"/>
    <w:rsid w:val="00BD6B81"/>
    <w:rsid w:val="00BE4FF3"/>
    <w:rsid w:val="00C001C2"/>
    <w:rsid w:val="00C01C2B"/>
    <w:rsid w:val="00C02B79"/>
    <w:rsid w:val="00C16B07"/>
    <w:rsid w:val="00C6289E"/>
    <w:rsid w:val="00C72DB8"/>
    <w:rsid w:val="00C76427"/>
    <w:rsid w:val="00C80CF2"/>
    <w:rsid w:val="00C81760"/>
    <w:rsid w:val="00C83240"/>
    <w:rsid w:val="00C91487"/>
    <w:rsid w:val="00C918D4"/>
    <w:rsid w:val="00C943DD"/>
    <w:rsid w:val="00C947CF"/>
    <w:rsid w:val="00CA04D9"/>
    <w:rsid w:val="00CA0B3D"/>
    <w:rsid w:val="00CB014C"/>
    <w:rsid w:val="00CB01EA"/>
    <w:rsid w:val="00CB17E1"/>
    <w:rsid w:val="00CD25BD"/>
    <w:rsid w:val="00CD5083"/>
    <w:rsid w:val="00CD7915"/>
    <w:rsid w:val="00CE119F"/>
    <w:rsid w:val="00CE3CA5"/>
    <w:rsid w:val="00CE545A"/>
    <w:rsid w:val="00CE6798"/>
    <w:rsid w:val="00CF5FE0"/>
    <w:rsid w:val="00D00F5F"/>
    <w:rsid w:val="00D04570"/>
    <w:rsid w:val="00D05277"/>
    <w:rsid w:val="00D11EF0"/>
    <w:rsid w:val="00D13AA8"/>
    <w:rsid w:val="00D30139"/>
    <w:rsid w:val="00D32F33"/>
    <w:rsid w:val="00D4192A"/>
    <w:rsid w:val="00D41AAD"/>
    <w:rsid w:val="00D55451"/>
    <w:rsid w:val="00D661CC"/>
    <w:rsid w:val="00D70030"/>
    <w:rsid w:val="00D717BA"/>
    <w:rsid w:val="00D73509"/>
    <w:rsid w:val="00D75D63"/>
    <w:rsid w:val="00D817E0"/>
    <w:rsid w:val="00D82B32"/>
    <w:rsid w:val="00D836C2"/>
    <w:rsid w:val="00D83CF0"/>
    <w:rsid w:val="00DA46DC"/>
    <w:rsid w:val="00DC6825"/>
    <w:rsid w:val="00DD1325"/>
    <w:rsid w:val="00DD3B65"/>
    <w:rsid w:val="00DE3048"/>
    <w:rsid w:val="00DE7473"/>
    <w:rsid w:val="00DF3D5F"/>
    <w:rsid w:val="00DF73B3"/>
    <w:rsid w:val="00E069CC"/>
    <w:rsid w:val="00E20360"/>
    <w:rsid w:val="00E20684"/>
    <w:rsid w:val="00E22AD7"/>
    <w:rsid w:val="00E256F1"/>
    <w:rsid w:val="00E30FDD"/>
    <w:rsid w:val="00E318AB"/>
    <w:rsid w:val="00E333EA"/>
    <w:rsid w:val="00E34A1A"/>
    <w:rsid w:val="00E42125"/>
    <w:rsid w:val="00E506B8"/>
    <w:rsid w:val="00E5391A"/>
    <w:rsid w:val="00E54309"/>
    <w:rsid w:val="00E64672"/>
    <w:rsid w:val="00E673FA"/>
    <w:rsid w:val="00E774B7"/>
    <w:rsid w:val="00E80C89"/>
    <w:rsid w:val="00E91190"/>
    <w:rsid w:val="00E95A3B"/>
    <w:rsid w:val="00EA17E4"/>
    <w:rsid w:val="00EB32CE"/>
    <w:rsid w:val="00EB44E5"/>
    <w:rsid w:val="00EC2281"/>
    <w:rsid w:val="00EC311F"/>
    <w:rsid w:val="00EC47B1"/>
    <w:rsid w:val="00ED0112"/>
    <w:rsid w:val="00ED389D"/>
    <w:rsid w:val="00ED6680"/>
    <w:rsid w:val="00EE17F6"/>
    <w:rsid w:val="00F150B0"/>
    <w:rsid w:val="00F1547F"/>
    <w:rsid w:val="00F211CE"/>
    <w:rsid w:val="00F22B57"/>
    <w:rsid w:val="00F55360"/>
    <w:rsid w:val="00F64EAC"/>
    <w:rsid w:val="00F70813"/>
    <w:rsid w:val="00F7498B"/>
    <w:rsid w:val="00F903FB"/>
    <w:rsid w:val="00F9663A"/>
    <w:rsid w:val="00F978E9"/>
    <w:rsid w:val="00FA1605"/>
    <w:rsid w:val="00FA6860"/>
    <w:rsid w:val="00FB05B7"/>
    <w:rsid w:val="00FB2F25"/>
    <w:rsid w:val="00FB3E02"/>
    <w:rsid w:val="00FC2A3F"/>
    <w:rsid w:val="00FC46FB"/>
    <w:rsid w:val="00FD0C98"/>
    <w:rsid w:val="00FD3964"/>
    <w:rsid w:val="00FD508A"/>
    <w:rsid w:val="00FE3800"/>
    <w:rsid w:val="00FF027D"/>
    <w:rsid w:val="00FF44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955C7"/>
  <w15:chartTrackingRefBased/>
  <w15:docId w15:val="{6D3ADBBD-F351-431B-86F3-126B8EEE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734"/>
    <w:pPr>
      <w:spacing w:line="260" w:lineRule="atLeast"/>
      <w:jc w:val="both"/>
    </w:pPr>
    <w:rPr>
      <w:rFonts w:ascii="Palatino Linotype" w:hAnsi="Palatino Linotype"/>
      <w:noProof/>
      <w:color w:val="000000"/>
    </w:rPr>
  </w:style>
  <w:style w:type="paragraph" w:styleId="Heading2">
    <w:name w:val="heading 2"/>
    <w:basedOn w:val="Normal"/>
    <w:next w:val="Normal"/>
    <w:link w:val="Heading2Char"/>
    <w:uiPriority w:val="9"/>
    <w:semiHidden/>
    <w:unhideWhenUsed/>
    <w:qFormat/>
    <w:rsid w:val="00CD79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CD7915"/>
    <w:pPr>
      <w:spacing w:before="100" w:beforeAutospacing="1" w:after="100" w:afterAutospacing="1" w:line="240" w:lineRule="auto"/>
      <w:jc w:val="left"/>
      <w:outlineLvl w:val="4"/>
    </w:pPr>
    <w:rPr>
      <w:rFonts w:ascii="Times New Roman" w:eastAsia="Times New Roman" w:hAnsi="Times New Roman"/>
      <w:b/>
      <w:bCs/>
      <w:noProof w:val="0"/>
      <w:color w:val="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7573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27573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27573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275734"/>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27573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27573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27573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4D12C2"/>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3709B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27573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7573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275734"/>
    <w:rPr>
      <w:rFonts w:ascii="Palatino Linotype" w:hAnsi="Palatino Linotype"/>
      <w:noProof/>
      <w:color w:val="000000"/>
      <w:szCs w:val="18"/>
    </w:rPr>
  </w:style>
  <w:style w:type="paragraph" w:customStyle="1" w:styleId="MDPIheaderjournallogo">
    <w:name w:val="MDPI_header_journal_logo"/>
    <w:qFormat/>
    <w:rsid w:val="0027573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75734"/>
    <w:pPr>
      <w:ind w:firstLine="0"/>
    </w:pPr>
  </w:style>
  <w:style w:type="paragraph" w:customStyle="1" w:styleId="MDPI31text">
    <w:name w:val="MDPI_3.1_text"/>
    <w:qFormat/>
    <w:rsid w:val="00CD5083"/>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27573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27573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27573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C0EA2"/>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C0EA2"/>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27573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7573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7573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6D4BDD"/>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275734"/>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275734"/>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27573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27573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27573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27573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885C8A"/>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275734"/>
    <w:rPr>
      <w:rFonts w:cs="Tahoma"/>
      <w:szCs w:val="18"/>
    </w:rPr>
  </w:style>
  <w:style w:type="character" w:customStyle="1" w:styleId="BalloonTextChar">
    <w:name w:val="Balloon Text Char"/>
    <w:link w:val="BalloonText"/>
    <w:uiPriority w:val="99"/>
    <w:rsid w:val="00275734"/>
    <w:rPr>
      <w:rFonts w:ascii="Palatino Linotype" w:hAnsi="Palatino Linotype" w:cs="Tahoma"/>
      <w:noProof/>
      <w:color w:val="000000"/>
      <w:szCs w:val="18"/>
    </w:rPr>
  </w:style>
  <w:style w:type="character" w:styleId="LineNumber">
    <w:name w:val="line number"/>
    <w:uiPriority w:val="99"/>
    <w:rsid w:val="006F1FFB"/>
    <w:rPr>
      <w:rFonts w:ascii="Palatino Linotype" w:hAnsi="Palatino Linotype"/>
      <w:sz w:val="16"/>
    </w:rPr>
  </w:style>
  <w:style w:type="table" w:customStyle="1" w:styleId="MDPI41threelinetable">
    <w:name w:val="MDPI_4.1_three_line_table"/>
    <w:basedOn w:val="TableNormal"/>
    <w:uiPriority w:val="99"/>
    <w:rsid w:val="0027573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275734"/>
    <w:rPr>
      <w:color w:val="0000FF"/>
      <w:u w:val="single"/>
    </w:rPr>
  </w:style>
  <w:style w:type="character" w:styleId="UnresolvedMention">
    <w:name w:val="Unresolved Mention"/>
    <w:uiPriority w:val="99"/>
    <w:semiHidden/>
    <w:unhideWhenUsed/>
    <w:rsid w:val="007D190A"/>
    <w:rPr>
      <w:color w:val="605E5C"/>
      <w:shd w:val="clear" w:color="auto" w:fill="E1DFDD"/>
    </w:rPr>
  </w:style>
  <w:style w:type="paragraph" w:styleId="Footer">
    <w:name w:val="footer"/>
    <w:basedOn w:val="Normal"/>
    <w:link w:val="FooterChar"/>
    <w:uiPriority w:val="99"/>
    <w:rsid w:val="0027573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275734"/>
    <w:rPr>
      <w:rFonts w:ascii="Palatino Linotype" w:hAnsi="Palatino Linotype"/>
      <w:noProof/>
      <w:color w:val="000000"/>
      <w:szCs w:val="18"/>
    </w:rPr>
  </w:style>
  <w:style w:type="table" w:styleId="PlainTable4">
    <w:name w:val="Plain Table 4"/>
    <w:basedOn w:val="TableNormal"/>
    <w:uiPriority w:val="44"/>
    <w:rsid w:val="00673D6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27573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27573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27573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27573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27573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27573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D5C46"/>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27573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27573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27573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27573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27573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27573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27573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275734"/>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27573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27573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27573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27573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27573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27573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275734"/>
  </w:style>
  <w:style w:type="paragraph" w:styleId="Bibliography">
    <w:name w:val="Bibliography"/>
    <w:basedOn w:val="Normal"/>
    <w:next w:val="Normal"/>
    <w:uiPriority w:val="37"/>
    <w:semiHidden/>
    <w:unhideWhenUsed/>
    <w:rsid w:val="00275734"/>
  </w:style>
  <w:style w:type="paragraph" w:styleId="BodyText">
    <w:name w:val="Body Text"/>
    <w:link w:val="BodyTextChar"/>
    <w:rsid w:val="0027573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275734"/>
    <w:rPr>
      <w:rFonts w:ascii="Palatino Linotype" w:hAnsi="Palatino Linotype"/>
      <w:color w:val="000000"/>
      <w:sz w:val="24"/>
      <w:lang w:eastAsia="de-DE"/>
    </w:rPr>
  </w:style>
  <w:style w:type="character" w:styleId="CommentReference">
    <w:name w:val="annotation reference"/>
    <w:rsid w:val="00275734"/>
    <w:rPr>
      <w:sz w:val="21"/>
      <w:szCs w:val="21"/>
    </w:rPr>
  </w:style>
  <w:style w:type="paragraph" w:styleId="CommentText">
    <w:name w:val="annotation text"/>
    <w:basedOn w:val="Normal"/>
    <w:link w:val="CommentTextChar"/>
    <w:rsid w:val="00275734"/>
  </w:style>
  <w:style w:type="character" w:customStyle="1" w:styleId="CommentTextChar">
    <w:name w:val="Comment Text Char"/>
    <w:link w:val="CommentText"/>
    <w:rsid w:val="00275734"/>
    <w:rPr>
      <w:rFonts w:ascii="Palatino Linotype" w:hAnsi="Palatino Linotype"/>
      <w:noProof/>
      <w:color w:val="000000"/>
    </w:rPr>
  </w:style>
  <w:style w:type="paragraph" w:styleId="CommentSubject">
    <w:name w:val="annotation subject"/>
    <w:basedOn w:val="CommentText"/>
    <w:next w:val="CommentText"/>
    <w:link w:val="CommentSubjectChar"/>
    <w:rsid w:val="00275734"/>
    <w:rPr>
      <w:b/>
      <w:bCs/>
    </w:rPr>
  </w:style>
  <w:style w:type="character" w:customStyle="1" w:styleId="CommentSubjectChar">
    <w:name w:val="Comment Subject Char"/>
    <w:link w:val="CommentSubject"/>
    <w:rsid w:val="00275734"/>
    <w:rPr>
      <w:rFonts w:ascii="Palatino Linotype" w:hAnsi="Palatino Linotype"/>
      <w:b/>
      <w:bCs/>
      <w:noProof/>
      <w:color w:val="000000"/>
    </w:rPr>
  </w:style>
  <w:style w:type="character" w:styleId="EndnoteReference">
    <w:name w:val="endnote reference"/>
    <w:rsid w:val="00275734"/>
    <w:rPr>
      <w:vertAlign w:val="superscript"/>
    </w:rPr>
  </w:style>
  <w:style w:type="paragraph" w:styleId="EndnoteText">
    <w:name w:val="endnote text"/>
    <w:basedOn w:val="Normal"/>
    <w:link w:val="EndnoteTextChar"/>
    <w:semiHidden/>
    <w:unhideWhenUsed/>
    <w:rsid w:val="00275734"/>
    <w:pPr>
      <w:spacing w:line="240" w:lineRule="auto"/>
    </w:pPr>
  </w:style>
  <w:style w:type="character" w:customStyle="1" w:styleId="EndnoteTextChar">
    <w:name w:val="Endnote Text Char"/>
    <w:link w:val="EndnoteText"/>
    <w:semiHidden/>
    <w:rsid w:val="00275734"/>
    <w:rPr>
      <w:rFonts w:ascii="Palatino Linotype" w:hAnsi="Palatino Linotype"/>
      <w:noProof/>
      <w:color w:val="000000"/>
    </w:rPr>
  </w:style>
  <w:style w:type="character" w:styleId="FollowedHyperlink">
    <w:name w:val="FollowedHyperlink"/>
    <w:rsid w:val="00275734"/>
    <w:rPr>
      <w:color w:val="954F72"/>
      <w:u w:val="single"/>
    </w:rPr>
  </w:style>
  <w:style w:type="paragraph" w:styleId="FootnoteText">
    <w:name w:val="footnote text"/>
    <w:basedOn w:val="Normal"/>
    <w:link w:val="FootnoteTextChar"/>
    <w:semiHidden/>
    <w:unhideWhenUsed/>
    <w:rsid w:val="00275734"/>
    <w:pPr>
      <w:spacing w:line="240" w:lineRule="auto"/>
    </w:pPr>
  </w:style>
  <w:style w:type="character" w:customStyle="1" w:styleId="FootnoteTextChar">
    <w:name w:val="Footnote Text Char"/>
    <w:link w:val="FootnoteText"/>
    <w:semiHidden/>
    <w:rsid w:val="00275734"/>
    <w:rPr>
      <w:rFonts w:ascii="Palatino Linotype" w:hAnsi="Palatino Linotype"/>
      <w:noProof/>
      <w:color w:val="000000"/>
    </w:rPr>
  </w:style>
  <w:style w:type="paragraph" w:styleId="NormalWeb">
    <w:name w:val="Normal (Web)"/>
    <w:basedOn w:val="Normal"/>
    <w:uiPriority w:val="99"/>
    <w:rsid w:val="00275734"/>
    <w:rPr>
      <w:szCs w:val="24"/>
    </w:rPr>
  </w:style>
  <w:style w:type="paragraph" w:customStyle="1" w:styleId="MsoFootnoteText0">
    <w:name w:val="MsoFootnoteText"/>
    <w:basedOn w:val="NormalWeb"/>
    <w:qFormat/>
    <w:rsid w:val="00275734"/>
    <w:rPr>
      <w:rFonts w:ascii="Times New Roman" w:hAnsi="Times New Roman"/>
    </w:rPr>
  </w:style>
  <w:style w:type="character" w:styleId="PageNumber">
    <w:name w:val="page number"/>
    <w:rsid w:val="00275734"/>
  </w:style>
  <w:style w:type="character" w:styleId="PlaceholderText">
    <w:name w:val="Placeholder Text"/>
    <w:uiPriority w:val="99"/>
    <w:semiHidden/>
    <w:rsid w:val="00275734"/>
    <w:rPr>
      <w:color w:val="808080"/>
    </w:rPr>
  </w:style>
  <w:style w:type="paragraph" w:customStyle="1" w:styleId="MDPI71FootNotes">
    <w:name w:val="MDPI_7.1_FootNotes"/>
    <w:qFormat/>
    <w:rsid w:val="00B50A99"/>
    <w:pPr>
      <w:numPr>
        <w:numId w:val="20"/>
      </w:numPr>
      <w:adjustRightInd w:val="0"/>
      <w:snapToGrid w:val="0"/>
      <w:spacing w:line="228" w:lineRule="auto"/>
    </w:pPr>
    <w:rPr>
      <w:rFonts w:ascii="Palatino Linotype" w:eastAsiaTheme="minorEastAsia" w:hAnsi="Palatino Linotype"/>
      <w:noProof/>
      <w:color w:val="000000"/>
      <w:sz w:val="18"/>
    </w:rPr>
  </w:style>
  <w:style w:type="character" w:customStyle="1" w:styleId="Heading5Char">
    <w:name w:val="Heading 5 Char"/>
    <w:basedOn w:val="DefaultParagraphFont"/>
    <w:link w:val="Heading5"/>
    <w:uiPriority w:val="9"/>
    <w:rsid w:val="00CD7915"/>
    <w:rPr>
      <w:rFonts w:ascii="Times New Roman" w:eastAsia="Times New Roman" w:hAnsi="Times New Roman"/>
      <w:b/>
      <w:bCs/>
      <w:lang w:val="en-GB" w:eastAsia="ko-KR"/>
    </w:rPr>
  </w:style>
  <w:style w:type="character" w:customStyle="1" w:styleId="color14">
    <w:name w:val="color_14"/>
    <w:basedOn w:val="DefaultParagraphFont"/>
    <w:rsid w:val="00CD7915"/>
  </w:style>
  <w:style w:type="character" w:customStyle="1" w:styleId="Heading2Char">
    <w:name w:val="Heading 2 Char"/>
    <w:basedOn w:val="DefaultParagraphFont"/>
    <w:link w:val="Heading2"/>
    <w:uiPriority w:val="9"/>
    <w:semiHidden/>
    <w:rsid w:val="00CD7915"/>
    <w:rPr>
      <w:rFonts w:asciiTheme="majorHAnsi" w:eastAsiaTheme="majorEastAsia" w:hAnsiTheme="majorHAnsi" w:cstheme="majorBidi"/>
      <w:noProof/>
      <w:color w:val="2F5496" w:themeColor="accent1" w:themeShade="BF"/>
      <w:sz w:val="26"/>
      <w:szCs w:val="26"/>
    </w:rPr>
  </w:style>
  <w:style w:type="paragraph" w:styleId="Caption">
    <w:name w:val="caption"/>
    <w:basedOn w:val="Normal"/>
    <w:next w:val="Normal"/>
    <w:uiPriority w:val="35"/>
    <w:unhideWhenUsed/>
    <w:qFormat/>
    <w:rsid w:val="00E20360"/>
    <w:pPr>
      <w:spacing w:after="200" w:line="240" w:lineRule="auto"/>
    </w:pPr>
    <w:rPr>
      <w:rFonts w:ascii="Times New Roman" w:eastAsiaTheme="minorHAnsi" w:hAnsi="Times New Roman"/>
      <w:i/>
      <w:iCs/>
      <w:noProof w:val="0"/>
      <w:color w:val="44546A" w:themeColor="text2"/>
      <w:sz w:val="18"/>
      <w:szCs w:val="18"/>
      <w:lang w:val="en-GB" w:eastAsia="en-US"/>
    </w:rPr>
  </w:style>
  <w:style w:type="paragraph" w:styleId="ListParagraph">
    <w:name w:val="List Paragraph"/>
    <w:basedOn w:val="Normal"/>
    <w:uiPriority w:val="34"/>
    <w:qFormat/>
    <w:rsid w:val="00DA46DC"/>
    <w:pPr>
      <w:spacing w:after="160" w:line="360" w:lineRule="auto"/>
      <w:ind w:left="720"/>
      <w:contextualSpacing/>
    </w:pPr>
    <w:rPr>
      <w:rFonts w:ascii="Times New Roman" w:eastAsiaTheme="minorHAnsi" w:hAnsi="Times New Roman"/>
      <w:noProof w:val="0"/>
      <w:color w:val="auto"/>
      <w:sz w:val="22"/>
      <w:szCs w:val="22"/>
      <w:lang w:val="en-GB" w:eastAsia="en-US"/>
    </w:rPr>
  </w:style>
  <w:style w:type="paragraph" w:styleId="Revision">
    <w:name w:val="Revision"/>
    <w:hidden/>
    <w:uiPriority w:val="99"/>
    <w:semiHidden/>
    <w:rsid w:val="00563B44"/>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7688">
      <w:bodyDiv w:val="1"/>
      <w:marLeft w:val="0"/>
      <w:marRight w:val="0"/>
      <w:marTop w:val="0"/>
      <w:marBottom w:val="0"/>
      <w:divBdr>
        <w:top w:val="none" w:sz="0" w:space="0" w:color="auto"/>
        <w:left w:val="none" w:sz="0" w:space="0" w:color="auto"/>
        <w:bottom w:val="none" w:sz="0" w:space="0" w:color="auto"/>
        <w:right w:val="none" w:sz="0" w:space="0" w:color="auto"/>
      </w:divBdr>
    </w:div>
    <w:div w:id="1383553518">
      <w:bodyDiv w:val="1"/>
      <w:marLeft w:val="0"/>
      <w:marRight w:val="0"/>
      <w:marTop w:val="0"/>
      <w:marBottom w:val="0"/>
      <w:divBdr>
        <w:top w:val="none" w:sz="0" w:space="0" w:color="auto"/>
        <w:left w:val="none" w:sz="0" w:space="0" w:color="auto"/>
        <w:bottom w:val="none" w:sz="0" w:space="0" w:color="auto"/>
        <w:right w:val="none" w:sz="0" w:space="0" w:color="auto"/>
      </w:divBdr>
    </w:div>
    <w:div w:id="1561863383">
      <w:bodyDiv w:val="1"/>
      <w:marLeft w:val="0"/>
      <w:marRight w:val="0"/>
      <w:marTop w:val="0"/>
      <w:marBottom w:val="0"/>
      <w:divBdr>
        <w:top w:val="none" w:sz="0" w:space="0" w:color="auto"/>
        <w:left w:val="none" w:sz="0" w:space="0" w:color="auto"/>
        <w:bottom w:val="none" w:sz="0" w:space="0" w:color="auto"/>
        <w:right w:val="none" w:sz="0" w:space="0" w:color="auto"/>
      </w:divBdr>
    </w:div>
    <w:div w:id="1763650063">
      <w:bodyDiv w:val="1"/>
      <w:marLeft w:val="0"/>
      <w:marRight w:val="0"/>
      <w:marTop w:val="0"/>
      <w:marBottom w:val="0"/>
      <w:divBdr>
        <w:top w:val="none" w:sz="0" w:space="0" w:color="auto"/>
        <w:left w:val="none" w:sz="0" w:space="0" w:color="auto"/>
        <w:bottom w:val="none" w:sz="0" w:space="0" w:color="auto"/>
        <w:right w:val="none" w:sz="0" w:space="0" w:color="auto"/>
      </w:divBdr>
    </w:div>
    <w:div w:id="183456267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02/jbm.a.37354"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hyperlink" Target="mailto:Richard.Oreffo@soton.ac.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jid@soton.ac.uk" TargetMode="External"/><Relationship Id="rId14" Type="http://schemas.openxmlformats.org/officeDocument/2006/relationships/image" Target="media/image5.tiff"/><Relationship Id="rId22" Type="http://schemas.openxmlformats.org/officeDocument/2006/relationships/hyperlink" Target="https://doi.org/10.1002/adhm.202001323"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k1m15\Downloads\bioengineering-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80C3F-B4CB-4FB3-A7AB-92ECB90D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bioengineering-template.dot</Template>
  <TotalTime>1</TotalTime>
  <Pages>25</Pages>
  <Words>28796</Words>
  <Characters>164141</Characters>
  <Application>Microsoft Office Word</Application>
  <DocSecurity>4</DocSecurity>
  <Lines>1367</Lines>
  <Paragraphs>385</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192552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Yanghee Kim</dc:creator>
  <cp:keywords/>
  <dc:description/>
  <cp:lastModifiedBy>Julia Budd</cp:lastModifiedBy>
  <cp:revision>2</cp:revision>
  <cp:lastPrinted>2022-07-16T13:20:00Z</cp:lastPrinted>
  <dcterms:created xsi:type="dcterms:W3CDTF">2022-07-25T09:43:00Z</dcterms:created>
  <dcterms:modified xsi:type="dcterms:W3CDTF">2022-07-25T09:43:00Z</dcterms:modified>
</cp:coreProperties>
</file>