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6A28E" w14:textId="19ACD36F" w:rsidR="002E7E3F" w:rsidRDefault="0001118D">
      <w:pPr>
        <w:jc w:val="center"/>
        <w:rPr>
          <w:b/>
          <w:sz w:val="32"/>
          <w:szCs w:val="32"/>
        </w:rPr>
      </w:pPr>
      <w:r w:rsidRPr="00AC1930">
        <w:rPr>
          <w:b/>
          <w:sz w:val="32"/>
          <w:szCs w:val="32"/>
        </w:rPr>
        <w:t>Addressing Leader-Member Exchange and Self-Regulation as Remedies for Work Alienation: Insights from Private and Public Sectors in Turkey</w:t>
      </w:r>
    </w:p>
    <w:p w14:paraId="16380D23" w14:textId="2D560125" w:rsidR="00B6318B" w:rsidRPr="00B6318B" w:rsidRDefault="00B6318B">
      <w:pPr>
        <w:jc w:val="center"/>
        <w:rPr>
          <w:b/>
        </w:rPr>
      </w:pPr>
      <w:r>
        <w:rPr>
          <w:b/>
        </w:rPr>
        <w:t xml:space="preserve">Mehmet Ali TURKMENOGLU, </w:t>
      </w:r>
      <w:proofErr w:type="spellStart"/>
      <w:r>
        <w:rPr>
          <w:b/>
        </w:rPr>
        <w:t>Berat</w:t>
      </w:r>
      <w:proofErr w:type="spellEnd"/>
      <w:r>
        <w:rPr>
          <w:b/>
        </w:rPr>
        <w:t xml:space="preserve"> CICEK, </w:t>
      </w:r>
      <w:proofErr w:type="spellStart"/>
      <w:r>
        <w:rPr>
          <w:b/>
        </w:rPr>
        <w:t>Duygu</w:t>
      </w:r>
      <w:proofErr w:type="spellEnd"/>
      <w:r>
        <w:rPr>
          <w:b/>
        </w:rPr>
        <w:t xml:space="preserve"> ACAR ERDUR</w:t>
      </w:r>
      <w:r>
        <w:rPr>
          <w:rStyle w:val="FootnoteReference"/>
          <w:b/>
        </w:rPr>
        <w:footnoteReference w:id="1"/>
      </w:r>
    </w:p>
    <w:p w14:paraId="18459218" w14:textId="77777777" w:rsidR="00B6318B" w:rsidRPr="00B6318B" w:rsidRDefault="00B6318B" w:rsidP="00B6318B">
      <w:pPr>
        <w:jc w:val="left"/>
        <w:rPr>
          <w:b/>
          <w:sz w:val="2"/>
          <w:szCs w:val="2"/>
        </w:rPr>
      </w:pPr>
    </w:p>
    <w:p w14:paraId="3FF6EF5D" w14:textId="77777777" w:rsidR="002E7E3F" w:rsidRPr="00AC1930" w:rsidRDefault="0001118D">
      <w:pPr>
        <w:jc w:val="center"/>
        <w:rPr>
          <w:b/>
          <w:sz w:val="32"/>
          <w:szCs w:val="32"/>
        </w:rPr>
      </w:pPr>
      <w:r w:rsidRPr="00AC1930">
        <w:rPr>
          <w:b/>
          <w:sz w:val="32"/>
          <w:szCs w:val="32"/>
        </w:rPr>
        <w:t>Abstract</w:t>
      </w:r>
    </w:p>
    <w:p w14:paraId="7F49A217" w14:textId="225E752C" w:rsidR="002E7E3F" w:rsidRPr="00AC1930" w:rsidRDefault="0001118D" w:rsidP="000102A2">
      <w:pPr>
        <w:spacing w:before="0"/>
      </w:pPr>
      <w:r w:rsidRPr="00AC1930">
        <w:t xml:space="preserve">Although there is a growing body of literature on </w:t>
      </w:r>
      <w:r w:rsidR="00782C0F" w:rsidRPr="00AC1930">
        <w:t xml:space="preserve">the </w:t>
      </w:r>
      <w:r w:rsidRPr="00AC1930">
        <w:t>c</w:t>
      </w:r>
      <w:r w:rsidR="00023B09" w:rsidRPr="00AC1930">
        <w:t>onsequences of work alienation</w:t>
      </w:r>
      <w:r w:rsidRPr="00AC1930">
        <w:t xml:space="preserve">, its antecedents have not received the same attention. Therefore, </w:t>
      </w:r>
      <w:r w:rsidR="00CA212B" w:rsidRPr="00AC1930">
        <w:t>there is a need</w:t>
      </w:r>
      <w:r w:rsidRPr="00AC1930">
        <w:t xml:space="preserve"> to </w:t>
      </w:r>
      <w:r w:rsidR="001E141C" w:rsidRPr="00AC1930">
        <w:t>examine</w:t>
      </w:r>
      <w:r w:rsidR="00956202" w:rsidRPr="00AC1930">
        <w:t xml:space="preserve"> </w:t>
      </w:r>
      <w:r w:rsidRPr="00AC1930">
        <w:t xml:space="preserve">elements affecting </w:t>
      </w:r>
      <w:r w:rsidR="002276E4" w:rsidRPr="00AC1930">
        <w:t>work alienation,</w:t>
      </w:r>
      <w:r w:rsidRPr="00AC1930">
        <w:t xml:space="preserve"> </w:t>
      </w:r>
      <w:r w:rsidR="00782C0F" w:rsidRPr="00AC1930">
        <w:t xml:space="preserve">the examination of which </w:t>
      </w:r>
      <w:r w:rsidRPr="00AC1930">
        <w:t xml:space="preserve">has been a preoccupation </w:t>
      </w:r>
      <w:r w:rsidR="00782C0F" w:rsidRPr="00AC1930">
        <w:t xml:space="preserve">amongst both </w:t>
      </w:r>
      <w:r w:rsidRPr="00AC1930">
        <w:t>organisations and scholars</w:t>
      </w:r>
      <w:r w:rsidR="00782C0F" w:rsidRPr="00AC1930">
        <w:t>.</w:t>
      </w:r>
      <w:r w:rsidRPr="00AC1930">
        <w:t xml:space="preserve"> Drawing</w:t>
      </w:r>
      <w:r w:rsidR="00023B09" w:rsidRPr="00AC1930">
        <w:t xml:space="preserve"> on the Social Exchange Theory and Self-Determination Theory</w:t>
      </w:r>
      <w:r w:rsidRPr="00AC1930">
        <w:t xml:space="preserve">, we aim to investigate the relationship </w:t>
      </w:r>
      <w:r w:rsidR="00023B09" w:rsidRPr="00AC1930">
        <w:t>between leader-member exchange, work alienation</w:t>
      </w:r>
      <w:r w:rsidRPr="00AC1930">
        <w:t xml:space="preserve">, and the mediation role of self-regulation on this relationship. We also </w:t>
      </w:r>
      <w:r w:rsidR="00782C0F" w:rsidRPr="00AC1930">
        <w:t>consider whether</w:t>
      </w:r>
      <w:r w:rsidRPr="00AC1930">
        <w:t xml:space="preserve"> tenure moderates the relationship between </w:t>
      </w:r>
      <w:r w:rsidR="00023B09" w:rsidRPr="00AC1930">
        <w:t xml:space="preserve">leader-member exchange </w:t>
      </w:r>
      <w:r w:rsidRPr="00AC1930">
        <w:t xml:space="preserve">and </w:t>
      </w:r>
      <w:r w:rsidR="00023B09" w:rsidRPr="00AC1930">
        <w:t>work alienation</w:t>
      </w:r>
      <w:r w:rsidRPr="00AC1930">
        <w:t xml:space="preserve">. To </w:t>
      </w:r>
      <w:r w:rsidR="003C4A2A" w:rsidRPr="00AC1930">
        <w:t xml:space="preserve">achieve the aim of </w:t>
      </w:r>
      <w:r w:rsidR="00CA212B" w:rsidRPr="00AC1930">
        <w:t xml:space="preserve">the </w:t>
      </w:r>
      <w:r w:rsidR="003C4A2A" w:rsidRPr="00AC1930">
        <w:t>study</w:t>
      </w:r>
      <w:r w:rsidRPr="00AC1930">
        <w:t xml:space="preserve">, </w:t>
      </w:r>
      <w:r w:rsidR="002276E4" w:rsidRPr="00AC1930">
        <w:t xml:space="preserve">the </w:t>
      </w:r>
      <w:r w:rsidRPr="00AC1930">
        <w:t>quantitative research</w:t>
      </w:r>
      <w:r w:rsidR="003C4A2A" w:rsidRPr="00AC1930">
        <w:t xml:space="preserve"> method</w:t>
      </w:r>
      <w:r w:rsidRPr="00AC1930">
        <w:t xml:space="preserve"> is adopted by collecting data from 310 public and private sector employees and middle managers in Turkey. </w:t>
      </w:r>
      <w:r w:rsidR="002276E4" w:rsidRPr="00AC1930">
        <w:t>The p</w:t>
      </w:r>
      <w:r w:rsidRPr="00AC1930">
        <w:t>artial lea</w:t>
      </w:r>
      <w:r w:rsidR="00023B09" w:rsidRPr="00AC1930">
        <w:t>st squares</w:t>
      </w:r>
      <w:r w:rsidRPr="00AC1930">
        <w:t xml:space="preserve"> approach is employed to test the conceptual m</w:t>
      </w:r>
      <w:r w:rsidR="00023B09" w:rsidRPr="00AC1930">
        <w:t>odel, and multi-</w:t>
      </w:r>
      <w:r w:rsidR="00023B09" w:rsidRPr="00AC1930">
        <w:lastRenderedPageBreak/>
        <w:t xml:space="preserve">group analysis </w:t>
      </w:r>
      <w:r w:rsidRPr="00AC1930">
        <w:t xml:space="preserve">is used </w:t>
      </w:r>
      <w:r w:rsidR="00782C0F" w:rsidRPr="00AC1930">
        <w:t xml:space="preserve">to examine </w:t>
      </w:r>
      <w:r w:rsidRPr="00AC1930">
        <w:t xml:space="preserve">whether the relationship differs </w:t>
      </w:r>
      <w:r w:rsidR="00782C0F" w:rsidRPr="00AC1930">
        <w:t xml:space="preserve">with </w:t>
      </w:r>
      <w:r w:rsidRPr="00AC1930">
        <w:t xml:space="preserve">sector. The results reveal that </w:t>
      </w:r>
      <w:r w:rsidR="00023B09" w:rsidRPr="00AC1930">
        <w:t>leader-member exchange</w:t>
      </w:r>
      <w:r w:rsidR="003C4A2A" w:rsidRPr="00AC1930">
        <w:t xml:space="preserve"> negatively</w:t>
      </w:r>
      <w:r w:rsidR="00023B09" w:rsidRPr="00AC1930">
        <w:t xml:space="preserve"> </w:t>
      </w:r>
      <w:r w:rsidRPr="00AC1930">
        <w:t xml:space="preserve">affects </w:t>
      </w:r>
      <w:r w:rsidR="00023B09" w:rsidRPr="00AC1930">
        <w:t>work alienation, and self-regulation</w:t>
      </w:r>
      <w:r w:rsidRPr="00AC1930">
        <w:t xml:space="preserve"> mediates this relationship. Tenure has a moderating effect on the relationship between </w:t>
      </w:r>
      <w:r w:rsidR="00023B09" w:rsidRPr="00AC1930">
        <w:t xml:space="preserve">leader-member exchange </w:t>
      </w:r>
      <w:r w:rsidRPr="00AC1930">
        <w:t xml:space="preserve">and </w:t>
      </w:r>
      <w:r w:rsidR="00023B09" w:rsidRPr="00AC1930">
        <w:t>self-regulation</w:t>
      </w:r>
      <w:r w:rsidRPr="00AC1930">
        <w:t xml:space="preserve">. </w:t>
      </w:r>
      <w:r w:rsidR="00023B09" w:rsidRPr="00AC1930">
        <w:t xml:space="preserve">Multi-group analysis </w:t>
      </w:r>
      <w:r w:rsidRPr="00AC1930">
        <w:t xml:space="preserve">results demonstrate a higher impact of </w:t>
      </w:r>
      <w:r w:rsidR="00023B09" w:rsidRPr="00AC1930">
        <w:t xml:space="preserve">leader-member exchange </w:t>
      </w:r>
      <w:r w:rsidRPr="00AC1930">
        <w:t xml:space="preserve">on </w:t>
      </w:r>
      <w:r w:rsidR="00023B09" w:rsidRPr="00AC1930">
        <w:t xml:space="preserve">self-regulation </w:t>
      </w:r>
      <w:r w:rsidRPr="00AC1930">
        <w:t xml:space="preserve">in the public sector than </w:t>
      </w:r>
      <w:r w:rsidR="002276E4" w:rsidRPr="00AC1930">
        <w:t xml:space="preserve">in the </w:t>
      </w:r>
      <w:r w:rsidRPr="00AC1930">
        <w:t xml:space="preserve">private sector. </w:t>
      </w:r>
      <w:r w:rsidR="00910FA1" w:rsidRPr="00AC1930">
        <w:t>I</w:t>
      </w:r>
      <w:r w:rsidRPr="00AC1930">
        <w:t>mplications, limitations</w:t>
      </w:r>
      <w:r w:rsidR="003E6BC4" w:rsidRPr="00AC1930">
        <w:t>,</w:t>
      </w:r>
      <w:r w:rsidRPr="00AC1930">
        <w:t xml:space="preserve"> and future studies are drawn from the results</w:t>
      </w:r>
      <w:r w:rsidR="00023B09" w:rsidRPr="00AC1930">
        <w:t>.</w:t>
      </w:r>
    </w:p>
    <w:p w14:paraId="46DC4E5B" w14:textId="77777777" w:rsidR="002E7E3F" w:rsidRPr="00AC1930" w:rsidRDefault="0001118D">
      <w:r w:rsidRPr="00AC1930">
        <w:rPr>
          <w:b/>
        </w:rPr>
        <w:t>Keywords</w:t>
      </w:r>
      <w:r w:rsidRPr="00AC1930">
        <w:t>: Leader-Member Exchange, Work Alienation, Self-Regulation, Turkey, PLS</w:t>
      </w:r>
    </w:p>
    <w:p w14:paraId="0CB6D898" w14:textId="77777777" w:rsidR="002E7E3F" w:rsidRPr="00164CD9" w:rsidRDefault="0001118D">
      <w:pPr>
        <w:rPr>
          <w:lang w:val="fr-FR"/>
        </w:rPr>
      </w:pPr>
      <w:proofErr w:type="spellStart"/>
      <w:r w:rsidRPr="00164CD9">
        <w:rPr>
          <w:b/>
          <w:lang w:val="fr-FR"/>
        </w:rPr>
        <w:t>Jel</w:t>
      </w:r>
      <w:proofErr w:type="spellEnd"/>
      <w:r w:rsidRPr="00164CD9">
        <w:rPr>
          <w:b/>
          <w:lang w:val="fr-FR"/>
        </w:rPr>
        <w:t xml:space="preserve"> </w:t>
      </w:r>
      <w:proofErr w:type="gramStart"/>
      <w:r w:rsidRPr="00164CD9">
        <w:rPr>
          <w:b/>
          <w:lang w:val="fr-FR"/>
        </w:rPr>
        <w:t>Classification</w:t>
      </w:r>
      <w:r w:rsidRPr="00164CD9">
        <w:rPr>
          <w:lang w:val="fr-FR"/>
        </w:rPr>
        <w:t>:</w:t>
      </w:r>
      <w:proofErr w:type="gramEnd"/>
      <w:r w:rsidRPr="00164CD9">
        <w:rPr>
          <w:lang w:val="fr-FR"/>
        </w:rPr>
        <w:t xml:space="preserve">  M12, D23, C31</w:t>
      </w:r>
    </w:p>
    <w:p w14:paraId="5DA00965" w14:textId="77777777" w:rsidR="002E7E3F" w:rsidRPr="00164CD9" w:rsidRDefault="0001118D">
      <w:pPr>
        <w:pStyle w:val="Heading1"/>
        <w:keepNext w:val="0"/>
        <w:keepLines w:val="0"/>
        <w:spacing w:before="480" w:after="120" w:line="480" w:lineRule="auto"/>
        <w:rPr>
          <w:b/>
          <w:sz w:val="32"/>
          <w:szCs w:val="32"/>
          <w:lang w:val="fr-FR"/>
        </w:rPr>
      </w:pPr>
      <w:bookmarkStart w:id="0" w:name="_33iig8k4suz7" w:colFirst="0" w:colLast="0"/>
      <w:bookmarkStart w:id="1" w:name="_bpkwennoth65" w:colFirst="0" w:colLast="0"/>
      <w:bookmarkEnd w:id="0"/>
      <w:bookmarkEnd w:id="1"/>
      <w:r w:rsidRPr="00164CD9">
        <w:rPr>
          <w:b/>
          <w:sz w:val="32"/>
          <w:szCs w:val="32"/>
          <w:lang w:val="fr-FR"/>
        </w:rPr>
        <w:t>Introduction</w:t>
      </w:r>
    </w:p>
    <w:p w14:paraId="5F956126" w14:textId="46373F8C" w:rsidR="002E7E3F" w:rsidRPr="00AC1930" w:rsidRDefault="0001118D">
      <w:r w:rsidRPr="00AC1930">
        <w:t xml:space="preserve">In an ideal workplace, employees are expected to work happily and contribute to the workplace; however, </w:t>
      </w:r>
      <w:r w:rsidR="003E6BC4" w:rsidRPr="00AC1930">
        <w:t xml:space="preserve">this </w:t>
      </w:r>
      <w:r w:rsidRPr="00AC1930">
        <w:t xml:space="preserve">does not often occur due to </w:t>
      </w:r>
      <w:r w:rsidR="003E6BC4" w:rsidRPr="00AC1930">
        <w:t xml:space="preserve">various detrimental </w:t>
      </w:r>
      <w:r w:rsidRPr="00AC1930">
        <w:t>organisational and individual issues</w:t>
      </w:r>
      <w:r w:rsidR="000C49CE" w:rsidRPr="00AC1930">
        <w:t xml:space="preserve"> (</w:t>
      </w:r>
      <w:proofErr w:type="spellStart"/>
      <w:r w:rsidR="000C49CE" w:rsidRPr="00AC1930">
        <w:t>Cicek</w:t>
      </w:r>
      <w:proofErr w:type="spellEnd"/>
      <w:r w:rsidR="000C49CE" w:rsidRPr="00AC1930">
        <w:t>/Turkmenoglu/</w:t>
      </w:r>
      <w:proofErr w:type="spellStart"/>
      <w:r w:rsidR="000C49CE" w:rsidRPr="00AC1930">
        <w:t>Ozbilgin</w:t>
      </w:r>
      <w:proofErr w:type="spellEnd"/>
      <w:r w:rsidR="000C49CE" w:rsidRPr="00AC1930">
        <w:t xml:space="preserve"> 2021)</w:t>
      </w:r>
      <w:r w:rsidRPr="00AC1930">
        <w:t xml:space="preserve">. Studies report that one </w:t>
      </w:r>
      <w:r w:rsidR="003E6BC4" w:rsidRPr="00AC1930">
        <w:t>such issue</w:t>
      </w:r>
      <w:r w:rsidRPr="00AC1930">
        <w:t xml:space="preserve"> is work alienation (Shantz/</w:t>
      </w:r>
      <w:proofErr w:type="spellStart"/>
      <w:r w:rsidRPr="00AC1930">
        <w:t>Alfes</w:t>
      </w:r>
      <w:proofErr w:type="spellEnd"/>
      <w:r w:rsidRPr="00AC1930">
        <w:t xml:space="preserve">/Bailey/Soane 2015). </w:t>
      </w:r>
      <w:r w:rsidR="00023B09" w:rsidRPr="00AC1930">
        <w:t xml:space="preserve">Work alienation (WA) </w:t>
      </w:r>
      <w:r w:rsidRPr="00AC1930">
        <w:t>has been identified as an injurious phenomenon in the workplace which takes place when employees feel that their workplace is detrimental to their labour, self</w:t>
      </w:r>
      <w:r w:rsidR="003E6BC4" w:rsidRPr="00AC1930">
        <w:t>,</w:t>
      </w:r>
      <w:r w:rsidRPr="00AC1930">
        <w:t xml:space="preserve"> and work context (Hirschfeld/Field 2000). Recent studies suggest that employees' WA reduces their job performance (</w:t>
      </w:r>
      <w:proofErr w:type="spellStart"/>
      <w:r w:rsidRPr="00AC1930">
        <w:t>Kartal</w:t>
      </w:r>
      <w:proofErr w:type="spellEnd"/>
      <w:r w:rsidRPr="00AC1930">
        <w:t xml:space="preserve"> 2018), deteriorates organisational health (</w:t>
      </w:r>
      <w:proofErr w:type="spellStart"/>
      <w:r w:rsidRPr="00AC1930">
        <w:t>Özer</w:t>
      </w:r>
      <w:proofErr w:type="spellEnd"/>
      <w:r w:rsidRPr="00AC1930">
        <w:t>/</w:t>
      </w:r>
      <w:proofErr w:type="spellStart"/>
      <w:r w:rsidRPr="00AC1930">
        <w:t>Uğurluoğlu</w:t>
      </w:r>
      <w:proofErr w:type="spellEnd"/>
      <w:r w:rsidRPr="00AC1930">
        <w:t>/</w:t>
      </w:r>
      <w:proofErr w:type="spellStart"/>
      <w:r w:rsidRPr="00AC1930">
        <w:t>Saygılı</w:t>
      </w:r>
      <w:proofErr w:type="spellEnd"/>
      <w:r w:rsidRPr="00AC1930">
        <w:t>/</w:t>
      </w:r>
      <w:proofErr w:type="spellStart"/>
      <w:r w:rsidRPr="00AC1930">
        <w:t>Sonğur</w:t>
      </w:r>
      <w:proofErr w:type="spellEnd"/>
      <w:r w:rsidRPr="00AC1930">
        <w:t xml:space="preserve"> 2019)</w:t>
      </w:r>
      <w:r w:rsidR="003E6BC4" w:rsidRPr="00AC1930">
        <w:t>,</w:t>
      </w:r>
      <w:r w:rsidRPr="00AC1930">
        <w:t xml:space="preserve"> and decreases employees' organisational commitment (</w:t>
      </w:r>
      <w:proofErr w:type="spellStart"/>
      <w:r w:rsidRPr="00AC1930">
        <w:t>Tummers</w:t>
      </w:r>
      <w:proofErr w:type="spellEnd"/>
      <w:r w:rsidRPr="00AC1930">
        <w:t xml:space="preserve">/Den </w:t>
      </w:r>
      <w:proofErr w:type="spellStart"/>
      <w:r w:rsidRPr="00AC1930">
        <w:t>Dulk</w:t>
      </w:r>
      <w:proofErr w:type="spellEnd"/>
      <w:r w:rsidRPr="00AC1930">
        <w:t xml:space="preserve"> 2013). Thus, work alienation has been a preoccupation not merely to employers but also organisation members. Studies suggest that leadership style plays a role in the level of WA</w:t>
      </w:r>
      <w:r w:rsidR="002276E4" w:rsidRPr="00AC1930">
        <w:t>;</w:t>
      </w:r>
      <w:r w:rsidRPr="00AC1930">
        <w:t xml:space="preserve"> in other words, while demonstrating transformational leadership is linked with lower WA, transactional leadership is associated with a higher level of WA (</w:t>
      </w:r>
      <w:proofErr w:type="spellStart"/>
      <w:r w:rsidRPr="00AC1930">
        <w:t>Sarros</w:t>
      </w:r>
      <w:proofErr w:type="spellEnd"/>
      <w:r w:rsidRPr="00AC1930">
        <w:t>/</w:t>
      </w:r>
      <w:proofErr w:type="spellStart"/>
      <w:r w:rsidRPr="00AC1930">
        <w:t>Tanewski</w:t>
      </w:r>
      <w:proofErr w:type="spellEnd"/>
      <w:r w:rsidRPr="00AC1930">
        <w:t>/Winter/Santora/</w:t>
      </w:r>
      <w:proofErr w:type="spellStart"/>
      <w:r w:rsidRPr="00AC1930">
        <w:t>Densten</w:t>
      </w:r>
      <w:proofErr w:type="spellEnd"/>
      <w:r w:rsidRPr="00AC1930">
        <w:t xml:space="preserve"> 2002). Prior research </w:t>
      </w:r>
      <w:r w:rsidR="003E6BC4" w:rsidRPr="00AC1930">
        <w:t xml:space="preserve">that </w:t>
      </w:r>
      <w:r w:rsidR="003E6BC4" w:rsidRPr="00AC1930">
        <w:lastRenderedPageBreak/>
        <w:t xml:space="preserve">has </w:t>
      </w:r>
      <w:r w:rsidRPr="00AC1930">
        <w:t xml:space="preserve">examined the reasons </w:t>
      </w:r>
      <w:r w:rsidR="003E6BC4" w:rsidRPr="00AC1930">
        <w:t xml:space="preserve">for </w:t>
      </w:r>
      <w:r w:rsidRPr="00AC1930">
        <w:t>WA also suggest that meaningless</w:t>
      </w:r>
      <w:r w:rsidR="003E6BC4" w:rsidRPr="00AC1930">
        <w:t>ness</w:t>
      </w:r>
      <w:r w:rsidRPr="00AC1930">
        <w:t xml:space="preserve"> at work and poor-quality relationships cause WA (Nair/Vohra 2010). Based on </w:t>
      </w:r>
      <w:r w:rsidR="003E6BC4" w:rsidRPr="00AC1930">
        <w:t>this</w:t>
      </w:r>
      <w:r w:rsidRPr="00AC1930">
        <w:t xml:space="preserve">, interactions between leaders and members are worth examining further </w:t>
      </w:r>
      <w:proofErr w:type="gramStart"/>
      <w:r w:rsidRPr="00AC1930">
        <w:t xml:space="preserve">with </w:t>
      </w:r>
      <w:r w:rsidR="003E6BC4" w:rsidRPr="00AC1930">
        <w:t>regard to</w:t>
      </w:r>
      <w:proofErr w:type="gramEnd"/>
      <w:r w:rsidR="003E6BC4" w:rsidRPr="00AC1930">
        <w:t xml:space="preserve"> </w:t>
      </w:r>
      <w:r w:rsidRPr="00AC1930">
        <w:t>WA.</w:t>
      </w:r>
    </w:p>
    <w:p w14:paraId="00BCD982" w14:textId="3A1C3BDC" w:rsidR="002E7E3F" w:rsidRPr="00AC1930" w:rsidRDefault="0001118D">
      <w:r w:rsidRPr="00AC1930">
        <w:t>Speaking of interactions, Social Exchange Theory</w:t>
      </w:r>
      <w:r w:rsidR="00023B09" w:rsidRPr="00AC1930">
        <w:t xml:space="preserve"> (SET)</w:t>
      </w:r>
      <w:r w:rsidRPr="00AC1930">
        <w:t xml:space="preserve"> (</w:t>
      </w:r>
      <w:proofErr w:type="spellStart"/>
      <w:r w:rsidRPr="00AC1930">
        <w:t>Blau</w:t>
      </w:r>
      <w:proofErr w:type="spellEnd"/>
      <w:r w:rsidRPr="00AC1930">
        <w:t xml:space="preserve"> 1964) provides a lens </w:t>
      </w:r>
      <w:r w:rsidR="00850759" w:rsidRPr="00AC1930">
        <w:t xml:space="preserve">through which </w:t>
      </w:r>
      <w:r w:rsidRPr="00AC1930">
        <w:t>to explain human behaviours in their exchanges</w:t>
      </w:r>
      <w:r w:rsidR="00850759" w:rsidRPr="00AC1930">
        <w:t xml:space="preserve">, and from </w:t>
      </w:r>
      <w:r w:rsidR="00AC1930" w:rsidRPr="00AC1930">
        <w:t>which leader</w:t>
      </w:r>
      <w:r w:rsidRPr="00AC1930">
        <w:t>-member exchange (LMX) has emerged</w:t>
      </w:r>
      <w:r w:rsidR="00850759" w:rsidRPr="00AC1930">
        <w:t>.</w:t>
      </w:r>
      <w:r w:rsidRPr="00AC1930">
        <w:t xml:space="preserve"> LMX is based on the idea that different relationships can develop between different organisation members and their leaders (</w:t>
      </w:r>
      <w:proofErr w:type="spellStart"/>
      <w:r w:rsidRPr="00AC1930">
        <w:t>Graen</w:t>
      </w:r>
      <w:proofErr w:type="spellEnd"/>
      <w:r w:rsidRPr="00AC1930">
        <w:t>/</w:t>
      </w:r>
      <w:proofErr w:type="spellStart"/>
      <w:r w:rsidRPr="00AC1930">
        <w:t>Scandura</w:t>
      </w:r>
      <w:proofErr w:type="spellEnd"/>
      <w:r w:rsidRPr="00AC1930">
        <w:t xml:space="preserve"> 1987). According to LMX, leaders do not interact with all members equally; thus, behaviours of organisation members develop differently depending on their interactions with their leaders (</w:t>
      </w:r>
      <w:proofErr w:type="spellStart"/>
      <w:r w:rsidRPr="00AC1930">
        <w:t>Graen</w:t>
      </w:r>
      <w:proofErr w:type="spellEnd"/>
      <w:r w:rsidRPr="00AC1930">
        <w:t>/</w:t>
      </w:r>
      <w:proofErr w:type="spellStart"/>
      <w:r w:rsidRPr="00AC1930">
        <w:t>Uhl</w:t>
      </w:r>
      <w:proofErr w:type="spellEnd"/>
      <w:r w:rsidRPr="00AC1930">
        <w:t>-Bien 1995). According to Social Exchange Theory (</w:t>
      </w:r>
      <w:proofErr w:type="spellStart"/>
      <w:r w:rsidRPr="00AC1930">
        <w:t>Blau</w:t>
      </w:r>
      <w:proofErr w:type="spellEnd"/>
      <w:r w:rsidRPr="00AC1930">
        <w:t xml:space="preserve"> 1964), which is based on the </w:t>
      </w:r>
      <w:r w:rsidR="00850759" w:rsidRPr="00AC1930">
        <w:t xml:space="preserve">expected </w:t>
      </w:r>
      <w:r w:rsidRPr="00AC1930">
        <w:t>benefits when engaging in a relationship, low/high-quality relationships between leaders and members have impacts on work outcomes. Recent studies suggest that when organisation members have higher quality relationships with their leaders, they tend to demonstrate positive behaviours such as organisational citizenship behaviour and work engagement (</w:t>
      </w:r>
      <w:proofErr w:type="spellStart"/>
      <w:r w:rsidRPr="00AC1930">
        <w:t>Dulebohn</w:t>
      </w:r>
      <w:proofErr w:type="spellEnd"/>
      <w:r w:rsidRPr="00AC1930">
        <w:t>/</w:t>
      </w:r>
      <w:proofErr w:type="spellStart"/>
      <w:r w:rsidRPr="00AC1930">
        <w:t>Bommer</w:t>
      </w:r>
      <w:proofErr w:type="spellEnd"/>
      <w:r w:rsidRPr="00AC1930">
        <w:t>/Liden/</w:t>
      </w:r>
      <w:proofErr w:type="spellStart"/>
      <w:r w:rsidRPr="00AC1930">
        <w:t>Brouer</w:t>
      </w:r>
      <w:proofErr w:type="spellEnd"/>
      <w:r w:rsidRPr="00AC1930">
        <w:t xml:space="preserve">/Ferris 2012). Although </w:t>
      </w:r>
      <w:proofErr w:type="gramStart"/>
      <w:r w:rsidRPr="00AC1930">
        <w:t>a number of</w:t>
      </w:r>
      <w:proofErr w:type="gramEnd"/>
      <w:r w:rsidRPr="00AC1930">
        <w:t xml:space="preserve"> studies have examined the antecedents and consequences of LMX (Martin/Guillaume/Thomas/Lee/</w:t>
      </w:r>
      <w:proofErr w:type="spellStart"/>
      <w:r w:rsidRPr="00AC1930">
        <w:t>Epitropaki</w:t>
      </w:r>
      <w:proofErr w:type="spellEnd"/>
      <w:r w:rsidRPr="00AC1930">
        <w:t xml:space="preserve"> 2016), it seems that there </w:t>
      </w:r>
      <w:r w:rsidR="00797260" w:rsidRPr="00AC1930">
        <w:t xml:space="preserve">has </w:t>
      </w:r>
      <w:r w:rsidRPr="00AC1930">
        <w:t xml:space="preserve">been </w:t>
      </w:r>
      <w:r w:rsidR="00797260" w:rsidRPr="00AC1930">
        <w:t xml:space="preserve">a </w:t>
      </w:r>
      <w:r w:rsidRPr="00AC1930">
        <w:t xml:space="preserve">very limited </w:t>
      </w:r>
      <w:r w:rsidR="00797260" w:rsidRPr="00AC1930">
        <w:t xml:space="preserve">number of </w:t>
      </w:r>
      <w:r w:rsidRPr="00AC1930">
        <w:t xml:space="preserve">studies </w:t>
      </w:r>
      <w:r w:rsidR="00797260" w:rsidRPr="00AC1930">
        <w:t xml:space="preserve">that directly </w:t>
      </w:r>
      <w:r w:rsidRPr="00AC1930">
        <w:t>show</w:t>
      </w:r>
      <w:r w:rsidR="002276E4" w:rsidRPr="00AC1930">
        <w:t xml:space="preserve"> the association between LMX and WA (Can 2019)</w:t>
      </w:r>
      <w:r w:rsidRPr="00AC1930">
        <w:t xml:space="preserve">. Therefore, we presume that while a </w:t>
      </w:r>
      <w:r w:rsidR="00797260" w:rsidRPr="00AC1930">
        <w:t>high-</w:t>
      </w:r>
      <w:r w:rsidRPr="00AC1930">
        <w:t>quality LMX relationship would decrease WA</w:t>
      </w:r>
      <w:r w:rsidR="00797260" w:rsidRPr="00AC1930">
        <w:t>,</w:t>
      </w:r>
      <w:r w:rsidRPr="00AC1930">
        <w:t xml:space="preserve"> </w:t>
      </w:r>
      <w:r w:rsidR="00797260" w:rsidRPr="00AC1930">
        <w:t>a low-</w:t>
      </w:r>
      <w:r w:rsidRPr="00AC1930">
        <w:t xml:space="preserve">quality LMX relationship would increase </w:t>
      </w:r>
      <w:r w:rsidR="00797260" w:rsidRPr="00AC1930">
        <w:t>it.</w:t>
      </w:r>
    </w:p>
    <w:p w14:paraId="67F0F683" w14:textId="23CC9613" w:rsidR="002E7E3F" w:rsidRPr="00AC1930" w:rsidRDefault="00DE3024">
      <w:r w:rsidRPr="00AC1930">
        <w:t>Despite the</w:t>
      </w:r>
      <w:r w:rsidR="00080D32" w:rsidRPr="00AC1930">
        <w:t xml:space="preserve"> </w:t>
      </w:r>
      <w:r w:rsidR="00E139D7" w:rsidRPr="00AC1930">
        <w:t>expanding</w:t>
      </w:r>
      <w:r w:rsidR="0001118D" w:rsidRPr="00AC1930">
        <w:t xml:space="preserve"> empirical evidence on </w:t>
      </w:r>
      <w:r w:rsidR="00797260" w:rsidRPr="00AC1930">
        <w:t xml:space="preserve">the </w:t>
      </w:r>
      <w:r w:rsidR="00E139D7" w:rsidRPr="00AC1930">
        <w:t>outcomes</w:t>
      </w:r>
      <w:r w:rsidR="0001118D" w:rsidRPr="00AC1930">
        <w:t xml:space="preserve"> of WA, </w:t>
      </w:r>
      <w:r w:rsidR="00E139D7" w:rsidRPr="00AC1930">
        <w:t xml:space="preserve">it is intriguing </w:t>
      </w:r>
      <w:r w:rsidR="004A666F" w:rsidRPr="00AC1930">
        <w:t>that</w:t>
      </w:r>
      <w:r w:rsidR="00E139D7" w:rsidRPr="00AC1930">
        <w:t xml:space="preserve"> its </w:t>
      </w:r>
      <w:r w:rsidR="0001118D" w:rsidRPr="00AC1930">
        <w:t xml:space="preserve">determinants </w:t>
      </w:r>
      <w:r w:rsidR="00D04ED4" w:rsidRPr="00AC1930">
        <w:t xml:space="preserve">have not </w:t>
      </w:r>
      <w:r w:rsidR="004A666F" w:rsidRPr="00AC1930">
        <w:t>gained similar</w:t>
      </w:r>
      <w:r w:rsidR="00E139D7" w:rsidRPr="00AC1930">
        <w:t xml:space="preserve"> </w:t>
      </w:r>
      <w:r w:rsidR="004A666F" w:rsidRPr="00AC1930">
        <w:t xml:space="preserve">attention. Since </w:t>
      </w:r>
      <w:r w:rsidR="00A3171D" w:rsidRPr="00AC1930">
        <w:t xml:space="preserve">all </w:t>
      </w:r>
      <w:r w:rsidR="00120CF8" w:rsidRPr="00AC1930">
        <w:t xml:space="preserve">employees and organisations </w:t>
      </w:r>
      <w:r w:rsidR="003A6930" w:rsidRPr="00AC1930">
        <w:t>suffer from WA to some extent</w:t>
      </w:r>
      <w:r w:rsidR="004A666F" w:rsidRPr="00AC1930">
        <w:t xml:space="preserve">, it is vital to determine </w:t>
      </w:r>
      <w:r w:rsidR="002276E4" w:rsidRPr="00AC1930">
        <w:t xml:space="preserve">the </w:t>
      </w:r>
      <w:r w:rsidR="00813A8D" w:rsidRPr="00AC1930">
        <w:t xml:space="preserve">factors </w:t>
      </w:r>
      <w:r w:rsidR="00A3171D" w:rsidRPr="00AC1930">
        <w:t>affecting</w:t>
      </w:r>
      <w:r w:rsidR="00813A8D" w:rsidRPr="00AC1930">
        <w:t xml:space="preserve"> </w:t>
      </w:r>
      <w:r w:rsidR="004A666F" w:rsidRPr="00AC1930">
        <w:t>WA</w:t>
      </w:r>
      <w:r w:rsidR="00CA0071" w:rsidRPr="00AC1930">
        <w:t xml:space="preserve">. </w:t>
      </w:r>
      <w:r w:rsidR="00714FE6" w:rsidRPr="00AC1930">
        <w:t>Investigating</w:t>
      </w:r>
      <w:r w:rsidR="00120CF8" w:rsidRPr="00AC1930">
        <w:t xml:space="preserve"> such evidence would be </w:t>
      </w:r>
      <w:r w:rsidR="00A3171D" w:rsidRPr="00AC1930">
        <w:t>constitute a useful</w:t>
      </w:r>
      <w:r w:rsidR="00120CF8" w:rsidRPr="00AC1930">
        <w:t xml:space="preserve"> </w:t>
      </w:r>
      <w:r w:rsidR="00A3171D" w:rsidRPr="00AC1930">
        <w:t xml:space="preserve">examination </w:t>
      </w:r>
      <w:r w:rsidR="00120CF8" w:rsidRPr="00AC1930">
        <w:t xml:space="preserve">not merely for scholars and but also for </w:t>
      </w:r>
      <w:r w:rsidR="00120CF8" w:rsidRPr="00AC1930">
        <w:lastRenderedPageBreak/>
        <w:t>organisations</w:t>
      </w:r>
      <w:r w:rsidR="00CA0071" w:rsidRPr="00AC1930">
        <w:t xml:space="preserve">. Hence, we believe </w:t>
      </w:r>
      <w:r w:rsidR="00120CF8" w:rsidRPr="00AC1930">
        <w:t xml:space="preserve">that </w:t>
      </w:r>
      <w:r w:rsidR="00CA0071" w:rsidRPr="00AC1930">
        <w:t xml:space="preserve">the quality of </w:t>
      </w:r>
      <w:r w:rsidR="00A3171D" w:rsidRPr="00AC1930">
        <w:t xml:space="preserve">a </w:t>
      </w:r>
      <w:r w:rsidR="00CA0071" w:rsidRPr="00AC1930">
        <w:t xml:space="preserve">relationship </w:t>
      </w:r>
      <w:r w:rsidR="00A3171D" w:rsidRPr="00AC1930">
        <w:t xml:space="preserve">with </w:t>
      </w:r>
      <w:r w:rsidR="002276E4" w:rsidRPr="00AC1930">
        <w:t xml:space="preserve">a </w:t>
      </w:r>
      <w:r w:rsidR="00CA0071" w:rsidRPr="00AC1930">
        <w:t>leader</w:t>
      </w:r>
      <w:r w:rsidR="00813A8D" w:rsidRPr="00AC1930">
        <w:t>,</w:t>
      </w:r>
      <w:r w:rsidR="00CA0071" w:rsidRPr="00AC1930">
        <w:t xml:space="preserve"> namely LMX</w:t>
      </w:r>
      <w:r w:rsidR="002276E4" w:rsidRPr="00AC1930">
        <w:t>,</w:t>
      </w:r>
      <w:r w:rsidR="00CA0071" w:rsidRPr="00AC1930">
        <w:t xml:space="preserve"> would play a role in diminishing WA. </w:t>
      </w:r>
      <w:r w:rsidR="003A6930" w:rsidRPr="00AC1930">
        <w:t>Moreover</w:t>
      </w:r>
      <w:r w:rsidR="0001118D" w:rsidRPr="00AC1930">
        <w:t xml:space="preserve">, little is known about possible mechanisms </w:t>
      </w:r>
      <w:r w:rsidR="00BB1C7C" w:rsidRPr="00AC1930">
        <w:t xml:space="preserve">that might mediate </w:t>
      </w:r>
      <w:r w:rsidR="0001118D" w:rsidRPr="00AC1930">
        <w:t>the relationship between LMX and WA. Hence, this association needs further examination.</w:t>
      </w:r>
    </w:p>
    <w:p w14:paraId="222DF8D4" w14:textId="530DAD30" w:rsidR="002E7E3F" w:rsidRPr="00AC1930" w:rsidRDefault="0001118D">
      <w:r w:rsidRPr="00AC1930">
        <w:t>Moreover, demographic variables and their relationships with work behaviour constructs have received greater attention in management studies (English/Morrison/Chalon 2010). Tenure has been an influential variable in examining job satisfaction and job performance of employees (</w:t>
      </w:r>
      <w:proofErr w:type="spellStart"/>
      <w:r w:rsidRPr="00AC1930">
        <w:t>Pignata</w:t>
      </w:r>
      <w:proofErr w:type="spellEnd"/>
      <w:r w:rsidRPr="00AC1930">
        <w:t>/</w:t>
      </w:r>
      <w:proofErr w:type="spellStart"/>
      <w:r w:rsidRPr="00AC1930">
        <w:t>Winefield</w:t>
      </w:r>
      <w:proofErr w:type="spellEnd"/>
      <w:r w:rsidRPr="00AC1930">
        <w:t>/</w:t>
      </w:r>
      <w:proofErr w:type="spellStart"/>
      <w:r w:rsidRPr="00AC1930">
        <w:t>Provis</w:t>
      </w:r>
      <w:proofErr w:type="spellEnd"/>
      <w:r w:rsidRPr="00AC1930">
        <w:t>/Boyd 2016) as well as counterproductive work behaviours such as cynicism (Ng/Feldman 2010) and knowledge hiding (</w:t>
      </w:r>
      <w:proofErr w:type="spellStart"/>
      <w:r w:rsidRPr="00AC1930">
        <w:t>Sarti</w:t>
      </w:r>
      <w:proofErr w:type="spellEnd"/>
      <w:r w:rsidRPr="00AC1930">
        <w:t xml:space="preserve"> 2018). To this end, we </w:t>
      </w:r>
      <w:r w:rsidR="00BB1C7C" w:rsidRPr="00AC1930">
        <w:t>will consider whether</w:t>
      </w:r>
      <w:r w:rsidRPr="00AC1930">
        <w:t xml:space="preserve"> tenure </w:t>
      </w:r>
      <w:r w:rsidR="00BB1C7C" w:rsidRPr="00AC1930">
        <w:t>plays</w:t>
      </w:r>
      <w:r w:rsidRPr="00AC1930">
        <w:t xml:space="preserve"> an influential role in our research model.</w:t>
      </w:r>
    </w:p>
    <w:p w14:paraId="58AF97E8" w14:textId="75D6C5EE" w:rsidR="00023B09" w:rsidRPr="00AC1930" w:rsidRDefault="0001118D">
      <w:r w:rsidRPr="00AC1930">
        <w:t>The purpose of this paper is to propose a research model</w:t>
      </w:r>
      <w:r w:rsidR="000D6962" w:rsidRPr="00AC1930">
        <w:t xml:space="preserve"> </w:t>
      </w:r>
      <w:r w:rsidR="00960A9B" w:rsidRPr="00AC1930">
        <w:t>involving a</w:t>
      </w:r>
      <w:r w:rsidR="000D6962" w:rsidRPr="00AC1930">
        <w:t xml:space="preserve"> </w:t>
      </w:r>
      <w:r w:rsidR="00960A9B" w:rsidRPr="00AC1930">
        <w:t xml:space="preserve">comparison of </w:t>
      </w:r>
      <w:r w:rsidR="00051BB8" w:rsidRPr="00AC1930">
        <w:t xml:space="preserve">the </w:t>
      </w:r>
      <w:r w:rsidR="000D6962" w:rsidRPr="00AC1930">
        <w:t>public and private sector</w:t>
      </w:r>
      <w:r w:rsidR="00960A9B" w:rsidRPr="00AC1930">
        <w:t>s</w:t>
      </w:r>
      <w:r w:rsidRPr="00AC1930">
        <w:t xml:space="preserve"> in which </w:t>
      </w:r>
      <w:r w:rsidR="00051BB8" w:rsidRPr="00AC1930">
        <w:t xml:space="preserve">we examine whether </w:t>
      </w:r>
      <w:r w:rsidRPr="00AC1930">
        <w:t>self-regulation of organisation members</w:t>
      </w:r>
      <w:r w:rsidR="00E267EE" w:rsidRPr="00AC1930">
        <w:t xml:space="preserve"> </w:t>
      </w:r>
      <w:r w:rsidRPr="00AC1930">
        <w:t xml:space="preserve">mediates the impact of LMX on work alienation. </w:t>
      </w:r>
      <w:r w:rsidR="00960A9B" w:rsidRPr="00AC1930">
        <w:t>Five</w:t>
      </w:r>
      <w:r w:rsidRPr="00AC1930">
        <w:t xml:space="preserve"> main goals are needed to achieve this purpose</w:t>
      </w:r>
      <w:r w:rsidR="00051BB8" w:rsidRPr="00AC1930">
        <w:t>: first</w:t>
      </w:r>
      <w:r w:rsidRPr="00AC1930">
        <w:t>, we examine the impact of LMX on WA and SR</w:t>
      </w:r>
      <w:r w:rsidR="00051BB8" w:rsidRPr="00AC1930">
        <w:t>; second</w:t>
      </w:r>
      <w:r w:rsidRPr="00AC1930">
        <w:t>, we investigate the influence of SR on WA</w:t>
      </w:r>
      <w:r w:rsidR="00051BB8" w:rsidRPr="00AC1930">
        <w:t>; t</w:t>
      </w:r>
      <w:r w:rsidRPr="00AC1930">
        <w:t>hird, we extend SR research by examining it as a mediator for the relationship between LMX and WA</w:t>
      </w:r>
      <w:r w:rsidR="00051BB8" w:rsidRPr="00AC1930">
        <w:t>; fourth</w:t>
      </w:r>
      <w:r w:rsidRPr="00AC1930">
        <w:t>, we investigate tenure as a moderator mechanism on the relationship between LMX and WA</w:t>
      </w:r>
      <w:r w:rsidR="00051BB8" w:rsidRPr="00AC1930">
        <w:t>; and f</w:t>
      </w:r>
      <w:r w:rsidR="00960A9B" w:rsidRPr="00AC1930">
        <w:t xml:space="preserve">inally, we perform a multi-group analysis to compare </w:t>
      </w:r>
      <w:r w:rsidR="00051BB8" w:rsidRPr="00AC1930">
        <w:t xml:space="preserve">the </w:t>
      </w:r>
      <w:r w:rsidR="00960A9B" w:rsidRPr="00AC1930">
        <w:t xml:space="preserve">results </w:t>
      </w:r>
      <w:r w:rsidR="000A207F" w:rsidRPr="00AC1930">
        <w:t xml:space="preserve">that </w:t>
      </w:r>
      <w:r w:rsidR="00960A9B" w:rsidRPr="00AC1930">
        <w:t xml:space="preserve">emerged from </w:t>
      </w:r>
      <w:r w:rsidR="00051BB8" w:rsidRPr="00AC1930">
        <w:t xml:space="preserve">the </w:t>
      </w:r>
      <w:r w:rsidR="00960A9B" w:rsidRPr="00AC1930">
        <w:t>two different sectors.</w:t>
      </w:r>
    </w:p>
    <w:p w14:paraId="636396A4" w14:textId="434C83CD" w:rsidR="002E7E3F" w:rsidRPr="00AC1930" w:rsidRDefault="0001118D">
      <w:r w:rsidRPr="00AC1930">
        <w:t xml:space="preserve">Data collected from 310 public and private sector organisation members in Turkey were used to investigate the linkages above </w:t>
      </w:r>
      <w:r w:rsidR="00051BB8" w:rsidRPr="00AC1930">
        <w:t xml:space="preserve">via partial </w:t>
      </w:r>
      <w:r w:rsidRPr="00AC1930">
        <w:t>least squares (PLS)</w:t>
      </w:r>
      <w:r w:rsidR="00051BB8" w:rsidRPr="00AC1930">
        <w:t xml:space="preserve"> analysis</w:t>
      </w:r>
      <w:r w:rsidRPr="00AC1930">
        <w:t xml:space="preserve">. By doing </w:t>
      </w:r>
      <w:r w:rsidR="00051BB8" w:rsidRPr="00AC1930">
        <w:t>so</w:t>
      </w:r>
      <w:r w:rsidR="002276E4" w:rsidRPr="00AC1930">
        <w:t>,</w:t>
      </w:r>
      <w:r w:rsidRPr="00AC1930">
        <w:t xml:space="preserve"> our research contributes to the current knowledge by addressing the following gaps in the extant literature</w:t>
      </w:r>
      <w:r w:rsidR="00051BB8" w:rsidRPr="00AC1930">
        <w:t>. First</w:t>
      </w:r>
      <w:r w:rsidRPr="00AC1930">
        <w:t>, there are studies that have investigated the relationship between leadership styles and WA (</w:t>
      </w:r>
      <w:proofErr w:type="spellStart"/>
      <w:r w:rsidRPr="00AC1930">
        <w:t>Sarros</w:t>
      </w:r>
      <w:proofErr w:type="spellEnd"/>
      <w:r w:rsidRPr="00AC1930">
        <w:t xml:space="preserve"> et al. 2002). The</w:t>
      </w:r>
      <w:r w:rsidR="00051BB8" w:rsidRPr="00AC1930">
        <w:t>se</w:t>
      </w:r>
      <w:r w:rsidRPr="00AC1930">
        <w:t xml:space="preserve"> prior studies suggest that charismatic, participative</w:t>
      </w:r>
      <w:r w:rsidR="00051BB8" w:rsidRPr="00AC1930">
        <w:t>,</w:t>
      </w:r>
      <w:r w:rsidRPr="00AC1930">
        <w:t xml:space="preserve"> </w:t>
      </w:r>
      <w:r w:rsidRPr="00AC1930">
        <w:lastRenderedPageBreak/>
        <w:t>and supportive leadership behaviours hinder organisation members' work alienation (</w:t>
      </w:r>
      <w:proofErr w:type="spellStart"/>
      <w:r w:rsidRPr="00AC1930">
        <w:t>Banai</w:t>
      </w:r>
      <w:proofErr w:type="spellEnd"/>
      <w:r w:rsidRPr="00AC1930">
        <w:t>/</w:t>
      </w:r>
      <w:proofErr w:type="spellStart"/>
      <w:r w:rsidRPr="00AC1930">
        <w:t>Reisel</w:t>
      </w:r>
      <w:proofErr w:type="spellEnd"/>
      <w:r w:rsidRPr="00AC1930">
        <w:t xml:space="preserve">/Probst 2004). However, only very limited studies suggest that poor relationships in the workplace would increase WA of organisation members (Nair/Vohra 2010). Hence, we assume that LMX as a relationship-based construct </w:t>
      </w:r>
      <w:r w:rsidR="00051BB8" w:rsidRPr="00AC1930">
        <w:t xml:space="preserve">that </w:t>
      </w:r>
      <w:r w:rsidRPr="00AC1930">
        <w:t>affect</w:t>
      </w:r>
      <w:r w:rsidR="00051BB8" w:rsidRPr="00AC1930">
        <w:t>s</w:t>
      </w:r>
      <w:r w:rsidRPr="00AC1930">
        <w:t xml:space="preserve"> </w:t>
      </w:r>
      <w:r w:rsidR="00051BB8" w:rsidRPr="00AC1930">
        <w:t xml:space="preserve">the </w:t>
      </w:r>
      <w:r w:rsidRPr="00AC1930">
        <w:t xml:space="preserve">WA of organisation members. Second, more importantly, no empirical </w:t>
      </w:r>
      <w:r w:rsidR="00051BB8" w:rsidRPr="00AC1930">
        <w:t xml:space="preserve">studies to date have </w:t>
      </w:r>
      <w:r w:rsidRPr="00AC1930">
        <w:t>examined the effect</w:t>
      </w:r>
      <w:r w:rsidR="00220674" w:rsidRPr="00AC1930">
        <w:t>s</w:t>
      </w:r>
      <w:r w:rsidRPr="00AC1930">
        <w:t xml:space="preserve"> of self-regulation on the relationship between LMX and WA. We presume that even though organisation members have lower interactions with their leaders, they can control their behaviours to avoid any alienation from their work. Third, research conducted in Turkey have examined </w:t>
      </w:r>
      <w:r w:rsidR="00051BB8" w:rsidRPr="00AC1930">
        <w:t xml:space="preserve">the </w:t>
      </w:r>
      <w:r w:rsidRPr="00AC1930">
        <w:t xml:space="preserve">influences of WA on </w:t>
      </w:r>
      <w:proofErr w:type="gramStart"/>
      <w:r w:rsidRPr="00AC1930">
        <w:t>a number of</w:t>
      </w:r>
      <w:proofErr w:type="gramEnd"/>
      <w:r w:rsidRPr="00AC1930">
        <w:t xml:space="preserve"> work-related indications, e.g.</w:t>
      </w:r>
      <w:r w:rsidR="00051BB8" w:rsidRPr="00AC1930">
        <w:t>,</w:t>
      </w:r>
      <w:r w:rsidRPr="00AC1930">
        <w:t xml:space="preserve"> job performance (</w:t>
      </w:r>
      <w:proofErr w:type="spellStart"/>
      <w:r w:rsidRPr="00AC1930">
        <w:t>Kartal</w:t>
      </w:r>
      <w:proofErr w:type="spellEnd"/>
      <w:r w:rsidRPr="00AC1930">
        <w:t xml:space="preserve"> 2018), organisati</w:t>
      </w:r>
      <w:r w:rsidR="00AF63F8" w:rsidRPr="00AC1930">
        <w:t>onal health (</w:t>
      </w:r>
      <w:proofErr w:type="spellStart"/>
      <w:r w:rsidR="00AF63F8" w:rsidRPr="00AC1930">
        <w:t>Özer</w:t>
      </w:r>
      <w:proofErr w:type="spellEnd"/>
      <w:r w:rsidR="00AF63F8" w:rsidRPr="00AC1930">
        <w:t xml:space="preserve"> et al. 2019)</w:t>
      </w:r>
      <w:r w:rsidR="00051BB8" w:rsidRPr="00AC1930">
        <w:t>.</w:t>
      </w:r>
      <w:r w:rsidR="00AF63F8" w:rsidRPr="00AC1930">
        <w:t xml:space="preserve"> and </w:t>
      </w:r>
      <w:r w:rsidRPr="00AC1930">
        <w:t>work centrality (Tan 2016)</w:t>
      </w:r>
      <w:r w:rsidR="00AF63F8" w:rsidRPr="00AC1930">
        <w:t>.</w:t>
      </w:r>
      <w:r w:rsidRPr="00AC1930">
        <w:t xml:space="preserve"> Similarly, LMX has been investigated </w:t>
      </w:r>
      <w:r w:rsidR="00051BB8" w:rsidRPr="00AC1930">
        <w:t xml:space="preserve">according to </w:t>
      </w:r>
      <w:r w:rsidRPr="00AC1930">
        <w:t>work outcomes, e.g.</w:t>
      </w:r>
      <w:r w:rsidR="00051BB8" w:rsidRPr="00AC1930">
        <w:t>,</w:t>
      </w:r>
      <w:r w:rsidRPr="00AC1930">
        <w:t xml:space="preserve"> job satisfaction (Pellegrini/</w:t>
      </w:r>
      <w:proofErr w:type="spellStart"/>
      <w:r w:rsidRPr="00AC1930">
        <w:t>Scandura</w:t>
      </w:r>
      <w:proofErr w:type="spellEnd"/>
      <w:r w:rsidRPr="00AC1930">
        <w:t xml:space="preserve"> 2006) and turnover intention (Can 2019), yet </w:t>
      </w:r>
      <w:r w:rsidR="00051BB8" w:rsidRPr="00AC1930">
        <w:t xml:space="preserve">there is a dearth of </w:t>
      </w:r>
      <w:r w:rsidRPr="00AC1930">
        <w:t xml:space="preserve">empirical investigations </w:t>
      </w:r>
      <w:r w:rsidR="00051BB8" w:rsidRPr="00AC1930">
        <w:t>that have</w:t>
      </w:r>
      <w:r w:rsidRPr="00AC1930">
        <w:t xml:space="preserve"> examine</w:t>
      </w:r>
      <w:r w:rsidR="00051BB8" w:rsidRPr="00AC1930">
        <w:t>d</w:t>
      </w:r>
      <w:r w:rsidRPr="00AC1930">
        <w:t xml:space="preserve"> the impact of LMX on </w:t>
      </w:r>
      <w:r w:rsidR="00023B09" w:rsidRPr="00AC1930">
        <w:t>WA both</w:t>
      </w:r>
      <w:r w:rsidRPr="00AC1930">
        <w:t xml:space="preserve"> in Turkey and elsewhere. </w:t>
      </w:r>
      <w:r w:rsidR="00051BB8" w:rsidRPr="00AC1930">
        <w:t>Finally</w:t>
      </w:r>
      <w:r w:rsidRPr="00AC1930">
        <w:t>, previous studies have found that tenure and sector differences have various impacts on employee behaviours. Thus, utilising Social Exchange Theory (</w:t>
      </w:r>
      <w:proofErr w:type="spellStart"/>
      <w:r w:rsidRPr="00AC1930">
        <w:t>Blau</w:t>
      </w:r>
      <w:proofErr w:type="spellEnd"/>
      <w:r w:rsidRPr="00AC1930">
        <w:t xml:space="preserve"> 1964) and Self-Determination Theory (Deci/Ryan 1985), we contribute to the literature by not only deepening our understanding of WA </w:t>
      </w:r>
      <w:r w:rsidR="00DB7BD7" w:rsidRPr="00AC1930">
        <w:t>(</w:t>
      </w:r>
      <w:r w:rsidRPr="00AC1930">
        <w:t>with an emphasis on supportive leadership behaviours</w:t>
      </w:r>
      <w:r w:rsidR="00DB7BD7" w:rsidRPr="00AC1930">
        <w:t>)</w:t>
      </w:r>
      <w:r w:rsidRPr="00AC1930">
        <w:t xml:space="preserve"> but also </w:t>
      </w:r>
      <w:r w:rsidR="00DB7BD7" w:rsidRPr="00AC1930">
        <w:t xml:space="preserve">examine </w:t>
      </w:r>
      <w:r w:rsidRPr="00AC1930">
        <w:t>the effect</w:t>
      </w:r>
      <w:r w:rsidR="00DB7BD7" w:rsidRPr="00AC1930">
        <w:t>s</w:t>
      </w:r>
      <w:r w:rsidRPr="00AC1930">
        <w:t xml:space="preserve"> of orga</w:t>
      </w:r>
      <w:r w:rsidR="00E96799" w:rsidRPr="00AC1930">
        <w:t xml:space="preserve">nisation members' LMX on WA. </w:t>
      </w:r>
      <w:r w:rsidR="00AA31F2" w:rsidRPr="00AC1930">
        <w:t xml:space="preserve">In terms of </w:t>
      </w:r>
      <w:r w:rsidR="00DB7BD7" w:rsidRPr="00AC1930">
        <w:t xml:space="preserve">the </w:t>
      </w:r>
      <w:r w:rsidR="00AA31F2" w:rsidRPr="00AC1930">
        <w:t xml:space="preserve">practical </w:t>
      </w:r>
      <w:r w:rsidR="008B0F11" w:rsidRPr="00AC1930">
        <w:t>implications</w:t>
      </w:r>
      <w:r w:rsidR="00AA31F2" w:rsidRPr="00AC1930">
        <w:t xml:space="preserve"> of our research, we provide suggestions that may be useful for employees as well as managers. Our research underlines that work alienation may exist in organisations, and the availability of quality relationships </w:t>
      </w:r>
      <w:r w:rsidR="00DB7BD7" w:rsidRPr="00AC1930">
        <w:t xml:space="preserve">with one’s </w:t>
      </w:r>
      <w:r w:rsidR="00AA31F2" w:rsidRPr="00AC1930">
        <w:t xml:space="preserve">leader may negate it. Even though organisation members encounter alienation in the absence of quality relationships, members may regulate themselves to overcome work alienation. We recommend managers gain the trust of organisation members by being honest and transparent with </w:t>
      </w:r>
      <w:r w:rsidR="00DB7BD7" w:rsidRPr="00AC1930">
        <w:t>them</w:t>
      </w:r>
      <w:r w:rsidR="00AA31F2" w:rsidRPr="00AC1930">
        <w:t xml:space="preserve">. Moreover, managers should adopt an open-door policy for </w:t>
      </w:r>
      <w:r w:rsidR="008B0F11" w:rsidRPr="00AC1930">
        <w:t>or</w:t>
      </w:r>
      <w:r w:rsidR="00AA31F2" w:rsidRPr="00AC1930">
        <w:t xml:space="preserve">ganisation members </w:t>
      </w:r>
      <w:r w:rsidR="008B0F11" w:rsidRPr="00AC1930">
        <w:t xml:space="preserve">to </w:t>
      </w:r>
      <w:r w:rsidR="00AA31F2" w:rsidRPr="00AC1930">
        <w:t xml:space="preserve">feel comfortable when they have </w:t>
      </w:r>
      <w:r w:rsidR="00AA31F2" w:rsidRPr="00AC1930">
        <w:lastRenderedPageBreak/>
        <w:t>feedback, questions</w:t>
      </w:r>
      <w:r w:rsidR="00DB7BD7" w:rsidRPr="00AC1930">
        <w:t>,</w:t>
      </w:r>
      <w:r w:rsidR="00AA31F2" w:rsidRPr="00AC1930">
        <w:t xml:space="preserve"> or new thoughts. Finally, we suggest that managers should be more friendly to organisation members to establish quality relationships with them</w:t>
      </w:r>
      <w:r w:rsidR="00DB7BD7" w:rsidRPr="00AC1930">
        <w:t>,</w:t>
      </w:r>
      <w:r w:rsidR="00AA31F2" w:rsidRPr="00AC1930">
        <w:t xml:space="preserve"> which may </w:t>
      </w:r>
      <w:r w:rsidR="00DB7BD7" w:rsidRPr="00AC1930">
        <w:t xml:space="preserve">subsequently </w:t>
      </w:r>
      <w:r w:rsidR="00AA31F2" w:rsidRPr="00AC1930">
        <w:t>lessen counterproductive work-related outcomes, e.g.</w:t>
      </w:r>
      <w:r w:rsidR="00DB7BD7" w:rsidRPr="00AC1930">
        <w:t>,</w:t>
      </w:r>
      <w:r w:rsidR="00AA31F2" w:rsidRPr="00AC1930">
        <w:t xml:space="preserve"> work alienation.</w:t>
      </w:r>
    </w:p>
    <w:p w14:paraId="7E96F8FA" w14:textId="05C471E6" w:rsidR="002E7E3F" w:rsidRPr="00AC1930" w:rsidRDefault="0001118D">
      <w:r w:rsidRPr="00AC1930">
        <w:t xml:space="preserve">This paper is organised as follows: first, an introduction is given at the outset of the paper to point out the </w:t>
      </w:r>
      <w:r w:rsidR="00DB7BD7" w:rsidRPr="00AC1930">
        <w:t xml:space="preserve">research </w:t>
      </w:r>
      <w:r w:rsidRPr="00AC1930">
        <w:t>gap, rationale</w:t>
      </w:r>
      <w:r w:rsidR="00DB7BD7" w:rsidRPr="00AC1930">
        <w:t>,</w:t>
      </w:r>
      <w:r w:rsidRPr="00AC1930">
        <w:t xml:space="preserve"> and </w:t>
      </w:r>
      <w:r w:rsidR="00DB7BD7" w:rsidRPr="00AC1930">
        <w:t xml:space="preserve">problems </w:t>
      </w:r>
      <w:r w:rsidRPr="00AC1930">
        <w:t xml:space="preserve">of </w:t>
      </w:r>
      <w:r w:rsidR="00DB7BD7" w:rsidRPr="00AC1930">
        <w:t xml:space="preserve">the </w:t>
      </w:r>
      <w:r w:rsidRPr="00AC1930">
        <w:t>study</w:t>
      </w:r>
      <w:r w:rsidR="002276E4" w:rsidRPr="00AC1930">
        <w:t>,</w:t>
      </w:r>
      <w:r w:rsidRPr="00AC1930">
        <w:t xml:space="preserve"> then it describes the theoretical background </w:t>
      </w:r>
      <w:r w:rsidR="00DB7BD7" w:rsidRPr="00AC1930">
        <w:t xml:space="preserve">to the </w:t>
      </w:r>
      <w:r w:rsidRPr="00AC1930">
        <w:t xml:space="preserve">study and critically evaluates LMX, WA, </w:t>
      </w:r>
      <w:r w:rsidR="00DB7BD7" w:rsidRPr="00AC1930">
        <w:t xml:space="preserve">and </w:t>
      </w:r>
      <w:r w:rsidRPr="00AC1930">
        <w:t xml:space="preserve">self-regulation to develop the hypotheses. The paper continues with the methodology section before </w:t>
      </w:r>
      <w:r w:rsidR="00DB7BD7" w:rsidRPr="00AC1930">
        <w:t xml:space="preserve">reporting </w:t>
      </w:r>
      <w:r w:rsidRPr="00AC1930">
        <w:t>the results of the study</w:t>
      </w:r>
      <w:r w:rsidR="00DB7BD7" w:rsidRPr="00AC1930">
        <w:t>, and then</w:t>
      </w:r>
      <w:r w:rsidRPr="00AC1930">
        <w:t xml:space="preserve"> concludes with a discussion, </w:t>
      </w:r>
      <w:r w:rsidR="00DB7BD7" w:rsidRPr="00AC1930">
        <w:t xml:space="preserve">a description of the </w:t>
      </w:r>
      <w:r w:rsidRPr="00AC1930">
        <w:t>limitation</w:t>
      </w:r>
      <w:r w:rsidR="00DB7BD7" w:rsidRPr="00AC1930">
        <w:t>s</w:t>
      </w:r>
      <w:r w:rsidRPr="00AC1930">
        <w:t xml:space="preserve">, </w:t>
      </w:r>
      <w:r w:rsidR="00DB7BD7" w:rsidRPr="00AC1930">
        <w:t xml:space="preserve">the </w:t>
      </w:r>
      <w:r w:rsidRPr="00AC1930">
        <w:t>implications of the study</w:t>
      </w:r>
      <w:r w:rsidR="00DB7BD7" w:rsidRPr="00AC1930">
        <w:t>,</w:t>
      </w:r>
      <w:r w:rsidRPr="00AC1930">
        <w:t xml:space="preserve"> and possible future directions</w:t>
      </w:r>
      <w:r w:rsidR="00DB7BD7" w:rsidRPr="00AC1930">
        <w:t xml:space="preserve"> for this area of research</w:t>
      </w:r>
      <w:r w:rsidRPr="00AC1930">
        <w:t>.</w:t>
      </w:r>
    </w:p>
    <w:p w14:paraId="00DA8224" w14:textId="77777777" w:rsidR="002E7E3F" w:rsidRPr="00AC1930" w:rsidRDefault="0001118D">
      <w:pPr>
        <w:pStyle w:val="Heading1"/>
        <w:keepNext w:val="0"/>
        <w:keepLines w:val="0"/>
        <w:spacing w:before="480" w:after="120" w:line="480" w:lineRule="auto"/>
        <w:rPr>
          <w:b/>
          <w:sz w:val="32"/>
          <w:szCs w:val="32"/>
        </w:rPr>
      </w:pPr>
      <w:bookmarkStart w:id="2" w:name="_30j0zll" w:colFirst="0" w:colLast="0"/>
      <w:bookmarkEnd w:id="2"/>
      <w:r w:rsidRPr="00AC1930">
        <w:rPr>
          <w:b/>
          <w:sz w:val="32"/>
          <w:szCs w:val="32"/>
        </w:rPr>
        <w:t>Theoretical Background and Hypotheses</w:t>
      </w:r>
    </w:p>
    <w:p w14:paraId="59BF412B" w14:textId="793B31F6" w:rsidR="002E7E3F" w:rsidRPr="00AC1930" w:rsidRDefault="0001118D">
      <w:r w:rsidRPr="00AC1930">
        <w:t xml:space="preserve">In this research, </w:t>
      </w:r>
      <w:r w:rsidR="00956202" w:rsidRPr="00AC1930">
        <w:t xml:space="preserve">our </w:t>
      </w:r>
      <w:r w:rsidRPr="00AC1930">
        <w:t xml:space="preserve">aim </w:t>
      </w:r>
      <w:r w:rsidR="00956202" w:rsidRPr="00AC1930">
        <w:t xml:space="preserve">is </w:t>
      </w:r>
      <w:r w:rsidRPr="00AC1930">
        <w:t xml:space="preserve">to investigate the impact of tenure and LMX on </w:t>
      </w:r>
      <w:r w:rsidR="00DB7BD7" w:rsidRPr="00AC1930">
        <w:t xml:space="preserve">the </w:t>
      </w:r>
      <w:r w:rsidRPr="00AC1930">
        <w:t>WA of Turkish private and public sector organisation members and the mediating role of these members' self-regulation</w:t>
      </w:r>
      <w:r w:rsidR="00DB7BD7" w:rsidRPr="00AC1930">
        <w:t>,</w:t>
      </w:r>
      <w:r w:rsidRPr="00AC1930">
        <w:t xml:space="preserve"> as well as </w:t>
      </w:r>
      <w:r w:rsidR="00DB7BD7" w:rsidRPr="00AC1930">
        <w:t xml:space="preserve">the </w:t>
      </w:r>
      <w:r w:rsidRPr="00AC1930">
        <w:t>moderating effect of their tenure</w:t>
      </w:r>
      <w:r w:rsidR="00DB7BD7" w:rsidRPr="00AC1930">
        <w:t>,</w:t>
      </w:r>
      <w:r w:rsidRPr="00AC1930">
        <w:t xml:space="preserve"> on the relationship. </w:t>
      </w:r>
      <w:proofErr w:type="gramStart"/>
      <w:r w:rsidRPr="00AC1930">
        <w:t>In order to</w:t>
      </w:r>
      <w:proofErr w:type="gramEnd"/>
      <w:r w:rsidRPr="00AC1930">
        <w:t xml:space="preserve"> operationalise the study, we adopt the Social Exchange Theory (</w:t>
      </w:r>
      <w:proofErr w:type="spellStart"/>
      <w:r w:rsidRPr="00AC1930">
        <w:t>Blau</w:t>
      </w:r>
      <w:proofErr w:type="spellEnd"/>
      <w:r w:rsidRPr="00AC1930">
        <w:t xml:space="preserve"> 1964) and Self-Determination Theory (Deci/Ryan 1985) as the theoretical framework</w:t>
      </w:r>
      <w:r w:rsidR="009B29C9" w:rsidRPr="00AC1930">
        <w:t>.</w:t>
      </w:r>
      <w:r w:rsidRPr="00AC1930">
        <w:t xml:space="preserve"> To state briefly, SET is proposed to explain human behaviours in their social exchanges. SET suggests that people expect </w:t>
      </w:r>
      <w:r w:rsidR="009B29C9" w:rsidRPr="00AC1930">
        <w:t xml:space="preserve">certain </w:t>
      </w:r>
      <w:r w:rsidRPr="00AC1930">
        <w:t xml:space="preserve">benefits when engaging in relationships. If benefits are sustained, and each party is happy with what is provided </w:t>
      </w:r>
      <w:r w:rsidR="009B29C9" w:rsidRPr="00AC1930">
        <w:t xml:space="preserve">in </w:t>
      </w:r>
      <w:r w:rsidRPr="00AC1930">
        <w:t>the exchange, then their relationship will be maintained (Searle 2000). The primary reason for adoption is that SET helps us to understand the dynamic exchanges of relationships in the case of any interactions between leaders and organisation members where leader-member exchange emerges. We presume that higher quality LMX would reduce</w:t>
      </w:r>
      <w:r w:rsidR="009B29C9" w:rsidRPr="00AC1930">
        <w:t>,</w:t>
      </w:r>
      <w:r w:rsidRPr="00AC1930">
        <w:t xml:space="preserve"> and lower quality LMX would increase </w:t>
      </w:r>
      <w:r w:rsidR="009B29C9" w:rsidRPr="00AC1930">
        <w:t xml:space="preserve">the </w:t>
      </w:r>
      <w:r w:rsidRPr="00AC1930">
        <w:t xml:space="preserve">WA of organisation members. More importantly, we </w:t>
      </w:r>
      <w:r w:rsidR="009B29C9" w:rsidRPr="00AC1930">
        <w:t>consider whether</w:t>
      </w:r>
      <w:r w:rsidRPr="00AC1930">
        <w:t xml:space="preserve"> the self-regulation of organisation members would mediate </w:t>
      </w:r>
      <w:r w:rsidRPr="00AC1930">
        <w:lastRenderedPageBreak/>
        <w:t>this relationship</w:t>
      </w:r>
      <w:r w:rsidR="009B29C9" w:rsidRPr="00AC1930">
        <w:t>, a subject</w:t>
      </w:r>
      <w:r w:rsidRPr="00AC1930">
        <w:t xml:space="preserve"> which </w:t>
      </w:r>
      <w:r w:rsidR="009B29C9" w:rsidRPr="00AC1930">
        <w:t xml:space="preserve">to date </w:t>
      </w:r>
      <w:r w:rsidRPr="00AC1930">
        <w:t>remains untouched. We also benefit from Self-Determination Theory (SDT)</w:t>
      </w:r>
      <w:r w:rsidR="009B29C9" w:rsidRPr="00AC1930">
        <w:t>,</w:t>
      </w:r>
      <w:r w:rsidRPr="00AC1930">
        <w:t xml:space="preserve"> which is a </w:t>
      </w:r>
      <w:r w:rsidR="009B29C9" w:rsidRPr="00AC1930">
        <w:t>macro-</w:t>
      </w:r>
      <w:r w:rsidRPr="00AC1930">
        <w:t xml:space="preserve">theory of human motivation that addresses a broad range of issues such as psychological needs, energy and vitality, </w:t>
      </w:r>
      <w:r w:rsidR="0001713A" w:rsidRPr="00AC1930">
        <w:t>wellbeing,</w:t>
      </w:r>
      <w:r w:rsidRPr="00AC1930">
        <w:t xml:space="preserve"> and self-regulation (Deci/Ryan 1985). </w:t>
      </w:r>
      <w:r w:rsidR="009B29C9" w:rsidRPr="00AC1930">
        <w:t xml:space="preserve">SDT </w:t>
      </w:r>
      <w:r w:rsidRPr="00AC1930">
        <w:t xml:space="preserve">proposes autonomy, competence, and relatedness as basic psychological needs for individuals (Ryan/Deci 2000). Autonomy refers to a sense of initiative and ownership in one's undertakings. Competence is about a sense of mastery and efficacy in one's activities. It is identified as </w:t>
      </w:r>
      <w:r w:rsidR="00FF3083" w:rsidRPr="00AC1930">
        <w:t xml:space="preserve">the </w:t>
      </w:r>
      <w:r w:rsidRPr="00AC1930">
        <w:t xml:space="preserve">feeling that one is capable, can succeed, and grow. Finally, relatedness, as an interpersonal dimension, refers to having a sense of belongingness, connection, and caring for and being cared for by those others (Deci/Ryan 2000). Drawing on SDT offers </w:t>
      </w:r>
      <w:r w:rsidR="00FF3083" w:rsidRPr="00AC1930">
        <w:t xml:space="preserve">a </w:t>
      </w:r>
      <w:r w:rsidRPr="00AC1930">
        <w:t xml:space="preserve">basis </w:t>
      </w:r>
      <w:r w:rsidR="00FF3083" w:rsidRPr="00AC1930">
        <w:t xml:space="preserve">from which </w:t>
      </w:r>
      <w:r w:rsidRPr="00AC1930">
        <w:t xml:space="preserve">to understand the underlying mechanisms of the LMX-WA relationship by providing insights </w:t>
      </w:r>
      <w:r w:rsidR="00FF3083" w:rsidRPr="00AC1930">
        <w:t xml:space="preserve">into </w:t>
      </w:r>
      <w:r w:rsidR="002276E4" w:rsidRPr="00AC1930">
        <w:t xml:space="preserve">the </w:t>
      </w:r>
      <w:r w:rsidRPr="00AC1930">
        <w:t>satisfaction</w:t>
      </w:r>
      <w:r w:rsidR="00813A8D" w:rsidRPr="00AC1930">
        <w:t xml:space="preserve"> of needs</w:t>
      </w:r>
      <w:r w:rsidRPr="00AC1930">
        <w:t xml:space="preserve">. We believe that LMX qualities can be influential on members' need satisfaction. </w:t>
      </w:r>
      <w:r w:rsidR="00FF3083" w:rsidRPr="00AC1930">
        <w:t>Thus</w:t>
      </w:r>
      <w:r w:rsidRPr="00AC1930">
        <w:t xml:space="preserve">, we build on this theoretical consideration that satisfaction of needs, especially the need of "relatedness" regarding the connection with the leader, may provide for </w:t>
      </w:r>
      <w:r w:rsidR="00FF3083" w:rsidRPr="00AC1930">
        <w:t xml:space="preserve">the </w:t>
      </w:r>
      <w:r w:rsidRPr="00AC1930">
        <w:t xml:space="preserve">wellbeing and so </w:t>
      </w:r>
      <w:r w:rsidR="00716C09" w:rsidRPr="00AC1930">
        <w:t xml:space="preserve">for </w:t>
      </w:r>
      <w:r w:rsidR="00FF3083" w:rsidRPr="00AC1930">
        <w:t xml:space="preserve">the </w:t>
      </w:r>
      <w:r w:rsidR="00716C09" w:rsidRPr="00AC1930">
        <w:t>alienation of organisation</w:t>
      </w:r>
      <w:r w:rsidRPr="00AC1930">
        <w:t xml:space="preserve"> members. We also benefit from SDT, as it associates self-regulation and autonomous motivation, which has an influence on the feelings of alienation (Shantz et al. 2015).</w:t>
      </w:r>
    </w:p>
    <w:p w14:paraId="19340144" w14:textId="77777777" w:rsidR="002E7E3F" w:rsidRPr="00AC1930" w:rsidRDefault="0001118D">
      <w:pPr>
        <w:pStyle w:val="Heading2"/>
        <w:keepNext w:val="0"/>
        <w:keepLines w:val="0"/>
        <w:spacing w:before="240" w:after="240"/>
        <w:rPr>
          <w:b/>
          <w:i/>
          <w:sz w:val="28"/>
          <w:szCs w:val="28"/>
        </w:rPr>
      </w:pPr>
      <w:bookmarkStart w:id="3" w:name="_1fob9te" w:colFirst="0" w:colLast="0"/>
      <w:bookmarkEnd w:id="3"/>
      <w:r w:rsidRPr="00AC1930">
        <w:rPr>
          <w:b/>
          <w:i/>
          <w:sz w:val="28"/>
          <w:szCs w:val="28"/>
        </w:rPr>
        <w:t>Leader-Member Exchange (LMX)</w:t>
      </w:r>
    </w:p>
    <w:p w14:paraId="7B214931" w14:textId="2A13206E" w:rsidR="002E7E3F" w:rsidRPr="00AC1930" w:rsidRDefault="0001118D">
      <w:r w:rsidRPr="00AC1930">
        <w:t xml:space="preserve">Building on SET, LMX explains </w:t>
      </w:r>
      <w:r w:rsidR="002276E4" w:rsidRPr="00AC1930">
        <w:t xml:space="preserve">the </w:t>
      </w:r>
      <w:r w:rsidRPr="00AC1930">
        <w:t>leader-member relationship through the exchanges between the leader and the organisation member. The LMX theory suggests that leaders develop differentiated dyadic relationships and so exchange patterns with organisation members ranging from low-quality transactional relationships to high-quality socio-emotional relationships (Liden/</w:t>
      </w:r>
      <w:proofErr w:type="spellStart"/>
      <w:r w:rsidRPr="00AC1930">
        <w:t>Sparrowe</w:t>
      </w:r>
      <w:proofErr w:type="spellEnd"/>
      <w:r w:rsidRPr="00AC1930">
        <w:t xml:space="preserve">/Wayne 1997; </w:t>
      </w:r>
      <w:proofErr w:type="spellStart"/>
      <w:r w:rsidRPr="00AC1930">
        <w:t>Sparrowe</w:t>
      </w:r>
      <w:proofErr w:type="spellEnd"/>
      <w:r w:rsidRPr="00AC1930">
        <w:t xml:space="preserve">/Liden 1997). According to SET, social exchange relationship is </w:t>
      </w:r>
      <w:r w:rsidR="00FF3083" w:rsidRPr="00AC1930">
        <w:t xml:space="preserve">characterised </w:t>
      </w:r>
      <w:r w:rsidRPr="00AC1930">
        <w:t xml:space="preserve">by a long-term investment, and the emphasis is on </w:t>
      </w:r>
      <w:r w:rsidR="00FF3083" w:rsidRPr="00AC1930">
        <w:t xml:space="preserve">the </w:t>
      </w:r>
      <w:r w:rsidRPr="00AC1930">
        <w:lastRenderedPageBreak/>
        <w:t>socio-emotional aspects of exchange (Shore/</w:t>
      </w:r>
      <w:proofErr w:type="spellStart"/>
      <w:r w:rsidRPr="00AC1930">
        <w:t>Tetrick</w:t>
      </w:r>
      <w:proofErr w:type="spellEnd"/>
      <w:r w:rsidRPr="00AC1930">
        <w:t xml:space="preserve">/Lynch/Barksdale 2006). </w:t>
      </w:r>
      <w:r w:rsidR="00850EC5" w:rsidRPr="00AC1930">
        <w:t>Thus,</w:t>
      </w:r>
      <w:r w:rsidRPr="00AC1930">
        <w:t xml:space="preserve"> high-quality LMX relationships involve the socio-emotional exchanges that go beyond the employment contract and </w:t>
      </w:r>
      <w:r w:rsidR="00FF3083" w:rsidRPr="00AC1930">
        <w:t xml:space="preserve">are characterised </w:t>
      </w:r>
      <w:r w:rsidRPr="00AC1930">
        <w:t>by personal liking, mutual respect, trust, and long-term investment (Dansereau/</w:t>
      </w:r>
      <w:proofErr w:type="spellStart"/>
      <w:r w:rsidRPr="00AC1930">
        <w:t>Graen</w:t>
      </w:r>
      <w:proofErr w:type="spellEnd"/>
      <w:r w:rsidRPr="00AC1930">
        <w:t>/</w:t>
      </w:r>
      <w:proofErr w:type="spellStart"/>
      <w:r w:rsidRPr="00AC1930">
        <w:t>Haga</w:t>
      </w:r>
      <w:proofErr w:type="spellEnd"/>
      <w:r w:rsidRPr="00AC1930">
        <w:t xml:space="preserve"> 1975; Liden et al. 1997; </w:t>
      </w:r>
      <w:proofErr w:type="spellStart"/>
      <w:r w:rsidRPr="00AC1930">
        <w:t>Kuvaas</w:t>
      </w:r>
      <w:proofErr w:type="spellEnd"/>
      <w:r w:rsidRPr="00AC1930">
        <w:t>/Buch/</w:t>
      </w:r>
      <w:proofErr w:type="spellStart"/>
      <w:r w:rsidRPr="00AC1930">
        <w:t>Dysvik</w:t>
      </w:r>
      <w:proofErr w:type="spellEnd"/>
      <w:r w:rsidRPr="00AC1930">
        <w:t>/</w:t>
      </w:r>
      <w:proofErr w:type="spellStart"/>
      <w:r w:rsidRPr="00AC1930">
        <w:t>Haerem</w:t>
      </w:r>
      <w:proofErr w:type="spellEnd"/>
      <w:r w:rsidRPr="00AC1930">
        <w:t xml:space="preserve"> 2012). </w:t>
      </w:r>
      <w:r w:rsidR="00716C09" w:rsidRPr="00AC1930">
        <w:t>Organisation</w:t>
      </w:r>
      <w:r w:rsidRPr="00AC1930">
        <w:t xml:space="preserve"> members that have high-quality relationships tend to increase their efforts and go beyond the minimum job requirements as an expression of appreciation (</w:t>
      </w:r>
      <w:proofErr w:type="spellStart"/>
      <w:r w:rsidRPr="00AC1930">
        <w:t>Blau</w:t>
      </w:r>
      <w:proofErr w:type="spellEnd"/>
      <w:r w:rsidRPr="00AC1930">
        <w:t>, 1964) for the increased investment (Shore et al. 2006). For instance, friendship, social support, information, and advice are identified as the social exchanges in the relationship (</w:t>
      </w:r>
      <w:proofErr w:type="spellStart"/>
      <w:r w:rsidRPr="00AC1930">
        <w:t>Dienesch</w:t>
      </w:r>
      <w:proofErr w:type="spellEnd"/>
      <w:r w:rsidRPr="00AC1930">
        <w:t>/Liden 1986; Li</w:t>
      </w:r>
      <w:r w:rsidR="00EE2B83" w:rsidRPr="00AC1930">
        <w:t xml:space="preserve">den et al. 1997; </w:t>
      </w:r>
      <w:proofErr w:type="spellStart"/>
      <w:r w:rsidR="00EE2B83" w:rsidRPr="00AC1930">
        <w:t>Sparrowe</w:t>
      </w:r>
      <w:proofErr w:type="spellEnd"/>
      <w:r w:rsidR="00EE2B83" w:rsidRPr="00AC1930">
        <w:t>/Liden</w:t>
      </w:r>
      <w:r w:rsidRPr="00AC1930">
        <w:t xml:space="preserve"> 1997). Thus, high-quality LMX relationships lead to positive outcomes, such as decision influence (</w:t>
      </w:r>
      <w:proofErr w:type="spellStart"/>
      <w:r w:rsidRPr="00AC1930">
        <w:t>Scandura</w:t>
      </w:r>
      <w:proofErr w:type="spellEnd"/>
      <w:r w:rsidRPr="00AC1930">
        <w:t>/</w:t>
      </w:r>
      <w:proofErr w:type="spellStart"/>
      <w:r w:rsidRPr="00AC1930">
        <w:t>Graen</w:t>
      </w:r>
      <w:proofErr w:type="spellEnd"/>
      <w:r w:rsidRPr="00AC1930">
        <w:t>/Novak 1986), trust-based relationship</w:t>
      </w:r>
      <w:r w:rsidR="00FF3083" w:rsidRPr="00AC1930">
        <w:t>s</w:t>
      </w:r>
      <w:r w:rsidRPr="00AC1930">
        <w:t xml:space="preserve"> (Bauer/Green 1996), satisfaction (Gerstner/Day 1997), salary progress (</w:t>
      </w:r>
      <w:r w:rsidR="000060AF" w:rsidRPr="00AC1930">
        <w:t>Wayne/Liden/</w:t>
      </w:r>
      <w:proofErr w:type="spellStart"/>
      <w:r w:rsidR="000060AF" w:rsidRPr="00AC1930">
        <w:t>Kraimer</w:t>
      </w:r>
      <w:proofErr w:type="spellEnd"/>
      <w:r w:rsidR="000060AF" w:rsidRPr="00AC1930">
        <w:t xml:space="preserve">/Graf 1999), </w:t>
      </w:r>
      <w:r w:rsidRPr="00AC1930">
        <w:t>empowerment (Liden/Wayne/</w:t>
      </w:r>
      <w:proofErr w:type="spellStart"/>
      <w:r w:rsidRPr="00AC1930">
        <w:t>Sparrowe</w:t>
      </w:r>
      <w:proofErr w:type="spellEnd"/>
      <w:r w:rsidRPr="00AC1930">
        <w:t xml:space="preserve"> 2000), performance (</w:t>
      </w:r>
      <w:proofErr w:type="spellStart"/>
      <w:r w:rsidRPr="00AC1930">
        <w:t>Dunegan</w:t>
      </w:r>
      <w:proofErr w:type="spellEnd"/>
      <w:r w:rsidRPr="00AC1930">
        <w:t>/</w:t>
      </w:r>
      <w:proofErr w:type="spellStart"/>
      <w:r w:rsidRPr="00AC1930">
        <w:t>Uhl</w:t>
      </w:r>
      <w:proofErr w:type="spellEnd"/>
      <w:r w:rsidRPr="00AC1930">
        <w:t>-Bien/</w:t>
      </w:r>
      <w:proofErr w:type="spellStart"/>
      <w:r w:rsidRPr="00AC1930">
        <w:t>Duchon</w:t>
      </w:r>
      <w:proofErr w:type="spellEnd"/>
      <w:r w:rsidRPr="00AC1930">
        <w:t xml:space="preserve"> 2002), reduced turnover (Harris/</w:t>
      </w:r>
      <w:proofErr w:type="spellStart"/>
      <w:r w:rsidRPr="00AC1930">
        <w:t>Kacmar</w:t>
      </w:r>
      <w:proofErr w:type="spellEnd"/>
      <w:r w:rsidRPr="00AC1930">
        <w:t xml:space="preserve">/Witt 2005), </w:t>
      </w:r>
      <w:r w:rsidR="00FF3083" w:rsidRPr="00AC1930">
        <w:t xml:space="preserve">and </w:t>
      </w:r>
      <w:r w:rsidRPr="00AC1930">
        <w:t>citizenship behaviour (</w:t>
      </w:r>
      <w:proofErr w:type="spellStart"/>
      <w:r w:rsidRPr="00AC1930">
        <w:t>Ilies</w:t>
      </w:r>
      <w:proofErr w:type="spellEnd"/>
      <w:r w:rsidRPr="00AC1930">
        <w:t>/</w:t>
      </w:r>
      <w:proofErr w:type="spellStart"/>
      <w:r w:rsidRPr="00AC1930">
        <w:t>Nahrgang</w:t>
      </w:r>
      <w:proofErr w:type="spellEnd"/>
      <w:r w:rsidRPr="00AC1930">
        <w:t>/</w:t>
      </w:r>
      <w:proofErr w:type="spellStart"/>
      <w:r w:rsidRPr="00AC1930">
        <w:t>Morgeson</w:t>
      </w:r>
      <w:proofErr w:type="spellEnd"/>
      <w:r w:rsidRPr="00AC1930">
        <w:t xml:space="preserve"> 2007). </w:t>
      </w:r>
    </w:p>
    <w:p w14:paraId="4701E58B" w14:textId="2790DB95" w:rsidR="002E7E3F" w:rsidRPr="00AC1930" w:rsidRDefault="0001118D">
      <w:r w:rsidRPr="00AC1930">
        <w:t>On the other hand, low-quality LMX relationships are based primarily on the employment contract and involve economic exchanges. Such relationships are formal and instrumental in nature, characteri</w:t>
      </w:r>
      <w:r w:rsidR="00FF3083" w:rsidRPr="00AC1930">
        <w:t>s</w:t>
      </w:r>
      <w:r w:rsidRPr="00AC1930">
        <w:t>ed by low personal involvement and interpersonal trust, and are generally short</w:t>
      </w:r>
      <w:r w:rsidR="00FF3083" w:rsidRPr="00AC1930">
        <w:t xml:space="preserve"> </w:t>
      </w:r>
      <w:r w:rsidRPr="00AC1930">
        <w:t>term (Liden/</w:t>
      </w:r>
      <w:proofErr w:type="spellStart"/>
      <w:r w:rsidRPr="00AC1930">
        <w:t>Sparrowe</w:t>
      </w:r>
      <w:proofErr w:type="spellEnd"/>
      <w:r w:rsidRPr="00AC1930">
        <w:t xml:space="preserve">/Wayne 1997; Shore et al. 2006; </w:t>
      </w:r>
      <w:proofErr w:type="spellStart"/>
      <w:r w:rsidRPr="00AC1930">
        <w:t>Kuvaas</w:t>
      </w:r>
      <w:proofErr w:type="spellEnd"/>
      <w:r w:rsidRPr="00AC1930">
        <w:t xml:space="preserve"> et al. 2012). In low-quality LMX relationships, as members do not expect to receive many resources from their leaders, they may feel </w:t>
      </w:r>
      <w:r w:rsidR="009E10D6" w:rsidRPr="00AC1930">
        <w:t xml:space="preserve">a certain </w:t>
      </w:r>
      <w:r w:rsidRPr="00AC1930">
        <w:t xml:space="preserve">psychological distance. Thus, they are more likely to perceive that their contributions are </w:t>
      </w:r>
      <w:r w:rsidR="009E10D6" w:rsidRPr="00AC1930">
        <w:t>undervalued</w:t>
      </w:r>
      <w:r w:rsidRPr="00AC1930">
        <w:t>, develop negative job attitudes</w:t>
      </w:r>
      <w:r w:rsidR="009E10D6" w:rsidRPr="00AC1930">
        <w:t>,</w:t>
      </w:r>
      <w:r w:rsidRPr="00AC1930">
        <w:t xml:space="preserve"> and exhibit undesirable work behaviours (</w:t>
      </w:r>
      <w:r w:rsidR="009E10D6" w:rsidRPr="00AC1930">
        <w:t xml:space="preserve">van </w:t>
      </w:r>
      <w:proofErr w:type="spellStart"/>
      <w:r w:rsidRPr="00AC1930">
        <w:t>Breukelen</w:t>
      </w:r>
      <w:proofErr w:type="spellEnd"/>
      <w:r w:rsidRPr="00AC1930">
        <w:t>/</w:t>
      </w:r>
      <w:proofErr w:type="spellStart"/>
      <w:r w:rsidRPr="00AC1930">
        <w:t>Schyns</w:t>
      </w:r>
      <w:proofErr w:type="spellEnd"/>
      <w:r w:rsidRPr="00AC1930">
        <w:t>/Le Blanc 2006; Hooper/Martin 2008</w:t>
      </w:r>
      <w:proofErr w:type="gramStart"/>
      <w:r w:rsidRPr="00AC1930">
        <w:t>),  such</w:t>
      </w:r>
      <w:proofErr w:type="gramEnd"/>
      <w:r w:rsidRPr="00AC1930">
        <w:t xml:space="preserve"> as showing </w:t>
      </w:r>
      <w:r w:rsidRPr="00AC1930">
        <w:lastRenderedPageBreak/>
        <w:t>lower levels of performance</w:t>
      </w:r>
      <w:r w:rsidR="009E10D6" w:rsidRPr="00AC1930">
        <w:t xml:space="preserve"> </w:t>
      </w:r>
      <w:r w:rsidRPr="00AC1930">
        <w:t>(Gerstner/Day 1997), taking less responsibility</w:t>
      </w:r>
      <w:r w:rsidR="009E10D6" w:rsidRPr="00AC1930">
        <w:t xml:space="preserve"> </w:t>
      </w:r>
      <w:r w:rsidRPr="00AC1930">
        <w:t>(Liden/</w:t>
      </w:r>
      <w:proofErr w:type="spellStart"/>
      <w:r w:rsidRPr="00AC1930">
        <w:t>Graen</w:t>
      </w:r>
      <w:proofErr w:type="spellEnd"/>
      <w:r w:rsidRPr="00AC1930">
        <w:t xml:space="preserve"> 1980)</w:t>
      </w:r>
      <w:r w:rsidR="009E10D6" w:rsidRPr="00AC1930">
        <w:t>,</w:t>
      </w:r>
      <w:r w:rsidRPr="00AC1930">
        <w:t xml:space="preserve"> or providing less support (Dansereau/</w:t>
      </w:r>
      <w:proofErr w:type="spellStart"/>
      <w:r w:rsidRPr="00AC1930">
        <w:t>Graen</w:t>
      </w:r>
      <w:proofErr w:type="spellEnd"/>
      <w:r w:rsidRPr="00AC1930">
        <w:t>/</w:t>
      </w:r>
      <w:proofErr w:type="spellStart"/>
      <w:r w:rsidRPr="00AC1930">
        <w:t>Haga</w:t>
      </w:r>
      <w:proofErr w:type="spellEnd"/>
      <w:r w:rsidRPr="00AC1930">
        <w:t xml:space="preserve"> 1975).</w:t>
      </w:r>
    </w:p>
    <w:p w14:paraId="2ECFF25E" w14:textId="6CF4A07C" w:rsidR="002E7E3F" w:rsidRPr="00AC1930" w:rsidRDefault="0001118D">
      <w:r w:rsidRPr="00AC1930">
        <w:t>In organisational settings, the relationship with the leader has an important impact on members' psychology. In terms of SDT, to the extent that individuals can find opportunities to pursue goals, domains, and relationships that allow or support the satisfaction of the three psychological needs</w:t>
      </w:r>
      <w:r w:rsidR="00596EA8" w:rsidRPr="00AC1930">
        <w:t xml:space="preserve"> – </w:t>
      </w:r>
      <w:r w:rsidRPr="00AC1930">
        <w:t xml:space="preserve">autonomy, competence, </w:t>
      </w:r>
      <w:r w:rsidR="00596EA8" w:rsidRPr="00AC1930">
        <w:t xml:space="preserve">and </w:t>
      </w:r>
      <w:r w:rsidRPr="00AC1930">
        <w:t>relatedness</w:t>
      </w:r>
      <w:r w:rsidR="00596EA8" w:rsidRPr="00AC1930">
        <w:t xml:space="preserve"> – </w:t>
      </w:r>
      <w:r w:rsidRPr="00AC1930">
        <w:t>they will experience positive psychological outcomes (Deci/Ryan 2000). More specifically, social contexts and conditions that support the satisfaction of these psychological needs enable autonomous motivation and wellbeing</w:t>
      </w:r>
      <w:r w:rsidR="005F3C93" w:rsidRPr="00AC1930">
        <w:t>, integration</w:t>
      </w:r>
      <w:r w:rsidR="008F4562" w:rsidRPr="00AC1930">
        <w:t>,</w:t>
      </w:r>
      <w:r w:rsidR="005F3C93" w:rsidRPr="00AC1930">
        <w:t xml:space="preserve"> and </w:t>
      </w:r>
      <w:r w:rsidR="00A16A29" w:rsidRPr="00AC1930">
        <w:t xml:space="preserve">individual </w:t>
      </w:r>
      <w:r w:rsidR="005F3C93" w:rsidRPr="00AC1930">
        <w:t>growth</w:t>
      </w:r>
      <w:r w:rsidR="00EB67C7" w:rsidRPr="00AC1930">
        <w:t xml:space="preserve"> (</w:t>
      </w:r>
      <w:proofErr w:type="spellStart"/>
      <w:r w:rsidR="00EB67C7" w:rsidRPr="00AC1930">
        <w:t>Ingledew</w:t>
      </w:r>
      <w:proofErr w:type="spellEnd"/>
      <w:r w:rsidR="00EB67C7" w:rsidRPr="00AC1930">
        <w:t>/Markland/Sheppard 2004)</w:t>
      </w:r>
      <w:r w:rsidRPr="00AC1930">
        <w:t xml:space="preserve">, whereas social contexts and conditions that thwart need satisfaction </w:t>
      </w:r>
      <w:r w:rsidR="008F4562" w:rsidRPr="00AC1930">
        <w:t>result</w:t>
      </w:r>
      <w:r w:rsidRPr="00AC1930">
        <w:t xml:space="preserve"> in </w:t>
      </w:r>
      <w:r w:rsidR="00754736" w:rsidRPr="00AC1930">
        <w:t xml:space="preserve">anxiety and </w:t>
      </w:r>
      <w:r w:rsidR="005F3C93" w:rsidRPr="00AC1930">
        <w:t>mental health</w:t>
      </w:r>
      <w:r w:rsidRPr="00AC1930">
        <w:t xml:space="preserve"> </w:t>
      </w:r>
      <w:r w:rsidR="008F4562" w:rsidRPr="00AC1930">
        <w:t xml:space="preserve">issues </w:t>
      </w:r>
      <w:r w:rsidRPr="00AC1930">
        <w:t>(</w:t>
      </w:r>
      <w:r w:rsidR="005F3C93" w:rsidRPr="00AC1930">
        <w:t>Andersen/Chen/Carter 2000</w:t>
      </w:r>
      <w:r w:rsidRPr="00AC1930">
        <w:t>). In the work domain, leadership appears to be important in creating such context and</w:t>
      </w:r>
      <w:r w:rsidR="009C3E1E" w:rsidRPr="00AC1930">
        <w:t xml:space="preserve"> conditions for employees (</w:t>
      </w:r>
      <w:proofErr w:type="spellStart"/>
      <w:r w:rsidR="009C3E1E" w:rsidRPr="00AC1930">
        <w:t>Gagné</w:t>
      </w:r>
      <w:proofErr w:type="spellEnd"/>
      <w:r w:rsidRPr="00AC1930">
        <w:t>/Deci 2005). Various studies (e.g.</w:t>
      </w:r>
      <w:r w:rsidR="008F4562" w:rsidRPr="00AC1930">
        <w:t>,</w:t>
      </w:r>
      <w:r w:rsidRPr="00AC1930">
        <w:t xml:space="preserve"> Graves/Luciano 2013; </w:t>
      </w:r>
      <w:proofErr w:type="spellStart"/>
      <w:r w:rsidRPr="00AC1930">
        <w:t>Kuvaas</w:t>
      </w:r>
      <w:proofErr w:type="spellEnd"/>
      <w:r w:rsidRPr="00AC1930">
        <w:t>/Buch 2019) emphasise the role of different LMX qualities in employee outcomes related to the satisfaction of psychological needs, motivation</w:t>
      </w:r>
      <w:r w:rsidR="008F4562" w:rsidRPr="00AC1930">
        <w:t>,</w:t>
      </w:r>
      <w:r w:rsidRPr="00AC1930">
        <w:t xml:space="preserve"> and wellbeing. In this vein, with the integration of SDT as an underlying explanatory mechanism </w:t>
      </w:r>
      <w:r w:rsidR="00A43F30" w:rsidRPr="00AC1930">
        <w:t>to gain an understanding of</w:t>
      </w:r>
      <w:r w:rsidRPr="00AC1930">
        <w:t xml:space="preserve"> LMX (Andersen/Buch/</w:t>
      </w:r>
      <w:proofErr w:type="spellStart"/>
      <w:r w:rsidRPr="00AC1930">
        <w:t>Kuvaas</w:t>
      </w:r>
      <w:proofErr w:type="spellEnd"/>
      <w:r w:rsidRPr="00AC1930">
        <w:t xml:space="preserve"> 2020), LMX may explain the </w:t>
      </w:r>
      <w:r w:rsidR="00A43F30" w:rsidRPr="00AC1930">
        <w:t xml:space="preserve">poor </w:t>
      </w:r>
      <w:r w:rsidRPr="00AC1930">
        <w:t xml:space="preserve">psychological </w:t>
      </w:r>
      <w:r w:rsidR="00A43F30" w:rsidRPr="00AC1930">
        <w:t>well</w:t>
      </w:r>
      <w:r w:rsidRPr="00AC1930">
        <w:t xml:space="preserve">being of employees, and </w:t>
      </w:r>
      <w:r w:rsidR="00A43F30" w:rsidRPr="00AC1930">
        <w:t>thus</w:t>
      </w:r>
      <w:r w:rsidRPr="00AC1930">
        <w:t xml:space="preserve"> feelings of alienation.</w:t>
      </w:r>
    </w:p>
    <w:p w14:paraId="7A91D710" w14:textId="6C7370D7" w:rsidR="002E7E3F" w:rsidRPr="00AC1930" w:rsidRDefault="0001118D">
      <w:r w:rsidRPr="00AC1930">
        <w:t xml:space="preserve">However, although LMX is known to have psychological effects on organisation members, studies examining the role of LMX relationships in reducing </w:t>
      </w:r>
      <w:r w:rsidR="00A43F30" w:rsidRPr="00AC1930">
        <w:t xml:space="preserve">feelings of </w:t>
      </w:r>
      <w:r w:rsidRPr="00AC1930">
        <w:t xml:space="preserve">alienation </w:t>
      </w:r>
      <w:r w:rsidR="00A43F30" w:rsidRPr="00AC1930">
        <w:t>amongst</w:t>
      </w:r>
      <w:r w:rsidRPr="00AC1930">
        <w:t xml:space="preserve"> organ</w:t>
      </w:r>
      <w:r w:rsidR="007A6407" w:rsidRPr="00AC1930">
        <w:t>is</w:t>
      </w:r>
      <w:r w:rsidRPr="00AC1930">
        <w:t xml:space="preserve">ational members are very limited (e.g., </w:t>
      </w:r>
      <w:proofErr w:type="spellStart"/>
      <w:r w:rsidRPr="00AC1930">
        <w:t>Tanrıverdi</w:t>
      </w:r>
      <w:proofErr w:type="spellEnd"/>
      <w:r w:rsidRPr="00AC1930">
        <w:t>/</w:t>
      </w:r>
      <w:proofErr w:type="spellStart"/>
      <w:r w:rsidRPr="00AC1930">
        <w:t>Kahraman</w:t>
      </w:r>
      <w:proofErr w:type="spellEnd"/>
      <w:r w:rsidRPr="00AC1930">
        <w:t xml:space="preserve"> 2016). </w:t>
      </w:r>
      <w:proofErr w:type="gramStart"/>
      <w:r w:rsidRPr="00AC1930">
        <w:t>Despite the fact that</w:t>
      </w:r>
      <w:proofErr w:type="gramEnd"/>
      <w:r w:rsidRPr="00AC1930">
        <w:t xml:space="preserve"> these initial studies are important steps, this line of research has not received </w:t>
      </w:r>
      <w:r w:rsidR="00A43F30" w:rsidRPr="00AC1930">
        <w:t xml:space="preserve">sufficient </w:t>
      </w:r>
      <w:r w:rsidRPr="00AC1930">
        <w:t>attention</w:t>
      </w:r>
      <w:r w:rsidR="00A43F30" w:rsidRPr="00AC1930">
        <w:t xml:space="preserve"> in the existent literature</w:t>
      </w:r>
      <w:r w:rsidRPr="00AC1930">
        <w:t xml:space="preserve">. Thus, we believe that the understanding of the relationship between these two variables needs to be deepened </w:t>
      </w:r>
      <w:proofErr w:type="gramStart"/>
      <w:r w:rsidRPr="00AC1930">
        <w:t>in order to</w:t>
      </w:r>
      <w:proofErr w:type="gramEnd"/>
      <w:r w:rsidRPr="00AC1930">
        <w:t xml:space="preserve"> further the current understanding </w:t>
      </w:r>
      <w:r w:rsidRPr="00AC1930">
        <w:lastRenderedPageBreak/>
        <w:t>of WA and its underlying mechanisms. Below</w:t>
      </w:r>
      <w:r w:rsidR="00A43F30" w:rsidRPr="00AC1930">
        <w:t>,</w:t>
      </w:r>
      <w:r w:rsidRPr="00AC1930">
        <w:t xml:space="preserve"> we </w:t>
      </w:r>
      <w:r w:rsidR="00A43F30" w:rsidRPr="00AC1930">
        <w:t xml:space="preserve">attempt </w:t>
      </w:r>
      <w:r w:rsidRPr="00AC1930">
        <w:t xml:space="preserve">to explain WA and the role of LMX on WA </w:t>
      </w:r>
      <w:r w:rsidR="00A43F30" w:rsidRPr="00AC1930">
        <w:t>in their specifics</w:t>
      </w:r>
      <w:r w:rsidRPr="00AC1930">
        <w:t xml:space="preserve">. </w:t>
      </w:r>
    </w:p>
    <w:p w14:paraId="47F475A0" w14:textId="77777777" w:rsidR="002E7E3F" w:rsidRPr="00AC1930" w:rsidRDefault="0001118D">
      <w:pPr>
        <w:pStyle w:val="Heading2"/>
        <w:keepNext w:val="0"/>
        <w:keepLines w:val="0"/>
        <w:spacing w:before="240" w:after="240"/>
        <w:rPr>
          <w:b/>
          <w:i/>
          <w:sz w:val="28"/>
          <w:szCs w:val="28"/>
        </w:rPr>
      </w:pPr>
      <w:bookmarkStart w:id="4" w:name="_3znysh7" w:colFirst="0" w:colLast="0"/>
      <w:bookmarkEnd w:id="4"/>
      <w:r w:rsidRPr="00AC1930">
        <w:rPr>
          <w:b/>
          <w:i/>
          <w:sz w:val="28"/>
          <w:szCs w:val="28"/>
        </w:rPr>
        <w:t>Work Alienation</w:t>
      </w:r>
    </w:p>
    <w:p w14:paraId="08515BDC" w14:textId="0BDCDE69" w:rsidR="002E7E3F" w:rsidRPr="00AC1930" w:rsidRDefault="002276E4">
      <w:r w:rsidRPr="00AC1930">
        <w:t>The a</w:t>
      </w:r>
      <w:r w:rsidR="0001118D" w:rsidRPr="00AC1930">
        <w:t xml:space="preserve">lienation concept, which has a long history dating back to the works of Hegel (1807/1977) and Marx (1844/1969), is still one of the </w:t>
      </w:r>
      <w:r w:rsidR="00310A45" w:rsidRPr="00AC1930">
        <w:t xml:space="preserve">most </w:t>
      </w:r>
      <w:r w:rsidR="0001118D" w:rsidRPr="00AC1930">
        <w:t xml:space="preserve">significant topics </w:t>
      </w:r>
      <w:r w:rsidR="00310A45" w:rsidRPr="00AC1930">
        <w:t xml:space="preserve">pertaining to </w:t>
      </w:r>
      <w:r w:rsidR="0001118D" w:rsidRPr="00AC1930">
        <w:t>the 21st century workplace (Harvey 2018; Sawyer/</w:t>
      </w:r>
      <w:proofErr w:type="spellStart"/>
      <w:r w:rsidR="0001118D" w:rsidRPr="00AC1930">
        <w:t>Gampa</w:t>
      </w:r>
      <w:proofErr w:type="spellEnd"/>
      <w:r w:rsidR="0001118D" w:rsidRPr="00AC1930">
        <w:t xml:space="preserve"> 2020). The theoretical foundations of alienation are based on the capitalist mode of production that isolates the worker from his/her labour, self</w:t>
      </w:r>
      <w:r w:rsidR="00310A45" w:rsidRPr="00AC1930">
        <w:t>,</w:t>
      </w:r>
      <w:r w:rsidR="0001118D" w:rsidRPr="00AC1930">
        <w:t xml:space="preserve"> and humanity. The recent definitions of alienation also follow Marx's </w:t>
      </w:r>
      <w:r w:rsidR="00D605B9" w:rsidRPr="00AC1930">
        <w:t xml:space="preserve">conceptualisation </w:t>
      </w:r>
      <w:r w:rsidR="0001118D" w:rsidRPr="00AC1930">
        <w:t xml:space="preserve">and emphasise the disconnection of the worker from work, the context, or self (Twining 1980; </w:t>
      </w:r>
      <w:proofErr w:type="spellStart"/>
      <w:r w:rsidR="0001118D" w:rsidRPr="00AC1930">
        <w:t>Mottaz</w:t>
      </w:r>
      <w:proofErr w:type="spellEnd"/>
      <w:r w:rsidR="0001118D" w:rsidRPr="00AC1930">
        <w:t xml:space="preserve"> 1981; Hirschfeld/Field 2000; </w:t>
      </w:r>
      <w:proofErr w:type="spellStart"/>
      <w:r w:rsidR="0001118D" w:rsidRPr="00AC1930">
        <w:t>Banai</w:t>
      </w:r>
      <w:proofErr w:type="spellEnd"/>
      <w:r w:rsidR="0001118D" w:rsidRPr="00AC1930">
        <w:t xml:space="preserve"> et al. 2004; Nair/Vohra 2009).</w:t>
      </w:r>
    </w:p>
    <w:p w14:paraId="343DCD81" w14:textId="0463D29D" w:rsidR="002E7E3F" w:rsidRPr="00AC1930" w:rsidRDefault="0001118D">
      <w:r w:rsidRPr="00AC1930">
        <w:t>While some theorists (e.g.</w:t>
      </w:r>
      <w:r w:rsidR="00D605B9" w:rsidRPr="00AC1930">
        <w:t>,</w:t>
      </w:r>
      <w:r w:rsidRPr="00AC1930">
        <w:t xml:space="preserve"> Marx 1969; Braverman 1974) have emphasised the structural and technological conditions on alienation, </w:t>
      </w:r>
      <w:r w:rsidR="00D605B9" w:rsidRPr="00AC1930">
        <w:t xml:space="preserve">others </w:t>
      </w:r>
      <w:r w:rsidRPr="00AC1930">
        <w:t>(e.g.</w:t>
      </w:r>
      <w:r w:rsidR="00D605B9" w:rsidRPr="00AC1930">
        <w:t>,</w:t>
      </w:r>
      <w:r w:rsidRPr="00AC1930">
        <w:t xml:space="preserve"> Seeman 1959; Fischer 1976; Kanungo 1979; </w:t>
      </w:r>
      <w:proofErr w:type="spellStart"/>
      <w:r w:rsidRPr="00AC1930">
        <w:t>Ashforth</w:t>
      </w:r>
      <w:proofErr w:type="spellEnd"/>
      <w:r w:rsidRPr="00AC1930">
        <w:t xml:space="preserve"> 1989) have focused on </w:t>
      </w:r>
      <w:r w:rsidR="00D605B9" w:rsidRPr="00AC1930">
        <w:t xml:space="preserve">the </w:t>
      </w:r>
      <w:r w:rsidRPr="00AC1930">
        <w:t>psychological or motivational aspects of alienation through the individual's perceptions, consciousness</w:t>
      </w:r>
      <w:r w:rsidR="00850EC5" w:rsidRPr="00AC1930">
        <w:t>,</w:t>
      </w:r>
      <w:r w:rsidRPr="00AC1930">
        <w:t xml:space="preserve"> and feelings. For instance, from a social-psychological standpoint, Seeman (1959) described work alienation (estrangement) as a psychological condition </w:t>
      </w:r>
      <w:r w:rsidR="0075259D" w:rsidRPr="00AC1930">
        <w:t xml:space="preserve">that occurs </w:t>
      </w:r>
      <w:r w:rsidRPr="00AC1930">
        <w:t>by working in jobs that require minimal talent and have little opportunity to make decisions. In his cornerstone work, Seeman (1959) constructed alienation as a multidimensional concept composed of five dimensions</w:t>
      </w:r>
      <w:r w:rsidR="0075259D" w:rsidRPr="00AC1930">
        <w:t xml:space="preserve">: </w:t>
      </w:r>
      <w:r w:rsidRPr="00AC1930">
        <w:t xml:space="preserve">powerlessness, meaninglessness, normlessness, isolation, </w:t>
      </w:r>
      <w:r w:rsidR="0075259D" w:rsidRPr="00AC1930">
        <w:t xml:space="preserve">and </w:t>
      </w:r>
      <w:r w:rsidRPr="00AC1930">
        <w:t xml:space="preserve">self-estrangement. Following the study of Seeman, </w:t>
      </w:r>
      <w:proofErr w:type="spellStart"/>
      <w:r w:rsidRPr="00AC1930">
        <w:t>Mottaz</w:t>
      </w:r>
      <w:proofErr w:type="spellEnd"/>
      <w:r w:rsidRPr="00AC1930">
        <w:t xml:space="preserve"> (1981) evaluated three dimensions as work-related, which are self-estrangement, powerlessness, and meaninglessness</w:t>
      </w:r>
      <w:r w:rsidR="0075259D" w:rsidRPr="00AC1930">
        <w:t>,</w:t>
      </w:r>
      <w:r w:rsidRPr="00AC1930">
        <w:t xml:space="preserve"> and the other two dimensions as environmental factors that lead to alienation. </w:t>
      </w:r>
      <w:r w:rsidR="0075259D" w:rsidRPr="00AC1930">
        <w:t>P</w:t>
      </w:r>
      <w:r w:rsidRPr="00AC1930">
        <w:t xml:space="preserve">owerlessness and meaninglessness </w:t>
      </w:r>
      <w:proofErr w:type="gramStart"/>
      <w:r w:rsidR="0075259D" w:rsidRPr="00AC1930">
        <w:t xml:space="preserve">in particular </w:t>
      </w:r>
      <w:r w:rsidRPr="00AC1930">
        <w:lastRenderedPageBreak/>
        <w:t>are</w:t>
      </w:r>
      <w:proofErr w:type="gramEnd"/>
      <w:r w:rsidRPr="00AC1930">
        <w:t xml:space="preserve"> considered "the key psychological ingredients" of alienation (DeHart-Davis/Pandey 2005:133).</w:t>
      </w:r>
    </w:p>
    <w:p w14:paraId="4201ABC0" w14:textId="6D6037F7" w:rsidR="002E7E3F" w:rsidRPr="00AC1930" w:rsidRDefault="0001118D">
      <w:r w:rsidRPr="00AC1930">
        <w:t xml:space="preserve">Various studies </w:t>
      </w:r>
      <w:r w:rsidR="0075259D" w:rsidRPr="00AC1930">
        <w:t xml:space="preserve">have </w:t>
      </w:r>
      <w:r w:rsidRPr="00AC1930">
        <w:t>revealed the influence of different styles of leadership (e.g.</w:t>
      </w:r>
      <w:r w:rsidR="0075259D" w:rsidRPr="00AC1930">
        <w:t>,</w:t>
      </w:r>
      <w:r w:rsidRPr="00AC1930">
        <w:t xml:space="preserve"> transformational, transactional, supportive, authoritarian) on work alienation (e.g.</w:t>
      </w:r>
      <w:r w:rsidR="0075259D" w:rsidRPr="00AC1930">
        <w:t>,</w:t>
      </w:r>
      <w:r w:rsidRPr="00AC1930">
        <w:t xml:space="preserve"> </w:t>
      </w:r>
      <w:proofErr w:type="spellStart"/>
      <w:r w:rsidRPr="00AC1930">
        <w:t>Sarros</w:t>
      </w:r>
      <w:proofErr w:type="spellEnd"/>
      <w:r w:rsidRPr="00AC1930">
        <w:t xml:space="preserve"> et al. 2002; </w:t>
      </w:r>
      <w:proofErr w:type="spellStart"/>
      <w:r w:rsidRPr="00AC1930">
        <w:t>Banai</w:t>
      </w:r>
      <w:proofErr w:type="spellEnd"/>
      <w:r w:rsidRPr="00AC1930">
        <w:t>/</w:t>
      </w:r>
      <w:proofErr w:type="spellStart"/>
      <w:r w:rsidRPr="00AC1930">
        <w:t>Reisel</w:t>
      </w:r>
      <w:proofErr w:type="spellEnd"/>
      <w:r w:rsidRPr="00AC1930">
        <w:t xml:space="preserve"> 2003; </w:t>
      </w:r>
      <w:proofErr w:type="spellStart"/>
      <w:r w:rsidRPr="00AC1930">
        <w:t>Banai</w:t>
      </w:r>
      <w:proofErr w:type="spellEnd"/>
      <w:r w:rsidRPr="00AC1930">
        <w:t>/</w:t>
      </w:r>
      <w:proofErr w:type="spellStart"/>
      <w:r w:rsidRPr="00AC1930">
        <w:t>Reisel</w:t>
      </w:r>
      <w:proofErr w:type="spellEnd"/>
      <w:r w:rsidRPr="00AC1930">
        <w:t xml:space="preserve"> 2007). These studies emphasised that leader behaviours can diminish followers' alienation in various ways; for instance, by encouraging them and fostering their sense of independence (Boerner 1998), by providing the needed instrumental and emotional resources</w:t>
      </w:r>
      <w:r w:rsidR="0075259D" w:rsidRPr="00AC1930">
        <w:t>,</w:t>
      </w:r>
      <w:r w:rsidRPr="00AC1930">
        <w:t xml:space="preserve"> or reducing their role ambiguity (</w:t>
      </w:r>
      <w:proofErr w:type="spellStart"/>
      <w:r w:rsidRPr="00AC1930">
        <w:t>Chiaburu</w:t>
      </w:r>
      <w:proofErr w:type="spellEnd"/>
      <w:r w:rsidRPr="00AC1930">
        <w:t>/</w:t>
      </w:r>
      <w:proofErr w:type="spellStart"/>
      <w:r w:rsidRPr="00AC1930">
        <w:t>Thundiyil</w:t>
      </w:r>
      <w:proofErr w:type="spellEnd"/>
      <w:r w:rsidRPr="00AC1930">
        <w:t>/Wang 2014) by allowing unsafe behaviours through organ</w:t>
      </w:r>
      <w:r w:rsidR="007A6407" w:rsidRPr="00AC1930">
        <w:t>is</w:t>
      </w:r>
      <w:r w:rsidRPr="00AC1930">
        <w:t xml:space="preserve">ational cynicism (Jiang/Chen/Sun/Li 2009). At this point, considering the features of </w:t>
      </w:r>
      <w:r w:rsidR="000060AF" w:rsidRPr="00AC1930">
        <w:t>SET</w:t>
      </w:r>
      <w:r w:rsidRPr="00AC1930">
        <w:t xml:space="preserve">, it can be expected that these dimensions of alienation could be triggered by the quality of the leader-member relationship. </w:t>
      </w:r>
      <w:r w:rsidR="0014698D" w:rsidRPr="00AC1930">
        <w:t>Further</w:t>
      </w:r>
      <w:r w:rsidRPr="00AC1930">
        <w:t xml:space="preserve">, there </w:t>
      </w:r>
      <w:r w:rsidR="0014698D" w:rsidRPr="00AC1930">
        <w:t xml:space="preserve">have been </w:t>
      </w:r>
      <w:r w:rsidRPr="00AC1930">
        <w:t>calls for research that explore</w:t>
      </w:r>
      <w:r w:rsidR="0014698D" w:rsidRPr="00AC1930">
        <w:t>s</w:t>
      </w:r>
      <w:r w:rsidRPr="00AC1930">
        <w:t xml:space="preserve"> the link between leadership and work alienation (e.g.</w:t>
      </w:r>
      <w:r w:rsidR="00850EC5" w:rsidRPr="00AC1930">
        <w:t>,</w:t>
      </w:r>
      <w:r w:rsidRPr="00AC1930">
        <w:t xml:space="preserve"> Kanungo 1998).</w:t>
      </w:r>
    </w:p>
    <w:p w14:paraId="5526AF14" w14:textId="4A5F4E4A" w:rsidR="002E7E3F" w:rsidRPr="00AC1930" w:rsidRDefault="0001118D">
      <w:r w:rsidRPr="00AC1930">
        <w:t xml:space="preserve">As former research revealed, social relationships at work are accepted </w:t>
      </w:r>
      <w:r w:rsidR="007C195C" w:rsidRPr="00AC1930">
        <w:t xml:space="preserve">to be </w:t>
      </w:r>
      <w:r w:rsidRPr="00AC1930">
        <w:t>one of the major antecedents of work alienation (e.g.</w:t>
      </w:r>
      <w:r w:rsidR="007C195C" w:rsidRPr="00AC1930">
        <w:t>,</w:t>
      </w:r>
      <w:r w:rsidRPr="00AC1930">
        <w:t xml:space="preserve"> Shantz et al. 2015). </w:t>
      </w:r>
      <w:r w:rsidR="007C195C" w:rsidRPr="00AC1930">
        <w:t xml:space="preserve">From </w:t>
      </w:r>
      <w:r w:rsidRPr="00AC1930">
        <w:t xml:space="preserve">this perspective, as a particular form of social relationships at work, considering the features of SET, the quality of the LMX could be a driver of work alienation. SDT may also provide accounts for the experience of alienation with its integration to LMX. The theory suggests that if any of the three psychological needs are not supported or prevented within a social context, wellbeing will be strongly </w:t>
      </w:r>
      <w:r w:rsidR="007C195C" w:rsidRPr="00AC1930">
        <w:t>affected</w:t>
      </w:r>
      <w:r w:rsidRPr="00AC1930">
        <w:t>. Especially in terms of the satisfaction of relatedness need, SDT may provide insight into the association between LMX and WA. As an interpersonal dimension, relatedness need refers to having a sense of belongingness, connection, and caring for and being cared for by those others (Deci/Ryan 1985, 2000). In this vein, by ensuring care, interest, and social ties, a high-quality LMX relat</w:t>
      </w:r>
      <w:r w:rsidR="00716C09" w:rsidRPr="00AC1930">
        <w:t>ionship can enable organisation</w:t>
      </w:r>
      <w:r w:rsidRPr="00AC1930">
        <w:t xml:space="preserve"> members to generate close and deep </w:t>
      </w:r>
      <w:r w:rsidRPr="00AC1930">
        <w:lastRenderedPageBreak/>
        <w:t>connections and satisfy their needs of relatedness. On the contrary, a fo</w:t>
      </w:r>
      <w:r w:rsidR="00714FE6" w:rsidRPr="00AC1930">
        <w:t>rmal relationship offers organisation</w:t>
      </w:r>
      <w:r w:rsidRPr="00AC1930">
        <w:t xml:space="preserve"> members little opportunity </w:t>
      </w:r>
      <w:r w:rsidR="007C195C" w:rsidRPr="00AC1930">
        <w:t xml:space="preserve">to </w:t>
      </w:r>
      <w:r w:rsidRPr="00AC1930">
        <w:t xml:space="preserve">develop close ties and connections, so the need for relatedness is unlikely to be satisfied (Graves/Luciano 2013). Thus, a poor-quality relationship with the leader, based on a low interaction and ineffective communication, may cause </w:t>
      </w:r>
      <w:proofErr w:type="gramStart"/>
      <w:r w:rsidRPr="00AC1930">
        <w:t>disconnection</w:t>
      </w:r>
      <w:proofErr w:type="gramEnd"/>
      <w:r w:rsidRPr="00AC1930">
        <w:t xml:space="preserve"> and also </w:t>
      </w:r>
      <w:r w:rsidR="00220674" w:rsidRPr="00AC1930">
        <w:t>result</w:t>
      </w:r>
      <w:r w:rsidR="007C195C" w:rsidRPr="00AC1930">
        <w:t xml:space="preserve"> in </w:t>
      </w:r>
      <w:r w:rsidRPr="00AC1930">
        <w:t xml:space="preserve">members </w:t>
      </w:r>
      <w:r w:rsidR="007C195C" w:rsidRPr="00AC1930">
        <w:t xml:space="preserve">experiencing </w:t>
      </w:r>
      <w:r w:rsidRPr="00AC1930">
        <w:t>lowered organ</w:t>
      </w:r>
      <w:r w:rsidR="007A6407" w:rsidRPr="00AC1930">
        <w:t>is</w:t>
      </w:r>
      <w:r w:rsidRPr="00AC1930">
        <w:t>ational commitment and citizenship behaviours (Erdogan/Liden 2002). For instance, Nair and Vohra (2010) identif</w:t>
      </w:r>
      <w:r w:rsidR="002276E4" w:rsidRPr="00AC1930">
        <w:t>y</w:t>
      </w:r>
      <w:r w:rsidRPr="00AC1930">
        <w:t xml:space="preserve"> a lack of meaningful work, the inability to work to allow for self-expression, and poor-quality work relationships as the strongest predictors of work alienation for knowledge wo</w:t>
      </w:r>
      <w:r w:rsidR="000060AF" w:rsidRPr="00AC1930">
        <w:t>rkers. So, if the organisation</w:t>
      </w:r>
      <w:r w:rsidRPr="00AC1930">
        <w:t xml:space="preserve"> member fails to satisfy </w:t>
      </w:r>
      <w:r w:rsidR="007C195C" w:rsidRPr="00AC1930">
        <w:t xml:space="preserve">a member’s </w:t>
      </w:r>
      <w:r w:rsidRPr="00AC1930">
        <w:t xml:space="preserve">need </w:t>
      </w:r>
      <w:r w:rsidR="002276E4" w:rsidRPr="00AC1930">
        <w:t>for</w:t>
      </w:r>
      <w:r w:rsidRPr="00AC1930">
        <w:t xml:space="preserve"> relatedness </w:t>
      </w:r>
      <w:proofErr w:type="gramStart"/>
      <w:r w:rsidRPr="00AC1930">
        <w:t>as a result of</w:t>
      </w:r>
      <w:proofErr w:type="gramEnd"/>
      <w:r w:rsidRPr="00AC1930">
        <w:t xml:space="preserve"> </w:t>
      </w:r>
      <w:r w:rsidR="002276E4" w:rsidRPr="00AC1930">
        <w:t xml:space="preserve">a </w:t>
      </w:r>
      <w:r w:rsidRPr="00AC1930">
        <w:t xml:space="preserve">low-quality LMX relationship, this may lead </w:t>
      </w:r>
      <w:r w:rsidR="007C195C" w:rsidRPr="00AC1930">
        <w:t xml:space="preserve">to </w:t>
      </w:r>
      <w:r w:rsidRPr="00AC1930">
        <w:t>him/her feel</w:t>
      </w:r>
      <w:r w:rsidR="007C195C" w:rsidRPr="00AC1930">
        <w:t>ing</w:t>
      </w:r>
      <w:r w:rsidRPr="00AC1930">
        <w:t xml:space="preserve"> isolated</w:t>
      </w:r>
      <w:r w:rsidR="007C195C" w:rsidRPr="00AC1930">
        <w:t>,</w:t>
      </w:r>
      <w:r w:rsidRPr="00AC1930">
        <w:t xml:space="preserve"> and </w:t>
      </w:r>
      <w:r w:rsidR="007C195C" w:rsidRPr="00AC1930">
        <w:t xml:space="preserve">thus </w:t>
      </w:r>
      <w:r w:rsidRPr="00AC1930">
        <w:t>alienated.</w:t>
      </w:r>
    </w:p>
    <w:p w14:paraId="4817734C" w14:textId="64D9A64B" w:rsidR="002E7E3F" w:rsidRPr="00AC1930" w:rsidRDefault="008706AF">
      <w:r w:rsidRPr="00AC1930">
        <w:t>SDT</w:t>
      </w:r>
      <w:r w:rsidR="003E0D12" w:rsidRPr="00AC1930">
        <w:t xml:space="preserve"> brings </w:t>
      </w:r>
      <w:r w:rsidR="000035F8" w:rsidRPr="00AC1930">
        <w:t>the aspect of motivation</w:t>
      </w:r>
      <w:r w:rsidR="003E0D12" w:rsidRPr="00AC1930">
        <w:t xml:space="preserve"> to the need</w:t>
      </w:r>
      <w:r w:rsidR="00A16A29" w:rsidRPr="00AC1930">
        <w:t>s</w:t>
      </w:r>
      <w:r w:rsidR="003E0D12" w:rsidRPr="00AC1930">
        <w:t xml:space="preserve"> satisfaction issue by</w:t>
      </w:r>
      <w:r w:rsidRPr="00AC1930">
        <w:t xml:space="preserve"> </w:t>
      </w:r>
      <w:r w:rsidR="003E0D12" w:rsidRPr="00AC1930">
        <w:t>recognising</w:t>
      </w:r>
      <w:r w:rsidRPr="00AC1930">
        <w:t xml:space="preserve"> the differences between intrinsic (innate) and extrinsic (external) motivation. According to the theory, when a task fulfilled to obtain a tangible reward, the motivation behind the activity is extrinsic</w:t>
      </w:r>
      <w:r w:rsidR="008817D7" w:rsidRPr="00AC1930">
        <w:t>, w</w:t>
      </w:r>
      <w:r w:rsidRPr="00AC1930">
        <w:t>hereas if the task is completed for the innate satisfaction that the activity naturally provides to an individual, the motivation behind it is intrinsic</w:t>
      </w:r>
      <w:r w:rsidR="000035F8" w:rsidRPr="00AC1930">
        <w:t xml:space="preserve"> (Deci/</w:t>
      </w:r>
      <w:proofErr w:type="spellStart"/>
      <w:r w:rsidR="000035F8" w:rsidRPr="00AC1930">
        <w:t>Dyan</w:t>
      </w:r>
      <w:proofErr w:type="spellEnd"/>
      <w:r w:rsidR="000035F8" w:rsidRPr="00AC1930">
        <w:t xml:space="preserve"> 2000)</w:t>
      </w:r>
      <w:r w:rsidRPr="00AC1930">
        <w:t xml:space="preserve">. The theory argues that </w:t>
      </w:r>
      <w:r w:rsidR="008817D7" w:rsidRPr="00AC1930">
        <w:t>individuals with sati</w:t>
      </w:r>
      <w:r w:rsidR="00220674" w:rsidRPr="00AC1930">
        <w:t>s</w:t>
      </w:r>
      <w:r w:rsidR="008817D7" w:rsidRPr="00AC1930">
        <w:t xml:space="preserve">fied </w:t>
      </w:r>
      <w:r w:rsidRPr="00AC1930">
        <w:t>psychological needs are associated with high level</w:t>
      </w:r>
      <w:r w:rsidR="008817D7" w:rsidRPr="00AC1930">
        <w:t>s</w:t>
      </w:r>
      <w:r w:rsidRPr="00AC1930">
        <w:t xml:space="preserve"> of intrinsic motivation</w:t>
      </w:r>
      <w:r w:rsidR="002276E4" w:rsidRPr="00AC1930">
        <w:t>,</w:t>
      </w:r>
      <w:r w:rsidRPr="00AC1930">
        <w:t xml:space="preserve"> which is also associated with positive outcomes (</w:t>
      </w:r>
      <w:r w:rsidR="000035F8" w:rsidRPr="00AC1930">
        <w:t>Sheldon/Elliot/Kim/</w:t>
      </w:r>
      <w:proofErr w:type="spellStart"/>
      <w:r w:rsidR="000035F8" w:rsidRPr="00AC1930">
        <w:t>Kasser</w:t>
      </w:r>
      <w:proofErr w:type="spellEnd"/>
      <w:r w:rsidR="000035F8" w:rsidRPr="00AC1930">
        <w:t xml:space="preserve"> 2001)</w:t>
      </w:r>
      <w:r w:rsidRPr="00AC1930">
        <w:t xml:space="preserve">. </w:t>
      </w:r>
      <w:r w:rsidR="0001118D" w:rsidRPr="00AC1930">
        <w:t>Thus, the conditions supporting the individual's experience of needs satisfaction may foster the volitional and high-quality forms of motivatio</w:t>
      </w:r>
      <w:r w:rsidR="003A6930" w:rsidRPr="00AC1930">
        <w:t xml:space="preserve">n and engagement for activities </w:t>
      </w:r>
      <w:r w:rsidR="0001118D" w:rsidRPr="00AC1930">
        <w:t xml:space="preserve">(Baard/Deci/Ryan 2004; </w:t>
      </w:r>
      <w:proofErr w:type="spellStart"/>
      <w:r w:rsidR="0001118D" w:rsidRPr="00AC1930">
        <w:t>Vansteenkiste</w:t>
      </w:r>
      <w:proofErr w:type="spellEnd"/>
      <w:r w:rsidR="0001118D" w:rsidRPr="00AC1930">
        <w:t>/</w:t>
      </w:r>
      <w:proofErr w:type="spellStart"/>
      <w:r w:rsidR="0001118D" w:rsidRPr="00AC1930">
        <w:t>Neyrinck</w:t>
      </w:r>
      <w:proofErr w:type="spellEnd"/>
      <w:r w:rsidR="0001118D" w:rsidRPr="00AC1930">
        <w:t>/</w:t>
      </w:r>
      <w:proofErr w:type="spellStart"/>
      <w:r w:rsidR="0001118D" w:rsidRPr="00AC1930">
        <w:t>Niemiec</w:t>
      </w:r>
      <w:proofErr w:type="spellEnd"/>
      <w:r w:rsidR="0001118D" w:rsidRPr="00AC1930">
        <w:t>/</w:t>
      </w:r>
      <w:proofErr w:type="spellStart"/>
      <w:r w:rsidR="0001118D" w:rsidRPr="00AC1930">
        <w:t>Soenens</w:t>
      </w:r>
      <w:proofErr w:type="spellEnd"/>
      <w:r w:rsidR="0001118D" w:rsidRPr="00AC1930">
        <w:t>/De Witte/</w:t>
      </w:r>
      <w:r w:rsidR="008817D7" w:rsidRPr="00AC1930">
        <w:t>v</w:t>
      </w:r>
      <w:r w:rsidR="0001118D" w:rsidRPr="00AC1930">
        <w:t xml:space="preserve">an den </w:t>
      </w:r>
      <w:proofErr w:type="spellStart"/>
      <w:r w:rsidR="0001118D" w:rsidRPr="00AC1930">
        <w:t>Broeck</w:t>
      </w:r>
      <w:proofErr w:type="spellEnd"/>
      <w:r w:rsidR="0001118D" w:rsidRPr="00AC1930">
        <w:t xml:space="preserve"> 2007), and so may </w:t>
      </w:r>
      <w:r w:rsidR="008817D7" w:rsidRPr="00AC1930">
        <w:t xml:space="preserve">reduce </w:t>
      </w:r>
      <w:r w:rsidR="0001118D" w:rsidRPr="00AC1930">
        <w:t>alienation. In terms of LMX, a low-quality LMX relationship may thwart need</w:t>
      </w:r>
      <w:r w:rsidR="008817D7" w:rsidRPr="00AC1930">
        <w:t>s</w:t>
      </w:r>
      <w:r w:rsidR="0001118D" w:rsidRPr="00AC1930">
        <w:t xml:space="preserve"> satisfaction, whereas </w:t>
      </w:r>
      <w:r w:rsidR="002276E4" w:rsidRPr="00AC1930">
        <w:t xml:space="preserve">a </w:t>
      </w:r>
      <w:r w:rsidR="0001118D" w:rsidRPr="00AC1930">
        <w:t xml:space="preserve">high-quality LMX relationship may support </w:t>
      </w:r>
      <w:r w:rsidR="002276E4" w:rsidRPr="00AC1930">
        <w:t xml:space="preserve">the </w:t>
      </w:r>
      <w:r w:rsidR="0001118D" w:rsidRPr="00AC1930">
        <w:t xml:space="preserve">satisfaction of </w:t>
      </w:r>
      <w:r w:rsidR="008817D7" w:rsidRPr="00AC1930">
        <w:t xml:space="preserve">individuals' </w:t>
      </w:r>
      <w:r w:rsidR="0001118D" w:rsidRPr="00AC1930">
        <w:t>psychological needs</w:t>
      </w:r>
      <w:r w:rsidR="008817D7" w:rsidRPr="00AC1930">
        <w:t>.</w:t>
      </w:r>
      <w:r w:rsidR="003A6930" w:rsidRPr="00AC1930">
        <w:t xml:space="preserve"> </w:t>
      </w:r>
      <w:r w:rsidR="0001118D" w:rsidRPr="00AC1930">
        <w:t>Especially when the level of connection between t</w:t>
      </w:r>
      <w:r w:rsidR="00716C09" w:rsidRPr="00AC1930">
        <w:t xml:space="preserve">he leader and the </w:t>
      </w:r>
      <w:r w:rsidR="00716C09" w:rsidRPr="00AC1930">
        <w:lastRenderedPageBreak/>
        <w:t>organisation</w:t>
      </w:r>
      <w:r w:rsidR="0001118D" w:rsidRPr="00AC1930">
        <w:t xml:space="preserve"> member is considered, the need for relatedness may be </w:t>
      </w:r>
      <w:r w:rsidR="008817D7" w:rsidRPr="00AC1930">
        <w:t xml:space="preserve">strongly </w:t>
      </w:r>
      <w:r w:rsidR="0001118D" w:rsidRPr="00AC1930">
        <w:t xml:space="preserve">influenced by the LMX qualities, which can influence </w:t>
      </w:r>
      <w:r w:rsidR="008817D7" w:rsidRPr="00AC1930">
        <w:t xml:space="preserve">feeling of </w:t>
      </w:r>
      <w:r w:rsidR="0001118D" w:rsidRPr="00AC1930">
        <w:t>alienation</w:t>
      </w:r>
      <w:r w:rsidR="008817D7" w:rsidRPr="00AC1930">
        <w:t>.</w:t>
      </w:r>
      <w:r w:rsidR="0001118D" w:rsidRPr="00AC1930">
        <w:t xml:space="preserve"> Regarding these interpretations, we expect that LMX would impact organisation members' </w:t>
      </w:r>
      <w:r w:rsidR="00D70FE6" w:rsidRPr="00AC1930">
        <w:t xml:space="preserve">feelings of </w:t>
      </w:r>
      <w:r w:rsidR="0001118D" w:rsidRPr="00AC1930">
        <w:t>alienation</w:t>
      </w:r>
      <w:r w:rsidR="00D70FE6" w:rsidRPr="00AC1930">
        <w:t>.</w:t>
      </w:r>
      <w:r w:rsidR="0001118D" w:rsidRPr="00AC1930">
        <w:t xml:space="preserve"> Therefore, we propose the following hypothesis</w:t>
      </w:r>
      <w:r w:rsidR="00001EB7" w:rsidRPr="00AC1930">
        <w:t>:</w:t>
      </w:r>
    </w:p>
    <w:p w14:paraId="46AF0D11" w14:textId="77777777" w:rsidR="002E7E3F" w:rsidRPr="00AC1930" w:rsidRDefault="0001118D">
      <w:pPr>
        <w:ind w:firstLine="720"/>
        <w:rPr>
          <w:i/>
        </w:rPr>
      </w:pPr>
      <w:r w:rsidRPr="00AC1930">
        <w:rPr>
          <w:i/>
        </w:rPr>
        <w:t>H1: LMX negatively affects work alienation</w:t>
      </w:r>
      <w:r w:rsidR="003A6930" w:rsidRPr="00AC1930">
        <w:rPr>
          <w:i/>
        </w:rPr>
        <w:t>.</w:t>
      </w:r>
    </w:p>
    <w:p w14:paraId="44951294" w14:textId="77777777" w:rsidR="002E7E3F" w:rsidRPr="00AC1930" w:rsidRDefault="0001118D">
      <w:pPr>
        <w:pStyle w:val="Heading2"/>
        <w:keepNext w:val="0"/>
        <w:keepLines w:val="0"/>
        <w:spacing w:before="240" w:after="240"/>
        <w:rPr>
          <w:b/>
          <w:i/>
          <w:sz w:val="28"/>
          <w:szCs w:val="28"/>
        </w:rPr>
      </w:pPr>
      <w:bookmarkStart w:id="5" w:name="_2et92p0" w:colFirst="0" w:colLast="0"/>
      <w:bookmarkEnd w:id="5"/>
      <w:r w:rsidRPr="00AC1930">
        <w:rPr>
          <w:b/>
          <w:i/>
          <w:sz w:val="28"/>
          <w:szCs w:val="28"/>
        </w:rPr>
        <w:t>Self-Regulation</w:t>
      </w:r>
    </w:p>
    <w:p w14:paraId="25F68398" w14:textId="40D9C01C" w:rsidR="002E7E3F" w:rsidRPr="00AC1930" w:rsidRDefault="0001118D">
      <w:r w:rsidRPr="00AC1930">
        <w:t xml:space="preserve">From a psychological perspective, one </w:t>
      </w:r>
      <w:proofErr w:type="gramStart"/>
      <w:r w:rsidR="00BD7DBE" w:rsidRPr="00AC1930">
        <w:t xml:space="preserve">particular </w:t>
      </w:r>
      <w:r w:rsidRPr="00AC1930">
        <w:t>essential</w:t>
      </w:r>
      <w:proofErr w:type="gramEnd"/>
      <w:r w:rsidRPr="00AC1930">
        <w:t xml:space="preserve"> trait is considered to be the capacity of human beings to alter or control their own behaviours (Bandura 1991; Baumeister/Heatherton 1996). Bandura (1991) explains that humans </w:t>
      </w:r>
      <w:proofErr w:type="gramStart"/>
      <w:r w:rsidRPr="00AC1930">
        <w:t>are able to</w:t>
      </w:r>
      <w:proofErr w:type="gramEnd"/>
      <w:r w:rsidRPr="00AC1930">
        <w:t xml:space="preserve"> control their behaviour through the "self-regulation" process, which is explained as self-altering one's own responses or inner states by overriding a response with a more </w:t>
      </w:r>
      <w:r w:rsidR="00BD7DBE" w:rsidRPr="00AC1930">
        <w:t xml:space="preserve">desirable </w:t>
      </w:r>
      <w:r w:rsidRPr="00AC1930">
        <w:t>one (Baumeister/</w:t>
      </w:r>
      <w:r w:rsidR="00364E40" w:rsidRPr="00AC1930">
        <w:t>Schmeichel/</w:t>
      </w:r>
      <w:proofErr w:type="spellStart"/>
      <w:r w:rsidRPr="00AC1930">
        <w:t>Vohs</w:t>
      </w:r>
      <w:proofErr w:type="spellEnd"/>
      <w:r w:rsidR="00364E40" w:rsidRPr="00AC1930">
        <w:t xml:space="preserve"> </w:t>
      </w:r>
      <w:r w:rsidRPr="00AC1930">
        <w:t xml:space="preserve">2007). </w:t>
      </w:r>
      <w:r w:rsidR="002276E4" w:rsidRPr="00AC1930">
        <w:t>The s</w:t>
      </w:r>
      <w:r w:rsidRPr="00AC1930">
        <w:t>elf-regulation process consists of controlling and modifying one's own thoughts, feelings</w:t>
      </w:r>
      <w:r w:rsidR="00BD7DBE" w:rsidRPr="00AC1930">
        <w:t>,</w:t>
      </w:r>
      <w:r w:rsidRPr="00AC1930">
        <w:t xml:space="preserve"> and behaviours in adaptive ways. It refers to the "exercise of control over oneself, especially with regard to bringing the self into line with preferred standards" (</w:t>
      </w:r>
      <w:proofErr w:type="spellStart"/>
      <w:r w:rsidRPr="00AC1930">
        <w:t>Vohs</w:t>
      </w:r>
      <w:proofErr w:type="spellEnd"/>
      <w:r w:rsidRPr="00AC1930">
        <w:t>/Baumeister 2004).</w:t>
      </w:r>
    </w:p>
    <w:p w14:paraId="7D233129" w14:textId="030B0872" w:rsidR="002E7E3F" w:rsidRPr="00AC1930" w:rsidRDefault="0001118D">
      <w:r w:rsidRPr="00AC1930">
        <w:t>Self-regulation has been studied through the different perspectives of social and cognitive psychology (Hofmann/</w:t>
      </w:r>
      <w:proofErr w:type="spellStart"/>
      <w:r w:rsidRPr="00AC1930">
        <w:t>Asnaani</w:t>
      </w:r>
      <w:proofErr w:type="spellEnd"/>
      <w:r w:rsidRPr="00AC1930">
        <w:t>/</w:t>
      </w:r>
      <w:proofErr w:type="spellStart"/>
      <w:r w:rsidRPr="00AC1930">
        <w:t>Vonk</w:t>
      </w:r>
      <w:proofErr w:type="spellEnd"/>
      <w:r w:rsidRPr="00AC1930">
        <w:t>/Sawyer/Fang 2012) in various areas such as learning skills and academic success (Zimmerman 1989; Zimmerman/</w:t>
      </w:r>
      <w:proofErr w:type="spellStart"/>
      <w:r w:rsidRPr="00AC1930">
        <w:t>Shunk</w:t>
      </w:r>
      <w:proofErr w:type="spellEnd"/>
      <w:r w:rsidRPr="00AC1930">
        <w:t xml:space="preserve"> 2011), physical health (Leventhal/Ian 2012), psychological health and wellbeing (</w:t>
      </w:r>
      <w:proofErr w:type="spellStart"/>
      <w:r w:rsidRPr="00AC1930">
        <w:t>Muraven</w:t>
      </w:r>
      <w:proofErr w:type="spellEnd"/>
      <w:r w:rsidRPr="00AC1930">
        <w:t>/Baumeister 2000; McCullough/Willoughby 2009)</w:t>
      </w:r>
      <w:r w:rsidR="000F30E2" w:rsidRPr="00AC1930">
        <w:t>,</w:t>
      </w:r>
      <w:r w:rsidRPr="00AC1930">
        <w:t xml:space="preserve"> and also leadership (</w:t>
      </w:r>
      <w:proofErr w:type="spellStart"/>
      <w:r w:rsidRPr="00AC1930">
        <w:t>Hamstra</w:t>
      </w:r>
      <w:proofErr w:type="spellEnd"/>
      <w:r w:rsidRPr="00AC1930">
        <w:t>/</w:t>
      </w:r>
      <w:r w:rsidR="00220674" w:rsidRPr="00AC1930">
        <w:t xml:space="preserve">van </w:t>
      </w:r>
      <w:proofErr w:type="spellStart"/>
      <w:r w:rsidRPr="00AC1930">
        <w:t>Yperen</w:t>
      </w:r>
      <w:proofErr w:type="spellEnd"/>
      <w:r w:rsidRPr="00AC1930">
        <w:t>/</w:t>
      </w:r>
      <w:proofErr w:type="spellStart"/>
      <w:r w:rsidRPr="00AC1930">
        <w:t>Wisse</w:t>
      </w:r>
      <w:proofErr w:type="spellEnd"/>
      <w:r w:rsidRPr="00AC1930">
        <w:t>/</w:t>
      </w:r>
      <w:proofErr w:type="spellStart"/>
      <w:r w:rsidRPr="00AC1930">
        <w:t>Sassenberg</w:t>
      </w:r>
      <w:proofErr w:type="spellEnd"/>
      <w:r w:rsidRPr="00AC1930">
        <w:t xml:space="preserve"> 2011; </w:t>
      </w:r>
      <w:proofErr w:type="spellStart"/>
      <w:r w:rsidR="006007F9" w:rsidRPr="00AC1930">
        <w:t>Sassanberg</w:t>
      </w:r>
      <w:proofErr w:type="spellEnd"/>
      <w:r w:rsidR="006007F9" w:rsidRPr="00AC1930">
        <w:t>/</w:t>
      </w:r>
      <w:proofErr w:type="spellStart"/>
      <w:r w:rsidR="006007F9" w:rsidRPr="00AC1930">
        <w:t>Hamstra</w:t>
      </w:r>
      <w:proofErr w:type="spellEnd"/>
      <w:r w:rsidR="006007F9" w:rsidRPr="00AC1930">
        <w:t xml:space="preserve"> 2017; </w:t>
      </w:r>
      <w:r w:rsidRPr="00AC1930">
        <w:t xml:space="preserve">Johnson/Lin/Lee 2018; </w:t>
      </w:r>
      <w:proofErr w:type="spellStart"/>
      <w:r w:rsidRPr="00AC1930">
        <w:t>Kark</w:t>
      </w:r>
      <w:proofErr w:type="spellEnd"/>
      <w:r w:rsidRPr="00AC1930">
        <w:t>/</w:t>
      </w:r>
      <w:r w:rsidR="000F30E2" w:rsidRPr="00AC1930">
        <w:t xml:space="preserve">van </w:t>
      </w:r>
      <w:r w:rsidRPr="00AC1930">
        <w:t>Dijk 2019</w:t>
      </w:r>
      <w:r w:rsidR="006007F9" w:rsidRPr="00AC1930">
        <w:t>)</w:t>
      </w:r>
    </w:p>
    <w:p w14:paraId="4A21F505" w14:textId="7BFF630E" w:rsidR="002E7E3F" w:rsidRPr="00AC1930" w:rsidRDefault="0001118D">
      <w:r w:rsidRPr="00AC1930">
        <w:lastRenderedPageBreak/>
        <w:t xml:space="preserve">Baumeister, </w:t>
      </w:r>
      <w:proofErr w:type="spellStart"/>
      <w:r w:rsidRPr="00AC1930">
        <w:t>DeWall</w:t>
      </w:r>
      <w:proofErr w:type="spellEnd"/>
      <w:r w:rsidRPr="00AC1930">
        <w:t xml:space="preserve">, </w:t>
      </w:r>
      <w:proofErr w:type="spellStart"/>
      <w:r w:rsidRPr="00AC1930">
        <w:t>Ciarocco</w:t>
      </w:r>
      <w:proofErr w:type="spellEnd"/>
      <w:r w:rsidRPr="00AC1930">
        <w:t xml:space="preserve"> and Twenge (2005) emphasise that rejection may impair self-regulation as it exists for the sake of securing and maintaining social acceptance. According to them, people who are rejected perform worse </w:t>
      </w:r>
      <w:proofErr w:type="gramStart"/>
      <w:r w:rsidR="00C97C66" w:rsidRPr="00AC1930">
        <w:t>with regard to</w:t>
      </w:r>
      <w:proofErr w:type="gramEnd"/>
      <w:r w:rsidR="00C97C66" w:rsidRPr="00AC1930">
        <w:t xml:space="preserve"> </w:t>
      </w:r>
      <w:r w:rsidRPr="00AC1930">
        <w:t>self-regulation. Relatedly, Baumeister et al. (2007:</w:t>
      </w:r>
      <w:r w:rsidR="00EB5A79" w:rsidRPr="00AC1930">
        <w:t>533</w:t>
      </w:r>
      <w:r w:rsidRPr="00AC1930">
        <w:t xml:space="preserve">) highlight the importance of social connection and </w:t>
      </w:r>
      <w:r w:rsidR="000F30E2" w:rsidRPr="00AC1930">
        <w:t xml:space="preserve">note that </w:t>
      </w:r>
      <w:r w:rsidRPr="00AC1930">
        <w:t xml:space="preserve">"when people are socially excluded, they act as if they no longer find it worthwhile to regulate themselves". The impact of rejection may </w:t>
      </w:r>
      <w:r w:rsidR="000F30E2" w:rsidRPr="00AC1930">
        <w:t xml:space="preserve">lead </w:t>
      </w:r>
      <w:r w:rsidRPr="00AC1930">
        <w:t xml:space="preserve">the person "to be disgruntled and unwilling to </w:t>
      </w:r>
      <w:proofErr w:type="gramStart"/>
      <w:r w:rsidRPr="00AC1930">
        <w:t>make an effort</w:t>
      </w:r>
      <w:proofErr w:type="gramEnd"/>
      <w:r w:rsidRPr="00AC1930">
        <w:t xml:space="preserve"> and sacrifices required for self-regulation or even cause the self-regulation system to stop working, independent of any conscious or deliberate reaction by the individual'' (Baumeister et al. 2005:590-591).</w:t>
      </w:r>
    </w:p>
    <w:p w14:paraId="13C195DD" w14:textId="392365E8" w:rsidR="002E7E3F" w:rsidRPr="00AC1930" w:rsidRDefault="0001118D">
      <w:r w:rsidRPr="00AC1930">
        <w:t>SDT suggests that motivational orientations that guide behaviour have important consequences for healthy self-regulation. Thus, according to the theory, interpersonal contexts that provide opportunities to satisfy the basic psychological needs can promote self-regulation and those that hinder satisfaction can impair self-regulation (Deci/Ryan/Williams 1996). So, considering organ</w:t>
      </w:r>
      <w:r w:rsidR="007A6407" w:rsidRPr="00AC1930">
        <w:t>is</w:t>
      </w:r>
      <w:r w:rsidRPr="00AC1930">
        <w:t xml:space="preserve">ational settings, leadership can be accepted </w:t>
      </w:r>
      <w:r w:rsidR="002276E4" w:rsidRPr="00AC1930">
        <w:t xml:space="preserve">as </w:t>
      </w:r>
      <w:r w:rsidRPr="00AC1930">
        <w:t xml:space="preserve">important </w:t>
      </w:r>
      <w:r w:rsidR="007A32C2" w:rsidRPr="00AC1930">
        <w:t xml:space="preserve">to the creation of </w:t>
      </w:r>
      <w:r w:rsidRPr="00AC1930">
        <w:t xml:space="preserve">an environment that facilitates the satisfaction of psychological needs and </w:t>
      </w:r>
      <w:r w:rsidR="007A32C2" w:rsidRPr="00AC1930">
        <w:t xml:space="preserve">that </w:t>
      </w:r>
      <w:r w:rsidRPr="00AC1930">
        <w:t xml:space="preserve">validates the self (Deci/Ryan 2000; </w:t>
      </w:r>
      <w:proofErr w:type="spellStart"/>
      <w:r w:rsidRPr="00AC1930">
        <w:t>Gagné</w:t>
      </w:r>
      <w:proofErr w:type="spellEnd"/>
      <w:r w:rsidRPr="00AC1930">
        <w:t xml:space="preserve"> 2003). For instance, </w:t>
      </w:r>
      <w:proofErr w:type="spellStart"/>
      <w:r w:rsidRPr="00AC1930">
        <w:t>Sassenberg</w:t>
      </w:r>
      <w:proofErr w:type="spellEnd"/>
      <w:r w:rsidRPr="00AC1930">
        <w:t xml:space="preserve"> and </w:t>
      </w:r>
      <w:proofErr w:type="spellStart"/>
      <w:r w:rsidRPr="00AC1930">
        <w:t>Hamstra</w:t>
      </w:r>
      <w:proofErr w:type="spellEnd"/>
      <w:r w:rsidRPr="00AC1930">
        <w:t xml:space="preserve"> (2017) reveal that leadership behaviour may encourage employee's self-regulation. In other words, leadership styles (i.e., </w:t>
      </w:r>
      <w:proofErr w:type="gramStart"/>
      <w:r w:rsidRPr="00AC1930">
        <w:t>transformational</w:t>
      </w:r>
      <w:proofErr w:type="gramEnd"/>
      <w:r w:rsidRPr="00AC1930">
        <w:t xml:space="preserve"> and transactional) influence members' self-regulatory preferences toward changing their regulatory focus and may allow their self-regulation to sustain or </w:t>
      </w:r>
      <w:r w:rsidR="007A32C2" w:rsidRPr="00AC1930">
        <w:t xml:space="preserve">become </w:t>
      </w:r>
      <w:r w:rsidRPr="00AC1930">
        <w:t>disrupt</w:t>
      </w:r>
      <w:r w:rsidR="007A32C2" w:rsidRPr="00AC1930">
        <w:t>ed</w:t>
      </w:r>
      <w:r w:rsidRPr="00AC1930">
        <w:t>.</w:t>
      </w:r>
    </w:p>
    <w:p w14:paraId="049EF8FC" w14:textId="75503684" w:rsidR="002E7E3F" w:rsidRPr="00AC1930" w:rsidRDefault="0001118D">
      <w:r w:rsidRPr="00AC1930">
        <w:t>Thus, consistent with SET, high</w:t>
      </w:r>
      <w:r w:rsidR="002276E4" w:rsidRPr="00AC1930">
        <w:t>-</w:t>
      </w:r>
      <w:r w:rsidRPr="00AC1930">
        <w:t xml:space="preserve">quality leader-member exchanges may </w:t>
      </w:r>
      <w:proofErr w:type="gramStart"/>
      <w:r w:rsidRPr="00AC1930">
        <w:t>have an effect on</w:t>
      </w:r>
      <w:proofErr w:type="gramEnd"/>
      <w:r w:rsidRPr="00AC1930">
        <w:t xml:space="preserve"> the organisation members' self-regulation process</w:t>
      </w:r>
      <w:r w:rsidR="007A6407" w:rsidRPr="00AC1930">
        <w:t>es</w:t>
      </w:r>
      <w:r w:rsidRPr="00AC1930">
        <w:t xml:space="preserve">; how they control and alter their own thoughts, behaviours, or feelings. When a follower lacks and covets something possessed or experienced by others in the </w:t>
      </w:r>
      <w:r w:rsidR="007A6407" w:rsidRPr="00AC1930">
        <w:t>organisation</w:t>
      </w:r>
      <w:r w:rsidRPr="00AC1930">
        <w:t xml:space="preserve">, self-regulatory depletion may occur </w:t>
      </w:r>
      <w:r w:rsidRPr="00AC1930">
        <w:lastRenderedPageBreak/>
        <w:t xml:space="preserve">(Koopman/Lin/Lennard/Matta/Johnson 2019). More specifically, it is possible to expect an organisation member who does not perceive </w:t>
      </w:r>
      <w:r w:rsidR="00BC1761" w:rsidRPr="00AC1930">
        <w:t xml:space="preserve">there to be </w:t>
      </w:r>
      <w:r w:rsidRPr="00AC1930">
        <w:t xml:space="preserve">good quality LMX to show self-regulation failure. On the other hand, an organisation member who perceives LMX </w:t>
      </w:r>
      <w:r w:rsidR="007A6407" w:rsidRPr="00AC1930">
        <w:t xml:space="preserve">to be </w:t>
      </w:r>
      <w:r w:rsidRPr="00AC1930">
        <w:t>a high-quality relationship with her/his leader may perform self-regulation with feelings of social acceptance and social connection (Baumeister et al. 2007). Taking these discussions into account, we propose the following hypothesis</w:t>
      </w:r>
      <w:r w:rsidR="00001EB7" w:rsidRPr="00AC1930">
        <w:t>:</w:t>
      </w:r>
    </w:p>
    <w:p w14:paraId="61C289C7" w14:textId="77777777" w:rsidR="002E7E3F" w:rsidRPr="00AC1930" w:rsidRDefault="0001118D">
      <w:pPr>
        <w:ind w:firstLine="720"/>
        <w:rPr>
          <w:i/>
        </w:rPr>
      </w:pPr>
      <w:r w:rsidRPr="00AC1930">
        <w:rPr>
          <w:i/>
        </w:rPr>
        <w:t xml:space="preserve">H2: </w:t>
      </w:r>
      <w:r w:rsidR="003A6930" w:rsidRPr="00AC1930">
        <w:rPr>
          <w:i/>
        </w:rPr>
        <w:t>LMX positively</w:t>
      </w:r>
      <w:r w:rsidRPr="00AC1930">
        <w:rPr>
          <w:i/>
        </w:rPr>
        <w:t xml:space="preserve"> affects self-regulation.</w:t>
      </w:r>
    </w:p>
    <w:p w14:paraId="7F2C73E7" w14:textId="5102663C" w:rsidR="002E7E3F" w:rsidRPr="00AC1930" w:rsidRDefault="0001118D">
      <w:r w:rsidRPr="00AC1930">
        <w:t xml:space="preserve">Self-regulation comprises various psychological skills related to decision control, self-motivation, and mood management. It is related to exercising control over oneself, especially </w:t>
      </w:r>
      <w:proofErr w:type="gramStart"/>
      <w:r w:rsidRPr="00AC1930">
        <w:t>with regard to</w:t>
      </w:r>
      <w:proofErr w:type="gramEnd"/>
      <w:r w:rsidRPr="00AC1930">
        <w:t xml:space="preserve"> aligning the self in line with preferred standards (</w:t>
      </w:r>
      <w:proofErr w:type="spellStart"/>
      <w:r w:rsidRPr="00AC1930">
        <w:t>Vohs</w:t>
      </w:r>
      <w:proofErr w:type="spellEnd"/>
      <w:r w:rsidRPr="00AC1930">
        <w:t xml:space="preserve">/Baumeister 2004). </w:t>
      </w:r>
      <w:r w:rsidR="007A6407" w:rsidRPr="00AC1930">
        <w:t>The ability to self</w:t>
      </w:r>
      <w:r w:rsidRPr="00AC1930">
        <w:t>-</w:t>
      </w:r>
      <w:r w:rsidR="007A6407" w:rsidRPr="00AC1930">
        <w:t xml:space="preserve">regulate </w:t>
      </w:r>
      <w:r w:rsidRPr="00AC1930">
        <w:t xml:space="preserve">plays a significant role in the development of wellbeing as it enables the individual to prevent undesired responses. Congruent with SDT, self-determinate individuals are highly self-regulated; they </w:t>
      </w:r>
      <w:proofErr w:type="gramStart"/>
      <w:r w:rsidRPr="00AC1930">
        <w:t>have the ability to</w:t>
      </w:r>
      <w:proofErr w:type="gramEnd"/>
      <w:r w:rsidRPr="00AC1930">
        <w:t xml:space="preserve"> show psychological coherence and adapt to their environment (Deci/Ryan 2000). According to theory, when individuals </w:t>
      </w:r>
      <w:proofErr w:type="gramStart"/>
      <w:r w:rsidRPr="00AC1930">
        <w:t>are able to</w:t>
      </w:r>
      <w:proofErr w:type="gramEnd"/>
      <w:r w:rsidRPr="00AC1930">
        <w:t xml:space="preserve"> satisfy the three psychological needs, they tend to </w:t>
      </w:r>
      <w:r w:rsidR="000060AF" w:rsidRPr="00AC1930">
        <w:t>show an autonomous mode of self-</w:t>
      </w:r>
      <w:r w:rsidRPr="00AC1930">
        <w:t>re</w:t>
      </w:r>
      <w:r w:rsidR="005A2946" w:rsidRPr="00AC1930">
        <w:t xml:space="preserve">gulation. </w:t>
      </w:r>
      <w:r w:rsidR="000060AF" w:rsidRPr="00AC1930">
        <w:t>Thus, autonomous self-</w:t>
      </w:r>
      <w:r w:rsidRPr="00AC1930">
        <w:t xml:space="preserve">regulation and enhanced self-regulation abilities facilitate the process of behavioural change and promote adaptation, autonomous motivation, </w:t>
      </w:r>
      <w:r w:rsidR="007A6407" w:rsidRPr="00AC1930">
        <w:t xml:space="preserve">and </w:t>
      </w:r>
      <w:r w:rsidRPr="00AC1930">
        <w:t>engagement (Ryan/Deci 2006; 2017; Reeve/Ryan/Deci/Jang 2008).</w:t>
      </w:r>
      <w:r w:rsidR="000A11F0" w:rsidRPr="00AC1930">
        <w:t xml:space="preserve"> </w:t>
      </w:r>
    </w:p>
    <w:p w14:paraId="6767523C" w14:textId="6B9E772E" w:rsidR="002E7E3F" w:rsidRPr="00AC1930" w:rsidRDefault="0001118D">
      <w:r w:rsidRPr="00AC1930">
        <w:t>On the other hand, when need satisfaction is hampered, individuals show an alienat</w:t>
      </w:r>
      <w:r w:rsidR="008D6171" w:rsidRPr="00AC1930">
        <w:t>ed mode of self-</w:t>
      </w:r>
      <w:r w:rsidRPr="00AC1930">
        <w:t>regulation that allows inner conflict. The failure of self-regulation leads to undesirable behaviours that have significant health-related, economic, or social impacts (Baumeister</w:t>
      </w:r>
      <w:r w:rsidR="006A7C77" w:rsidRPr="00AC1930">
        <w:t xml:space="preserve"> et al.</w:t>
      </w:r>
      <w:r w:rsidRPr="00AC1930">
        <w:t xml:space="preserve"> 2007). Individuals may engage in maladaptive behaviours and experience negative </w:t>
      </w:r>
      <w:r w:rsidRPr="00AC1930">
        <w:lastRenderedPageBreak/>
        <w:t>psychological situations such as psychological fragmentation, lack of harmony or alienation (</w:t>
      </w:r>
      <w:proofErr w:type="spellStart"/>
      <w:r w:rsidR="008D6171" w:rsidRPr="00AC1930">
        <w:t>Niemiec</w:t>
      </w:r>
      <w:proofErr w:type="spellEnd"/>
      <w:r w:rsidR="008D6171" w:rsidRPr="00AC1930">
        <w:t xml:space="preserve">/Ryan/Patrick/Deci/Williams </w:t>
      </w:r>
      <w:r w:rsidRPr="00AC1930">
        <w:t>2010).</w:t>
      </w:r>
    </w:p>
    <w:p w14:paraId="01CAC89A" w14:textId="3E4E12B8" w:rsidR="002E7E3F" w:rsidRPr="00AC1930" w:rsidRDefault="0001118D">
      <w:r w:rsidRPr="00AC1930">
        <w:t xml:space="preserve">Regarding alienation </w:t>
      </w:r>
      <w:r w:rsidR="007A6407" w:rsidRPr="00AC1930">
        <w:t xml:space="preserve">to be </w:t>
      </w:r>
      <w:r w:rsidRPr="00AC1930">
        <w:t>in line with Marx's conceptual</w:t>
      </w:r>
      <w:r w:rsidR="007A6407" w:rsidRPr="00AC1930">
        <w:t>is</w:t>
      </w:r>
      <w:r w:rsidRPr="00AC1930">
        <w:t xml:space="preserve">ation as a motivational-emotional state in which the individual ignores her or his intrinsic needs and desires, it is possible to expect an association between </w:t>
      </w:r>
      <w:r w:rsidR="007A6407" w:rsidRPr="00AC1930">
        <w:t xml:space="preserve">the failure of </w:t>
      </w:r>
      <w:r w:rsidRPr="00AC1930">
        <w:t xml:space="preserve">self-regulation and alienation. As self-regulation refers to the ability to modulate emotional responses and respond to challenging situations more effectively, it is considered essential </w:t>
      </w:r>
      <w:r w:rsidR="007A6407" w:rsidRPr="00AC1930">
        <w:t xml:space="preserve">to </w:t>
      </w:r>
      <w:r w:rsidRPr="00AC1930">
        <w:t>success, personal development</w:t>
      </w:r>
      <w:r w:rsidR="007A6407" w:rsidRPr="00AC1930">
        <w:t>,</w:t>
      </w:r>
      <w:r w:rsidRPr="00AC1930">
        <w:t xml:space="preserve"> and individual growth in modern work organ</w:t>
      </w:r>
      <w:r w:rsidR="007A6407" w:rsidRPr="00AC1930">
        <w:t>is</w:t>
      </w:r>
      <w:r w:rsidRPr="00AC1930">
        <w:t>ations (Lord/</w:t>
      </w:r>
      <w:proofErr w:type="spellStart"/>
      <w:r w:rsidRPr="00AC1930">
        <w:t>Diefendorff</w:t>
      </w:r>
      <w:proofErr w:type="spellEnd"/>
      <w:r w:rsidRPr="00AC1930">
        <w:t xml:space="preserve">/Schmidt/Hall 2010). An organisation member with </w:t>
      </w:r>
      <w:r w:rsidR="007A6407" w:rsidRPr="00AC1930">
        <w:t xml:space="preserve">a </w:t>
      </w:r>
      <w:r w:rsidRPr="00AC1930">
        <w:t xml:space="preserve">greater </w:t>
      </w:r>
      <w:r w:rsidR="007A6407" w:rsidRPr="00AC1930">
        <w:t xml:space="preserve">ability to </w:t>
      </w:r>
      <w:r w:rsidRPr="00AC1930">
        <w:t>self-regulat</w:t>
      </w:r>
      <w:r w:rsidR="007A6407" w:rsidRPr="00AC1930">
        <w:t xml:space="preserve">e, </w:t>
      </w:r>
      <w:r w:rsidRPr="00AC1930">
        <w:t>who can manage his/herself and control work-related behaviours, may generate a sense of greater wellbeing (Lord et al. 2010), less emotional exhaustion</w:t>
      </w:r>
      <w:r w:rsidR="002276E4" w:rsidRPr="00AC1930">
        <w:t>,</w:t>
      </w:r>
      <w:r w:rsidRPr="00AC1930">
        <w:t xml:space="preserve"> and so feel less alienated (Shantz et al. 2014). Considering that self-regulation is associated with adjustment </w:t>
      </w:r>
      <w:r w:rsidR="008D6171" w:rsidRPr="00AC1930">
        <w:t>of behaviours</w:t>
      </w:r>
      <w:r w:rsidRPr="00AC1930">
        <w:t xml:space="preserve"> (</w:t>
      </w:r>
      <w:proofErr w:type="spellStart"/>
      <w:r w:rsidRPr="00AC1930">
        <w:t>Niemiec</w:t>
      </w:r>
      <w:proofErr w:type="spellEnd"/>
      <w:r w:rsidRPr="00AC1930">
        <w:t xml:space="preserve"> et al. 2010), we expect that the s</w:t>
      </w:r>
      <w:r w:rsidR="00716C09" w:rsidRPr="00AC1930">
        <w:t>elf-regulation of organisation</w:t>
      </w:r>
      <w:r w:rsidRPr="00AC1930">
        <w:t xml:space="preserve"> members would affect alienation from work in a negative manner. More specifically, as self-regulation can be a significant predictor of workplace behaviour, the ability to self-regulate may help organ</w:t>
      </w:r>
      <w:r w:rsidR="007A6407" w:rsidRPr="00AC1930">
        <w:t>is</w:t>
      </w:r>
      <w:r w:rsidRPr="00AC1930">
        <w:t>ation members to adjust and reduce their feelings of alienation. Following the theoretical arguments embedded in the Self-Determination Theory and self-regulation, we propose the following hypothesis in the light of prior studies</w:t>
      </w:r>
      <w:r w:rsidR="007A6407" w:rsidRPr="00AC1930">
        <w:t>:</w:t>
      </w:r>
    </w:p>
    <w:p w14:paraId="5B7E78A3" w14:textId="77777777" w:rsidR="002E7E3F" w:rsidRPr="00AC1930" w:rsidRDefault="0001118D">
      <w:pPr>
        <w:ind w:firstLine="720"/>
        <w:rPr>
          <w:i/>
        </w:rPr>
      </w:pPr>
      <w:r w:rsidRPr="00AC1930">
        <w:rPr>
          <w:i/>
        </w:rPr>
        <w:t>H3: Self-regulation negatively affects work alienation</w:t>
      </w:r>
      <w:r w:rsidR="003A6930" w:rsidRPr="00AC1930">
        <w:rPr>
          <w:i/>
        </w:rPr>
        <w:t>.</w:t>
      </w:r>
      <w:r w:rsidRPr="00AC1930">
        <w:rPr>
          <w:i/>
        </w:rPr>
        <w:t xml:space="preserve"> </w:t>
      </w:r>
    </w:p>
    <w:p w14:paraId="1DE6E401" w14:textId="063A9DFB" w:rsidR="002E7E3F" w:rsidRPr="00AC1930" w:rsidRDefault="0001118D">
      <w:r w:rsidRPr="00AC1930">
        <w:t xml:space="preserve">In terms of SDT, self-regulation is associated with social functioning and adjustment. The capacity to self-regulate allows individuals to be more adaptable and </w:t>
      </w:r>
      <w:r w:rsidR="00001EB7" w:rsidRPr="00AC1930">
        <w:t xml:space="preserve">to </w:t>
      </w:r>
      <w:r w:rsidRPr="00AC1930">
        <w:t xml:space="preserve">compete with </w:t>
      </w:r>
      <w:r w:rsidR="00001EB7" w:rsidRPr="00AC1930">
        <w:t xml:space="preserve">life’s </w:t>
      </w:r>
      <w:r w:rsidRPr="00AC1930">
        <w:t>challenges</w:t>
      </w:r>
      <w:r w:rsidR="00001EB7" w:rsidRPr="00AC1930">
        <w:t>.</w:t>
      </w:r>
      <w:r w:rsidRPr="00AC1930">
        <w:t xml:space="preserve"> Miller and Byrnes (2001) assert that decision-making competency, which is character</w:t>
      </w:r>
      <w:r w:rsidR="007A6407" w:rsidRPr="00AC1930">
        <w:t>is</w:t>
      </w:r>
      <w:r w:rsidRPr="00AC1930">
        <w:t>ed by the tendency to be self-regulated</w:t>
      </w:r>
      <w:r w:rsidR="002276E4" w:rsidRPr="00AC1930">
        <w:t>,</w:t>
      </w:r>
      <w:r w:rsidRPr="00AC1930">
        <w:t xml:space="preserve"> is the best predictor of individuals' social behaviour. A self-regulated decision</w:t>
      </w:r>
      <w:r w:rsidR="00001EB7" w:rsidRPr="00AC1930">
        <w:t xml:space="preserve"> </w:t>
      </w:r>
      <w:r w:rsidRPr="00AC1930">
        <w:t xml:space="preserve">maker is competent </w:t>
      </w:r>
      <w:r w:rsidR="00001EB7" w:rsidRPr="00AC1930">
        <w:t xml:space="preserve">at </w:t>
      </w:r>
      <w:r w:rsidRPr="00AC1930">
        <w:t xml:space="preserve">paying attention to adaptive goals </w:t>
      </w:r>
      <w:r w:rsidRPr="00AC1930">
        <w:lastRenderedPageBreak/>
        <w:t xml:space="preserve">and the decision processes that lead to the achievement of </w:t>
      </w:r>
      <w:r w:rsidR="00001EB7" w:rsidRPr="00AC1930">
        <w:t>their</w:t>
      </w:r>
      <w:r w:rsidRPr="00AC1930">
        <w:t xml:space="preserve"> goals in complex environments such as organ</w:t>
      </w:r>
      <w:r w:rsidR="007A6407" w:rsidRPr="00AC1930">
        <w:t>is</w:t>
      </w:r>
      <w:r w:rsidRPr="00AC1930">
        <w:t>ations.</w:t>
      </w:r>
    </w:p>
    <w:p w14:paraId="3DC5BC3A" w14:textId="43E1DB8C" w:rsidR="002E7E3F" w:rsidRPr="00AC1930" w:rsidRDefault="0001118D">
      <w:r w:rsidRPr="00AC1930">
        <w:t>As stated above, self-regulation supports behavioural persistence and performance and psychological wellbeing (</w:t>
      </w:r>
      <w:proofErr w:type="spellStart"/>
      <w:r w:rsidRPr="00AC1930">
        <w:t>Niemiec</w:t>
      </w:r>
      <w:proofErr w:type="spellEnd"/>
      <w:r w:rsidRPr="00AC1930">
        <w:t xml:space="preserve"> et al. 2010). Therefore, highly self-regulated organisation members </w:t>
      </w:r>
      <w:r w:rsidR="00001EB7" w:rsidRPr="00AC1930">
        <w:t xml:space="preserve">should </w:t>
      </w:r>
      <w:r w:rsidRPr="00AC1930">
        <w:t xml:space="preserve">be able to </w:t>
      </w:r>
      <w:r w:rsidR="00001EB7" w:rsidRPr="00AC1930">
        <w:t xml:space="preserve">better </w:t>
      </w:r>
      <w:r w:rsidRPr="00AC1930">
        <w:t xml:space="preserve">use their adjustment skills in the context of the conditions they face in the workplace. Given the desire to adapt to their environment, self-regulation suggests that individuals consciously attempt to control behaviour </w:t>
      </w:r>
      <w:proofErr w:type="gramStart"/>
      <w:r w:rsidRPr="00AC1930">
        <w:t>in an effort to</w:t>
      </w:r>
      <w:proofErr w:type="gramEnd"/>
      <w:r w:rsidRPr="00AC1930">
        <w:t xml:space="preserve"> mediate outcomes (Baumeister</w:t>
      </w:r>
      <w:r w:rsidR="00AA210D" w:rsidRPr="00AC1930">
        <w:t xml:space="preserve"> et al.</w:t>
      </w:r>
      <w:r w:rsidRPr="00AC1930">
        <w:t xml:space="preserve"> 2007). In other words, self-regulatory activities can mediate the relationships between individuals and the context and their overall achievement (Wolters/</w:t>
      </w:r>
      <w:proofErr w:type="spellStart"/>
      <w:r w:rsidRPr="00AC1930">
        <w:t>Pintrich</w:t>
      </w:r>
      <w:proofErr w:type="spellEnd"/>
      <w:r w:rsidRPr="00AC1930">
        <w:t>/</w:t>
      </w:r>
      <w:proofErr w:type="spellStart"/>
      <w:r w:rsidRPr="00AC1930">
        <w:t>Karabenick</w:t>
      </w:r>
      <w:proofErr w:type="spellEnd"/>
      <w:r w:rsidRPr="00AC1930">
        <w:t xml:space="preserve"> 2005).</w:t>
      </w:r>
    </w:p>
    <w:p w14:paraId="65D2C9F2" w14:textId="43B6BC48" w:rsidR="002E7E3F" w:rsidRPr="00AC1930" w:rsidRDefault="0001118D">
      <w:r w:rsidRPr="00AC1930">
        <w:t xml:space="preserve">The mediation role of self-regulation is articulated in various studies. For instance, Taura, Abdullah, </w:t>
      </w:r>
      <w:proofErr w:type="spellStart"/>
      <w:r w:rsidRPr="00AC1930">
        <w:t>Roslan</w:t>
      </w:r>
      <w:proofErr w:type="spellEnd"/>
      <w:r w:rsidRPr="00AC1930">
        <w:t xml:space="preserve"> and Omar (2014) revealed a significant mediating role of self-regulation in the relationship between self-efficacy, task value</w:t>
      </w:r>
      <w:r w:rsidR="00001EB7" w:rsidRPr="00AC1930">
        <w:t>,</w:t>
      </w:r>
      <w:r w:rsidRPr="00AC1930">
        <w:t xml:space="preserve"> and active procrastination. </w:t>
      </w:r>
      <w:r w:rsidR="009C3E1E" w:rsidRPr="00AC1930">
        <w:t>Evans</w:t>
      </w:r>
      <w:r w:rsidR="00AA210D" w:rsidRPr="00AC1930">
        <w:t xml:space="preserve">/Fuller-Rowell/Doan </w:t>
      </w:r>
      <w:r w:rsidRPr="00AC1930">
        <w:t xml:space="preserve">(2012) illustrated the mediating effect of self-regulation in the association between childhood cumulative risk and obesity. </w:t>
      </w:r>
      <w:proofErr w:type="spellStart"/>
      <w:r w:rsidRPr="00AC1930">
        <w:t>Morosanova</w:t>
      </w:r>
      <w:proofErr w:type="spellEnd"/>
      <w:r w:rsidRPr="00AC1930">
        <w:t xml:space="preserve"> and </w:t>
      </w:r>
      <w:proofErr w:type="spellStart"/>
      <w:r w:rsidRPr="00AC1930">
        <w:t>Fomina</w:t>
      </w:r>
      <w:proofErr w:type="spellEnd"/>
      <w:r w:rsidRPr="00AC1930">
        <w:t xml:space="preserve"> (2017) demonstrated that conscious self-regulation acts as a mediator of students' anxiety influence on exam results. Padilla-Walker, </w:t>
      </w:r>
      <w:proofErr w:type="gramStart"/>
      <w:r w:rsidRPr="00AC1930">
        <w:t>Harper</w:t>
      </w:r>
      <w:proofErr w:type="gramEnd"/>
      <w:r w:rsidRPr="00AC1930">
        <w:t xml:space="preserve"> and Jensen (2010) reported that self-regulation partially mediated the relation</w:t>
      </w:r>
      <w:r w:rsidR="00001EB7" w:rsidRPr="00AC1930">
        <w:t>ship</w:t>
      </w:r>
      <w:r w:rsidRPr="00AC1930">
        <w:t xml:space="preserve"> between sibling affection and positive and negative adolescent outcomes. These studies provide evidence that self-regulation serves as a mediator in the psychological functioning of individuals.</w:t>
      </w:r>
    </w:p>
    <w:p w14:paraId="629A30B0" w14:textId="2842D8DD" w:rsidR="002E7E3F" w:rsidRPr="00AC1930" w:rsidRDefault="0001118D">
      <w:r w:rsidRPr="00AC1930">
        <w:t xml:space="preserve">The potential </w:t>
      </w:r>
      <w:r w:rsidR="00001EB7" w:rsidRPr="00AC1930">
        <w:t xml:space="preserve">mediating </w:t>
      </w:r>
      <w:r w:rsidRPr="00AC1930">
        <w:t xml:space="preserve">role of self-regulation on an individual's behaviour brings us back to the connection between different </w:t>
      </w:r>
      <w:r w:rsidR="00220674" w:rsidRPr="00AC1930">
        <w:t>qualities</w:t>
      </w:r>
      <w:r w:rsidR="00001EB7" w:rsidRPr="00AC1930">
        <w:t xml:space="preserve"> of </w:t>
      </w:r>
      <w:r w:rsidRPr="00AC1930">
        <w:t xml:space="preserve">LMX and alienation. As self-regulation may function as a catalyst that assists organisation members towards better psychological </w:t>
      </w:r>
      <w:r w:rsidRPr="00AC1930">
        <w:lastRenderedPageBreak/>
        <w:t xml:space="preserve">functioning, the capacity </w:t>
      </w:r>
      <w:r w:rsidR="00001EB7" w:rsidRPr="00AC1930">
        <w:t xml:space="preserve">to </w:t>
      </w:r>
      <w:r w:rsidRPr="00AC1930">
        <w:t>self-</w:t>
      </w:r>
      <w:r w:rsidR="00001EB7" w:rsidRPr="00AC1930">
        <w:t xml:space="preserve">regulate </w:t>
      </w:r>
      <w:r w:rsidRPr="00AC1930">
        <w:t>may allow organisation members to manage their cognitions, emotions</w:t>
      </w:r>
      <w:r w:rsidR="00001EB7" w:rsidRPr="00AC1930">
        <w:t>,</w:t>
      </w:r>
      <w:r w:rsidRPr="00AC1930">
        <w:t xml:space="preserve"> and behaviours</w:t>
      </w:r>
      <w:r w:rsidR="00001EB7" w:rsidRPr="00AC1930">
        <w:t>,</w:t>
      </w:r>
      <w:r w:rsidRPr="00AC1930">
        <w:t xml:space="preserve"> and adjust their responses to the relationship with their leader. They may choose appropriate regulation strategies to enhance the LMX relationship and manage the consequences. Accordingly, self-regulation may play an important mediating role that boosts the influence of LMX toward</w:t>
      </w:r>
      <w:r w:rsidR="00001EB7" w:rsidRPr="00AC1930">
        <w:t>s</w:t>
      </w:r>
      <w:r w:rsidRPr="00AC1930">
        <w:t xml:space="preserve"> WA. Therefore, we propose the following hypothesis</w:t>
      </w:r>
      <w:r w:rsidR="00001EB7" w:rsidRPr="00AC1930">
        <w:t>:</w:t>
      </w:r>
    </w:p>
    <w:p w14:paraId="504ABFBB" w14:textId="77777777" w:rsidR="002E7E3F" w:rsidRPr="00AC1930" w:rsidRDefault="0001118D">
      <w:pPr>
        <w:ind w:firstLine="720"/>
        <w:rPr>
          <w:i/>
        </w:rPr>
      </w:pPr>
      <w:r w:rsidRPr="00AC1930">
        <w:rPr>
          <w:i/>
        </w:rPr>
        <w:t>H4: Self-regulation mediates the relationship between LMX and WA.</w:t>
      </w:r>
    </w:p>
    <w:p w14:paraId="5EAA4312" w14:textId="77777777" w:rsidR="002E7E3F" w:rsidRPr="00AC1930" w:rsidRDefault="0001118D">
      <w:pPr>
        <w:pStyle w:val="Heading2"/>
        <w:keepNext w:val="0"/>
        <w:keepLines w:val="0"/>
        <w:spacing w:before="240" w:after="240"/>
        <w:rPr>
          <w:b/>
          <w:i/>
          <w:sz w:val="28"/>
          <w:szCs w:val="28"/>
        </w:rPr>
      </w:pPr>
      <w:bookmarkStart w:id="6" w:name="_tyjcwt" w:colFirst="0" w:colLast="0"/>
      <w:bookmarkEnd w:id="6"/>
      <w:r w:rsidRPr="00AC1930">
        <w:rPr>
          <w:b/>
          <w:i/>
          <w:sz w:val="28"/>
          <w:szCs w:val="28"/>
        </w:rPr>
        <w:t>Tenure</w:t>
      </w:r>
    </w:p>
    <w:p w14:paraId="120E7A48" w14:textId="2B8EBA40" w:rsidR="002E7E3F" w:rsidRPr="00AC1930" w:rsidRDefault="0001118D">
      <w:r w:rsidRPr="00AC1930">
        <w:t xml:space="preserve">Tenure is a demographic variable </w:t>
      </w:r>
      <w:r w:rsidR="002276E4" w:rsidRPr="00AC1930">
        <w:t>that</w:t>
      </w:r>
      <w:r w:rsidRPr="00AC1930">
        <w:t xml:space="preserve"> is defined as </w:t>
      </w:r>
      <w:r w:rsidR="00001EB7" w:rsidRPr="00AC1930">
        <w:t xml:space="preserve">the </w:t>
      </w:r>
      <w:proofErr w:type="gramStart"/>
      <w:r w:rsidR="00001EB7" w:rsidRPr="00AC1930">
        <w:t xml:space="preserve">period of </w:t>
      </w:r>
      <w:r w:rsidRPr="00AC1930">
        <w:t>time</w:t>
      </w:r>
      <w:proofErr w:type="gramEnd"/>
      <w:r w:rsidRPr="00AC1930">
        <w:t xml:space="preserve"> </w:t>
      </w:r>
      <w:r w:rsidR="00001EB7" w:rsidRPr="00AC1930">
        <w:t xml:space="preserve">for which </w:t>
      </w:r>
      <w:r w:rsidRPr="00AC1930">
        <w:t xml:space="preserve">an individual has worked for </w:t>
      </w:r>
      <w:r w:rsidR="00001EB7" w:rsidRPr="00AC1930">
        <w:t>their</w:t>
      </w:r>
      <w:r w:rsidRPr="00AC1930">
        <w:t xml:space="preserve"> employer. Tenure</w:t>
      </w:r>
      <w:r w:rsidR="00001EB7" w:rsidRPr="00AC1930">
        <w:t>,</w:t>
      </w:r>
      <w:r w:rsidRPr="00AC1930">
        <w:t xml:space="preserve"> as a demographic and moderator variable</w:t>
      </w:r>
      <w:r w:rsidR="00001EB7" w:rsidRPr="00AC1930">
        <w:t>,</w:t>
      </w:r>
      <w:r w:rsidRPr="00AC1930">
        <w:t xml:space="preserve"> has </w:t>
      </w:r>
      <w:r w:rsidR="002276E4" w:rsidRPr="00AC1930">
        <w:t>played</w:t>
      </w:r>
      <w:r w:rsidRPr="00AC1930">
        <w:t xml:space="preserve"> a valuable role in management and organisational behaviour research (Cohen 1993). </w:t>
      </w:r>
      <w:r w:rsidR="003E56EB" w:rsidRPr="00AC1930">
        <w:t>T</w:t>
      </w:r>
      <w:r w:rsidRPr="00AC1930">
        <w:t xml:space="preserve">here are various studies </w:t>
      </w:r>
      <w:r w:rsidR="002276E4" w:rsidRPr="00AC1930">
        <w:t>that</w:t>
      </w:r>
      <w:r w:rsidRPr="00AC1930">
        <w:t xml:space="preserve"> have chosen tenure as a moderator in relation to other constructs (</w:t>
      </w:r>
      <w:proofErr w:type="spellStart"/>
      <w:r w:rsidRPr="00AC1930">
        <w:t>Shirom</w:t>
      </w:r>
      <w:proofErr w:type="spellEnd"/>
      <w:r w:rsidRPr="00AC1930">
        <w:t>/Shechter Gilboa/Fried/Cooper 2008). After reviewing prior studies that involved tenure, it emerged that tenure is a significant situational variable (</w:t>
      </w:r>
      <w:proofErr w:type="spellStart"/>
      <w:r w:rsidRPr="00AC1930">
        <w:t>Boğan</w:t>
      </w:r>
      <w:proofErr w:type="spellEnd"/>
      <w:r w:rsidRPr="00AC1930">
        <w:t>/</w:t>
      </w:r>
      <w:proofErr w:type="spellStart"/>
      <w:r w:rsidRPr="00AC1930">
        <w:t>Dedeoğlu</w:t>
      </w:r>
      <w:proofErr w:type="spellEnd"/>
      <w:r w:rsidRPr="00AC1930">
        <w:t xml:space="preserve"> 2017) that affects various workplace relationships</w:t>
      </w:r>
      <w:r w:rsidR="002276E4" w:rsidRPr="00AC1930">
        <w:t>,</w:t>
      </w:r>
      <w:r w:rsidRPr="00AC1930">
        <w:t xml:space="preserve"> which is also the case for LMX. For instance, Kim, Liu and </w:t>
      </w:r>
      <w:proofErr w:type="spellStart"/>
      <w:r w:rsidRPr="00AC1930">
        <w:t>Diefendorff</w:t>
      </w:r>
      <w:proofErr w:type="spellEnd"/>
      <w:r w:rsidRPr="00AC1930">
        <w:t xml:space="preserve"> (2015) suggest that </w:t>
      </w:r>
      <w:r w:rsidR="00115F3E" w:rsidRPr="00AC1930">
        <w:t xml:space="preserve">quality of </w:t>
      </w:r>
      <w:r w:rsidRPr="00AC1930">
        <w:t>LMX may be more robust for newer organisation members. Congruent with SET, newcomers tend to establish quality relationships with their leader</w:t>
      </w:r>
      <w:r w:rsidR="00115F3E" w:rsidRPr="00AC1930">
        <w:t>s</w:t>
      </w:r>
      <w:r w:rsidRPr="00AC1930">
        <w:t xml:space="preserve"> in the first </w:t>
      </w:r>
      <w:r w:rsidR="00AC1930" w:rsidRPr="00AC1930">
        <w:t>months,</w:t>
      </w:r>
      <w:r w:rsidRPr="00AC1930">
        <w:t xml:space="preserve"> as they feel more motivated and accepting of the new environment.</w:t>
      </w:r>
    </w:p>
    <w:p w14:paraId="5075D9D2" w14:textId="5D4D528D" w:rsidR="002E7E3F" w:rsidRPr="00AC1930" w:rsidRDefault="0001118D">
      <w:r w:rsidRPr="00AC1930">
        <w:t>Regarding the moderating effects of tenure, prior research found that tenure moderates employee behaviour relationships (Wright/</w:t>
      </w:r>
      <w:proofErr w:type="spellStart"/>
      <w:r w:rsidRPr="00AC1930">
        <w:t>Bonett</w:t>
      </w:r>
      <w:proofErr w:type="spellEnd"/>
      <w:r w:rsidRPr="00AC1930">
        <w:t xml:space="preserve"> 2002). </w:t>
      </w:r>
      <w:r w:rsidR="00115F3E" w:rsidRPr="00AC1930">
        <w:t xml:space="preserve">One </w:t>
      </w:r>
      <w:r w:rsidRPr="00AC1930">
        <w:t xml:space="preserve">study suggests that tenure has a moderating role on the relationship between psychological contract breach and affective commitment of employees (Agarwal/Bhargava 2013). Similarly, various studies have </w:t>
      </w:r>
      <w:r w:rsidRPr="00AC1930">
        <w:lastRenderedPageBreak/>
        <w:t xml:space="preserve">examined the </w:t>
      </w:r>
      <w:r w:rsidR="00115F3E" w:rsidRPr="00AC1930">
        <w:t xml:space="preserve">moderating </w:t>
      </w:r>
      <w:r w:rsidRPr="00AC1930">
        <w:t>effect of tenure between LMX and other variables such as job performance (Kim et al. 2015) and promotability ratings (Harris/</w:t>
      </w:r>
      <w:proofErr w:type="spellStart"/>
      <w:r w:rsidRPr="00AC1930">
        <w:t>Kacmar</w:t>
      </w:r>
      <w:proofErr w:type="spellEnd"/>
      <w:r w:rsidRPr="00AC1930">
        <w:t>/</w:t>
      </w:r>
      <w:proofErr w:type="spellStart"/>
      <w:r w:rsidRPr="00AC1930">
        <w:t>Clarson</w:t>
      </w:r>
      <w:proofErr w:type="spellEnd"/>
      <w:r w:rsidRPr="00AC1930">
        <w:t xml:space="preserve"> 2006). Past studies do not show any evidence if tenure </w:t>
      </w:r>
      <w:r w:rsidR="00115F3E" w:rsidRPr="00AC1930">
        <w:t xml:space="preserve">moderating </w:t>
      </w:r>
      <w:r w:rsidRPr="00AC1930">
        <w:t>the relationship between LMX and WA. In other words, research demonstrate</w:t>
      </w:r>
      <w:r w:rsidR="00115F3E" w:rsidRPr="00AC1930">
        <w:t>s</w:t>
      </w:r>
      <w:r w:rsidRPr="00AC1930">
        <w:t xml:space="preserve"> that tenure has moderated the </w:t>
      </w:r>
      <w:proofErr w:type="gramStart"/>
      <w:r w:rsidRPr="00AC1930">
        <w:t>aforementioned relationships</w:t>
      </w:r>
      <w:proofErr w:type="gramEnd"/>
      <w:r w:rsidRPr="00AC1930">
        <w:t xml:space="preserve">, yet there is no empirical evidence in the literature that </w:t>
      </w:r>
      <w:r w:rsidR="00115F3E" w:rsidRPr="00AC1930">
        <w:t xml:space="preserve">has </w:t>
      </w:r>
      <w:r w:rsidRPr="00AC1930">
        <w:t xml:space="preserve">examined tenure as a moderator on the relationship between LMX and WA. Based on </w:t>
      </w:r>
      <w:r w:rsidR="00115F3E" w:rsidRPr="00AC1930">
        <w:t>this</w:t>
      </w:r>
      <w:r w:rsidRPr="00AC1930">
        <w:t>, we propose the following hypothesis</w:t>
      </w:r>
      <w:r w:rsidR="00115F3E" w:rsidRPr="00AC1930">
        <w:t>:</w:t>
      </w:r>
    </w:p>
    <w:p w14:paraId="543239EF" w14:textId="53F3365D" w:rsidR="002E7E3F" w:rsidRPr="00AC1930" w:rsidRDefault="000E0CDE">
      <w:pPr>
        <w:rPr>
          <w:i/>
        </w:rPr>
      </w:pPr>
      <w:r w:rsidRPr="00AC1930">
        <w:rPr>
          <w:i/>
        </w:rPr>
        <w:t xml:space="preserve">    </w:t>
      </w:r>
      <w:r w:rsidRPr="00AC1930">
        <w:rPr>
          <w:i/>
        </w:rPr>
        <w:tab/>
        <w:t>H5</w:t>
      </w:r>
      <w:r w:rsidR="0001118D" w:rsidRPr="00AC1930">
        <w:rPr>
          <w:i/>
        </w:rPr>
        <w:t>: Tenure moderates the relationship between LMX and WA</w:t>
      </w:r>
      <w:r w:rsidR="003A27E3" w:rsidRPr="00AC1930">
        <w:rPr>
          <w:i/>
        </w:rPr>
        <w:t>.</w:t>
      </w:r>
    </w:p>
    <w:p w14:paraId="25E56E34" w14:textId="70F5CDD8" w:rsidR="002E7E3F" w:rsidRPr="00AC1930" w:rsidRDefault="0001118D">
      <w:r w:rsidRPr="00AC1930">
        <w:t>Studies reveal that LMX perceptions differ by sector due to their different dynamics. As organ</w:t>
      </w:r>
      <w:r w:rsidR="007A6407" w:rsidRPr="00AC1930">
        <w:t>is</w:t>
      </w:r>
      <w:r w:rsidRPr="00AC1930">
        <w:t>ations that operate in the public sector are perceived to be political contexts (</w:t>
      </w:r>
      <w:proofErr w:type="spellStart"/>
      <w:r w:rsidRPr="00AC1930">
        <w:t>Bodla</w:t>
      </w:r>
      <w:proofErr w:type="spellEnd"/>
      <w:r w:rsidRPr="00AC1930">
        <w:t>/Danish 2008; Vigoda-Gadot/</w:t>
      </w:r>
      <w:proofErr w:type="spellStart"/>
      <w:r w:rsidRPr="00AC1930">
        <w:t>Kapun</w:t>
      </w:r>
      <w:proofErr w:type="spellEnd"/>
      <w:r w:rsidRPr="00AC1930">
        <w:t xml:space="preserve"> 2005), organisation members tend to "become part of the political climate and merge in it" (Vigoda-Gadot/</w:t>
      </w:r>
      <w:proofErr w:type="spellStart"/>
      <w:r w:rsidRPr="00AC1930">
        <w:t>Beeri</w:t>
      </w:r>
      <w:proofErr w:type="spellEnd"/>
      <w:r w:rsidRPr="00AC1930">
        <w:t xml:space="preserve"> 2012:217). Hence, the social exchanges of psychological benefits between leaders and organ</w:t>
      </w:r>
      <w:r w:rsidR="007A6407" w:rsidRPr="00AC1930">
        <w:t>is</w:t>
      </w:r>
      <w:r w:rsidRPr="00AC1930">
        <w:t xml:space="preserve">ation members become essential as well as economic exchanges. Thus, high-quality LMX relationships are reported to be more critical in the public sector as they can help organisation members to overcome various difficulties in interpersonal relationships. For instance, in their study where they focus on the healthcare context, </w:t>
      </w:r>
      <w:proofErr w:type="spellStart"/>
      <w:r w:rsidRPr="00AC1930">
        <w:t>Brunetto</w:t>
      </w:r>
      <w:proofErr w:type="spellEnd"/>
      <w:r w:rsidRPr="00AC1930">
        <w:t>/Shacklock/Bartram/Leggat/Farr-Wharton/Stanton/Casimir (2012) reveal that the quality of LMX appears to be crucial in the public sector</w:t>
      </w:r>
      <w:r w:rsidR="00981770" w:rsidRPr="00AC1930">
        <w:t xml:space="preserve"> – </w:t>
      </w:r>
      <w:proofErr w:type="gramStart"/>
      <w:r w:rsidR="00981770" w:rsidRPr="00AC1930">
        <w:t xml:space="preserve">with </w:t>
      </w:r>
      <w:r w:rsidRPr="00AC1930">
        <w:t>regard to</w:t>
      </w:r>
      <w:proofErr w:type="gramEnd"/>
      <w:r w:rsidRPr="00AC1930">
        <w:t xml:space="preserve"> the relationship between empowerment and affective commitment</w:t>
      </w:r>
      <w:r w:rsidR="00981770" w:rsidRPr="00AC1930">
        <w:t xml:space="preserve"> –</w:t>
      </w:r>
      <w:r w:rsidRPr="00AC1930">
        <w:t xml:space="preserve"> than in private the sector for nurses. Similarly, </w:t>
      </w:r>
      <w:proofErr w:type="spellStart"/>
      <w:r w:rsidRPr="00AC1930">
        <w:t>Audenaert</w:t>
      </w:r>
      <w:proofErr w:type="spellEnd"/>
      <w:r w:rsidRPr="00AC1930">
        <w:t>/</w:t>
      </w:r>
      <w:proofErr w:type="spellStart"/>
      <w:r w:rsidRPr="00AC1930">
        <w:t>Decramer</w:t>
      </w:r>
      <w:proofErr w:type="spellEnd"/>
      <w:r w:rsidRPr="00AC1930">
        <w:t>/George/</w:t>
      </w:r>
      <w:proofErr w:type="spellStart"/>
      <w:r w:rsidRPr="00AC1930">
        <w:t>Verschuere</w:t>
      </w:r>
      <w:proofErr w:type="spellEnd"/>
      <w:r w:rsidRPr="00AC1930">
        <w:t>/</w:t>
      </w:r>
      <w:r w:rsidR="00981770" w:rsidRPr="00AC1930">
        <w:t xml:space="preserve">van </w:t>
      </w:r>
      <w:proofErr w:type="spellStart"/>
      <w:r w:rsidRPr="00AC1930">
        <w:t>Waeyenberg</w:t>
      </w:r>
      <w:proofErr w:type="spellEnd"/>
      <w:r w:rsidRPr="00AC1930">
        <w:t xml:space="preserve"> (2016) demonstrate that those organisation members who perceive high-quality LMX feel safer discuss</w:t>
      </w:r>
      <w:r w:rsidR="00981770" w:rsidRPr="00AC1930">
        <w:t>ing</w:t>
      </w:r>
      <w:r w:rsidRPr="00AC1930">
        <w:t xml:space="preserve"> problems in the public sector. Moreover, in terms of work alienation, studies suggest that organisation members are less alienated in work environments where a consultative management style and participative decision-making mechanisms are adopted (e.g.</w:t>
      </w:r>
      <w:r w:rsidR="00981770" w:rsidRPr="00AC1930">
        <w:t>,</w:t>
      </w:r>
      <w:r w:rsidRPr="00AC1930">
        <w:t xml:space="preserve"> </w:t>
      </w:r>
      <w:proofErr w:type="spellStart"/>
      <w:r w:rsidRPr="00AC1930">
        <w:t>Sarros</w:t>
      </w:r>
      <w:proofErr w:type="spellEnd"/>
      <w:r w:rsidRPr="00AC1930">
        <w:t xml:space="preserve"> et </w:t>
      </w:r>
      <w:r w:rsidRPr="00AC1930">
        <w:lastRenderedPageBreak/>
        <w:t>al. 2002). In this sense, due to the hierarchical and central</w:t>
      </w:r>
      <w:r w:rsidR="007A6407" w:rsidRPr="00AC1930">
        <w:t>is</w:t>
      </w:r>
      <w:r w:rsidRPr="00AC1930">
        <w:t xml:space="preserve">ed dynamics of public workplaces, public employees are regarded more likely to feel they do not have any influence </w:t>
      </w:r>
      <w:r w:rsidR="00981770" w:rsidRPr="00AC1930">
        <w:t xml:space="preserve">over </w:t>
      </w:r>
      <w:r w:rsidRPr="00AC1930">
        <w:t>their jobs (</w:t>
      </w:r>
      <w:proofErr w:type="spellStart"/>
      <w:r w:rsidRPr="00AC1930">
        <w:t>Tummers</w:t>
      </w:r>
      <w:proofErr w:type="spellEnd"/>
      <w:r w:rsidRPr="00AC1930">
        <w:t>/</w:t>
      </w:r>
      <w:proofErr w:type="spellStart"/>
      <w:r w:rsidRPr="00AC1930">
        <w:t>Bekkers</w:t>
      </w:r>
      <w:proofErr w:type="spellEnd"/>
      <w:r w:rsidRPr="00AC1930">
        <w:t>/</w:t>
      </w:r>
      <w:r w:rsidR="00220674" w:rsidRPr="00AC1930">
        <w:t>v</w:t>
      </w:r>
      <w:r w:rsidRPr="00AC1930">
        <w:t xml:space="preserve">an </w:t>
      </w:r>
      <w:proofErr w:type="spellStart"/>
      <w:r w:rsidRPr="00AC1930">
        <w:t>Thiel</w:t>
      </w:r>
      <w:proofErr w:type="spellEnd"/>
      <w:r w:rsidRPr="00AC1930">
        <w:t>/</w:t>
      </w:r>
      <w:proofErr w:type="spellStart"/>
      <w:r w:rsidRPr="00AC1930">
        <w:t>Steijn</w:t>
      </w:r>
      <w:proofErr w:type="spellEnd"/>
      <w:r w:rsidRPr="00AC1930">
        <w:t xml:space="preserve"> 2015). </w:t>
      </w:r>
      <w:proofErr w:type="gramStart"/>
      <w:r w:rsidRPr="00AC1930">
        <w:t>In light of</w:t>
      </w:r>
      <w:proofErr w:type="gramEnd"/>
      <w:r w:rsidRPr="00AC1930">
        <w:t xml:space="preserve"> previous studi</w:t>
      </w:r>
      <w:r w:rsidR="00716C09" w:rsidRPr="00AC1930">
        <w:t>es, we expect that organisation</w:t>
      </w:r>
      <w:r w:rsidRPr="00AC1930">
        <w:t xml:space="preserve"> members from two different sectors would provide more insight </w:t>
      </w:r>
      <w:r w:rsidR="002276E4" w:rsidRPr="00AC1930">
        <w:t>in</w:t>
      </w:r>
      <w:r w:rsidRPr="00AC1930">
        <w:t xml:space="preserve">to the impact of </w:t>
      </w:r>
      <w:r w:rsidR="002276E4" w:rsidRPr="00AC1930">
        <w:t xml:space="preserve">the </w:t>
      </w:r>
      <w:r w:rsidRPr="00AC1930">
        <w:t>sector on the relationships within the whole research model. Moreover, we regard a multi</w:t>
      </w:r>
      <w:r w:rsidR="00BF2BC1" w:rsidRPr="00AC1930">
        <w:t>-</w:t>
      </w:r>
      <w:r w:rsidRPr="00AC1930">
        <w:t xml:space="preserve">group analysis as an essential technique to reveal the influence of working in different sectors on the linkages in our model. Based on the given discussion, we posit </w:t>
      </w:r>
      <w:r w:rsidR="002276E4" w:rsidRPr="00AC1930">
        <w:t xml:space="preserve">the </w:t>
      </w:r>
      <w:r w:rsidRPr="00AC1930">
        <w:t xml:space="preserve">following </w:t>
      </w:r>
      <w:r w:rsidR="00585927" w:rsidRPr="00AC1930">
        <w:t>hypothesis</w:t>
      </w:r>
      <w:r w:rsidRPr="00AC1930">
        <w:t>:</w:t>
      </w:r>
    </w:p>
    <w:p w14:paraId="6DC17557" w14:textId="0CD5F797" w:rsidR="002E7E3F" w:rsidRPr="00AC1930" w:rsidRDefault="0001118D" w:rsidP="00AA31F2">
      <w:pPr>
        <w:ind w:left="720"/>
        <w:rPr>
          <w:i/>
        </w:rPr>
      </w:pPr>
      <w:r w:rsidRPr="00AC1930">
        <w:rPr>
          <w:i/>
        </w:rPr>
        <w:t>H</w:t>
      </w:r>
      <w:r w:rsidR="000E0CDE" w:rsidRPr="00AC1930">
        <w:rPr>
          <w:i/>
        </w:rPr>
        <w:t>6</w:t>
      </w:r>
      <w:r w:rsidRPr="00AC1930">
        <w:rPr>
          <w:i/>
        </w:rPr>
        <w:t>: There is a difference between public and private sector organisation members in terms of the whole proposed model</w:t>
      </w:r>
      <w:r w:rsidR="000035F8" w:rsidRPr="00AC1930">
        <w:rPr>
          <w:i/>
        </w:rPr>
        <w:t>.</w:t>
      </w:r>
    </w:p>
    <w:p w14:paraId="35C85ECE" w14:textId="77777777" w:rsidR="002E7E3F" w:rsidRPr="00AC1930" w:rsidRDefault="0001118D">
      <w:r w:rsidRPr="00AC1930">
        <w:t>Please see our proposed research model in Figure 1 based on the established hypotheses.</w:t>
      </w:r>
    </w:p>
    <w:p w14:paraId="62E9C606" w14:textId="6FAB9AD6" w:rsidR="002E7E3F" w:rsidRPr="00AC1930" w:rsidRDefault="00171F69">
      <w:pPr>
        <w:jc w:val="center"/>
      </w:pPr>
      <w:r w:rsidRPr="00AC1930">
        <w:rPr>
          <w:noProof/>
          <w:lang w:val="tr-TR"/>
        </w:rPr>
        <w:drawing>
          <wp:inline distT="0" distB="0" distL="0" distR="0" wp14:anchorId="5159CFAB" wp14:editId="592EB391">
            <wp:extent cx="3928110" cy="3355340"/>
            <wp:effectExtent l="0" t="0" r="0" b="0"/>
            <wp:docPr id="3" name="Resim 3" descr="C:\Users\Dr. Mehmet\Downloads\Untitled Diagram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Mehmet\Downloads\Untitled Diagram (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8110" cy="3355340"/>
                    </a:xfrm>
                    <a:prstGeom prst="rect">
                      <a:avLst/>
                    </a:prstGeom>
                    <a:noFill/>
                    <a:ln>
                      <a:noFill/>
                    </a:ln>
                  </pic:spPr>
                </pic:pic>
              </a:graphicData>
            </a:graphic>
          </wp:inline>
        </w:drawing>
      </w:r>
    </w:p>
    <w:p w14:paraId="3D5EAF11" w14:textId="5D740B70" w:rsidR="002E7E3F" w:rsidRPr="00AC1930" w:rsidRDefault="0001118D">
      <w:pPr>
        <w:jc w:val="center"/>
      </w:pPr>
      <w:r w:rsidRPr="00AC1930">
        <w:t xml:space="preserve">Figure 1. Proposed </w:t>
      </w:r>
      <w:r w:rsidR="009E3DA8" w:rsidRPr="00AC1930">
        <w:t xml:space="preserve">Research </w:t>
      </w:r>
      <w:r w:rsidRPr="00AC1930">
        <w:t>Model</w:t>
      </w:r>
    </w:p>
    <w:p w14:paraId="746F05AD" w14:textId="77777777" w:rsidR="002E7E3F" w:rsidRPr="00AC1930" w:rsidRDefault="0001118D">
      <w:pPr>
        <w:pStyle w:val="Heading1"/>
        <w:keepNext w:val="0"/>
        <w:keepLines w:val="0"/>
        <w:spacing w:before="480" w:after="120" w:line="480" w:lineRule="auto"/>
        <w:rPr>
          <w:b/>
          <w:sz w:val="32"/>
          <w:szCs w:val="32"/>
        </w:rPr>
      </w:pPr>
      <w:bookmarkStart w:id="7" w:name="_3dy6vkm" w:colFirst="0" w:colLast="0"/>
      <w:bookmarkEnd w:id="7"/>
      <w:r w:rsidRPr="00AC1930">
        <w:rPr>
          <w:b/>
          <w:sz w:val="32"/>
          <w:szCs w:val="32"/>
        </w:rPr>
        <w:lastRenderedPageBreak/>
        <w:t>Method</w:t>
      </w:r>
    </w:p>
    <w:p w14:paraId="6239AA44" w14:textId="77777777" w:rsidR="002E7E3F" w:rsidRPr="00AC1930" w:rsidRDefault="0001118D">
      <w:pPr>
        <w:pStyle w:val="Heading2"/>
        <w:keepNext w:val="0"/>
        <w:keepLines w:val="0"/>
        <w:spacing w:before="240" w:after="240"/>
        <w:rPr>
          <w:b/>
          <w:i/>
          <w:sz w:val="28"/>
          <w:szCs w:val="28"/>
        </w:rPr>
      </w:pPr>
      <w:bookmarkStart w:id="8" w:name="_1t3h5sf" w:colFirst="0" w:colLast="0"/>
      <w:bookmarkEnd w:id="8"/>
      <w:r w:rsidRPr="00AC1930">
        <w:rPr>
          <w:b/>
          <w:i/>
          <w:sz w:val="28"/>
          <w:szCs w:val="28"/>
        </w:rPr>
        <w:t>Research Design and Analytical Procedure</w:t>
      </w:r>
    </w:p>
    <w:p w14:paraId="1E4F4840" w14:textId="61243110" w:rsidR="00D9160A" w:rsidRPr="00AC1930" w:rsidRDefault="00545206">
      <w:r w:rsidRPr="00AC1930">
        <w:t xml:space="preserve">In this study, we adopted the cross-sectional research method. </w:t>
      </w:r>
      <w:r w:rsidR="0001118D" w:rsidRPr="00AC1930">
        <w:t xml:space="preserve">Within this context, we </w:t>
      </w:r>
      <w:r w:rsidR="009E3DA8" w:rsidRPr="00AC1930">
        <w:t xml:space="preserve">attempted </w:t>
      </w:r>
      <w:r w:rsidR="0001118D" w:rsidRPr="00AC1930">
        <w:t xml:space="preserve">to </w:t>
      </w:r>
      <w:r w:rsidRPr="00AC1930">
        <w:t>reveal</w:t>
      </w:r>
      <w:r w:rsidR="0001118D" w:rsidRPr="00AC1930">
        <w:t xml:space="preserve"> the </w:t>
      </w:r>
      <w:r w:rsidRPr="00AC1930">
        <w:t>relationship between</w:t>
      </w:r>
      <w:r w:rsidR="0001118D" w:rsidRPr="00AC1930">
        <w:t xml:space="preserve"> LMX</w:t>
      </w:r>
      <w:r w:rsidRPr="00AC1930">
        <w:t xml:space="preserve">, </w:t>
      </w:r>
      <w:r w:rsidR="0001118D" w:rsidRPr="00AC1930">
        <w:t>work alienation and self-regulation</w:t>
      </w:r>
      <w:r w:rsidRPr="00AC1930">
        <w:t>.</w:t>
      </w:r>
      <w:r w:rsidR="0001118D" w:rsidRPr="00AC1930">
        <w:t xml:space="preserve"> Partial </w:t>
      </w:r>
      <w:r w:rsidR="009E3DA8" w:rsidRPr="00AC1930">
        <w:t xml:space="preserve">least squares </w:t>
      </w:r>
      <w:r w:rsidR="0001118D" w:rsidRPr="00AC1930">
        <w:t>structural equation modelling (PLS-SEM) was employed (</w:t>
      </w:r>
      <w:proofErr w:type="spellStart"/>
      <w:r w:rsidR="0001118D" w:rsidRPr="00AC1930">
        <w:t>Ringle</w:t>
      </w:r>
      <w:proofErr w:type="spellEnd"/>
      <w:r w:rsidR="0001118D" w:rsidRPr="00AC1930">
        <w:t>/Wende/Becker 2015) to test the</w:t>
      </w:r>
      <w:r w:rsidR="00F16580" w:rsidRPr="00AC1930">
        <w:t xml:space="preserve"> proposed</w:t>
      </w:r>
      <w:r w:rsidR="0001118D" w:rsidRPr="00AC1930">
        <w:t xml:space="preserve"> </w:t>
      </w:r>
      <w:r w:rsidR="00F16580" w:rsidRPr="00AC1930">
        <w:t>model</w:t>
      </w:r>
      <w:r w:rsidR="0001118D" w:rsidRPr="00AC1930">
        <w:t xml:space="preserve">. </w:t>
      </w:r>
      <w:proofErr w:type="spellStart"/>
      <w:r w:rsidR="0001118D" w:rsidRPr="00AC1930">
        <w:t>Wetzels</w:t>
      </w:r>
      <w:proofErr w:type="spellEnd"/>
      <w:r w:rsidR="0001118D" w:rsidRPr="00AC1930">
        <w:t xml:space="preserve">, </w:t>
      </w:r>
      <w:proofErr w:type="spellStart"/>
      <w:r w:rsidR="0001118D" w:rsidRPr="00AC1930">
        <w:t>Odekerken-Schröder</w:t>
      </w:r>
      <w:proofErr w:type="spellEnd"/>
      <w:r w:rsidR="0001118D" w:rsidRPr="00AC1930">
        <w:t xml:space="preserve"> and </w:t>
      </w:r>
      <w:r w:rsidR="009E3DA8" w:rsidRPr="00AC1930">
        <w:t xml:space="preserve">van </w:t>
      </w:r>
      <w:proofErr w:type="spellStart"/>
      <w:r w:rsidR="0001118D" w:rsidRPr="00AC1930">
        <w:t>Oppen</w:t>
      </w:r>
      <w:proofErr w:type="spellEnd"/>
      <w:r w:rsidR="0001118D" w:rsidRPr="00AC1930">
        <w:t xml:space="preserve"> (2009:190) </w:t>
      </w:r>
      <w:r w:rsidR="00F16580" w:rsidRPr="00AC1930">
        <w:t>asserted</w:t>
      </w:r>
      <w:r w:rsidR="0001118D" w:rsidRPr="00AC1930">
        <w:t xml:space="preserve">: "model complexity does not pose as severe a restriction to PLS path-modelling as to covariance-based SEM since PLS path-modelling at any moment only estimates a subset of parameters." Since this </w:t>
      </w:r>
      <w:r w:rsidR="00F16580" w:rsidRPr="00AC1930">
        <w:t>research</w:t>
      </w:r>
      <w:r w:rsidR="0001118D" w:rsidRPr="00AC1930">
        <w:t xml:space="preserve"> is "predictive explanatory" according to the criteria of </w:t>
      </w:r>
      <w:proofErr w:type="spellStart"/>
      <w:r w:rsidR="0001118D" w:rsidRPr="00AC1930">
        <w:t>Henseler</w:t>
      </w:r>
      <w:proofErr w:type="spellEnd"/>
      <w:r w:rsidR="0001118D" w:rsidRPr="00AC1930">
        <w:t xml:space="preserve"> (2018), we utilised PLS-SEM as the method of analysis </w:t>
      </w:r>
      <w:r w:rsidR="009E3DA8" w:rsidRPr="00AC1930">
        <w:t>for the</w:t>
      </w:r>
      <w:r w:rsidR="0001118D" w:rsidRPr="00AC1930">
        <w:t xml:space="preserve"> following three reasons: </w:t>
      </w:r>
      <w:r w:rsidR="006D0C06" w:rsidRPr="00AC1930">
        <w:t>“</w:t>
      </w:r>
      <w:r w:rsidR="0001118D" w:rsidRPr="00AC1930">
        <w:t>(1) to test a theoretical framework from a prediction perspective</w:t>
      </w:r>
      <w:r w:rsidR="009E3DA8" w:rsidRPr="00AC1930">
        <w:t xml:space="preserve">; </w:t>
      </w:r>
      <w:r w:rsidR="0001118D" w:rsidRPr="00AC1930">
        <w:t>(2) to examine increased complexity by exploring theoretical extensions of established theories</w:t>
      </w:r>
      <w:r w:rsidR="006D0C06" w:rsidRPr="00AC1930">
        <w:t>”</w:t>
      </w:r>
      <w:r w:rsidR="0001118D" w:rsidRPr="00AC1930">
        <w:t xml:space="preserve"> (Hair et al. 2019</w:t>
      </w:r>
      <w:r w:rsidR="006D0C06" w:rsidRPr="00AC1930">
        <w:t>: 5</w:t>
      </w:r>
      <w:r w:rsidR="009E3DA8" w:rsidRPr="00AC1930">
        <w:t xml:space="preserve">); </w:t>
      </w:r>
      <w:r w:rsidR="0001118D" w:rsidRPr="00AC1930">
        <w:t xml:space="preserve">and (3) </w:t>
      </w:r>
      <w:r w:rsidR="0006158F" w:rsidRPr="00AC1930">
        <w:t xml:space="preserve">to </w:t>
      </w:r>
      <w:r w:rsidR="009753D5" w:rsidRPr="00AC1930">
        <w:t>test the mediating effect</w:t>
      </w:r>
      <w:r w:rsidR="0001118D" w:rsidRPr="00AC1930">
        <w:t xml:space="preserve"> (Hair et al. 2017).</w:t>
      </w:r>
      <w:r w:rsidR="00D9160A" w:rsidRPr="00AC1930">
        <w:t xml:space="preserve"> We employed the SPSS </w:t>
      </w:r>
      <w:r w:rsidR="0006158F" w:rsidRPr="00AC1930">
        <w:t xml:space="preserve">version </w:t>
      </w:r>
      <w:r w:rsidR="00D9160A" w:rsidRPr="00AC1930">
        <w:t xml:space="preserve">25 software </w:t>
      </w:r>
      <w:r w:rsidR="0006158F" w:rsidRPr="00AC1930">
        <w:t xml:space="preserve">to </w:t>
      </w:r>
      <w:r w:rsidR="00D9160A" w:rsidRPr="00AC1930">
        <w:t xml:space="preserve">test normality, </w:t>
      </w:r>
      <w:r w:rsidR="0006158F" w:rsidRPr="00AC1930">
        <w:t xml:space="preserve">perform </w:t>
      </w:r>
      <w:r w:rsidR="00D9160A" w:rsidRPr="00AC1930">
        <w:t>running factor analysis</w:t>
      </w:r>
      <w:r w:rsidR="0006158F" w:rsidRPr="00AC1930">
        <w:t>,</w:t>
      </w:r>
      <w:r w:rsidR="00D9160A" w:rsidRPr="00AC1930">
        <w:t xml:space="preserve"> and </w:t>
      </w:r>
      <w:r w:rsidR="0006158F" w:rsidRPr="00AC1930">
        <w:t xml:space="preserve">examine </w:t>
      </w:r>
      <w:r w:rsidR="00D9160A" w:rsidRPr="00AC1930">
        <w:t xml:space="preserve">common </w:t>
      </w:r>
      <w:r w:rsidR="00AC1930" w:rsidRPr="00AC1930">
        <w:t>method</w:t>
      </w:r>
      <w:r w:rsidR="00D9160A" w:rsidRPr="00AC1930">
        <w:t xml:space="preserve"> bias, whilst </w:t>
      </w:r>
      <w:r w:rsidR="007350FA" w:rsidRPr="00AC1930">
        <w:t xml:space="preserve">we utilized </w:t>
      </w:r>
      <w:proofErr w:type="spellStart"/>
      <w:r w:rsidR="00D9160A" w:rsidRPr="00AC1930">
        <w:t>SmartPLS</w:t>
      </w:r>
      <w:proofErr w:type="spellEnd"/>
      <w:r w:rsidR="00D9160A" w:rsidRPr="00AC1930">
        <w:t xml:space="preserve"> 3.2.9 to </w:t>
      </w:r>
      <w:r w:rsidR="007350FA" w:rsidRPr="00AC1930">
        <w:t xml:space="preserve">analyse the proposed model. </w:t>
      </w:r>
    </w:p>
    <w:p w14:paraId="6A930AD0" w14:textId="52034E35" w:rsidR="002E7E3F" w:rsidRPr="00AC1930" w:rsidRDefault="0001118D">
      <w:pPr>
        <w:pStyle w:val="Heading2"/>
        <w:keepNext w:val="0"/>
        <w:keepLines w:val="0"/>
        <w:spacing w:before="240" w:after="240"/>
        <w:rPr>
          <w:b/>
          <w:i/>
          <w:sz w:val="28"/>
          <w:szCs w:val="28"/>
        </w:rPr>
      </w:pPr>
      <w:bookmarkStart w:id="9" w:name="_4d34og8" w:colFirst="0" w:colLast="0"/>
      <w:bookmarkEnd w:id="9"/>
      <w:r w:rsidRPr="00AC1930">
        <w:rPr>
          <w:b/>
          <w:i/>
          <w:sz w:val="28"/>
          <w:szCs w:val="28"/>
        </w:rPr>
        <w:t>Context, Participants</w:t>
      </w:r>
      <w:r w:rsidR="009E3DA8" w:rsidRPr="00AC1930">
        <w:rPr>
          <w:b/>
          <w:i/>
          <w:sz w:val="28"/>
          <w:szCs w:val="28"/>
        </w:rPr>
        <w:t>,</w:t>
      </w:r>
      <w:r w:rsidRPr="00AC1930">
        <w:rPr>
          <w:b/>
          <w:i/>
          <w:sz w:val="28"/>
          <w:szCs w:val="28"/>
        </w:rPr>
        <w:t xml:space="preserve"> and Sampling</w:t>
      </w:r>
    </w:p>
    <w:p w14:paraId="2612CE37" w14:textId="09BEABD9" w:rsidR="002E7E3F" w:rsidRPr="00AC1930" w:rsidRDefault="0001118D">
      <w:r w:rsidRPr="00AC1930">
        <w:t xml:space="preserve">Studying within the Turkish context is intriguing as it is an emerging economy </w:t>
      </w:r>
      <w:r w:rsidR="009E3DA8" w:rsidRPr="00AC1930">
        <w:t>whose</w:t>
      </w:r>
      <w:r w:rsidRPr="00AC1930">
        <w:t xml:space="preserve"> cultural and social values are being </w:t>
      </w:r>
      <w:r w:rsidR="009E3DA8" w:rsidRPr="00AC1930">
        <w:t xml:space="preserve">rapidly </w:t>
      </w:r>
      <w:r w:rsidRPr="00AC1930">
        <w:t xml:space="preserve">transformed. Turkey has been considered a collectivist country, yet it is shifting towards an individualist culture in which people's attitudes and behaviours are valued to capture this transformation </w:t>
      </w:r>
      <w:r w:rsidR="002276E4" w:rsidRPr="00AC1930">
        <w:t>in</w:t>
      </w:r>
      <w:r w:rsidRPr="00AC1930">
        <w:t xml:space="preserve"> society as well as at work (</w:t>
      </w:r>
      <w:proofErr w:type="spellStart"/>
      <w:r w:rsidRPr="00AC1930">
        <w:t>Wasti</w:t>
      </w:r>
      <w:proofErr w:type="spellEnd"/>
      <w:r w:rsidRPr="00AC1930">
        <w:t xml:space="preserve"> 2002). Turkey's unique position</w:t>
      </w:r>
      <w:r w:rsidR="002276E4" w:rsidRPr="00AC1930">
        <w:t>,</w:t>
      </w:r>
      <w:r w:rsidRPr="00AC1930">
        <w:t xml:space="preserve"> where it is rooted in both Asia and Europe</w:t>
      </w:r>
      <w:r w:rsidR="002276E4" w:rsidRPr="00AC1930">
        <w:t>,</w:t>
      </w:r>
      <w:r w:rsidRPr="00AC1930">
        <w:t xml:space="preserve"> provides rich insights and vivid details about people's behaviours. The participants of this study have consisted of public </w:t>
      </w:r>
      <w:r w:rsidRPr="00AC1930">
        <w:lastRenderedPageBreak/>
        <w:t xml:space="preserve">and private sector employees and middle managers from the Eastern part of Turkey. We considered both employees and middle managers </w:t>
      </w:r>
      <w:r w:rsidR="009E3DA8" w:rsidRPr="00AC1930">
        <w:t xml:space="preserve">to be </w:t>
      </w:r>
      <w:r w:rsidRPr="00AC1930">
        <w:t>organisation members in relation to their leaders. We had a short definition for each variable to minim</w:t>
      </w:r>
      <w:r w:rsidR="007A6407" w:rsidRPr="00AC1930">
        <w:t>is</w:t>
      </w:r>
      <w:r w:rsidRPr="00AC1930">
        <w:t>e social desirability bias (Podsakoff/</w:t>
      </w:r>
      <w:proofErr w:type="spellStart"/>
      <w:r w:rsidRPr="00AC1930">
        <w:t>MacKenzie</w:t>
      </w:r>
      <w:proofErr w:type="spellEnd"/>
      <w:r w:rsidRPr="00AC1930">
        <w:t>/Lee/Podsakoff 2003). For LMX, we included a definition of leadership and</w:t>
      </w:r>
      <w:r w:rsidR="009E3DA8" w:rsidRPr="00AC1930">
        <w:t>,</w:t>
      </w:r>
      <w:r w:rsidRPr="00AC1930">
        <w:t xml:space="preserve"> based on that</w:t>
      </w:r>
      <w:r w:rsidR="009E3DA8" w:rsidRPr="00AC1930">
        <w:t xml:space="preserve">, </w:t>
      </w:r>
      <w:r w:rsidRPr="00AC1930">
        <w:t>we asked the participants to answer by considering their leaders. Hence, they replied to the questionnaires by thinking about the interactions with their leaders.</w:t>
      </w:r>
    </w:p>
    <w:p w14:paraId="3A7DE91A" w14:textId="12B4DB77" w:rsidR="002E7E3F" w:rsidRPr="00AC1930" w:rsidRDefault="0001118D">
      <w:r w:rsidRPr="00AC1930">
        <w:t xml:space="preserve">According to Law No. 657 on State Civil Servants, those who work in </w:t>
      </w:r>
      <w:r w:rsidR="00A91684" w:rsidRPr="00AC1930">
        <w:t xml:space="preserve">Turkey’s </w:t>
      </w:r>
      <w:r w:rsidRPr="00AC1930">
        <w:t xml:space="preserve">public sector are </w:t>
      </w:r>
      <w:r w:rsidR="00A91684" w:rsidRPr="00AC1930">
        <w:t xml:space="preserve">considered </w:t>
      </w:r>
      <w:r w:rsidRPr="00AC1930">
        <w:t xml:space="preserve">public servants. It is very difficult to dismiss public servants except </w:t>
      </w:r>
      <w:r w:rsidR="00A91684" w:rsidRPr="00AC1930">
        <w:t xml:space="preserve">in instances of </w:t>
      </w:r>
      <w:r w:rsidRPr="00AC1930">
        <w:t xml:space="preserve">committing disgraceful crimes based on Turkish legislation (Sural 2005). They have lifetime job security, </w:t>
      </w:r>
      <w:r w:rsidR="00A91684" w:rsidRPr="00AC1930">
        <w:t xml:space="preserve">and </w:t>
      </w:r>
      <w:r w:rsidRPr="00AC1930">
        <w:t xml:space="preserve">higher salaries with additional benefits compared to those who work in the private sector. Moreover, when civil servants retire, they are paid a substantial bonus </w:t>
      </w:r>
      <w:r w:rsidR="00A91684" w:rsidRPr="00AC1930">
        <w:t>in addition to</w:t>
      </w:r>
      <w:r w:rsidRPr="00AC1930">
        <w:t xml:space="preserve"> their pension (Top/</w:t>
      </w:r>
      <w:proofErr w:type="spellStart"/>
      <w:r w:rsidRPr="00AC1930">
        <w:t>Akdere</w:t>
      </w:r>
      <w:proofErr w:type="spellEnd"/>
      <w:r w:rsidRPr="00AC1930">
        <w:t>/</w:t>
      </w:r>
      <w:proofErr w:type="spellStart"/>
      <w:r w:rsidRPr="00AC1930">
        <w:t>Tarcan</w:t>
      </w:r>
      <w:proofErr w:type="spellEnd"/>
      <w:r w:rsidRPr="00AC1930">
        <w:t xml:space="preserve"> 2015). Based on the salient differences of sectors, it was interesting to investigate how participants behave in different sectors.</w:t>
      </w:r>
    </w:p>
    <w:p w14:paraId="0B644B1D" w14:textId="7B207AB7" w:rsidR="002E7E3F" w:rsidRPr="00AC1930" w:rsidRDefault="0001118D">
      <w:r w:rsidRPr="00AC1930">
        <w:t>In terms of sampling, we followed the Convenience Sampling method to conduct this research in the Eastern part of Turkey as it provided several benefits in terms of accessibility and availability. The main reason for choosing Convenience Sampling is that it is simply available to the researcher by virtue of its accessibility (Bryman 2016). To enhance the external validity and representativeness of data collection, we considered different types of business (i.e.</w:t>
      </w:r>
      <w:r w:rsidR="00A91684" w:rsidRPr="00AC1930">
        <w:t>,</w:t>
      </w:r>
      <w:r w:rsidRPr="00AC1930">
        <w:t xml:space="preserve"> </w:t>
      </w:r>
      <w:proofErr w:type="gramStart"/>
      <w:r w:rsidRPr="00AC1930">
        <w:t>private</w:t>
      </w:r>
      <w:proofErr w:type="gramEnd"/>
      <w:r w:rsidRPr="00AC1930">
        <w:t xml:space="preserve"> and public sector) and sizes (e.g.</w:t>
      </w:r>
      <w:r w:rsidR="00A91684" w:rsidRPr="00AC1930">
        <w:t>,</w:t>
      </w:r>
      <w:r w:rsidRPr="00AC1930">
        <w:t xml:space="preserve"> small and medium) of organisation. The data was collected via </w:t>
      </w:r>
      <w:r w:rsidR="00A91684" w:rsidRPr="00AC1930">
        <w:t xml:space="preserve">the </w:t>
      </w:r>
      <w:r w:rsidRPr="00AC1930">
        <w:t xml:space="preserve">Google </w:t>
      </w:r>
      <w:r w:rsidR="00A91684" w:rsidRPr="00AC1930">
        <w:t xml:space="preserve">Forms </w:t>
      </w:r>
      <w:r w:rsidRPr="00AC1930">
        <w:t>data collection platform from the four biggest cities in the region, i.e.</w:t>
      </w:r>
      <w:r w:rsidR="00A91684" w:rsidRPr="00AC1930">
        <w:t>,</w:t>
      </w:r>
      <w:r w:rsidRPr="00AC1930">
        <w:t xml:space="preserve"> Erzurum, </w:t>
      </w:r>
      <w:r w:rsidR="0070215B" w:rsidRPr="00AC1930">
        <w:t>V</w:t>
      </w:r>
      <w:r w:rsidR="00A91684" w:rsidRPr="00AC1930">
        <w:t>an</w:t>
      </w:r>
      <w:r w:rsidR="00AC1930">
        <w:t>,</w:t>
      </w:r>
      <w:r w:rsidRPr="00AC1930">
        <w:t xml:space="preserve"> </w:t>
      </w:r>
      <w:proofErr w:type="spellStart"/>
      <w:r w:rsidRPr="00AC1930">
        <w:t>Elazığ</w:t>
      </w:r>
      <w:proofErr w:type="spellEnd"/>
      <w:r w:rsidRPr="00AC1930">
        <w:t xml:space="preserve"> and Malatya. According to Evans and Mathur (2005:197), the major strengths of online data collection are "flexibility, speed and timeliness, convenience, ease of data entry and analysis, ease of follow-up, controlled sampling, large sample, easy to obtain, and question diversity". We preferred </w:t>
      </w:r>
      <w:r w:rsidR="005456E3" w:rsidRPr="00AC1930">
        <w:t xml:space="preserve">to </w:t>
      </w:r>
      <w:r w:rsidRPr="00AC1930">
        <w:t>deliver the questionnaires online because of the above</w:t>
      </w:r>
      <w:r w:rsidR="005456E3" w:rsidRPr="00AC1930">
        <w:t>-</w:t>
      </w:r>
      <w:r w:rsidRPr="00AC1930">
        <w:lastRenderedPageBreak/>
        <w:t xml:space="preserve">mentioned strengths of </w:t>
      </w:r>
      <w:r w:rsidR="005456E3" w:rsidRPr="00AC1930">
        <w:t xml:space="preserve">this </w:t>
      </w:r>
      <w:r w:rsidRPr="00AC1930">
        <w:t>method. We distributed the survey to 1100 organisation members</w:t>
      </w:r>
      <w:r w:rsidR="008E27D3" w:rsidRPr="00AC1930">
        <w:t xml:space="preserve"> (employees and middle managers)</w:t>
      </w:r>
      <w:r w:rsidRPr="00AC1930">
        <w:t>.</w:t>
      </w:r>
      <w:r w:rsidR="008E27D3" w:rsidRPr="00AC1930">
        <w:t xml:space="preserve"> Since we asked employees and middle managers to evaluate their relationships with their leader</w:t>
      </w:r>
      <w:r w:rsidR="005456E3" w:rsidRPr="00AC1930">
        <w:t>s</w:t>
      </w:r>
      <w:r w:rsidR="008E27D3" w:rsidRPr="00AC1930">
        <w:t>, we did not distribute the questionnaires to upper-level managers</w:t>
      </w:r>
      <w:r w:rsidR="005456E3" w:rsidRPr="00AC1930">
        <w:t>,</w:t>
      </w:r>
      <w:r w:rsidR="008E27D3" w:rsidRPr="00AC1930">
        <w:t xml:space="preserve"> such as CEOs.</w:t>
      </w:r>
      <w:r w:rsidRPr="00AC1930">
        <w:t xml:space="preserve"> Initially, a sample of 324 respondents participated in the surveys. </w:t>
      </w:r>
      <w:r w:rsidR="00C876FA" w:rsidRPr="00AC1930">
        <w:t>However, 12 questionnaires were not included in the analysis because most of the</w:t>
      </w:r>
      <w:r w:rsidR="0006158F" w:rsidRPr="00AC1930">
        <w:t>ir</w:t>
      </w:r>
      <w:r w:rsidR="00C876FA" w:rsidRPr="00AC1930">
        <w:t xml:space="preserve"> items were either unanswered or answered with the same pattern. </w:t>
      </w:r>
      <w:r w:rsidRPr="00AC1930">
        <w:t xml:space="preserve">Also, </w:t>
      </w:r>
      <w:r w:rsidR="005456E3" w:rsidRPr="00AC1930">
        <w:t xml:space="preserve">two </w:t>
      </w:r>
      <w:r w:rsidRPr="00AC1930">
        <w:t xml:space="preserve">of the </w:t>
      </w:r>
      <w:r w:rsidR="00C876FA" w:rsidRPr="00AC1930">
        <w:t xml:space="preserve">questionnaires </w:t>
      </w:r>
      <w:r w:rsidRPr="00AC1930">
        <w:t>were not</w:t>
      </w:r>
      <w:r w:rsidR="00C876FA" w:rsidRPr="00AC1930">
        <w:t xml:space="preserve"> included in the evaluation</w:t>
      </w:r>
      <w:r w:rsidRPr="00AC1930">
        <w:t xml:space="preserve"> because they constitute</w:t>
      </w:r>
      <w:r w:rsidR="005456E3" w:rsidRPr="00AC1930">
        <w:t>d</w:t>
      </w:r>
      <w:r w:rsidRPr="00AC1930">
        <w:t xml:space="preserve"> outliers </w:t>
      </w:r>
      <w:r w:rsidR="00C876FA" w:rsidRPr="00AC1930">
        <w:t>according to</w:t>
      </w:r>
      <w:r w:rsidRPr="00AC1930">
        <w:t xml:space="preserve"> </w:t>
      </w:r>
      <w:r w:rsidR="0006158F" w:rsidRPr="00AC1930">
        <w:t xml:space="preserve">the </w:t>
      </w:r>
      <w:proofErr w:type="spellStart"/>
      <w:r w:rsidRPr="00AC1930">
        <w:t>Mahalanobis</w:t>
      </w:r>
      <w:proofErr w:type="spellEnd"/>
      <w:r w:rsidRPr="00AC1930">
        <w:t xml:space="preserve"> distance determination</w:t>
      </w:r>
      <w:r w:rsidR="00C876FA" w:rsidRPr="00AC1930">
        <w:t xml:space="preserve"> method</w:t>
      </w:r>
      <w:r w:rsidRPr="00AC1930">
        <w:t xml:space="preserve">. Thus, we obtained 310 useful questionnaires </w:t>
      </w:r>
      <w:r w:rsidR="005456E3" w:rsidRPr="00AC1930">
        <w:t xml:space="preserve">with </w:t>
      </w:r>
      <w:r w:rsidRPr="00AC1930">
        <w:t xml:space="preserve">a response rate of 28.18%. The questionnaires </w:t>
      </w:r>
      <w:r w:rsidR="005456E3" w:rsidRPr="00AC1930">
        <w:t xml:space="preserve">that </w:t>
      </w:r>
      <w:r w:rsidRPr="00AC1930">
        <w:t xml:space="preserve">we distributed had a cover section </w:t>
      </w:r>
      <w:r w:rsidR="002276E4" w:rsidRPr="00AC1930">
        <w:t>that</w:t>
      </w:r>
      <w:r w:rsidRPr="00AC1930">
        <w:t xml:space="preserve"> </w:t>
      </w:r>
      <w:r w:rsidR="005456E3" w:rsidRPr="00AC1930">
        <w:t xml:space="preserve">included a statement of </w:t>
      </w:r>
      <w:r w:rsidRPr="00AC1930">
        <w:t xml:space="preserve">the purpose of the study, absolute confidentiality, and </w:t>
      </w:r>
      <w:r w:rsidR="005456E3" w:rsidRPr="00AC1930">
        <w:t xml:space="preserve">that </w:t>
      </w:r>
      <w:r w:rsidRPr="00AC1930">
        <w:t xml:space="preserve">participation </w:t>
      </w:r>
      <w:r w:rsidR="005456E3" w:rsidRPr="00AC1930">
        <w:t xml:space="preserve">was </w:t>
      </w:r>
      <w:r w:rsidRPr="00AC1930">
        <w:t xml:space="preserve">voluntary </w:t>
      </w:r>
      <w:proofErr w:type="gramStart"/>
      <w:r w:rsidRPr="00AC1930">
        <w:t>in order to</w:t>
      </w:r>
      <w:proofErr w:type="gramEnd"/>
      <w:r w:rsidRPr="00AC1930">
        <w:t xml:space="preserve"> minim</w:t>
      </w:r>
      <w:r w:rsidR="007A6407" w:rsidRPr="00AC1930">
        <w:t>is</w:t>
      </w:r>
      <w:r w:rsidRPr="00AC1930">
        <w:t xml:space="preserve">e social desirability bias (Podsakoff et al. 2003). In this way, we intended to make the participants more comfortable </w:t>
      </w:r>
      <w:proofErr w:type="gramStart"/>
      <w:r w:rsidRPr="00AC1930">
        <w:t xml:space="preserve">with </w:t>
      </w:r>
      <w:r w:rsidR="005456E3" w:rsidRPr="00AC1930">
        <w:t>regard to</w:t>
      </w:r>
      <w:proofErr w:type="gramEnd"/>
      <w:r w:rsidR="005456E3" w:rsidRPr="00AC1930">
        <w:t xml:space="preserve"> </w:t>
      </w:r>
      <w:r w:rsidRPr="00AC1930">
        <w:t xml:space="preserve">sharing their true feelings. </w:t>
      </w:r>
    </w:p>
    <w:p w14:paraId="21A241A6" w14:textId="177CCC40" w:rsidR="002E7E3F" w:rsidRPr="00AC1930" w:rsidRDefault="0001118D">
      <w:r w:rsidRPr="00AC1930">
        <w:t>The demographic structure of the participants</w:t>
      </w:r>
      <w:r w:rsidR="00CE6B93" w:rsidRPr="00AC1930">
        <w:t xml:space="preserve"> was as follows</w:t>
      </w:r>
      <w:r w:rsidRPr="00AC1930">
        <w:t xml:space="preserve">: 39% of participants </w:t>
      </w:r>
      <w:r w:rsidR="00CE6B93" w:rsidRPr="00AC1930">
        <w:t xml:space="preserve">were </w:t>
      </w:r>
      <w:r w:rsidRPr="00AC1930">
        <w:t>female (</w:t>
      </w:r>
      <w:r w:rsidRPr="00AC1930">
        <w:rPr>
          <w:i/>
        </w:rPr>
        <w:t>n</w:t>
      </w:r>
      <w:r w:rsidR="00CE6B93" w:rsidRPr="00AC1930">
        <w:rPr>
          <w:i/>
        </w:rPr>
        <w:t xml:space="preserve"> </w:t>
      </w:r>
      <w:r w:rsidRPr="00AC1930">
        <w:t>=</w:t>
      </w:r>
      <w:r w:rsidR="00CE6B93" w:rsidRPr="00AC1930">
        <w:t xml:space="preserve"> </w:t>
      </w:r>
      <w:r w:rsidRPr="00AC1930">
        <w:t xml:space="preserve">121), and 61% of participants </w:t>
      </w:r>
      <w:r w:rsidR="00CE6B93" w:rsidRPr="00AC1930">
        <w:t xml:space="preserve">were </w:t>
      </w:r>
      <w:r w:rsidRPr="00AC1930">
        <w:t>male (</w:t>
      </w:r>
      <w:r w:rsidRPr="00AC1930">
        <w:rPr>
          <w:i/>
        </w:rPr>
        <w:t>n</w:t>
      </w:r>
      <w:r w:rsidR="00CE6B93" w:rsidRPr="00AC1930">
        <w:rPr>
          <w:i/>
        </w:rPr>
        <w:t xml:space="preserve"> </w:t>
      </w:r>
      <w:r w:rsidRPr="00AC1930">
        <w:t>=</w:t>
      </w:r>
      <w:r w:rsidR="00CE6B93" w:rsidRPr="00AC1930">
        <w:t xml:space="preserve"> </w:t>
      </w:r>
      <w:r w:rsidRPr="00AC1930">
        <w:t>189). 66.1% of participants (</w:t>
      </w:r>
      <w:r w:rsidRPr="00AC1930">
        <w:rPr>
          <w:i/>
        </w:rPr>
        <w:t>n</w:t>
      </w:r>
      <w:r w:rsidR="00CE6B93" w:rsidRPr="00AC1930">
        <w:rPr>
          <w:i/>
        </w:rPr>
        <w:t xml:space="preserve"> </w:t>
      </w:r>
      <w:r w:rsidRPr="00AC1930">
        <w:t>=</w:t>
      </w:r>
      <w:r w:rsidR="00CE6B93" w:rsidRPr="00AC1930">
        <w:t xml:space="preserve"> </w:t>
      </w:r>
      <w:r w:rsidRPr="00AC1930">
        <w:t>205) reported that they work in the public sector, while 33.9% work in the private sector (</w:t>
      </w:r>
      <w:r w:rsidRPr="00AC1930">
        <w:rPr>
          <w:i/>
        </w:rPr>
        <w:t>n</w:t>
      </w:r>
      <w:r w:rsidR="00CE6B93" w:rsidRPr="00AC1930">
        <w:rPr>
          <w:i/>
        </w:rPr>
        <w:t xml:space="preserve"> </w:t>
      </w:r>
      <w:r w:rsidRPr="00AC1930">
        <w:t>=</w:t>
      </w:r>
      <w:r w:rsidR="00CE6B93" w:rsidRPr="00AC1930">
        <w:t xml:space="preserve"> </w:t>
      </w:r>
      <w:r w:rsidRPr="00AC1930">
        <w:t xml:space="preserve">105). 86.1% of respondents </w:t>
      </w:r>
      <w:r w:rsidR="00CE6B93" w:rsidRPr="00AC1930">
        <w:t xml:space="preserve">were </w:t>
      </w:r>
      <w:r w:rsidRPr="00AC1930">
        <w:t>employees (</w:t>
      </w:r>
      <w:r w:rsidRPr="00AC1930">
        <w:rPr>
          <w:i/>
        </w:rPr>
        <w:t>n</w:t>
      </w:r>
      <w:r w:rsidR="00CE6B93" w:rsidRPr="00AC1930">
        <w:rPr>
          <w:i/>
        </w:rPr>
        <w:t xml:space="preserve"> </w:t>
      </w:r>
      <w:r w:rsidRPr="00AC1930">
        <w:t>=</w:t>
      </w:r>
      <w:r w:rsidR="00CE6B93" w:rsidRPr="00AC1930">
        <w:t xml:space="preserve"> </w:t>
      </w:r>
      <w:r w:rsidRPr="00AC1930">
        <w:t xml:space="preserve">267), </w:t>
      </w:r>
      <w:r w:rsidR="00CE6B93" w:rsidRPr="00AC1930">
        <w:t xml:space="preserve">and </w:t>
      </w:r>
      <w:r w:rsidRPr="00AC1930">
        <w:t xml:space="preserve">13.9% </w:t>
      </w:r>
      <w:r w:rsidR="00CE6B93" w:rsidRPr="00AC1930">
        <w:t>were</w:t>
      </w:r>
      <w:r w:rsidRPr="00AC1930">
        <w:t xml:space="preserve"> middle managers (</w:t>
      </w:r>
      <w:r w:rsidRPr="00AC1930">
        <w:rPr>
          <w:i/>
        </w:rPr>
        <w:t>n</w:t>
      </w:r>
      <w:r w:rsidR="00CE6B93" w:rsidRPr="00AC1930">
        <w:rPr>
          <w:i/>
        </w:rPr>
        <w:t xml:space="preserve"> </w:t>
      </w:r>
      <w:r w:rsidRPr="00AC1930">
        <w:t>=</w:t>
      </w:r>
      <w:r w:rsidR="00CE6B93" w:rsidRPr="00AC1930">
        <w:t xml:space="preserve"> </w:t>
      </w:r>
      <w:r w:rsidRPr="00AC1930">
        <w:t xml:space="preserve">43). The mean age of </w:t>
      </w:r>
      <w:r w:rsidR="00CE6B93" w:rsidRPr="00AC1930">
        <w:t xml:space="preserve">the </w:t>
      </w:r>
      <w:r w:rsidRPr="00AC1930">
        <w:t>participants was 32.64 years, and the mean tenure of the</w:t>
      </w:r>
      <w:r w:rsidR="00CE6B93" w:rsidRPr="00AC1930">
        <w:t>ir</w:t>
      </w:r>
      <w:r w:rsidRPr="00AC1930">
        <w:t xml:space="preserve"> current job</w:t>
      </w:r>
      <w:r w:rsidR="00CE6B93" w:rsidRPr="00AC1930">
        <w:t>s</w:t>
      </w:r>
      <w:r w:rsidRPr="00AC1930">
        <w:t xml:space="preserve"> was 5.5 years.</w:t>
      </w:r>
    </w:p>
    <w:p w14:paraId="68BD33ED" w14:textId="17CC8543" w:rsidR="002E7E3F" w:rsidRPr="00AC1930" w:rsidRDefault="0001118D">
      <w:r w:rsidRPr="00AC1930">
        <w:t>In terms of defining sample size, we followed the Power Analysis procedure (</w:t>
      </w:r>
      <w:proofErr w:type="spellStart"/>
      <w:r w:rsidRPr="00AC1930">
        <w:t>Faul</w:t>
      </w:r>
      <w:proofErr w:type="spellEnd"/>
      <w:r w:rsidRPr="00AC1930">
        <w:t>/</w:t>
      </w:r>
      <w:proofErr w:type="spellStart"/>
      <w:r w:rsidRPr="00AC1930">
        <w:t>Erdfelder</w:t>
      </w:r>
      <w:proofErr w:type="spellEnd"/>
      <w:r w:rsidRPr="00AC1930">
        <w:t xml:space="preserve">/Lang/Buchner 2007). In this context, we </w:t>
      </w:r>
      <w:r w:rsidR="00611F1D" w:rsidRPr="00AC1930">
        <w:t>utilized</w:t>
      </w:r>
      <w:r w:rsidRPr="00AC1930">
        <w:t xml:space="preserve"> </w:t>
      </w:r>
      <w:r w:rsidR="00CE6B93" w:rsidRPr="00AC1930">
        <w:t xml:space="preserve">the </w:t>
      </w:r>
      <w:r w:rsidRPr="00AC1930">
        <w:t xml:space="preserve">G*Power v3.1.9.6 software </w:t>
      </w:r>
      <w:r w:rsidR="0006158F" w:rsidRPr="00AC1930">
        <w:t xml:space="preserve">to calculate </w:t>
      </w:r>
      <w:r w:rsidRPr="00AC1930">
        <w:t>the sample size. We assessed that a sample size of 86 was sufficient</w:t>
      </w:r>
      <w:r w:rsidR="00CE6B93" w:rsidRPr="00AC1930">
        <w:t>,</w:t>
      </w:r>
      <w:r w:rsidRPr="00AC1930">
        <w:t xml:space="preserve"> with a statistical power of 0.95 for each group. Our sample size exceeded the sample size threshold for each group according to the power analysis</w:t>
      </w:r>
      <w:r w:rsidR="00CE6B93" w:rsidRPr="00AC1930">
        <w:t>,</w:t>
      </w:r>
      <w:r w:rsidRPr="00AC1930">
        <w:t xml:space="preserve"> as the minimum power requirement is 0.8 (</w:t>
      </w:r>
      <w:proofErr w:type="spellStart"/>
      <w:r w:rsidRPr="00AC1930">
        <w:t>Rasoolimanesh</w:t>
      </w:r>
      <w:proofErr w:type="spellEnd"/>
      <w:r w:rsidRPr="00AC1930">
        <w:t>/</w:t>
      </w:r>
      <w:proofErr w:type="spellStart"/>
      <w:r w:rsidRPr="00AC1930">
        <w:t>Roldán</w:t>
      </w:r>
      <w:proofErr w:type="spellEnd"/>
      <w:r w:rsidRPr="00AC1930">
        <w:t>/Jaafar/</w:t>
      </w:r>
      <w:proofErr w:type="spellStart"/>
      <w:r w:rsidRPr="00AC1930">
        <w:t>Ramayah</w:t>
      </w:r>
      <w:proofErr w:type="spellEnd"/>
      <w:r w:rsidRPr="00AC1930">
        <w:t xml:space="preserve"> 2017).</w:t>
      </w:r>
    </w:p>
    <w:p w14:paraId="3D7DF4E6" w14:textId="77777777" w:rsidR="002E7E3F" w:rsidRPr="00AC1930" w:rsidRDefault="0001118D">
      <w:pPr>
        <w:pStyle w:val="Heading2"/>
        <w:keepNext w:val="0"/>
        <w:keepLines w:val="0"/>
        <w:spacing w:before="240" w:after="240"/>
        <w:rPr>
          <w:b/>
          <w:i/>
          <w:sz w:val="28"/>
          <w:szCs w:val="28"/>
        </w:rPr>
      </w:pPr>
      <w:bookmarkStart w:id="10" w:name="_2s8eyo1" w:colFirst="0" w:colLast="0"/>
      <w:bookmarkEnd w:id="10"/>
      <w:r w:rsidRPr="00AC1930">
        <w:rPr>
          <w:b/>
          <w:i/>
          <w:sz w:val="28"/>
          <w:szCs w:val="28"/>
        </w:rPr>
        <w:lastRenderedPageBreak/>
        <w:t>Measures</w:t>
      </w:r>
    </w:p>
    <w:p w14:paraId="2428E151" w14:textId="0B605629" w:rsidR="002E7E3F" w:rsidRPr="00AC1930" w:rsidRDefault="0001118D">
      <w:r w:rsidRPr="00AC1930">
        <w:t xml:space="preserve">In this study, we used the scale </w:t>
      </w:r>
      <w:r w:rsidR="00255B8B" w:rsidRPr="00AC1930">
        <w:t xml:space="preserve">developed by </w:t>
      </w:r>
      <w:r w:rsidRPr="00AC1930">
        <w:t xml:space="preserve">Wayne, Shore, and Liden (1997) to collect data for </w:t>
      </w:r>
      <w:r w:rsidR="002276E4" w:rsidRPr="00AC1930">
        <w:t xml:space="preserve">the </w:t>
      </w:r>
      <w:r w:rsidRPr="00AC1930">
        <w:t xml:space="preserve">LMX variable. This scale consists of </w:t>
      </w:r>
      <w:r w:rsidR="00255B8B" w:rsidRPr="00AC1930">
        <w:t xml:space="preserve">seven </w:t>
      </w:r>
      <w:r w:rsidRPr="00AC1930">
        <w:t>items. Sample items are "My manager has enough confidence in me that he/she would defend and justify my decisions if I was not present to do so" and "My manager understands my problems and needs".</w:t>
      </w:r>
    </w:p>
    <w:p w14:paraId="4F589806" w14:textId="4DEBAB1F" w:rsidR="002E7E3F" w:rsidRPr="00AC1930" w:rsidRDefault="0006158F">
      <w:r w:rsidRPr="00AC1930">
        <w:t>To</w:t>
      </w:r>
      <w:r w:rsidR="00F47AB6" w:rsidRPr="00AC1930">
        <w:t xml:space="preserve"> measure</w:t>
      </w:r>
      <w:r w:rsidR="0001118D" w:rsidRPr="00AC1930">
        <w:t xml:space="preserve"> the perception of work alienation, the scale developed by Nair and Vohra (2009) was employed in our study. The scale has </w:t>
      </w:r>
      <w:r w:rsidR="00255B8B" w:rsidRPr="00AC1930">
        <w:t xml:space="preserve">eight </w:t>
      </w:r>
      <w:r w:rsidR="0001118D" w:rsidRPr="00AC1930">
        <w:t>items. Some example items are "I do not enjoy my work" and "I do not feel like putting in my best effort at work".</w:t>
      </w:r>
    </w:p>
    <w:p w14:paraId="14CCEF7B" w14:textId="66D2E34D" w:rsidR="002E7E3F" w:rsidRPr="00AC1930" w:rsidRDefault="002276E4">
      <w:r w:rsidRPr="00AC1930">
        <w:t>The s</w:t>
      </w:r>
      <w:r w:rsidR="0001118D" w:rsidRPr="00AC1930">
        <w:t xml:space="preserve">elf-regulation variable was measured using the </w:t>
      </w:r>
      <w:r w:rsidR="00255B8B" w:rsidRPr="00AC1930">
        <w:t>seven</w:t>
      </w:r>
      <w:r w:rsidR="0001118D" w:rsidRPr="00AC1930">
        <w:t xml:space="preserve">-item self-regulation scale developed by </w:t>
      </w:r>
      <w:proofErr w:type="spellStart"/>
      <w:r w:rsidR="0001118D" w:rsidRPr="00AC1930">
        <w:t>Luszczynska</w:t>
      </w:r>
      <w:proofErr w:type="spellEnd"/>
      <w:r w:rsidR="0001118D" w:rsidRPr="00AC1930">
        <w:t xml:space="preserve">, Diehl, Gutiérrez-Dona, </w:t>
      </w:r>
      <w:proofErr w:type="spellStart"/>
      <w:r w:rsidR="0001118D" w:rsidRPr="00AC1930">
        <w:t>Kuusinen</w:t>
      </w:r>
      <w:proofErr w:type="spellEnd"/>
      <w:r w:rsidR="0001118D" w:rsidRPr="00AC1930">
        <w:t xml:space="preserve">, and Schwarzer (2004). Sample items are "If an activity arouses my feelings too much, I can calm myself down so that I can continue with the activity soon" and "I can control my thoughts from distracting me from the task at hand". Tenure </w:t>
      </w:r>
      <w:proofErr w:type="gramStart"/>
      <w:r w:rsidR="0001118D" w:rsidRPr="00AC1930">
        <w:t xml:space="preserve">was considered </w:t>
      </w:r>
      <w:r w:rsidR="009F7E6A" w:rsidRPr="00AC1930">
        <w:t>to be</w:t>
      </w:r>
      <w:proofErr w:type="gramEnd"/>
      <w:r w:rsidR="009F7E6A" w:rsidRPr="00AC1930">
        <w:t xml:space="preserve"> </w:t>
      </w:r>
      <w:r w:rsidR="0001118D" w:rsidRPr="00AC1930">
        <w:t xml:space="preserve">a </w:t>
      </w:r>
      <w:r w:rsidR="009F7E6A" w:rsidRPr="00AC1930">
        <w:t>moderat</w:t>
      </w:r>
      <w:r w:rsidR="00220674" w:rsidRPr="00AC1930">
        <w:t>i</w:t>
      </w:r>
      <w:r w:rsidR="009F7E6A" w:rsidRPr="00AC1930">
        <w:t xml:space="preserve">ng </w:t>
      </w:r>
      <w:r w:rsidR="0001118D" w:rsidRPr="00AC1930">
        <w:t xml:space="preserve">variable in the research model. We used gender and age as control variables. Besides this, we conducted a multi-group analysis by sector variable to compare </w:t>
      </w:r>
      <w:r w:rsidR="009F7E6A" w:rsidRPr="00AC1930">
        <w:t xml:space="preserve">the </w:t>
      </w:r>
      <w:r w:rsidR="0001118D" w:rsidRPr="00AC1930">
        <w:t xml:space="preserve">private and public sectors. All the scales were five-point </w:t>
      </w:r>
      <w:r w:rsidR="0006158F" w:rsidRPr="00AC1930">
        <w:t>Likert-</w:t>
      </w:r>
      <w:r w:rsidR="000B53C6" w:rsidRPr="00AC1930">
        <w:t>type</w:t>
      </w:r>
      <w:r w:rsidR="0001118D" w:rsidRPr="00AC1930">
        <w:t xml:space="preserve"> (1=Strongly Disagree, 5=Strongly Agree). The original scales were translated from English to Turkish using the parallel blind technique (</w:t>
      </w:r>
      <w:proofErr w:type="spellStart"/>
      <w:r w:rsidR="0001118D" w:rsidRPr="00AC1930">
        <w:t>Brislin</w:t>
      </w:r>
      <w:proofErr w:type="spellEnd"/>
      <w:r w:rsidR="0001118D" w:rsidRPr="00AC1930">
        <w:t xml:space="preserve"> 1980). We asked two translators who </w:t>
      </w:r>
      <w:r w:rsidR="009F7E6A" w:rsidRPr="00AC1930">
        <w:t xml:space="preserve">were </w:t>
      </w:r>
      <w:r w:rsidR="0001118D" w:rsidRPr="00AC1930">
        <w:t xml:space="preserve">fluent in </w:t>
      </w:r>
      <w:r w:rsidR="009F7E6A" w:rsidRPr="00AC1930">
        <w:t xml:space="preserve">the </w:t>
      </w:r>
      <w:r w:rsidR="0001118D" w:rsidRPr="00AC1930">
        <w:t>two languages to translate the scales. First, they independently prepared their versions; after that, they c</w:t>
      </w:r>
      <w:r w:rsidR="008E27D3" w:rsidRPr="00AC1930">
        <w:t>ompared</w:t>
      </w:r>
      <w:r w:rsidR="0001118D" w:rsidRPr="00AC1930">
        <w:t xml:space="preserve"> </w:t>
      </w:r>
      <w:r w:rsidR="009F7E6A" w:rsidRPr="00AC1930">
        <w:t xml:space="preserve">the </w:t>
      </w:r>
      <w:r w:rsidR="0001118D" w:rsidRPr="00AC1930">
        <w:t xml:space="preserve">two separate translations. They finalised the translations after resolving the differences that occurred during their meeting. The translators presented the final version of </w:t>
      </w:r>
      <w:r w:rsidR="009F7E6A" w:rsidRPr="00AC1930">
        <w:t xml:space="preserve">the </w:t>
      </w:r>
      <w:r w:rsidR="0001118D" w:rsidRPr="00AC1930">
        <w:t>scales to us</w:t>
      </w:r>
      <w:r w:rsidRPr="00AC1930">
        <w:t>,</w:t>
      </w:r>
      <w:r w:rsidR="0001118D" w:rsidRPr="00AC1930">
        <w:t xml:space="preserve"> which was used for this study. </w:t>
      </w:r>
    </w:p>
    <w:p w14:paraId="150BF83C" w14:textId="77777777" w:rsidR="002E7E3F" w:rsidRPr="00AC1930" w:rsidRDefault="0001118D">
      <w:pPr>
        <w:pStyle w:val="Heading2"/>
        <w:keepNext w:val="0"/>
        <w:keepLines w:val="0"/>
        <w:spacing w:before="240" w:after="240"/>
        <w:rPr>
          <w:b/>
          <w:i/>
          <w:sz w:val="28"/>
          <w:szCs w:val="28"/>
        </w:rPr>
      </w:pPr>
      <w:bookmarkStart w:id="11" w:name="_17dp8vu" w:colFirst="0" w:colLast="0"/>
      <w:bookmarkEnd w:id="11"/>
      <w:r w:rsidRPr="00AC1930">
        <w:rPr>
          <w:b/>
          <w:i/>
          <w:sz w:val="28"/>
          <w:szCs w:val="28"/>
        </w:rPr>
        <w:t>Assessment of Common Method Bias Test</w:t>
      </w:r>
    </w:p>
    <w:p w14:paraId="073ED245" w14:textId="384B3561" w:rsidR="002E7E3F" w:rsidRPr="00AC1930" w:rsidRDefault="0001118D">
      <w:r w:rsidRPr="00AC1930">
        <w:lastRenderedPageBreak/>
        <w:t xml:space="preserve">As we collected the data from all the organisation members simultaneously, </w:t>
      </w:r>
      <w:r w:rsidR="000B25A1" w:rsidRPr="00AC1930">
        <w:t xml:space="preserve">it was anticipated that </w:t>
      </w:r>
      <w:r w:rsidRPr="00AC1930">
        <w:t>common</w:t>
      </w:r>
      <w:r w:rsidR="000B25A1" w:rsidRPr="00AC1930">
        <w:t xml:space="preserve"> </w:t>
      </w:r>
      <w:r w:rsidRPr="00AC1930">
        <w:t>method variance (CMV) would be a problem. We conducted the single</w:t>
      </w:r>
      <w:r w:rsidR="00850EC5" w:rsidRPr="00AC1930">
        <w:t xml:space="preserve"> </w:t>
      </w:r>
      <w:r w:rsidRPr="00AC1930">
        <w:t xml:space="preserve">factor test of Harman (1967) </w:t>
      </w:r>
      <w:proofErr w:type="gramStart"/>
      <w:r w:rsidRPr="00AC1930">
        <w:t>in order to</w:t>
      </w:r>
      <w:proofErr w:type="gramEnd"/>
      <w:r w:rsidRPr="00AC1930">
        <w:t xml:space="preserve"> test </w:t>
      </w:r>
      <w:r w:rsidR="000B25A1" w:rsidRPr="00AC1930">
        <w:t xml:space="preserve">for </w:t>
      </w:r>
      <w:r w:rsidRPr="00AC1930">
        <w:t xml:space="preserve">CMV. </w:t>
      </w:r>
      <w:r w:rsidR="000B53C6" w:rsidRPr="00AC1930">
        <w:rPr>
          <w:lang w:val="en"/>
        </w:rPr>
        <w:t xml:space="preserve">Accordingly, in </w:t>
      </w:r>
      <w:r w:rsidR="0006158F" w:rsidRPr="00AC1930">
        <w:rPr>
          <w:lang w:val="en"/>
        </w:rPr>
        <w:t xml:space="preserve">the </w:t>
      </w:r>
      <w:r w:rsidR="000B53C6" w:rsidRPr="00AC1930">
        <w:rPr>
          <w:lang w:val="en"/>
        </w:rPr>
        <w:t>principal component analysis, all items were analyzed under a single factor without rotation</w:t>
      </w:r>
      <w:r w:rsidR="000B53C6" w:rsidRPr="00AC1930">
        <w:t xml:space="preserve"> </w:t>
      </w:r>
      <w:r w:rsidRPr="00AC1930">
        <w:t xml:space="preserve">(Podsakoff et al. 2003) </w:t>
      </w:r>
      <w:r w:rsidR="000B25A1" w:rsidRPr="00AC1930">
        <w:t xml:space="preserve">using the </w:t>
      </w:r>
      <w:r w:rsidRPr="00AC1930">
        <w:t xml:space="preserve">SPSS software. The </w:t>
      </w:r>
      <w:r w:rsidR="000B25A1" w:rsidRPr="00AC1930">
        <w:t xml:space="preserve">extent of the </w:t>
      </w:r>
      <w:r w:rsidRPr="00AC1930">
        <w:t xml:space="preserve">explained variance </w:t>
      </w:r>
      <w:r w:rsidR="000B25A1" w:rsidRPr="00AC1930">
        <w:t>was</w:t>
      </w:r>
      <w:r w:rsidRPr="00AC1930">
        <w:t xml:space="preserve"> 31.34%. </w:t>
      </w:r>
      <w:r w:rsidR="00881FF4" w:rsidRPr="00AC1930">
        <w:rPr>
          <w:lang w:val="en"/>
        </w:rPr>
        <w:t>Since this value was below 50%, we concluded that there was no common method bias in this study</w:t>
      </w:r>
      <w:r w:rsidRPr="00AC1930">
        <w:t xml:space="preserve"> (Kline, 2005). Next, we adopted Kock's (2015) full collinearity assessment method, which is </w:t>
      </w:r>
      <w:r w:rsidR="000B25A1" w:rsidRPr="00AC1930">
        <w:t>highly suited to</w:t>
      </w:r>
      <w:r w:rsidRPr="00AC1930">
        <w:t xml:space="preserve"> PLS studies </w:t>
      </w:r>
      <w:r w:rsidR="000B25A1" w:rsidRPr="00AC1930">
        <w:t xml:space="preserve">in terms of the </w:t>
      </w:r>
      <w:r w:rsidRPr="00AC1930">
        <w:t>detect</w:t>
      </w:r>
      <w:r w:rsidR="000B25A1" w:rsidRPr="00AC1930">
        <w:t>ion</w:t>
      </w:r>
      <w:r w:rsidRPr="00AC1930">
        <w:t xml:space="preserve"> potential common method bias (CMB). Kock (2015: 7) states that "the occurrence of a VIF greater than 3.3 is proposed an indication of pathological collinearity, </w:t>
      </w:r>
      <w:proofErr w:type="gramStart"/>
      <w:r w:rsidRPr="00AC1930">
        <w:t>and also</w:t>
      </w:r>
      <w:proofErr w:type="gramEnd"/>
      <w:r w:rsidRPr="00AC1930">
        <w:t xml:space="preserve"> an indication that a model may be contaminated by common method bias. Therefore, if all VIFs resulting from a full collinearity test is equal to or lower than 3.3, the model can be considered free of common method bias</w:t>
      </w:r>
      <w:r w:rsidR="008E27D3" w:rsidRPr="00AC1930">
        <w:t>.</w:t>
      </w:r>
      <w:r w:rsidRPr="00AC1930">
        <w:t xml:space="preserve">" Since our estimations showed that VIF values </w:t>
      </w:r>
      <w:r w:rsidR="000B25A1" w:rsidRPr="00AC1930">
        <w:t xml:space="preserve">ranged </w:t>
      </w:r>
      <w:r w:rsidRPr="00AC1930">
        <w:t xml:space="preserve">from 1.080 to 2.964, common method bias does not appear </w:t>
      </w:r>
      <w:r w:rsidR="000B25A1" w:rsidRPr="00AC1930">
        <w:t xml:space="preserve">to be </w:t>
      </w:r>
      <w:r w:rsidRPr="00AC1930">
        <w:t>a significant problem in this research.</w:t>
      </w:r>
    </w:p>
    <w:p w14:paraId="10154496" w14:textId="77777777" w:rsidR="002E7E3F" w:rsidRPr="00AC1930" w:rsidRDefault="0001118D">
      <w:pPr>
        <w:pStyle w:val="Heading1"/>
        <w:keepNext w:val="0"/>
        <w:keepLines w:val="0"/>
        <w:spacing w:before="480" w:after="120" w:line="480" w:lineRule="auto"/>
        <w:rPr>
          <w:b/>
          <w:i/>
          <w:sz w:val="32"/>
          <w:szCs w:val="32"/>
        </w:rPr>
      </w:pPr>
      <w:bookmarkStart w:id="12" w:name="_3rdcrjn" w:colFirst="0" w:colLast="0"/>
      <w:bookmarkEnd w:id="12"/>
      <w:r w:rsidRPr="00AC1930">
        <w:rPr>
          <w:b/>
          <w:i/>
          <w:sz w:val="32"/>
          <w:szCs w:val="32"/>
        </w:rPr>
        <w:t>Results</w:t>
      </w:r>
    </w:p>
    <w:p w14:paraId="1AF4E5B8" w14:textId="77777777" w:rsidR="002E7E3F" w:rsidRPr="00AC1930" w:rsidRDefault="0001118D">
      <w:pPr>
        <w:pStyle w:val="Heading2"/>
        <w:keepNext w:val="0"/>
        <w:keepLines w:val="0"/>
        <w:spacing w:before="240" w:after="240"/>
        <w:rPr>
          <w:b/>
          <w:i/>
          <w:sz w:val="28"/>
          <w:szCs w:val="28"/>
        </w:rPr>
      </w:pPr>
      <w:bookmarkStart w:id="13" w:name="_26in1rg" w:colFirst="0" w:colLast="0"/>
      <w:bookmarkEnd w:id="13"/>
      <w:r w:rsidRPr="00AC1930">
        <w:rPr>
          <w:b/>
          <w:i/>
          <w:sz w:val="28"/>
          <w:szCs w:val="28"/>
        </w:rPr>
        <w:t>Assessment of Measurement Model - Validity and Reliability Tests</w:t>
      </w:r>
    </w:p>
    <w:p w14:paraId="401D724D" w14:textId="6523D11C" w:rsidR="002E7E3F" w:rsidRPr="00AC1930" w:rsidRDefault="0001118D">
      <w:r w:rsidRPr="00AC1930">
        <w:t xml:space="preserve">Exploratory factor analysis (EFA) was executed through the Promax rotation method to control </w:t>
      </w:r>
      <w:r w:rsidR="002276E4" w:rsidRPr="00AC1930">
        <w:t xml:space="preserve">the </w:t>
      </w:r>
      <w:r w:rsidRPr="00AC1930">
        <w:t xml:space="preserve">factor composition of variables. </w:t>
      </w:r>
      <w:r w:rsidR="00942A5E" w:rsidRPr="00AC1930">
        <w:t xml:space="preserve">The </w:t>
      </w:r>
      <w:r w:rsidRPr="00AC1930">
        <w:t xml:space="preserve">KMO (Kaiser-Meyer-Olkin) value was found </w:t>
      </w:r>
      <w:r w:rsidR="00942A5E" w:rsidRPr="00AC1930">
        <w:t xml:space="preserve">to be </w:t>
      </w:r>
      <w:r w:rsidRPr="00AC1930">
        <w:t>0.868 at the executed EFA</w:t>
      </w:r>
      <w:r w:rsidR="002276E4" w:rsidRPr="00AC1930">
        <w:t>,</w:t>
      </w:r>
      <w:r w:rsidRPr="00AC1930">
        <w:t xml:space="preserve"> and the Bartlett test was significant (χ</w:t>
      </w:r>
      <w:r w:rsidRPr="00AC1930">
        <w:rPr>
          <w:vertAlign w:val="superscript"/>
        </w:rPr>
        <w:t>2</w:t>
      </w:r>
      <w:r w:rsidRPr="00AC1930">
        <w:t xml:space="preserve"> = 3260.529; </w:t>
      </w:r>
      <w:proofErr w:type="spellStart"/>
      <w:r w:rsidRPr="00AC1930">
        <w:t>df</w:t>
      </w:r>
      <w:proofErr w:type="spellEnd"/>
      <w:r w:rsidRPr="00AC1930">
        <w:t xml:space="preserve"> = 231; p</w:t>
      </w:r>
      <w:r w:rsidR="00942A5E" w:rsidRPr="00AC1930">
        <w:t xml:space="preserve"> </w:t>
      </w:r>
      <w:r w:rsidRPr="00AC1930">
        <w:t>&lt;</w:t>
      </w:r>
      <w:r w:rsidR="00942A5E" w:rsidRPr="00AC1930">
        <w:t xml:space="preserve"> </w:t>
      </w:r>
      <w:r w:rsidRPr="00AC1930">
        <w:t xml:space="preserve">0.001). According to the </w:t>
      </w:r>
      <w:r w:rsidR="00942A5E" w:rsidRPr="00AC1930">
        <w:t>three</w:t>
      </w:r>
      <w:r w:rsidRPr="00AC1930">
        <w:t>-dimensional composition of the pattern matrix, we identified that scales showed an appropriate distribution to the original form.</w:t>
      </w:r>
    </w:p>
    <w:p w14:paraId="44B6BF20" w14:textId="0C4CE2D0" w:rsidR="002E7E3F" w:rsidRPr="00AC1930" w:rsidRDefault="0001118D">
      <w:r w:rsidRPr="00AC1930">
        <w:lastRenderedPageBreak/>
        <w:t xml:space="preserve">Next, a measurement model </w:t>
      </w:r>
      <w:r w:rsidR="000F062B" w:rsidRPr="00AC1930">
        <w:t xml:space="preserve">was established </w:t>
      </w:r>
      <w:r w:rsidRPr="00AC1930">
        <w:t xml:space="preserve">to assess the construct reliability, convergent validity, and discriminant validity (Hair et al. 2017). First, we checked the factor loadings of </w:t>
      </w:r>
      <w:r w:rsidR="00942A5E" w:rsidRPr="00AC1930">
        <w:t xml:space="preserve">the </w:t>
      </w:r>
      <w:r w:rsidRPr="00AC1930">
        <w:t>indicators. According to Hair et al. (2017</w:t>
      </w:r>
      <w:r w:rsidR="000F062B" w:rsidRPr="00AC1930">
        <w:t>: 128</w:t>
      </w:r>
      <w:r w:rsidRPr="00AC1930">
        <w:t xml:space="preserve">), </w:t>
      </w:r>
      <w:r w:rsidR="000F062B" w:rsidRPr="00AC1930">
        <w:t>“</w:t>
      </w:r>
      <w:r w:rsidR="00942A5E" w:rsidRPr="00AC1930">
        <w:t xml:space="preserve">an </w:t>
      </w:r>
      <w:r w:rsidRPr="00AC1930">
        <w:t xml:space="preserve">indicator's outer loading should be </w:t>
      </w:r>
      <w:r w:rsidR="00942A5E" w:rsidRPr="00AC1930">
        <w:t xml:space="preserve">greater than </w:t>
      </w:r>
      <w:r w:rsidRPr="00AC1930">
        <w:t xml:space="preserve">0.708 </w:t>
      </w:r>
      <w:r w:rsidR="00942A5E" w:rsidRPr="00AC1930">
        <w:t xml:space="preserve">because </w:t>
      </w:r>
      <w:r w:rsidRPr="00AC1930">
        <w:t>this number squared (0.708</w:t>
      </w:r>
      <w:r w:rsidRPr="00AC1930">
        <w:rPr>
          <w:vertAlign w:val="superscript"/>
        </w:rPr>
        <w:t>2</w:t>
      </w:r>
      <w:r w:rsidRPr="00AC1930">
        <w:t>) is greater than 0.50. When their outer loading is below 0.70, researchers should carefully examine the effects of item removal on the composite reliability, as well as on the content validity of the construct rather than automatically eliminating indicators</w:t>
      </w:r>
      <w:r w:rsidR="000F062B" w:rsidRPr="00AC1930">
        <w:t>”</w:t>
      </w:r>
      <w:r w:rsidRPr="00AC1930">
        <w:t>. According to this criterion, we removed the first indicator of the LMX scale</w:t>
      </w:r>
      <w:r w:rsidR="002276E4" w:rsidRPr="00AC1930">
        <w:t>,</w:t>
      </w:r>
      <w:r w:rsidRPr="00AC1930">
        <w:t xml:space="preserve"> which is "I usually know where I stand with my manager" and the last indicator of the WA scale</w:t>
      </w:r>
      <w:r w:rsidR="002276E4" w:rsidRPr="00AC1930">
        <w:t>,</w:t>
      </w:r>
      <w:r w:rsidRPr="00AC1930">
        <w:t xml:space="preserve"> which is "I do not feel connected to the events in my workplace" because both items</w:t>
      </w:r>
      <w:r w:rsidR="00B03950" w:rsidRPr="00AC1930">
        <w:t>'</w:t>
      </w:r>
      <w:r w:rsidRPr="00AC1930">
        <w:t xml:space="preserve"> outer loadings were </w:t>
      </w:r>
      <w:r w:rsidR="00B03950" w:rsidRPr="00AC1930">
        <w:t xml:space="preserve">significantly </w:t>
      </w:r>
      <w:r w:rsidRPr="00AC1930">
        <w:t xml:space="preserve">below the threshold of 0.708 (outer loading of LMX scale's first indicator was 0.533 and the last indicator of </w:t>
      </w:r>
      <w:r w:rsidR="00B03950" w:rsidRPr="00AC1930">
        <w:t xml:space="preserve">the </w:t>
      </w:r>
      <w:r w:rsidRPr="00AC1930">
        <w:t xml:space="preserve">WA scale's outer loading was 0.333). After removing these indicators, we assessed Average Variance Extracted (AVE) metric values for convergent validity and found that they were above the critical point of 0.50; thus, we stopped removing indicators. For the </w:t>
      </w:r>
      <w:r w:rsidR="00B03950" w:rsidRPr="00AC1930">
        <w:t xml:space="preserve">purposes of </w:t>
      </w:r>
      <w:r w:rsidRPr="00AC1930">
        <w:t>reliability</w:t>
      </w:r>
      <w:r w:rsidR="00B03950" w:rsidRPr="00AC1930">
        <w:t>,</w:t>
      </w:r>
      <w:r w:rsidRPr="00AC1930">
        <w:t xml:space="preserve"> we estimated </w:t>
      </w:r>
      <w:r w:rsidR="004C5B4E" w:rsidRPr="00AC1930">
        <w:t xml:space="preserve">whether </w:t>
      </w:r>
      <w:r w:rsidRPr="00AC1930">
        <w:t>the Composite Reliability (CR), Cronbach's alpha (Hair/</w:t>
      </w:r>
      <w:proofErr w:type="spellStart"/>
      <w:r w:rsidRPr="00AC1930">
        <w:t>Hult</w:t>
      </w:r>
      <w:proofErr w:type="spellEnd"/>
      <w:r w:rsidRPr="00AC1930">
        <w:t>/</w:t>
      </w:r>
      <w:proofErr w:type="spellStart"/>
      <w:r w:rsidRPr="00AC1930">
        <w:t>Ringle</w:t>
      </w:r>
      <w:proofErr w:type="spellEnd"/>
      <w:r w:rsidRPr="00AC1930">
        <w:t>/</w:t>
      </w:r>
      <w:proofErr w:type="spellStart"/>
      <w:r w:rsidRPr="00AC1930">
        <w:t>Sarstedt</w:t>
      </w:r>
      <w:proofErr w:type="spellEnd"/>
      <w:r w:rsidRPr="00AC1930">
        <w:t xml:space="preserve"> 2017; Hair et al. 2019), and </w:t>
      </w:r>
      <w:proofErr w:type="spellStart"/>
      <w:r w:rsidRPr="00AC1930">
        <w:t>rho_a</w:t>
      </w:r>
      <w:proofErr w:type="spellEnd"/>
      <w:r w:rsidRPr="00AC1930">
        <w:t xml:space="preserve"> (Dijkstra/</w:t>
      </w:r>
      <w:proofErr w:type="spellStart"/>
      <w:r w:rsidRPr="00AC1930">
        <w:t>Henseler</w:t>
      </w:r>
      <w:proofErr w:type="spellEnd"/>
      <w:r w:rsidRPr="00AC1930">
        <w:t xml:space="preserve"> 2015) values exceed</w:t>
      </w:r>
      <w:r w:rsidR="004C5B4E" w:rsidRPr="00AC1930">
        <w:t>ed</w:t>
      </w:r>
      <w:r w:rsidRPr="00AC1930">
        <w:t xml:space="preserve"> the</w:t>
      </w:r>
      <w:r w:rsidR="004C5B4E" w:rsidRPr="00AC1930">
        <w:t>ir</w:t>
      </w:r>
      <w:r w:rsidRPr="00AC1930">
        <w:t xml:space="preserve"> 0.70 thresholds. As can be seen in Table 1, after removing </w:t>
      </w:r>
      <w:r w:rsidR="004C5B4E" w:rsidRPr="00AC1930">
        <w:t xml:space="preserve">the </w:t>
      </w:r>
      <w:r w:rsidRPr="00AC1930">
        <w:t xml:space="preserve">LMX1 and WA8 items, our measurement model achieves convergent validity and reliability </w:t>
      </w:r>
      <w:r w:rsidR="004C5B4E" w:rsidRPr="00AC1930">
        <w:t>criteria</w:t>
      </w:r>
      <w:r w:rsidRPr="00AC1930">
        <w:t>.</w:t>
      </w:r>
    </w:p>
    <w:p w14:paraId="31CF0F95" w14:textId="525817AD" w:rsidR="002E7E3F" w:rsidRPr="00AC1930" w:rsidRDefault="0001118D">
      <w:r w:rsidRPr="00AC1930">
        <w:t xml:space="preserve">Table 1. </w:t>
      </w:r>
      <w:r w:rsidR="00343FEB" w:rsidRPr="00AC1930">
        <w:t>C</w:t>
      </w:r>
      <w:r w:rsidRPr="00AC1930">
        <w:t>onvergent validity</w:t>
      </w:r>
      <w:r w:rsidR="00343FEB" w:rsidRPr="00AC1930">
        <w:t xml:space="preserve"> and reliability estimates</w:t>
      </w:r>
    </w:p>
    <w:tbl>
      <w:tblPr>
        <w:tblStyle w:val="a"/>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75"/>
        <w:gridCol w:w="1217"/>
        <w:gridCol w:w="1218"/>
        <w:gridCol w:w="1217"/>
        <w:gridCol w:w="1218"/>
        <w:gridCol w:w="1217"/>
        <w:gridCol w:w="1218"/>
      </w:tblGrid>
      <w:tr w:rsidR="00AC1930" w:rsidRPr="00AC1930" w14:paraId="43822FF3" w14:textId="77777777">
        <w:trPr>
          <w:trHeight w:val="70"/>
        </w:trPr>
        <w:tc>
          <w:tcPr>
            <w:tcW w:w="1575" w:type="dxa"/>
            <w:tcBorders>
              <w:top w:val="single" w:sz="8" w:space="0" w:color="7F7F7F"/>
              <w:left w:val="nil"/>
              <w:bottom w:val="single" w:sz="8" w:space="0" w:color="7F7F7F"/>
              <w:right w:val="nil"/>
            </w:tcBorders>
            <w:tcMar>
              <w:top w:w="100" w:type="dxa"/>
              <w:left w:w="100" w:type="dxa"/>
              <w:bottom w:w="100" w:type="dxa"/>
              <w:right w:w="100" w:type="dxa"/>
            </w:tcMar>
          </w:tcPr>
          <w:p w14:paraId="6F95A29D" w14:textId="77777777" w:rsidR="002E7E3F" w:rsidRPr="00AC1930" w:rsidRDefault="0001118D">
            <w:pPr>
              <w:widowControl w:val="0"/>
              <w:spacing w:before="0" w:after="0" w:line="240" w:lineRule="auto"/>
              <w:jc w:val="center"/>
              <w:rPr>
                <w:b/>
                <w:sz w:val="20"/>
                <w:szCs w:val="20"/>
              </w:rPr>
            </w:pPr>
            <w:r w:rsidRPr="00AC1930">
              <w:rPr>
                <w:b/>
                <w:sz w:val="20"/>
                <w:szCs w:val="20"/>
              </w:rPr>
              <w:t>Variables</w:t>
            </w:r>
          </w:p>
        </w:tc>
        <w:tc>
          <w:tcPr>
            <w:tcW w:w="1217" w:type="dxa"/>
            <w:tcBorders>
              <w:top w:val="single" w:sz="8" w:space="0" w:color="7F7F7F"/>
              <w:left w:val="nil"/>
              <w:bottom w:val="single" w:sz="8" w:space="0" w:color="7F7F7F"/>
              <w:right w:val="nil"/>
            </w:tcBorders>
            <w:tcMar>
              <w:top w:w="100" w:type="dxa"/>
              <w:left w:w="100" w:type="dxa"/>
              <w:bottom w:w="100" w:type="dxa"/>
              <w:right w:w="100" w:type="dxa"/>
            </w:tcMar>
          </w:tcPr>
          <w:p w14:paraId="5A8C58EB" w14:textId="77777777" w:rsidR="002E7E3F" w:rsidRPr="00AC1930" w:rsidRDefault="0001118D">
            <w:pPr>
              <w:widowControl w:val="0"/>
              <w:spacing w:before="0" w:after="0" w:line="240" w:lineRule="auto"/>
              <w:jc w:val="center"/>
              <w:rPr>
                <w:b/>
                <w:sz w:val="20"/>
                <w:szCs w:val="20"/>
              </w:rPr>
            </w:pPr>
            <w:r w:rsidRPr="00AC1930">
              <w:rPr>
                <w:b/>
                <w:sz w:val="20"/>
                <w:szCs w:val="20"/>
              </w:rPr>
              <w:t>Indicator</w:t>
            </w:r>
          </w:p>
        </w:tc>
        <w:tc>
          <w:tcPr>
            <w:tcW w:w="1218" w:type="dxa"/>
            <w:tcBorders>
              <w:top w:val="single" w:sz="8" w:space="0" w:color="7F7F7F"/>
              <w:left w:val="nil"/>
              <w:bottom w:val="single" w:sz="8" w:space="0" w:color="7F7F7F"/>
              <w:right w:val="nil"/>
            </w:tcBorders>
            <w:tcMar>
              <w:top w:w="100" w:type="dxa"/>
              <w:left w:w="100" w:type="dxa"/>
              <w:bottom w:w="100" w:type="dxa"/>
              <w:right w:w="100" w:type="dxa"/>
            </w:tcMar>
          </w:tcPr>
          <w:p w14:paraId="553C2130" w14:textId="77777777" w:rsidR="002E7E3F" w:rsidRPr="00AC1930" w:rsidRDefault="0001118D">
            <w:pPr>
              <w:widowControl w:val="0"/>
              <w:spacing w:before="0" w:after="0" w:line="240" w:lineRule="auto"/>
              <w:jc w:val="center"/>
              <w:rPr>
                <w:b/>
                <w:sz w:val="20"/>
                <w:szCs w:val="20"/>
              </w:rPr>
            </w:pPr>
            <w:r w:rsidRPr="00AC1930">
              <w:rPr>
                <w:b/>
                <w:sz w:val="20"/>
                <w:szCs w:val="20"/>
              </w:rPr>
              <w:t>Loading</w:t>
            </w:r>
          </w:p>
        </w:tc>
        <w:tc>
          <w:tcPr>
            <w:tcW w:w="1217" w:type="dxa"/>
            <w:tcBorders>
              <w:top w:val="single" w:sz="8" w:space="0" w:color="7F7F7F"/>
              <w:left w:val="nil"/>
              <w:bottom w:val="single" w:sz="8" w:space="0" w:color="7F7F7F"/>
              <w:right w:val="nil"/>
            </w:tcBorders>
            <w:tcMar>
              <w:top w:w="100" w:type="dxa"/>
              <w:left w:w="100" w:type="dxa"/>
              <w:bottom w:w="100" w:type="dxa"/>
              <w:right w:w="100" w:type="dxa"/>
            </w:tcMar>
          </w:tcPr>
          <w:p w14:paraId="7ED204E7" w14:textId="77777777" w:rsidR="002E7E3F" w:rsidRPr="00AC1930" w:rsidRDefault="0001118D">
            <w:pPr>
              <w:widowControl w:val="0"/>
              <w:spacing w:before="0" w:after="0" w:line="240" w:lineRule="auto"/>
              <w:jc w:val="center"/>
              <w:rPr>
                <w:b/>
                <w:sz w:val="20"/>
                <w:szCs w:val="20"/>
              </w:rPr>
            </w:pPr>
            <w:r w:rsidRPr="00AC1930">
              <w:rPr>
                <w:b/>
                <w:sz w:val="20"/>
                <w:szCs w:val="20"/>
              </w:rPr>
              <w:t>Alpha</w:t>
            </w:r>
          </w:p>
        </w:tc>
        <w:tc>
          <w:tcPr>
            <w:tcW w:w="1218" w:type="dxa"/>
            <w:tcBorders>
              <w:top w:val="single" w:sz="8" w:space="0" w:color="7F7F7F"/>
              <w:left w:val="nil"/>
              <w:bottom w:val="single" w:sz="8" w:space="0" w:color="7F7F7F"/>
              <w:right w:val="nil"/>
            </w:tcBorders>
            <w:tcMar>
              <w:top w:w="100" w:type="dxa"/>
              <w:left w:w="100" w:type="dxa"/>
              <w:bottom w:w="100" w:type="dxa"/>
              <w:right w:w="100" w:type="dxa"/>
            </w:tcMar>
          </w:tcPr>
          <w:p w14:paraId="5A130349" w14:textId="77777777" w:rsidR="002E7E3F" w:rsidRPr="00AC1930" w:rsidRDefault="0001118D">
            <w:pPr>
              <w:widowControl w:val="0"/>
              <w:spacing w:before="0" w:after="0" w:line="240" w:lineRule="auto"/>
              <w:jc w:val="center"/>
              <w:rPr>
                <w:b/>
                <w:sz w:val="20"/>
                <w:szCs w:val="20"/>
              </w:rPr>
            </w:pPr>
            <w:proofErr w:type="spellStart"/>
            <w:r w:rsidRPr="00AC1930">
              <w:rPr>
                <w:b/>
                <w:sz w:val="20"/>
                <w:szCs w:val="20"/>
              </w:rPr>
              <w:t>Rho_A</w:t>
            </w:r>
            <w:proofErr w:type="spellEnd"/>
          </w:p>
        </w:tc>
        <w:tc>
          <w:tcPr>
            <w:tcW w:w="1217" w:type="dxa"/>
            <w:tcBorders>
              <w:top w:val="single" w:sz="8" w:space="0" w:color="7F7F7F"/>
              <w:left w:val="nil"/>
              <w:bottom w:val="single" w:sz="8" w:space="0" w:color="7F7F7F"/>
              <w:right w:val="nil"/>
            </w:tcBorders>
            <w:tcMar>
              <w:top w:w="100" w:type="dxa"/>
              <w:left w:w="100" w:type="dxa"/>
              <w:bottom w:w="100" w:type="dxa"/>
              <w:right w:w="100" w:type="dxa"/>
            </w:tcMar>
          </w:tcPr>
          <w:p w14:paraId="2671DA9E" w14:textId="77777777" w:rsidR="002E7E3F" w:rsidRPr="00AC1930" w:rsidRDefault="0001118D">
            <w:pPr>
              <w:widowControl w:val="0"/>
              <w:spacing w:before="0" w:after="0" w:line="240" w:lineRule="auto"/>
              <w:jc w:val="center"/>
              <w:rPr>
                <w:b/>
                <w:sz w:val="20"/>
                <w:szCs w:val="20"/>
              </w:rPr>
            </w:pPr>
            <w:r w:rsidRPr="00AC1930">
              <w:rPr>
                <w:b/>
                <w:sz w:val="20"/>
                <w:szCs w:val="20"/>
              </w:rPr>
              <w:t>CR</w:t>
            </w:r>
          </w:p>
        </w:tc>
        <w:tc>
          <w:tcPr>
            <w:tcW w:w="1218" w:type="dxa"/>
            <w:tcBorders>
              <w:top w:val="single" w:sz="8" w:space="0" w:color="7F7F7F"/>
              <w:left w:val="nil"/>
              <w:bottom w:val="single" w:sz="8" w:space="0" w:color="7F7F7F"/>
              <w:right w:val="nil"/>
            </w:tcBorders>
            <w:tcMar>
              <w:top w:w="100" w:type="dxa"/>
              <w:left w:w="100" w:type="dxa"/>
              <w:bottom w:w="100" w:type="dxa"/>
              <w:right w:w="100" w:type="dxa"/>
            </w:tcMar>
          </w:tcPr>
          <w:p w14:paraId="78DCA3BB" w14:textId="77777777" w:rsidR="002E7E3F" w:rsidRPr="00AC1930" w:rsidRDefault="0001118D">
            <w:pPr>
              <w:widowControl w:val="0"/>
              <w:spacing w:before="0" w:after="0" w:line="240" w:lineRule="auto"/>
              <w:jc w:val="center"/>
              <w:rPr>
                <w:b/>
                <w:sz w:val="20"/>
                <w:szCs w:val="20"/>
              </w:rPr>
            </w:pPr>
            <w:r w:rsidRPr="00AC1930">
              <w:rPr>
                <w:b/>
                <w:sz w:val="20"/>
                <w:szCs w:val="20"/>
              </w:rPr>
              <w:t>AVE</w:t>
            </w:r>
          </w:p>
        </w:tc>
      </w:tr>
      <w:tr w:rsidR="00AC1930" w:rsidRPr="00AC1930" w14:paraId="6752CD1F" w14:textId="77777777">
        <w:trPr>
          <w:trHeight w:val="20"/>
        </w:trPr>
        <w:tc>
          <w:tcPr>
            <w:tcW w:w="1575" w:type="dxa"/>
            <w:vMerge w:val="restart"/>
            <w:tcBorders>
              <w:top w:val="nil"/>
              <w:left w:val="nil"/>
              <w:bottom w:val="nil"/>
              <w:right w:val="nil"/>
            </w:tcBorders>
            <w:tcMar>
              <w:top w:w="100" w:type="dxa"/>
              <w:left w:w="100" w:type="dxa"/>
              <w:bottom w:w="100" w:type="dxa"/>
              <w:right w:w="100" w:type="dxa"/>
            </w:tcMar>
          </w:tcPr>
          <w:p w14:paraId="74765038" w14:textId="77777777" w:rsidR="002E7E3F" w:rsidRPr="00AC1930" w:rsidRDefault="0001118D">
            <w:pPr>
              <w:widowControl w:val="0"/>
              <w:spacing w:before="0" w:after="0" w:line="240" w:lineRule="auto"/>
              <w:jc w:val="center"/>
              <w:rPr>
                <w:b/>
                <w:sz w:val="20"/>
                <w:szCs w:val="20"/>
              </w:rPr>
            </w:pPr>
            <w:r w:rsidRPr="00AC1930">
              <w:rPr>
                <w:b/>
                <w:sz w:val="20"/>
                <w:szCs w:val="20"/>
              </w:rPr>
              <w:t>LMX</w:t>
            </w:r>
          </w:p>
        </w:tc>
        <w:tc>
          <w:tcPr>
            <w:tcW w:w="1217" w:type="dxa"/>
            <w:tcBorders>
              <w:top w:val="nil"/>
              <w:left w:val="nil"/>
              <w:bottom w:val="single" w:sz="8" w:space="0" w:color="7F7F7F"/>
              <w:right w:val="nil"/>
            </w:tcBorders>
            <w:tcMar>
              <w:top w:w="100" w:type="dxa"/>
              <w:left w:w="100" w:type="dxa"/>
              <w:bottom w:w="100" w:type="dxa"/>
              <w:right w:w="100" w:type="dxa"/>
            </w:tcMar>
          </w:tcPr>
          <w:p w14:paraId="79F07777" w14:textId="77777777" w:rsidR="002E7E3F" w:rsidRPr="00AC1930" w:rsidRDefault="0001118D">
            <w:pPr>
              <w:widowControl w:val="0"/>
              <w:spacing w:before="0" w:after="0" w:line="240" w:lineRule="auto"/>
              <w:jc w:val="center"/>
              <w:rPr>
                <w:sz w:val="20"/>
                <w:szCs w:val="20"/>
              </w:rPr>
            </w:pPr>
            <w:r w:rsidRPr="00AC1930">
              <w:rPr>
                <w:sz w:val="20"/>
                <w:szCs w:val="20"/>
              </w:rPr>
              <w:t>LMX2</w:t>
            </w:r>
          </w:p>
        </w:tc>
        <w:tc>
          <w:tcPr>
            <w:tcW w:w="1218" w:type="dxa"/>
            <w:tcBorders>
              <w:top w:val="nil"/>
              <w:left w:val="nil"/>
              <w:bottom w:val="single" w:sz="8" w:space="0" w:color="7F7F7F"/>
              <w:right w:val="nil"/>
            </w:tcBorders>
            <w:tcMar>
              <w:top w:w="100" w:type="dxa"/>
              <w:left w:w="100" w:type="dxa"/>
              <w:bottom w:w="100" w:type="dxa"/>
              <w:right w:w="100" w:type="dxa"/>
            </w:tcMar>
          </w:tcPr>
          <w:p w14:paraId="19240BA4" w14:textId="77777777" w:rsidR="002E7E3F" w:rsidRPr="00AC1930" w:rsidRDefault="0001118D">
            <w:pPr>
              <w:widowControl w:val="0"/>
              <w:spacing w:before="0" w:after="0" w:line="240" w:lineRule="auto"/>
              <w:jc w:val="center"/>
              <w:rPr>
                <w:sz w:val="20"/>
                <w:szCs w:val="20"/>
              </w:rPr>
            </w:pPr>
            <w:r w:rsidRPr="00AC1930">
              <w:rPr>
                <w:sz w:val="20"/>
                <w:szCs w:val="20"/>
              </w:rPr>
              <w:t>0.737</w:t>
            </w:r>
          </w:p>
        </w:tc>
        <w:tc>
          <w:tcPr>
            <w:tcW w:w="1217" w:type="dxa"/>
            <w:tcBorders>
              <w:top w:val="nil"/>
              <w:left w:val="nil"/>
              <w:bottom w:val="single" w:sz="8" w:space="0" w:color="7F7F7F"/>
              <w:right w:val="nil"/>
            </w:tcBorders>
            <w:tcMar>
              <w:top w:w="100" w:type="dxa"/>
              <w:left w:w="100" w:type="dxa"/>
              <w:bottom w:w="100" w:type="dxa"/>
              <w:right w:w="100" w:type="dxa"/>
            </w:tcMar>
          </w:tcPr>
          <w:p w14:paraId="16DF4C5A" w14:textId="77777777" w:rsidR="002E7E3F" w:rsidRPr="00AC1930" w:rsidRDefault="0001118D">
            <w:pPr>
              <w:widowControl w:val="0"/>
              <w:spacing w:before="0" w:after="0" w:line="240" w:lineRule="auto"/>
              <w:jc w:val="center"/>
              <w:rPr>
                <w:sz w:val="20"/>
                <w:szCs w:val="20"/>
              </w:rPr>
            </w:pPr>
            <w:r w:rsidRPr="00AC1930">
              <w:rPr>
                <w:sz w:val="20"/>
                <w:szCs w:val="20"/>
              </w:rPr>
              <w:t>0.903</w:t>
            </w:r>
          </w:p>
        </w:tc>
        <w:tc>
          <w:tcPr>
            <w:tcW w:w="1218" w:type="dxa"/>
            <w:tcBorders>
              <w:top w:val="nil"/>
              <w:left w:val="nil"/>
              <w:bottom w:val="single" w:sz="8" w:space="0" w:color="7F7F7F"/>
              <w:right w:val="nil"/>
            </w:tcBorders>
            <w:tcMar>
              <w:top w:w="100" w:type="dxa"/>
              <w:left w:w="100" w:type="dxa"/>
              <w:bottom w:w="100" w:type="dxa"/>
              <w:right w:w="100" w:type="dxa"/>
            </w:tcMar>
          </w:tcPr>
          <w:p w14:paraId="0F80CDE6" w14:textId="77777777" w:rsidR="002E7E3F" w:rsidRPr="00AC1930" w:rsidRDefault="0001118D">
            <w:pPr>
              <w:widowControl w:val="0"/>
              <w:spacing w:before="0" w:after="0" w:line="240" w:lineRule="auto"/>
              <w:jc w:val="center"/>
              <w:rPr>
                <w:sz w:val="20"/>
                <w:szCs w:val="20"/>
              </w:rPr>
            </w:pPr>
            <w:r w:rsidRPr="00AC1930">
              <w:rPr>
                <w:sz w:val="20"/>
                <w:szCs w:val="20"/>
              </w:rPr>
              <w:t>0.910</w:t>
            </w:r>
          </w:p>
        </w:tc>
        <w:tc>
          <w:tcPr>
            <w:tcW w:w="1217" w:type="dxa"/>
            <w:tcBorders>
              <w:top w:val="nil"/>
              <w:left w:val="nil"/>
              <w:bottom w:val="single" w:sz="8" w:space="0" w:color="7F7F7F"/>
              <w:right w:val="nil"/>
            </w:tcBorders>
            <w:tcMar>
              <w:top w:w="100" w:type="dxa"/>
              <w:left w:w="100" w:type="dxa"/>
              <w:bottom w:w="100" w:type="dxa"/>
              <w:right w:w="100" w:type="dxa"/>
            </w:tcMar>
          </w:tcPr>
          <w:p w14:paraId="5B67A2AE" w14:textId="77777777" w:rsidR="002E7E3F" w:rsidRPr="00AC1930" w:rsidRDefault="0001118D">
            <w:pPr>
              <w:widowControl w:val="0"/>
              <w:spacing w:before="0" w:after="0" w:line="240" w:lineRule="auto"/>
              <w:jc w:val="center"/>
              <w:rPr>
                <w:sz w:val="20"/>
                <w:szCs w:val="20"/>
              </w:rPr>
            </w:pPr>
            <w:r w:rsidRPr="00AC1930">
              <w:rPr>
                <w:sz w:val="20"/>
                <w:szCs w:val="20"/>
              </w:rPr>
              <w:t>0.900</w:t>
            </w:r>
          </w:p>
        </w:tc>
        <w:tc>
          <w:tcPr>
            <w:tcW w:w="1218" w:type="dxa"/>
            <w:tcBorders>
              <w:top w:val="nil"/>
              <w:left w:val="nil"/>
              <w:bottom w:val="single" w:sz="8" w:space="0" w:color="7F7F7F"/>
              <w:right w:val="nil"/>
            </w:tcBorders>
            <w:tcMar>
              <w:top w:w="100" w:type="dxa"/>
              <w:left w:w="100" w:type="dxa"/>
              <w:bottom w:w="100" w:type="dxa"/>
              <w:right w:w="100" w:type="dxa"/>
            </w:tcMar>
          </w:tcPr>
          <w:p w14:paraId="31D8DAE8" w14:textId="77777777" w:rsidR="002E7E3F" w:rsidRPr="00AC1930" w:rsidRDefault="0001118D">
            <w:pPr>
              <w:widowControl w:val="0"/>
              <w:spacing w:before="0" w:after="0" w:line="240" w:lineRule="auto"/>
              <w:jc w:val="center"/>
              <w:rPr>
                <w:sz w:val="20"/>
                <w:szCs w:val="20"/>
              </w:rPr>
            </w:pPr>
            <w:r w:rsidRPr="00AC1930">
              <w:rPr>
                <w:sz w:val="20"/>
                <w:szCs w:val="20"/>
              </w:rPr>
              <w:t>0.603</w:t>
            </w:r>
          </w:p>
        </w:tc>
      </w:tr>
      <w:tr w:rsidR="00AC1930" w:rsidRPr="00AC1930" w14:paraId="5E632AEA" w14:textId="77777777">
        <w:trPr>
          <w:trHeight w:val="20"/>
        </w:trPr>
        <w:tc>
          <w:tcPr>
            <w:tcW w:w="1575" w:type="dxa"/>
            <w:vMerge/>
            <w:tcBorders>
              <w:top w:val="nil"/>
              <w:left w:val="nil"/>
              <w:bottom w:val="nil"/>
              <w:right w:val="nil"/>
            </w:tcBorders>
            <w:tcMar>
              <w:top w:w="100" w:type="dxa"/>
              <w:left w:w="100" w:type="dxa"/>
              <w:bottom w:w="100" w:type="dxa"/>
              <w:right w:w="100" w:type="dxa"/>
            </w:tcMar>
          </w:tcPr>
          <w:p w14:paraId="6E940C1B" w14:textId="77777777" w:rsidR="002E7E3F" w:rsidRPr="00AC1930" w:rsidRDefault="002E7E3F">
            <w:pPr>
              <w:widowControl w:val="0"/>
              <w:pBdr>
                <w:top w:val="nil"/>
                <w:left w:val="nil"/>
                <w:bottom w:val="nil"/>
                <w:right w:val="nil"/>
                <w:between w:val="nil"/>
              </w:pBdr>
              <w:spacing w:before="0" w:after="0" w:line="276" w:lineRule="auto"/>
              <w:jc w:val="left"/>
              <w:rPr>
                <w:sz w:val="20"/>
                <w:szCs w:val="20"/>
              </w:rPr>
            </w:pPr>
          </w:p>
        </w:tc>
        <w:tc>
          <w:tcPr>
            <w:tcW w:w="1217" w:type="dxa"/>
            <w:tcBorders>
              <w:top w:val="nil"/>
              <w:left w:val="nil"/>
              <w:bottom w:val="nil"/>
              <w:right w:val="nil"/>
            </w:tcBorders>
            <w:shd w:val="clear" w:color="auto" w:fill="auto"/>
            <w:tcMar>
              <w:top w:w="100" w:type="dxa"/>
              <w:left w:w="100" w:type="dxa"/>
              <w:bottom w:w="100" w:type="dxa"/>
              <w:right w:w="100" w:type="dxa"/>
            </w:tcMar>
          </w:tcPr>
          <w:p w14:paraId="40A14C96" w14:textId="77777777" w:rsidR="002E7E3F" w:rsidRPr="00AC1930" w:rsidRDefault="0001118D">
            <w:pPr>
              <w:widowControl w:val="0"/>
              <w:spacing w:before="0" w:after="0" w:line="240" w:lineRule="auto"/>
              <w:jc w:val="center"/>
              <w:rPr>
                <w:sz w:val="20"/>
                <w:szCs w:val="20"/>
              </w:rPr>
            </w:pPr>
            <w:r w:rsidRPr="00AC1930">
              <w:rPr>
                <w:sz w:val="20"/>
                <w:szCs w:val="20"/>
              </w:rPr>
              <w:t>LMX3</w:t>
            </w:r>
          </w:p>
        </w:tc>
        <w:tc>
          <w:tcPr>
            <w:tcW w:w="1218" w:type="dxa"/>
            <w:tcBorders>
              <w:top w:val="nil"/>
              <w:left w:val="nil"/>
              <w:bottom w:val="nil"/>
              <w:right w:val="nil"/>
            </w:tcBorders>
            <w:shd w:val="clear" w:color="auto" w:fill="auto"/>
            <w:tcMar>
              <w:top w:w="100" w:type="dxa"/>
              <w:left w:w="100" w:type="dxa"/>
              <w:bottom w:w="100" w:type="dxa"/>
              <w:right w:w="100" w:type="dxa"/>
            </w:tcMar>
          </w:tcPr>
          <w:p w14:paraId="0703FC2C" w14:textId="77777777" w:rsidR="002E7E3F" w:rsidRPr="00AC1930" w:rsidRDefault="0001118D">
            <w:pPr>
              <w:widowControl w:val="0"/>
              <w:spacing w:before="0" w:after="0" w:line="240" w:lineRule="auto"/>
              <w:jc w:val="center"/>
              <w:rPr>
                <w:sz w:val="20"/>
                <w:szCs w:val="20"/>
              </w:rPr>
            </w:pPr>
            <w:r w:rsidRPr="00AC1930">
              <w:rPr>
                <w:sz w:val="20"/>
                <w:szCs w:val="20"/>
              </w:rPr>
              <w:t>0.782</w:t>
            </w:r>
          </w:p>
        </w:tc>
        <w:tc>
          <w:tcPr>
            <w:tcW w:w="1217" w:type="dxa"/>
            <w:tcBorders>
              <w:top w:val="nil"/>
              <w:left w:val="nil"/>
              <w:bottom w:val="nil"/>
              <w:right w:val="nil"/>
            </w:tcBorders>
            <w:shd w:val="clear" w:color="auto" w:fill="auto"/>
            <w:tcMar>
              <w:top w:w="100" w:type="dxa"/>
              <w:left w:w="100" w:type="dxa"/>
              <w:bottom w:w="100" w:type="dxa"/>
              <w:right w:w="100" w:type="dxa"/>
            </w:tcMar>
          </w:tcPr>
          <w:p w14:paraId="3EEDEA1E"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nil"/>
              <w:left w:val="nil"/>
              <w:bottom w:val="nil"/>
              <w:right w:val="nil"/>
            </w:tcBorders>
            <w:shd w:val="clear" w:color="auto" w:fill="auto"/>
            <w:tcMar>
              <w:top w:w="100" w:type="dxa"/>
              <w:left w:w="100" w:type="dxa"/>
              <w:bottom w:w="100" w:type="dxa"/>
              <w:right w:w="100" w:type="dxa"/>
            </w:tcMar>
          </w:tcPr>
          <w:p w14:paraId="483B5B56"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7" w:type="dxa"/>
            <w:tcBorders>
              <w:top w:val="nil"/>
              <w:left w:val="nil"/>
              <w:bottom w:val="nil"/>
              <w:right w:val="nil"/>
            </w:tcBorders>
            <w:shd w:val="clear" w:color="auto" w:fill="auto"/>
            <w:tcMar>
              <w:top w:w="100" w:type="dxa"/>
              <w:left w:w="100" w:type="dxa"/>
              <w:bottom w:w="100" w:type="dxa"/>
              <w:right w:w="100" w:type="dxa"/>
            </w:tcMar>
          </w:tcPr>
          <w:p w14:paraId="282BD54D"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nil"/>
              <w:left w:val="nil"/>
              <w:bottom w:val="nil"/>
              <w:right w:val="nil"/>
            </w:tcBorders>
            <w:shd w:val="clear" w:color="auto" w:fill="auto"/>
            <w:tcMar>
              <w:top w:w="100" w:type="dxa"/>
              <w:left w:w="100" w:type="dxa"/>
              <w:bottom w:w="100" w:type="dxa"/>
              <w:right w:w="100" w:type="dxa"/>
            </w:tcMar>
          </w:tcPr>
          <w:p w14:paraId="34A2A365"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r>
      <w:tr w:rsidR="00AC1930" w:rsidRPr="00AC1930" w14:paraId="6E75B234" w14:textId="77777777">
        <w:trPr>
          <w:trHeight w:val="20"/>
        </w:trPr>
        <w:tc>
          <w:tcPr>
            <w:tcW w:w="1575" w:type="dxa"/>
            <w:vMerge/>
            <w:tcBorders>
              <w:top w:val="nil"/>
              <w:left w:val="nil"/>
              <w:bottom w:val="nil"/>
              <w:right w:val="nil"/>
            </w:tcBorders>
            <w:tcMar>
              <w:top w:w="100" w:type="dxa"/>
              <w:left w:w="100" w:type="dxa"/>
              <w:bottom w:w="100" w:type="dxa"/>
              <w:right w:w="100" w:type="dxa"/>
            </w:tcMar>
          </w:tcPr>
          <w:p w14:paraId="1D7228F4" w14:textId="77777777" w:rsidR="002E7E3F" w:rsidRPr="00AC1930" w:rsidRDefault="002E7E3F">
            <w:pPr>
              <w:widowControl w:val="0"/>
              <w:pBdr>
                <w:top w:val="nil"/>
                <w:left w:val="nil"/>
                <w:bottom w:val="nil"/>
                <w:right w:val="nil"/>
                <w:between w:val="nil"/>
              </w:pBdr>
              <w:spacing w:before="0" w:after="0" w:line="276" w:lineRule="auto"/>
              <w:jc w:val="left"/>
              <w:rPr>
                <w:sz w:val="20"/>
                <w:szCs w:val="20"/>
              </w:rPr>
            </w:pPr>
          </w:p>
        </w:tc>
        <w:tc>
          <w:tcPr>
            <w:tcW w:w="1217"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3F99D93B" w14:textId="77777777" w:rsidR="002E7E3F" w:rsidRPr="00AC1930" w:rsidRDefault="0001118D">
            <w:pPr>
              <w:widowControl w:val="0"/>
              <w:spacing w:before="0" w:after="0" w:line="240" w:lineRule="auto"/>
              <w:jc w:val="center"/>
              <w:rPr>
                <w:sz w:val="20"/>
                <w:szCs w:val="20"/>
              </w:rPr>
            </w:pPr>
            <w:r w:rsidRPr="00AC1930">
              <w:rPr>
                <w:sz w:val="20"/>
                <w:szCs w:val="20"/>
              </w:rPr>
              <w:t>LMX4</w:t>
            </w:r>
          </w:p>
        </w:tc>
        <w:tc>
          <w:tcPr>
            <w:tcW w:w="12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C2F75F1" w14:textId="77777777" w:rsidR="002E7E3F" w:rsidRPr="00AC1930" w:rsidRDefault="0001118D">
            <w:pPr>
              <w:widowControl w:val="0"/>
              <w:spacing w:before="0" w:after="0" w:line="240" w:lineRule="auto"/>
              <w:jc w:val="center"/>
              <w:rPr>
                <w:sz w:val="20"/>
                <w:szCs w:val="20"/>
              </w:rPr>
            </w:pPr>
            <w:r w:rsidRPr="00AC1930">
              <w:rPr>
                <w:sz w:val="20"/>
                <w:szCs w:val="20"/>
              </w:rPr>
              <w:t>0.722</w:t>
            </w:r>
          </w:p>
        </w:tc>
        <w:tc>
          <w:tcPr>
            <w:tcW w:w="1217"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3CC594C"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18A7BAC"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7"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8B73EC3"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8EFB169"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r>
      <w:tr w:rsidR="00AC1930" w:rsidRPr="00AC1930" w14:paraId="5F69356A" w14:textId="77777777">
        <w:trPr>
          <w:trHeight w:val="20"/>
        </w:trPr>
        <w:tc>
          <w:tcPr>
            <w:tcW w:w="1575" w:type="dxa"/>
            <w:vMerge/>
            <w:tcBorders>
              <w:top w:val="nil"/>
              <w:left w:val="nil"/>
              <w:bottom w:val="nil"/>
              <w:right w:val="nil"/>
            </w:tcBorders>
            <w:tcMar>
              <w:top w:w="100" w:type="dxa"/>
              <w:left w:w="100" w:type="dxa"/>
              <w:bottom w:w="100" w:type="dxa"/>
              <w:right w:w="100" w:type="dxa"/>
            </w:tcMar>
          </w:tcPr>
          <w:p w14:paraId="34426369" w14:textId="77777777" w:rsidR="002E7E3F" w:rsidRPr="00AC1930" w:rsidRDefault="002E7E3F">
            <w:pPr>
              <w:widowControl w:val="0"/>
              <w:pBdr>
                <w:top w:val="nil"/>
                <w:left w:val="nil"/>
                <w:bottom w:val="nil"/>
                <w:right w:val="nil"/>
                <w:between w:val="nil"/>
              </w:pBdr>
              <w:spacing w:before="0" w:after="0" w:line="276" w:lineRule="auto"/>
              <w:jc w:val="left"/>
              <w:rPr>
                <w:sz w:val="20"/>
                <w:szCs w:val="20"/>
              </w:rPr>
            </w:pPr>
          </w:p>
        </w:tc>
        <w:tc>
          <w:tcPr>
            <w:tcW w:w="1217" w:type="dxa"/>
            <w:tcBorders>
              <w:top w:val="nil"/>
              <w:left w:val="nil"/>
              <w:bottom w:val="nil"/>
              <w:right w:val="nil"/>
            </w:tcBorders>
            <w:shd w:val="clear" w:color="auto" w:fill="auto"/>
            <w:tcMar>
              <w:top w:w="100" w:type="dxa"/>
              <w:left w:w="100" w:type="dxa"/>
              <w:bottom w:w="100" w:type="dxa"/>
              <w:right w:w="100" w:type="dxa"/>
            </w:tcMar>
          </w:tcPr>
          <w:p w14:paraId="71EC89FC" w14:textId="77777777" w:rsidR="002E7E3F" w:rsidRPr="00AC1930" w:rsidRDefault="0001118D">
            <w:pPr>
              <w:widowControl w:val="0"/>
              <w:spacing w:before="0" w:after="0" w:line="240" w:lineRule="auto"/>
              <w:jc w:val="center"/>
              <w:rPr>
                <w:sz w:val="20"/>
                <w:szCs w:val="20"/>
              </w:rPr>
            </w:pPr>
            <w:r w:rsidRPr="00AC1930">
              <w:rPr>
                <w:sz w:val="20"/>
                <w:szCs w:val="20"/>
              </w:rPr>
              <w:t>LMX5</w:t>
            </w:r>
          </w:p>
        </w:tc>
        <w:tc>
          <w:tcPr>
            <w:tcW w:w="1218" w:type="dxa"/>
            <w:tcBorders>
              <w:top w:val="nil"/>
              <w:left w:val="nil"/>
              <w:bottom w:val="nil"/>
              <w:right w:val="nil"/>
            </w:tcBorders>
            <w:shd w:val="clear" w:color="auto" w:fill="auto"/>
            <w:tcMar>
              <w:top w:w="100" w:type="dxa"/>
              <w:left w:w="100" w:type="dxa"/>
              <w:bottom w:w="100" w:type="dxa"/>
              <w:right w:w="100" w:type="dxa"/>
            </w:tcMar>
          </w:tcPr>
          <w:p w14:paraId="1A767665" w14:textId="77777777" w:rsidR="002E7E3F" w:rsidRPr="00AC1930" w:rsidRDefault="0001118D">
            <w:pPr>
              <w:widowControl w:val="0"/>
              <w:spacing w:before="0" w:after="0" w:line="240" w:lineRule="auto"/>
              <w:jc w:val="center"/>
              <w:rPr>
                <w:sz w:val="20"/>
                <w:szCs w:val="20"/>
              </w:rPr>
            </w:pPr>
            <w:r w:rsidRPr="00AC1930">
              <w:rPr>
                <w:sz w:val="20"/>
                <w:szCs w:val="20"/>
              </w:rPr>
              <w:t>0.737</w:t>
            </w:r>
          </w:p>
        </w:tc>
        <w:tc>
          <w:tcPr>
            <w:tcW w:w="1217" w:type="dxa"/>
            <w:tcBorders>
              <w:top w:val="nil"/>
              <w:left w:val="nil"/>
              <w:bottom w:val="nil"/>
              <w:right w:val="nil"/>
            </w:tcBorders>
            <w:shd w:val="clear" w:color="auto" w:fill="auto"/>
            <w:tcMar>
              <w:top w:w="100" w:type="dxa"/>
              <w:left w:w="100" w:type="dxa"/>
              <w:bottom w:w="100" w:type="dxa"/>
              <w:right w:w="100" w:type="dxa"/>
            </w:tcMar>
          </w:tcPr>
          <w:p w14:paraId="4DA8BF42"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nil"/>
              <w:left w:val="nil"/>
              <w:bottom w:val="nil"/>
              <w:right w:val="nil"/>
            </w:tcBorders>
            <w:shd w:val="clear" w:color="auto" w:fill="auto"/>
            <w:tcMar>
              <w:top w:w="100" w:type="dxa"/>
              <w:left w:w="100" w:type="dxa"/>
              <w:bottom w:w="100" w:type="dxa"/>
              <w:right w:w="100" w:type="dxa"/>
            </w:tcMar>
          </w:tcPr>
          <w:p w14:paraId="5DBE1427"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7" w:type="dxa"/>
            <w:tcBorders>
              <w:top w:val="nil"/>
              <w:left w:val="nil"/>
              <w:bottom w:val="nil"/>
              <w:right w:val="nil"/>
            </w:tcBorders>
            <w:shd w:val="clear" w:color="auto" w:fill="auto"/>
            <w:tcMar>
              <w:top w:w="100" w:type="dxa"/>
              <w:left w:w="100" w:type="dxa"/>
              <w:bottom w:w="100" w:type="dxa"/>
              <w:right w:w="100" w:type="dxa"/>
            </w:tcMar>
          </w:tcPr>
          <w:p w14:paraId="6017F974"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nil"/>
              <w:left w:val="nil"/>
              <w:bottom w:val="nil"/>
              <w:right w:val="nil"/>
            </w:tcBorders>
            <w:shd w:val="clear" w:color="auto" w:fill="auto"/>
            <w:tcMar>
              <w:top w:w="100" w:type="dxa"/>
              <w:left w:w="100" w:type="dxa"/>
              <w:bottom w:w="100" w:type="dxa"/>
              <w:right w:w="100" w:type="dxa"/>
            </w:tcMar>
          </w:tcPr>
          <w:p w14:paraId="12C9B674"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r>
      <w:tr w:rsidR="00AC1930" w:rsidRPr="00AC1930" w14:paraId="0F67F5D0" w14:textId="77777777">
        <w:trPr>
          <w:trHeight w:val="20"/>
        </w:trPr>
        <w:tc>
          <w:tcPr>
            <w:tcW w:w="1575" w:type="dxa"/>
            <w:vMerge/>
            <w:tcBorders>
              <w:top w:val="nil"/>
              <w:left w:val="nil"/>
              <w:bottom w:val="nil"/>
              <w:right w:val="nil"/>
            </w:tcBorders>
            <w:tcMar>
              <w:top w:w="100" w:type="dxa"/>
              <w:left w:w="100" w:type="dxa"/>
              <w:bottom w:w="100" w:type="dxa"/>
              <w:right w:w="100" w:type="dxa"/>
            </w:tcMar>
          </w:tcPr>
          <w:p w14:paraId="623302F7" w14:textId="77777777" w:rsidR="002E7E3F" w:rsidRPr="00AC1930" w:rsidRDefault="002E7E3F">
            <w:pPr>
              <w:widowControl w:val="0"/>
              <w:pBdr>
                <w:top w:val="nil"/>
                <w:left w:val="nil"/>
                <w:bottom w:val="nil"/>
                <w:right w:val="nil"/>
                <w:between w:val="nil"/>
              </w:pBdr>
              <w:spacing w:before="0" w:after="0" w:line="276" w:lineRule="auto"/>
              <w:jc w:val="left"/>
              <w:rPr>
                <w:sz w:val="20"/>
                <w:szCs w:val="20"/>
              </w:rPr>
            </w:pPr>
          </w:p>
        </w:tc>
        <w:tc>
          <w:tcPr>
            <w:tcW w:w="1217"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A05A74E" w14:textId="77777777" w:rsidR="002E7E3F" w:rsidRPr="00AC1930" w:rsidRDefault="0001118D">
            <w:pPr>
              <w:widowControl w:val="0"/>
              <w:spacing w:before="0" w:after="0" w:line="240" w:lineRule="auto"/>
              <w:jc w:val="center"/>
              <w:rPr>
                <w:sz w:val="20"/>
                <w:szCs w:val="20"/>
              </w:rPr>
            </w:pPr>
            <w:r w:rsidRPr="00AC1930">
              <w:rPr>
                <w:sz w:val="20"/>
                <w:szCs w:val="20"/>
              </w:rPr>
              <w:t>LMX6</w:t>
            </w:r>
          </w:p>
        </w:tc>
        <w:tc>
          <w:tcPr>
            <w:tcW w:w="12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5F0328E" w14:textId="77777777" w:rsidR="002E7E3F" w:rsidRPr="00AC1930" w:rsidRDefault="0001118D">
            <w:pPr>
              <w:widowControl w:val="0"/>
              <w:spacing w:before="0" w:after="0" w:line="240" w:lineRule="auto"/>
              <w:jc w:val="center"/>
              <w:rPr>
                <w:sz w:val="20"/>
                <w:szCs w:val="20"/>
              </w:rPr>
            </w:pPr>
            <w:r w:rsidRPr="00AC1930">
              <w:rPr>
                <w:sz w:val="20"/>
                <w:szCs w:val="20"/>
              </w:rPr>
              <w:t>0.965</w:t>
            </w:r>
          </w:p>
        </w:tc>
        <w:tc>
          <w:tcPr>
            <w:tcW w:w="1217"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AD0358D"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0A30C08"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7"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3A117662"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AF76199"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r>
      <w:tr w:rsidR="00AC1930" w:rsidRPr="00AC1930" w14:paraId="70F9A1C4" w14:textId="77777777">
        <w:trPr>
          <w:trHeight w:val="20"/>
        </w:trPr>
        <w:tc>
          <w:tcPr>
            <w:tcW w:w="1575" w:type="dxa"/>
            <w:vMerge/>
            <w:tcBorders>
              <w:top w:val="nil"/>
              <w:left w:val="nil"/>
              <w:bottom w:val="nil"/>
              <w:right w:val="nil"/>
            </w:tcBorders>
            <w:tcMar>
              <w:top w:w="100" w:type="dxa"/>
              <w:left w:w="100" w:type="dxa"/>
              <w:bottom w:w="100" w:type="dxa"/>
              <w:right w:w="100" w:type="dxa"/>
            </w:tcMar>
          </w:tcPr>
          <w:p w14:paraId="224DEE20" w14:textId="77777777" w:rsidR="002E7E3F" w:rsidRPr="00AC1930" w:rsidRDefault="002E7E3F">
            <w:pPr>
              <w:widowControl w:val="0"/>
              <w:pBdr>
                <w:top w:val="nil"/>
                <w:left w:val="nil"/>
                <w:bottom w:val="nil"/>
                <w:right w:val="nil"/>
                <w:between w:val="nil"/>
              </w:pBdr>
              <w:spacing w:before="0" w:after="0" w:line="276" w:lineRule="auto"/>
              <w:jc w:val="left"/>
              <w:rPr>
                <w:sz w:val="20"/>
                <w:szCs w:val="20"/>
              </w:rPr>
            </w:pPr>
          </w:p>
        </w:tc>
        <w:tc>
          <w:tcPr>
            <w:tcW w:w="1217" w:type="dxa"/>
            <w:tcBorders>
              <w:top w:val="nil"/>
              <w:left w:val="nil"/>
              <w:bottom w:val="nil"/>
              <w:right w:val="nil"/>
            </w:tcBorders>
            <w:shd w:val="clear" w:color="auto" w:fill="auto"/>
            <w:tcMar>
              <w:top w:w="100" w:type="dxa"/>
              <w:left w:w="100" w:type="dxa"/>
              <w:bottom w:w="100" w:type="dxa"/>
              <w:right w:w="100" w:type="dxa"/>
            </w:tcMar>
          </w:tcPr>
          <w:p w14:paraId="22B518FE" w14:textId="77777777" w:rsidR="002E7E3F" w:rsidRPr="00AC1930" w:rsidRDefault="0001118D">
            <w:pPr>
              <w:widowControl w:val="0"/>
              <w:spacing w:before="0" w:after="0" w:line="240" w:lineRule="auto"/>
              <w:jc w:val="center"/>
              <w:rPr>
                <w:sz w:val="20"/>
                <w:szCs w:val="20"/>
              </w:rPr>
            </w:pPr>
            <w:r w:rsidRPr="00AC1930">
              <w:rPr>
                <w:sz w:val="20"/>
                <w:szCs w:val="20"/>
              </w:rPr>
              <w:t>LMX7</w:t>
            </w:r>
          </w:p>
        </w:tc>
        <w:tc>
          <w:tcPr>
            <w:tcW w:w="1218" w:type="dxa"/>
            <w:tcBorders>
              <w:top w:val="nil"/>
              <w:left w:val="nil"/>
              <w:bottom w:val="nil"/>
              <w:right w:val="nil"/>
            </w:tcBorders>
            <w:shd w:val="clear" w:color="auto" w:fill="auto"/>
            <w:tcMar>
              <w:top w:w="100" w:type="dxa"/>
              <w:left w:w="100" w:type="dxa"/>
              <w:bottom w:w="100" w:type="dxa"/>
              <w:right w:w="100" w:type="dxa"/>
            </w:tcMar>
          </w:tcPr>
          <w:p w14:paraId="188C9A2C" w14:textId="77777777" w:rsidR="002E7E3F" w:rsidRPr="00AC1930" w:rsidRDefault="0001118D">
            <w:pPr>
              <w:widowControl w:val="0"/>
              <w:spacing w:before="0" w:after="0" w:line="240" w:lineRule="auto"/>
              <w:jc w:val="center"/>
              <w:rPr>
                <w:sz w:val="20"/>
                <w:szCs w:val="20"/>
              </w:rPr>
            </w:pPr>
            <w:r w:rsidRPr="00AC1930">
              <w:rPr>
                <w:sz w:val="20"/>
                <w:szCs w:val="20"/>
              </w:rPr>
              <w:t>0.684</w:t>
            </w:r>
          </w:p>
        </w:tc>
        <w:tc>
          <w:tcPr>
            <w:tcW w:w="1217" w:type="dxa"/>
            <w:tcBorders>
              <w:top w:val="nil"/>
              <w:left w:val="nil"/>
              <w:bottom w:val="nil"/>
              <w:right w:val="nil"/>
            </w:tcBorders>
            <w:shd w:val="clear" w:color="auto" w:fill="auto"/>
            <w:tcMar>
              <w:top w:w="100" w:type="dxa"/>
              <w:left w:w="100" w:type="dxa"/>
              <w:bottom w:w="100" w:type="dxa"/>
              <w:right w:w="100" w:type="dxa"/>
            </w:tcMar>
          </w:tcPr>
          <w:p w14:paraId="650351EA"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nil"/>
              <w:left w:val="nil"/>
              <w:bottom w:val="nil"/>
              <w:right w:val="nil"/>
            </w:tcBorders>
            <w:shd w:val="clear" w:color="auto" w:fill="auto"/>
            <w:tcMar>
              <w:top w:w="100" w:type="dxa"/>
              <w:left w:w="100" w:type="dxa"/>
              <w:bottom w:w="100" w:type="dxa"/>
              <w:right w:w="100" w:type="dxa"/>
            </w:tcMar>
          </w:tcPr>
          <w:p w14:paraId="4B6A663C"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7" w:type="dxa"/>
            <w:tcBorders>
              <w:top w:val="nil"/>
              <w:left w:val="nil"/>
              <w:bottom w:val="nil"/>
              <w:right w:val="nil"/>
            </w:tcBorders>
            <w:shd w:val="clear" w:color="auto" w:fill="auto"/>
            <w:tcMar>
              <w:top w:w="100" w:type="dxa"/>
              <w:left w:w="100" w:type="dxa"/>
              <w:bottom w:w="100" w:type="dxa"/>
              <w:right w:w="100" w:type="dxa"/>
            </w:tcMar>
          </w:tcPr>
          <w:p w14:paraId="4BE0D8AC"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nil"/>
              <w:left w:val="nil"/>
              <w:bottom w:val="nil"/>
              <w:right w:val="nil"/>
            </w:tcBorders>
            <w:shd w:val="clear" w:color="auto" w:fill="auto"/>
            <w:tcMar>
              <w:top w:w="100" w:type="dxa"/>
              <w:left w:w="100" w:type="dxa"/>
              <w:bottom w:w="100" w:type="dxa"/>
              <w:right w:w="100" w:type="dxa"/>
            </w:tcMar>
          </w:tcPr>
          <w:p w14:paraId="0BE52643"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r>
      <w:tr w:rsidR="00AC1930" w:rsidRPr="00AC1930" w14:paraId="5104CDC9" w14:textId="77777777">
        <w:trPr>
          <w:trHeight w:val="20"/>
        </w:trPr>
        <w:tc>
          <w:tcPr>
            <w:tcW w:w="1575" w:type="dxa"/>
            <w:vMerge w:val="restart"/>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33BFDCB5" w14:textId="77777777" w:rsidR="002E7E3F" w:rsidRPr="00AC1930" w:rsidRDefault="0001118D">
            <w:pPr>
              <w:widowControl w:val="0"/>
              <w:spacing w:before="0" w:after="0" w:line="240" w:lineRule="auto"/>
              <w:jc w:val="center"/>
              <w:rPr>
                <w:b/>
                <w:sz w:val="20"/>
                <w:szCs w:val="20"/>
              </w:rPr>
            </w:pPr>
            <w:r w:rsidRPr="00AC1930">
              <w:rPr>
                <w:b/>
                <w:sz w:val="20"/>
                <w:szCs w:val="20"/>
              </w:rPr>
              <w:t>Self-Regulation</w:t>
            </w:r>
          </w:p>
        </w:tc>
        <w:tc>
          <w:tcPr>
            <w:tcW w:w="1217"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6282D302" w14:textId="77777777" w:rsidR="002E7E3F" w:rsidRPr="00AC1930" w:rsidRDefault="0001118D">
            <w:pPr>
              <w:widowControl w:val="0"/>
              <w:spacing w:before="0" w:after="0" w:line="240" w:lineRule="auto"/>
              <w:jc w:val="center"/>
              <w:rPr>
                <w:sz w:val="20"/>
                <w:szCs w:val="20"/>
              </w:rPr>
            </w:pPr>
            <w:r w:rsidRPr="00AC1930">
              <w:rPr>
                <w:sz w:val="20"/>
                <w:szCs w:val="20"/>
              </w:rPr>
              <w:t>SR1</w:t>
            </w:r>
          </w:p>
        </w:tc>
        <w:tc>
          <w:tcPr>
            <w:tcW w:w="12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FE5E9F6" w14:textId="77777777" w:rsidR="002E7E3F" w:rsidRPr="00AC1930" w:rsidRDefault="0001118D">
            <w:pPr>
              <w:widowControl w:val="0"/>
              <w:spacing w:before="0" w:after="0" w:line="240" w:lineRule="auto"/>
              <w:jc w:val="center"/>
              <w:rPr>
                <w:sz w:val="20"/>
                <w:szCs w:val="20"/>
              </w:rPr>
            </w:pPr>
            <w:r w:rsidRPr="00AC1930">
              <w:rPr>
                <w:sz w:val="20"/>
                <w:szCs w:val="20"/>
              </w:rPr>
              <w:t>0.807</w:t>
            </w:r>
          </w:p>
        </w:tc>
        <w:tc>
          <w:tcPr>
            <w:tcW w:w="1217"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24D7455" w14:textId="77777777" w:rsidR="002E7E3F" w:rsidRPr="00AC1930" w:rsidRDefault="0001118D">
            <w:pPr>
              <w:widowControl w:val="0"/>
              <w:spacing w:before="0" w:after="0" w:line="240" w:lineRule="auto"/>
              <w:jc w:val="center"/>
              <w:rPr>
                <w:sz w:val="20"/>
                <w:szCs w:val="20"/>
              </w:rPr>
            </w:pPr>
            <w:r w:rsidRPr="00AC1930">
              <w:rPr>
                <w:sz w:val="20"/>
                <w:szCs w:val="20"/>
              </w:rPr>
              <w:t>0.901</w:t>
            </w:r>
          </w:p>
        </w:tc>
        <w:tc>
          <w:tcPr>
            <w:tcW w:w="12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3074C549" w14:textId="77777777" w:rsidR="002E7E3F" w:rsidRPr="00AC1930" w:rsidRDefault="0001118D">
            <w:pPr>
              <w:widowControl w:val="0"/>
              <w:spacing w:before="0" w:after="0" w:line="240" w:lineRule="auto"/>
              <w:jc w:val="center"/>
              <w:rPr>
                <w:sz w:val="20"/>
                <w:szCs w:val="20"/>
              </w:rPr>
            </w:pPr>
            <w:r w:rsidRPr="00AC1930">
              <w:rPr>
                <w:sz w:val="20"/>
                <w:szCs w:val="20"/>
              </w:rPr>
              <w:t>0.901</w:t>
            </w:r>
          </w:p>
        </w:tc>
        <w:tc>
          <w:tcPr>
            <w:tcW w:w="1217"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AC14449" w14:textId="77777777" w:rsidR="002E7E3F" w:rsidRPr="00AC1930" w:rsidRDefault="0001118D">
            <w:pPr>
              <w:widowControl w:val="0"/>
              <w:spacing w:before="0" w:after="0" w:line="240" w:lineRule="auto"/>
              <w:jc w:val="center"/>
              <w:rPr>
                <w:sz w:val="20"/>
                <w:szCs w:val="20"/>
              </w:rPr>
            </w:pPr>
            <w:r w:rsidRPr="00AC1930">
              <w:rPr>
                <w:sz w:val="20"/>
                <w:szCs w:val="20"/>
              </w:rPr>
              <w:t>0.900</w:t>
            </w:r>
          </w:p>
        </w:tc>
        <w:tc>
          <w:tcPr>
            <w:tcW w:w="12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336551ED" w14:textId="77777777" w:rsidR="002E7E3F" w:rsidRPr="00AC1930" w:rsidRDefault="0001118D">
            <w:pPr>
              <w:widowControl w:val="0"/>
              <w:spacing w:before="0" w:after="0" w:line="240" w:lineRule="auto"/>
              <w:jc w:val="center"/>
              <w:rPr>
                <w:sz w:val="20"/>
                <w:szCs w:val="20"/>
              </w:rPr>
            </w:pPr>
            <w:r w:rsidRPr="00AC1930">
              <w:rPr>
                <w:sz w:val="20"/>
                <w:szCs w:val="20"/>
              </w:rPr>
              <w:t>0.562</w:t>
            </w:r>
          </w:p>
        </w:tc>
      </w:tr>
      <w:tr w:rsidR="00AC1930" w:rsidRPr="00AC1930" w14:paraId="35C4C76C" w14:textId="77777777">
        <w:trPr>
          <w:trHeight w:val="20"/>
        </w:trPr>
        <w:tc>
          <w:tcPr>
            <w:tcW w:w="1575" w:type="dxa"/>
            <w:vMerge/>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05765F2" w14:textId="77777777" w:rsidR="002E7E3F" w:rsidRPr="00AC1930" w:rsidRDefault="002E7E3F">
            <w:pPr>
              <w:widowControl w:val="0"/>
              <w:pBdr>
                <w:top w:val="nil"/>
                <w:left w:val="nil"/>
                <w:bottom w:val="nil"/>
                <w:right w:val="nil"/>
                <w:between w:val="nil"/>
              </w:pBdr>
              <w:spacing w:before="0" w:after="0" w:line="276" w:lineRule="auto"/>
              <w:jc w:val="left"/>
              <w:rPr>
                <w:sz w:val="20"/>
                <w:szCs w:val="20"/>
              </w:rPr>
            </w:pPr>
          </w:p>
        </w:tc>
        <w:tc>
          <w:tcPr>
            <w:tcW w:w="1217" w:type="dxa"/>
            <w:tcBorders>
              <w:top w:val="nil"/>
              <w:left w:val="nil"/>
              <w:bottom w:val="nil"/>
              <w:right w:val="nil"/>
            </w:tcBorders>
            <w:shd w:val="clear" w:color="auto" w:fill="auto"/>
            <w:tcMar>
              <w:top w:w="100" w:type="dxa"/>
              <w:left w:w="100" w:type="dxa"/>
              <w:bottom w:w="100" w:type="dxa"/>
              <w:right w:w="100" w:type="dxa"/>
            </w:tcMar>
          </w:tcPr>
          <w:p w14:paraId="73EECB27" w14:textId="77777777" w:rsidR="002E7E3F" w:rsidRPr="00AC1930" w:rsidRDefault="0001118D">
            <w:pPr>
              <w:widowControl w:val="0"/>
              <w:spacing w:before="0" w:after="0" w:line="240" w:lineRule="auto"/>
              <w:jc w:val="center"/>
              <w:rPr>
                <w:sz w:val="20"/>
                <w:szCs w:val="20"/>
              </w:rPr>
            </w:pPr>
            <w:r w:rsidRPr="00AC1930">
              <w:rPr>
                <w:sz w:val="20"/>
                <w:szCs w:val="20"/>
              </w:rPr>
              <w:t>SR2</w:t>
            </w:r>
          </w:p>
        </w:tc>
        <w:tc>
          <w:tcPr>
            <w:tcW w:w="1218" w:type="dxa"/>
            <w:tcBorders>
              <w:top w:val="nil"/>
              <w:left w:val="nil"/>
              <w:bottom w:val="nil"/>
              <w:right w:val="nil"/>
            </w:tcBorders>
            <w:shd w:val="clear" w:color="auto" w:fill="auto"/>
            <w:tcMar>
              <w:top w:w="100" w:type="dxa"/>
              <w:left w:w="100" w:type="dxa"/>
              <w:bottom w:w="100" w:type="dxa"/>
              <w:right w:w="100" w:type="dxa"/>
            </w:tcMar>
          </w:tcPr>
          <w:p w14:paraId="2AF499FF" w14:textId="77777777" w:rsidR="002E7E3F" w:rsidRPr="00AC1930" w:rsidRDefault="0001118D">
            <w:pPr>
              <w:widowControl w:val="0"/>
              <w:spacing w:before="0" w:after="0" w:line="240" w:lineRule="auto"/>
              <w:jc w:val="center"/>
              <w:rPr>
                <w:sz w:val="20"/>
                <w:szCs w:val="20"/>
              </w:rPr>
            </w:pPr>
            <w:r w:rsidRPr="00AC1930">
              <w:rPr>
                <w:sz w:val="20"/>
                <w:szCs w:val="20"/>
              </w:rPr>
              <w:t>0.759</w:t>
            </w:r>
          </w:p>
        </w:tc>
        <w:tc>
          <w:tcPr>
            <w:tcW w:w="1217" w:type="dxa"/>
            <w:tcBorders>
              <w:top w:val="nil"/>
              <w:left w:val="nil"/>
              <w:bottom w:val="nil"/>
              <w:right w:val="nil"/>
            </w:tcBorders>
            <w:shd w:val="clear" w:color="auto" w:fill="auto"/>
            <w:tcMar>
              <w:top w:w="100" w:type="dxa"/>
              <w:left w:w="100" w:type="dxa"/>
              <w:bottom w:w="100" w:type="dxa"/>
              <w:right w:w="100" w:type="dxa"/>
            </w:tcMar>
          </w:tcPr>
          <w:p w14:paraId="04C484D0"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nil"/>
              <w:left w:val="nil"/>
              <w:bottom w:val="nil"/>
              <w:right w:val="nil"/>
            </w:tcBorders>
            <w:shd w:val="clear" w:color="auto" w:fill="auto"/>
            <w:tcMar>
              <w:top w:w="100" w:type="dxa"/>
              <w:left w:w="100" w:type="dxa"/>
              <w:bottom w:w="100" w:type="dxa"/>
              <w:right w:w="100" w:type="dxa"/>
            </w:tcMar>
          </w:tcPr>
          <w:p w14:paraId="0227C362"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7" w:type="dxa"/>
            <w:tcBorders>
              <w:top w:val="nil"/>
              <w:left w:val="nil"/>
              <w:bottom w:val="nil"/>
              <w:right w:val="nil"/>
            </w:tcBorders>
            <w:shd w:val="clear" w:color="auto" w:fill="auto"/>
            <w:tcMar>
              <w:top w:w="100" w:type="dxa"/>
              <w:left w:w="100" w:type="dxa"/>
              <w:bottom w:w="100" w:type="dxa"/>
              <w:right w:w="100" w:type="dxa"/>
            </w:tcMar>
          </w:tcPr>
          <w:p w14:paraId="4A7F3355"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nil"/>
              <w:left w:val="nil"/>
              <w:bottom w:val="nil"/>
              <w:right w:val="nil"/>
            </w:tcBorders>
            <w:shd w:val="clear" w:color="auto" w:fill="auto"/>
            <w:tcMar>
              <w:top w:w="100" w:type="dxa"/>
              <w:left w:w="100" w:type="dxa"/>
              <w:bottom w:w="100" w:type="dxa"/>
              <w:right w:w="100" w:type="dxa"/>
            </w:tcMar>
          </w:tcPr>
          <w:p w14:paraId="0CE12E95"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r>
      <w:tr w:rsidR="00AC1930" w:rsidRPr="00AC1930" w14:paraId="662D626B" w14:textId="77777777">
        <w:trPr>
          <w:trHeight w:val="20"/>
        </w:trPr>
        <w:tc>
          <w:tcPr>
            <w:tcW w:w="1575" w:type="dxa"/>
            <w:vMerge/>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923440A" w14:textId="77777777" w:rsidR="002E7E3F" w:rsidRPr="00AC1930" w:rsidRDefault="002E7E3F">
            <w:pPr>
              <w:widowControl w:val="0"/>
              <w:pBdr>
                <w:top w:val="nil"/>
                <w:left w:val="nil"/>
                <w:bottom w:val="nil"/>
                <w:right w:val="nil"/>
                <w:between w:val="nil"/>
              </w:pBdr>
              <w:spacing w:before="0" w:after="0" w:line="276" w:lineRule="auto"/>
              <w:jc w:val="left"/>
              <w:rPr>
                <w:sz w:val="20"/>
                <w:szCs w:val="20"/>
              </w:rPr>
            </w:pPr>
          </w:p>
        </w:tc>
        <w:tc>
          <w:tcPr>
            <w:tcW w:w="1217"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38F60A40" w14:textId="77777777" w:rsidR="002E7E3F" w:rsidRPr="00AC1930" w:rsidRDefault="0001118D">
            <w:pPr>
              <w:widowControl w:val="0"/>
              <w:spacing w:before="0" w:after="0" w:line="240" w:lineRule="auto"/>
              <w:jc w:val="center"/>
              <w:rPr>
                <w:sz w:val="20"/>
                <w:szCs w:val="20"/>
              </w:rPr>
            </w:pPr>
            <w:r w:rsidRPr="00AC1930">
              <w:rPr>
                <w:sz w:val="20"/>
                <w:szCs w:val="20"/>
              </w:rPr>
              <w:t>SR3</w:t>
            </w:r>
          </w:p>
        </w:tc>
        <w:tc>
          <w:tcPr>
            <w:tcW w:w="12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1F41230" w14:textId="77777777" w:rsidR="002E7E3F" w:rsidRPr="00AC1930" w:rsidRDefault="0001118D">
            <w:pPr>
              <w:widowControl w:val="0"/>
              <w:spacing w:before="0" w:after="0" w:line="240" w:lineRule="auto"/>
              <w:jc w:val="center"/>
              <w:rPr>
                <w:sz w:val="20"/>
                <w:szCs w:val="20"/>
              </w:rPr>
            </w:pPr>
            <w:r w:rsidRPr="00AC1930">
              <w:rPr>
                <w:sz w:val="20"/>
                <w:szCs w:val="20"/>
              </w:rPr>
              <w:t>0.670</w:t>
            </w:r>
          </w:p>
        </w:tc>
        <w:tc>
          <w:tcPr>
            <w:tcW w:w="1217"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B6AAC95"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666B8E3E"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7"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73CD09E"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31C0D0D"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r>
      <w:tr w:rsidR="00AC1930" w:rsidRPr="00AC1930" w14:paraId="26CE40E5" w14:textId="77777777">
        <w:trPr>
          <w:trHeight w:val="20"/>
        </w:trPr>
        <w:tc>
          <w:tcPr>
            <w:tcW w:w="1575" w:type="dxa"/>
            <w:vMerge/>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62593A3" w14:textId="77777777" w:rsidR="002E7E3F" w:rsidRPr="00AC1930" w:rsidRDefault="002E7E3F">
            <w:pPr>
              <w:widowControl w:val="0"/>
              <w:pBdr>
                <w:top w:val="nil"/>
                <w:left w:val="nil"/>
                <w:bottom w:val="nil"/>
                <w:right w:val="nil"/>
                <w:between w:val="nil"/>
              </w:pBdr>
              <w:spacing w:before="0" w:after="0" w:line="276" w:lineRule="auto"/>
              <w:jc w:val="left"/>
              <w:rPr>
                <w:sz w:val="20"/>
                <w:szCs w:val="20"/>
              </w:rPr>
            </w:pPr>
          </w:p>
        </w:tc>
        <w:tc>
          <w:tcPr>
            <w:tcW w:w="1217" w:type="dxa"/>
            <w:tcBorders>
              <w:top w:val="nil"/>
              <w:left w:val="nil"/>
              <w:bottom w:val="nil"/>
              <w:right w:val="nil"/>
            </w:tcBorders>
            <w:shd w:val="clear" w:color="auto" w:fill="auto"/>
            <w:tcMar>
              <w:top w:w="100" w:type="dxa"/>
              <w:left w:w="100" w:type="dxa"/>
              <w:bottom w:w="100" w:type="dxa"/>
              <w:right w:w="100" w:type="dxa"/>
            </w:tcMar>
          </w:tcPr>
          <w:p w14:paraId="1A9DD339" w14:textId="77777777" w:rsidR="002E7E3F" w:rsidRPr="00AC1930" w:rsidRDefault="0001118D">
            <w:pPr>
              <w:widowControl w:val="0"/>
              <w:spacing w:before="0" w:after="0" w:line="240" w:lineRule="auto"/>
              <w:jc w:val="center"/>
              <w:rPr>
                <w:sz w:val="20"/>
                <w:szCs w:val="20"/>
              </w:rPr>
            </w:pPr>
            <w:r w:rsidRPr="00AC1930">
              <w:rPr>
                <w:sz w:val="20"/>
                <w:szCs w:val="20"/>
              </w:rPr>
              <w:t>SR4</w:t>
            </w:r>
          </w:p>
        </w:tc>
        <w:tc>
          <w:tcPr>
            <w:tcW w:w="1218" w:type="dxa"/>
            <w:tcBorders>
              <w:top w:val="nil"/>
              <w:left w:val="nil"/>
              <w:bottom w:val="nil"/>
              <w:right w:val="nil"/>
            </w:tcBorders>
            <w:shd w:val="clear" w:color="auto" w:fill="auto"/>
            <w:tcMar>
              <w:top w:w="100" w:type="dxa"/>
              <w:left w:w="100" w:type="dxa"/>
              <w:bottom w:w="100" w:type="dxa"/>
              <w:right w:w="100" w:type="dxa"/>
            </w:tcMar>
          </w:tcPr>
          <w:p w14:paraId="33BCE0B0" w14:textId="77777777" w:rsidR="002E7E3F" w:rsidRPr="00AC1930" w:rsidRDefault="0001118D">
            <w:pPr>
              <w:widowControl w:val="0"/>
              <w:spacing w:before="0" w:after="0" w:line="240" w:lineRule="auto"/>
              <w:jc w:val="center"/>
              <w:rPr>
                <w:sz w:val="20"/>
                <w:szCs w:val="20"/>
              </w:rPr>
            </w:pPr>
            <w:r w:rsidRPr="00AC1930">
              <w:rPr>
                <w:sz w:val="20"/>
                <w:szCs w:val="20"/>
              </w:rPr>
              <w:t>0.782</w:t>
            </w:r>
          </w:p>
        </w:tc>
        <w:tc>
          <w:tcPr>
            <w:tcW w:w="1217" w:type="dxa"/>
            <w:tcBorders>
              <w:top w:val="nil"/>
              <w:left w:val="nil"/>
              <w:bottom w:val="nil"/>
              <w:right w:val="nil"/>
            </w:tcBorders>
            <w:shd w:val="clear" w:color="auto" w:fill="auto"/>
            <w:tcMar>
              <w:top w:w="100" w:type="dxa"/>
              <w:left w:w="100" w:type="dxa"/>
              <w:bottom w:w="100" w:type="dxa"/>
              <w:right w:w="100" w:type="dxa"/>
            </w:tcMar>
          </w:tcPr>
          <w:p w14:paraId="70049581"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nil"/>
              <w:left w:val="nil"/>
              <w:bottom w:val="nil"/>
              <w:right w:val="nil"/>
            </w:tcBorders>
            <w:shd w:val="clear" w:color="auto" w:fill="auto"/>
            <w:tcMar>
              <w:top w:w="100" w:type="dxa"/>
              <w:left w:w="100" w:type="dxa"/>
              <w:bottom w:w="100" w:type="dxa"/>
              <w:right w:w="100" w:type="dxa"/>
            </w:tcMar>
          </w:tcPr>
          <w:p w14:paraId="7AE86055"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7" w:type="dxa"/>
            <w:tcBorders>
              <w:top w:val="nil"/>
              <w:left w:val="nil"/>
              <w:bottom w:val="nil"/>
              <w:right w:val="nil"/>
            </w:tcBorders>
            <w:shd w:val="clear" w:color="auto" w:fill="auto"/>
            <w:tcMar>
              <w:top w:w="100" w:type="dxa"/>
              <w:left w:w="100" w:type="dxa"/>
              <w:bottom w:w="100" w:type="dxa"/>
              <w:right w:w="100" w:type="dxa"/>
            </w:tcMar>
          </w:tcPr>
          <w:p w14:paraId="3FC4A16D"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nil"/>
              <w:left w:val="nil"/>
              <w:bottom w:val="nil"/>
              <w:right w:val="nil"/>
            </w:tcBorders>
            <w:shd w:val="clear" w:color="auto" w:fill="auto"/>
            <w:tcMar>
              <w:top w:w="100" w:type="dxa"/>
              <w:left w:w="100" w:type="dxa"/>
              <w:bottom w:w="100" w:type="dxa"/>
              <w:right w:w="100" w:type="dxa"/>
            </w:tcMar>
          </w:tcPr>
          <w:p w14:paraId="7571B8DF"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r>
      <w:tr w:rsidR="00AC1930" w:rsidRPr="00AC1930" w14:paraId="78F975A6" w14:textId="77777777">
        <w:trPr>
          <w:trHeight w:val="20"/>
        </w:trPr>
        <w:tc>
          <w:tcPr>
            <w:tcW w:w="1575" w:type="dxa"/>
            <w:vMerge/>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19C4AA9" w14:textId="77777777" w:rsidR="002E7E3F" w:rsidRPr="00AC1930" w:rsidRDefault="002E7E3F">
            <w:pPr>
              <w:widowControl w:val="0"/>
              <w:pBdr>
                <w:top w:val="nil"/>
                <w:left w:val="nil"/>
                <w:bottom w:val="nil"/>
                <w:right w:val="nil"/>
                <w:between w:val="nil"/>
              </w:pBdr>
              <w:spacing w:before="0" w:after="0" w:line="276" w:lineRule="auto"/>
              <w:jc w:val="left"/>
              <w:rPr>
                <w:sz w:val="20"/>
                <w:szCs w:val="20"/>
              </w:rPr>
            </w:pPr>
          </w:p>
        </w:tc>
        <w:tc>
          <w:tcPr>
            <w:tcW w:w="1217"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3E91B72" w14:textId="77777777" w:rsidR="002E7E3F" w:rsidRPr="00AC1930" w:rsidRDefault="0001118D">
            <w:pPr>
              <w:widowControl w:val="0"/>
              <w:spacing w:before="0" w:after="0" w:line="240" w:lineRule="auto"/>
              <w:jc w:val="center"/>
              <w:rPr>
                <w:sz w:val="20"/>
                <w:szCs w:val="20"/>
              </w:rPr>
            </w:pPr>
            <w:r w:rsidRPr="00AC1930">
              <w:rPr>
                <w:sz w:val="20"/>
                <w:szCs w:val="20"/>
              </w:rPr>
              <w:t>SR5</w:t>
            </w:r>
          </w:p>
        </w:tc>
        <w:tc>
          <w:tcPr>
            <w:tcW w:w="12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0CECD63" w14:textId="77777777" w:rsidR="002E7E3F" w:rsidRPr="00AC1930" w:rsidRDefault="0001118D">
            <w:pPr>
              <w:widowControl w:val="0"/>
              <w:spacing w:before="0" w:after="0" w:line="240" w:lineRule="auto"/>
              <w:jc w:val="center"/>
              <w:rPr>
                <w:sz w:val="20"/>
                <w:szCs w:val="20"/>
              </w:rPr>
            </w:pPr>
            <w:r w:rsidRPr="00AC1930">
              <w:rPr>
                <w:sz w:val="20"/>
                <w:szCs w:val="20"/>
              </w:rPr>
              <w:t>0.750</w:t>
            </w:r>
          </w:p>
        </w:tc>
        <w:tc>
          <w:tcPr>
            <w:tcW w:w="1217"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8AA3B3D"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5AF58B2"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7"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2EA6DB8"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6800982"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r>
      <w:tr w:rsidR="00AC1930" w:rsidRPr="00AC1930" w14:paraId="7B8FBF5E" w14:textId="77777777">
        <w:trPr>
          <w:trHeight w:val="20"/>
        </w:trPr>
        <w:tc>
          <w:tcPr>
            <w:tcW w:w="1575" w:type="dxa"/>
            <w:vMerge/>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5234EB4" w14:textId="77777777" w:rsidR="002E7E3F" w:rsidRPr="00AC1930" w:rsidRDefault="002E7E3F">
            <w:pPr>
              <w:widowControl w:val="0"/>
              <w:pBdr>
                <w:top w:val="nil"/>
                <w:left w:val="nil"/>
                <w:bottom w:val="nil"/>
                <w:right w:val="nil"/>
                <w:between w:val="nil"/>
              </w:pBdr>
              <w:spacing w:before="0" w:after="0" w:line="276" w:lineRule="auto"/>
              <w:jc w:val="left"/>
              <w:rPr>
                <w:sz w:val="20"/>
                <w:szCs w:val="20"/>
              </w:rPr>
            </w:pPr>
          </w:p>
        </w:tc>
        <w:tc>
          <w:tcPr>
            <w:tcW w:w="1217" w:type="dxa"/>
            <w:tcBorders>
              <w:top w:val="nil"/>
              <w:left w:val="nil"/>
              <w:bottom w:val="nil"/>
              <w:right w:val="nil"/>
            </w:tcBorders>
            <w:shd w:val="clear" w:color="auto" w:fill="auto"/>
            <w:tcMar>
              <w:top w:w="100" w:type="dxa"/>
              <w:left w:w="100" w:type="dxa"/>
              <w:bottom w:w="100" w:type="dxa"/>
              <w:right w:w="100" w:type="dxa"/>
            </w:tcMar>
          </w:tcPr>
          <w:p w14:paraId="068F0A5D" w14:textId="77777777" w:rsidR="002E7E3F" w:rsidRPr="00AC1930" w:rsidRDefault="0001118D">
            <w:pPr>
              <w:widowControl w:val="0"/>
              <w:spacing w:before="0" w:after="0" w:line="240" w:lineRule="auto"/>
              <w:jc w:val="center"/>
              <w:rPr>
                <w:sz w:val="20"/>
                <w:szCs w:val="20"/>
              </w:rPr>
            </w:pPr>
            <w:r w:rsidRPr="00AC1930">
              <w:rPr>
                <w:sz w:val="20"/>
                <w:szCs w:val="20"/>
              </w:rPr>
              <w:t>SR6</w:t>
            </w:r>
          </w:p>
        </w:tc>
        <w:tc>
          <w:tcPr>
            <w:tcW w:w="1218" w:type="dxa"/>
            <w:tcBorders>
              <w:top w:val="nil"/>
              <w:left w:val="nil"/>
              <w:bottom w:val="nil"/>
              <w:right w:val="nil"/>
            </w:tcBorders>
            <w:shd w:val="clear" w:color="auto" w:fill="auto"/>
            <w:tcMar>
              <w:top w:w="100" w:type="dxa"/>
              <w:left w:w="100" w:type="dxa"/>
              <w:bottom w:w="100" w:type="dxa"/>
              <w:right w:w="100" w:type="dxa"/>
            </w:tcMar>
          </w:tcPr>
          <w:p w14:paraId="388D4363" w14:textId="77777777" w:rsidR="002E7E3F" w:rsidRPr="00AC1930" w:rsidRDefault="0001118D">
            <w:pPr>
              <w:widowControl w:val="0"/>
              <w:spacing w:before="0" w:after="0" w:line="240" w:lineRule="auto"/>
              <w:jc w:val="center"/>
              <w:rPr>
                <w:sz w:val="20"/>
                <w:szCs w:val="20"/>
              </w:rPr>
            </w:pPr>
            <w:r w:rsidRPr="00AC1930">
              <w:rPr>
                <w:sz w:val="20"/>
                <w:szCs w:val="20"/>
              </w:rPr>
              <w:t>0.736</w:t>
            </w:r>
          </w:p>
        </w:tc>
        <w:tc>
          <w:tcPr>
            <w:tcW w:w="1217" w:type="dxa"/>
            <w:tcBorders>
              <w:top w:val="nil"/>
              <w:left w:val="nil"/>
              <w:bottom w:val="nil"/>
              <w:right w:val="nil"/>
            </w:tcBorders>
            <w:shd w:val="clear" w:color="auto" w:fill="auto"/>
            <w:tcMar>
              <w:top w:w="100" w:type="dxa"/>
              <w:left w:w="100" w:type="dxa"/>
              <w:bottom w:w="100" w:type="dxa"/>
              <w:right w:w="100" w:type="dxa"/>
            </w:tcMar>
          </w:tcPr>
          <w:p w14:paraId="1E5F103F"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nil"/>
              <w:left w:val="nil"/>
              <w:bottom w:val="nil"/>
              <w:right w:val="nil"/>
            </w:tcBorders>
            <w:shd w:val="clear" w:color="auto" w:fill="auto"/>
            <w:tcMar>
              <w:top w:w="100" w:type="dxa"/>
              <w:left w:w="100" w:type="dxa"/>
              <w:bottom w:w="100" w:type="dxa"/>
              <w:right w:w="100" w:type="dxa"/>
            </w:tcMar>
          </w:tcPr>
          <w:p w14:paraId="3FFF0E37"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7" w:type="dxa"/>
            <w:tcBorders>
              <w:top w:val="nil"/>
              <w:left w:val="nil"/>
              <w:bottom w:val="nil"/>
              <w:right w:val="nil"/>
            </w:tcBorders>
            <w:shd w:val="clear" w:color="auto" w:fill="auto"/>
            <w:tcMar>
              <w:top w:w="100" w:type="dxa"/>
              <w:left w:w="100" w:type="dxa"/>
              <w:bottom w:w="100" w:type="dxa"/>
              <w:right w:w="100" w:type="dxa"/>
            </w:tcMar>
          </w:tcPr>
          <w:p w14:paraId="36D118D7"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nil"/>
              <w:left w:val="nil"/>
              <w:bottom w:val="nil"/>
              <w:right w:val="nil"/>
            </w:tcBorders>
            <w:shd w:val="clear" w:color="auto" w:fill="auto"/>
            <w:tcMar>
              <w:top w:w="100" w:type="dxa"/>
              <w:left w:w="100" w:type="dxa"/>
              <w:bottom w:w="100" w:type="dxa"/>
              <w:right w:w="100" w:type="dxa"/>
            </w:tcMar>
          </w:tcPr>
          <w:p w14:paraId="0EB2C72D"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r>
      <w:tr w:rsidR="00AC1930" w:rsidRPr="00AC1930" w14:paraId="753B881A" w14:textId="77777777">
        <w:trPr>
          <w:trHeight w:val="20"/>
        </w:trPr>
        <w:tc>
          <w:tcPr>
            <w:tcW w:w="1575" w:type="dxa"/>
            <w:vMerge/>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4AD77ED" w14:textId="77777777" w:rsidR="002E7E3F" w:rsidRPr="00AC1930" w:rsidRDefault="002E7E3F">
            <w:pPr>
              <w:widowControl w:val="0"/>
              <w:pBdr>
                <w:top w:val="nil"/>
                <w:left w:val="nil"/>
                <w:bottom w:val="nil"/>
                <w:right w:val="nil"/>
                <w:between w:val="nil"/>
              </w:pBdr>
              <w:spacing w:before="0" w:after="0" w:line="276" w:lineRule="auto"/>
              <w:jc w:val="left"/>
              <w:rPr>
                <w:sz w:val="20"/>
                <w:szCs w:val="20"/>
              </w:rPr>
            </w:pPr>
          </w:p>
        </w:tc>
        <w:tc>
          <w:tcPr>
            <w:tcW w:w="1217"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DDEA5D4" w14:textId="77777777" w:rsidR="002E7E3F" w:rsidRPr="00AC1930" w:rsidRDefault="0001118D">
            <w:pPr>
              <w:widowControl w:val="0"/>
              <w:spacing w:before="0" w:after="0" w:line="240" w:lineRule="auto"/>
              <w:jc w:val="center"/>
              <w:rPr>
                <w:sz w:val="20"/>
                <w:szCs w:val="20"/>
              </w:rPr>
            </w:pPr>
            <w:r w:rsidRPr="00AC1930">
              <w:rPr>
                <w:sz w:val="20"/>
                <w:szCs w:val="20"/>
              </w:rPr>
              <w:t>SR7</w:t>
            </w:r>
          </w:p>
        </w:tc>
        <w:tc>
          <w:tcPr>
            <w:tcW w:w="12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18C6A9F" w14:textId="77777777" w:rsidR="002E7E3F" w:rsidRPr="00AC1930" w:rsidRDefault="0001118D">
            <w:pPr>
              <w:widowControl w:val="0"/>
              <w:spacing w:before="0" w:after="0" w:line="240" w:lineRule="auto"/>
              <w:jc w:val="center"/>
              <w:rPr>
                <w:sz w:val="20"/>
                <w:szCs w:val="20"/>
              </w:rPr>
            </w:pPr>
            <w:r w:rsidRPr="00AC1930">
              <w:rPr>
                <w:sz w:val="20"/>
                <w:szCs w:val="20"/>
              </w:rPr>
              <w:t>0.738</w:t>
            </w:r>
          </w:p>
        </w:tc>
        <w:tc>
          <w:tcPr>
            <w:tcW w:w="1217"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2E2F682"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8179B2A"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7"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CA8799B"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64DE449"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r>
      <w:tr w:rsidR="00AC1930" w:rsidRPr="00AC1930" w14:paraId="5F71227B" w14:textId="77777777">
        <w:trPr>
          <w:trHeight w:val="20"/>
        </w:trPr>
        <w:tc>
          <w:tcPr>
            <w:tcW w:w="1575" w:type="dxa"/>
            <w:vMerge w:val="restart"/>
            <w:tcBorders>
              <w:top w:val="nil"/>
              <w:left w:val="nil"/>
              <w:bottom w:val="single" w:sz="8" w:space="0" w:color="7F7F7F"/>
              <w:right w:val="nil"/>
            </w:tcBorders>
            <w:shd w:val="clear" w:color="auto" w:fill="auto"/>
            <w:tcMar>
              <w:top w:w="100" w:type="dxa"/>
              <w:left w:w="100" w:type="dxa"/>
              <w:bottom w:w="100" w:type="dxa"/>
              <w:right w:w="100" w:type="dxa"/>
            </w:tcMar>
          </w:tcPr>
          <w:p w14:paraId="07E14782" w14:textId="77777777" w:rsidR="002E7E3F" w:rsidRPr="00AC1930" w:rsidRDefault="0001118D">
            <w:pPr>
              <w:widowControl w:val="0"/>
              <w:spacing w:before="0" w:after="0" w:line="240" w:lineRule="auto"/>
              <w:jc w:val="center"/>
              <w:rPr>
                <w:b/>
                <w:sz w:val="20"/>
                <w:szCs w:val="20"/>
              </w:rPr>
            </w:pPr>
            <w:r w:rsidRPr="00AC1930">
              <w:rPr>
                <w:b/>
                <w:sz w:val="20"/>
                <w:szCs w:val="20"/>
              </w:rPr>
              <w:t>Work Alienation</w:t>
            </w:r>
          </w:p>
        </w:tc>
        <w:tc>
          <w:tcPr>
            <w:tcW w:w="1217" w:type="dxa"/>
            <w:tcBorders>
              <w:top w:val="nil"/>
              <w:left w:val="nil"/>
              <w:bottom w:val="nil"/>
              <w:right w:val="nil"/>
            </w:tcBorders>
            <w:shd w:val="clear" w:color="auto" w:fill="auto"/>
            <w:tcMar>
              <w:top w:w="100" w:type="dxa"/>
              <w:left w:w="100" w:type="dxa"/>
              <w:bottom w:w="100" w:type="dxa"/>
              <w:right w:w="100" w:type="dxa"/>
            </w:tcMar>
          </w:tcPr>
          <w:p w14:paraId="6880F5A7" w14:textId="77777777" w:rsidR="002E7E3F" w:rsidRPr="00AC1930" w:rsidRDefault="0001118D">
            <w:pPr>
              <w:widowControl w:val="0"/>
              <w:spacing w:before="0" w:after="0" w:line="240" w:lineRule="auto"/>
              <w:jc w:val="center"/>
              <w:rPr>
                <w:sz w:val="20"/>
                <w:szCs w:val="20"/>
              </w:rPr>
            </w:pPr>
            <w:r w:rsidRPr="00AC1930">
              <w:rPr>
                <w:sz w:val="20"/>
                <w:szCs w:val="20"/>
              </w:rPr>
              <w:t>WA1</w:t>
            </w:r>
          </w:p>
        </w:tc>
        <w:tc>
          <w:tcPr>
            <w:tcW w:w="1218" w:type="dxa"/>
            <w:tcBorders>
              <w:top w:val="nil"/>
              <w:left w:val="nil"/>
              <w:bottom w:val="nil"/>
              <w:right w:val="nil"/>
            </w:tcBorders>
            <w:shd w:val="clear" w:color="auto" w:fill="auto"/>
            <w:tcMar>
              <w:top w:w="100" w:type="dxa"/>
              <w:left w:w="100" w:type="dxa"/>
              <w:bottom w:w="100" w:type="dxa"/>
              <w:right w:w="100" w:type="dxa"/>
            </w:tcMar>
          </w:tcPr>
          <w:p w14:paraId="365D070C" w14:textId="77777777" w:rsidR="002E7E3F" w:rsidRPr="00AC1930" w:rsidRDefault="0001118D">
            <w:pPr>
              <w:widowControl w:val="0"/>
              <w:spacing w:before="0" w:after="0" w:line="240" w:lineRule="auto"/>
              <w:jc w:val="center"/>
              <w:rPr>
                <w:sz w:val="20"/>
                <w:szCs w:val="20"/>
              </w:rPr>
            </w:pPr>
            <w:r w:rsidRPr="00AC1930">
              <w:rPr>
                <w:sz w:val="20"/>
                <w:szCs w:val="20"/>
              </w:rPr>
              <w:t>0.778</w:t>
            </w:r>
          </w:p>
        </w:tc>
        <w:tc>
          <w:tcPr>
            <w:tcW w:w="1217" w:type="dxa"/>
            <w:tcBorders>
              <w:top w:val="nil"/>
              <w:left w:val="nil"/>
              <w:bottom w:val="nil"/>
              <w:right w:val="nil"/>
            </w:tcBorders>
            <w:shd w:val="clear" w:color="auto" w:fill="auto"/>
            <w:tcMar>
              <w:top w:w="100" w:type="dxa"/>
              <w:left w:w="100" w:type="dxa"/>
              <w:bottom w:w="100" w:type="dxa"/>
              <w:right w:w="100" w:type="dxa"/>
            </w:tcMar>
          </w:tcPr>
          <w:p w14:paraId="29E4291C" w14:textId="77777777" w:rsidR="002E7E3F" w:rsidRPr="00AC1930" w:rsidRDefault="0001118D">
            <w:pPr>
              <w:widowControl w:val="0"/>
              <w:spacing w:before="0" w:after="0" w:line="240" w:lineRule="auto"/>
              <w:jc w:val="center"/>
              <w:rPr>
                <w:sz w:val="20"/>
                <w:szCs w:val="20"/>
              </w:rPr>
            </w:pPr>
            <w:r w:rsidRPr="00AC1930">
              <w:rPr>
                <w:sz w:val="20"/>
                <w:szCs w:val="20"/>
              </w:rPr>
              <w:t>0.902</w:t>
            </w:r>
          </w:p>
        </w:tc>
        <w:tc>
          <w:tcPr>
            <w:tcW w:w="1218" w:type="dxa"/>
            <w:tcBorders>
              <w:top w:val="nil"/>
              <w:left w:val="nil"/>
              <w:bottom w:val="nil"/>
              <w:right w:val="nil"/>
            </w:tcBorders>
            <w:shd w:val="clear" w:color="auto" w:fill="auto"/>
            <w:tcMar>
              <w:top w:w="100" w:type="dxa"/>
              <w:left w:w="100" w:type="dxa"/>
              <w:bottom w:w="100" w:type="dxa"/>
              <w:right w:w="100" w:type="dxa"/>
            </w:tcMar>
          </w:tcPr>
          <w:p w14:paraId="3109D12B" w14:textId="77777777" w:rsidR="002E7E3F" w:rsidRPr="00AC1930" w:rsidRDefault="0001118D">
            <w:pPr>
              <w:widowControl w:val="0"/>
              <w:spacing w:before="0" w:after="0" w:line="240" w:lineRule="auto"/>
              <w:jc w:val="center"/>
              <w:rPr>
                <w:sz w:val="20"/>
                <w:szCs w:val="20"/>
              </w:rPr>
            </w:pPr>
            <w:r w:rsidRPr="00AC1930">
              <w:rPr>
                <w:sz w:val="20"/>
                <w:szCs w:val="20"/>
              </w:rPr>
              <w:t>0.904</w:t>
            </w:r>
          </w:p>
        </w:tc>
        <w:tc>
          <w:tcPr>
            <w:tcW w:w="1217" w:type="dxa"/>
            <w:tcBorders>
              <w:top w:val="nil"/>
              <w:left w:val="nil"/>
              <w:bottom w:val="nil"/>
              <w:right w:val="nil"/>
            </w:tcBorders>
            <w:shd w:val="clear" w:color="auto" w:fill="auto"/>
            <w:tcMar>
              <w:top w:w="100" w:type="dxa"/>
              <w:left w:w="100" w:type="dxa"/>
              <w:bottom w:w="100" w:type="dxa"/>
              <w:right w:w="100" w:type="dxa"/>
            </w:tcMar>
          </w:tcPr>
          <w:p w14:paraId="60AA28B9" w14:textId="77777777" w:rsidR="002E7E3F" w:rsidRPr="00AC1930" w:rsidRDefault="0001118D">
            <w:pPr>
              <w:widowControl w:val="0"/>
              <w:spacing w:before="0" w:after="0" w:line="240" w:lineRule="auto"/>
              <w:jc w:val="center"/>
              <w:rPr>
                <w:sz w:val="20"/>
                <w:szCs w:val="20"/>
              </w:rPr>
            </w:pPr>
            <w:r w:rsidRPr="00AC1930">
              <w:rPr>
                <w:sz w:val="20"/>
                <w:szCs w:val="20"/>
              </w:rPr>
              <w:t>0.901</w:t>
            </w:r>
          </w:p>
        </w:tc>
        <w:tc>
          <w:tcPr>
            <w:tcW w:w="1218" w:type="dxa"/>
            <w:tcBorders>
              <w:top w:val="nil"/>
              <w:left w:val="nil"/>
              <w:bottom w:val="nil"/>
              <w:right w:val="nil"/>
            </w:tcBorders>
            <w:shd w:val="clear" w:color="auto" w:fill="auto"/>
            <w:tcMar>
              <w:top w:w="100" w:type="dxa"/>
              <w:left w:w="100" w:type="dxa"/>
              <w:bottom w:w="100" w:type="dxa"/>
              <w:right w:w="100" w:type="dxa"/>
            </w:tcMar>
          </w:tcPr>
          <w:p w14:paraId="7AE933B2" w14:textId="77777777" w:rsidR="002E7E3F" w:rsidRPr="00AC1930" w:rsidRDefault="0001118D">
            <w:pPr>
              <w:widowControl w:val="0"/>
              <w:spacing w:before="0" w:after="0" w:line="240" w:lineRule="auto"/>
              <w:jc w:val="center"/>
              <w:rPr>
                <w:sz w:val="20"/>
                <w:szCs w:val="20"/>
              </w:rPr>
            </w:pPr>
            <w:r w:rsidRPr="00AC1930">
              <w:rPr>
                <w:sz w:val="20"/>
                <w:szCs w:val="20"/>
              </w:rPr>
              <w:t>0.567</w:t>
            </w:r>
          </w:p>
        </w:tc>
      </w:tr>
      <w:tr w:rsidR="00AC1930" w:rsidRPr="00AC1930" w14:paraId="1FADF664" w14:textId="77777777">
        <w:trPr>
          <w:trHeight w:val="20"/>
        </w:trPr>
        <w:tc>
          <w:tcPr>
            <w:tcW w:w="1575" w:type="dxa"/>
            <w:vMerge/>
            <w:tcBorders>
              <w:top w:val="nil"/>
              <w:left w:val="nil"/>
              <w:bottom w:val="single" w:sz="8" w:space="0" w:color="7F7F7F"/>
              <w:right w:val="nil"/>
            </w:tcBorders>
            <w:shd w:val="clear" w:color="auto" w:fill="auto"/>
            <w:tcMar>
              <w:top w:w="100" w:type="dxa"/>
              <w:left w:w="100" w:type="dxa"/>
              <w:bottom w:w="100" w:type="dxa"/>
              <w:right w:w="100" w:type="dxa"/>
            </w:tcMar>
          </w:tcPr>
          <w:p w14:paraId="1244BB67" w14:textId="77777777" w:rsidR="002E7E3F" w:rsidRPr="00AC1930" w:rsidRDefault="002E7E3F">
            <w:pPr>
              <w:widowControl w:val="0"/>
              <w:pBdr>
                <w:top w:val="nil"/>
                <w:left w:val="nil"/>
                <w:bottom w:val="nil"/>
                <w:right w:val="nil"/>
                <w:between w:val="nil"/>
              </w:pBdr>
              <w:spacing w:before="0" w:after="0" w:line="276" w:lineRule="auto"/>
              <w:jc w:val="left"/>
              <w:rPr>
                <w:sz w:val="20"/>
                <w:szCs w:val="20"/>
              </w:rPr>
            </w:pPr>
          </w:p>
        </w:tc>
        <w:tc>
          <w:tcPr>
            <w:tcW w:w="1217"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1D6156A" w14:textId="77777777" w:rsidR="002E7E3F" w:rsidRPr="00AC1930" w:rsidRDefault="0001118D">
            <w:pPr>
              <w:widowControl w:val="0"/>
              <w:spacing w:before="0" w:after="0" w:line="240" w:lineRule="auto"/>
              <w:jc w:val="center"/>
              <w:rPr>
                <w:sz w:val="20"/>
                <w:szCs w:val="20"/>
              </w:rPr>
            </w:pPr>
            <w:r w:rsidRPr="00AC1930">
              <w:rPr>
                <w:sz w:val="20"/>
                <w:szCs w:val="20"/>
              </w:rPr>
              <w:t>WA2</w:t>
            </w:r>
          </w:p>
        </w:tc>
        <w:tc>
          <w:tcPr>
            <w:tcW w:w="12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3D0069C9" w14:textId="77777777" w:rsidR="002E7E3F" w:rsidRPr="00AC1930" w:rsidRDefault="0001118D">
            <w:pPr>
              <w:widowControl w:val="0"/>
              <w:spacing w:before="0" w:after="0" w:line="240" w:lineRule="auto"/>
              <w:jc w:val="center"/>
              <w:rPr>
                <w:sz w:val="20"/>
                <w:szCs w:val="20"/>
              </w:rPr>
            </w:pPr>
            <w:r w:rsidRPr="00AC1930">
              <w:rPr>
                <w:sz w:val="20"/>
                <w:szCs w:val="20"/>
              </w:rPr>
              <w:t>0.778</w:t>
            </w:r>
          </w:p>
        </w:tc>
        <w:tc>
          <w:tcPr>
            <w:tcW w:w="1217"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3E71B9C"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641B1679"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7"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E3A01E3"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2674AD1"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r>
      <w:tr w:rsidR="00AC1930" w:rsidRPr="00AC1930" w14:paraId="40B76891" w14:textId="77777777">
        <w:trPr>
          <w:trHeight w:val="20"/>
        </w:trPr>
        <w:tc>
          <w:tcPr>
            <w:tcW w:w="1575" w:type="dxa"/>
            <w:vMerge/>
            <w:tcBorders>
              <w:top w:val="nil"/>
              <w:left w:val="nil"/>
              <w:bottom w:val="single" w:sz="8" w:space="0" w:color="7F7F7F"/>
              <w:right w:val="nil"/>
            </w:tcBorders>
            <w:shd w:val="clear" w:color="auto" w:fill="auto"/>
            <w:tcMar>
              <w:top w:w="100" w:type="dxa"/>
              <w:left w:w="100" w:type="dxa"/>
              <w:bottom w:w="100" w:type="dxa"/>
              <w:right w:w="100" w:type="dxa"/>
            </w:tcMar>
          </w:tcPr>
          <w:p w14:paraId="6FD21239" w14:textId="77777777" w:rsidR="002E7E3F" w:rsidRPr="00AC1930" w:rsidRDefault="002E7E3F">
            <w:pPr>
              <w:widowControl w:val="0"/>
              <w:pBdr>
                <w:top w:val="nil"/>
                <w:left w:val="nil"/>
                <w:bottom w:val="nil"/>
                <w:right w:val="nil"/>
                <w:between w:val="nil"/>
              </w:pBdr>
              <w:spacing w:before="0" w:after="0" w:line="276" w:lineRule="auto"/>
              <w:jc w:val="left"/>
              <w:rPr>
                <w:sz w:val="20"/>
                <w:szCs w:val="20"/>
              </w:rPr>
            </w:pPr>
          </w:p>
        </w:tc>
        <w:tc>
          <w:tcPr>
            <w:tcW w:w="1217" w:type="dxa"/>
            <w:tcBorders>
              <w:top w:val="nil"/>
              <w:left w:val="nil"/>
              <w:bottom w:val="nil"/>
              <w:right w:val="nil"/>
            </w:tcBorders>
            <w:shd w:val="clear" w:color="auto" w:fill="auto"/>
            <w:tcMar>
              <w:top w:w="100" w:type="dxa"/>
              <w:left w:w="100" w:type="dxa"/>
              <w:bottom w:w="100" w:type="dxa"/>
              <w:right w:w="100" w:type="dxa"/>
            </w:tcMar>
          </w:tcPr>
          <w:p w14:paraId="691201E0" w14:textId="77777777" w:rsidR="002E7E3F" w:rsidRPr="00AC1930" w:rsidRDefault="0001118D">
            <w:pPr>
              <w:widowControl w:val="0"/>
              <w:spacing w:before="0" w:after="0" w:line="240" w:lineRule="auto"/>
              <w:jc w:val="center"/>
              <w:rPr>
                <w:sz w:val="20"/>
                <w:szCs w:val="20"/>
              </w:rPr>
            </w:pPr>
            <w:r w:rsidRPr="00AC1930">
              <w:rPr>
                <w:sz w:val="20"/>
                <w:szCs w:val="20"/>
              </w:rPr>
              <w:t>WA3</w:t>
            </w:r>
          </w:p>
        </w:tc>
        <w:tc>
          <w:tcPr>
            <w:tcW w:w="1218" w:type="dxa"/>
            <w:tcBorders>
              <w:top w:val="nil"/>
              <w:left w:val="nil"/>
              <w:bottom w:val="nil"/>
              <w:right w:val="nil"/>
            </w:tcBorders>
            <w:shd w:val="clear" w:color="auto" w:fill="auto"/>
            <w:tcMar>
              <w:top w:w="100" w:type="dxa"/>
              <w:left w:w="100" w:type="dxa"/>
              <w:bottom w:w="100" w:type="dxa"/>
              <w:right w:w="100" w:type="dxa"/>
            </w:tcMar>
          </w:tcPr>
          <w:p w14:paraId="72DEE13D" w14:textId="77777777" w:rsidR="002E7E3F" w:rsidRPr="00AC1930" w:rsidRDefault="0001118D">
            <w:pPr>
              <w:widowControl w:val="0"/>
              <w:spacing w:before="0" w:after="0" w:line="240" w:lineRule="auto"/>
              <w:jc w:val="center"/>
              <w:rPr>
                <w:sz w:val="20"/>
                <w:szCs w:val="20"/>
              </w:rPr>
            </w:pPr>
            <w:r w:rsidRPr="00AC1930">
              <w:rPr>
                <w:sz w:val="20"/>
                <w:szCs w:val="20"/>
              </w:rPr>
              <w:t>0.738</w:t>
            </w:r>
          </w:p>
        </w:tc>
        <w:tc>
          <w:tcPr>
            <w:tcW w:w="1217" w:type="dxa"/>
            <w:tcBorders>
              <w:top w:val="nil"/>
              <w:left w:val="nil"/>
              <w:bottom w:val="nil"/>
              <w:right w:val="nil"/>
            </w:tcBorders>
            <w:shd w:val="clear" w:color="auto" w:fill="auto"/>
            <w:tcMar>
              <w:top w:w="100" w:type="dxa"/>
              <w:left w:w="100" w:type="dxa"/>
              <w:bottom w:w="100" w:type="dxa"/>
              <w:right w:w="100" w:type="dxa"/>
            </w:tcMar>
          </w:tcPr>
          <w:p w14:paraId="6B73CC75"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nil"/>
              <w:left w:val="nil"/>
              <w:bottom w:val="nil"/>
              <w:right w:val="nil"/>
            </w:tcBorders>
            <w:shd w:val="clear" w:color="auto" w:fill="auto"/>
            <w:tcMar>
              <w:top w:w="100" w:type="dxa"/>
              <w:left w:w="100" w:type="dxa"/>
              <w:bottom w:w="100" w:type="dxa"/>
              <w:right w:w="100" w:type="dxa"/>
            </w:tcMar>
          </w:tcPr>
          <w:p w14:paraId="5477828A"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7" w:type="dxa"/>
            <w:tcBorders>
              <w:top w:val="nil"/>
              <w:left w:val="nil"/>
              <w:bottom w:val="nil"/>
              <w:right w:val="nil"/>
            </w:tcBorders>
            <w:shd w:val="clear" w:color="auto" w:fill="auto"/>
            <w:tcMar>
              <w:top w:w="100" w:type="dxa"/>
              <w:left w:w="100" w:type="dxa"/>
              <w:bottom w:w="100" w:type="dxa"/>
              <w:right w:w="100" w:type="dxa"/>
            </w:tcMar>
          </w:tcPr>
          <w:p w14:paraId="07D7C07A"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nil"/>
              <w:left w:val="nil"/>
              <w:bottom w:val="nil"/>
              <w:right w:val="nil"/>
            </w:tcBorders>
            <w:shd w:val="clear" w:color="auto" w:fill="auto"/>
            <w:tcMar>
              <w:top w:w="100" w:type="dxa"/>
              <w:left w:w="100" w:type="dxa"/>
              <w:bottom w:w="100" w:type="dxa"/>
              <w:right w:w="100" w:type="dxa"/>
            </w:tcMar>
          </w:tcPr>
          <w:p w14:paraId="7AFFC1B6"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r>
      <w:tr w:rsidR="00AC1930" w:rsidRPr="00AC1930" w14:paraId="4725EDC4" w14:textId="77777777">
        <w:trPr>
          <w:trHeight w:val="20"/>
        </w:trPr>
        <w:tc>
          <w:tcPr>
            <w:tcW w:w="1575" w:type="dxa"/>
            <w:vMerge/>
            <w:tcBorders>
              <w:top w:val="nil"/>
              <w:left w:val="nil"/>
              <w:bottom w:val="single" w:sz="8" w:space="0" w:color="7F7F7F"/>
              <w:right w:val="nil"/>
            </w:tcBorders>
            <w:shd w:val="clear" w:color="auto" w:fill="auto"/>
            <w:tcMar>
              <w:top w:w="100" w:type="dxa"/>
              <w:left w:w="100" w:type="dxa"/>
              <w:bottom w:w="100" w:type="dxa"/>
              <w:right w:w="100" w:type="dxa"/>
            </w:tcMar>
          </w:tcPr>
          <w:p w14:paraId="5733497B" w14:textId="77777777" w:rsidR="002E7E3F" w:rsidRPr="00AC1930" w:rsidRDefault="002E7E3F">
            <w:pPr>
              <w:widowControl w:val="0"/>
              <w:pBdr>
                <w:top w:val="nil"/>
                <w:left w:val="nil"/>
                <w:bottom w:val="nil"/>
                <w:right w:val="nil"/>
                <w:between w:val="nil"/>
              </w:pBdr>
              <w:spacing w:before="0" w:after="0" w:line="276" w:lineRule="auto"/>
              <w:jc w:val="left"/>
              <w:rPr>
                <w:sz w:val="20"/>
                <w:szCs w:val="20"/>
              </w:rPr>
            </w:pPr>
          </w:p>
        </w:tc>
        <w:tc>
          <w:tcPr>
            <w:tcW w:w="1217"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6596E679" w14:textId="77777777" w:rsidR="002E7E3F" w:rsidRPr="00AC1930" w:rsidRDefault="0001118D">
            <w:pPr>
              <w:widowControl w:val="0"/>
              <w:spacing w:before="0" w:after="0" w:line="240" w:lineRule="auto"/>
              <w:jc w:val="center"/>
              <w:rPr>
                <w:sz w:val="20"/>
                <w:szCs w:val="20"/>
              </w:rPr>
            </w:pPr>
            <w:r w:rsidRPr="00AC1930">
              <w:rPr>
                <w:sz w:val="20"/>
                <w:szCs w:val="20"/>
              </w:rPr>
              <w:t>WA4</w:t>
            </w:r>
          </w:p>
        </w:tc>
        <w:tc>
          <w:tcPr>
            <w:tcW w:w="12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69149449" w14:textId="77777777" w:rsidR="002E7E3F" w:rsidRPr="00AC1930" w:rsidRDefault="0001118D">
            <w:pPr>
              <w:widowControl w:val="0"/>
              <w:spacing w:before="0" w:after="0" w:line="240" w:lineRule="auto"/>
              <w:jc w:val="center"/>
              <w:rPr>
                <w:sz w:val="20"/>
                <w:szCs w:val="20"/>
              </w:rPr>
            </w:pPr>
            <w:r w:rsidRPr="00AC1930">
              <w:rPr>
                <w:sz w:val="20"/>
                <w:szCs w:val="20"/>
              </w:rPr>
              <w:t>0.846</w:t>
            </w:r>
          </w:p>
        </w:tc>
        <w:tc>
          <w:tcPr>
            <w:tcW w:w="1217"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58996AD"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A6642BE"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7"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601B28F8"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CFFA9E8"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r>
      <w:tr w:rsidR="00AC1930" w:rsidRPr="00AC1930" w14:paraId="5A1DB9B0" w14:textId="77777777">
        <w:trPr>
          <w:trHeight w:val="20"/>
        </w:trPr>
        <w:tc>
          <w:tcPr>
            <w:tcW w:w="1575" w:type="dxa"/>
            <w:vMerge/>
            <w:tcBorders>
              <w:top w:val="nil"/>
              <w:left w:val="nil"/>
              <w:bottom w:val="single" w:sz="8" w:space="0" w:color="7F7F7F"/>
              <w:right w:val="nil"/>
            </w:tcBorders>
            <w:shd w:val="clear" w:color="auto" w:fill="auto"/>
            <w:tcMar>
              <w:top w:w="100" w:type="dxa"/>
              <w:left w:w="100" w:type="dxa"/>
              <w:bottom w:w="100" w:type="dxa"/>
              <w:right w:w="100" w:type="dxa"/>
            </w:tcMar>
          </w:tcPr>
          <w:p w14:paraId="151F52CB" w14:textId="77777777" w:rsidR="002E7E3F" w:rsidRPr="00AC1930" w:rsidRDefault="002E7E3F">
            <w:pPr>
              <w:widowControl w:val="0"/>
              <w:pBdr>
                <w:top w:val="nil"/>
                <w:left w:val="nil"/>
                <w:bottom w:val="nil"/>
                <w:right w:val="nil"/>
                <w:between w:val="nil"/>
              </w:pBdr>
              <w:spacing w:before="0" w:after="0" w:line="276" w:lineRule="auto"/>
              <w:jc w:val="left"/>
              <w:rPr>
                <w:sz w:val="20"/>
                <w:szCs w:val="20"/>
              </w:rPr>
            </w:pPr>
          </w:p>
        </w:tc>
        <w:tc>
          <w:tcPr>
            <w:tcW w:w="1217" w:type="dxa"/>
            <w:tcBorders>
              <w:top w:val="nil"/>
              <w:left w:val="nil"/>
              <w:bottom w:val="nil"/>
              <w:right w:val="nil"/>
            </w:tcBorders>
            <w:shd w:val="clear" w:color="auto" w:fill="auto"/>
            <w:tcMar>
              <w:top w:w="100" w:type="dxa"/>
              <w:left w:w="100" w:type="dxa"/>
              <w:bottom w:w="100" w:type="dxa"/>
              <w:right w:w="100" w:type="dxa"/>
            </w:tcMar>
          </w:tcPr>
          <w:p w14:paraId="6DB8005F" w14:textId="77777777" w:rsidR="002E7E3F" w:rsidRPr="00AC1930" w:rsidRDefault="0001118D">
            <w:pPr>
              <w:widowControl w:val="0"/>
              <w:spacing w:before="0" w:after="0" w:line="240" w:lineRule="auto"/>
              <w:jc w:val="center"/>
              <w:rPr>
                <w:sz w:val="20"/>
                <w:szCs w:val="20"/>
              </w:rPr>
            </w:pPr>
            <w:r w:rsidRPr="00AC1930">
              <w:rPr>
                <w:sz w:val="20"/>
                <w:szCs w:val="20"/>
              </w:rPr>
              <w:t>WA5</w:t>
            </w:r>
          </w:p>
        </w:tc>
        <w:tc>
          <w:tcPr>
            <w:tcW w:w="1218" w:type="dxa"/>
            <w:tcBorders>
              <w:top w:val="nil"/>
              <w:left w:val="nil"/>
              <w:bottom w:val="nil"/>
              <w:right w:val="nil"/>
            </w:tcBorders>
            <w:shd w:val="clear" w:color="auto" w:fill="auto"/>
            <w:tcMar>
              <w:top w:w="100" w:type="dxa"/>
              <w:left w:w="100" w:type="dxa"/>
              <w:bottom w:w="100" w:type="dxa"/>
              <w:right w:w="100" w:type="dxa"/>
            </w:tcMar>
          </w:tcPr>
          <w:p w14:paraId="46F3396B" w14:textId="77777777" w:rsidR="002E7E3F" w:rsidRPr="00AC1930" w:rsidRDefault="0001118D">
            <w:pPr>
              <w:widowControl w:val="0"/>
              <w:spacing w:before="0" w:after="0" w:line="240" w:lineRule="auto"/>
              <w:jc w:val="center"/>
              <w:rPr>
                <w:sz w:val="20"/>
                <w:szCs w:val="20"/>
              </w:rPr>
            </w:pPr>
            <w:r w:rsidRPr="00AC1930">
              <w:rPr>
                <w:sz w:val="20"/>
                <w:szCs w:val="20"/>
              </w:rPr>
              <w:t>0.708</w:t>
            </w:r>
          </w:p>
        </w:tc>
        <w:tc>
          <w:tcPr>
            <w:tcW w:w="1217" w:type="dxa"/>
            <w:tcBorders>
              <w:top w:val="nil"/>
              <w:left w:val="nil"/>
              <w:bottom w:val="nil"/>
              <w:right w:val="nil"/>
            </w:tcBorders>
            <w:shd w:val="clear" w:color="auto" w:fill="auto"/>
            <w:tcMar>
              <w:top w:w="100" w:type="dxa"/>
              <w:left w:w="100" w:type="dxa"/>
              <w:bottom w:w="100" w:type="dxa"/>
              <w:right w:w="100" w:type="dxa"/>
            </w:tcMar>
          </w:tcPr>
          <w:p w14:paraId="7BEE8FEA"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nil"/>
              <w:left w:val="nil"/>
              <w:bottom w:val="nil"/>
              <w:right w:val="nil"/>
            </w:tcBorders>
            <w:shd w:val="clear" w:color="auto" w:fill="auto"/>
            <w:tcMar>
              <w:top w:w="100" w:type="dxa"/>
              <w:left w:w="100" w:type="dxa"/>
              <w:bottom w:w="100" w:type="dxa"/>
              <w:right w:w="100" w:type="dxa"/>
            </w:tcMar>
          </w:tcPr>
          <w:p w14:paraId="0A14003E"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7" w:type="dxa"/>
            <w:tcBorders>
              <w:top w:val="nil"/>
              <w:left w:val="nil"/>
              <w:bottom w:val="nil"/>
              <w:right w:val="nil"/>
            </w:tcBorders>
            <w:shd w:val="clear" w:color="auto" w:fill="auto"/>
            <w:tcMar>
              <w:top w:w="100" w:type="dxa"/>
              <w:left w:w="100" w:type="dxa"/>
              <w:bottom w:w="100" w:type="dxa"/>
              <w:right w:w="100" w:type="dxa"/>
            </w:tcMar>
          </w:tcPr>
          <w:p w14:paraId="3C5A044B"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nil"/>
              <w:left w:val="nil"/>
              <w:bottom w:val="nil"/>
              <w:right w:val="nil"/>
            </w:tcBorders>
            <w:shd w:val="clear" w:color="auto" w:fill="auto"/>
            <w:tcMar>
              <w:top w:w="100" w:type="dxa"/>
              <w:left w:w="100" w:type="dxa"/>
              <w:bottom w:w="100" w:type="dxa"/>
              <w:right w:w="100" w:type="dxa"/>
            </w:tcMar>
          </w:tcPr>
          <w:p w14:paraId="64638CCE"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r>
      <w:tr w:rsidR="00AC1930" w:rsidRPr="00AC1930" w14:paraId="367FAD5A" w14:textId="77777777">
        <w:trPr>
          <w:trHeight w:val="20"/>
        </w:trPr>
        <w:tc>
          <w:tcPr>
            <w:tcW w:w="1575" w:type="dxa"/>
            <w:vMerge/>
            <w:tcBorders>
              <w:top w:val="nil"/>
              <w:left w:val="nil"/>
              <w:bottom w:val="single" w:sz="8" w:space="0" w:color="7F7F7F"/>
              <w:right w:val="nil"/>
            </w:tcBorders>
            <w:shd w:val="clear" w:color="auto" w:fill="auto"/>
            <w:tcMar>
              <w:top w:w="100" w:type="dxa"/>
              <w:left w:w="100" w:type="dxa"/>
              <w:bottom w:w="100" w:type="dxa"/>
              <w:right w:w="100" w:type="dxa"/>
            </w:tcMar>
          </w:tcPr>
          <w:p w14:paraId="416982A2" w14:textId="77777777" w:rsidR="002E7E3F" w:rsidRPr="00AC1930" w:rsidRDefault="002E7E3F">
            <w:pPr>
              <w:widowControl w:val="0"/>
              <w:pBdr>
                <w:top w:val="nil"/>
                <w:left w:val="nil"/>
                <w:bottom w:val="nil"/>
                <w:right w:val="nil"/>
                <w:between w:val="nil"/>
              </w:pBdr>
              <w:spacing w:before="0" w:after="0" w:line="276" w:lineRule="auto"/>
              <w:jc w:val="left"/>
              <w:rPr>
                <w:sz w:val="20"/>
                <w:szCs w:val="20"/>
              </w:rPr>
            </w:pPr>
          </w:p>
        </w:tc>
        <w:tc>
          <w:tcPr>
            <w:tcW w:w="1217"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7C557B2" w14:textId="77777777" w:rsidR="002E7E3F" w:rsidRPr="00AC1930" w:rsidRDefault="0001118D">
            <w:pPr>
              <w:widowControl w:val="0"/>
              <w:spacing w:before="0" w:after="0" w:line="240" w:lineRule="auto"/>
              <w:jc w:val="center"/>
              <w:rPr>
                <w:sz w:val="20"/>
                <w:szCs w:val="20"/>
              </w:rPr>
            </w:pPr>
            <w:r w:rsidRPr="00AC1930">
              <w:rPr>
                <w:sz w:val="20"/>
                <w:szCs w:val="20"/>
              </w:rPr>
              <w:t>WA6</w:t>
            </w:r>
          </w:p>
        </w:tc>
        <w:tc>
          <w:tcPr>
            <w:tcW w:w="12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38C20F25" w14:textId="77777777" w:rsidR="002E7E3F" w:rsidRPr="00AC1930" w:rsidRDefault="0001118D">
            <w:pPr>
              <w:widowControl w:val="0"/>
              <w:spacing w:before="0" w:after="0" w:line="240" w:lineRule="auto"/>
              <w:jc w:val="center"/>
              <w:rPr>
                <w:sz w:val="20"/>
                <w:szCs w:val="20"/>
              </w:rPr>
            </w:pPr>
            <w:r w:rsidRPr="00AC1930">
              <w:rPr>
                <w:sz w:val="20"/>
                <w:szCs w:val="20"/>
              </w:rPr>
              <w:t>0.764</w:t>
            </w:r>
          </w:p>
        </w:tc>
        <w:tc>
          <w:tcPr>
            <w:tcW w:w="1217"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7CBE339"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33D8C0F3"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7"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D6EE972"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2FE729C"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r>
      <w:tr w:rsidR="00AC1930" w:rsidRPr="00AC1930" w14:paraId="3DBE6932" w14:textId="77777777">
        <w:trPr>
          <w:trHeight w:val="20"/>
        </w:trPr>
        <w:tc>
          <w:tcPr>
            <w:tcW w:w="1575" w:type="dxa"/>
            <w:vMerge/>
            <w:tcBorders>
              <w:top w:val="nil"/>
              <w:left w:val="nil"/>
              <w:bottom w:val="single" w:sz="8" w:space="0" w:color="7F7F7F"/>
              <w:right w:val="nil"/>
            </w:tcBorders>
            <w:shd w:val="clear" w:color="auto" w:fill="auto"/>
            <w:tcMar>
              <w:top w:w="100" w:type="dxa"/>
              <w:left w:w="100" w:type="dxa"/>
              <w:bottom w:w="100" w:type="dxa"/>
              <w:right w:w="100" w:type="dxa"/>
            </w:tcMar>
          </w:tcPr>
          <w:p w14:paraId="5B2A3800" w14:textId="77777777" w:rsidR="002E7E3F" w:rsidRPr="00AC1930" w:rsidRDefault="002E7E3F">
            <w:pPr>
              <w:widowControl w:val="0"/>
              <w:pBdr>
                <w:top w:val="nil"/>
                <w:left w:val="nil"/>
                <w:bottom w:val="nil"/>
                <w:right w:val="nil"/>
                <w:between w:val="nil"/>
              </w:pBdr>
              <w:spacing w:before="0" w:after="0" w:line="276" w:lineRule="auto"/>
              <w:jc w:val="left"/>
              <w:rPr>
                <w:sz w:val="20"/>
                <w:szCs w:val="20"/>
              </w:rPr>
            </w:pPr>
          </w:p>
        </w:tc>
        <w:tc>
          <w:tcPr>
            <w:tcW w:w="1217" w:type="dxa"/>
            <w:tcBorders>
              <w:top w:val="nil"/>
              <w:left w:val="nil"/>
              <w:bottom w:val="single" w:sz="8" w:space="0" w:color="7F7F7F"/>
              <w:right w:val="nil"/>
            </w:tcBorders>
            <w:shd w:val="clear" w:color="auto" w:fill="auto"/>
            <w:tcMar>
              <w:top w:w="100" w:type="dxa"/>
              <w:left w:w="100" w:type="dxa"/>
              <w:bottom w:w="100" w:type="dxa"/>
              <w:right w:w="100" w:type="dxa"/>
            </w:tcMar>
          </w:tcPr>
          <w:p w14:paraId="7DB33DD3" w14:textId="77777777" w:rsidR="002E7E3F" w:rsidRPr="00AC1930" w:rsidRDefault="0001118D">
            <w:pPr>
              <w:widowControl w:val="0"/>
              <w:spacing w:before="0" w:after="0" w:line="240" w:lineRule="auto"/>
              <w:jc w:val="center"/>
              <w:rPr>
                <w:sz w:val="20"/>
                <w:szCs w:val="20"/>
              </w:rPr>
            </w:pPr>
            <w:r w:rsidRPr="00AC1930">
              <w:rPr>
                <w:sz w:val="20"/>
                <w:szCs w:val="20"/>
              </w:rPr>
              <w:t>WA7</w:t>
            </w:r>
          </w:p>
        </w:tc>
        <w:tc>
          <w:tcPr>
            <w:tcW w:w="1218" w:type="dxa"/>
            <w:tcBorders>
              <w:top w:val="nil"/>
              <w:left w:val="nil"/>
              <w:bottom w:val="single" w:sz="8" w:space="0" w:color="7F7F7F"/>
              <w:right w:val="nil"/>
            </w:tcBorders>
            <w:shd w:val="clear" w:color="auto" w:fill="auto"/>
            <w:tcMar>
              <w:top w:w="100" w:type="dxa"/>
              <w:left w:w="100" w:type="dxa"/>
              <w:bottom w:w="100" w:type="dxa"/>
              <w:right w:w="100" w:type="dxa"/>
            </w:tcMar>
          </w:tcPr>
          <w:p w14:paraId="6057C215" w14:textId="77777777" w:rsidR="002E7E3F" w:rsidRPr="00AC1930" w:rsidRDefault="0001118D">
            <w:pPr>
              <w:widowControl w:val="0"/>
              <w:spacing w:before="0" w:after="0" w:line="240" w:lineRule="auto"/>
              <w:jc w:val="center"/>
              <w:rPr>
                <w:sz w:val="20"/>
                <w:szCs w:val="20"/>
              </w:rPr>
            </w:pPr>
            <w:r w:rsidRPr="00AC1930">
              <w:rPr>
                <w:sz w:val="20"/>
                <w:szCs w:val="20"/>
              </w:rPr>
              <w:t>0.641</w:t>
            </w:r>
          </w:p>
        </w:tc>
        <w:tc>
          <w:tcPr>
            <w:tcW w:w="1217" w:type="dxa"/>
            <w:tcBorders>
              <w:top w:val="nil"/>
              <w:left w:val="nil"/>
              <w:bottom w:val="single" w:sz="8" w:space="0" w:color="7F7F7F"/>
              <w:right w:val="nil"/>
            </w:tcBorders>
            <w:shd w:val="clear" w:color="auto" w:fill="auto"/>
            <w:tcMar>
              <w:top w:w="100" w:type="dxa"/>
              <w:left w:w="100" w:type="dxa"/>
              <w:bottom w:w="100" w:type="dxa"/>
              <w:right w:w="100" w:type="dxa"/>
            </w:tcMar>
          </w:tcPr>
          <w:p w14:paraId="21BD9857"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nil"/>
              <w:left w:val="nil"/>
              <w:bottom w:val="single" w:sz="8" w:space="0" w:color="7F7F7F"/>
              <w:right w:val="nil"/>
            </w:tcBorders>
            <w:shd w:val="clear" w:color="auto" w:fill="auto"/>
            <w:tcMar>
              <w:top w:w="100" w:type="dxa"/>
              <w:left w:w="100" w:type="dxa"/>
              <w:bottom w:w="100" w:type="dxa"/>
              <w:right w:w="100" w:type="dxa"/>
            </w:tcMar>
          </w:tcPr>
          <w:p w14:paraId="018A0CFD"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7" w:type="dxa"/>
            <w:tcBorders>
              <w:top w:val="nil"/>
              <w:left w:val="nil"/>
              <w:bottom w:val="single" w:sz="8" w:space="0" w:color="7F7F7F"/>
              <w:right w:val="nil"/>
            </w:tcBorders>
            <w:shd w:val="clear" w:color="auto" w:fill="auto"/>
            <w:tcMar>
              <w:top w:w="100" w:type="dxa"/>
              <w:left w:w="100" w:type="dxa"/>
              <w:bottom w:w="100" w:type="dxa"/>
              <w:right w:w="100" w:type="dxa"/>
            </w:tcMar>
          </w:tcPr>
          <w:p w14:paraId="2820EF0C"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c>
          <w:tcPr>
            <w:tcW w:w="1218" w:type="dxa"/>
            <w:tcBorders>
              <w:top w:val="nil"/>
              <w:left w:val="nil"/>
              <w:bottom w:val="single" w:sz="8" w:space="0" w:color="7F7F7F"/>
              <w:right w:val="nil"/>
            </w:tcBorders>
            <w:shd w:val="clear" w:color="auto" w:fill="auto"/>
            <w:tcMar>
              <w:top w:w="100" w:type="dxa"/>
              <w:left w:w="100" w:type="dxa"/>
              <w:bottom w:w="100" w:type="dxa"/>
              <w:right w:w="100" w:type="dxa"/>
            </w:tcMar>
          </w:tcPr>
          <w:p w14:paraId="127F6E7D" w14:textId="77777777" w:rsidR="002E7E3F" w:rsidRPr="00AC1930" w:rsidRDefault="0001118D">
            <w:pPr>
              <w:widowControl w:val="0"/>
              <w:spacing w:before="0" w:after="0" w:line="240" w:lineRule="auto"/>
              <w:jc w:val="center"/>
              <w:rPr>
                <w:sz w:val="20"/>
                <w:szCs w:val="20"/>
              </w:rPr>
            </w:pPr>
            <w:r w:rsidRPr="00AC1930">
              <w:rPr>
                <w:sz w:val="20"/>
                <w:szCs w:val="20"/>
              </w:rPr>
              <w:t xml:space="preserve"> </w:t>
            </w:r>
          </w:p>
        </w:tc>
      </w:tr>
    </w:tbl>
    <w:p w14:paraId="4CD672B3" w14:textId="00E307DA" w:rsidR="002E7E3F" w:rsidRPr="00AC1930" w:rsidRDefault="00EF72A3">
      <w:r w:rsidRPr="00AC1930">
        <w:t>As seen in Table 1, the reliability and convergent validity values in the measurement model are within acceptable limits</w:t>
      </w:r>
      <w:r w:rsidR="0001118D" w:rsidRPr="00AC1930">
        <w:t xml:space="preserve">. The </w:t>
      </w:r>
      <w:r w:rsidR="003748A7" w:rsidRPr="00AC1930">
        <w:t xml:space="preserve">final </w:t>
      </w:r>
      <w:r w:rsidR="0001118D" w:rsidRPr="00AC1930">
        <w:t xml:space="preserve">step in evaluating the measurement model was to assess discriminant validity (Hair et al. 2019). </w:t>
      </w:r>
      <w:r w:rsidR="003748A7" w:rsidRPr="00AC1930">
        <w:t>To this end</w:t>
      </w:r>
      <w:r w:rsidR="0001118D" w:rsidRPr="00AC1930">
        <w:t xml:space="preserve">, we applied the </w:t>
      </w:r>
      <w:proofErr w:type="spellStart"/>
      <w:r w:rsidR="0001118D" w:rsidRPr="00AC1930">
        <w:t>Fornell-Larcker</w:t>
      </w:r>
      <w:proofErr w:type="spellEnd"/>
      <w:r w:rsidR="0001118D" w:rsidRPr="00AC1930">
        <w:t xml:space="preserve"> criterion (</w:t>
      </w:r>
      <w:proofErr w:type="spellStart"/>
      <w:r w:rsidR="0001118D" w:rsidRPr="00AC1930">
        <w:t>Fornell</w:t>
      </w:r>
      <w:proofErr w:type="spellEnd"/>
      <w:r w:rsidR="0001118D" w:rsidRPr="00AC1930">
        <w:t>/</w:t>
      </w:r>
      <w:proofErr w:type="spellStart"/>
      <w:r w:rsidR="0001118D" w:rsidRPr="00AC1930">
        <w:t>Larcker</w:t>
      </w:r>
      <w:proofErr w:type="spellEnd"/>
      <w:r w:rsidR="0001118D" w:rsidRPr="00AC1930">
        <w:t xml:space="preserve"> 1981) and </w:t>
      </w:r>
      <w:proofErr w:type="spellStart"/>
      <w:r w:rsidR="0001118D" w:rsidRPr="00AC1930">
        <w:t>Heterotrait-Monotrait</w:t>
      </w:r>
      <w:proofErr w:type="spellEnd"/>
      <w:r w:rsidR="0001118D" w:rsidRPr="00AC1930">
        <w:t xml:space="preserve"> (HTMT) approach (</w:t>
      </w:r>
      <w:proofErr w:type="spellStart"/>
      <w:r w:rsidR="0001118D" w:rsidRPr="00AC1930">
        <w:t>Henseler</w:t>
      </w:r>
      <w:proofErr w:type="spellEnd"/>
      <w:r w:rsidR="0001118D" w:rsidRPr="00AC1930">
        <w:t>/</w:t>
      </w:r>
      <w:proofErr w:type="spellStart"/>
      <w:r w:rsidR="0001118D" w:rsidRPr="00AC1930">
        <w:t>Ringle</w:t>
      </w:r>
      <w:proofErr w:type="spellEnd"/>
      <w:r w:rsidR="0001118D" w:rsidRPr="00AC1930">
        <w:t>/</w:t>
      </w:r>
      <w:proofErr w:type="spellStart"/>
      <w:r w:rsidR="0001118D" w:rsidRPr="00AC1930">
        <w:t>Sarstedt</w:t>
      </w:r>
      <w:proofErr w:type="spellEnd"/>
      <w:r w:rsidR="0001118D" w:rsidRPr="00AC1930">
        <w:t xml:space="preserve"> 2015). Regarding the </w:t>
      </w:r>
      <w:proofErr w:type="spellStart"/>
      <w:r w:rsidR="0001118D" w:rsidRPr="00AC1930">
        <w:t>Fornell-Larcker</w:t>
      </w:r>
      <w:proofErr w:type="spellEnd"/>
      <w:r w:rsidR="0001118D" w:rsidRPr="00AC1930">
        <w:t xml:space="preserve"> criterion</w:t>
      </w:r>
      <w:r w:rsidR="002276E4" w:rsidRPr="00AC1930">
        <w:t>,</w:t>
      </w:r>
      <w:r w:rsidR="0001118D" w:rsidRPr="00AC1930">
        <w:t xml:space="preserve"> "the square root of the AVE value of each construct should be greater than its correlation with other constructs". </w:t>
      </w:r>
      <w:proofErr w:type="spellStart"/>
      <w:r w:rsidR="0001118D" w:rsidRPr="00AC1930">
        <w:t>Henseler</w:t>
      </w:r>
      <w:proofErr w:type="spellEnd"/>
      <w:r w:rsidR="0001118D" w:rsidRPr="00AC1930">
        <w:t xml:space="preserve"> et al. (2015) stated that the HTMT value should be less than 0.85 </w:t>
      </w:r>
      <w:r w:rsidR="003748A7" w:rsidRPr="00AC1930">
        <w:t xml:space="preserve">to achieve </w:t>
      </w:r>
      <w:r w:rsidR="0001118D" w:rsidRPr="00AC1930">
        <w:t xml:space="preserve">discriminant validity. Table 2 </w:t>
      </w:r>
      <w:r w:rsidR="003748A7" w:rsidRPr="00AC1930">
        <w:t xml:space="preserve">reports the </w:t>
      </w:r>
      <w:r w:rsidR="0001118D" w:rsidRPr="00AC1930">
        <w:t>discriminant validity results</w:t>
      </w:r>
      <w:r w:rsidR="003748A7" w:rsidRPr="00AC1930">
        <w:t>,</w:t>
      </w:r>
      <w:r w:rsidR="0001118D" w:rsidRPr="00AC1930">
        <w:t xml:space="preserve"> </w:t>
      </w:r>
      <w:r w:rsidR="003748A7" w:rsidRPr="00AC1930">
        <w:t xml:space="preserve">where </w:t>
      </w:r>
      <w:r w:rsidR="0001118D" w:rsidRPr="00AC1930">
        <w:t xml:space="preserve">our model </w:t>
      </w:r>
      <w:r w:rsidR="003748A7" w:rsidRPr="00AC1930">
        <w:t xml:space="preserve">met </w:t>
      </w:r>
      <w:r w:rsidR="0001118D" w:rsidRPr="00AC1930">
        <w:t xml:space="preserve">both </w:t>
      </w:r>
      <w:r w:rsidR="003748A7" w:rsidRPr="00AC1930">
        <w:t xml:space="preserve">the </w:t>
      </w:r>
      <w:r w:rsidR="0001118D" w:rsidRPr="00AC1930">
        <w:t>discriminant validity</w:t>
      </w:r>
      <w:r w:rsidR="003748A7" w:rsidRPr="00AC1930">
        <w:t xml:space="preserve"> criteria</w:t>
      </w:r>
      <w:r w:rsidR="0001118D" w:rsidRPr="00AC1930">
        <w:t>.</w:t>
      </w:r>
    </w:p>
    <w:p w14:paraId="59FB22C7" w14:textId="77777777" w:rsidR="002E7E3F" w:rsidRPr="00AC1930" w:rsidRDefault="0001118D">
      <w:r w:rsidRPr="00AC1930">
        <w:t>Table 2. Discriminant validity of constructs</w:t>
      </w:r>
    </w:p>
    <w:tbl>
      <w:tblPr>
        <w:tblStyle w:val="a0"/>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5"/>
        <w:gridCol w:w="2205"/>
        <w:gridCol w:w="2205"/>
        <w:gridCol w:w="2205"/>
      </w:tblGrid>
      <w:tr w:rsidR="00AC1930" w:rsidRPr="00AC1930" w14:paraId="7002B6A6" w14:textId="77777777">
        <w:trPr>
          <w:trHeight w:val="20"/>
        </w:trPr>
        <w:tc>
          <w:tcPr>
            <w:tcW w:w="2265" w:type="dxa"/>
            <w:tcBorders>
              <w:top w:val="single" w:sz="8" w:space="0" w:color="7F7F7F"/>
              <w:left w:val="nil"/>
              <w:bottom w:val="single" w:sz="8" w:space="0" w:color="7F7F7F"/>
              <w:right w:val="nil"/>
            </w:tcBorders>
            <w:tcMar>
              <w:top w:w="100" w:type="dxa"/>
              <w:left w:w="100" w:type="dxa"/>
              <w:bottom w:w="100" w:type="dxa"/>
              <w:right w:w="100" w:type="dxa"/>
            </w:tcMar>
          </w:tcPr>
          <w:p w14:paraId="12721FC3" w14:textId="77777777" w:rsidR="002E7E3F" w:rsidRPr="00AC1930" w:rsidRDefault="0001118D">
            <w:pPr>
              <w:spacing w:before="0" w:after="0" w:line="240" w:lineRule="auto"/>
              <w:jc w:val="center"/>
              <w:rPr>
                <w:b/>
                <w:sz w:val="20"/>
                <w:szCs w:val="20"/>
              </w:rPr>
            </w:pPr>
            <w:r w:rsidRPr="00AC1930">
              <w:rPr>
                <w:b/>
                <w:sz w:val="20"/>
                <w:szCs w:val="20"/>
              </w:rPr>
              <w:t>Construct</w:t>
            </w:r>
          </w:p>
        </w:tc>
        <w:tc>
          <w:tcPr>
            <w:tcW w:w="2205" w:type="dxa"/>
            <w:tcBorders>
              <w:top w:val="single" w:sz="8" w:space="0" w:color="7F7F7F"/>
              <w:left w:val="nil"/>
              <w:bottom w:val="single" w:sz="8" w:space="0" w:color="7F7F7F"/>
              <w:right w:val="nil"/>
            </w:tcBorders>
            <w:tcMar>
              <w:top w:w="100" w:type="dxa"/>
              <w:left w:w="100" w:type="dxa"/>
              <w:bottom w:w="100" w:type="dxa"/>
              <w:right w:w="100" w:type="dxa"/>
            </w:tcMar>
          </w:tcPr>
          <w:p w14:paraId="3F392BCB" w14:textId="77777777" w:rsidR="002E7E3F" w:rsidRPr="00AC1930" w:rsidRDefault="0001118D">
            <w:pPr>
              <w:spacing w:before="0" w:after="0" w:line="240" w:lineRule="auto"/>
              <w:jc w:val="center"/>
              <w:rPr>
                <w:b/>
                <w:sz w:val="20"/>
                <w:szCs w:val="20"/>
              </w:rPr>
            </w:pPr>
            <w:r w:rsidRPr="00AC1930">
              <w:rPr>
                <w:b/>
                <w:sz w:val="20"/>
                <w:szCs w:val="20"/>
              </w:rPr>
              <w:t>LMX</w:t>
            </w:r>
          </w:p>
        </w:tc>
        <w:tc>
          <w:tcPr>
            <w:tcW w:w="2205" w:type="dxa"/>
            <w:tcBorders>
              <w:top w:val="single" w:sz="8" w:space="0" w:color="7F7F7F"/>
              <w:left w:val="nil"/>
              <w:bottom w:val="single" w:sz="8" w:space="0" w:color="7F7F7F"/>
              <w:right w:val="nil"/>
            </w:tcBorders>
            <w:tcMar>
              <w:top w:w="100" w:type="dxa"/>
              <w:left w:w="100" w:type="dxa"/>
              <w:bottom w:w="100" w:type="dxa"/>
              <w:right w:w="100" w:type="dxa"/>
            </w:tcMar>
          </w:tcPr>
          <w:p w14:paraId="0F51EE2E" w14:textId="77777777" w:rsidR="002E7E3F" w:rsidRPr="00AC1930" w:rsidRDefault="0001118D">
            <w:pPr>
              <w:spacing w:before="0" w:after="0" w:line="240" w:lineRule="auto"/>
              <w:jc w:val="center"/>
              <w:rPr>
                <w:b/>
                <w:sz w:val="20"/>
                <w:szCs w:val="20"/>
              </w:rPr>
            </w:pPr>
            <w:r w:rsidRPr="00AC1930">
              <w:rPr>
                <w:b/>
                <w:sz w:val="20"/>
                <w:szCs w:val="20"/>
              </w:rPr>
              <w:t>SR</w:t>
            </w:r>
          </w:p>
        </w:tc>
        <w:tc>
          <w:tcPr>
            <w:tcW w:w="2205" w:type="dxa"/>
            <w:tcBorders>
              <w:top w:val="single" w:sz="8" w:space="0" w:color="7F7F7F"/>
              <w:left w:val="nil"/>
              <w:bottom w:val="single" w:sz="8" w:space="0" w:color="7F7F7F"/>
              <w:right w:val="nil"/>
            </w:tcBorders>
            <w:tcMar>
              <w:top w:w="100" w:type="dxa"/>
              <w:left w:w="100" w:type="dxa"/>
              <w:bottom w:w="100" w:type="dxa"/>
              <w:right w:w="100" w:type="dxa"/>
            </w:tcMar>
          </w:tcPr>
          <w:p w14:paraId="552B0F9C" w14:textId="77777777" w:rsidR="002E7E3F" w:rsidRPr="00AC1930" w:rsidRDefault="0001118D">
            <w:pPr>
              <w:spacing w:before="0" w:after="0" w:line="240" w:lineRule="auto"/>
              <w:jc w:val="center"/>
              <w:rPr>
                <w:b/>
                <w:sz w:val="20"/>
                <w:szCs w:val="20"/>
              </w:rPr>
            </w:pPr>
            <w:r w:rsidRPr="00AC1930">
              <w:rPr>
                <w:b/>
                <w:sz w:val="20"/>
                <w:szCs w:val="20"/>
              </w:rPr>
              <w:t>WA</w:t>
            </w:r>
          </w:p>
        </w:tc>
      </w:tr>
      <w:tr w:rsidR="00AC1930" w:rsidRPr="00AC1930" w14:paraId="5353F664" w14:textId="77777777">
        <w:trPr>
          <w:trHeight w:val="201"/>
        </w:trPr>
        <w:tc>
          <w:tcPr>
            <w:tcW w:w="8880" w:type="dxa"/>
            <w:gridSpan w:val="4"/>
            <w:tcBorders>
              <w:top w:val="nil"/>
              <w:left w:val="nil"/>
              <w:bottom w:val="single" w:sz="8" w:space="0" w:color="7F7F7F"/>
              <w:right w:val="nil"/>
            </w:tcBorders>
            <w:tcMar>
              <w:top w:w="100" w:type="dxa"/>
              <w:left w:w="100" w:type="dxa"/>
              <w:bottom w:w="100" w:type="dxa"/>
              <w:right w:w="100" w:type="dxa"/>
            </w:tcMar>
          </w:tcPr>
          <w:p w14:paraId="3325FC7C" w14:textId="77777777" w:rsidR="002E7E3F" w:rsidRPr="00AC1930" w:rsidRDefault="0001118D">
            <w:pPr>
              <w:spacing w:before="0" w:after="0" w:line="240" w:lineRule="auto"/>
              <w:rPr>
                <w:i/>
                <w:sz w:val="20"/>
                <w:szCs w:val="20"/>
              </w:rPr>
            </w:pPr>
            <w:proofErr w:type="spellStart"/>
            <w:r w:rsidRPr="00AC1930">
              <w:rPr>
                <w:i/>
                <w:sz w:val="20"/>
                <w:szCs w:val="20"/>
              </w:rPr>
              <w:lastRenderedPageBreak/>
              <w:t>Fornell</w:t>
            </w:r>
            <w:proofErr w:type="spellEnd"/>
            <w:r w:rsidRPr="00AC1930">
              <w:rPr>
                <w:i/>
                <w:sz w:val="20"/>
                <w:szCs w:val="20"/>
              </w:rPr>
              <w:t xml:space="preserve"> and </w:t>
            </w:r>
            <w:proofErr w:type="spellStart"/>
            <w:r w:rsidRPr="00AC1930">
              <w:rPr>
                <w:i/>
                <w:sz w:val="20"/>
                <w:szCs w:val="20"/>
              </w:rPr>
              <w:t>Larcker's</w:t>
            </w:r>
            <w:proofErr w:type="spellEnd"/>
            <w:r w:rsidRPr="00AC1930">
              <w:rPr>
                <w:i/>
                <w:sz w:val="20"/>
                <w:szCs w:val="20"/>
              </w:rPr>
              <w:t xml:space="preserve"> discriminant validity criteria</w:t>
            </w:r>
          </w:p>
        </w:tc>
      </w:tr>
      <w:tr w:rsidR="00AC1930" w:rsidRPr="00AC1930" w14:paraId="5FAC3EC5" w14:textId="77777777">
        <w:trPr>
          <w:trHeight w:val="25"/>
        </w:trPr>
        <w:tc>
          <w:tcPr>
            <w:tcW w:w="2265" w:type="dxa"/>
            <w:tcBorders>
              <w:top w:val="nil"/>
              <w:left w:val="nil"/>
              <w:bottom w:val="nil"/>
              <w:right w:val="nil"/>
            </w:tcBorders>
            <w:shd w:val="clear" w:color="auto" w:fill="auto"/>
            <w:tcMar>
              <w:top w:w="100" w:type="dxa"/>
              <w:left w:w="100" w:type="dxa"/>
              <w:bottom w:w="100" w:type="dxa"/>
              <w:right w:w="100" w:type="dxa"/>
            </w:tcMar>
          </w:tcPr>
          <w:p w14:paraId="57202FE5" w14:textId="77777777" w:rsidR="002E7E3F" w:rsidRPr="00AC1930" w:rsidRDefault="0001118D">
            <w:pPr>
              <w:spacing w:before="0" w:after="0" w:line="240" w:lineRule="auto"/>
              <w:rPr>
                <w:sz w:val="20"/>
                <w:szCs w:val="20"/>
              </w:rPr>
            </w:pPr>
            <w:r w:rsidRPr="00AC1930">
              <w:rPr>
                <w:sz w:val="20"/>
                <w:szCs w:val="20"/>
              </w:rPr>
              <w:t>LMX</w:t>
            </w:r>
          </w:p>
        </w:tc>
        <w:tc>
          <w:tcPr>
            <w:tcW w:w="2205" w:type="dxa"/>
            <w:tcBorders>
              <w:top w:val="nil"/>
              <w:left w:val="nil"/>
              <w:bottom w:val="nil"/>
              <w:right w:val="nil"/>
            </w:tcBorders>
            <w:shd w:val="clear" w:color="auto" w:fill="auto"/>
            <w:tcMar>
              <w:top w:w="100" w:type="dxa"/>
              <w:left w:w="100" w:type="dxa"/>
              <w:bottom w:w="100" w:type="dxa"/>
              <w:right w:w="100" w:type="dxa"/>
            </w:tcMar>
          </w:tcPr>
          <w:p w14:paraId="08DA4EAB" w14:textId="77777777" w:rsidR="002E7E3F" w:rsidRPr="00AC1930" w:rsidRDefault="0001118D">
            <w:pPr>
              <w:spacing w:before="0" w:after="0" w:line="240" w:lineRule="auto"/>
              <w:jc w:val="center"/>
              <w:rPr>
                <w:b/>
                <w:sz w:val="20"/>
                <w:szCs w:val="20"/>
              </w:rPr>
            </w:pPr>
            <w:r w:rsidRPr="00AC1930">
              <w:rPr>
                <w:b/>
                <w:sz w:val="20"/>
                <w:szCs w:val="20"/>
              </w:rPr>
              <w:t>0.777</w:t>
            </w:r>
          </w:p>
        </w:tc>
        <w:tc>
          <w:tcPr>
            <w:tcW w:w="2205" w:type="dxa"/>
            <w:tcBorders>
              <w:top w:val="nil"/>
              <w:left w:val="nil"/>
              <w:bottom w:val="nil"/>
              <w:right w:val="nil"/>
            </w:tcBorders>
            <w:shd w:val="clear" w:color="auto" w:fill="auto"/>
            <w:tcMar>
              <w:top w:w="100" w:type="dxa"/>
              <w:left w:w="100" w:type="dxa"/>
              <w:bottom w:w="100" w:type="dxa"/>
              <w:right w:w="100" w:type="dxa"/>
            </w:tcMar>
          </w:tcPr>
          <w:p w14:paraId="3A08ADDE" w14:textId="77777777" w:rsidR="002E7E3F" w:rsidRPr="00AC1930" w:rsidRDefault="0001118D">
            <w:pPr>
              <w:spacing w:before="0" w:after="0" w:line="240" w:lineRule="auto"/>
              <w:jc w:val="center"/>
              <w:rPr>
                <w:sz w:val="20"/>
                <w:szCs w:val="20"/>
              </w:rPr>
            </w:pPr>
            <w:r w:rsidRPr="00AC1930">
              <w:rPr>
                <w:sz w:val="20"/>
                <w:szCs w:val="20"/>
              </w:rPr>
              <w:t xml:space="preserve"> </w:t>
            </w:r>
          </w:p>
        </w:tc>
        <w:tc>
          <w:tcPr>
            <w:tcW w:w="2205" w:type="dxa"/>
            <w:tcBorders>
              <w:top w:val="nil"/>
              <w:left w:val="nil"/>
              <w:bottom w:val="nil"/>
              <w:right w:val="nil"/>
            </w:tcBorders>
            <w:shd w:val="clear" w:color="auto" w:fill="auto"/>
            <w:tcMar>
              <w:top w:w="100" w:type="dxa"/>
              <w:left w:w="100" w:type="dxa"/>
              <w:bottom w:w="100" w:type="dxa"/>
              <w:right w:w="100" w:type="dxa"/>
            </w:tcMar>
          </w:tcPr>
          <w:p w14:paraId="7A02FCE1" w14:textId="77777777" w:rsidR="002E7E3F" w:rsidRPr="00AC1930" w:rsidRDefault="0001118D">
            <w:pPr>
              <w:spacing w:before="0" w:after="0" w:line="240" w:lineRule="auto"/>
              <w:jc w:val="center"/>
              <w:rPr>
                <w:sz w:val="20"/>
                <w:szCs w:val="20"/>
              </w:rPr>
            </w:pPr>
            <w:r w:rsidRPr="00AC1930">
              <w:rPr>
                <w:sz w:val="20"/>
                <w:szCs w:val="20"/>
              </w:rPr>
              <w:t xml:space="preserve"> </w:t>
            </w:r>
          </w:p>
        </w:tc>
      </w:tr>
      <w:tr w:rsidR="00AC1930" w:rsidRPr="00AC1930" w14:paraId="36C85118" w14:textId="77777777">
        <w:trPr>
          <w:trHeight w:val="67"/>
        </w:trPr>
        <w:tc>
          <w:tcPr>
            <w:tcW w:w="226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6DF0EF4B" w14:textId="77777777" w:rsidR="002E7E3F" w:rsidRPr="00AC1930" w:rsidRDefault="0001118D">
            <w:pPr>
              <w:spacing w:before="0" w:after="0" w:line="240" w:lineRule="auto"/>
              <w:rPr>
                <w:sz w:val="20"/>
                <w:szCs w:val="20"/>
              </w:rPr>
            </w:pPr>
            <w:r w:rsidRPr="00AC1930">
              <w:rPr>
                <w:sz w:val="20"/>
                <w:szCs w:val="20"/>
              </w:rPr>
              <w:t>SR</w:t>
            </w:r>
          </w:p>
        </w:tc>
        <w:tc>
          <w:tcPr>
            <w:tcW w:w="220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F190762" w14:textId="77777777" w:rsidR="002E7E3F" w:rsidRPr="00AC1930" w:rsidRDefault="0001118D">
            <w:pPr>
              <w:spacing w:before="0" w:after="0" w:line="240" w:lineRule="auto"/>
              <w:jc w:val="center"/>
              <w:rPr>
                <w:sz w:val="20"/>
                <w:szCs w:val="20"/>
              </w:rPr>
            </w:pPr>
            <w:r w:rsidRPr="00AC1930">
              <w:rPr>
                <w:sz w:val="20"/>
                <w:szCs w:val="20"/>
              </w:rPr>
              <w:t>0.379</w:t>
            </w:r>
          </w:p>
        </w:tc>
        <w:tc>
          <w:tcPr>
            <w:tcW w:w="220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E3D0D40" w14:textId="77777777" w:rsidR="002E7E3F" w:rsidRPr="00AC1930" w:rsidRDefault="0001118D">
            <w:pPr>
              <w:spacing w:before="0" w:after="0" w:line="240" w:lineRule="auto"/>
              <w:jc w:val="center"/>
              <w:rPr>
                <w:b/>
                <w:sz w:val="20"/>
                <w:szCs w:val="20"/>
              </w:rPr>
            </w:pPr>
            <w:r w:rsidRPr="00AC1930">
              <w:rPr>
                <w:b/>
                <w:sz w:val="20"/>
                <w:szCs w:val="20"/>
              </w:rPr>
              <w:t>0.750</w:t>
            </w:r>
          </w:p>
        </w:tc>
        <w:tc>
          <w:tcPr>
            <w:tcW w:w="220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7321123" w14:textId="77777777" w:rsidR="002E7E3F" w:rsidRPr="00AC1930" w:rsidRDefault="0001118D">
            <w:pPr>
              <w:spacing w:before="0" w:after="0" w:line="240" w:lineRule="auto"/>
              <w:jc w:val="center"/>
              <w:rPr>
                <w:sz w:val="20"/>
                <w:szCs w:val="20"/>
              </w:rPr>
            </w:pPr>
            <w:r w:rsidRPr="00AC1930">
              <w:rPr>
                <w:sz w:val="20"/>
                <w:szCs w:val="20"/>
              </w:rPr>
              <w:t xml:space="preserve"> </w:t>
            </w:r>
          </w:p>
        </w:tc>
      </w:tr>
      <w:tr w:rsidR="00AC1930" w:rsidRPr="00AC1930" w14:paraId="09E0E110" w14:textId="77777777">
        <w:trPr>
          <w:trHeight w:val="25"/>
        </w:trPr>
        <w:tc>
          <w:tcPr>
            <w:tcW w:w="2265" w:type="dxa"/>
            <w:tcBorders>
              <w:top w:val="nil"/>
              <w:left w:val="nil"/>
              <w:bottom w:val="nil"/>
              <w:right w:val="nil"/>
            </w:tcBorders>
            <w:shd w:val="clear" w:color="auto" w:fill="auto"/>
            <w:tcMar>
              <w:top w:w="100" w:type="dxa"/>
              <w:left w:w="100" w:type="dxa"/>
              <w:bottom w:w="100" w:type="dxa"/>
              <w:right w:w="100" w:type="dxa"/>
            </w:tcMar>
          </w:tcPr>
          <w:p w14:paraId="3DDBD658" w14:textId="77777777" w:rsidR="002E7E3F" w:rsidRPr="00AC1930" w:rsidRDefault="0001118D">
            <w:pPr>
              <w:spacing w:before="0" w:after="0" w:line="240" w:lineRule="auto"/>
              <w:rPr>
                <w:sz w:val="20"/>
                <w:szCs w:val="20"/>
              </w:rPr>
            </w:pPr>
            <w:r w:rsidRPr="00AC1930">
              <w:rPr>
                <w:sz w:val="20"/>
                <w:szCs w:val="20"/>
              </w:rPr>
              <w:t>WA</w:t>
            </w:r>
          </w:p>
        </w:tc>
        <w:tc>
          <w:tcPr>
            <w:tcW w:w="2205" w:type="dxa"/>
            <w:tcBorders>
              <w:top w:val="nil"/>
              <w:left w:val="nil"/>
              <w:bottom w:val="nil"/>
              <w:right w:val="nil"/>
            </w:tcBorders>
            <w:shd w:val="clear" w:color="auto" w:fill="auto"/>
            <w:tcMar>
              <w:top w:w="100" w:type="dxa"/>
              <w:left w:w="100" w:type="dxa"/>
              <w:bottom w:w="100" w:type="dxa"/>
              <w:right w:w="100" w:type="dxa"/>
            </w:tcMar>
          </w:tcPr>
          <w:p w14:paraId="35BAB287" w14:textId="77777777" w:rsidR="002E7E3F" w:rsidRPr="00AC1930" w:rsidRDefault="0001118D">
            <w:pPr>
              <w:spacing w:before="0" w:after="0" w:line="240" w:lineRule="auto"/>
              <w:jc w:val="center"/>
              <w:rPr>
                <w:sz w:val="20"/>
                <w:szCs w:val="20"/>
              </w:rPr>
            </w:pPr>
            <w:r w:rsidRPr="00AC1930">
              <w:rPr>
                <w:sz w:val="20"/>
                <w:szCs w:val="20"/>
              </w:rPr>
              <w:t>-0.431</w:t>
            </w:r>
          </w:p>
        </w:tc>
        <w:tc>
          <w:tcPr>
            <w:tcW w:w="2205" w:type="dxa"/>
            <w:tcBorders>
              <w:top w:val="nil"/>
              <w:left w:val="nil"/>
              <w:bottom w:val="nil"/>
              <w:right w:val="nil"/>
            </w:tcBorders>
            <w:shd w:val="clear" w:color="auto" w:fill="auto"/>
            <w:tcMar>
              <w:top w:w="100" w:type="dxa"/>
              <w:left w:w="100" w:type="dxa"/>
              <w:bottom w:w="100" w:type="dxa"/>
              <w:right w:w="100" w:type="dxa"/>
            </w:tcMar>
          </w:tcPr>
          <w:p w14:paraId="565FC699" w14:textId="77777777" w:rsidR="002E7E3F" w:rsidRPr="00AC1930" w:rsidRDefault="0001118D">
            <w:pPr>
              <w:spacing w:before="0" w:after="0" w:line="240" w:lineRule="auto"/>
              <w:jc w:val="center"/>
              <w:rPr>
                <w:sz w:val="20"/>
                <w:szCs w:val="20"/>
              </w:rPr>
            </w:pPr>
            <w:r w:rsidRPr="00AC1930">
              <w:rPr>
                <w:sz w:val="20"/>
                <w:szCs w:val="20"/>
              </w:rPr>
              <w:t>-0.465</w:t>
            </w:r>
          </w:p>
        </w:tc>
        <w:tc>
          <w:tcPr>
            <w:tcW w:w="2205" w:type="dxa"/>
            <w:tcBorders>
              <w:top w:val="nil"/>
              <w:left w:val="nil"/>
              <w:bottom w:val="nil"/>
              <w:right w:val="nil"/>
            </w:tcBorders>
            <w:shd w:val="clear" w:color="auto" w:fill="auto"/>
            <w:tcMar>
              <w:top w:w="100" w:type="dxa"/>
              <w:left w:w="100" w:type="dxa"/>
              <w:bottom w:w="100" w:type="dxa"/>
              <w:right w:w="100" w:type="dxa"/>
            </w:tcMar>
          </w:tcPr>
          <w:p w14:paraId="3352C874" w14:textId="77777777" w:rsidR="002E7E3F" w:rsidRPr="00AC1930" w:rsidRDefault="0001118D">
            <w:pPr>
              <w:spacing w:before="0" w:after="0" w:line="240" w:lineRule="auto"/>
              <w:jc w:val="center"/>
              <w:rPr>
                <w:b/>
                <w:sz w:val="20"/>
                <w:szCs w:val="20"/>
              </w:rPr>
            </w:pPr>
            <w:r w:rsidRPr="00AC1930">
              <w:rPr>
                <w:b/>
                <w:sz w:val="20"/>
                <w:szCs w:val="20"/>
              </w:rPr>
              <w:t>0.758</w:t>
            </w:r>
          </w:p>
        </w:tc>
      </w:tr>
      <w:tr w:rsidR="00AC1930" w:rsidRPr="00164CD9" w14:paraId="5242BA36" w14:textId="77777777">
        <w:trPr>
          <w:trHeight w:val="20"/>
        </w:trPr>
        <w:tc>
          <w:tcPr>
            <w:tcW w:w="8880" w:type="dxa"/>
            <w:gridSpan w:val="4"/>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326CAE7" w14:textId="77777777" w:rsidR="002E7E3F" w:rsidRPr="00164CD9" w:rsidRDefault="0001118D">
            <w:pPr>
              <w:spacing w:before="0" w:after="0" w:line="240" w:lineRule="auto"/>
              <w:rPr>
                <w:i/>
                <w:sz w:val="20"/>
                <w:szCs w:val="20"/>
                <w:lang w:val="fr-FR"/>
              </w:rPr>
            </w:pPr>
            <w:proofErr w:type="spellStart"/>
            <w:r w:rsidRPr="00164CD9">
              <w:rPr>
                <w:i/>
                <w:sz w:val="20"/>
                <w:szCs w:val="20"/>
                <w:lang w:val="fr-FR"/>
              </w:rPr>
              <w:t>Heterotrait-Monotrait</w:t>
            </w:r>
            <w:proofErr w:type="spellEnd"/>
            <w:r w:rsidRPr="00164CD9">
              <w:rPr>
                <w:i/>
                <w:sz w:val="20"/>
                <w:szCs w:val="20"/>
                <w:lang w:val="fr-FR"/>
              </w:rPr>
              <w:t xml:space="preserve"> Ratio (HTMT) discriminant </w:t>
            </w:r>
            <w:proofErr w:type="spellStart"/>
            <w:r w:rsidRPr="00164CD9">
              <w:rPr>
                <w:i/>
                <w:sz w:val="20"/>
                <w:szCs w:val="20"/>
                <w:lang w:val="fr-FR"/>
              </w:rPr>
              <w:t>validity</w:t>
            </w:r>
            <w:proofErr w:type="spellEnd"/>
            <w:r w:rsidRPr="00164CD9">
              <w:rPr>
                <w:i/>
                <w:sz w:val="20"/>
                <w:szCs w:val="20"/>
                <w:lang w:val="fr-FR"/>
              </w:rPr>
              <w:t xml:space="preserve"> </w:t>
            </w:r>
            <w:proofErr w:type="spellStart"/>
            <w:r w:rsidRPr="00164CD9">
              <w:rPr>
                <w:i/>
                <w:sz w:val="20"/>
                <w:szCs w:val="20"/>
                <w:lang w:val="fr-FR"/>
              </w:rPr>
              <w:t>criteria</w:t>
            </w:r>
            <w:proofErr w:type="spellEnd"/>
          </w:p>
        </w:tc>
      </w:tr>
      <w:tr w:rsidR="00AC1930" w:rsidRPr="00AC1930" w14:paraId="50D9FDFE" w14:textId="77777777">
        <w:trPr>
          <w:trHeight w:val="25"/>
        </w:trPr>
        <w:tc>
          <w:tcPr>
            <w:tcW w:w="2265" w:type="dxa"/>
            <w:tcBorders>
              <w:top w:val="nil"/>
              <w:left w:val="nil"/>
              <w:bottom w:val="nil"/>
              <w:right w:val="nil"/>
            </w:tcBorders>
            <w:shd w:val="clear" w:color="auto" w:fill="auto"/>
            <w:tcMar>
              <w:top w:w="100" w:type="dxa"/>
              <w:left w:w="100" w:type="dxa"/>
              <w:bottom w:w="100" w:type="dxa"/>
              <w:right w:w="100" w:type="dxa"/>
            </w:tcMar>
          </w:tcPr>
          <w:p w14:paraId="64EE8F98" w14:textId="77777777" w:rsidR="002E7E3F" w:rsidRPr="00AC1930" w:rsidRDefault="0001118D">
            <w:pPr>
              <w:spacing w:before="0" w:after="0" w:line="240" w:lineRule="auto"/>
              <w:rPr>
                <w:sz w:val="20"/>
                <w:szCs w:val="20"/>
              </w:rPr>
            </w:pPr>
            <w:r w:rsidRPr="00AC1930">
              <w:rPr>
                <w:sz w:val="20"/>
                <w:szCs w:val="20"/>
              </w:rPr>
              <w:t>LMX</w:t>
            </w:r>
          </w:p>
        </w:tc>
        <w:tc>
          <w:tcPr>
            <w:tcW w:w="2205" w:type="dxa"/>
            <w:tcBorders>
              <w:top w:val="nil"/>
              <w:left w:val="nil"/>
              <w:bottom w:val="nil"/>
              <w:right w:val="nil"/>
            </w:tcBorders>
            <w:shd w:val="clear" w:color="auto" w:fill="auto"/>
            <w:tcMar>
              <w:top w:w="100" w:type="dxa"/>
              <w:left w:w="100" w:type="dxa"/>
              <w:bottom w:w="100" w:type="dxa"/>
              <w:right w:w="100" w:type="dxa"/>
            </w:tcMar>
          </w:tcPr>
          <w:p w14:paraId="2F079C3A" w14:textId="77777777" w:rsidR="002E7E3F" w:rsidRPr="00AC1930" w:rsidRDefault="0001118D">
            <w:pPr>
              <w:spacing w:before="0" w:after="0" w:line="240" w:lineRule="auto"/>
              <w:jc w:val="center"/>
              <w:rPr>
                <w:b/>
                <w:sz w:val="20"/>
                <w:szCs w:val="20"/>
              </w:rPr>
            </w:pPr>
            <w:r w:rsidRPr="00AC1930">
              <w:rPr>
                <w:b/>
                <w:sz w:val="20"/>
                <w:szCs w:val="20"/>
              </w:rPr>
              <w:t xml:space="preserve"> </w:t>
            </w:r>
          </w:p>
        </w:tc>
        <w:tc>
          <w:tcPr>
            <w:tcW w:w="2205" w:type="dxa"/>
            <w:tcBorders>
              <w:top w:val="nil"/>
              <w:left w:val="nil"/>
              <w:bottom w:val="nil"/>
              <w:right w:val="nil"/>
            </w:tcBorders>
            <w:shd w:val="clear" w:color="auto" w:fill="auto"/>
            <w:tcMar>
              <w:top w:w="100" w:type="dxa"/>
              <w:left w:w="100" w:type="dxa"/>
              <w:bottom w:w="100" w:type="dxa"/>
              <w:right w:w="100" w:type="dxa"/>
            </w:tcMar>
          </w:tcPr>
          <w:p w14:paraId="52012706" w14:textId="77777777" w:rsidR="002E7E3F" w:rsidRPr="00AC1930" w:rsidRDefault="0001118D">
            <w:pPr>
              <w:spacing w:before="0" w:after="0" w:line="240" w:lineRule="auto"/>
              <w:jc w:val="center"/>
              <w:rPr>
                <w:sz w:val="20"/>
                <w:szCs w:val="20"/>
              </w:rPr>
            </w:pPr>
            <w:r w:rsidRPr="00AC1930">
              <w:rPr>
                <w:sz w:val="20"/>
                <w:szCs w:val="20"/>
              </w:rPr>
              <w:t xml:space="preserve"> </w:t>
            </w:r>
          </w:p>
        </w:tc>
        <w:tc>
          <w:tcPr>
            <w:tcW w:w="2205" w:type="dxa"/>
            <w:tcBorders>
              <w:top w:val="nil"/>
              <w:left w:val="nil"/>
              <w:bottom w:val="nil"/>
              <w:right w:val="nil"/>
            </w:tcBorders>
            <w:shd w:val="clear" w:color="auto" w:fill="auto"/>
            <w:tcMar>
              <w:top w:w="100" w:type="dxa"/>
              <w:left w:w="100" w:type="dxa"/>
              <w:bottom w:w="100" w:type="dxa"/>
              <w:right w:w="100" w:type="dxa"/>
            </w:tcMar>
          </w:tcPr>
          <w:p w14:paraId="1142F5BD" w14:textId="77777777" w:rsidR="002E7E3F" w:rsidRPr="00AC1930" w:rsidRDefault="0001118D">
            <w:pPr>
              <w:spacing w:before="0" w:after="0" w:line="240" w:lineRule="auto"/>
              <w:jc w:val="center"/>
              <w:rPr>
                <w:sz w:val="20"/>
                <w:szCs w:val="20"/>
              </w:rPr>
            </w:pPr>
            <w:r w:rsidRPr="00AC1930">
              <w:rPr>
                <w:sz w:val="20"/>
                <w:szCs w:val="20"/>
              </w:rPr>
              <w:t xml:space="preserve"> </w:t>
            </w:r>
          </w:p>
        </w:tc>
      </w:tr>
      <w:tr w:rsidR="00AC1930" w:rsidRPr="00AC1930" w14:paraId="108061D3" w14:textId="77777777">
        <w:trPr>
          <w:trHeight w:val="20"/>
        </w:trPr>
        <w:tc>
          <w:tcPr>
            <w:tcW w:w="226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5F1EB2A" w14:textId="77777777" w:rsidR="002E7E3F" w:rsidRPr="00AC1930" w:rsidRDefault="0001118D">
            <w:pPr>
              <w:spacing w:before="0" w:after="0" w:line="240" w:lineRule="auto"/>
              <w:rPr>
                <w:sz w:val="20"/>
                <w:szCs w:val="20"/>
              </w:rPr>
            </w:pPr>
            <w:r w:rsidRPr="00AC1930">
              <w:rPr>
                <w:sz w:val="20"/>
                <w:szCs w:val="20"/>
              </w:rPr>
              <w:t>SR</w:t>
            </w:r>
          </w:p>
        </w:tc>
        <w:tc>
          <w:tcPr>
            <w:tcW w:w="220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3CD787B2" w14:textId="77777777" w:rsidR="002E7E3F" w:rsidRPr="00AC1930" w:rsidRDefault="0001118D">
            <w:pPr>
              <w:spacing w:before="0" w:after="0" w:line="240" w:lineRule="auto"/>
              <w:jc w:val="center"/>
              <w:rPr>
                <w:sz w:val="20"/>
                <w:szCs w:val="20"/>
              </w:rPr>
            </w:pPr>
            <w:r w:rsidRPr="00AC1930">
              <w:rPr>
                <w:sz w:val="20"/>
                <w:szCs w:val="20"/>
              </w:rPr>
              <w:t>0.373</w:t>
            </w:r>
          </w:p>
        </w:tc>
        <w:tc>
          <w:tcPr>
            <w:tcW w:w="220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337D7E8C" w14:textId="77777777" w:rsidR="002E7E3F" w:rsidRPr="00AC1930" w:rsidRDefault="0001118D">
            <w:pPr>
              <w:spacing w:before="0" w:after="0" w:line="240" w:lineRule="auto"/>
              <w:jc w:val="center"/>
              <w:rPr>
                <w:b/>
                <w:sz w:val="20"/>
                <w:szCs w:val="20"/>
              </w:rPr>
            </w:pPr>
            <w:r w:rsidRPr="00AC1930">
              <w:rPr>
                <w:b/>
                <w:sz w:val="20"/>
                <w:szCs w:val="20"/>
              </w:rPr>
              <w:t xml:space="preserve"> </w:t>
            </w:r>
          </w:p>
        </w:tc>
        <w:tc>
          <w:tcPr>
            <w:tcW w:w="220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06C9440" w14:textId="77777777" w:rsidR="002E7E3F" w:rsidRPr="00AC1930" w:rsidRDefault="0001118D">
            <w:pPr>
              <w:spacing w:before="0" w:after="0" w:line="240" w:lineRule="auto"/>
              <w:jc w:val="center"/>
              <w:rPr>
                <w:sz w:val="20"/>
                <w:szCs w:val="20"/>
              </w:rPr>
            </w:pPr>
            <w:r w:rsidRPr="00AC1930">
              <w:rPr>
                <w:sz w:val="20"/>
                <w:szCs w:val="20"/>
              </w:rPr>
              <w:t xml:space="preserve"> </w:t>
            </w:r>
          </w:p>
        </w:tc>
      </w:tr>
      <w:tr w:rsidR="00AC1930" w:rsidRPr="00AC1930" w14:paraId="0E260672" w14:textId="77777777">
        <w:trPr>
          <w:trHeight w:val="25"/>
        </w:trPr>
        <w:tc>
          <w:tcPr>
            <w:tcW w:w="2265" w:type="dxa"/>
            <w:tcBorders>
              <w:top w:val="nil"/>
              <w:left w:val="nil"/>
              <w:bottom w:val="single" w:sz="8" w:space="0" w:color="7F7F7F"/>
              <w:right w:val="nil"/>
            </w:tcBorders>
            <w:shd w:val="clear" w:color="auto" w:fill="auto"/>
            <w:tcMar>
              <w:top w:w="100" w:type="dxa"/>
              <w:left w:w="100" w:type="dxa"/>
              <w:bottom w:w="100" w:type="dxa"/>
              <w:right w:w="100" w:type="dxa"/>
            </w:tcMar>
          </w:tcPr>
          <w:p w14:paraId="283597D2" w14:textId="77777777" w:rsidR="002E7E3F" w:rsidRPr="00AC1930" w:rsidRDefault="0001118D">
            <w:pPr>
              <w:spacing w:before="0" w:after="0" w:line="240" w:lineRule="auto"/>
              <w:rPr>
                <w:sz w:val="20"/>
                <w:szCs w:val="20"/>
              </w:rPr>
            </w:pPr>
            <w:r w:rsidRPr="00AC1930">
              <w:rPr>
                <w:sz w:val="20"/>
                <w:szCs w:val="20"/>
              </w:rPr>
              <w:t>WA</w:t>
            </w:r>
          </w:p>
        </w:tc>
        <w:tc>
          <w:tcPr>
            <w:tcW w:w="2205" w:type="dxa"/>
            <w:tcBorders>
              <w:top w:val="nil"/>
              <w:left w:val="nil"/>
              <w:bottom w:val="single" w:sz="8" w:space="0" w:color="7F7F7F"/>
              <w:right w:val="nil"/>
            </w:tcBorders>
            <w:shd w:val="clear" w:color="auto" w:fill="auto"/>
            <w:tcMar>
              <w:top w:w="100" w:type="dxa"/>
              <w:left w:w="100" w:type="dxa"/>
              <w:bottom w:w="100" w:type="dxa"/>
              <w:right w:w="100" w:type="dxa"/>
            </w:tcMar>
          </w:tcPr>
          <w:p w14:paraId="2B0E27A9" w14:textId="77777777" w:rsidR="002E7E3F" w:rsidRPr="00AC1930" w:rsidRDefault="0001118D">
            <w:pPr>
              <w:spacing w:before="0" w:after="0" w:line="240" w:lineRule="auto"/>
              <w:jc w:val="center"/>
              <w:rPr>
                <w:sz w:val="20"/>
                <w:szCs w:val="20"/>
              </w:rPr>
            </w:pPr>
            <w:r w:rsidRPr="00AC1930">
              <w:rPr>
                <w:sz w:val="20"/>
                <w:szCs w:val="20"/>
              </w:rPr>
              <w:t>0.424</w:t>
            </w:r>
          </w:p>
        </w:tc>
        <w:tc>
          <w:tcPr>
            <w:tcW w:w="2205" w:type="dxa"/>
            <w:tcBorders>
              <w:top w:val="nil"/>
              <w:left w:val="nil"/>
              <w:bottom w:val="single" w:sz="8" w:space="0" w:color="7F7F7F"/>
              <w:right w:val="nil"/>
            </w:tcBorders>
            <w:shd w:val="clear" w:color="auto" w:fill="auto"/>
            <w:tcMar>
              <w:top w:w="100" w:type="dxa"/>
              <w:left w:w="100" w:type="dxa"/>
              <w:bottom w:w="100" w:type="dxa"/>
              <w:right w:w="100" w:type="dxa"/>
            </w:tcMar>
          </w:tcPr>
          <w:p w14:paraId="5914461A" w14:textId="77777777" w:rsidR="002E7E3F" w:rsidRPr="00AC1930" w:rsidRDefault="0001118D">
            <w:pPr>
              <w:spacing w:before="0" w:after="0" w:line="240" w:lineRule="auto"/>
              <w:jc w:val="center"/>
              <w:rPr>
                <w:sz w:val="20"/>
                <w:szCs w:val="20"/>
              </w:rPr>
            </w:pPr>
            <w:r w:rsidRPr="00AC1930">
              <w:rPr>
                <w:sz w:val="20"/>
                <w:szCs w:val="20"/>
              </w:rPr>
              <w:t>0.462</w:t>
            </w:r>
          </w:p>
        </w:tc>
        <w:tc>
          <w:tcPr>
            <w:tcW w:w="2205" w:type="dxa"/>
            <w:tcBorders>
              <w:top w:val="nil"/>
              <w:left w:val="nil"/>
              <w:bottom w:val="single" w:sz="8" w:space="0" w:color="7F7F7F"/>
              <w:right w:val="nil"/>
            </w:tcBorders>
            <w:shd w:val="clear" w:color="auto" w:fill="auto"/>
            <w:tcMar>
              <w:top w:w="100" w:type="dxa"/>
              <w:left w:w="100" w:type="dxa"/>
              <w:bottom w:w="100" w:type="dxa"/>
              <w:right w:w="100" w:type="dxa"/>
            </w:tcMar>
          </w:tcPr>
          <w:p w14:paraId="79D226C3" w14:textId="77777777" w:rsidR="002E7E3F" w:rsidRPr="00AC1930" w:rsidRDefault="0001118D">
            <w:pPr>
              <w:spacing w:before="0" w:after="0" w:line="240" w:lineRule="auto"/>
              <w:jc w:val="center"/>
              <w:rPr>
                <w:b/>
                <w:sz w:val="20"/>
                <w:szCs w:val="20"/>
              </w:rPr>
            </w:pPr>
            <w:r w:rsidRPr="00AC1930">
              <w:rPr>
                <w:b/>
                <w:sz w:val="20"/>
                <w:szCs w:val="20"/>
              </w:rPr>
              <w:t xml:space="preserve"> </w:t>
            </w:r>
          </w:p>
        </w:tc>
      </w:tr>
    </w:tbl>
    <w:p w14:paraId="63D203C7" w14:textId="6B840ED4" w:rsidR="002E7E3F" w:rsidRPr="00AC1930" w:rsidRDefault="003748A7">
      <w:pPr>
        <w:spacing w:line="276" w:lineRule="auto"/>
      </w:pPr>
      <w:r w:rsidRPr="00AC1930">
        <w:t>V</w:t>
      </w:r>
      <w:r w:rsidR="0001118D" w:rsidRPr="00AC1930">
        <w:t xml:space="preserve">alues </w:t>
      </w:r>
      <w:r w:rsidRPr="00AC1930">
        <w:t xml:space="preserve">in bold typeface </w:t>
      </w:r>
      <w:r w:rsidR="0001118D" w:rsidRPr="00AC1930">
        <w:t xml:space="preserve">are </w:t>
      </w:r>
      <w:r w:rsidR="002276E4" w:rsidRPr="00AC1930">
        <w:t xml:space="preserve">the </w:t>
      </w:r>
      <w:r w:rsidR="0001118D" w:rsidRPr="00AC1930">
        <w:t>square root</w:t>
      </w:r>
      <w:r w:rsidRPr="00AC1930">
        <w:t>s</w:t>
      </w:r>
      <w:r w:rsidR="0001118D" w:rsidRPr="00AC1930">
        <w:t xml:space="preserve"> of AVE, </w:t>
      </w:r>
      <w:r w:rsidRPr="00AC1930">
        <w:t xml:space="preserve">whilst </w:t>
      </w:r>
      <w:r w:rsidR="0001118D" w:rsidRPr="00AC1930">
        <w:t xml:space="preserve">off‐diagonal elements are the correlations </w:t>
      </w:r>
      <w:r w:rsidRPr="00AC1930">
        <w:t xml:space="preserve">between </w:t>
      </w:r>
      <w:r w:rsidR="0001118D" w:rsidRPr="00AC1930">
        <w:t>the constructs.</w:t>
      </w:r>
    </w:p>
    <w:p w14:paraId="0AE7C442" w14:textId="77777777" w:rsidR="002E7E3F" w:rsidRPr="00AC1930" w:rsidRDefault="0001118D">
      <w:pPr>
        <w:pStyle w:val="Heading2"/>
        <w:keepNext w:val="0"/>
        <w:keepLines w:val="0"/>
        <w:spacing w:before="240" w:after="240"/>
        <w:rPr>
          <w:b/>
          <w:i/>
          <w:sz w:val="28"/>
          <w:szCs w:val="28"/>
        </w:rPr>
      </w:pPr>
      <w:bookmarkStart w:id="14" w:name="_lnxbz9" w:colFirst="0" w:colLast="0"/>
      <w:bookmarkEnd w:id="14"/>
      <w:r w:rsidRPr="00AC1930">
        <w:rPr>
          <w:b/>
          <w:i/>
          <w:sz w:val="28"/>
          <w:szCs w:val="28"/>
        </w:rPr>
        <w:t>Assessment of Structural Model - Hypotheses Tests</w:t>
      </w:r>
    </w:p>
    <w:p w14:paraId="7860DF15" w14:textId="201B3317" w:rsidR="002E7E3F" w:rsidRPr="00AC1930" w:rsidRDefault="00EF72A3">
      <w:r w:rsidRPr="00AC1930">
        <w:t xml:space="preserve">In the structural model, a bootstrap procedure with 10,000 iterations was used to evaluate the significance of the hypotheses </w:t>
      </w:r>
      <w:r w:rsidR="0001118D" w:rsidRPr="00AC1930">
        <w:t>(</w:t>
      </w:r>
      <w:proofErr w:type="spellStart"/>
      <w:r w:rsidR="0001118D" w:rsidRPr="00AC1930">
        <w:t>Streukens</w:t>
      </w:r>
      <w:proofErr w:type="spellEnd"/>
      <w:r w:rsidR="0001118D" w:rsidRPr="00AC1930">
        <w:t>/Leroi-</w:t>
      </w:r>
      <w:proofErr w:type="spellStart"/>
      <w:r w:rsidR="0001118D" w:rsidRPr="00AC1930">
        <w:t>Werelds</w:t>
      </w:r>
      <w:proofErr w:type="spellEnd"/>
      <w:r w:rsidR="0001118D" w:rsidRPr="00AC1930">
        <w:t xml:space="preserve"> 2016). We assessed VIF values for </w:t>
      </w:r>
      <w:r w:rsidR="007541BB" w:rsidRPr="00AC1930">
        <w:t xml:space="preserve">the </w:t>
      </w:r>
      <w:r w:rsidR="0001118D" w:rsidRPr="00AC1930">
        <w:t xml:space="preserve">collinearity diagnostic. Hair et al. (2019) state that VIF values of exogenous constructs should not be greater </w:t>
      </w:r>
      <w:r w:rsidR="007541BB" w:rsidRPr="00AC1930">
        <w:t xml:space="preserve">than </w:t>
      </w:r>
      <w:r w:rsidR="0001118D" w:rsidRPr="00AC1930">
        <w:t xml:space="preserve">5. Moreover, values </w:t>
      </w:r>
      <w:r w:rsidR="007541BB" w:rsidRPr="00AC1930">
        <w:t xml:space="preserve">of </w:t>
      </w:r>
      <w:r w:rsidR="0001118D" w:rsidRPr="00AC1930">
        <w:t xml:space="preserve">less than 3.3 are </w:t>
      </w:r>
      <w:r w:rsidR="007541BB" w:rsidRPr="00AC1930">
        <w:t>perfectly fine</w:t>
      </w:r>
      <w:r w:rsidR="0001118D" w:rsidRPr="00AC1930">
        <w:t xml:space="preserve"> for collinearity. Our assessment of collinearity showed that VIF values among exogenous constructs were below 3. In this respect, there is no concern </w:t>
      </w:r>
      <w:proofErr w:type="gramStart"/>
      <w:r w:rsidR="007541BB" w:rsidRPr="00AC1930">
        <w:t>with regard to</w:t>
      </w:r>
      <w:proofErr w:type="gramEnd"/>
      <w:r w:rsidR="007541BB" w:rsidRPr="00AC1930">
        <w:t xml:space="preserve"> </w:t>
      </w:r>
      <w:r w:rsidR="0001118D" w:rsidRPr="00AC1930">
        <w:t>collinearity in our model.</w:t>
      </w:r>
    </w:p>
    <w:p w14:paraId="375B10EE" w14:textId="7FF4EBFD" w:rsidR="002E7E3F" w:rsidRPr="00AC1930" w:rsidRDefault="0001118D">
      <w:r w:rsidRPr="00AC1930">
        <w:t xml:space="preserve">Next, we measured the coefficient values according to the recommended level of the t-statistics value (Hair et al. 2017). Commonly used critical values for two-tailed tests are 1.96 (significance level = 5%) and 2.57 (significance level = 1%). The PLS does not generate overall goodness-of-fit indices. </w:t>
      </w:r>
      <w:proofErr w:type="spellStart"/>
      <w:r w:rsidRPr="00AC1930">
        <w:t>Henseler</w:t>
      </w:r>
      <w:proofErr w:type="spellEnd"/>
      <w:r w:rsidRPr="00AC1930">
        <w:t xml:space="preserve">, </w:t>
      </w:r>
      <w:proofErr w:type="spellStart"/>
      <w:r w:rsidRPr="00AC1930">
        <w:t>Hubona</w:t>
      </w:r>
      <w:proofErr w:type="spellEnd"/>
      <w:r w:rsidRPr="00AC1930">
        <w:t xml:space="preserve"> and Ray (2016a) recommend </w:t>
      </w:r>
      <w:r w:rsidR="00A22454" w:rsidRPr="00AC1930">
        <w:t xml:space="preserve">applying </w:t>
      </w:r>
      <w:r w:rsidRPr="00AC1930">
        <w:t xml:space="preserve">SRMR as the </w:t>
      </w:r>
      <w:r w:rsidR="008D1804" w:rsidRPr="00AC1930">
        <w:t xml:space="preserve">convenient </w:t>
      </w:r>
      <w:r w:rsidR="00A22454" w:rsidRPr="00AC1930">
        <w:t>model-</w:t>
      </w:r>
      <w:r w:rsidRPr="00AC1930">
        <w:t>fit</w:t>
      </w:r>
      <w:r w:rsidR="00A22454" w:rsidRPr="00AC1930">
        <w:t>ting</w:t>
      </w:r>
      <w:r w:rsidRPr="00AC1930">
        <w:t xml:space="preserve"> criterion. For the PLS models, a</w:t>
      </w:r>
      <w:r w:rsidR="002276E4" w:rsidRPr="00AC1930">
        <w:t>n</w:t>
      </w:r>
      <w:r w:rsidRPr="00AC1930">
        <w:t xml:space="preserve"> SRMR value below 0.08 is sufficient. In our model, we observed </w:t>
      </w:r>
      <w:r w:rsidR="00A22454" w:rsidRPr="00AC1930">
        <w:t>an</w:t>
      </w:r>
      <w:r w:rsidRPr="00AC1930">
        <w:t xml:space="preserve"> SRMR </w:t>
      </w:r>
      <w:r w:rsidR="00A22454" w:rsidRPr="00AC1930">
        <w:t xml:space="preserve">of 0.059 </w:t>
      </w:r>
      <w:r w:rsidRPr="00AC1930">
        <w:t>for the estimated model, which is in an acceptable range for model fit.</w:t>
      </w:r>
    </w:p>
    <w:p w14:paraId="3BA54E4E" w14:textId="77206046" w:rsidR="002E7E3F" w:rsidRPr="00AC1930" w:rsidRDefault="008D1804">
      <w:r w:rsidRPr="00AC1930">
        <w:lastRenderedPageBreak/>
        <w:t xml:space="preserve">We </w:t>
      </w:r>
      <w:r w:rsidR="006E3E3C" w:rsidRPr="00AC1930">
        <w:t>measured</w:t>
      </w:r>
      <w:r w:rsidRPr="00AC1930">
        <w:t xml:space="preserve"> </w:t>
      </w:r>
      <w:r w:rsidR="0001118D" w:rsidRPr="00AC1930">
        <w:t>the coefficient of determination (R</w:t>
      </w:r>
      <w:r w:rsidR="0001118D" w:rsidRPr="00AC1930">
        <w:rPr>
          <w:vertAlign w:val="superscript"/>
        </w:rPr>
        <w:t>2</w:t>
      </w:r>
      <w:r w:rsidR="0001118D" w:rsidRPr="00AC1930">
        <w:t>)</w:t>
      </w:r>
      <w:r w:rsidRPr="00AC1930">
        <w:t xml:space="preserve"> to evaluate the structural model</w:t>
      </w:r>
      <w:r w:rsidR="0001118D" w:rsidRPr="00AC1930">
        <w:t>. The R</w:t>
      </w:r>
      <w:r w:rsidR="0001118D" w:rsidRPr="00AC1930">
        <w:rPr>
          <w:vertAlign w:val="superscript"/>
        </w:rPr>
        <w:t>2</w:t>
      </w:r>
      <w:r w:rsidR="0001118D" w:rsidRPr="00AC1930">
        <w:t xml:space="preserve"> is the squared correlation of actual and predicted values and, as such, includes all the data that have been used for model estimation to judge the model's predictive power</w:t>
      </w:r>
      <w:r w:rsidR="002276E4" w:rsidRPr="00AC1930">
        <w:t>,</w:t>
      </w:r>
      <w:r w:rsidR="0001118D" w:rsidRPr="00AC1930">
        <w:t xml:space="preserve"> which also represents a measure of in-sample predictive power (</w:t>
      </w:r>
      <w:proofErr w:type="spellStart"/>
      <w:r w:rsidR="0001118D" w:rsidRPr="00AC1930">
        <w:t>Sarstedt</w:t>
      </w:r>
      <w:proofErr w:type="spellEnd"/>
      <w:r w:rsidR="0001118D" w:rsidRPr="00AC1930">
        <w:t>/</w:t>
      </w:r>
      <w:proofErr w:type="spellStart"/>
      <w:r w:rsidR="0001118D" w:rsidRPr="00AC1930">
        <w:t>Ringle</w:t>
      </w:r>
      <w:proofErr w:type="spellEnd"/>
      <w:r w:rsidR="0001118D" w:rsidRPr="00AC1930">
        <w:t>/</w:t>
      </w:r>
      <w:proofErr w:type="spellStart"/>
      <w:r w:rsidR="0001118D" w:rsidRPr="00AC1930">
        <w:t>Henseler</w:t>
      </w:r>
      <w:proofErr w:type="spellEnd"/>
      <w:r w:rsidR="0001118D" w:rsidRPr="00AC1930">
        <w:t xml:space="preserve">/Hair 2014; Hair et al. 2017). </w:t>
      </w:r>
      <w:r w:rsidR="00A22454" w:rsidRPr="00AC1930">
        <w:t>Further</w:t>
      </w:r>
      <w:r w:rsidR="0001118D" w:rsidRPr="00AC1930">
        <w:t>, we adopted Q</w:t>
      </w:r>
      <w:r w:rsidR="0001118D" w:rsidRPr="00AC1930">
        <w:rPr>
          <w:vertAlign w:val="superscript"/>
        </w:rPr>
        <w:t>2</w:t>
      </w:r>
      <w:r w:rsidR="0001118D" w:rsidRPr="00AC1930">
        <w:t xml:space="preserve"> for cross-validated redundancy and f</w:t>
      </w:r>
      <w:r w:rsidR="0001118D" w:rsidRPr="00AC1930">
        <w:rPr>
          <w:vertAlign w:val="superscript"/>
        </w:rPr>
        <w:t xml:space="preserve">2 </w:t>
      </w:r>
      <w:r w:rsidR="0001118D" w:rsidRPr="00AC1930">
        <w:t xml:space="preserve">for effect size. The results of the structural model </w:t>
      </w:r>
      <w:r w:rsidR="00A22454" w:rsidRPr="00AC1930">
        <w:t xml:space="preserve">are </w:t>
      </w:r>
      <w:r w:rsidR="0001118D" w:rsidRPr="00AC1930">
        <w:t>shown in Table 3.</w:t>
      </w:r>
    </w:p>
    <w:p w14:paraId="4FB9E9FD" w14:textId="77777777" w:rsidR="002E7E3F" w:rsidRPr="00AC1930" w:rsidRDefault="0001118D">
      <w:r w:rsidRPr="00AC1930">
        <w:t>Table 3. Effects on endogenous constructs</w:t>
      </w:r>
    </w:p>
    <w:tbl>
      <w:tblPr>
        <w:tblStyle w:val="a1"/>
        <w:tblW w:w="918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55"/>
        <w:gridCol w:w="945"/>
        <w:gridCol w:w="855"/>
        <w:gridCol w:w="1039"/>
        <w:gridCol w:w="1769"/>
        <w:gridCol w:w="1279"/>
        <w:gridCol w:w="1234"/>
        <w:gridCol w:w="7"/>
      </w:tblGrid>
      <w:tr w:rsidR="00AC1930" w:rsidRPr="00AC1930" w14:paraId="4145503E" w14:textId="77777777">
        <w:trPr>
          <w:trHeight w:val="306"/>
        </w:trPr>
        <w:tc>
          <w:tcPr>
            <w:tcW w:w="2055" w:type="dxa"/>
            <w:tcBorders>
              <w:top w:val="single" w:sz="8" w:space="0" w:color="7F7F7F"/>
              <w:left w:val="nil"/>
              <w:bottom w:val="single" w:sz="8" w:space="0" w:color="7F7F7F"/>
              <w:right w:val="nil"/>
            </w:tcBorders>
            <w:tcMar>
              <w:top w:w="100" w:type="dxa"/>
              <w:left w:w="100" w:type="dxa"/>
              <w:bottom w:w="100" w:type="dxa"/>
              <w:right w:w="100" w:type="dxa"/>
            </w:tcMar>
          </w:tcPr>
          <w:p w14:paraId="2A527F14" w14:textId="77777777" w:rsidR="002E7E3F" w:rsidRPr="00AC1930" w:rsidRDefault="0001118D">
            <w:pPr>
              <w:spacing w:before="0" w:after="0" w:line="240" w:lineRule="auto"/>
              <w:jc w:val="center"/>
              <w:rPr>
                <w:b/>
                <w:sz w:val="20"/>
                <w:szCs w:val="20"/>
              </w:rPr>
            </w:pPr>
            <w:r w:rsidRPr="00AC1930">
              <w:rPr>
                <w:b/>
                <w:sz w:val="20"/>
                <w:szCs w:val="20"/>
              </w:rPr>
              <w:t>Construct</w:t>
            </w:r>
          </w:p>
        </w:tc>
        <w:tc>
          <w:tcPr>
            <w:tcW w:w="945" w:type="dxa"/>
            <w:tcBorders>
              <w:top w:val="single" w:sz="8" w:space="0" w:color="7F7F7F"/>
              <w:left w:val="nil"/>
              <w:bottom w:val="single" w:sz="8" w:space="0" w:color="7F7F7F"/>
              <w:right w:val="nil"/>
            </w:tcBorders>
            <w:tcMar>
              <w:top w:w="100" w:type="dxa"/>
              <w:left w:w="100" w:type="dxa"/>
              <w:bottom w:w="100" w:type="dxa"/>
              <w:right w:w="100" w:type="dxa"/>
            </w:tcMar>
          </w:tcPr>
          <w:p w14:paraId="39E1F8E2" w14:textId="77777777" w:rsidR="002E7E3F" w:rsidRPr="00AC1930" w:rsidRDefault="0001118D">
            <w:pPr>
              <w:spacing w:before="0" w:after="0" w:line="240" w:lineRule="auto"/>
              <w:jc w:val="center"/>
              <w:rPr>
                <w:b/>
                <w:sz w:val="20"/>
                <w:szCs w:val="20"/>
              </w:rPr>
            </w:pPr>
            <w:r w:rsidRPr="00AC1930">
              <w:rPr>
                <w:b/>
                <w:sz w:val="20"/>
                <w:szCs w:val="20"/>
              </w:rPr>
              <w:t>Direct Effect</w:t>
            </w:r>
          </w:p>
        </w:tc>
        <w:tc>
          <w:tcPr>
            <w:tcW w:w="855" w:type="dxa"/>
            <w:tcBorders>
              <w:top w:val="single" w:sz="8" w:space="0" w:color="7F7F7F"/>
              <w:left w:val="nil"/>
              <w:bottom w:val="single" w:sz="8" w:space="0" w:color="7F7F7F"/>
              <w:right w:val="nil"/>
            </w:tcBorders>
            <w:tcMar>
              <w:top w:w="100" w:type="dxa"/>
              <w:left w:w="100" w:type="dxa"/>
              <w:bottom w:w="100" w:type="dxa"/>
              <w:right w:w="100" w:type="dxa"/>
            </w:tcMar>
          </w:tcPr>
          <w:p w14:paraId="2D15CF0B" w14:textId="77777777" w:rsidR="002E7E3F" w:rsidRPr="00AC1930" w:rsidRDefault="0001118D">
            <w:pPr>
              <w:spacing w:before="0" w:after="0" w:line="240" w:lineRule="auto"/>
              <w:jc w:val="center"/>
              <w:rPr>
                <w:b/>
                <w:sz w:val="20"/>
                <w:szCs w:val="20"/>
              </w:rPr>
            </w:pPr>
            <w:r w:rsidRPr="00AC1930">
              <w:rPr>
                <w:b/>
                <w:i/>
                <w:sz w:val="20"/>
                <w:szCs w:val="20"/>
              </w:rPr>
              <w:t>t</w:t>
            </w:r>
            <w:r w:rsidRPr="00AC1930">
              <w:rPr>
                <w:b/>
                <w:sz w:val="20"/>
                <w:szCs w:val="20"/>
              </w:rPr>
              <w:t>-Value</w:t>
            </w:r>
          </w:p>
        </w:tc>
        <w:tc>
          <w:tcPr>
            <w:tcW w:w="1039" w:type="dxa"/>
            <w:tcBorders>
              <w:top w:val="single" w:sz="8" w:space="0" w:color="7F7F7F"/>
              <w:left w:val="nil"/>
              <w:bottom w:val="single" w:sz="8" w:space="0" w:color="7F7F7F"/>
              <w:right w:val="nil"/>
            </w:tcBorders>
            <w:tcMar>
              <w:top w:w="100" w:type="dxa"/>
              <w:left w:w="100" w:type="dxa"/>
              <w:bottom w:w="100" w:type="dxa"/>
              <w:right w:w="100" w:type="dxa"/>
            </w:tcMar>
          </w:tcPr>
          <w:p w14:paraId="38B4A3C6" w14:textId="77777777" w:rsidR="002E7E3F" w:rsidRPr="00AC1930" w:rsidRDefault="0001118D">
            <w:pPr>
              <w:spacing w:before="0" w:after="0" w:line="240" w:lineRule="auto"/>
              <w:jc w:val="center"/>
              <w:rPr>
                <w:b/>
                <w:sz w:val="20"/>
                <w:szCs w:val="20"/>
              </w:rPr>
            </w:pPr>
            <w:r w:rsidRPr="00AC1930">
              <w:rPr>
                <w:b/>
                <w:i/>
                <w:sz w:val="20"/>
                <w:szCs w:val="20"/>
              </w:rPr>
              <w:t>p</w:t>
            </w:r>
            <w:r w:rsidRPr="00AC1930">
              <w:rPr>
                <w:b/>
                <w:sz w:val="20"/>
                <w:szCs w:val="20"/>
              </w:rPr>
              <w:t>-Value</w:t>
            </w:r>
          </w:p>
        </w:tc>
        <w:tc>
          <w:tcPr>
            <w:tcW w:w="1769" w:type="dxa"/>
            <w:tcBorders>
              <w:top w:val="single" w:sz="8" w:space="0" w:color="7F7F7F"/>
              <w:left w:val="nil"/>
              <w:bottom w:val="single" w:sz="8" w:space="0" w:color="7F7F7F"/>
              <w:right w:val="nil"/>
            </w:tcBorders>
            <w:tcMar>
              <w:top w:w="100" w:type="dxa"/>
              <w:left w:w="100" w:type="dxa"/>
              <w:bottom w:w="100" w:type="dxa"/>
              <w:right w:w="100" w:type="dxa"/>
            </w:tcMar>
          </w:tcPr>
          <w:p w14:paraId="04FBC76A" w14:textId="77777777" w:rsidR="002E7E3F" w:rsidRPr="00AC1930" w:rsidRDefault="0001118D">
            <w:pPr>
              <w:spacing w:before="0" w:after="0" w:line="240" w:lineRule="auto"/>
              <w:ind w:right="-101"/>
              <w:jc w:val="center"/>
              <w:rPr>
                <w:b/>
                <w:sz w:val="20"/>
                <w:szCs w:val="20"/>
              </w:rPr>
            </w:pPr>
            <w:r w:rsidRPr="00AC1930">
              <w:rPr>
                <w:b/>
                <w:sz w:val="20"/>
                <w:szCs w:val="20"/>
              </w:rPr>
              <w:t>PCI</w:t>
            </w:r>
          </w:p>
        </w:tc>
        <w:tc>
          <w:tcPr>
            <w:tcW w:w="1279" w:type="dxa"/>
            <w:tcBorders>
              <w:top w:val="single" w:sz="8" w:space="0" w:color="7F7F7F"/>
              <w:left w:val="nil"/>
              <w:bottom w:val="single" w:sz="8" w:space="0" w:color="7F7F7F"/>
              <w:right w:val="nil"/>
            </w:tcBorders>
            <w:tcMar>
              <w:top w:w="100" w:type="dxa"/>
              <w:left w:w="100" w:type="dxa"/>
              <w:bottom w:w="100" w:type="dxa"/>
              <w:right w:w="100" w:type="dxa"/>
            </w:tcMar>
          </w:tcPr>
          <w:p w14:paraId="4A1DD0E0" w14:textId="77777777" w:rsidR="002E7E3F" w:rsidRPr="00AC1930" w:rsidRDefault="0001118D">
            <w:pPr>
              <w:spacing w:before="0" w:after="0" w:line="240" w:lineRule="auto"/>
              <w:jc w:val="center"/>
              <w:rPr>
                <w:b/>
                <w:sz w:val="20"/>
                <w:szCs w:val="20"/>
                <w:vertAlign w:val="superscript"/>
              </w:rPr>
            </w:pPr>
            <w:r w:rsidRPr="00AC1930">
              <w:rPr>
                <w:b/>
                <w:sz w:val="20"/>
                <w:szCs w:val="20"/>
              </w:rPr>
              <w:t>f</w:t>
            </w:r>
            <w:r w:rsidRPr="00AC1930">
              <w:rPr>
                <w:b/>
                <w:sz w:val="20"/>
                <w:szCs w:val="20"/>
                <w:vertAlign w:val="superscript"/>
              </w:rPr>
              <w:t>2</w:t>
            </w:r>
          </w:p>
        </w:tc>
        <w:tc>
          <w:tcPr>
            <w:tcW w:w="1241" w:type="dxa"/>
            <w:gridSpan w:val="2"/>
            <w:tcBorders>
              <w:top w:val="single" w:sz="8" w:space="0" w:color="7F7F7F"/>
              <w:left w:val="nil"/>
              <w:bottom w:val="single" w:sz="8" w:space="0" w:color="7F7F7F"/>
              <w:right w:val="nil"/>
            </w:tcBorders>
            <w:tcMar>
              <w:top w:w="100" w:type="dxa"/>
              <w:left w:w="100" w:type="dxa"/>
              <w:bottom w:w="100" w:type="dxa"/>
              <w:right w:w="100" w:type="dxa"/>
            </w:tcMar>
          </w:tcPr>
          <w:p w14:paraId="74E2F105" w14:textId="77777777" w:rsidR="002E7E3F" w:rsidRPr="00AC1930" w:rsidRDefault="0001118D">
            <w:pPr>
              <w:spacing w:before="0" w:after="0" w:line="240" w:lineRule="auto"/>
              <w:ind w:left="-93"/>
              <w:jc w:val="center"/>
              <w:rPr>
                <w:b/>
                <w:sz w:val="20"/>
                <w:szCs w:val="20"/>
              </w:rPr>
            </w:pPr>
            <w:r w:rsidRPr="00AC1930">
              <w:rPr>
                <w:b/>
                <w:sz w:val="20"/>
                <w:szCs w:val="20"/>
              </w:rPr>
              <w:t>Supported</w:t>
            </w:r>
          </w:p>
        </w:tc>
      </w:tr>
      <w:tr w:rsidR="00AC1930" w:rsidRPr="00AC1930" w14:paraId="54AF3FD7" w14:textId="77777777">
        <w:trPr>
          <w:gridAfter w:val="1"/>
          <w:wAfter w:w="7" w:type="dxa"/>
          <w:trHeight w:val="104"/>
        </w:trPr>
        <w:tc>
          <w:tcPr>
            <w:tcW w:w="9176" w:type="dxa"/>
            <w:gridSpan w:val="7"/>
            <w:tcBorders>
              <w:top w:val="single" w:sz="8" w:space="0" w:color="7F7F7F"/>
              <w:left w:val="nil"/>
              <w:bottom w:val="single" w:sz="8" w:space="0" w:color="7F7F7F"/>
              <w:right w:val="nil"/>
            </w:tcBorders>
            <w:tcMar>
              <w:top w:w="100" w:type="dxa"/>
              <w:left w:w="100" w:type="dxa"/>
              <w:bottom w:w="100" w:type="dxa"/>
              <w:right w:w="100" w:type="dxa"/>
            </w:tcMar>
          </w:tcPr>
          <w:p w14:paraId="1B242514" w14:textId="77777777" w:rsidR="002E7E3F" w:rsidRPr="00AC1930" w:rsidRDefault="0001118D">
            <w:pPr>
              <w:spacing w:before="0" w:after="0" w:line="240" w:lineRule="auto"/>
              <w:jc w:val="left"/>
              <w:rPr>
                <w:b/>
                <w:sz w:val="20"/>
                <w:szCs w:val="20"/>
              </w:rPr>
            </w:pPr>
            <w:r w:rsidRPr="00AC1930">
              <w:rPr>
                <w:b/>
                <w:sz w:val="20"/>
                <w:szCs w:val="20"/>
              </w:rPr>
              <w:t>Path coefficients and bootstrapping</w:t>
            </w:r>
          </w:p>
        </w:tc>
      </w:tr>
      <w:tr w:rsidR="00AC1930" w:rsidRPr="00AC1930" w14:paraId="157B2D1C" w14:textId="77777777">
        <w:trPr>
          <w:trHeight w:val="46"/>
        </w:trPr>
        <w:tc>
          <w:tcPr>
            <w:tcW w:w="2055" w:type="dxa"/>
            <w:tcBorders>
              <w:top w:val="nil"/>
              <w:left w:val="nil"/>
              <w:bottom w:val="single" w:sz="8" w:space="0" w:color="7F7F7F"/>
              <w:right w:val="nil"/>
            </w:tcBorders>
            <w:tcMar>
              <w:top w:w="100" w:type="dxa"/>
              <w:left w:w="100" w:type="dxa"/>
              <w:bottom w:w="100" w:type="dxa"/>
              <w:right w:w="100" w:type="dxa"/>
            </w:tcMar>
          </w:tcPr>
          <w:p w14:paraId="6230F132" w14:textId="17098CBC" w:rsidR="002E7E3F" w:rsidRPr="00AC1930" w:rsidRDefault="0001118D">
            <w:pPr>
              <w:spacing w:before="0" w:after="0" w:line="240" w:lineRule="auto"/>
              <w:rPr>
                <w:sz w:val="20"/>
                <w:szCs w:val="20"/>
              </w:rPr>
            </w:pPr>
            <w:r w:rsidRPr="00AC1930">
              <w:rPr>
                <w:sz w:val="20"/>
                <w:szCs w:val="20"/>
              </w:rPr>
              <w:t>H1: LMX</w:t>
            </w:r>
            <w:r w:rsidR="00AE564E" w:rsidRPr="00AC1930">
              <w:rPr>
                <w:sz w:val="20"/>
                <w:szCs w:val="20"/>
              </w:rPr>
              <w:t xml:space="preserve"> </w:t>
            </w:r>
            <w:r w:rsidR="00AE564E" w:rsidRPr="00AC1930">
              <w:rPr>
                <w:sz w:val="20"/>
                <w:szCs w:val="20"/>
              </w:rPr>
              <w:sym w:font="Wingdings" w:char="F0E0"/>
            </w:r>
            <w:r w:rsidR="00AE564E" w:rsidRPr="00AC1930">
              <w:rPr>
                <w:sz w:val="20"/>
                <w:szCs w:val="20"/>
              </w:rPr>
              <w:t xml:space="preserve"> </w:t>
            </w:r>
            <w:r w:rsidRPr="00AC1930">
              <w:rPr>
                <w:sz w:val="20"/>
                <w:szCs w:val="20"/>
              </w:rPr>
              <w:t>WA</w:t>
            </w:r>
          </w:p>
        </w:tc>
        <w:tc>
          <w:tcPr>
            <w:tcW w:w="945" w:type="dxa"/>
            <w:tcBorders>
              <w:top w:val="nil"/>
              <w:left w:val="nil"/>
              <w:bottom w:val="single" w:sz="8" w:space="0" w:color="7F7F7F"/>
              <w:right w:val="nil"/>
            </w:tcBorders>
            <w:tcMar>
              <w:top w:w="100" w:type="dxa"/>
              <w:left w:w="100" w:type="dxa"/>
              <w:bottom w:w="100" w:type="dxa"/>
              <w:right w:w="100" w:type="dxa"/>
            </w:tcMar>
          </w:tcPr>
          <w:p w14:paraId="0AA2000E" w14:textId="77777777" w:rsidR="002E7E3F" w:rsidRPr="00AC1930" w:rsidRDefault="0001118D">
            <w:pPr>
              <w:spacing w:before="0" w:after="0" w:line="240" w:lineRule="auto"/>
              <w:jc w:val="center"/>
              <w:rPr>
                <w:sz w:val="20"/>
                <w:szCs w:val="20"/>
              </w:rPr>
            </w:pPr>
            <w:r w:rsidRPr="00AC1930">
              <w:rPr>
                <w:sz w:val="20"/>
                <w:szCs w:val="20"/>
              </w:rPr>
              <w:t xml:space="preserve"> -0.326</w:t>
            </w:r>
          </w:p>
        </w:tc>
        <w:tc>
          <w:tcPr>
            <w:tcW w:w="855" w:type="dxa"/>
            <w:tcBorders>
              <w:top w:val="nil"/>
              <w:left w:val="nil"/>
              <w:bottom w:val="single" w:sz="8" w:space="0" w:color="7F7F7F"/>
              <w:right w:val="nil"/>
            </w:tcBorders>
            <w:tcMar>
              <w:top w:w="100" w:type="dxa"/>
              <w:left w:w="100" w:type="dxa"/>
              <w:bottom w:w="100" w:type="dxa"/>
              <w:right w:w="100" w:type="dxa"/>
            </w:tcMar>
          </w:tcPr>
          <w:p w14:paraId="03E8DA5A" w14:textId="77777777" w:rsidR="002E7E3F" w:rsidRPr="00AC1930" w:rsidRDefault="0001118D">
            <w:pPr>
              <w:spacing w:before="0" w:after="0" w:line="240" w:lineRule="auto"/>
              <w:jc w:val="center"/>
              <w:rPr>
                <w:sz w:val="20"/>
                <w:szCs w:val="20"/>
              </w:rPr>
            </w:pPr>
            <w:r w:rsidRPr="00AC1930">
              <w:rPr>
                <w:sz w:val="20"/>
                <w:szCs w:val="20"/>
              </w:rPr>
              <w:t>5.178</w:t>
            </w:r>
          </w:p>
        </w:tc>
        <w:tc>
          <w:tcPr>
            <w:tcW w:w="1039" w:type="dxa"/>
            <w:tcBorders>
              <w:top w:val="nil"/>
              <w:left w:val="nil"/>
              <w:bottom w:val="single" w:sz="8" w:space="0" w:color="7F7F7F"/>
              <w:right w:val="nil"/>
            </w:tcBorders>
            <w:tcMar>
              <w:top w:w="100" w:type="dxa"/>
              <w:left w:w="100" w:type="dxa"/>
              <w:bottom w:w="100" w:type="dxa"/>
              <w:right w:w="100" w:type="dxa"/>
            </w:tcMar>
          </w:tcPr>
          <w:p w14:paraId="170D6A31" w14:textId="77777777" w:rsidR="002E7E3F" w:rsidRPr="00AC1930" w:rsidRDefault="0001118D">
            <w:pPr>
              <w:spacing w:before="0" w:after="0" w:line="240" w:lineRule="auto"/>
              <w:jc w:val="center"/>
              <w:rPr>
                <w:sz w:val="20"/>
                <w:szCs w:val="20"/>
              </w:rPr>
            </w:pPr>
            <w:r w:rsidRPr="00AC1930">
              <w:rPr>
                <w:sz w:val="20"/>
                <w:szCs w:val="20"/>
              </w:rPr>
              <w:t xml:space="preserve">0.000 </w:t>
            </w:r>
          </w:p>
        </w:tc>
        <w:tc>
          <w:tcPr>
            <w:tcW w:w="1769" w:type="dxa"/>
            <w:tcBorders>
              <w:top w:val="nil"/>
              <w:left w:val="nil"/>
              <w:bottom w:val="single" w:sz="8" w:space="0" w:color="7F7F7F"/>
              <w:right w:val="nil"/>
            </w:tcBorders>
            <w:tcMar>
              <w:top w:w="100" w:type="dxa"/>
              <w:left w:w="100" w:type="dxa"/>
              <w:bottom w:w="100" w:type="dxa"/>
              <w:right w:w="100" w:type="dxa"/>
            </w:tcMar>
          </w:tcPr>
          <w:p w14:paraId="78AF95D1" w14:textId="77777777" w:rsidR="002E7E3F" w:rsidRPr="00AC1930" w:rsidRDefault="0001118D">
            <w:pPr>
              <w:spacing w:before="0" w:after="0" w:line="240" w:lineRule="auto"/>
              <w:ind w:right="-101"/>
              <w:jc w:val="center"/>
              <w:rPr>
                <w:sz w:val="20"/>
                <w:szCs w:val="20"/>
              </w:rPr>
            </w:pPr>
            <w:r w:rsidRPr="00AC1930">
              <w:rPr>
                <w:sz w:val="20"/>
                <w:szCs w:val="20"/>
              </w:rPr>
              <w:t>[-0.449, -0.202]</w:t>
            </w:r>
          </w:p>
        </w:tc>
        <w:tc>
          <w:tcPr>
            <w:tcW w:w="1279" w:type="dxa"/>
            <w:tcBorders>
              <w:top w:val="nil"/>
              <w:left w:val="nil"/>
              <w:bottom w:val="single" w:sz="8" w:space="0" w:color="7F7F7F"/>
              <w:right w:val="nil"/>
            </w:tcBorders>
            <w:tcMar>
              <w:top w:w="100" w:type="dxa"/>
              <w:left w:w="100" w:type="dxa"/>
              <w:bottom w:w="100" w:type="dxa"/>
              <w:right w:w="100" w:type="dxa"/>
            </w:tcMar>
          </w:tcPr>
          <w:p w14:paraId="03135FBA" w14:textId="77777777" w:rsidR="002E7E3F" w:rsidRPr="00AC1930" w:rsidRDefault="0001118D">
            <w:pPr>
              <w:spacing w:before="0" w:after="0" w:line="240" w:lineRule="auto"/>
              <w:jc w:val="center"/>
              <w:rPr>
                <w:sz w:val="20"/>
                <w:szCs w:val="20"/>
              </w:rPr>
            </w:pPr>
            <w:r w:rsidRPr="00AC1930">
              <w:rPr>
                <w:sz w:val="20"/>
                <w:szCs w:val="20"/>
              </w:rPr>
              <w:t xml:space="preserve">0.131 </w:t>
            </w:r>
          </w:p>
        </w:tc>
        <w:tc>
          <w:tcPr>
            <w:tcW w:w="1241" w:type="dxa"/>
            <w:gridSpan w:val="2"/>
            <w:tcBorders>
              <w:top w:val="nil"/>
              <w:left w:val="nil"/>
              <w:bottom w:val="single" w:sz="8" w:space="0" w:color="7F7F7F"/>
              <w:right w:val="nil"/>
            </w:tcBorders>
            <w:tcMar>
              <w:top w:w="100" w:type="dxa"/>
              <w:left w:w="100" w:type="dxa"/>
              <w:bottom w:w="100" w:type="dxa"/>
              <w:right w:w="100" w:type="dxa"/>
            </w:tcMar>
          </w:tcPr>
          <w:p w14:paraId="194C0C29" w14:textId="77777777" w:rsidR="002E7E3F" w:rsidRPr="00AC1930" w:rsidRDefault="0001118D">
            <w:pPr>
              <w:spacing w:before="0" w:after="0" w:line="240" w:lineRule="auto"/>
              <w:jc w:val="center"/>
              <w:rPr>
                <w:sz w:val="20"/>
                <w:szCs w:val="20"/>
              </w:rPr>
            </w:pPr>
            <w:r w:rsidRPr="00AC1930">
              <w:rPr>
                <w:sz w:val="20"/>
                <w:szCs w:val="20"/>
              </w:rPr>
              <w:t>Yes</w:t>
            </w:r>
          </w:p>
        </w:tc>
      </w:tr>
      <w:tr w:rsidR="00AC1930" w:rsidRPr="00AC1930" w14:paraId="635A091E" w14:textId="77777777">
        <w:trPr>
          <w:trHeight w:val="25"/>
        </w:trPr>
        <w:tc>
          <w:tcPr>
            <w:tcW w:w="2055" w:type="dxa"/>
            <w:tcBorders>
              <w:top w:val="nil"/>
              <w:left w:val="nil"/>
              <w:bottom w:val="nil"/>
              <w:right w:val="nil"/>
            </w:tcBorders>
            <w:tcMar>
              <w:top w:w="100" w:type="dxa"/>
              <w:left w:w="100" w:type="dxa"/>
              <w:bottom w:w="100" w:type="dxa"/>
              <w:right w:w="100" w:type="dxa"/>
            </w:tcMar>
          </w:tcPr>
          <w:p w14:paraId="317E35BB" w14:textId="4AB74F3B" w:rsidR="002E7E3F" w:rsidRPr="00AC1930" w:rsidRDefault="0001118D">
            <w:pPr>
              <w:spacing w:before="0" w:after="0" w:line="240" w:lineRule="auto"/>
              <w:rPr>
                <w:sz w:val="20"/>
                <w:szCs w:val="20"/>
              </w:rPr>
            </w:pPr>
            <w:r w:rsidRPr="00AC1930">
              <w:rPr>
                <w:sz w:val="20"/>
                <w:szCs w:val="20"/>
              </w:rPr>
              <w:t>H2: LMX</w:t>
            </w:r>
            <w:r w:rsidR="00AE564E" w:rsidRPr="00AC1930">
              <w:rPr>
                <w:sz w:val="20"/>
                <w:szCs w:val="20"/>
              </w:rPr>
              <w:t xml:space="preserve"> </w:t>
            </w:r>
            <w:r w:rsidR="00AE564E" w:rsidRPr="00AC1930">
              <w:rPr>
                <w:sz w:val="20"/>
                <w:szCs w:val="20"/>
              </w:rPr>
              <w:sym w:font="Wingdings" w:char="F0E0"/>
            </w:r>
            <w:r w:rsidR="00AE564E" w:rsidRPr="00AC1930">
              <w:rPr>
                <w:sz w:val="20"/>
                <w:szCs w:val="20"/>
              </w:rPr>
              <w:t xml:space="preserve"> </w:t>
            </w:r>
            <w:r w:rsidRPr="00AC1930">
              <w:rPr>
                <w:sz w:val="20"/>
                <w:szCs w:val="20"/>
              </w:rPr>
              <w:t>SR</w:t>
            </w:r>
          </w:p>
        </w:tc>
        <w:tc>
          <w:tcPr>
            <w:tcW w:w="945" w:type="dxa"/>
            <w:tcBorders>
              <w:top w:val="nil"/>
              <w:left w:val="nil"/>
              <w:bottom w:val="nil"/>
              <w:right w:val="nil"/>
            </w:tcBorders>
            <w:tcMar>
              <w:top w:w="100" w:type="dxa"/>
              <w:left w:w="100" w:type="dxa"/>
              <w:bottom w:w="100" w:type="dxa"/>
              <w:right w:w="100" w:type="dxa"/>
            </w:tcMar>
          </w:tcPr>
          <w:p w14:paraId="51E0275E" w14:textId="77777777" w:rsidR="002E7E3F" w:rsidRPr="00AC1930" w:rsidRDefault="0001118D">
            <w:pPr>
              <w:spacing w:before="0" w:after="0" w:line="240" w:lineRule="auto"/>
              <w:jc w:val="center"/>
              <w:rPr>
                <w:sz w:val="20"/>
                <w:szCs w:val="20"/>
              </w:rPr>
            </w:pPr>
            <w:r w:rsidRPr="00AC1930">
              <w:rPr>
                <w:sz w:val="20"/>
                <w:szCs w:val="20"/>
              </w:rPr>
              <w:t xml:space="preserve"> 0.378</w:t>
            </w:r>
          </w:p>
        </w:tc>
        <w:tc>
          <w:tcPr>
            <w:tcW w:w="855" w:type="dxa"/>
            <w:tcBorders>
              <w:top w:val="nil"/>
              <w:left w:val="nil"/>
              <w:bottom w:val="nil"/>
              <w:right w:val="nil"/>
            </w:tcBorders>
            <w:tcMar>
              <w:top w:w="100" w:type="dxa"/>
              <w:left w:w="100" w:type="dxa"/>
              <w:bottom w:w="100" w:type="dxa"/>
              <w:right w:w="100" w:type="dxa"/>
            </w:tcMar>
          </w:tcPr>
          <w:p w14:paraId="1F531239" w14:textId="77777777" w:rsidR="002E7E3F" w:rsidRPr="00AC1930" w:rsidRDefault="0001118D">
            <w:pPr>
              <w:spacing w:before="0" w:after="0" w:line="240" w:lineRule="auto"/>
              <w:jc w:val="center"/>
              <w:rPr>
                <w:sz w:val="20"/>
                <w:szCs w:val="20"/>
              </w:rPr>
            </w:pPr>
            <w:r w:rsidRPr="00AC1930">
              <w:rPr>
                <w:sz w:val="20"/>
                <w:szCs w:val="20"/>
              </w:rPr>
              <w:t xml:space="preserve">5.951 </w:t>
            </w:r>
          </w:p>
        </w:tc>
        <w:tc>
          <w:tcPr>
            <w:tcW w:w="1039" w:type="dxa"/>
            <w:tcBorders>
              <w:top w:val="nil"/>
              <w:left w:val="nil"/>
              <w:bottom w:val="nil"/>
              <w:right w:val="nil"/>
            </w:tcBorders>
            <w:tcMar>
              <w:top w:w="100" w:type="dxa"/>
              <w:left w:w="100" w:type="dxa"/>
              <w:bottom w:w="100" w:type="dxa"/>
              <w:right w:w="100" w:type="dxa"/>
            </w:tcMar>
          </w:tcPr>
          <w:p w14:paraId="50EEDCB6" w14:textId="77777777" w:rsidR="002E7E3F" w:rsidRPr="00AC1930" w:rsidRDefault="0001118D">
            <w:pPr>
              <w:spacing w:before="0" w:after="0" w:line="240" w:lineRule="auto"/>
              <w:jc w:val="center"/>
              <w:rPr>
                <w:sz w:val="20"/>
                <w:szCs w:val="20"/>
              </w:rPr>
            </w:pPr>
            <w:r w:rsidRPr="00AC1930">
              <w:rPr>
                <w:sz w:val="20"/>
                <w:szCs w:val="20"/>
              </w:rPr>
              <w:t xml:space="preserve"> 0.000</w:t>
            </w:r>
          </w:p>
        </w:tc>
        <w:tc>
          <w:tcPr>
            <w:tcW w:w="1769" w:type="dxa"/>
            <w:tcBorders>
              <w:top w:val="nil"/>
              <w:left w:val="nil"/>
              <w:bottom w:val="nil"/>
              <w:right w:val="nil"/>
            </w:tcBorders>
            <w:tcMar>
              <w:top w:w="100" w:type="dxa"/>
              <w:left w:w="100" w:type="dxa"/>
              <w:bottom w:w="100" w:type="dxa"/>
              <w:right w:w="100" w:type="dxa"/>
            </w:tcMar>
          </w:tcPr>
          <w:p w14:paraId="7696214F" w14:textId="77777777" w:rsidR="002E7E3F" w:rsidRPr="00AC1930" w:rsidRDefault="0001118D">
            <w:pPr>
              <w:spacing w:before="0" w:after="0" w:line="240" w:lineRule="auto"/>
              <w:jc w:val="center"/>
              <w:rPr>
                <w:sz w:val="20"/>
                <w:szCs w:val="20"/>
              </w:rPr>
            </w:pPr>
            <w:r w:rsidRPr="00AC1930">
              <w:rPr>
                <w:sz w:val="20"/>
                <w:szCs w:val="20"/>
              </w:rPr>
              <w:t xml:space="preserve"> [0.250, 0.500]</w:t>
            </w:r>
          </w:p>
        </w:tc>
        <w:tc>
          <w:tcPr>
            <w:tcW w:w="1279" w:type="dxa"/>
            <w:tcBorders>
              <w:top w:val="nil"/>
              <w:left w:val="nil"/>
              <w:bottom w:val="nil"/>
              <w:right w:val="nil"/>
            </w:tcBorders>
            <w:tcMar>
              <w:top w:w="100" w:type="dxa"/>
              <w:left w:w="100" w:type="dxa"/>
              <w:bottom w:w="100" w:type="dxa"/>
              <w:right w:w="100" w:type="dxa"/>
            </w:tcMar>
          </w:tcPr>
          <w:p w14:paraId="7888C2D1" w14:textId="77777777" w:rsidR="002E7E3F" w:rsidRPr="00AC1930" w:rsidRDefault="0001118D">
            <w:pPr>
              <w:spacing w:before="0" w:after="0" w:line="240" w:lineRule="auto"/>
              <w:jc w:val="center"/>
              <w:rPr>
                <w:sz w:val="20"/>
                <w:szCs w:val="20"/>
              </w:rPr>
            </w:pPr>
            <w:r w:rsidRPr="00AC1930">
              <w:rPr>
                <w:sz w:val="20"/>
                <w:szCs w:val="20"/>
              </w:rPr>
              <w:t xml:space="preserve"> 0.026</w:t>
            </w:r>
          </w:p>
        </w:tc>
        <w:tc>
          <w:tcPr>
            <w:tcW w:w="1241" w:type="dxa"/>
            <w:gridSpan w:val="2"/>
            <w:tcBorders>
              <w:top w:val="nil"/>
              <w:left w:val="nil"/>
              <w:bottom w:val="nil"/>
              <w:right w:val="nil"/>
            </w:tcBorders>
            <w:tcMar>
              <w:top w:w="100" w:type="dxa"/>
              <w:left w:w="100" w:type="dxa"/>
              <w:bottom w:w="100" w:type="dxa"/>
              <w:right w:w="100" w:type="dxa"/>
            </w:tcMar>
          </w:tcPr>
          <w:p w14:paraId="31A6B427" w14:textId="77777777" w:rsidR="002E7E3F" w:rsidRPr="00AC1930" w:rsidRDefault="0001118D">
            <w:pPr>
              <w:spacing w:before="0" w:after="0" w:line="240" w:lineRule="auto"/>
              <w:jc w:val="center"/>
              <w:rPr>
                <w:sz w:val="20"/>
                <w:szCs w:val="20"/>
              </w:rPr>
            </w:pPr>
            <w:r w:rsidRPr="00AC1930">
              <w:rPr>
                <w:sz w:val="20"/>
                <w:szCs w:val="20"/>
              </w:rPr>
              <w:t>Yes</w:t>
            </w:r>
          </w:p>
        </w:tc>
      </w:tr>
      <w:tr w:rsidR="00AC1930" w:rsidRPr="00AC1930" w14:paraId="4F18BA3C" w14:textId="77777777">
        <w:trPr>
          <w:trHeight w:val="20"/>
        </w:trPr>
        <w:tc>
          <w:tcPr>
            <w:tcW w:w="2055" w:type="dxa"/>
            <w:tcBorders>
              <w:top w:val="single" w:sz="8" w:space="0" w:color="7F7F7F"/>
              <w:left w:val="nil"/>
              <w:bottom w:val="single" w:sz="8" w:space="0" w:color="7F7F7F"/>
              <w:right w:val="nil"/>
            </w:tcBorders>
            <w:tcMar>
              <w:top w:w="100" w:type="dxa"/>
              <w:left w:w="100" w:type="dxa"/>
              <w:bottom w:w="100" w:type="dxa"/>
              <w:right w:w="100" w:type="dxa"/>
            </w:tcMar>
          </w:tcPr>
          <w:p w14:paraId="101CB2A5" w14:textId="496467AD" w:rsidR="002E7E3F" w:rsidRPr="00AC1930" w:rsidRDefault="0001118D">
            <w:pPr>
              <w:spacing w:before="0" w:after="0" w:line="240" w:lineRule="auto"/>
              <w:rPr>
                <w:sz w:val="20"/>
                <w:szCs w:val="20"/>
              </w:rPr>
            </w:pPr>
            <w:r w:rsidRPr="00AC1930">
              <w:rPr>
                <w:sz w:val="20"/>
                <w:szCs w:val="20"/>
              </w:rPr>
              <w:t>H3: SR</w:t>
            </w:r>
            <w:r w:rsidR="00AE564E" w:rsidRPr="00AC1930">
              <w:rPr>
                <w:sz w:val="20"/>
                <w:szCs w:val="20"/>
              </w:rPr>
              <w:t xml:space="preserve"> </w:t>
            </w:r>
            <w:r w:rsidR="00AE564E" w:rsidRPr="00AC1930">
              <w:rPr>
                <w:sz w:val="20"/>
                <w:szCs w:val="20"/>
              </w:rPr>
              <w:sym w:font="Wingdings" w:char="F0E0"/>
            </w:r>
            <w:r w:rsidR="00AE564E" w:rsidRPr="00AC1930">
              <w:rPr>
                <w:sz w:val="20"/>
                <w:szCs w:val="20"/>
              </w:rPr>
              <w:t xml:space="preserve"> </w:t>
            </w:r>
            <w:r w:rsidRPr="00AC1930">
              <w:rPr>
                <w:sz w:val="20"/>
                <w:szCs w:val="20"/>
              </w:rPr>
              <w:t>WA</w:t>
            </w:r>
          </w:p>
        </w:tc>
        <w:tc>
          <w:tcPr>
            <w:tcW w:w="945" w:type="dxa"/>
            <w:tcBorders>
              <w:top w:val="single" w:sz="8" w:space="0" w:color="7F7F7F"/>
              <w:left w:val="nil"/>
              <w:bottom w:val="single" w:sz="8" w:space="0" w:color="7F7F7F"/>
              <w:right w:val="nil"/>
            </w:tcBorders>
            <w:tcMar>
              <w:top w:w="100" w:type="dxa"/>
              <w:left w:w="100" w:type="dxa"/>
              <w:bottom w:w="100" w:type="dxa"/>
              <w:right w:w="100" w:type="dxa"/>
            </w:tcMar>
          </w:tcPr>
          <w:p w14:paraId="37FE2940" w14:textId="77777777" w:rsidR="002E7E3F" w:rsidRPr="00AC1930" w:rsidRDefault="0001118D">
            <w:pPr>
              <w:spacing w:before="0" w:after="0" w:line="240" w:lineRule="auto"/>
              <w:jc w:val="center"/>
              <w:rPr>
                <w:sz w:val="20"/>
                <w:szCs w:val="20"/>
              </w:rPr>
            </w:pPr>
            <w:r w:rsidRPr="00AC1930">
              <w:rPr>
                <w:sz w:val="20"/>
                <w:szCs w:val="20"/>
              </w:rPr>
              <w:t xml:space="preserve"> -0.345</w:t>
            </w:r>
          </w:p>
        </w:tc>
        <w:tc>
          <w:tcPr>
            <w:tcW w:w="855" w:type="dxa"/>
            <w:tcBorders>
              <w:top w:val="single" w:sz="8" w:space="0" w:color="7F7F7F"/>
              <w:left w:val="nil"/>
              <w:bottom w:val="single" w:sz="8" w:space="0" w:color="7F7F7F"/>
              <w:right w:val="nil"/>
            </w:tcBorders>
            <w:tcMar>
              <w:top w:w="100" w:type="dxa"/>
              <w:left w:w="100" w:type="dxa"/>
              <w:bottom w:w="100" w:type="dxa"/>
              <w:right w:w="100" w:type="dxa"/>
            </w:tcMar>
          </w:tcPr>
          <w:p w14:paraId="2C8156C4" w14:textId="77777777" w:rsidR="002E7E3F" w:rsidRPr="00AC1930" w:rsidRDefault="0001118D">
            <w:pPr>
              <w:spacing w:before="0" w:after="0" w:line="240" w:lineRule="auto"/>
              <w:jc w:val="center"/>
              <w:rPr>
                <w:sz w:val="20"/>
                <w:szCs w:val="20"/>
              </w:rPr>
            </w:pPr>
            <w:r w:rsidRPr="00AC1930">
              <w:rPr>
                <w:sz w:val="20"/>
                <w:szCs w:val="20"/>
              </w:rPr>
              <w:t xml:space="preserve">5.414 </w:t>
            </w:r>
          </w:p>
        </w:tc>
        <w:tc>
          <w:tcPr>
            <w:tcW w:w="1039" w:type="dxa"/>
            <w:tcBorders>
              <w:top w:val="single" w:sz="8" w:space="0" w:color="7F7F7F"/>
              <w:left w:val="nil"/>
              <w:bottom w:val="single" w:sz="8" w:space="0" w:color="7F7F7F"/>
              <w:right w:val="nil"/>
            </w:tcBorders>
            <w:tcMar>
              <w:top w:w="100" w:type="dxa"/>
              <w:left w:w="100" w:type="dxa"/>
              <w:bottom w:w="100" w:type="dxa"/>
              <w:right w:w="100" w:type="dxa"/>
            </w:tcMar>
          </w:tcPr>
          <w:p w14:paraId="78EA60DC" w14:textId="77777777" w:rsidR="002E7E3F" w:rsidRPr="00AC1930" w:rsidRDefault="0001118D">
            <w:pPr>
              <w:spacing w:before="0" w:after="0" w:line="240" w:lineRule="auto"/>
              <w:jc w:val="center"/>
              <w:rPr>
                <w:sz w:val="20"/>
                <w:szCs w:val="20"/>
              </w:rPr>
            </w:pPr>
            <w:r w:rsidRPr="00AC1930">
              <w:rPr>
                <w:sz w:val="20"/>
                <w:szCs w:val="20"/>
              </w:rPr>
              <w:t xml:space="preserve"> 0.000</w:t>
            </w:r>
          </w:p>
        </w:tc>
        <w:tc>
          <w:tcPr>
            <w:tcW w:w="1769" w:type="dxa"/>
            <w:tcBorders>
              <w:top w:val="single" w:sz="8" w:space="0" w:color="7F7F7F"/>
              <w:left w:val="nil"/>
              <w:bottom w:val="single" w:sz="8" w:space="0" w:color="7F7F7F"/>
              <w:right w:val="nil"/>
            </w:tcBorders>
            <w:tcMar>
              <w:top w:w="100" w:type="dxa"/>
              <w:left w:w="100" w:type="dxa"/>
              <w:bottom w:w="100" w:type="dxa"/>
              <w:right w:w="100" w:type="dxa"/>
            </w:tcMar>
          </w:tcPr>
          <w:p w14:paraId="5292D8F3" w14:textId="77777777" w:rsidR="002E7E3F" w:rsidRPr="00AC1930" w:rsidRDefault="0001118D">
            <w:pPr>
              <w:spacing w:before="0" w:after="0" w:line="240" w:lineRule="auto"/>
              <w:jc w:val="center"/>
              <w:rPr>
                <w:sz w:val="20"/>
                <w:szCs w:val="20"/>
              </w:rPr>
            </w:pPr>
            <w:r w:rsidRPr="00AC1930">
              <w:rPr>
                <w:sz w:val="20"/>
                <w:szCs w:val="20"/>
              </w:rPr>
              <w:t>[-0.467, -0.216]</w:t>
            </w:r>
          </w:p>
        </w:tc>
        <w:tc>
          <w:tcPr>
            <w:tcW w:w="1279" w:type="dxa"/>
            <w:tcBorders>
              <w:top w:val="single" w:sz="8" w:space="0" w:color="7F7F7F"/>
              <w:left w:val="nil"/>
              <w:bottom w:val="single" w:sz="8" w:space="0" w:color="7F7F7F"/>
              <w:right w:val="nil"/>
            </w:tcBorders>
            <w:tcMar>
              <w:top w:w="100" w:type="dxa"/>
              <w:left w:w="100" w:type="dxa"/>
              <w:bottom w:w="100" w:type="dxa"/>
              <w:right w:w="100" w:type="dxa"/>
            </w:tcMar>
          </w:tcPr>
          <w:p w14:paraId="6699B406" w14:textId="77777777" w:rsidR="002E7E3F" w:rsidRPr="00AC1930" w:rsidRDefault="0001118D">
            <w:pPr>
              <w:spacing w:before="0" w:after="0" w:line="240" w:lineRule="auto"/>
              <w:jc w:val="center"/>
              <w:rPr>
                <w:sz w:val="20"/>
                <w:szCs w:val="20"/>
              </w:rPr>
            </w:pPr>
            <w:r w:rsidRPr="00AC1930">
              <w:rPr>
                <w:sz w:val="20"/>
                <w:szCs w:val="20"/>
              </w:rPr>
              <w:t xml:space="preserve"> 0.149</w:t>
            </w:r>
          </w:p>
        </w:tc>
        <w:tc>
          <w:tcPr>
            <w:tcW w:w="1241" w:type="dxa"/>
            <w:gridSpan w:val="2"/>
            <w:tcBorders>
              <w:top w:val="single" w:sz="8" w:space="0" w:color="7F7F7F"/>
              <w:left w:val="nil"/>
              <w:bottom w:val="single" w:sz="8" w:space="0" w:color="7F7F7F"/>
              <w:right w:val="nil"/>
            </w:tcBorders>
            <w:tcMar>
              <w:top w:w="100" w:type="dxa"/>
              <w:left w:w="100" w:type="dxa"/>
              <w:bottom w:w="100" w:type="dxa"/>
              <w:right w:w="100" w:type="dxa"/>
            </w:tcMar>
          </w:tcPr>
          <w:p w14:paraId="319C2A8A" w14:textId="77777777" w:rsidR="002E7E3F" w:rsidRPr="00AC1930" w:rsidRDefault="0001118D">
            <w:pPr>
              <w:spacing w:before="0" w:after="0" w:line="240" w:lineRule="auto"/>
              <w:jc w:val="center"/>
              <w:rPr>
                <w:sz w:val="20"/>
                <w:szCs w:val="20"/>
              </w:rPr>
            </w:pPr>
            <w:r w:rsidRPr="00AC1930">
              <w:rPr>
                <w:sz w:val="20"/>
                <w:szCs w:val="20"/>
              </w:rPr>
              <w:t>Yes</w:t>
            </w:r>
          </w:p>
        </w:tc>
      </w:tr>
      <w:tr w:rsidR="00AC1930" w:rsidRPr="00AC1930" w14:paraId="3BD10451" w14:textId="77777777">
        <w:trPr>
          <w:trHeight w:val="351"/>
        </w:trPr>
        <w:tc>
          <w:tcPr>
            <w:tcW w:w="2055" w:type="dxa"/>
            <w:tcBorders>
              <w:top w:val="single" w:sz="8" w:space="0" w:color="7F7F7F"/>
              <w:left w:val="nil"/>
              <w:bottom w:val="single" w:sz="8" w:space="0" w:color="7F7F7F"/>
              <w:right w:val="nil"/>
            </w:tcBorders>
            <w:tcMar>
              <w:top w:w="100" w:type="dxa"/>
              <w:left w:w="100" w:type="dxa"/>
              <w:bottom w:w="100" w:type="dxa"/>
              <w:right w:w="100" w:type="dxa"/>
            </w:tcMar>
          </w:tcPr>
          <w:p w14:paraId="63791F7A" w14:textId="7CA6CA79" w:rsidR="002E7E3F" w:rsidRPr="00AC1930" w:rsidRDefault="00DE3B8E">
            <w:pPr>
              <w:spacing w:before="0" w:after="0" w:line="240" w:lineRule="auto"/>
              <w:rPr>
                <w:sz w:val="20"/>
                <w:szCs w:val="20"/>
              </w:rPr>
            </w:pPr>
            <w:r w:rsidRPr="00AC1930">
              <w:rPr>
                <w:sz w:val="20"/>
                <w:szCs w:val="20"/>
              </w:rPr>
              <w:t>H5</w:t>
            </w:r>
            <w:r w:rsidR="0001118D" w:rsidRPr="00AC1930">
              <w:rPr>
                <w:sz w:val="20"/>
                <w:szCs w:val="20"/>
              </w:rPr>
              <w:t>: Tenure*LMX</w:t>
            </w:r>
            <w:r w:rsidR="00AE564E" w:rsidRPr="00AC1930">
              <w:rPr>
                <w:sz w:val="20"/>
                <w:szCs w:val="20"/>
              </w:rPr>
              <w:sym w:font="Wingdings" w:char="F0E0"/>
            </w:r>
            <w:r w:rsidR="0001118D" w:rsidRPr="00AC1930">
              <w:rPr>
                <w:sz w:val="20"/>
                <w:szCs w:val="20"/>
              </w:rPr>
              <w:t>WA</w:t>
            </w:r>
          </w:p>
        </w:tc>
        <w:tc>
          <w:tcPr>
            <w:tcW w:w="945" w:type="dxa"/>
            <w:tcBorders>
              <w:top w:val="single" w:sz="8" w:space="0" w:color="7F7F7F"/>
              <w:left w:val="nil"/>
              <w:bottom w:val="single" w:sz="8" w:space="0" w:color="7F7F7F"/>
              <w:right w:val="nil"/>
            </w:tcBorders>
            <w:tcMar>
              <w:top w:w="100" w:type="dxa"/>
              <w:left w:w="100" w:type="dxa"/>
              <w:bottom w:w="100" w:type="dxa"/>
              <w:right w:w="100" w:type="dxa"/>
            </w:tcMar>
          </w:tcPr>
          <w:p w14:paraId="38B98993" w14:textId="77777777" w:rsidR="002E7E3F" w:rsidRPr="00AC1930" w:rsidRDefault="0001118D">
            <w:pPr>
              <w:spacing w:before="0" w:after="0" w:line="240" w:lineRule="auto"/>
              <w:jc w:val="center"/>
              <w:rPr>
                <w:sz w:val="20"/>
                <w:szCs w:val="20"/>
              </w:rPr>
            </w:pPr>
            <w:r w:rsidRPr="00AC1930">
              <w:rPr>
                <w:sz w:val="20"/>
                <w:szCs w:val="20"/>
              </w:rPr>
              <w:t xml:space="preserve"> 0.137</w:t>
            </w:r>
          </w:p>
        </w:tc>
        <w:tc>
          <w:tcPr>
            <w:tcW w:w="855" w:type="dxa"/>
            <w:tcBorders>
              <w:top w:val="single" w:sz="8" w:space="0" w:color="7F7F7F"/>
              <w:left w:val="nil"/>
              <w:bottom w:val="single" w:sz="8" w:space="0" w:color="7F7F7F"/>
              <w:right w:val="nil"/>
            </w:tcBorders>
            <w:tcMar>
              <w:top w:w="100" w:type="dxa"/>
              <w:left w:w="100" w:type="dxa"/>
              <w:bottom w:w="100" w:type="dxa"/>
              <w:right w:w="100" w:type="dxa"/>
            </w:tcMar>
          </w:tcPr>
          <w:p w14:paraId="40DFA8B7" w14:textId="77777777" w:rsidR="002E7E3F" w:rsidRPr="00AC1930" w:rsidRDefault="0001118D">
            <w:pPr>
              <w:spacing w:before="0" w:after="0" w:line="240" w:lineRule="auto"/>
              <w:jc w:val="center"/>
              <w:rPr>
                <w:sz w:val="20"/>
                <w:szCs w:val="20"/>
              </w:rPr>
            </w:pPr>
            <w:r w:rsidRPr="00AC1930">
              <w:rPr>
                <w:sz w:val="20"/>
                <w:szCs w:val="20"/>
              </w:rPr>
              <w:t xml:space="preserve"> 2.067</w:t>
            </w:r>
          </w:p>
        </w:tc>
        <w:tc>
          <w:tcPr>
            <w:tcW w:w="1039" w:type="dxa"/>
            <w:tcBorders>
              <w:top w:val="single" w:sz="8" w:space="0" w:color="7F7F7F"/>
              <w:left w:val="nil"/>
              <w:bottom w:val="single" w:sz="8" w:space="0" w:color="7F7F7F"/>
              <w:right w:val="nil"/>
            </w:tcBorders>
            <w:tcMar>
              <w:top w:w="100" w:type="dxa"/>
              <w:left w:w="100" w:type="dxa"/>
              <w:bottom w:w="100" w:type="dxa"/>
              <w:right w:w="100" w:type="dxa"/>
            </w:tcMar>
          </w:tcPr>
          <w:p w14:paraId="5F5845ED" w14:textId="77777777" w:rsidR="002E7E3F" w:rsidRPr="00AC1930" w:rsidRDefault="0001118D">
            <w:pPr>
              <w:spacing w:before="0" w:after="0" w:line="240" w:lineRule="auto"/>
              <w:jc w:val="center"/>
              <w:rPr>
                <w:sz w:val="20"/>
                <w:szCs w:val="20"/>
              </w:rPr>
            </w:pPr>
            <w:r w:rsidRPr="00AC1930">
              <w:rPr>
                <w:sz w:val="20"/>
                <w:szCs w:val="20"/>
              </w:rPr>
              <w:t xml:space="preserve"> 0.039</w:t>
            </w:r>
          </w:p>
        </w:tc>
        <w:tc>
          <w:tcPr>
            <w:tcW w:w="1769" w:type="dxa"/>
            <w:tcBorders>
              <w:top w:val="single" w:sz="8" w:space="0" w:color="7F7F7F"/>
              <w:left w:val="nil"/>
              <w:bottom w:val="single" w:sz="8" w:space="0" w:color="7F7F7F"/>
              <w:right w:val="nil"/>
            </w:tcBorders>
            <w:tcMar>
              <w:top w:w="100" w:type="dxa"/>
              <w:left w:w="100" w:type="dxa"/>
              <w:bottom w:w="100" w:type="dxa"/>
              <w:right w:w="100" w:type="dxa"/>
            </w:tcMar>
          </w:tcPr>
          <w:p w14:paraId="587F7FF2" w14:textId="77777777" w:rsidR="002E7E3F" w:rsidRPr="00AC1930" w:rsidRDefault="0001118D">
            <w:pPr>
              <w:spacing w:before="0" w:after="0" w:line="240" w:lineRule="auto"/>
              <w:jc w:val="center"/>
              <w:rPr>
                <w:sz w:val="20"/>
                <w:szCs w:val="20"/>
              </w:rPr>
            </w:pPr>
            <w:r w:rsidRPr="00AC1930">
              <w:rPr>
                <w:sz w:val="20"/>
                <w:szCs w:val="20"/>
              </w:rPr>
              <w:t xml:space="preserve"> [0.013, 0.273]</w:t>
            </w:r>
          </w:p>
        </w:tc>
        <w:tc>
          <w:tcPr>
            <w:tcW w:w="1279" w:type="dxa"/>
            <w:tcBorders>
              <w:top w:val="single" w:sz="8" w:space="0" w:color="7F7F7F"/>
              <w:left w:val="nil"/>
              <w:bottom w:val="single" w:sz="8" w:space="0" w:color="7F7F7F"/>
              <w:right w:val="nil"/>
            </w:tcBorders>
            <w:tcMar>
              <w:top w:w="100" w:type="dxa"/>
              <w:left w:w="100" w:type="dxa"/>
              <w:bottom w:w="100" w:type="dxa"/>
              <w:right w:w="100" w:type="dxa"/>
            </w:tcMar>
          </w:tcPr>
          <w:p w14:paraId="2E5C4181" w14:textId="77777777" w:rsidR="002E7E3F" w:rsidRPr="00AC1930" w:rsidRDefault="0001118D">
            <w:pPr>
              <w:spacing w:before="0" w:after="0" w:line="240" w:lineRule="auto"/>
              <w:jc w:val="center"/>
              <w:rPr>
                <w:sz w:val="20"/>
                <w:szCs w:val="20"/>
              </w:rPr>
            </w:pPr>
            <w:r w:rsidRPr="00AC1930">
              <w:rPr>
                <w:sz w:val="20"/>
                <w:szCs w:val="20"/>
              </w:rPr>
              <w:t xml:space="preserve"> 0.026</w:t>
            </w:r>
          </w:p>
        </w:tc>
        <w:tc>
          <w:tcPr>
            <w:tcW w:w="1241" w:type="dxa"/>
            <w:gridSpan w:val="2"/>
            <w:tcBorders>
              <w:top w:val="single" w:sz="8" w:space="0" w:color="7F7F7F"/>
              <w:left w:val="nil"/>
              <w:bottom w:val="single" w:sz="8" w:space="0" w:color="7F7F7F"/>
              <w:right w:val="nil"/>
            </w:tcBorders>
            <w:tcMar>
              <w:top w:w="100" w:type="dxa"/>
              <w:left w:w="100" w:type="dxa"/>
              <w:bottom w:w="100" w:type="dxa"/>
              <w:right w:w="100" w:type="dxa"/>
            </w:tcMar>
          </w:tcPr>
          <w:p w14:paraId="2449BC7E" w14:textId="77777777" w:rsidR="002E7E3F" w:rsidRPr="00AC1930" w:rsidRDefault="0001118D">
            <w:pPr>
              <w:spacing w:before="0" w:after="0" w:line="240" w:lineRule="auto"/>
              <w:jc w:val="center"/>
              <w:rPr>
                <w:sz w:val="20"/>
                <w:szCs w:val="20"/>
              </w:rPr>
            </w:pPr>
            <w:r w:rsidRPr="00AC1930">
              <w:rPr>
                <w:sz w:val="20"/>
                <w:szCs w:val="20"/>
              </w:rPr>
              <w:t>Yes</w:t>
            </w:r>
          </w:p>
        </w:tc>
      </w:tr>
      <w:tr w:rsidR="00AC1930" w:rsidRPr="00AC1930" w14:paraId="638A870E" w14:textId="77777777">
        <w:trPr>
          <w:trHeight w:val="25"/>
        </w:trPr>
        <w:tc>
          <w:tcPr>
            <w:tcW w:w="2055" w:type="dxa"/>
            <w:tcBorders>
              <w:top w:val="nil"/>
              <w:left w:val="nil"/>
              <w:bottom w:val="nil"/>
              <w:right w:val="nil"/>
            </w:tcBorders>
            <w:tcMar>
              <w:top w:w="100" w:type="dxa"/>
              <w:left w:w="100" w:type="dxa"/>
              <w:bottom w:w="100" w:type="dxa"/>
              <w:right w:w="100" w:type="dxa"/>
            </w:tcMar>
          </w:tcPr>
          <w:p w14:paraId="5C9F6965" w14:textId="2F224ACE" w:rsidR="002E7E3F" w:rsidRPr="00AC1930" w:rsidRDefault="0001118D">
            <w:pPr>
              <w:spacing w:before="0" w:after="0" w:line="240" w:lineRule="auto"/>
              <w:rPr>
                <w:sz w:val="20"/>
                <w:szCs w:val="20"/>
              </w:rPr>
            </w:pPr>
            <w:r w:rsidRPr="00AC1930">
              <w:rPr>
                <w:sz w:val="20"/>
                <w:szCs w:val="20"/>
              </w:rPr>
              <w:t>CV: Age</w:t>
            </w:r>
            <w:r w:rsidR="00AE564E" w:rsidRPr="00AC1930">
              <w:rPr>
                <w:sz w:val="20"/>
                <w:szCs w:val="20"/>
              </w:rPr>
              <w:t xml:space="preserve"> </w:t>
            </w:r>
            <w:r w:rsidR="00AE564E" w:rsidRPr="00AC1930">
              <w:rPr>
                <w:sz w:val="20"/>
                <w:szCs w:val="20"/>
              </w:rPr>
              <w:sym w:font="Wingdings" w:char="F0E0"/>
            </w:r>
            <w:r w:rsidR="00AE564E" w:rsidRPr="00AC1930">
              <w:rPr>
                <w:sz w:val="20"/>
                <w:szCs w:val="20"/>
              </w:rPr>
              <w:t xml:space="preserve"> </w:t>
            </w:r>
            <w:r w:rsidRPr="00AC1930">
              <w:rPr>
                <w:sz w:val="20"/>
                <w:szCs w:val="20"/>
              </w:rPr>
              <w:t>WA</w:t>
            </w:r>
          </w:p>
        </w:tc>
        <w:tc>
          <w:tcPr>
            <w:tcW w:w="945" w:type="dxa"/>
            <w:tcBorders>
              <w:top w:val="nil"/>
              <w:left w:val="nil"/>
              <w:bottom w:val="nil"/>
              <w:right w:val="nil"/>
            </w:tcBorders>
            <w:tcMar>
              <w:top w:w="100" w:type="dxa"/>
              <w:left w:w="100" w:type="dxa"/>
              <w:bottom w:w="100" w:type="dxa"/>
              <w:right w:w="100" w:type="dxa"/>
            </w:tcMar>
          </w:tcPr>
          <w:p w14:paraId="6A9B3CF4" w14:textId="77777777" w:rsidR="002E7E3F" w:rsidRPr="00AC1930" w:rsidRDefault="0001118D">
            <w:pPr>
              <w:spacing w:before="0" w:after="0" w:line="240" w:lineRule="auto"/>
              <w:jc w:val="center"/>
              <w:rPr>
                <w:sz w:val="20"/>
                <w:szCs w:val="20"/>
              </w:rPr>
            </w:pPr>
            <w:r w:rsidRPr="00AC1930">
              <w:rPr>
                <w:sz w:val="20"/>
                <w:szCs w:val="20"/>
              </w:rPr>
              <w:t xml:space="preserve"> -0.115</w:t>
            </w:r>
          </w:p>
        </w:tc>
        <w:tc>
          <w:tcPr>
            <w:tcW w:w="855" w:type="dxa"/>
            <w:tcBorders>
              <w:top w:val="nil"/>
              <w:left w:val="nil"/>
              <w:bottom w:val="nil"/>
              <w:right w:val="nil"/>
            </w:tcBorders>
            <w:tcMar>
              <w:top w:w="100" w:type="dxa"/>
              <w:left w:w="100" w:type="dxa"/>
              <w:bottom w:w="100" w:type="dxa"/>
              <w:right w:w="100" w:type="dxa"/>
            </w:tcMar>
          </w:tcPr>
          <w:p w14:paraId="607E40BE" w14:textId="77777777" w:rsidR="002E7E3F" w:rsidRPr="00AC1930" w:rsidRDefault="0001118D">
            <w:pPr>
              <w:spacing w:before="0" w:after="0" w:line="240" w:lineRule="auto"/>
              <w:jc w:val="center"/>
              <w:rPr>
                <w:sz w:val="20"/>
                <w:szCs w:val="20"/>
              </w:rPr>
            </w:pPr>
            <w:r w:rsidRPr="00AC1930">
              <w:rPr>
                <w:sz w:val="20"/>
                <w:szCs w:val="20"/>
              </w:rPr>
              <w:t xml:space="preserve">1.839 </w:t>
            </w:r>
          </w:p>
        </w:tc>
        <w:tc>
          <w:tcPr>
            <w:tcW w:w="1039" w:type="dxa"/>
            <w:tcBorders>
              <w:top w:val="nil"/>
              <w:left w:val="nil"/>
              <w:bottom w:val="nil"/>
              <w:right w:val="nil"/>
            </w:tcBorders>
            <w:tcMar>
              <w:top w:w="100" w:type="dxa"/>
              <w:left w:w="100" w:type="dxa"/>
              <w:bottom w:w="100" w:type="dxa"/>
              <w:right w:w="100" w:type="dxa"/>
            </w:tcMar>
          </w:tcPr>
          <w:p w14:paraId="6686ACA3" w14:textId="77777777" w:rsidR="002E7E3F" w:rsidRPr="00AC1930" w:rsidRDefault="0001118D">
            <w:pPr>
              <w:spacing w:before="0" w:after="0" w:line="240" w:lineRule="auto"/>
              <w:jc w:val="center"/>
              <w:rPr>
                <w:sz w:val="20"/>
                <w:szCs w:val="20"/>
              </w:rPr>
            </w:pPr>
            <w:r w:rsidRPr="00AC1930">
              <w:rPr>
                <w:sz w:val="20"/>
                <w:szCs w:val="20"/>
              </w:rPr>
              <w:t xml:space="preserve"> 0.066</w:t>
            </w:r>
          </w:p>
        </w:tc>
        <w:tc>
          <w:tcPr>
            <w:tcW w:w="1769" w:type="dxa"/>
            <w:tcBorders>
              <w:top w:val="nil"/>
              <w:left w:val="nil"/>
              <w:bottom w:val="nil"/>
              <w:right w:val="nil"/>
            </w:tcBorders>
            <w:tcMar>
              <w:top w:w="100" w:type="dxa"/>
              <w:left w:w="100" w:type="dxa"/>
              <w:bottom w:w="100" w:type="dxa"/>
              <w:right w:w="100" w:type="dxa"/>
            </w:tcMar>
          </w:tcPr>
          <w:p w14:paraId="5799CD78" w14:textId="77777777" w:rsidR="002E7E3F" w:rsidRPr="00AC1930" w:rsidRDefault="0001118D">
            <w:pPr>
              <w:spacing w:before="0" w:after="0" w:line="240" w:lineRule="auto"/>
              <w:jc w:val="center"/>
              <w:rPr>
                <w:sz w:val="20"/>
                <w:szCs w:val="20"/>
              </w:rPr>
            </w:pPr>
            <w:r w:rsidRPr="00AC1930">
              <w:rPr>
                <w:sz w:val="20"/>
                <w:szCs w:val="20"/>
              </w:rPr>
              <w:t xml:space="preserve">[-0.244, 0.003] </w:t>
            </w:r>
          </w:p>
        </w:tc>
        <w:tc>
          <w:tcPr>
            <w:tcW w:w="1279" w:type="dxa"/>
            <w:tcBorders>
              <w:top w:val="nil"/>
              <w:left w:val="nil"/>
              <w:bottom w:val="nil"/>
              <w:right w:val="nil"/>
            </w:tcBorders>
            <w:tcMar>
              <w:top w:w="100" w:type="dxa"/>
              <w:left w:w="100" w:type="dxa"/>
              <w:bottom w:w="100" w:type="dxa"/>
              <w:right w:w="100" w:type="dxa"/>
            </w:tcMar>
          </w:tcPr>
          <w:p w14:paraId="426C4FC8" w14:textId="77777777" w:rsidR="002E7E3F" w:rsidRPr="00AC1930" w:rsidRDefault="0001118D">
            <w:pPr>
              <w:spacing w:before="0" w:after="0" w:line="240" w:lineRule="auto"/>
              <w:jc w:val="center"/>
              <w:rPr>
                <w:sz w:val="20"/>
                <w:szCs w:val="20"/>
              </w:rPr>
            </w:pPr>
            <w:r w:rsidRPr="00AC1930">
              <w:rPr>
                <w:sz w:val="20"/>
                <w:szCs w:val="20"/>
              </w:rPr>
              <w:t xml:space="preserve"> 0.014</w:t>
            </w:r>
          </w:p>
        </w:tc>
        <w:tc>
          <w:tcPr>
            <w:tcW w:w="1241" w:type="dxa"/>
            <w:gridSpan w:val="2"/>
            <w:tcBorders>
              <w:top w:val="nil"/>
              <w:left w:val="nil"/>
              <w:bottom w:val="nil"/>
              <w:right w:val="nil"/>
            </w:tcBorders>
            <w:tcMar>
              <w:top w:w="100" w:type="dxa"/>
              <w:left w:w="100" w:type="dxa"/>
              <w:bottom w:w="100" w:type="dxa"/>
              <w:right w:w="100" w:type="dxa"/>
            </w:tcMar>
          </w:tcPr>
          <w:p w14:paraId="503D87AB" w14:textId="77777777" w:rsidR="002E7E3F" w:rsidRPr="00AC1930" w:rsidRDefault="0001118D">
            <w:pPr>
              <w:spacing w:before="0" w:after="0" w:line="240" w:lineRule="auto"/>
              <w:jc w:val="center"/>
              <w:rPr>
                <w:sz w:val="20"/>
                <w:szCs w:val="20"/>
              </w:rPr>
            </w:pPr>
            <w:r w:rsidRPr="00AC1930">
              <w:rPr>
                <w:sz w:val="20"/>
                <w:szCs w:val="20"/>
              </w:rPr>
              <w:t>No</w:t>
            </w:r>
          </w:p>
        </w:tc>
      </w:tr>
      <w:tr w:rsidR="00AC1930" w:rsidRPr="00AC1930" w14:paraId="1CC8BDDA" w14:textId="77777777">
        <w:trPr>
          <w:trHeight w:val="20"/>
        </w:trPr>
        <w:tc>
          <w:tcPr>
            <w:tcW w:w="2055" w:type="dxa"/>
            <w:tcBorders>
              <w:top w:val="single" w:sz="8" w:space="0" w:color="7F7F7F"/>
              <w:left w:val="nil"/>
              <w:bottom w:val="single" w:sz="8" w:space="0" w:color="7F7F7F"/>
              <w:right w:val="nil"/>
            </w:tcBorders>
            <w:tcMar>
              <w:top w:w="100" w:type="dxa"/>
              <w:left w:w="100" w:type="dxa"/>
              <w:bottom w:w="100" w:type="dxa"/>
              <w:right w:w="100" w:type="dxa"/>
            </w:tcMar>
          </w:tcPr>
          <w:p w14:paraId="546C1F6B" w14:textId="4BE063B0" w:rsidR="002E7E3F" w:rsidRPr="00AC1930" w:rsidRDefault="0001118D">
            <w:pPr>
              <w:spacing w:before="0" w:after="0" w:line="240" w:lineRule="auto"/>
              <w:rPr>
                <w:sz w:val="20"/>
                <w:szCs w:val="20"/>
              </w:rPr>
            </w:pPr>
            <w:r w:rsidRPr="00AC1930">
              <w:rPr>
                <w:sz w:val="20"/>
                <w:szCs w:val="20"/>
              </w:rPr>
              <w:t>CV: Gender</w:t>
            </w:r>
            <w:r w:rsidR="00AE564E" w:rsidRPr="00AC1930">
              <w:rPr>
                <w:sz w:val="20"/>
                <w:szCs w:val="20"/>
              </w:rPr>
              <w:t xml:space="preserve"> </w:t>
            </w:r>
            <w:r w:rsidR="00AE564E" w:rsidRPr="00AC1930">
              <w:rPr>
                <w:sz w:val="20"/>
                <w:szCs w:val="20"/>
              </w:rPr>
              <w:sym w:font="Wingdings" w:char="F0E0"/>
            </w:r>
            <w:r w:rsidR="00AE564E" w:rsidRPr="00AC1930">
              <w:rPr>
                <w:sz w:val="20"/>
                <w:szCs w:val="20"/>
              </w:rPr>
              <w:t xml:space="preserve"> </w:t>
            </w:r>
            <w:r w:rsidRPr="00AC1930">
              <w:rPr>
                <w:sz w:val="20"/>
                <w:szCs w:val="20"/>
              </w:rPr>
              <w:t>WA</w:t>
            </w:r>
          </w:p>
        </w:tc>
        <w:tc>
          <w:tcPr>
            <w:tcW w:w="945" w:type="dxa"/>
            <w:tcBorders>
              <w:top w:val="single" w:sz="8" w:space="0" w:color="7F7F7F"/>
              <w:left w:val="nil"/>
              <w:bottom w:val="single" w:sz="8" w:space="0" w:color="7F7F7F"/>
              <w:right w:val="nil"/>
            </w:tcBorders>
            <w:tcMar>
              <w:top w:w="100" w:type="dxa"/>
              <w:left w:w="100" w:type="dxa"/>
              <w:bottom w:w="100" w:type="dxa"/>
              <w:right w:w="100" w:type="dxa"/>
            </w:tcMar>
          </w:tcPr>
          <w:p w14:paraId="52FE24F6" w14:textId="77777777" w:rsidR="002E7E3F" w:rsidRPr="00AC1930" w:rsidRDefault="0001118D">
            <w:pPr>
              <w:spacing w:before="0" w:after="0" w:line="240" w:lineRule="auto"/>
              <w:jc w:val="center"/>
              <w:rPr>
                <w:sz w:val="20"/>
                <w:szCs w:val="20"/>
              </w:rPr>
            </w:pPr>
            <w:r w:rsidRPr="00AC1930">
              <w:rPr>
                <w:sz w:val="20"/>
                <w:szCs w:val="20"/>
              </w:rPr>
              <w:t xml:space="preserve"> -0.025</w:t>
            </w:r>
          </w:p>
        </w:tc>
        <w:tc>
          <w:tcPr>
            <w:tcW w:w="855" w:type="dxa"/>
            <w:tcBorders>
              <w:top w:val="single" w:sz="8" w:space="0" w:color="7F7F7F"/>
              <w:left w:val="nil"/>
              <w:bottom w:val="single" w:sz="8" w:space="0" w:color="7F7F7F"/>
              <w:right w:val="nil"/>
            </w:tcBorders>
            <w:tcMar>
              <w:top w:w="100" w:type="dxa"/>
              <w:left w:w="100" w:type="dxa"/>
              <w:bottom w:w="100" w:type="dxa"/>
              <w:right w:w="100" w:type="dxa"/>
            </w:tcMar>
          </w:tcPr>
          <w:p w14:paraId="7ADCCA14" w14:textId="77777777" w:rsidR="002E7E3F" w:rsidRPr="00AC1930" w:rsidRDefault="0001118D">
            <w:pPr>
              <w:spacing w:before="0" w:after="0" w:line="240" w:lineRule="auto"/>
              <w:jc w:val="center"/>
              <w:rPr>
                <w:sz w:val="20"/>
                <w:szCs w:val="20"/>
              </w:rPr>
            </w:pPr>
            <w:r w:rsidRPr="00AC1930">
              <w:rPr>
                <w:sz w:val="20"/>
                <w:szCs w:val="20"/>
              </w:rPr>
              <w:t xml:space="preserve"> 0.465</w:t>
            </w:r>
          </w:p>
        </w:tc>
        <w:tc>
          <w:tcPr>
            <w:tcW w:w="1039" w:type="dxa"/>
            <w:tcBorders>
              <w:top w:val="single" w:sz="8" w:space="0" w:color="7F7F7F"/>
              <w:left w:val="nil"/>
              <w:bottom w:val="single" w:sz="8" w:space="0" w:color="7F7F7F"/>
              <w:right w:val="nil"/>
            </w:tcBorders>
            <w:tcMar>
              <w:top w:w="100" w:type="dxa"/>
              <w:left w:w="100" w:type="dxa"/>
              <w:bottom w:w="100" w:type="dxa"/>
              <w:right w:w="100" w:type="dxa"/>
            </w:tcMar>
          </w:tcPr>
          <w:p w14:paraId="034163DF" w14:textId="77777777" w:rsidR="002E7E3F" w:rsidRPr="00AC1930" w:rsidRDefault="0001118D">
            <w:pPr>
              <w:spacing w:before="0" w:after="0" w:line="240" w:lineRule="auto"/>
              <w:jc w:val="center"/>
              <w:rPr>
                <w:sz w:val="20"/>
                <w:szCs w:val="20"/>
              </w:rPr>
            </w:pPr>
            <w:r w:rsidRPr="00AC1930">
              <w:rPr>
                <w:sz w:val="20"/>
                <w:szCs w:val="20"/>
              </w:rPr>
              <w:t xml:space="preserve"> 0.642</w:t>
            </w:r>
          </w:p>
        </w:tc>
        <w:tc>
          <w:tcPr>
            <w:tcW w:w="1769" w:type="dxa"/>
            <w:tcBorders>
              <w:top w:val="single" w:sz="8" w:space="0" w:color="7F7F7F"/>
              <w:left w:val="nil"/>
              <w:bottom w:val="single" w:sz="8" w:space="0" w:color="7F7F7F"/>
              <w:right w:val="nil"/>
            </w:tcBorders>
            <w:tcMar>
              <w:top w:w="100" w:type="dxa"/>
              <w:left w:w="100" w:type="dxa"/>
              <w:bottom w:w="100" w:type="dxa"/>
              <w:right w:w="100" w:type="dxa"/>
            </w:tcMar>
          </w:tcPr>
          <w:p w14:paraId="7EA10633" w14:textId="77777777" w:rsidR="002E7E3F" w:rsidRPr="00AC1930" w:rsidRDefault="0001118D">
            <w:pPr>
              <w:spacing w:before="0" w:after="0" w:line="240" w:lineRule="auto"/>
              <w:jc w:val="center"/>
              <w:rPr>
                <w:sz w:val="20"/>
                <w:szCs w:val="20"/>
              </w:rPr>
            </w:pPr>
            <w:r w:rsidRPr="00AC1930">
              <w:rPr>
                <w:sz w:val="20"/>
                <w:szCs w:val="20"/>
              </w:rPr>
              <w:t xml:space="preserve"> [-0.126, 0.083]</w:t>
            </w:r>
          </w:p>
        </w:tc>
        <w:tc>
          <w:tcPr>
            <w:tcW w:w="1279" w:type="dxa"/>
            <w:tcBorders>
              <w:top w:val="single" w:sz="8" w:space="0" w:color="7F7F7F"/>
              <w:left w:val="nil"/>
              <w:bottom w:val="single" w:sz="8" w:space="0" w:color="7F7F7F"/>
              <w:right w:val="nil"/>
            </w:tcBorders>
            <w:tcMar>
              <w:top w:w="100" w:type="dxa"/>
              <w:left w:w="100" w:type="dxa"/>
              <w:bottom w:w="100" w:type="dxa"/>
              <w:right w:w="100" w:type="dxa"/>
            </w:tcMar>
          </w:tcPr>
          <w:p w14:paraId="0277C879" w14:textId="77777777" w:rsidR="002E7E3F" w:rsidRPr="00AC1930" w:rsidRDefault="0001118D">
            <w:pPr>
              <w:spacing w:before="0" w:after="0" w:line="240" w:lineRule="auto"/>
              <w:jc w:val="center"/>
              <w:rPr>
                <w:sz w:val="20"/>
                <w:szCs w:val="20"/>
              </w:rPr>
            </w:pPr>
            <w:r w:rsidRPr="00AC1930">
              <w:rPr>
                <w:sz w:val="20"/>
                <w:szCs w:val="20"/>
              </w:rPr>
              <w:t xml:space="preserve"> 0.001</w:t>
            </w:r>
          </w:p>
        </w:tc>
        <w:tc>
          <w:tcPr>
            <w:tcW w:w="1241" w:type="dxa"/>
            <w:gridSpan w:val="2"/>
            <w:tcBorders>
              <w:top w:val="single" w:sz="8" w:space="0" w:color="7F7F7F"/>
              <w:left w:val="nil"/>
              <w:bottom w:val="single" w:sz="8" w:space="0" w:color="7F7F7F"/>
              <w:right w:val="nil"/>
            </w:tcBorders>
            <w:tcMar>
              <w:top w:w="100" w:type="dxa"/>
              <w:left w:w="100" w:type="dxa"/>
              <w:bottom w:w="100" w:type="dxa"/>
              <w:right w:w="100" w:type="dxa"/>
            </w:tcMar>
          </w:tcPr>
          <w:p w14:paraId="48526A67" w14:textId="77777777" w:rsidR="002E7E3F" w:rsidRPr="00AC1930" w:rsidRDefault="0001118D">
            <w:pPr>
              <w:spacing w:before="0" w:after="0" w:line="240" w:lineRule="auto"/>
              <w:jc w:val="center"/>
              <w:rPr>
                <w:sz w:val="20"/>
                <w:szCs w:val="20"/>
              </w:rPr>
            </w:pPr>
            <w:r w:rsidRPr="00AC1930">
              <w:rPr>
                <w:sz w:val="20"/>
                <w:szCs w:val="20"/>
              </w:rPr>
              <w:t>No</w:t>
            </w:r>
          </w:p>
        </w:tc>
      </w:tr>
      <w:tr w:rsidR="00AC1930" w:rsidRPr="00AC1930" w14:paraId="06004B91" w14:textId="77777777">
        <w:trPr>
          <w:gridAfter w:val="1"/>
          <w:wAfter w:w="7" w:type="dxa"/>
          <w:trHeight w:val="20"/>
        </w:trPr>
        <w:tc>
          <w:tcPr>
            <w:tcW w:w="9176" w:type="dxa"/>
            <w:gridSpan w:val="7"/>
            <w:tcBorders>
              <w:top w:val="single" w:sz="8" w:space="0" w:color="7F7F7F"/>
              <w:left w:val="nil"/>
              <w:bottom w:val="single" w:sz="8" w:space="0" w:color="7F7F7F"/>
              <w:right w:val="nil"/>
            </w:tcBorders>
            <w:tcMar>
              <w:top w:w="100" w:type="dxa"/>
              <w:left w:w="100" w:type="dxa"/>
              <w:bottom w:w="100" w:type="dxa"/>
              <w:right w:w="100" w:type="dxa"/>
            </w:tcMar>
          </w:tcPr>
          <w:p w14:paraId="5C2802CD" w14:textId="77777777" w:rsidR="002E7E3F" w:rsidRPr="00AC1930" w:rsidRDefault="0001118D">
            <w:pPr>
              <w:spacing w:before="0" w:after="0" w:line="240" w:lineRule="auto"/>
              <w:rPr>
                <w:sz w:val="20"/>
                <w:szCs w:val="20"/>
              </w:rPr>
            </w:pPr>
            <w:r w:rsidRPr="00AC1930">
              <w:rPr>
                <w:b/>
                <w:sz w:val="20"/>
                <w:szCs w:val="20"/>
              </w:rPr>
              <w:t>Endogenous constructs assessment</w:t>
            </w:r>
          </w:p>
        </w:tc>
      </w:tr>
      <w:tr w:rsidR="00AC1930" w:rsidRPr="00AC1930" w14:paraId="7328CE4B" w14:textId="77777777">
        <w:trPr>
          <w:trHeight w:val="20"/>
        </w:trPr>
        <w:tc>
          <w:tcPr>
            <w:tcW w:w="2055" w:type="dxa"/>
            <w:tcBorders>
              <w:top w:val="single" w:sz="8" w:space="0" w:color="7F7F7F"/>
              <w:left w:val="nil"/>
              <w:bottom w:val="single" w:sz="8" w:space="0" w:color="7F7F7F"/>
              <w:right w:val="nil"/>
            </w:tcBorders>
            <w:tcMar>
              <w:top w:w="100" w:type="dxa"/>
              <w:left w:w="100" w:type="dxa"/>
              <w:bottom w:w="100" w:type="dxa"/>
              <w:right w:w="100" w:type="dxa"/>
            </w:tcMar>
          </w:tcPr>
          <w:p w14:paraId="545FAC07" w14:textId="77777777" w:rsidR="002E7E3F" w:rsidRPr="00AC1930" w:rsidRDefault="002E7E3F">
            <w:pPr>
              <w:spacing w:before="0" w:after="0" w:line="240" w:lineRule="auto"/>
              <w:rPr>
                <w:sz w:val="20"/>
                <w:szCs w:val="20"/>
              </w:rPr>
            </w:pPr>
          </w:p>
        </w:tc>
        <w:tc>
          <w:tcPr>
            <w:tcW w:w="945" w:type="dxa"/>
            <w:tcBorders>
              <w:top w:val="single" w:sz="8" w:space="0" w:color="7F7F7F"/>
              <w:left w:val="nil"/>
              <w:bottom w:val="single" w:sz="8" w:space="0" w:color="7F7F7F"/>
              <w:right w:val="nil"/>
            </w:tcBorders>
            <w:tcMar>
              <w:top w:w="100" w:type="dxa"/>
              <w:left w:w="100" w:type="dxa"/>
              <w:bottom w:w="100" w:type="dxa"/>
              <w:right w:w="100" w:type="dxa"/>
            </w:tcMar>
          </w:tcPr>
          <w:p w14:paraId="755764C7" w14:textId="77777777" w:rsidR="002E7E3F" w:rsidRPr="00AC1930" w:rsidRDefault="002E7E3F">
            <w:pPr>
              <w:spacing w:before="0" w:after="0" w:line="240" w:lineRule="auto"/>
              <w:jc w:val="center"/>
              <w:rPr>
                <w:sz w:val="20"/>
                <w:szCs w:val="20"/>
              </w:rPr>
            </w:pPr>
          </w:p>
        </w:tc>
        <w:tc>
          <w:tcPr>
            <w:tcW w:w="1894" w:type="dxa"/>
            <w:gridSpan w:val="2"/>
            <w:tcBorders>
              <w:top w:val="single" w:sz="8" w:space="0" w:color="7F7F7F"/>
              <w:left w:val="nil"/>
              <w:bottom w:val="single" w:sz="8" w:space="0" w:color="7F7F7F"/>
              <w:right w:val="nil"/>
            </w:tcBorders>
            <w:tcMar>
              <w:top w:w="100" w:type="dxa"/>
              <w:left w:w="100" w:type="dxa"/>
              <w:bottom w:w="100" w:type="dxa"/>
              <w:right w:w="100" w:type="dxa"/>
            </w:tcMar>
          </w:tcPr>
          <w:p w14:paraId="34C21723" w14:textId="77777777" w:rsidR="002E7E3F" w:rsidRPr="00AC1930" w:rsidRDefault="0001118D">
            <w:pPr>
              <w:spacing w:before="0" w:after="0" w:line="240" w:lineRule="auto"/>
              <w:jc w:val="center"/>
              <w:rPr>
                <w:sz w:val="20"/>
                <w:szCs w:val="20"/>
                <w:vertAlign w:val="superscript"/>
              </w:rPr>
            </w:pPr>
            <w:r w:rsidRPr="00AC1930">
              <w:rPr>
                <w:sz w:val="20"/>
                <w:szCs w:val="20"/>
              </w:rPr>
              <w:t>R</w:t>
            </w:r>
            <w:r w:rsidRPr="00AC1930">
              <w:rPr>
                <w:sz w:val="20"/>
                <w:szCs w:val="20"/>
                <w:vertAlign w:val="superscript"/>
              </w:rPr>
              <w:t>2</w:t>
            </w:r>
          </w:p>
        </w:tc>
        <w:tc>
          <w:tcPr>
            <w:tcW w:w="1769" w:type="dxa"/>
            <w:tcBorders>
              <w:top w:val="single" w:sz="8" w:space="0" w:color="7F7F7F"/>
              <w:left w:val="nil"/>
              <w:bottom w:val="single" w:sz="8" w:space="0" w:color="7F7F7F"/>
              <w:right w:val="nil"/>
            </w:tcBorders>
            <w:tcMar>
              <w:top w:w="100" w:type="dxa"/>
              <w:left w:w="100" w:type="dxa"/>
              <w:bottom w:w="100" w:type="dxa"/>
              <w:right w:w="100" w:type="dxa"/>
            </w:tcMar>
          </w:tcPr>
          <w:p w14:paraId="14FE6279" w14:textId="77777777" w:rsidR="002E7E3F" w:rsidRPr="00AC1930" w:rsidRDefault="0001118D">
            <w:pPr>
              <w:spacing w:before="0" w:after="0" w:line="240" w:lineRule="auto"/>
              <w:jc w:val="center"/>
              <w:rPr>
                <w:sz w:val="20"/>
                <w:szCs w:val="20"/>
              </w:rPr>
            </w:pPr>
            <w:r w:rsidRPr="00AC1930">
              <w:rPr>
                <w:sz w:val="20"/>
                <w:szCs w:val="20"/>
              </w:rPr>
              <w:t>R</w:t>
            </w:r>
            <w:r w:rsidRPr="00AC1930">
              <w:rPr>
                <w:sz w:val="20"/>
                <w:szCs w:val="20"/>
                <w:vertAlign w:val="superscript"/>
              </w:rPr>
              <w:t>2</w:t>
            </w:r>
            <w:r w:rsidRPr="00AC1930">
              <w:rPr>
                <w:sz w:val="20"/>
                <w:szCs w:val="20"/>
              </w:rPr>
              <w:t xml:space="preserve"> Adjusted</w:t>
            </w:r>
          </w:p>
        </w:tc>
        <w:tc>
          <w:tcPr>
            <w:tcW w:w="2520" w:type="dxa"/>
            <w:gridSpan w:val="3"/>
            <w:tcBorders>
              <w:top w:val="single" w:sz="8" w:space="0" w:color="7F7F7F"/>
              <w:left w:val="nil"/>
              <w:bottom w:val="single" w:sz="8" w:space="0" w:color="7F7F7F"/>
              <w:right w:val="nil"/>
            </w:tcBorders>
            <w:tcMar>
              <w:top w:w="100" w:type="dxa"/>
              <w:left w:w="100" w:type="dxa"/>
              <w:bottom w:w="100" w:type="dxa"/>
              <w:right w:w="100" w:type="dxa"/>
            </w:tcMar>
          </w:tcPr>
          <w:p w14:paraId="7E147DBE" w14:textId="77777777" w:rsidR="002E7E3F" w:rsidRPr="00AC1930" w:rsidRDefault="0001118D">
            <w:pPr>
              <w:spacing w:before="0" w:after="0" w:line="240" w:lineRule="auto"/>
              <w:jc w:val="center"/>
              <w:rPr>
                <w:sz w:val="20"/>
                <w:szCs w:val="20"/>
                <w:vertAlign w:val="superscript"/>
              </w:rPr>
            </w:pPr>
            <w:r w:rsidRPr="00AC1930">
              <w:rPr>
                <w:sz w:val="20"/>
                <w:szCs w:val="20"/>
              </w:rPr>
              <w:t>Q</w:t>
            </w:r>
            <w:r w:rsidRPr="00AC1930">
              <w:rPr>
                <w:sz w:val="20"/>
                <w:szCs w:val="20"/>
                <w:vertAlign w:val="superscript"/>
              </w:rPr>
              <w:t>2</w:t>
            </w:r>
          </w:p>
        </w:tc>
      </w:tr>
      <w:tr w:rsidR="00AC1930" w:rsidRPr="00AC1930" w14:paraId="3BB6090D" w14:textId="77777777">
        <w:trPr>
          <w:trHeight w:val="20"/>
        </w:trPr>
        <w:tc>
          <w:tcPr>
            <w:tcW w:w="3000" w:type="dxa"/>
            <w:gridSpan w:val="2"/>
            <w:tcBorders>
              <w:top w:val="single" w:sz="8" w:space="0" w:color="7F7F7F"/>
              <w:left w:val="nil"/>
              <w:bottom w:val="single" w:sz="8" w:space="0" w:color="7F7F7F"/>
              <w:right w:val="nil"/>
            </w:tcBorders>
            <w:tcMar>
              <w:top w:w="100" w:type="dxa"/>
              <w:left w:w="100" w:type="dxa"/>
              <w:bottom w:w="100" w:type="dxa"/>
              <w:right w:w="100" w:type="dxa"/>
            </w:tcMar>
          </w:tcPr>
          <w:p w14:paraId="7F7EFF37" w14:textId="77777777" w:rsidR="002E7E3F" w:rsidRPr="00AC1930" w:rsidRDefault="0001118D">
            <w:pPr>
              <w:spacing w:before="0" w:after="0" w:line="240" w:lineRule="auto"/>
              <w:rPr>
                <w:sz w:val="20"/>
                <w:szCs w:val="20"/>
              </w:rPr>
            </w:pPr>
            <w:r w:rsidRPr="00AC1930">
              <w:rPr>
                <w:sz w:val="20"/>
                <w:szCs w:val="20"/>
              </w:rPr>
              <w:t>Work Alienation</w:t>
            </w:r>
          </w:p>
        </w:tc>
        <w:tc>
          <w:tcPr>
            <w:tcW w:w="1894" w:type="dxa"/>
            <w:gridSpan w:val="2"/>
            <w:tcBorders>
              <w:top w:val="single" w:sz="8" w:space="0" w:color="7F7F7F"/>
              <w:left w:val="nil"/>
              <w:bottom w:val="single" w:sz="8" w:space="0" w:color="7F7F7F"/>
              <w:right w:val="nil"/>
            </w:tcBorders>
            <w:tcMar>
              <w:top w:w="100" w:type="dxa"/>
              <w:left w:w="100" w:type="dxa"/>
              <w:bottom w:w="100" w:type="dxa"/>
              <w:right w:w="100" w:type="dxa"/>
            </w:tcMar>
          </w:tcPr>
          <w:p w14:paraId="4611D771" w14:textId="77777777" w:rsidR="002E7E3F" w:rsidRPr="00AC1930" w:rsidRDefault="0001118D">
            <w:pPr>
              <w:spacing w:before="0" w:after="0" w:line="240" w:lineRule="auto"/>
              <w:jc w:val="center"/>
              <w:rPr>
                <w:sz w:val="20"/>
                <w:szCs w:val="20"/>
              </w:rPr>
            </w:pPr>
            <w:r w:rsidRPr="00AC1930">
              <w:rPr>
                <w:sz w:val="20"/>
                <w:szCs w:val="20"/>
              </w:rPr>
              <w:t>0.324</w:t>
            </w:r>
          </w:p>
        </w:tc>
        <w:tc>
          <w:tcPr>
            <w:tcW w:w="1769" w:type="dxa"/>
            <w:tcBorders>
              <w:top w:val="single" w:sz="8" w:space="0" w:color="7F7F7F"/>
              <w:left w:val="nil"/>
              <w:bottom w:val="single" w:sz="8" w:space="0" w:color="7F7F7F"/>
              <w:right w:val="nil"/>
            </w:tcBorders>
            <w:tcMar>
              <w:top w:w="100" w:type="dxa"/>
              <w:left w:w="100" w:type="dxa"/>
              <w:bottom w:w="100" w:type="dxa"/>
              <w:right w:w="100" w:type="dxa"/>
            </w:tcMar>
          </w:tcPr>
          <w:p w14:paraId="3582EAA2" w14:textId="77777777" w:rsidR="002E7E3F" w:rsidRPr="00AC1930" w:rsidRDefault="0001118D">
            <w:pPr>
              <w:spacing w:before="0" w:after="0" w:line="240" w:lineRule="auto"/>
              <w:jc w:val="center"/>
              <w:rPr>
                <w:sz w:val="20"/>
                <w:szCs w:val="20"/>
              </w:rPr>
            </w:pPr>
            <w:r w:rsidRPr="00AC1930">
              <w:rPr>
                <w:sz w:val="20"/>
                <w:szCs w:val="20"/>
              </w:rPr>
              <w:t>0.310</w:t>
            </w:r>
          </w:p>
        </w:tc>
        <w:tc>
          <w:tcPr>
            <w:tcW w:w="2520" w:type="dxa"/>
            <w:gridSpan w:val="3"/>
            <w:tcBorders>
              <w:top w:val="single" w:sz="8" w:space="0" w:color="7F7F7F"/>
              <w:left w:val="nil"/>
              <w:bottom w:val="single" w:sz="8" w:space="0" w:color="7F7F7F"/>
              <w:right w:val="nil"/>
            </w:tcBorders>
            <w:tcMar>
              <w:top w:w="100" w:type="dxa"/>
              <w:left w:w="100" w:type="dxa"/>
              <w:bottom w:w="100" w:type="dxa"/>
              <w:right w:w="100" w:type="dxa"/>
            </w:tcMar>
          </w:tcPr>
          <w:p w14:paraId="7A7027DB" w14:textId="77777777" w:rsidR="002E7E3F" w:rsidRPr="00AC1930" w:rsidRDefault="0001118D">
            <w:pPr>
              <w:spacing w:before="0" w:after="0" w:line="240" w:lineRule="auto"/>
              <w:jc w:val="center"/>
              <w:rPr>
                <w:sz w:val="20"/>
                <w:szCs w:val="20"/>
              </w:rPr>
            </w:pPr>
            <w:r w:rsidRPr="00AC1930">
              <w:rPr>
                <w:sz w:val="20"/>
                <w:szCs w:val="20"/>
              </w:rPr>
              <w:t>0.164</w:t>
            </w:r>
          </w:p>
        </w:tc>
      </w:tr>
      <w:tr w:rsidR="00AC1930" w:rsidRPr="00AC1930" w14:paraId="0223DD90" w14:textId="77777777">
        <w:trPr>
          <w:trHeight w:val="20"/>
        </w:trPr>
        <w:tc>
          <w:tcPr>
            <w:tcW w:w="3000" w:type="dxa"/>
            <w:gridSpan w:val="2"/>
            <w:tcBorders>
              <w:top w:val="single" w:sz="8" w:space="0" w:color="7F7F7F"/>
              <w:left w:val="nil"/>
              <w:bottom w:val="single" w:sz="8" w:space="0" w:color="7F7F7F"/>
              <w:right w:val="nil"/>
            </w:tcBorders>
            <w:tcMar>
              <w:top w:w="100" w:type="dxa"/>
              <w:left w:w="100" w:type="dxa"/>
              <w:bottom w:w="100" w:type="dxa"/>
              <w:right w:w="100" w:type="dxa"/>
            </w:tcMar>
          </w:tcPr>
          <w:p w14:paraId="51860160" w14:textId="77777777" w:rsidR="002E7E3F" w:rsidRPr="00AC1930" w:rsidRDefault="0001118D">
            <w:pPr>
              <w:spacing w:before="0" w:after="0" w:line="240" w:lineRule="auto"/>
              <w:rPr>
                <w:sz w:val="20"/>
                <w:szCs w:val="20"/>
              </w:rPr>
            </w:pPr>
            <w:r w:rsidRPr="00AC1930">
              <w:rPr>
                <w:sz w:val="20"/>
                <w:szCs w:val="20"/>
              </w:rPr>
              <w:t>Self-Regulation</w:t>
            </w:r>
          </w:p>
        </w:tc>
        <w:tc>
          <w:tcPr>
            <w:tcW w:w="1894" w:type="dxa"/>
            <w:gridSpan w:val="2"/>
            <w:tcBorders>
              <w:top w:val="single" w:sz="8" w:space="0" w:color="7F7F7F"/>
              <w:left w:val="nil"/>
              <w:bottom w:val="single" w:sz="8" w:space="0" w:color="7F7F7F"/>
              <w:right w:val="nil"/>
            </w:tcBorders>
            <w:tcMar>
              <w:top w:w="100" w:type="dxa"/>
              <w:left w:w="100" w:type="dxa"/>
              <w:bottom w:w="100" w:type="dxa"/>
              <w:right w:w="100" w:type="dxa"/>
            </w:tcMar>
          </w:tcPr>
          <w:p w14:paraId="1CEFAEEC" w14:textId="77777777" w:rsidR="002E7E3F" w:rsidRPr="00AC1930" w:rsidRDefault="0001118D">
            <w:pPr>
              <w:spacing w:before="0" w:after="0" w:line="240" w:lineRule="auto"/>
              <w:jc w:val="center"/>
              <w:rPr>
                <w:sz w:val="20"/>
                <w:szCs w:val="20"/>
              </w:rPr>
            </w:pPr>
            <w:r w:rsidRPr="00AC1930">
              <w:rPr>
                <w:sz w:val="20"/>
                <w:szCs w:val="20"/>
              </w:rPr>
              <w:t>0.143</w:t>
            </w:r>
          </w:p>
        </w:tc>
        <w:tc>
          <w:tcPr>
            <w:tcW w:w="1769" w:type="dxa"/>
            <w:tcBorders>
              <w:top w:val="single" w:sz="8" w:space="0" w:color="7F7F7F"/>
              <w:left w:val="nil"/>
              <w:bottom w:val="single" w:sz="8" w:space="0" w:color="7F7F7F"/>
              <w:right w:val="nil"/>
            </w:tcBorders>
            <w:tcMar>
              <w:top w:w="100" w:type="dxa"/>
              <w:left w:w="100" w:type="dxa"/>
              <w:bottom w:w="100" w:type="dxa"/>
              <w:right w:w="100" w:type="dxa"/>
            </w:tcMar>
          </w:tcPr>
          <w:p w14:paraId="32164E8E" w14:textId="77777777" w:rsidR="002E7E3F" w:rsidRPr="00AC1930" w:rsidRDefault="0001118D">
            <w:pPr>
              <w:spacing w:before="0" w:after="0" w:line="240" w:lineRule="auto"/>
              <w:jc w:val="center"/>
              <w:rPr>
                <w:sz w:val="20"/>
                <w:szCs w:val="20"/>
              </w:rPr>
            </w:pPr>
            <w:r w:rsidRPr="00AC1930">
              <w:rPr>
                <w:sz w:val="20"/>
                <w:szCs w:val="20"/>
              </w:rPr>
              <w:t>0.140</w:t>
            </w:r>
          </w:p>
        </w:tc>
        <w:tc>
          <w:tcPr>
            <w:tcW w:w="2520" w:type="dxa"/>
            <w:gridSpan w:val="3"/>
            <w:tcBorders>
              <w:top w:val="single" w:sz="8" w:space="0" w:color="7F7F7F"/>
              <w:left w:val="nil"/>
              <w:bottom w:val="single" w:sz="8" w:space="0" w:color="7F7F7F"/>
              <w:right w:val="nil"/>
            </w:tcBorders>
            <w:tcMar>
              <w:top w:w="100" w:type="dxa"/>
              <w:left w:w="100" w:type="dxa"/>
              <w:bottom w:w="100" w:type="dxa"/>
              <w:right w:w="100" w:type="dxa"/>
            </w:tcMar>
          </w:tcPr>
          <w:p w14:paraId="1CD0679E" w14:textId="77777777" w:rsidR="002E7E3F" w:rsidRPr="00AC1930" w:rsidRDefault="0001118D">
            <w:pPr>
              <w:spacing w:before="0" w:after="0" w:line="240" w:lineRule="auto"/>
              <w:jc w:val="center"/>
              <w:rPr>
                <w:sz w:val="20"/>
                <w:szCs w:val="20"/>
              </w:rPr>
            </w:pPr>
            <w:r w:rsidRPr="00AC1930">
              <w:rPr>
                <w:sz w:val="20"/>
                <w:szCs w:val="20"/>
              </w:rPr>
              <w:t>0.074</w:t>
            </w:r>
          </w:p>
        </w:tc>
      </w:tr>
    </w:tbl>
    <w:p w14:paraId="34F78387" w14:textId="77777777" w:rsidR="002E7E3F" w:rsidRPr="00AC1930" w:rsidRDefault="0001118D">
      <w:pPr>
        <w:spacing w:before="0" w:line="276" w:lineRule="auto"/>
        <w:rPr>
          <w:sz w:val="20"/>
          <w:szCs w:val="20"/>
        </w:rPr>
      </w:pPr>
      <w:r w:rsidRPr="00AC1930">
        <w:rPr>
          <w:sz w:val="20"/>
          <w:szCs w:val="20"/>
        </w:rPr>
        <w:t>CV = Control variable</w:t>
      </w:r>
    </w:p>
    <w:p w14:paraId="167D9DF3" w14:textId="1DEF80FD" w:rsidR="002E7E3F" w:rsidRPr="00AC1930" w:rsidRDefault="0001118D">
      <w:r w:rsidRPr="00AC1930">
        <w:t>As shown in Table 3</w:t>
      </w:r>
      <w:r w:rsidR="002276E4" w:rsidRPr="00AC1930">
        <w:t>,</w:t>
      </w:r>
      <w:r w:rsidR="00DE3B8E" w:rsidRPr="00AC1930">
        <w:t xml:space="preserve"> H1, H2, H3</w:t>
      </w:r>
      <w:r w:rsidR="00A22454" w:rsidRPr="00AC1930">
        <w:t>,</w:t>
      </w:r>
      <w:r w:rsidR="00DE3B8E" w:rsidRPr="00AC1930">
        <w:t xml:space="preserve"> and H5</w:t>
      </w:r>
      <w:r w:rsidRPr="00AC1930">
        <w:t xml:space="preserve"> are supported. The predictive accuracy of the model is confirmed by the R</w:t>
      </w:r>
      <w:r w:rsidRPr="00AC1930">
        <w:rPr>
          <w:vertAlign w:val="superscript"/>
        </w:rPr>
        <w:t>2</w:t>
      </w:r>
      <w:r w:rsidRPr="00AC1930">
        <w:t xml:space="preserve"> and Q</w:t>
      </w:r>
      <w:r w:rsidRPr="00AC1930">
        <w:rPr>
          <w:vertAlign w:val="superscript"/>
        </w:rPr>
        <w:t>2</w:t>
      </w:r>
      <w:r w:rsidRPr="00AC1930">
        <w:t xml:space="preserve"> values. According to </w:t>
      </w:r>
      <w:proofErr w:type="spellStart"/>
      <w:r w:rsidRPr="00AC1930">
        <w:t>Merli</w:t>
      </w:r>
      <w:proofErr w:type="spellEnd"/>
      <w:r w:rsidRPr="00AC1930">
        <w:t xml:space="preserve">, </w:t>
      </w:r>
      <w:proofErr w:type="spellStart"/>
      <w:r w:rsidRPr="00AC1930">
        <w:t>Preziosi</w:t>
      </w:r>
      <w:proofErr w:type="spellEnd"/>
      <w:r w:rsidRPr="00AC1930">
        <w:t xml:space="preserve">, </w:t>
      </w:r>
      <w:proofErr w:type="spellStart"/>
      <w:r w:rsidRPr="00AC1930">
        <w:t>Acompara</w:t>
      </w:r>
      <w:proofErr w:type="spellEnd"/>
      <w:r w:rsidRPr="00AC1930">
        <w:t xml:space="preserve"> and Ali (2019</w:t>
      </w:r>
      <w:r w:rsidR="00A67D74" w:rsidRPr="00AC1930">
        <w:t>: 175</w:t>
      </w:r>
      <w:r w:rsidRPr="00AC1930">
        <w:t xml:space="preserve">), </w:t>
      </w:r>
      <w:r w:rsidR="00A67D74" w:rsidRPr="00AC1930">
        <w:t>“</w:t>
      </w:r>
      <w:r w:rsidRPr="00AC1930">
        <w:t xml:space="preserve">values below 0.25 indicate a weak accuracy, below 0.50 </w:t>
      </w:r>
      <w:r w:rsidR="00A22454" w:rsidRPr="00AC1930">
        <w:t xml:space="preserve">indicate </w:t>
      </w:r>
      <w:r w:rsidRPr="00AC1930">
        <w:t>a moderate accuracy, and below 0.75 show a substantial predictive accuracy</w:t>
      </w:r>
      <w:r w:rsidR="00A67D74" w:rsidRPr="00AC1930">
        <w:t>”</w:t>
      </w:r>
      <w:r w:rsidRPr="00AC1930">
        <w:t xml:space="preserve">. Our model explains 32.4% of work alienation and 14.3% of self-regulation. </w:t>
      </w:r>
      <w:r w:rsidR="0069736C" w:rsidRPr="00AC1930">
        <w:t>T</w:t>
      </w:r>
      <w:r w:rsidR="0010363F" w:rsidRPr="00AC1930">
        <w:t>he Stone-</w:t>
      </w:r>
      <w:proofErr w:type="spellStart"/>
      <w:r w:rsidR="0010363F" w:rsidRPr="00AC1930">
        <w:t>Geisser</w:t>
      </w:r>
      <w:proofErr w:type="spellEnd"/>
      <w:r w:rsidR="0010363F" w:rsidRPr="00AC1930">
        <w:t xml:space="preserve"> Q² values were </w:t>
      </w:r>
      <w:r w:rsidR="0069736C" w:rsidRPr="00AC1930">
        <w:t xml:space="preserve">then </w:t>
      </w:r>
      <w:r w:rsidR="0010363F" w:rsidRPr="00AC1930">
        <w:t xml:space="preserve">obtained </w:t>
      </w:r>
      <w:r w:rsidR="0069736C" w:rsidRPr="00AC1930">
        <w:t xml:space="preserve">to </w:t>
      </w:r>
      <w:r w:rsidR="0010363F" w:rsidRPr="00AC1930">
        <w:lastRenderedPageBreak/>
        <w:t xml:space="preserve">quantify the predictive relevance. </w:t>
      </w:r>
      <w:r w:rsidR="00A22454" w:rsidRPr="00AC1930">
        <w:t xml:space="preserve">The </w:t>
      </w:r>
      <w:r w:rsidRPr="00AC1930">
        <w:t xml:space="preserve">Q² values for WA and SR are 0.164 and 0.074, respectively. </w:t>
      </w:r>
      <w:r w:rsidR="00A22454" w:rsidRPr="00AC1930">
        <w:t>Finally</w:t>
      </w:r>
      <w:r w:rsidRPr="00AC1930">
        <w:t>, the effect size was assessed. Appendix 1 displays our final model, coefficients, and significance of variables.</w:t>
      </w:r>
    </w:p>
    <w:p w14:paraId="6C213DD4" w14:textId="77777777" w:rsidR="002E7E3F" w:rsidRPr="00AC1930" w:rsidRDefault="0001118D">
      <w:pPr>
        <w:pStyle w:val="Heading2"/>
        <w:keepNext w:val="0"/>
        <w:keepLines w:val="0"/>
        <w:spacing w:before="240" w:after="240"/>
        <w:rPr>
          <w:b/>
          <w:i/>
          <w:sz w:val="28"/>
          <w:szCs w:val="28"/>
        </w:rPr>
      </w:pPr>
      <w:bookmarkStart w:id="15" w:name="_35nkun2" w:colFirst="0" w:colLast="0"/>
      <w:bookmarkEnd w:id="15"/>
      <w:r w:rsidRPr="00AC1930">
        <w:rPr>
          <w:b/>
          <w:i/>
          <w:sz w:val="28"/>
          <w:szCs w:val="28"/>
        </w:rPr>
        <w:t>Testing the Mediation Effect</w:t>
      </w:r>
    </w:p>
    <w:p w14:paraId="524DE3F4" w14:textId="79A58290" w:rsidR="002E7E3F" w:rsidRPr="00AC1930" w:rsidRDefault="0001118D">
      <w:r w:rsidRPr="00AC1930">
        <w:t xml:space="preserve">To estimate the role of SR as a mediator of LMX and WA, we conducted the bootstrapping method </w:t>
      </w:r>
      <w:r w:rsidR="00C050AD" w:rsidRPr="00AC1930">
        <w:t xml:space="preserve">following </w:t>
      </w:r>
      <w:r w:rsidRPr="00AC1930">
        <w:t xml:space="preserve">Baron and Kenny's (1986) standard procedure. According to the mediation effect analysis, H4 is supported. </w:t>
      </w:r>
      <w:r w:rsidR="00C050AD" w:rsidRPr="00AC1930">
        <w:t xml:space="preserve">These results </w:t>
      </w:r>
      <w:r w:rsidRPr="00AC1930">
        <w:t xml:space="preserve">can be seen </w:t>
      </w:r>
      <w:r w:rsidR="002276E4" w:rsidRPr="00AC1930">
        <w:t>in</w:t>
      </w:r>
      <w:r w:rsidRPr="00AC1930">
        <w:t xml:space="preserve"> Table 4.</w:t>
      </w:r>
    </w:p>
    <w:p w14:paraId="112EDDE3" w14:textId="77777777" w:rsidR="002E7E3F" w:rsidRPr="00AC1930" w:rsidRDefault="0001118D">
      <w:r w:rsidRPr="00AC1930">
        <w:t>Table 4. Mediation effect analysis</w:t>
      </w:r>
    </w:p>
    <w:tbl>
      <w:tblPr>
        <w:tblStyle w:val="a2"/>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10"/>
        <w:gridCol w:w="851"/>
        <w:gridCol w:w="850"/>
        <w:gridCol w:w="869"/>
        <w:gridCol w:w="832"/>
        <w:gridCol w:w="992"/>
        <w:gridCol w:w="851"/>
        <w:gridCol w:w="1360"/>
      </w:tblGrid>
      <w:tr w:rsidR="00AC1930" w:rsidRPr="00AC1930" w14:paraId="5D4CD6FE" w14:textId="77777777">
        <w:trPr>
          <w:trHeight w:val="315"/>
        </w:trPr>
        <w:tc>
          <w:tcPr>
            <w:tcW w:w="2410" w:type="dxa"/>
            <w:tcBorders>
              <w:top w:val="single" w:sz="8" w:space="0" w:color="7F7F7F"/>
              <w:left w:val="nil"/>
              <w:bottom w:val="single" w:sz="8" w:space="0" w:color="7F7F7F"/>
              <w:right w:val="nil"/>
            </w:tcBorders>
            <w:tcMar>
              <w:top w:w="100" w:type="dxa"/>
              <w:left w:w="100" w:type="dxa"/>
              <w:bottom w:w="100" w:type="dxa"/>
              <w:right w:w="100" w:type="dxa"/>
            </w:tcMar>
          </w:tcPr>
          <w:p w14:paraId="4E030390" w14:textId="77777777" w:rsidR="002E7E3F" w:rsidRPr="00AC1930" w:rsidRDefault="002E7E3F">
            <w:pPr>
              <w:spacing w:before="0" w:after="0" w:line="240" w:lineRule="auto"/>
              <w:jc w:val="center"/>
              <w:rPr>
                <w:sz w:val="20"/>
                <w:szCs w:val="20"/>
              </w:rPr>
            </w:pPr>
          </w:p>
          <w:p w14:paraId="64AC8AB2" w14:textId="77777777" w:rsidR="002E7E3F" w:rsidRPr="00AC1930" w:rsidRDefault="0001118D">
            <w:pPr>
              <w:spacing w:before="0" w:after="0" w:line="240" w:lineRule="auto"/>
              <w:jc w:val="center"/>
              <w:rPr>
                <w:b/>
                <w:sz w:val="20"/>
                <w:szCs w:val="20"/>
              </w:rPr>
            </w:pPr>
            <w:r w:rsidRPr="00AC1930">
              <w:rPr>
                <w:b/>
                <w:sz w:val="20"/>
                <w:szCs w:val="20"/>
              </w:rPr>
              <w:t>Hypotheses</w:t>
            </w:r>
          </w:p>
        </w:tc>
        <w:tc>
          <w:tcPr>
            <w:tcW w:w="851" w:type="dxa"/>
            <w:tcBorders>
              <w:top w:val="single" w:sz="8" w:space="0" w:color="7F7F7F"/>
              <w:left w:val="nil"/>
              <w:bottom w:val="single" w:sz="8" w:space="0" w:color="7F7F7F"/>
              <w:right w:val="nil"/>
            </w:tcBorders>
            <w:tcMar>
              <w:top w:w="100" w:type="dxa"/>
              <w:left w:w="100" w:type="dxa"/>
              <w:bottom w:w="100" w:type="dxa"/>
              <w:right w:w="100" w:type="dxa"/>
            </w:tcMar>
          </w:tcPr>
          <w:p w14:paraId="4A51B145" w14:textId="77777777" w:rsidR="002E7E3F" w:rsidRPr="00AC1930" w:rsidRDefault="0001118D">
            <w:pPr>
              <w:spacing w:before="0" w:after="0" w:line="240" w:lineRule="auto"/>
              <w:jc w:val="center"/>
              <w:rPr>
                <w:b/>
                <w:sz w:val="20"/>
                <w:szCs w:val="20"/>
              </w:rPr>
            </w:pPr>
            <w:r w:rsidRPr="00AC1930">
              <w:rPr>
                <w:b/>
                <w:sz w:val="20"/>
                <w:szCs w:val="20"/>
              </w:rPr>
              <w:t>Total Effect</w:t>
            </w:r>
          </w:p>
        </w:tc>
        <w:tc>
          <w:tcPr>
            <w:tcW w:w="850" w:type="dxa"/>
            <w:tcBorders>
              <w:top w:val="single" w:sz="8" w:space="0" w:color="7F7F7F"/>
              <w:left w:val="nil"/>
              <w:bottom w:val="single" w:sz="8" w:space="0" w:color="7F7F7F"/>
              <w:right w:val="nil"/>
            </w:tcBorders>
            <w:tcMar>
              <w:top w:w="100" w:type="dxa"/>
              <w:left w:w="100" w:type="dxa"/>
              <w:bottom w:w="100" w:type="dxa"/>
              <w:right w:w="100" w:type="dxa"/>
            </w:tcMar>
          </w:tcPr>
          <w:p w14:paraId="3B0A7F68" w14:textId="77777777" w:rsidR="002E7E3F" w:rsidRPr="00AC1930" w:rsidRDefault="0001118D">
            <w:pPr>
              <w:spacing w:before="0" w:after="0" w:line="240" w:lineRule="auto"/>
              <w:jc w:val="center"/>
              <w:rPr>
                <w:b/>
                <w:sz w:val="20"/>
                <w:szCs w:val="20"/>
              </w:rPr>
            </w:pPr>
            <w:r w:rsidRPr="00AC1930">
              <w:rPr>
                <w:b/>
                <w:i/>
                <w:sz w:val="20"/>
                <w:szCs w:val="20"/>
              </w:rPr>
              <w:t>p</w:t>
            </w:r>
            <w:r w:rsidRPr="00AC1930">
              <w:rPr>
                <w:b/>
                <w:sz w:val="20"/>
                <w:szCs w:val="20"/>
              </w:rPr>
              <w:t xml:space="preserve"> Value</w:t>
            </w:r>
          </w:p>
        </w:tc>
        <w:tc>
          <w:tcPr>
            <w:tcW w:w="869" w:type="dxa"/>
            <w:tcBorders>
              <w:top w:val="single" w:sz="8" w:space="0" w:color="7F7F7F"/>
              <w:left w:val="nil"/>
              <w:bottom w:val="single" w:sz="8" w:space="0" w:color="7F7F7F"/>
              <w:right w:val="nil"/>
            </w:tcBorders>
            <w:tcMar>
              <w:top w:w="100" w:type="dxa"/>
              <w:left w:w="100" w:type="dxa"/>
              <w:bottom w:w="100" w:type="dxa"/>
              <w:right w:w="100" w:type="dxa"/>
            </w:tcMar>
          </w:tcPr>
          <w:p w14:paraId="1CC67C5E" w14:textId="77777777" w:rsidR="002E7E3F" w:rsidRPr="00AC1930" w:rsidRDefault="0001118D">
            <w:pPr>
              <w:spacing w:before="0" w:after="0" w:line="240" w:lineRule="auto"/>
              <w:rPr>
                <w:b/>
                <w:sz w:val="20"/>
                <w:szCs w:val="20"/>
              </w:rPr>
            </w:pPr>
            <w:r w:rsidRPr="00AC1930">
              <w:rPr>
                <w:b/>
                <w:sz w:val="20"/>
                <w:szCs w:val="20"/>
              </w:rPr>
              <w:t>Direct Effect</w:t>
            </w:r>
          </w:p>
        </w:tc>
        <w:tc>
          <w:tcPr>
            <w:tcW w:w="832" w:type="dxa"/>
            <w:tcBorders>
              <w:top w:val="single" w:sz="8" w:space="0" w:color="7F7F7F"/>
              <w:left w:val="nil"/>
              <w:bottom w:val="single" w:sz="8" w:space="0" w:color="7F7F7F"/>
              <w:right w:val="nil"/>
            </w:tcBorders>
            <w:tcMar>
              <w:top w:w="100" w:type="dxa"/>
              <w:left w:w="100" w:type="dxa"/>
              <w:bottom w:w="100" w:type="dxa"/>
              <w:right w:w="100" w:type="dxa"/>
            </w:tcMar>
          </w:tcPr>
          <w:p w14:paraId="059DF5D9" w14:textId="77777777" w:rsidR="002E7E3F" w:rsidRPr="00AC1930" w:rsidRDefault="0001118D">
            <w:pPr>
              <w:spacing w:before="0" w:after="0" w:line="240" w:lineRule="auto"/>
              <w:jc w:val="center"/>
              <w:rPr>
                <w:b/>
                <w:sz w:val="20"/>
                <w:szCs w:val="20"/>
              </w:rPr>
            </w:pPr>
            <w:r w:rsidRPr="00AC1930">
              <w:rPr>
                <w:b/>
                <w:i/>
                <w:sz w:val="20"/>
                <w:szCs w:val="20"/>
              </w:rPr>
              <w:t>p</w:t>
            </w:r>
            <w:r w:rsidRPr="00AC1930">
              <w:rPr>
                <w:b/>
                <w:sz w:val="20"/>
                <w:szCs w:val="20"/>
              </w:rPr>
              <w:t xml:space="preserve"> Value</w:t>
            </w:r>
          </w:p>
        </w:tc>
        <w:tc>
          <w:tcPr>
            <w:tcW w:w="992" w:type="dxa"/>
            <w:tcBorders>
              <w:top w:val="single" w:sz="8" w:space="0" w:color="7F7F7F"/>
              <w:left w:val="nil"/>
              <w:bottom w:val="single" w:sz="8" w:space="0" w:color="7F7F7F"/>
              <w:right w:val="nil"/>
            </w:tcBorders>
            <w:tcMar>
              <w:top w:w="100" w:type="dxa"/>
              <w:left w:w="100" w:type="dxa"/>
              <w:bottom w:w="100" w:type="dxa"/>
              <w:right w:w="100" w:type="dxa"/>
            </w:tcMar>
          </w:tcPr>
          <w:p w14:paraId="17ED3531" w14:textId="77777777" w:rsidR="002E7E3F" w:rsidRPr="00AC1930" w:rsidRDefault="0001118D">
            <w:pPr>
              <w:spacing w:before="0" w:after="0" w:line="240" w:lineRule="auto"/>
              <w:jc w:val="center"/>
              <w:rPr>
                <w:b/>
                <w:sz w:val="20"/>
                <w:szCs w:val="20"/>
              </w:rPr>
            </w:pPr>
            <w:r w:rsidRPr="00AC1930">
              <w:rPr>
                <w:b/>
                <w:sz w:val="20"/>
                <w:szCs w:val="20"/>
              </w:rPr>
              <w:t>Indirect Effect</w:t>
            </w:r>
          </w:p>
        </w:tc>
        <w:tc>
          <w:tcPr>
            <w:tcW w:w="851" w:type="dxa"/>
            <w:tcBorders>
              <w:top w:val="single" w:sz="8" w:space="0" w:color="7F7F7F"/>
              <w:left w:val="nil"/>
              <w:bottom w:val="single" w:sz="8" w:space="0" w:color="7F7F7F"/>
              <w:right w:val="nil"/>
            </w:tcBorders>
            <w:tcMar>
              <w:top w:w="100" w:type="dxa"/>
              <w:left w:w="100" w:type="dxa"/>
              <w:bottom w:w="100" w:type="dxa"/>
              <w:right w:w="100" w:type="dxa"/>
            </w:tcMar>
          </w:tcPr>
          <w:p w14:paraId="021E447D" w14:textId="77777777" w:rsidR="002E7E3F" w:rsidRPr="00AC1930" w:rsidRDefault="0001118D">
            <w:pPr>
              <w:spacing w:before="0" w:after="0" w:line="240" w:lineRule="auto"/>
              <w:jc w:val="center"/>
              <w:rPr>
                <w:b/>
                <w:sz w:val="20"/>
                <w:szCs w:val="20"/>
              </w:rPr>
            </w:pPr>
            <w:r w:rsidRPr="00AC1930">
              <w:rPr>
                <w:b/>
                <w:i/>
                <w:sz w:val="20"/>
                <w:szCs w:val="20"/>
              </w:rPr>
              <w:t>p</w:t>
            </w:r>
            <w:r w:rsidRPr="00AC1930">
              <w:rPr>
                <w:b/>
                <w:sz w:val="20"/>
                <w:szCs w:val="20"/>
              </w:rPr>
              <w:t xml:space="preserve"> Value</w:t>
            </w:r>
          </w:p>
        </w:tc>
        <w:tc>
          <w:tcPr>
            <w:tcW w:w="1360" w:type="dxa"/>
            <w:tcBorders>
              <w:top w:val="single" w:sz="8" w:space="0" w:color="7F7F7F"/>
              <w:left w:val="nil"/>
              <w:bottom w:val="single" w:sz="8" w:space="0" w:color="7F7F7F"/>
              <w:right w:val="nil"/>
            </w:tcBorders>
            <w:tcMar>
              <w:top w:w="100" w:type="dxa"/>
              <w:left w:w="100" w:type="dxa"/>
              <w:bottom w:w="100" w:type="dxa"/>
              <w:right w:w="100" w:type="dxa"/>
            </w:tcMar>
          </w:tcPr>
          <w:p w14:paraId="5E361EEA" w14:textId="77777777" w:rsidR="002E7E3F" w:rsidRPr="00AC1930" w:rsidRDefault="0001118D">
            <w:pPr>
              <w:spacing w:before="0" w:after="0" w:line="240" w:lineRule="auto"/>
              <w:jc w:val="center"/>
              <w:rPr>
                <w:b/>
                <w:sz w:val="20"/>
                <w:szCs w:val="20"/>
              </w:rPr>
            </w:pPr>
            <w:r w:rsidRPr="00AC1930">
              <w:rPr>
                <w:b/>
                <w:sz w:val="20"/>
                <w:szCs w:val="20"/>
              </w:rPr>
              <w:t>Supported</w:t>
            </w:r>
          </w:p>
        </w:tc>
      </w:tr>
      <w:tr w:rsidR="00AC1930" w:rsidRPr="00AC1930" w14:paraId="7983398C" w14:textId="77777777">
        <w:trPr>
          <w:trHeight w:val="133"/>
        </w:trPr>
        <w:tc>
          <w:tcPr>
            <w:tcW w:w="2410" w:type="dxa"/>
            <w:tcBorders>
              <w:top w:val="nil"/>
              <w:left w:val="nil"/>
              <w:bottom w:val="single" w:sz="8" w:space="0" w:color="7F7F7F"/>
              <w:right w:val="nil"/>
            </w:tcBorders>
            <w:tcMar>
              <w:top w:w="100" w:type="dxa"/>
              <w:left w:w="100" w:type="dxa"/>
              <w:bottom w:w="100" w:type="dxa"/>
              <w:right w:w="100" w:type="dxa"/>
            </w:tcMar>
          </w:tcPr>
          <w:p w14:paraId="67E0B2E6" w14:textId="2CBCB939" w:rsidR="002E7E3F" w:rsidRPr="00AC1930" w:rsidRDefault="0001118D">
            <w:pPr>
              <w:spacing w:before="0" w:after="0" w:line="240" w:lineRule="auto"/>
              <w:jc w:val="center"/>
              <w:rPr>
                <w:sz w:val="20"/>
                <w:szCs w:val="20"/>
              </w:rPr>
            </w:pPr>
            <w:r w:rsidRPr="00AC1930">
              <w:rPr>
                <w:sz w:val="20"/>
                <w:szCs w:val="20"/>
              </w:rPr>
              <w:t>H4: LMX</w:t>
            </w:r>
            <w:r w:rsidR="00AC7834" w:rsidRPr="00AC1930">
              <w:rPr>
                <w:sz w:val="20"/>
                <w:szCs w:val="20"/>
              </w:rPr>
              <w:t xml:space="preserve"> </w:t>
            </w:r>
            <w:r w:rsidR="00AC7834" w:rsidRPr="00AC1930">
              <w:rPr>
                <w:sz w:val="20"/>
                <w:szCs w:val="20"/>
              </w:rPr>
              <w:sym w:font="Wingdings" w:char="F0E0"/>
            </w:r>
            <w:r w:rsidR="00AC7834" w:rsidRPr="00AC1930">
              <w:rPr>
                <w:sz w:val="20"/>
                <w:szCs w:val="20"/>
              </w:rPr>
              <w:t xml:space="preserve"> </w:t>
            </w:r>
            <w:r w:rsidRPr="00AC1930">
              <w:rPr>
                <w:sz w:val="20"/>
                <w:szCs w:val="20"/>
              </w:rPr>
              <w:t>SR</w:t>
            </w:r>
            <w:r w:rsidR="00AC7834" w:rsidRPr="00AC1930">
              <w:rPr>
                <w:sz w:val="20"/>
                <w:szCs w:val="20"/>
              </w:rPr>
              <w:t xml:space="preserve"> </w:t>
            </w:r>
            <w:r w:rsidR="00AC7834" w:rsidRPr="00AC1930">
              <w:rPr>
                <w:sz w:val="20"/>
                <w:szCs w:val="20"/>
              </w:rPr>
              <w:sym w:font="Wingdings" w:char="F0E0"/>
            </w:r>
            <w:r w:rsidR="00AC7834" w:rsidRPr="00AC1930">
              <w:rPr>
                <w:sz w:val="20"/>
                <w:szCs w:val="20"/>
              </w:rPr>
              <w:t xml:space="preserve"> </w:t>
            </w:r>
            <w:r w:rsidRPr="00AC1930">
              <w:rPr>
                <w:sz w:val="20"/>
                <w:szCs w:val="20"/>
              </w:rPr>
              <w:t>WA</w:t>
            </w:r>
          </w:p>
        </w:tc>
        <w:tc>
          <w:tcPr>
            <w:tcW w:w="851" w:type="dxa"/>
            <w:tcBorders>
              <w:top w:val="nil"/>
              <w:left w:val="nil"/>
              <w:bottom w:val="single" w:sz="8" w:space="0" w:color="7F7F7F"/>
              <w:right w:val="nil"/>
            </w:tcBorders>
            <w:tcMar>
              <w:top w:w="100" w:type="dxa"/>
              <w:left w:w="100" w:type="dxa"/>
              <w:bottom w:w="100" w:type="dxa"/>
              <w:right w:w="100" w:type="dxa"/>
            </w:tcMar>
          </w:tcPr>
          <w:p w14:paraId="323C1F96" w14:textId="77777777" w:rsidR="002E7E3F" w:rsidRPr="00AC1930" w:rsidRDefault="0001118D">
            <w:pPr>
              <w:spacing w:before="0" w:after="0" w:line="240" w:lineRule="auto"/>
              <w:jc w:val="center"/>
              <w:rPr>
                <w:sz w:val="20"/>
                <w:szCs w:val="20"/>
              </w:rPr>
            </w:pPr>
            <w:r w:rsidRPr="00AC1930">
              <w:rPr>
                <w:sz w:val="20"/>
                <w:szCs w:val="20"/>
              </w:rPr>
              <w:t>-0.443</w:t>
            </w:r>
          </w:p>
        </w:tc>
        <w:tc>
          <w:tcPr>
            <w:tcW w:w="850" w:type="dxa"/>
            <w:tcBorders>
              <w:top w:val="nil"/>
              <w:left w:val="nil"/>
              <w:bottom w:val="single" w:sz="8" w:space="0" w:color="7F7F7F"/>
              <w:right w:val="nil"/>
            </w:tcBorders>
            <w:tcMar>
              <w:top w:w="100" w:type="dxa"/>
              <w:left w:w="100" w:type="dxa"/>
              <w:bottom w:w="100" w:type="dxa"/>
              <w:right w:w="100" w:type="dxa"/>
            </w:tcMar>
          </w:tcPr>
          <w:p w14:paraId="479484E6" w14:textId="77777777" w:rsidR="002E7E3F" w:rsidRPr="00AC1930" w:rsidRDefault="0001118D">
            <w:pPr>
              <w:spacing w:before="0" w:after="0" w:line="240" w:lineRule="auto"/>
              <w:jc w:val="center"/>
              <w:rPr>
                <w:sz w:val="20"/>
                <w:szCs w:val="20"/>
              </w:rPr>
            </w:pPr>
            <w:r w:rsidRPr="00AC1930">
              <w:rPr>
                <w:sz w:val="20"/>
                <w:szCs w:val="20"/>
              </w:rPr>
              <w:t>0.000</w:t>
            </w:r>
          </w:p>
        </w:tc>
        <w:tc>
          <w:tcPr>
            <w:tcW w:w="869" w:type="dxa"/>
            <w:tcBorders>
              <w:top w:val="nil"/>
              <w:left w:val="nil"/>
              <w:bottom w:val="single" w:sz="8" w:space="0" w:color="7F7F7F"/>
              <w:right w:val="nil"/>
            </w:tcBorders>
            <w:tcMar>
              <w:top w:w="100" w:type="dxa"/>
              <w:left w:w="100" w:type="dxa"/>
              <w:bottom w:w="100" w:type="dxa"/>
              <w:right w:w="100" w:type="dxa"/>
            </w:tcMar>
          </w:tcPr>
          <w:p w14:paraId="27BB495E" w14:textId="77777777" w:rsidR="002E7E3F" w:rsidRPr="00AC1930" w:rsidRDefault="0001118D">
            <w:pPr>
              <w:spacing w:before="0" w:after="0" w:line="240" w:lineRule="auto"/>
              <w:rPr>
                <w:sz w:val="20"/>
                <w:szCs w:val="20"/>
              </w:rPr>
            </w:pPr>
            <w:r w:rsidRPr="00AC1930">
              <w:rPr>
                <w:sz w:val="20"/>
                <w:szCs w:val="20"/>
              </w:rPr>
              <w:t>-0.297</w:t>
            </w:r>
          </w:p>
        </w:tc>
        <w:tc>
          <w:tcPr>
            <w:tcW w:w="832" w:type="dxa"/>
            <w:tcBorders>
              <w:top w:val="nil"/>
              <w:left w:val="nil"/>
              <w:bottom w:val="single" w:sz="8" w:space="0" w:color="7F7F7F"/>
              <w:right w:val="nil"/>
            </w:tcBorders>
            <w:tcMar>
              <w:top w:w="100" w:type="dxa"/>
              <w:left w:w="100" w:type="dxa"/>
              <w:bottom w:w="100" w:type="dxa"/>
              <w:right w:w="100" w:type="dxa"/>
            </w:tcMar>
          </w:tcPr>
          <w:p w14:paraId="56FA5E82" w14:textId="77777777" w:rsidR="002E7E3F" w:rsidRPr="00AC1930" w:rsidRDefault="0001118D">
            <w:pPr>
              <w:spacing w:before="0" w:after="0" w:line="240" w:lineRule="auto"/>
              <w:rPr>
                <w:sz w:val="20"/>
                <w:szCs w:val="20"/>
              </w:rPr>
            </w:pPr>
            <w:r w:rsidRPr="00AC1930">
              <w:rPr>
                <w:sz w:val="20"/>
                <w:szCs w:val="20"/>
              </w:rPr>
              <w:t>0.000</w:t>
            </w:r>
          </w:p>
        </w:tc>
        <w:tc>
          <w:tcPr>
            <w:tcW w:w="992" w:type="dxa"/>
            <w:tcBorders>
              <w:top w:val="nil"/>
              <w:left w:val="nil"/>
              <w:bottom w:val="single" w:sz="8" w:space="0" w:color="7F7F7F"/>
              <w:right w:val="nil"/>
            </w:tcBorders>
            <w:tcMar>
              <w:top w:w="100" w:type="dxa"/>
              <w:left w:w="100" w:type="dxa"/>
              <w:bottom w:w="100" w:type="dxa"/>
              <w:right w:w="100" w:type="dxa"/>
            </w:tcMar>
          </w:tcPr>
          <w:p w14:paraId="5E088661" w14:textId="77777777" w:rsidR="002E7E3F" w:rsidRPr="00AC1930" w:rsidRDefault="0001118D">
            <w:pPr>
              <w:spacing w:before="0" w:after="0" w:line="240" w:lineRule="auto"/>
              <w:jc w:val="center"/>
              <w:rPr>
                <w:sz w:val="20"/>
                <w:szCs w:val="20"/>
              </w:rPr>
            </w:pPr>
            <w:r w:rsidRPr="00AC1930">
              <w:rPr>
                <w:sz w:val="20"/>
                <w:szCs w:val="20"/>
              </w:rPr>
              <w:t>-0.134</w:t>
            </w:r>
          </w:p>
        </w:tc>
        <w:tc>
          <w:tcPr>
            <w:tcW w:w="851" w:type="dxa"/>
            <w:tcBorders>
              <w:top w:val="nil"/>
              <w:left w:val="nil"/>
              <w:bottom w:val="single" w:sz="8" w:space="0" w:color="7F7F7F"/>
              <w:right w:val="nil"/>
            </w:tcBorders>
            <w:tcMar>
              <w:top w:w="100" w:type="dxa"/>
              <w:left w:w="100" w:type="dxa"/>
              <w:bottom w:w="100" w:type="dxa"/>
              <w:right w:w="100" w:type="dxa"/>
            </w:tcMar>
          </w:tcPr>
          <w:p w14:paraId="08181953" w14:textId="77777777" w:rsidR="002E7E3F" w:rsidRPr="00AC1930" w:rsidRDefault="0001118D">
            <w:pPr>
              <w:spacing w:before="0" w:after="0" w:line="240" w:lineRule="auto"/>
              <w:jc w:val="center"/>
              <w:rPr>
                <w:sz w:val="20"/>
                <w:szCs w:val="20"/>
              </w:rPr>
            </w:pPr>
            <w:r w:rsidRPr="00AC1930">
              <w:rPr>
                <w:sz w:val="20"/>
                <w:szCs w:val="20"/>
              </w:rPr>
              <w:t>0.000</w:t>
            </w:r>
          </w:p>
        </w:tc>
        <w:tc>
          <w:tcPr>
            <w:tcW w:w="1360" w:type="dxa"/>
            <w:tcBorders>
              <w:top w:val="nil"/>
              <w:left w:val="nil"/>
              <w:bottom w:val="single" w:sz="8" w:space="0" w:color="7F7F7F"/>
              <w:right w:val="nil"/>
            </w:tcBorders>
            <w:tcMar>
              <w:top w:w="100" w:type="dxa"/>
              <w:left w:w="100" w:type="dxa"/>
              <w:bottom w:w="100" w:type="dxa"/>
              <w:right w:w="100" w:type="dxa"/>
            </w:tcMar>
          </w:tcPr>
          <w:p w14:paraId="1F902FB7" w14:textId="77777777" w:rsidR="002E7E3F" w:rsidRPr="00AC1930" w:rsidRDefault="0001118D">
            <w:pPr>
              <w:spacing w:before="0" w:after="0" w:line="240" w:lineRule="auto"/>
              <w:jc w:val="center"/>
              <w:rPr>
                <w:sz w:val="20"/>
                <w:szCs w:val="20"/>
              </w:rPr>
            </w:pPr>
            <w:r w:rsidRPr="00AC1930">
              <w:rPr>
                <w:sz w:val="20"/>
                <w:szCs w:val="20"/>
              </w:rPr>
              <w:t>Yes</w:t>
            </w:r>
          </w:p>
        </w:tc>
      </w:tr>
    </w:tbl>
    <w:p w14:paraId="3A43A74C" w14:textId="77777777" w:rsidR="002E7E3F" w:rsidRPr="00AC1930" w:rsidRDefault="0001118D">
      <w:pPr>
        <w:pStyle w:val="Heading2"/>
        <w:keepNext w:val="0"/>
        <w:keepLines w:val="0"/>
        <w:spacing w:before="240" w:after="240"/>
        <w:rPr>
          <w:b/>
          <w:i/>
          <w:sz w:val="28"/>
          <w:szCs w:val="28"/>
        </w:rPr>
      </w:pPr>
      <w:bookmarkStart w:id="16" w:name="_1ksv4uv" w:colFirst="0" w:colLast="0"/>
      <w:bookmarkEnd w:id="16"/>
      <w:r w:rsidRPr="00AC1930">
        <w:rPr>
          <w:b/>
          <w:i/>
          <w:sz w:val="28"/>
          <w:szCs w:val="28"/>
        </w:rPr>
        <w:t>Multi-Group Analysis (MGA)</w:t>
      </w:r>
    </w:p>
    <w:p w14:paraId="5075D6C4" w14:textId="6C09D237" w:rsidR="002E7E3F" w:rsidRPr="00AC1930" w:rsidRDefault="0001118D">
      <w:r w:rsidRPr="00AC1930">
        <w:t>To compare public and private sector organisation members' perception of LMX, WA</w:t>
      </w:r>
      <w:r w:rsidR="00C050AD" w:rsidRPr="00AC1930">
        <w:t>,</w:t>
      </w:r>
      <w:r w:rsidRPr="00AC1930">
        <w:t xml:space="preserve"> and SR, we </w:t>
      </w:r>
      <w:r w:rsidR="00C050AD" w:rsidRPr="00AC1930">
        <w:t xml:space="preserve">ran </w:t>
      </w:r>
      <w:r w:rsidRPr="00AC1930">
        <w:t>permutation-based multi-group analysis (Chin/</w:t>
      </w:r>
      <w:proofErr w:type="spellStart"/>
      <w:r w:rsidRPr="00AC1930">
        <w:t>Dibbern</w:t>
      </w:r>
      <w:proofErr w:type="spellEnd"/>
      <w:r w:rsidRPr="00AC1930">
        <w:t xml:space="preserve"> 2010) and </w:t>
      </w:r>
      <w:proofErr w:type="spellStart"/>
      <w:r w:rsidRPr="00AC1930">
        <w:t>Henseler's</w:t>
      </w:r>
      <w:proofErr w:type="spellEnd"/>
      <w:r w:rsidRPr="00AC1930">
        <w:t xml:space="preserve"> MGA (</w:t>
      </w:r>
      <w:proofErr w:type="spellStart"/>
      <w:r w:rsidRPr="00AC1930">
        <w:t>Henseler</w:t>
      </w:r>
      <w:proofErr w:type="spellEnd"/>
      <w:r w:rsidRPr="00AC1930">
        <w:t>/</w:t>
      </w:r>
      <w:proofErr w:type="spellStart"/>
      <w:r w:rsidRPr="00AC1930">
        <w:t>Ringle</w:t>
      </w:r>
      <w:proofErr w:type="spellEnd"/>
      <w:r w:rsidRPr="00AC1930">
        <w:t>/</w:t>
      </w:r>
      <w:proofErr w:type="spellStart"/>
      <w:r w:rsidRPr="00AC1930">
        <w:t>Sinkovics</w:t>
      </w:r>
      <w:proofErr w:type="spellEnd"/>
      <w:r w:rsidRPr="00AC1930">
        <w:t xml:space="preserve"> 2009). Before running MGA, we followed the Measurement Invariance of Composite Models (MICOM) approach (</w:t>
      </w:r>
      <w:proofErr w:type="spellStart"/>
      <w:r w:rsidRPr="00AC1930">
        <w:t>Henseler</w:t>
      </w:r>
      <w:proofErr w:type="spellEnd"/>
      <w:r w:rsidRPr="00AC1930">
        <w:t>/</w:t>
      </w:r>
      <w:proofErr w:type="spellStart"/>
      <w:r w:rsidRPr="00AC1930">
        <w:t>Ringle</w:t>
      </w:r>
      <w:proofErr w:type="spellEnd"/>
      <w:r w:rsidRPr="00AC1930">
        <w:t>/</w:t>
      </w:r>
      <w:proofErr w:type="spellStart"/>
      <w:r w:rsidRPr="00AC1930">
        <w:t>Sarstedt</w:t>
      </w:r>
      <w:proofErr w:type="spellEnd"/>
      <w:r w:rsidRPr="00AC1930">
        <w:t xml:space="preserve"> 2016b</w:t>
      </w:r>
      <w:r w:rsidR="00D47A71" w:rsidRPr="00AC1930">
        <w:t>: 412</w:t>
      </w:r>
      <w:r w:rsidRPr="00AC1930">
        <w:t>)</w:t>
      </w:r>
      <w:r w:rsidR="00C050AD" w:rsidRPr="00AC1930">
        <w:t xml:space="preserve"> in which</w:t>
      </w:r>
      <w:r w:rsidRPr="00AC1930">
        <w:t xml:space="preserve"> we followed three steps: </w:t>
      </w:r>
      <w:r w:rsidR="00D47A71" w:rsidRPr="00AC1930">
        <w:t>“</w:t>
      </w:r>
      <w:r w:rsidRPr="00AC1930">
        <w:t>(1) configural invariance</w:t>
      </w:r>
      <w:r w:rsidR="00C050AD" w:rsidRPr="00AC1930">
        <w:t xml:space="preserve">; </w:t>
      </w:r>
      <w:r w:rsidRPr="00AC1930">
        <w:t>(2) compositional invariance</w:t>
      </w:r>
      <w:r w:rsidR="00C050AD" w:rsidRPr="00AC1930">
        <w:t xml:space="preserve">; </w:t>
      </w:r>
      <w:r w:rsidRPr="00AC1930">
        <w:t>and (3) the equality of composite mean values and variances</w:t>
      </w:r>
      <w:r w:rsidR="00D47A71" w:rsidRPr="00AC1930">
        <w:t>”</w:t>
      </w:r>
      <w:r w:rsidRPr="00AC1930">
        <w:t xml:space="preserve">. Following this basis, these three steps need to be successfully run between groups to achieve a full establishment invariance. Based on our results, </w:t>
      </w:r>
      <w:r w:rsidR="00C55EAC" w:rsidRPr="00AC1930">
        <w:t xml:space="preserve">the </w:t>
      </w:r>
      <w:proofErr w:type="gramStart"/>
      <w:r w:rsidRPr="00AC1930">
        <w:t>mean</w:t>
      </w:r>
      <w:r w:rsidR="00C55EAC" w:rsidRPr="00AC1930">
        <w:t>s</w:t>
      </w:r>
      <w:proofErr w:type="gramEnd"/>
      <w:r w:rsidR="00C55EAC" w:rsidRPr="00AC1930">
        <w:t xml:space="preserve"> </w:t>
      </w:r>
      <w:r w:rsidRPr="00AC1930">
        <w:t>and variance</w:t>
      </w:r>
      <w:r w:rsidR="00C55EAC" w:rsidRPr="00AC1930">
        <w:t xml:space="preserve">s </w:t>
      </w:r>
      <w:r w:rsidRPr="00AC1930">
        <w:t xml:space="preserve">of </w:t>
      </w:r>
      <w:r w:rsidR="00C050AD" w:rsidRPr="00AC1930">
        <w:t xml:space="preserve">the </w:t>
      </w:r>
      <w:r w:rsidRPr="00AC1930">
        <w:t>composites across the public and private sector were not equal, and we established a partial measurement invariance (</w:t>
      </w:r>
      <w:proofErr w:type="spellStart"/>
      <w:r w:rsidRPr="00AC1930">
        <w:t>Henseler</w:t>
      </w:r>
      <w:proofErr w:type="spellEnd"/>
      <w:r w:rsidRPr="00AC1930">
        <w:t xml:space="preserve"> et al. 2016b). The results of invariance measurement testing are given in Appendix 3. Table 5 also </w:t>
      </w:r>
      <w:r w:rsidRPr="00AC1930">
        <w:lastRenderedPageBreak/>
        <w:t xml:space="preserve">illustrates </w:t>
      </w:r>
      <w:r w:rsidR="00C55EAC" w:rsidRPr="00AC1930">
        <w:t xml:space="preserve">the </w:t>
      </w:r>
      <w:r w:rsidRPr="00AC1930">
        <w:t xml:space="preserve">MGA findings </w:t>
      </w:r>
      <w:r w:rsidR="00C55EAC" w:rsidRPr="00AC1930">
        <w:t>from the use of</w:t>
      </w:r>
      <w:r w:rsidRPr="00AC1930">
        <w:t xml:space="preserve"> </w:t>
      </w:r>
      <w:proofErr w:type="spellStart"/>
      <w:r w:rsidRPr="00AC1930">
        <w:t>Henseler's</w:t>
      </w:r>
      <w:proofErr w:type="spellEnd"/>
      <w:r w:rsidRPr="00AC1930">
        <w:t xml:space="preserve"> MGA (</w:t>
      </w:r>
      <w:proofErr w:type="spellStart"/>
      <w:r w:rsidRPr="00AC1930">
        <w:t>Henseler</w:t>
      </w:r>
      <w:proofErr w:type="spellEnd"/>
      <w:r w:rsidRPr="00AC1930">
        <w:t xml:space="preserve"> et al. 2009) and the permutation test (Chin/</w:t>
      </w:r>
      <w:proofErr w:type="spellStart"/>
      <w:r w:rsidRPr="00AC1930">
        <w:t>Dibbern</w:t>
      </w:r>
      <w:proofErr w:type="spellEnd"/>
      <w:r w:rsidRPr="00AC1930">
        <w:t xml:space="preserve"> 2010).</w:t>
      </w:r>
    </w:p>
    <w:p w14:paraId="53BCF3F8" w14:textId="77777777" w:rsidR="002E7E3F" w:rsidRPr="00AC1930" w:rsidRDefault="0001118D">
      <w:r w:rsidRPr="00AC1930">
        <w:t>Table 5. Multi-group analysis results</w:t>
      </w:r>
    </w:p>
    <w:tbl>
      <w:tblPr>
        <w:tblStyle w:val="a3"/>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60"/>
        <w:gridCol w:w="992"/>
        <w:gridCol w:w="992"/>
        <w:gridCol w:w="1418"/>
        <w:gridCol w:w="1275"/>
        <w:gridCol w:w="1418"/>
        <w:gridCol w:w="1225"/>
      </w:tblGrid>
      <w:tr w:rsidR="00AC1930" w:rsidRPr="00AC1930" w14:paraId="4EF674AA" w14:textId="77777777">
        <w:trPr>
          <w:trHeight w:val="20"/>
        </w:trPr>
        <w:tc>
          <w:tcPr>
            <w:tcW w:w="1560" w:type="dxa"/>
            <w:vMerge w:val="restart"/>
            <w:tcBorders>
              <w:top w:val="single" w:sz="8" w:space="0" w:color="7F7F7F"/>
              <w:left w:val="nil"/>
              <w:bottom w:val="single" w:sz="8" w:space="0" w:color="7F7F7F"/>
              <w:right w:val="nil"/>
            </w:tcBorders>
            <w:tcMar>
              <w:top w:w="100" w:type="dxa"/>
              <w:left w:w="100" w:type="dxa"/>
              <w:bottom w:w="100" w:type="dxa"/>
              <w:right w:w="100" w:type="dxa"/>
            </w:tcMar>
          </w:tcPr>
          <w:p w14:paraId="12E857F9" w14:textId="77777777" w:rsidR="002E7E3F" w:rsidRPr="00AC1930" w:rsidRDefault="0001118D">
            <w:pPr>
              <w:spacing w:before="0" w:after="0" w:line="240" w:lineRule="auto"/>
              <w:rPr>
                <w:b/>
                <w:sz w:val="20"/>
                <w:szCs w:val="20"/>
              </w:rPr>
            </w:pPr>
            <w:r w:rsidRPr="00AC1930">
              <w:rPr>
                <w:b/>
                <w:sz w:val="20"/>
                <w:szCs w:val="20"/>
              </w:rPr>
              <w:t>Relationship</w:t>
            </w:r>
          </w:p>
        </w:tc>
        <w:tc>
          <w:tcPr>
            <w:tcW w:w="1984" w:type="dxa"/>
            <w:gridSpan w:val="2"/>
            <w:tcBorders>
              <w:top w:val="single" w:sz="8" w:space="0" w:color="7F7F7F"/>
              <w:left w:val="nil"/>
              <w:bottom w:val="single" w:sz="8" w:space="0" w:color="7F7F7F"/>
              <w:right w:val="nil"/>
            </w:tcBorders>
            <w:tcMar>
              <w:top w:w="100" w:type="dxa"/>
              <w:left w:w="100" w:type="dxa"/>
              <w:bottom w:w="100" w:type="dxa"/>
              <w:right w:w="100" w:type="dxa"/>
            </w:tcMar>
          </w:tcPr>
          <w:p w14:paraId="7683ADFE" w14:textId="77777777" w:rsidR="002E7E3F" w:rsidRPr="00AC1930" w:rsidRDefault="0001118D">
            <w:pPr>
              <w:spacing w:before="0" w:after="0" w:line="240" w:lineRule="auto"/>
              <w:jc w:val="center"/>
              <w:rPr>
                <w:b/>
                <w:sz w:val="20"/>
                <w:szCs w:val="20"/>
              </w:rPr>
            </w:pPr>
            <w:r w:rsidRPr="00AC1930">
              <w:rPr>
                <w:b/>
                <w:sz w:val="20"/>
                <w:szCs w:val="20"/>
              </w:rPr>
              <w:t>Path Coefficient</w:t>
            </w:r>
          </w:p>
        </w:tc>
        <w:tc>
          <w:tcPr>
            <w:tcW w:w="1418" w:type="dxa"/>
            <w:vMerge w:val="restart"/>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34B6CE81" w14:textId="77777777" w:rsidR="002E7E3F" w:rsidRPr="00AC1930" w:rsidRDefault="0001118D">
            <w:pPr>
              <w:spacing w:before="0" w:after="0" w:line="240" w:lineRule="auto"/>
              <w:jc w:val="center"/>
              <w:rPr>
                <w:b/>
                <w:sz w:val="20"/>
                <w:szCs w:val="20"/>
              </w:rPr>
            </w:pPr>
            <w:r w:rsidRPr="00AC1930">
              <w:rPr>
                <w:b/>
                <w:sz w:val="20"/>
                <w:szCs w:val="20"/>
              </w:rPr>
              <w:t>Path Coefficient Difference</w:t>
            </w:r>
          </w:p>
        </w:tc>
        <w:tc>
          <w:tcPr>
            <w:tcW w:w="2693" w:type="dxa"/>
            <w:gridSpan w:val="2"/>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641CED9F" w14:textId="77777777" w:rsidR="002E7E3F" w:rsidRPr="00AC1930" w:rsidRDefault="0001118D">
            <w:pPr>
              <w:spacing w:before="0" w:after="0" w:line="240" w:lineRule="auto"/>
              <w:jc w:val="center"/>
              <w:rPr>
                <w:b/>
                <w:sz w:val="20"/>
                <w:szCs w:val="20"/>
              </w:rPr>
            </w:pPr>
            <w:r w:rsidRPr="00AC1930">
              <w:rPr>
                <w:b/>
                <w:i/>
                <w:sz w:val="20"/>
                <w:szCs w:val="20"/>
              </w:rPr>
              <w:t>P</w:t>
            </w:r>
            <w:r w:rsidRPr="00AC1930">
              <w:rPr>
                <w:b/>
                <w:sz w:val="20"/>
                <w:szCs w:val="20"/>
              </w:rPr>
              <w:t>-value Difference</w:t>
            </w:r>
          </w:p>
          <w:p w14:paraId="44D4E6E5" w14:textId="77777777" w:rsidR="002E7E3F" w:rsidRPr="00AC1930" w:rsidRDefault="0001118D">
            <w:pPr>
              <w:spacing w:before="0" w:after="0" w:line="240" w:lineRule="auto"/>
              <w:jc w:val="center"/>
              <w:rPr>
                <w:b/>
                <w:sz w:val="20"/>
                <w:szCs w:val="20"/>
              </w:rPr>
            </w:pPr>
            <w:r w:rsidRPr="00AC1930">
              <w:rPr>
                <w:b/>
                <w:sz w:val="20"/>
                <w:szCs w:val="20"/>
              </w:rPr>
              <w:t>(</w:t>
            </w:r>
            <w:proofErr w:type="gramStart"/>
            <w:r w:rsidRPr="00AC1930">
              <w:rPr>
                <w:b/>
                <w:sz w:val="20"/>
                <w:szCs w:val="20"/>
              </w:rPr>
              <w:t>one</w:t>
            </w:r>
            <w:proofErr w:type="gramEnd"/>
            <w:r w:rsidRPr="00AC1930">
              <w:rPr>
                <w:b/>
                <w:sz w:val="20"/>
                <w:szCs w:val="20"/>
              </w:rPr>
              <w:t>-tailed)</w:t>
            </w:r>
          </w:p>
        </w:tc>
        <w:tc>
          <w:tcPr>
            <w:tcW w:w="1225" w:type="dxa"/>
            <w:vMerge w:val="restart"/>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36AABBE1" w14:textId="77777777" w:rsidR="002E7E3F" w:rsidRPr="00AC1930" w:rsidRDefault="0001118D">
            <w:pPr>
              <w:spacing w:before="0" w:after="0" w:line="240" w:lineRule="auto"/>
              <w:jc w:val="center"/>
              <w:rPr>
                <w:b/>
                <w:sz w:val="20"/>
                <w:szCs w:val="20"/>
              </w:rPr>
            </w:pPr>
            <w:r w:rsidRPr="00AC1930">
              <w:rPr>
                <w:b/>
                <w:sz w:val="20"/>
                <w:szCs w:val="20"/>
              </w:rPr>
              <w:t>Supported</w:t>
            </w:r>
          </w:p>
        </w:tc>
      </w:tr>
      <w:tr w:rsidR="00AC1930" w:rsidRPr="00AC1930" w14:paraId="11558778" w14:textId="77777777">
        <w:trPr>
          <w:trHeight w:val="695"/>
        </w:trPr>
        <w:tc>
          <w:tcPr>
            <w:tcW w:w="1560" w:type="dxa"/>
            <w:vMerge/>
            <w:tcBorders>
              <w:top w:val="single" w:sz="8" w:space="0" w:color="7F7F7F"/>
              <w:left w:val="nil"/>
              <w:bottom w:val="single" w:sz="8" w:space="0" w:color="7F7F7F"/>
              <w:right w:val="nil"/>
            </w:tcBorders>
            <w:tcMar>
              <w:top w:w="100" w:type="dxa"/>
              <w:left w:w="100" w:type="dxa"/>
              <w:bottom w:w="100" w:type="dxa"/>
              <w:right w:w="100" w:type="dxa"/>
            </w:tcMar>
          </w:tcPr>
          <w:p w14:paraId="5FE67400" w14:textId="77777777" w:rsidR="002E7E3F" w:rsidRPr="00AC1930" w:rsidRDefault="002E7E3F">
            <w:pPr>
              <w:widowControl w:val="0"/>
              <w:pBdr>
                <w:top w:val="nil"/>
                <w:left w:val="nil"/>
                <w:bottom w:val="nil"/>
                <w:right w:val="nil"/>
                <w:between w:val="nil"/>
              </w:pBdr>
              <w:spacing w:before="0" w:after="0" w:line="276" w:lineRule="auto"/>
              <w:jc w:val="left"/>
              <w:rPr>
                <w:b/>
                <w:sz w:val="20"/>
                <w:szCs w:val="20"/>
              </w:rPr>
            </w:pPr>
          </w:p>
        </w:tc>
        <w:tc>
          <w:tcPr>
            <w:tcW w:w="992" w:type="dxa"/>
            <w:tcBorders>
              <w:top w:val="nil"/>
              <w:left w:val="nil"/>
              <w:bottom w:val="single" w:sz="8" w:space="0" w:color="7F7F7F"/>
              <w:right w:val="nil"/>
            </w:tcBorders>
            <w:shd w:val="clear" w:color="auto" w:fill="auto"/>
            <w:tcMar>
              <w:top w:w="100" w:type="dxa"/>
              <w:left w:w="100" w:type="dxa"/>
              <w:bottom w:w="100" w:type="dxa"/>
              <w:right w:w="100" w:type="dxa"/>
            </w:tcMar>
          </w:tcPr>
          <w:p w14:paraId="26FD0077" w14:textId="77777777" w:rsidR="002E7E3F" w:rsidRPr="00AC1930" w:rsidRDefault="0001118D">
            <w:pPr>
              <w:spacing w:before="0" w:after="0" w:line="240" w:lineRule="auto"/>
              <w:jc w:val="center"/>
              <w:rPr>
                <w:b/>
                <w:sz w:val="20"/>
                <w:szCs w:val="20"/>
              </w:rPr>
            </w:pPr>
            <w:r w:rsidRPr="00AC1930">
              <w:rPr>
                <w:b/>
                <w:sz w:val="20"/>
                <w:szCs w:val="20"/>
              </w:rPr>
              <w:t>Public</w:t>
            </w:r>
          </w:p>
        </w:tc>
        <w:tc>
          <w:tcPr>
            <w:tcW w:w="992" w:type="dxa"/>
            <w:tcBorders>
              <w:top w:val="nil"/>
              <w:left w:val="nil"/>
              <w:bottom w:val="single" w:sz="8" w:space="0" w:color="7F7F7F"/>
              <w:right w:val="nil"/>
            </w:tcBorders>
            <w:shd w:val="clear" w:color="auto" w:fill="auto"/>
            <w:tcMar>
              <w:top w:w="100" w:type="dxa"/>
              <w:left w:w="100" w:type="dxa"/>
              <w:bottom w:w="100" w:type="dxa"/>
              <w:right w:w="100" w:type="dxa"/>
            </w:tcMar>
          </w:tcPr>
          <w:p w14:paraId="53078E40" w14:textId="77777777" w:rsidR="002E7E3F" w:rsidRPr="00AC1930" w:rsidRDefault="0001118D">
            <w:pPr>
              <w:spacing w:before="0" w:after="0" w:line="240" w:lineRule="auto"/>
              <w:jc w:val="center"/>
              <w:rPr>
                <w:b/>
                <w:sz w:val="20"/>
                <w:szCs w:val="20"/>
              </w:rPr>
            </w:pPr>
            <w:r w:rsidRPr="00AC1930">
              <w:rPr>
                <w:b/>
                <w:sz w:val="20"/>
                <w:szCs w:val="20"/>
              </w:rPr>
              <w:t>Private</w:t>
            </w:r>
          </w:p>
        </w:tc>
        <w:tc>
          <w:tcPr>
            <w:tcW w:w="1418" w:type="dxa"/>
            <w:vMerge/>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63E90FDB" w14:textId="77777777" w:rsidR="002E7E3F" w:rsidRPr="00AC1930" w:rsidRDefault="002E7E3F">
            <w:pPr>
              <w:widowControl w:val="0"/>
              <w:pBdr>
                <w:top w:val="nil"/>
                <w:left w:val="nil"/>
                <w:bottom w:val="nil"/>
                <w:right w:val="nil"/>
                <w:between w:val="nil"/>
              </w:pBdr>
              <w:spacing w:before="0" w:after="0" w:line="276" w:lineRule="auto"/>
              <w:jc w:val="left"/>
              <w:rPr>
                <w:b/>
                <w:sz w:val="20"/>
                <w:szCs w:val="20"/>
              </w:rPr>
            </w:pPr>
          </w:p>
        </w:tc>
        <w:tc>
          <w:tcPr>
            <w:tcW w:w="1275" w:type="dxa"/>
            <w:tcBorders>
              <w:top w:val="nil"/>
              <w:left w:val="nil"/>
              <w:bottom w:val="single" w:sz="8" w:space="0" w:color="7F7F7F"/>
              <w:right w:val="nil"/>
            </w:tcBorders>
            <w:shd w:val="clear" w:color="auto" w:fill="auto"/>
            <w:tcMar>
              <w:top w:w="100" w:type="dxa"/>
              <w:left w:w="100" w:type="dxa"/>
              <w:bottom w:w="100" w:type="dxa"/>
              <w:right w:w="100" w:type="dxa"/>
            </w:tcMar>
          </w:tcPr>
          <w:p w14:paraId="7F121FE5" w14:textId="77777777" w:rsidR="002E7E3F" w:rsidRPr="00AC1930" w:rsidRDefault="0001118D">
            <w:pPr>
              <w:spacing w:before="0" w:after="0" w:line="240" w:lineRule="auto"/>
              <w:jc w:val="center"/>
              <w:rPr>
                <w:b/>
                <w:sz w:val="20"/>
                <w:szCs w:val="20"/>
              </w:rPr>
            </w:pPr>
            <w:proofErr w:type="spellStart"/>
            <w:r w:rsidRPr="00AC1930">
              <w:rPr>
                <w:b/>
                <w:sz w:val="20"/>
                <w:szCs w:val="20"/>
              </w:rPr>
              <w:t>Henseler's</w:t>
            </w:r>
            <w:proofErr w:type="spellEnd"/>
            <w:r w:rsidRPr="00AC1930">
              <w:rPr>
                <w:b/>
                <w:sz w:val="20"/>
                <w:szCs w:val="20"/>
              </w:rPr>
              <w:t xml:space="preserve"> MGA</w:t>
            </w:r>
          </w:p>
        </w:tc>
        <w:tc>
          <w:tcPr>
            <w:tcW w:w="1418" w:type="dxa"/>
            <w:tcBorders>
              <w:top w:val="nil"/>
              <w:left w:val="nil"/>
              <w:bottom w:val="single" w:sz="8" w:space="0" w:color="7F7F7F"/>
              <w:right w:val="nil"/>
            </w:tcBorders>
            <w:shd w:val="clear" w:color="auto" w:fill="auto"/>
            <w:tcMar>
              <w:top w:w="100" w:type="dxa"/>
              <w:left w:w="100" w:type="dxa"/>
              <w:bottom w:w="100" w:type="dxa"/>
              <w:right w:w="100" w:type="dxa"/>
            </w:tcMar>
          </w:tcPr>
          <w:p w14:paraId="755E7E23" w14:textId="77777777" w:rsidR="002E7E3F" w:rsidRPr="00AC1930" w:rsidRDefault="0001118D">
            <w:pPr>
              <w:spacing w:before="0" w:after="0" w:line="240" w:lineRule="auto"/>
              <w:jc w:val="center"/>
              <w:rPr>
                <w:b/>
                <w:sz w:val="20"/>
                <w:szCs w:val="20"/>
              </w:rPr>
            </w:pPr>
            <w:r w:rsidRPr="00AC1930">
              <w:rPr>
                <w:b/>
                <w:sz w:val="20"/>
                <w:szCs w:val="20"/>
              </w:rPr>
              <w:t>Permutation test</w:t>
            </w:r>
          </w:p>
        </w:tc>
        <w:tc>
          <w:tcPr>
            <w:tcW w:w="1225" w:type="dxa"/>
            <w:vMerge/>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519FEEC" w14:textId="77777777" w:rsidR="002E7E3F" w:rsidRPr="00AC1930" w:rsidRDefault="002E7E3F">
            <w:pPr>
              <w:widowControl w:val="0"/>
              <w:pBdr>
                <w:top w:val="nil"/>
                <w:left w:val="nil"/>
                <w:bottom w:val="nil"/>
                <w:right w:val="nil"/>
                <w:between w:val="nil"/>
              </w:pBdr>
              <w:spacing w:before="0" w:after="0" w:line="276" w:lineRule="auto"/>
              <w:jc w:val="left"/>
              <w:rPr>
                <w:b/>
                <w:sz w:val="20"/>
                <w:szCs w:val="20"/>
              </w:rPr>
            </w:pPr>
          </w:p>
        </w:tc>
      </w:tr>
      <w:tr w:rsidR="00AC1930" w:rsidRPr="00AC1930" w14:paraId="7BC4432F" w14:textId="77777777">
        <w:trPr>
          <w:trHeight w:val="25"/>
        </w:trPr>
        <w:tc>
          <w:tcPr>
            <w:tcW w:w="1560" w:type="dxa"/>
            <w:tcBorders>
              <w:top w:val="nil"/>
              <w:left w:val="nil"/>
              <w:bottom w:val="nil"/>
              <w:right w:val="nil"/>
            </w:tcBorders>
            <w:shd w:val="clear" w:color="auto" w:fill="auto"/>
            <w:tcMar>
              <w:top w:w="100" w:type="dxa"/>
              <w:left w:w="100" w:type="dxa"/>
              <w:bottom w:w="100" w:type="dxa"/>
              <w:right w:w="100" w:type="dxa"/>
            </w:tcMar>
          </w:tcPr>
          <w:p w14:paraId="193AB102" w14:textId="35A73EFE" w:rsidR="002E7E3F" w:rsidRPr="00AC1930" w:rsidRDefault="0001118D">
            <w:pPr>
              <w:spacing w:before="0" w:after="0" w:line="240" w:lineRule="auto"/>
              <w:rPr>
                <w:sz w:val="20"/>
                <w:szCs w:val="20"/>
              </w:rPr>
            </w:pPr>
            <w:r w:rsidRPr="00AC1930">
              <w:rPr>
                <w:sz w:val="20"/>
                <w:szCs w:val="20"/>
              </w:rPr>
              <w:t>CV: Age</w:t>
            </w:r>
            <w:r w:rsidR="00AC7834" w:rsidRPr="00AC1930">
              <w:rPr>
                <w:sz w:val="20"/>
                <w:szCs w:val="20"/>
              </w:rPr>
              <w:t xml:space="preserve"> </w:t>
            </w:r>
            <w:r w:rsidR="00AC7834" w:rsidRPr="00AC1930">
              <w:rPr>
                <w:sz w:val="20"/>
                <w:szCs w:val="20"/>
              </w:rPr>
              <w:sym w:font="Wingdings" w:char="F0E0"/>
            </w:r>
            <w:r w:rsidR="00AC7834" w:rsidRPr="00AC1930">
              <w:rPr>
                <w:sz w:val="20"/>
                <w:szCs w:val="20"/>
              </w:rPr>
              <w:t xml:space="preserve"> </w:t>
            </w:r>
            <w:r w:rsidRPr="00AC1930">
              <w:rPr>
                <w:sz w:val="20"/>
                <w:szCs w:val="20"/>
              </w:rPr>
              <w:t>WA</w:t>
            </w:r>
          </w:p>
        </w:tc>
        <w:tc>
          <w:tcPr>
            <w:tcW w:w="992" w:type="dxa"/>
            <w:tcBorders>
              <w:top w:val="nil"/>
              <w:left w:val="nil"/>
              <w:bottom w:val="nil"/>
              <w:right w:val="nil"/>
            </w:tcBorders>
            <w:shd w:val="clear" w:color="auto" w:fill="auto"/>
            <w:tcMar>
              <w:top w:w="100" w:type="dxa"/>
              <w:left w:w="100" w:type="dxa"/>
              <w:bottom w:w="100" w:type="dxa"/>
              <w:right w:w="100" w:type="dxa"/>
            </w:tcMar>
          </w:tcPr>
          <w:p w14:paraId="7BA545DB" w14:textId="77777777" w:rsidR="002E7E3F" w:rsidRPr="00AC1930" w:rsidRDefault="0001118D">
            <w:pPr>
              <w:spacing w:before="0" w:after="0" w:line="240" w:lineRule="auto"/>
              <w:jc w:val="center"/>
              <w:rPr>
                <w:sz w:val="20"/>
                <w:szCs w:val="20"/>
              </w:rPr>
            </w:pPr>
            <w:r w:rsidRPr="00AC1930">
              <w:rPr>
                <w:sz w:val="20"/>
                <w:szCs w:val="20"/>
              </w:rPr>
              <w:t>-0.238</w:t>
            </w:r>
          </w:p>
        </w:tc>
        <w:tc>
          <w:tcPr>
            <w:tcW w:w="992" w:type="dxa"/>
            <w:tcBorders>
              <w:top w:val="nil"/>
              <w:left w:val="nil"/>
              <w:bottom w:val="nil"/>
              <w:right w:val="nil"/>
            </w:tcBorders>
            <w:shd w:val="clear" w:color="auto" w:fill="auto"/>
            <w:tcMar>
              <w:top w:w="100" w:type="dxa"/>
              <w:left w:w="100" w:type="dxa"/>
              <w:bottom w:w="100" w:type="dxa"/>
              <w:right w:w="100" w:type="dxa"/>
            </w:tcMar>
          </w:tcPr>
          <w:p w14:paraId="0E75E23D" w14:textId="77777777" w:rsidR="002E7E3F" w:rsidRPr="00AC1930" w:rsidRDefault="0001118D">
            <w:pPr>
              <w:spacing w:before="0" w:after="0" w:line="240" w:lineRule="auto"/>
              <w:jc w:val="center"/>
              <w:rPr>
                <w:sz w:val="20"/>
                <w:szCs w:val="20"/>
              </w:rPr>
            </w:pPr>
            <w:r w:rsidRPr="00AC1930">
              <w:rPr>
                <w:sz w:val="20"/>
                <w:szCs w:val="20"/>
              </w:rPr>
              <w:t>0.096</w:t>
            </w:r>
          </w:p>
        </w:tc>
        <w:tc>
          <w:tcPr>
            <w:tcW w:w="1418" w:type="dxa"/>
            <w:tcBorders>
              <w:top w:val="nil"/>
              <w:left w:val="nil"/>
              <w:bottom w:val="nil"/>
              <w:right w:val="nil"/>
            </w:tcBorders>
            <w:shd w:val="clear" w:color="auto" w:fill="auto"/>
            <w:tcMar>
              <w:top w:w="100" w:type="dxa"/>
              <w:left w:w="100" w:type="dxa"/>
              <w:bottom w:w="100" w:type="dxa"/>
              <w:right w:w="100" w:type="dxa"/>
            </w:tcMar>
          </w:tcPr>
          <w:p w14:paraId="5B75056A" w14:textId="77777777" w:rsidR="002E7E3F" w:rsidRPr="00AC1930" w:rsidRDefault="0001118D">
            <w:pPr>
              <w:spacing w:before="0" w:after="0" w:line="240" w:lineRule="auto"/>
              <w:jc w:val="center"/>
              <w:rPr>
                <w:sz w:val="20"/>
                <w:szCs w:val="20"/>
              </w:rPr>
            </w:pPr>
            <w:r w:rsidRPr="00AC1930">
              <w:rPr>
                <w:sz w:val="20"/>
                <w:szCs w:val="20"/>
              </w:rPr>
              <w:t>-0.334</w:t>
            </w:r>
          </w:p>
        </w:tc>
        <w:tc>
          <w:tcPr>
            <w:tcW w:w="1275" w:type="dxa"/>
            <w:tcBorders>
              <w:top w:val="nil"/>
              <w:left w:val="nil"/>
              <w:bottom w:val="nil"/>
              <w:right w:val="nil"/>
            </w:tcBorders>
            <w:shd w:val="clear" w:color="auto" w:fill="auto"/>
            <w:tcMar>
              <w:top w:w="100" w:type="dxa"/>
              <w:left w:w="100" w:type="dxa"/>
              <w:bottom w:w="100" w:type="dxa"/>
              <w:right w:w="100" w:type="dxa"/>
            </w:tcMar>
          </w:tcPr>
          <w:p w14:paraId="335DA9BF" w14:textId="77777777" w:rsidR="002E7E3F" w:rsidRPr="00AC1930" w:rsidRDefault="0001118D">
            <w:pPr>
              <w:spacing w:before="0" w:after="0" w:line="240" w:lineRule="auto"/>
              <w:jc w:val="center"/>
              <w:rPr>
                <w:sz w:val="20"/>
                <w:szCs w:val="20"/>
              </w:rPr>
            </w:pPr>
            <w:r w:rsidRPr="00AC1930">
              <w:rPr>
                <w:sz w:val="20"/>
                <w:szCs w:val="20"/>
              </w:rPr>
              <w:t>0.014</w:t>
            </w:r>
          </w:p>
        </w:tc>
        <w:tc>
          <w:tcPr>
            <w:tcW w:w="1418" w:type="dxa"/>
            <w:tcBorders>
              <w:top w:val="nil"/>
              <w:left w:val="nil"/>
              <w:bottom w:val="nil"/>
              <w:right w:val="nil"/>
            </w:tcBorders>
            <w:shd w:val="clear" w:color="auto" w:fill="auto"/>
            <w:tcMar>
              <w:top w:w="100" w:type="dxa"/>
              <w:left w:w="100" w:type="dxa"/>
              <w:bottom w:w="100" w:type="dxa"/>
              <w:right w:w="100" w:type="dxa"/>
            </w:tcMar>
          </w:tcPr>
          <w:p w14:paraId="2B45CFFE" w14:textId="77777777" w:rsidR="002E7E3F" w:rsidRPr="00AC1930" w:rsidRDefault="0001118D">
            <w:pPr>
              <w:spacing w:before="0" w:after="0" w:line="240" w:lineRule="auto"/>
              <w:jc w:val="center"/>
              <w:rPr>
                <w:sz w:val="20"/>
                <w:szCs w:val="20"/>
              </w:rPr>
            </w:pPr>
            <w:r w:rsidRPr="00AC1930">
              <w:rPr>
                <w:sz w:val="20"/>
                <w:szCs w:val="20"/>
              </w:rPr>
              <w:t>0.004</w:t>
            </w:r>
          </w:p>
        </w:tc>
        <w:tc>
          <w:tcPr>
            <w:tcW w:w="1225" w:type="dxa"/>
            <w:tcBorders>
              <w:top w:val="nil"/>
              <w:left w:val="nil"/>
              <w:bottom w:val="nil"/>
              <w:right w:val="nil"/>
            </w:tcBorders>
            <w:shd w:val="clear" w:color="auto" w:fill="auto"/>
            <w:tcMar>
              <w:top w:w="100" w:type="dxa"/>
              <w:left w:w="100" w:type="dxa"/>
              <w:bottom w:w="100" w:type="dxa"/>
              <w:right w:w="100" w:type="dxa"/>
            </w:tcMar>
          </w:tcPr>
          <w:p w14:paraId="30490151" w14:textId="77777777" w:rsidR="002E7E3F" w:rsidRPr="00AC1930" w:rsidRDefault="0001118D">
            <w:pPr>
              <w:spacing w:before="0" w:after="0" w:line="240" w:lineRule="auto"/>
              <w:jc w:val="center"/>
              <w:rPr>
                <w:sz w:val="20"/>
                <w:szCs w:val="20"/>
              </w:rPr>
            </w:pPr>
            <w:r w:rsidRPr="00AC1930">
              <w:rPr>
                <w:sz w:val="20"/>
                <w:szCs w:val="20"/>
              </w:rPr>
              <w:t>Yes/Yes</w:t>
            </w:r>
          </w:p>
        </w:tc>
      </w:tr>
      <w:tr w:rsidR="00AC1930" w:rsidRPr="00AC1930" w14:paraId="41FB9E81" w14:textId="77777777">
        <w:trPr>
          <w:trHeight w:val="20"/>
        </w:trPr>
        <w:tc>
          <w:tcPr>
            <w:tcW w:w="1560"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33525C35" w14:textId="5BB76200" w:rsidR="002E7E3F" w:rsidRPr="00AC1930" w:rsidRDefault="0001118D">
            <w:pPr>
              <w:spacing w:before="0" w:after="0" w:line="240" w:lineRule="auto"/>
              <w:rPr>
                <w:sz w:val="20"/>
                <w:szCs w:val="20"/>
              </w:rPr>
            </w:pPr>
            <w:r w:rsidRPr="00AC1930">
              <w:rPr>
                <w:sz w:val="20"/>
                <w:szCs w:val="20"/>
              </w:rPr>
              <w:t>CV: Gender</w:t>
            </w:r>
            <w:r w:rsidR="00AC7834" w:rsidRPr="00AC1930">
              <w:rPr>
                <w:sz w:val="20"/>
                <w:szCs w:val="20"/>
              </w:rPr>
              <w:sym w:font="Wingdings" w:char="F0E0"/>
            </w:r>
            <w:r w:rsidRPr="00AC1930">
              <w:rPr>
                <w:sz w:val="20"/>
                <w:szCs w:val="20"/>
              </w:rPr>
              <w:t>WA</w:t>
            </w:r>
          </w:p>
        </w:tc>
        <w:tc>
          <w:tcPr>
            <w:tcW w:w="99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9A83A16" w14:textId="77777777" w:rsidR="002E7E3F" w:rsidRPr="00AC1930" w:rsidRDefault="0001118D">
            <w:pPr>
              <w:spacing w:before="0" w:after="0" w:line="240" w:lineRule="auto"/>
              <w:jc w:val="center"/>
              <w:rPr>
                <w:sz w:val="20"/>
                <w:szCs w:val="20"/>
              </w:rPr>
            </w:pPr>
            <w:r w:rsidRPr="00AC1930">
              <w:rPr>
                <w:sz w:val="20"/>
                <w:szCs w:val="20"/>
              </w:rPr>
              <w:t>-0.008</w:t>
            </w:r>
          </w:p>
        </w:tc>
        <w:tc>
          <w:tcPr>
            <w:tcW w:w="99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5C96038" w14:textId="77777777" w:rsidR="002E7E3F" w:rsidRPr="00AC1930" w:rsidRDefault="0001118D">
            <w:pPr>
              <w:spacing w:before="0" w:after="0" w:line="240" w:lineRule="auto"/>
              <w:jc w:val="center"/>
              <w:rPr>
                <w:sz w:val="20"/>
                <w:szCs w:val="20"/>
              </w:rPr>
            </w:pPr>
            <w:r w:rsidRPr="00AC1930">
              <w:rPr>
                <w:sz w:val="20"/>
                <w:szCs w:val="20"/>
              </w:rPr>
              <w:t>-0.030</w:t>
            </w:r>
          </w:p>
        </w:tc>
        <w:tc>
          <w:tcPr>
            <w:tcW w:w="14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97D127E" w14:textId="77777777" w:rsidR="002E7E3F" w:rsidRPr="00AC1930" w:rsidRDefault="0001118D">
            <w:pPr>
              <w:spacing w:before="0" w:after="0" w:line="240" w:lineRule="auto"/>
              <w:jc w:val="center"/>
              <w:rPr>
                <w:sz w:val="20"/>
                <w:szCs w:val="20"/>
              </w:rPr>
            </w:pPr>
            <w:r w:rsidRPr="00AC1930">
              <w:rPr>
                <w:sz w:val="20"/>
                <w:szCs w:val="20"/>
              </w:rPr>
              <w:t>0.021</w:t>
            </w:r>
          </w:p>
        </w:tc>
        <w:tc>
          <w:tcPr>
            <w:tcW w:w="127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E3B56EC" w14:textId="77777777" w:rsidR="002E7E3F" w:rsidRPr="00AC1930" w:rsidRDefault="0001118D">
            <w:pPr>
              <w:spacing w:before="0" w:after="0" w:line="240" w:lineRule="auto"/>
              <w:jc w:val="center"/>
              <w:rPr>
                <w:sz w:val="20"/>
                <w:szCs w:val="20"/>
              </w:rPr>
            </w:pPr>
            <w:r w:rsidRPr="00AC1930">
              <w:rPr>
                <w:sz w:val="20"/>
                <w:szCs w:val="20"/>
              </w:rPr>
              <w:t>0.990</w:t>
            </w:r>
          </w:p>
        </w:tc>
        <w:tc>
          <w:tcPr>
            <w:tcW w:w="14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35826BD5" w14:textId="77777777" w:rsidR="002E7E3F" w:rsidRPr="00AC1930" w:rsidRDefault="0001118D">
            <w:pPr>
              <w:spacing w:before="0" w:after="0" w:line="240" w:lineRule="auto"/>
              <w:jc w:val="center"/>
              <w:rPr>
                <w:sz w:val="20"/>
                <w:szCs w:val="20"/>
              </w:rPr>
            </w:pPr>
            <w:r w:rsidRPr="00AC1930">
              <w:rPr>
                <w:sz w:val="20"/>
                <w:szCs w:val="20"/>
              </w:rPr>
              <w:t>0.412</w:t>
            </w:r>
          </w:p>
        </w:tc>
        <w:tc>
          <w:tcPr>
            <w:tcW w:w="122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676FAAE2" w14:textId="77777777" w:rsidR="002E7E3F" w:rsidRPr="00AC1930" w:rsidRDefault="0001118D">
            <w:pPr>
              <w:spacing w:before="0" w:after="0" w:line="240" w:lineRule="auto"/>
              <w:jc w:val="center"/>
              <w:rPr>
                <w:sz w:val="20"/>
                <w:szCs w:val="20"/>
              </w:rPr>
            </w:pPr>
            <w:r w:rsidRPr="00AC1930">
              <w:rPr>
                <w:sz w:val="20"/>
                <w:szCs w:val="20"/>
              </w:rPr>
              <w:t>No/No</w:t>
            </w:r>
          </w:p>
        </w:tc>
      </w:tr>
      <w:tr w:rsidR="00AC1930" w:rsidRPr="00AC1930" w14:paraId="695B1D4F" w14:textId="77777777">
        <w:trPr>
          <w:trHeight w:val="25"/>
        </w:trPr>
        <w:tc>
          <w:tcPr>
            <w:tcW w:w="1560" w:type="dxa"/>
            <w:tcBorders>
              <w:top w:val="nil"/>
              <w:left w:val="nil"/>
              <w:bottom w:val="nil"/>
              <w:right w:val="nil"/>
            </w:tcBorders>
            <w:shd w:val="clear" w:color="auto" w:fill="auto"/>
            <w:tcMar>
              <w:top w:w="100" w:type="dxa"/>
              <w:left w:w="100" w:type="dxa"/>
              <w:bottom w:w="100" w:type="dxa"/>
              <w:right w:w="100" w:type="dxa"/>
            </w:tcMar>
          </w:tcPr>
          <w:p w14:paraId="6CFCA51C" w14:textId="2684BD24" w:rsidR="002E7E3F" w:rsidRPr="00AC1930" w:rsidRDefault="0001118D">
            <w:pPr>
              <w:spacing w:before="0" w:after="0" w:line="240" w:lineRule="auto"/>
              <w:rPr>
                <w:sz w:val="20"/>
                <w:szCs w:val="20"/>
              </w:rPr>
            </w:pPr>
            <w:r w:rsidRPr="00AC1930">
              <w:rPr>
                <w:sz w:val="20"/>
                <w:szCs w:val="20"/>
              </w:rPr>
              <w:t>LMX</w:t>
            </w:r>
            <w:r w:rsidR="00AC7834" w:rsidRPr="00AC1930">
              <w:rPr>
                <w:sz w:val="20"/>
                <w:szCs w:val="20"/>
              </w:rPr>
              <w:sym w:font="Wingdings" w:char="F0E0"/>
            </w:r>
            <w:r w:rsidRPr="00AC1930">
              <w:rPr>
                <w:sz w:val="20"/>
                <w:szCs w:val="20"/>
              </w:rPr>
              <w:t>SR</w:t>
            </w:r>
          </w:p>
        </w:tc>
        <w:tc>
          <w:tcPr>
            <w:tcW w:w="992" w:type="dxa"/>
            <w:tcBorders>
              <w:top w:val="nil"/>
              <w:left w:val="nil"/>
              <w:bottom w:val="nil"/>
              <w:right w:val="nil"/>
            </w:tcBorders>
            <w:shd w:val="clear" w:color="auto" w:fill="auto"/>
            <w:tcMar>
              <w:top w:w="100" w:type="dxa"/>
              <w:left w:w="100" w:type="dxa"/>
              <w:bottom w:w="100" w:type="dxa"/>
              <w:right w:w="100" w:type="dxa"/>
            </w:tcMar>
          </w:tcPr>
          <w:p w14:paraId="335712BE" w14:textId="77777777" w:rsidR="002E7E3F" w:rsidRPr="00AC1930" w:rsidRDefault="0001118D">
            <w:pPr>
              <w:spacing w:before="0" w:after="0" w:line="240" w:lineRule="auto"/>
              <w:jc w:val="center"/>
              <w:rPr>
                <w:sz w:val="20"/>
                <w:szCs w:val="20"/>
              </w:rPr>
            </w:pPr>
            <w:r w:rsidRPr="00AC1930">
              <w:rPr>
                <w:sz w:val="20"/>
                <w:szCs w:val="20"/>
              </w:rPr>
              <w:t>0.389</w:t>
            </w:r>
          </w:p>
        </w:tc>
        <w:tc>
          <w:tcPr>
            <w:tcW w:w="992" w:type="dxa"/>
            <w:tcBorders>
              <w:top w:val="nil"/>
              <w:left w:val="nil"/>
              <w:bottom w:val="nil"/>
              <w:right w:val="nil"/>
            </w:tcBorders>
            <w:shd w:val="clear" w:color="auto" w:fill="auto"/>
            <w:tcMar>
              <w:top w:w="100" w:type="dxa"/>
              <w:left w:w="100" w:type="dxa"/>
              <w:bottom w:w="100" w:type="dxa"/>
              <w:right w:w="100" w:type="dxa"/>
            </w:tcMar>
          </w:tcPr>
          <w:p w14:paraId="2E76C855" w14:textId="77777777" w:rsidR="002E7E3F" w:rsidRPr="00AC1930" w:rsidRDefault="0001118D">
            <w:pPr>
              <w:spacing w:before="0" w:after="0" w:line="240" w:lineRule="auto"/>
              <w:jc w:val="center"/>
              <w:rPr>
                <w:sz w:val="20"/>
                <w:szCs w:val="20"/>
              </w:rPr>
            </w:pPr>
            <w:r w:rsidRPr="00AC1930">
              <w:rPr>
                <w:sz w:val="20"/>
                <w:szCs w:val="20"/>
              </w:rPr>
              <w:t>0.118</w:t>
            </w:r>
          </w:p>
        </w:tc>
        <w:tc>
          <w:tcPr>
            <w:tcW w:w="1418" w:type="dxa"/>
            <w:tcBorders>
              <w:top w:val="nil"/>
              <w:left w:val="nil"/>
              <w:bottom w:val="nil"/>
              <w:right w:val="nil"/>
            </w:tcBorders>
            <w:shd w:val="clear" w:color="auto" w:fill="auto"/>
            <w:tcMar>
              <w:top w:w="100" w:type="dxa"/>
              <w:left w:w="100" w:type="dxa"/>
              <w:bottom w:w="100" w:type="dxa"/>
              <w:right w:w="100" w:type="dxa"/>
            </w:tcMar>
          </w:tcPr>
          <w:p w14:paraId="1DF03F65" w14:textId="77777777" w:rsidR="002E7E3F" w:rsidRPr="00AC1930" w:rsidRDefault="0001118D">
            <w:pPr>
              <w:spacing w:before="0" w:after="0" w:line="240" w:lineRule="auto"/>
              <w:jc w:val="center"/>
              <w:rPr>
                <w:sz w:val="20"/>
                <w:szCs w:val="20"/>
              </w:rPr>
            </w:pPr>
            <w:r w:rsidRPr="00AC1930">
              <w:rPr>
                <w:sz w:val="20"/>
                <w:szCs w:val="20"/>
              </w:rPr>
              <w:t>0.271</w:t>
            </w:r>
          </w:p>
        </w:tc>
        <w:tc>
          <w:tcPr>
            <w:tcW w:w="1275" w:type="dxa"/>
            <w:tcBorders>
              <w:top w:val="nil"/>
              <w:left w:val="nil"/>
              <w:bottom w:val="nil"/>
              <w:right w:val="nil"/>
            </w:tcBorders>
            <w:shd w:val="clear" w:color="auto" w:fill="auto"/>
            <w:tcMar>
              <w:top w:w="100" w:type="dxa"/>
              <w:left w:w="100" w:type="dxa"/>
              <w:bottom w:w="100" w:type="dxa"/>
              <w:right w:w="100" w:type="dxa"/>
            </w:tcMar>
          </w:tcPr>
          <w:p w14:paraId="24BCC95B" w14:textId="77777777" w:rsidR="002E7E3F" w:rsidRPr="00AC1930" w:rsidRDefault="0001118D">
            <w:pPr>
              <w:spacing w:before="0" w:after="0" w:line="240" w:lineRule="auto"/>
              <w:jc w:val="center"/>
              <w:rPr>
                <w:sz w:val="20"/>
                <w:szCs w:val="20"/>
              </w:rPr>
            </w:pPr>
            <w:r w:rsidRPr="00AC1930">
              <w:rPr>
                <w:sz w:val="20"/>
                <w:szCs w:val="20"/>
              </w:rPr>
              <w:t>0.018</w:t>
            </w:r>
          </w:p>
        </w:tc>
        <w:tc>
          <w:tcPr>
            <w:tcW w:w="1418" w:type="dxa"/>
            <w:tcBorders>
              <w:top w:val="nil"/>
              <w:left w:val="nil"/>
              <w:bottom w:val="nil"/>
              <w:right w:val="nil"/>
            </w:tcBorders>
            <w:shd w:val="clear" w:color="auto" w:fill="auto"/>
            <w:tcMar>
              <w:top w:w="100" w:type="dxa"/>
              <w:left w:w="100" w:type="dxa"/>
              <w:bottom w:w="100" w:type="dxa"/>
              <w:right w:w="100" w:type="dxa"/>
            </w:tcMar>
          </w:tcPr>
          <w:p w14:paraId="79855C5B" w14:textId="77777777" w:rsidR="002E7E3F" w:rsidRPr="00AC1930" w:rsidRDefault="0001118D">
            <w:pPr>
              <w:spacing w:before="0" w:after="0" w:line="240" w:lineRule="auto"/>
              <w:jc w:val="center"/>
              <w:rPr>
                <w:sz w:val="20"/>
                <w:szCs w:val="20"/>
              </w:rPr>
            </w:pPr>
            <w:r w:rsidRPr="00AC1930">
              <w:rPr>
                <w:sz w:val="20"/>
                <w:szCs w:val="20"/>
              </w:rPr>
              <w:t>0.008</w:t>
            </w:r>
          </w:p>
        </w:tc>
        <w:tc>
          <w:tcPr>
            <w:tcW w:w="1225" w:type="dxa"/>
            <w:tcBorders>
              <w:top w:val="nil"/>
              <w:left w:val="nil"/>
              <w:bottom w:val="nil"/>
              <w:right w:val="nil"/>
            </w:tcBorders>
            <w:shd w:val="clear" w:color="auto" w:fill="auto"/>
            <w:tcMar>
              <w:top w:w="100" w:type="dxa"/>
              <w:left w:w="100" w:type="dxa"/>
              <w:bottom w:w="100" w:type="dxa"/>
              <w:right w:w="100" w:type="dxa"/>
            </w:tcMar>
          </w:tcPr>
          <w:p w14:paraId="0C350706" w14:textId="77777777" w:rsidR="002E7E3F" w:rsidRPr="00AC1930" w:rsidRDefault="0001118D">
            <w:pPr>
              <w:spacing w:before="0" w:after="0" w:line="240" w:lineRule="auto"/>
              <w:jc w:val="center"/>
              <w:rPr>
                <w:sz w:val="20"/>
                <w:szCs w:val="20"/>
              </w:rPr>
            </w:pPr>
            <w:r w:rsidRPr="00AC1930">
              <w:rPr>
                <w:sz w:val="20"/>
                <w:szCs w:val="20"/>
              </w:rPr>
              <w:t>Yes/Yes</w:t>
            </w:r>
          </w:p>
        </w:tc>
      </w:tr>
      <w:tr w:rsidR="00AC1930" w:rsidRPr="00AC1930" w14:paraId="4BB553FD" w14:textId="77777777">
        <w:trPr>
          <w:trHeight w:val="20"/>
        </w:trPr>
        <w:tc>
          <w:tcPr>
            <w:tcW w:w="1560"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67805F60" w14:textId="65C4D59B" w:rsidR="002E7E3F" w:rsidRPr="00AC1930" w:rsidRDefault="0001118D">
            <w:pPr>
              <w:spacing w:before="0" w:after="0" w:line="240" w:lineRule="auto"/>
              <w:rPr>
                <w:sz w:val="20"/>
                <w:szCs w:val="20"/>
              </w:rPr>
            </w:pPr>
            <w:r w:rsidRPr="00AC1930">
              <w:rPr>
                <w:sz w:val="20"/>
                <w:szCs w:val="20"/>
              </w:rPr>
              <w:t>LMX</w:t>
            </w:r>
            <w:r w:rsidR="00AC7834" w:rsidRPr="00AC1930">
              <w:rPr>
                <w:sz w:val="20"/>
                <w:szCs w:val="20"/>
              </w:rPr>
              <w:sym w:font="Wingdings" w:char="F0E0"/>
            </w:r>
            <w:r w:rsidRPr="00AC1930">
              <w:rPr>
                <w:sz w:val="20"/>
                <w:szCs w:val="20"/>
              </w:rPr>
              <w:t>WA</w:t>
            </w:r>
          </w:p>
        </w:tc>
        <w:tc>
          <w:tcPr>
            <w:tcW w:w="99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2D7D37F" w14:textId="77777777" w:rsidR="002E7E3F" w:rsidRPr="00AC1930" w:rsidRDefault="0001118D">
            <w:pPr>
              <w:spacing w:before="0" w:after="0" w:line="240" w:lineRule="auto"/>
              <w:jc w:val="center"/>
              <w:rPr>
                <w:sz w:val="20"/>
                <w:szCs w:val="20"/>
              </w:rPr>
            </w:pPr>
            <w:r w:rsidRPr="00AC1930">
              <w:rPr>
                <w:sz w:val="20"/>
                <w:szCs w:val="20"/>
              </w:rPr>
              <w:t>-0.327</w:t>
            </w:r>
          </w:p>
        </w:tc>
        <w:tc>
          <w:tcPr>
            <w:tcW w:w="99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6CD97F02" w14:textId="77777777" w:rsidR="002E7E3F" w:rsidRPr="00AC1930" w:rsidRDefault="0001118D">
            <w:pPr>
              <w:spacing w:before="0" w:after="0" w:line="240" w:lineRule="auto"/>
              <w:jc w:val="center"/>
              <w:rPr>
                <w:sz w:val="20"/>
                <w:szCs w:val="20"/>
              </w:rPr>
            </w:pPr>
            <w:r w:rsidRPr="00AC1930">
              <w:rPr>
                <w:sz w:val="20"/>
                <w:szCs w:val="20"/>
              </w:rPr>
              <w:t>-0.322</w:t>
            </w:r>
          </w:p>
        </w:tc>
        <w:tc>
          <w:tcPr>
            <w:tcW w:w="14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6EEA61B1" w14:textId="77777777" w:rsidR="002E7E3F" w:rsidRPr="00AC1930" w:rsidRDefault="0001118D">
            <w:pPr>
              <w:spacing w:before="0" w:after="0" w:line="240" w:lineRule="auto"/>
              <w:jc w:val="center"/>
              <w:rPr>
                <w:sz w:val="20"/>
                <w:szCs w:val="20"/>
              </w:rPr>
            </w:pPr>
            <w:r w:rsidRPr="00AC1930">
              <w:rPr>
                <w:sz w:val="20"/>
                <w:szCs w:val="20"/>
              </w:rPr>
              <w:t>-0.004</w:t>
            </w:r>
          </w:p>
        </w:tc>
        <w:tc>
          <w:tcPr>
            <w:tcW w:w="127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30B2A7C8" w14:textId="77777777" w:rsidR="002E7E3F" w:rsidRPr="00AC1930" w:rsidRDefault="0001118D">
            <w:pPr>
              <w:spacing w:before="0" w:after="0" w:line="240" w:lineRule="auto"/>
              <w:jc w:val="center"/>
              <w:rPr>
                <w:sz w:val="20"/>
                <w:szCs w:val="20"/>
              </w:rPr>
            </w:pPr>
            <w:r w:rsidRPr="00AC1930">
              <w:rPr>
                <w:sz w:val="20"/>
                <w:szCs w:val="20"/>
              </w:rPr>
              <w:t>0.907</w:t>
            </w:r>
          </w:p>
        </w:tc>
        <w:tc>
          <w:tcPr>
            <w:tcW w:w="14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0DB6D76" w14:textId="77777777" w:rsidR="002E7E3F" w:rsidRPr="00AC1930" w:rsidRDefault="0001118D">
            <w:pPr>
              <w:spacing w:before="0" w:after="0" w:line="240" w:lineRule="auto"/>
              <w:jc w:val="center"/>
              <w:rPr>
                <w:sz w:val="20"/>
                <w:szCs w:val="20"/>
              </w:rPr>
            </w:pPr>
            <w:r w:rsidRPr="00AC1930">
              <w:rPr>
                <w:sz w:val="20"/>
                <w:szCs w:val="20"/>
              </w:rPr>
              <w:t>0.460</w:t>
            </w:r>
          </w:p>
        </w:tc>
        <w:tc>
          <w:tcPr>
            <w:tcW w:w="122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D031E7D" w14:textId="77777777" w:rsidR="002E7E3F" w:rsidRPr="00AC1930" w:rsidRDefault="0001118D">
            <w:pPr>
              <w:spacing w:before="0" w:after="0" w:line="240" w:lineRule="auto"/>
              <w:jc w:val="center"/>
              <w:rPr>
                <w:sz w:val="20"/>
                <w:szCs w:val="20"/>
              </w:rPr>
            </w:pPr>
            <w:r w:rsidRPr="00AC1930">
              <w:rPr>
                <w:sz w:val="20"/>
                <w:szCs w:val="20"/>
              </w:rPr>
              <w:t>No/No</w:t>
            </w:r>
          </w:p>
        </w:tc>
      </w:tr>
      <w:tr w:rsidR="00AC1930" w:rsidRPr="00AC1930" w14:paraId="57D7A3B4" w14:textId="77777777">
        <w:trPr>
          <w:trHeight w:val="27"/>
        </w:trPr>
        <w:tc>
          <w:tcPr>
            <w:tcW w:w="1560" w:type="dxa"/>
            <w:tcBorders>
              <w:top w:val="nil"/>
              <w:left w:val="nil"/>
              <w:bottom w:val="nil"/>
              <w:right w:val="nil"/>
            </w:tcBorders>
            <w:shd w:val="clear" w:color="auto" w:fill="auto"/>
            <w:tcMar>
              <w:top w:w="100" w:type="dxa"/>
              <w:left w:w="100" w:type="dxa"/>
              <w:bottom w:w="100" w:type="dxa"/>
              <w:right w:w="100" w:type="dxa"/>
            </w:tcMar>
          </w:tcPr>
          <w:p w14:paraId="0663DBB1" w14:textId="6FF6F84A" w:rsidR="002E7E3F" w:rsidRPr="00AC1930" w:rsidRDefault="0001118D">
            <w:pPr>
              <w:spacing w:before="0" w:after="0" w:line="240" w:lineRule="auto"/>
              <w:rPr>
                <w:sz w:val="20"/>
                <w:szCs w:val="20"/>
              </w:rPr>
            </w:pPr>
            <w:r w:rsidRPr="00AC1930">
              <w:rPr>
                <w:sz w:val="20"/>
                <w:szCs w:val="20"/>
              </w:rPr>
              <w:t>LMX*Tenure</w:t>
            </w:r>
            <w:r w:rsidR="00AC7834" w:rsidRPr="00AC1930">
              <w:rPr>
                <w:sz w:val="20"/>
                <w:szCs w:val="20"/>
              </w:rPr>
              <w:sym w:font="Wingdings" w:char="F0E0"/>
            </w:r>
            <w:r w:rsidRPr="00AC1930">
              <w:rPr>
                <w:sz w:val="20"/>
                <w:szCs w:val="20"/>
              </w:rPr>
              <w:t>WA</w:t>
            </w:r>
          </w:p>
        </w:tc>
        <w:tc>
          <w:tcPr>
            <w:tcW w:w="992" w:type="dxa"/>
            <w:tcBorders>
              <w:top w:val="nil"/>
              <w:left w:val="nil"/>
              <w:bottom w:val="nil"/>
              <w:right w:val="nil"/>
            </w:tcBorders>
            <w:shd w:val="clear" w:color="auto" w:fill="auto"/>
            <w:tcMar>
              <w:top w:w="100" w:type="dxa"/>
              <w:left w:w="100" w:type="dxa"/>
              <w:bottom w:w="100" w:type="dxa"/>
              <w:right w:w="100" w:type="dxa"/>
            </w:tcMar>
          </w:tcPr>
          <w:p w14:paraId="3FEFD36B" w14:textId="77777777" w:rsidR="002E7E3F" w:rsidRPr="00AC1930" w:rsidRDefault="0001118D">
            <w:pPr>
              <w:spacing w:before="0" w:after="0" w:line="240" w:lineRule="auto"/>
              <w:jc w:val="center"/>
              <w:rPr>
                <w:sz w:val="20"/>
                <w:szCs w:val="20"/>
              </w:rPr>
            </w:pPr>
            <w:r w:rsidRPr="00AC1930">
              <w:rPr>
                <w:sz w:val="20"/>
                <w:szCs w:val="20"/>
              </w:rPr>
              <w:t>-0.044</w:t>
            </w:r>
          </w:p>
        </w:tc>
        <w:tc>
          <w:tcPr>
            <w:tcW w:w="992" w:type="dxa"/>
            <w:tcBorders>
              <w:top w:val="nil"/>
              <w:left w:val="nil"/>
              <w:bottom w:val="nil"/>
              <w:right w:val="nil"/>
            </w:tcBorders>
            <w:shd w:val="clear" w:color="auto" w:fill="auto"/>
            <w:tcMar>
              <w:top w:w="100" w:type="dxa"/>
              <w:left w:w="100" w:type="dxa"/>
              <w:bottom w:w="100" w:type="dxa"/>
              <w:right w:w="100" w:type="dxa"/>
            </w:tcMar>
          </w:tcPr>
          <w:p w14:paraId="6E8E7999" w14:textId="77777777" w:rsidR="002E7E3F" w:rsidRPr="00AC1930" w:rsidRDefault="0001118D">
            <w:pPr>
              <w:spacing w:before="0" w:after="0" w:line="240" w:lineRule="auto"/>
              <w:jc w:val="center"/>
              <w:rPr>
                <w:sz w:val="20"/>
                <w:szCs w:val="20"/>
              </w:rPr>
            </w:pPr>
            <w:r w:rsidRPr="00AC1930">
              <w:rPr>
                <w:sz w:val="20"/>
                <w:szCs w:val="20"/>
              </w:rPr>
              <w:t>0.237</w:t>
            </w:r>
          </w:p>
        </w:tc>
        <w:tc>
          <w:tcPr>
            <w:tcW w:w="1418" w:type="dxa"/>
            <w:tcBorders>
              <w:top w:val="nil"/>
              <w:left w:val="nil"/>
              <w:bottom w:val="nil"/>
              <w:right w:val="nil"/>
            </w:tcBorders>
            <w:shd w:val="clear" w:color="auto" w:fill="auto"/>
            <w:tcMar>
              <w:top w:w="100" w:type="dxa"/>
              <w:left w:w="100" w:type="dxa"/>
              <w:bottom w:w="100" w:type="dxa"/>
              <w:right w:w="100" w:type="dxa"/>
            </w:tcMar>
          </w:tcPr>
          <w:p w14:paraId="6ADBD898" w14:textId="77777777" w:rsidR="002E7E3F" w:rsidRPr="00AC1930" w:rsidRDefault="0001118D">
            <w:pPr>
              <w:spacing w:before="0" w:after="0" w:line="240" w:lineRule="auto"/>
              <w:jc w:val="center"/>
              <w:rPr>
                <w:sz w:val="20"/>
                <w:szCs w:val="20"/>
              </w:rPr>
            </w:pPr>
            <w:r w:rsidRPr="00AC1930">
              <w:rPr>
                <w:sz w:val="20"/>
                <w:szCs w:val="20"/>
              </w:rPr>
              <w:t>-0.192</w:t>
            </w:r>
          </w:p>
        </w:tc>
        <w:tc>
          <w:tcPr>
            <w:tcW w:w="1275" w:type="dxa"/>
            <w:tcBorders>
              <w:top w:val="nil"/>
              <w:left w:val="nil"/>
              <w:bottom w:val="nil"/>
              <w:right w:val="nil"/>
            </w:tcBorders>
            <w:shd w:val="clear" w:color="auto" w:fill="auto"/>
            <w:tcMar>
              <w:top w:w="100" w:type="dxa"/>
              <w:left w:w="100" w:type="dxa"/>
              <w:bottom w:w="100" w:type="dxa"/>
              <w:right w:w="100" w:type="dxa"/>
            </w:tcMar>
          </w:tcPr>
          <w:p w14:paraId="0F111C5C" w14:textId="77777777" w:rsidR="002E7E3F" w:rsidRPr="00AC1930" w:rsidRDefault="0001118D">
            <w:pPr>
              <w:spacing w:before="0" w:after="0" w:line="240" w:lineRule="auto"/>
              <w:jc w:val="center"/>
              <w:rPr>
                <w:sz w:val="20"/>
                <w:szCs w:val="20"/>
              </w:rPr>
            </w:pPr>
            <w:r w:rsidRPr="00AC1930">
              <w:rPr>
                <w:sz w:val="20"/>
                <w:szCs w:val="20"/>
              </w:rPr>
              <w:t>0.128</w:t>
            </w:r>
          </w:p>
        </w:tc>
        <w:tc>
          <w:tcPr>
            <w:tcW w:w="1418" w:type="dxa"/>
            <w:tcBorders>
              <w:top w:val="nil"/>
              <w:left w:val="nil"/>
              <w:bottom w:val="nil"/>
              <w:right w:val="nil"/>
            </w:tcBorders>
            <w:shd w:val="clear" w:color="auto" w:fill="auto"/>
            <w:tcMar>
              <w:top w:w="100" w:type="dxa"/>
              <w:left w:w="100" w:type="dxa"/>
              <w:bottom w:w="100" w:type="dxa"/>
              <w:right w:w="100" w:type="dxa"/>
            </w:tcMar>
          </w:tcPr>
          <w:p w14:paraId="1E79A082" w14:textId="77777777" w:rsidR="002E7E3F" w:rsidRPr="00AC1930" w:rsidRDefault="0001118D">
            <w:pPr>
              <w:spacing w:before="0" w:after="0" w:line="240" w:lineRule="auto"/>
              <w:jc w:val="center"/>
              <w:rPr>
                <w:sz w:val="20"/>
                <w:szCs w:val="20"/>
              </w:rPr>
            </w:pPr>
            <w:r w:rsidRPr="00AC1930">
              <w:rPr>
                <w:sz w:val="20"/>
                <w:szCs w:val="20"/>
              </w:rPr>
              <w:t>0.077</w:t>
            </w:r>
          </w:p>
        </w:tc>
        <w:tc>
          <w:tcPr>
            <w:tcW w:w="1225" w:type="dxa"/>
            <w:tcBorders>
              <w:top w:val="nil"/>
              <w:left w:val="nil"/>
              <w:bottom w:val="nil"/>
              <w:right w:val="nil"/>
            </w:tcBorders>
            <w:shd w:val="clear" w:color="auto" w:fill="auto"/>
            <w:tcMar>
              <w:top w:w="100" w:type="dxa"/>
              <w:left w:w="100" w:type="dxa"/>
              <w:bottom w:w="100" w:type="dxa"/>
              <w:right w:w="100" w:type="dxa"/>
            </w:tcMar>
          </w:tcPr>
          <w:p w14:paraId="3B0F5FB6" w14:textId="77777777" w:rsidR="002E7E3F" w:rsidRPr="00AC1930" w:rsidRDefault="0001118D">
            <w:pPr>
              <w:spacing w:before="0" w:after="0" w:line="240" w:lineRule="auto"/>
              <w:jc w:val="center"/>
              <w:rPr>
                <w:sz w:val="20"/>
                <w:szCs w:val="20"/>
              </w:rPr>
            </w:pPr>
            <w:r w:rsidRPr="00AC1930">
              <w:rPr>
                <w:sz w:val="20"/>
                <w:szCs w:val="20"/>
              </w:rPr>
              <w:t>No/No</w:t>
            </w:r>
          </w:p>
        </w:tc>
      </w:tr>
      <w:tr w:rsidR="00AC1930" w:rsidRPr="00AC1930" w14:paraId="674142AF" w14:textId="77777777">
        <w:trPr>
          <w:trHeight w:val="20"/>
        </w:trPr>
        <w:tc>
          <w:tcPr>
            <w:tcW w:w="1560"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6B02163" w14:textId="03093D25" w:rsidR="002E7E3F" w:rsidRPr="00AC1930" w:rsidRDefault="0001118D">
            <w:pPr>
              <w:spacing w:before="0" w:after="0" w:line="240" w:lineRule="auto"/>
              <w:rPr>
                <w:sz w:val="20"/>
                <w:szCs w:val="20"/>
              </w:rPr>
            </w:pPr>
            <w:r w:rsidRPr="00AC1930">
              <w:rPr>
                <w:sz w:val="20"/>
                <w:szCs w:val="20"/>
              </w:rPr>
              <w:t>SR</w:t>
            </w:r>
            <w:r w:rsidR="00AC7834" w:rsidRPr="00AC1930">
              <w:rPr>
                <w:sz w:val="20"/>
                <w:szCs w:val="20"/>
              </w:rPr>
              <w:sym w:font="Wingdings" w:char="F0E0"/>
            </w:r>
            <w:r w:rsidRPr="00AC1930">
              <w:rPr>
                <w:sz w:val="20"/>
                <w:szCs w:val="20"/>
              </w:rPr>
              <w:t>WA</w:t>
            </w:r>
          </w:p>
        </w:tc>
        <w:tc>
          <w:tcPr>
            <w:tcW w:w="99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DFD8325" w14:textId="77777777" w:rsidR="002E7E3F" w:rsidRPr="00AC1930" w:rsidRDefault="0001118D">
            <w:pPr>
              <w:spacing w:before="0" w:after="0" w:line="240" w:lineRule="auto"/>
              <w:jc w:val="center"/>
              <w:rPr>
                <w:sz w:val="20"/>
                <w:szCs w:val="20"/>
              </w:rPr>
            </w:pPr>
            <w:r w:rsidRPr="00AC1930">
              <w:rPr>
                <w:sz w:val="20"/>
                <w:szCs w:val="20"/>
              </w:rPr>
              <w:t>-0.272</w:t>
            </w:r>
          </w:p>
        </w:tc>
        <w:tc>
          <w:tcPr>
            <w:tcW w:w="99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19CF469" w14:textId="77777777" w:rsidR="002E7E3F" w:rsidRPr="00AC1930" w:rsidRDefault="0001118D">
            <w:pPr>
              <w:spacing w:before="0" w:after="0" w:line="240" w:lineRule="auto"/>
              <w:jc w:val="center"/>
              <w:rPr>
                <w:sz w:val="20"/>
                <w:szCs w:val="20"/>
              </w:rPr>
            </w:pPr>
            <w:r w:rsidRPr="00AC1930">
              <w:rPr>
                <w:sz w:val="20"/>
                <w:szCs w:val="20"/>
              </w:rPr>
              <w:t>-0.342</w:t>
            </w:r>
          </w:p>
        </w:tc>
        <w:tc>
          <w:tcPr>
            <w:tcW w:w="14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D595569" w14:textId="77777777" w:rsidR="002E7E3F" w:rsidRPr="00AC1930" w:rsidRDefault="0001118D">
            <w:pPr>
              <w:spacing w:before="0" w:after="0" w:line="240" w:lineRule="auto"/>
              <w:jc w:val="center"/>
              <w:rPr>
                <w:sz w:val="20"/>
                <w:szCs w:val="20"/>
              </w:rPr>
            </w:pPr>
            <w:r w:rsidRPr="00AC1930">
              <w:rPr>
                <w:sz w:val="20"/>
                <w:szCs w:val="20"/>
              </w:rPr>
              <w:t>0.070</w:t>
            </w:r>
          </w:p>
        </w:tc>
        <w:tc>
          <w:tcPr>
            <w:tcW w:w="127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72E5AF6" w14:textId="77777777" w:rsidR="002E7E3F" w:rsidRPr="00AC1930" w:rsidRDefault="0001118D">
            <w:pPr>
              <w:spacing w:before="0" w:after="0" w:line="240" w:lineRule="auto"/>
              <w:jc w:val="center"/>
              <w:rPr>
                <w:sz w:val="20"/>
                <w:szCs w:val="20"/>
              </w:rPr>
            </w:pPr>
            <w:r w:rsidRPr="00AC1930">
              <w:rPr>
                <w:sz w:val="20"/>
                <w:szCs w:val="20"/>
              </w:rPr>
              <w:t>0.601</w:t>
            </w:r>
          </w:p>
        </w:tc>
        <w:tc>
          <w:tcPr>
            <w:tcW w:w="141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8646397" w14:textId="77777777" w:rsidR="002E7E3F" w:rsidRPr="00AC1930" w:rsidRDefault="0001118D">
            <w:pPr>
              <w:spacing w:before="0" w:after="0" w:line="240" w:lineRule="auto"/>
              <w:jc w:val="center"/>
              <w:rPr>
                <w:sz w:val="20"/>
                <w:szCs w:val="20"/>
              </w:rPr>
            </w:pPr>
            <w:r w:rsidRPr="00AC1930">
              <w:rPr>
                <w:sz w:val="20"/>
                <w:szCs w:val="20"/>
              </w:rPr>
              <w:t>0.305</w:t>
            </w:r>
          </w:p>
        </w:tc>
        <w:tc>
          <w:tcPr>
            <w:tcW w:w="122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E4D51A0" w14:textId="77777777" w:rsidR="002E7E3F" w:rsidRPr="00AC1930" w:rsidRDefault="0001118D">
            <w:pPr>
              <w:spacing w:before="0" w:after="0" w:line="240" w:lineRule="auto"/>
              <w:jc w:val="center"/>
              <w:rPr>
                <w:sz w:val="20"/>
                <w:szCs w:val="20"/>
              </w:rPr>
            </w:pPr>
            <w:r w:rsidRPr="00AC1930">
              <w:rPr>
                <w:sz w:val="20"/>
                <w:szCs w:val="20"/>
              </w:rPr>
              <w:t>No/No</w:t>
            </w:r>
          </w:p>
        </w:tc>
      </w:tr>
      <w:tr w:rsidR="00AC1930" w:rsidRPr="00AC1930" w14:paraId="1C1CAD1E" w14:textId="77777777">
        <w:trPr>
          <w:trHeight w:val="25"/>
        </w:trPr>
        <w:tc>
          <w:tcPr>
            <w:tcW w:w="1560" w:type="dxa"/>
            <w:tcBorders>
              <w:top w:val="nil"/>
              <w:left w:val="nil"/>
              <w:bottom w:val="single" w:sz="8" w:space="0" w:color="7F7F7F"/>
              <w:right w:val="nil"/>
            </w:tcBorders>
            <w:shd w:val="clear" w:color="auto" w:fill="auto"/>
            <w:tcMar>
              <w:top w:w="100" w:type="dxa"/>
              <w:left w:w="100" w:type="dxa"/>
              <w:bottom w:w="100" w:type="dxa"/>
              <w:right w:w="100" w:type="dxa"/>
            </w:tcMar>
          </w:tcPr>
          <w:p w14:paraId="4DA8326D" w14:textId="60AE9248" w:rsidR="002E7E3F" w:rsidRPr="00AC1930" w:rsidRDefault="0001118D">
            <w:pPr>
              <w:spacing w:before="0" w:after="0" w:line="240" w:lineRule="auto"/>
              <w:rPr>
                <w:sz w:val="20"/>
                <w:szCs w:val="20"/>
              </w:rPr>
            </w:pPr>
            <w:r w:rsidRPr="00AC1930">
              <w:rPr>
                <w:sz w:val="20"/>
                <w:szCs w:val="20"/>
              </w:rPr>
              <w:t>Tenure</w:t>
            </w:r>
            <w:r w:rsidR="00AC7834" w:rsidRPr="00AC1930">
              <w:rPr>
                <w:sz w:val="20"/>
                <w:szCs w:val="20"/>
              </w:rPr>
              <w:sym w:font="Wingdings" w:char="F0E0"/>
            </w:r>
            <w:r w:rsidRPr="00AC1930">
              <w:rPr>
                <w:sz w:val="20"/>
                <w:szCs w:val="20"/>
              </w:rPr>
              <w:t>WA</w:t>
            </w:r>
          </w:p>
        </w:tc>
        <w:tc>
          <w:tcPr>
            <w:tcW w:w="992" w:type="dxa"/>
            <w:tcBorders>
              <w:top w:val="nil"/>
              <w:left w:val="nil"/>
              <w:bottom w:val="single" w:sz="8" w:space="0" w:color="7F7F7F"/>
              <w:right w:val="nil"/>
            </w:tcBorders>
            <w:shd w:val="clear" w:color="auto" w:fill="auto"/>
            <w:tcMar>
              <w:top w:w="100" w:type="dxa"/>
              <w:left w:w="100" w:type="dxa"/>
              <w:bottom w:w="100" w:type="dxa"/>
              <w:right w:w="100" w:type="dxa"/>
            </w:tcMar>
          </w:tcPr>
          <w:p w14:paraId="48A36D4B" w14:textId="77777777" w:rsidR="002E7E3F" w:rsidRPr="00AC1930" w:rsidRDefault="0001118D">
            <w:pPr>
              <w:spacing w:before="0" w:after="0" w:line="240" w:lineRule="auto"/>
              <w:jc w:val="center"/>
              <w:rPr>
                <w:sz w:val="20"/>
                <w:szCs w:val="20"/>
              </w:rPr>
            </w:pPr>
            <w:r w:rsidRPr="00AC1930">
              <w:rPr>
                <w:sz w:val="20"/>
                <w:szCs w:val="20"/>
              </w:rPr>
              <w:t>0.125</w:t>
            </w:r>
          </w:p>
        </w:tc>
        <w:tc>
          <w:tcPr>
            <w:tcW w:w="992" w:type="dxa"/>
            <w:tcBorders>
              <w:top w:val="nil"/>
              <w:left w:val="nil"/>
              <w:bottom w:val="single" w:sz="8" w:space="0" w:color="7F7F7F"/>
              <w:right w:val="nil"/>
            </w:tcBorders>
            <w:shd w:val="clear" w:color="auto" w:fill="auto"/>
            <w:tcMar>
              <w:top w:w="100" w:type="dxa"/>
              <w:left w:w="100" w:type="dxa"/>
              <w:bottom w:w="100" w:type="dxa"/>
              <w:right w:w="100" w:type="dxa"/>
            </w:tcMar>
          </w:tcPr>
          <w:p w14:paraId="40A4AD17" w14:textId="77777777" w:rsidR="002E7E3F" w:rsidRPr="00AC1930" w:rsidRDefault="0001118D">
            <w:pPr>
              <w:spacing w:before="0" w:after="0" w:line="240" w:lineRule="auto"/>
              <w:jc w:val="center"/>
              <w:rPr>
                <w:sz w:val="20"/>
                <w:szCs w:val="20"/>
              </w:rPr>
            </w:pPr>
            <w:r w:rsidRPr="00AC1930">
              <w:rPr>
                <w:sz w:val="20"/>
                <w:szCs w:val="20"/>
              </w:rPr>
              <w:t>-0.046</w:t>
            </w:r>
          </w:p>
        </w:tc>
        <w:tc>
          <w:tcPr>
            <w:tcW w:w="1418" w:type="dxa"/>
            <w:tcBorders>
              <w:top w:val="nil"/>
              <w:left w:val="nil"/>
              <w:bottom w:val="single" w:sz="8" w:space="0" w:color="7F7F7F"/>
              <w:right w:val="nil"/>
            </w:tcBorders>
            <w:shd w:val="clear" w:color="auto" w:fill="auto"/>
            <w:tcMar>
              <w:top w:w="100" w:type="dxa"/>
              <w:left w:w="100" w:type="dxa"/>
              <w:bottom w:w="100" w:type="dxa"/>
              <w:right w:w="100" w:type="dxa"/>
            </w:tcMar>
          </w:tcPr>
          <w:p w14:paraId="089112D7" w14:textId="77777777" w:rsidR="002E7E3F" w:rsidRPr="00AC1930" w:rsidRDefault="0001118D">
            <w:pPr>
              <w:spacing w:before="0" w:after="0" w:line="240" w:lineRule="auto"/>
              <w:jc w:val="center"/>
              <w:rPr>
                <w:sz w:val="20"/>
                <w:szCs w:val="20"/>
              </w:rPr>
            </w:pPr>
            <w:r w:rsidRPr="00AC1930">
              <w:rPr>
                <w:sz w:val="20"/>
                <w:szCs w:val="20"/>
              </w:rPr>
              <w:t>0.171</w:t>
            </w:r>
          </w:p>
        </w:tc>
        <w:tc>
          <w:tcPr>
            <w:tcW w:w="1275" w:type="dxa"/>
            <w:tcBorders>
              <w:top w:val="nil"/>
              <w:left w:val="nil"/>
              <w:bottom w:val="single" w:sz="8" w:space="0" w:color="7F7F7F"/>
              <w:right w:val="nil"/>
            </w:tcBorders>
            <w:shd w:val="clear" w:color="auto" w:fill="auto"/>
            <w:tcMar>
              <w:top w:w="100" w:type="dxa"/>
              <w:left w:w="100" w:type="dxa"/>
              <w:bottom w:w="100" w:type="dxa"/>
              <w:right w:w="100" w:type="dxa"/>
            </w:tcMar>
          </w:tcPr>
          <w:p w14:paraId="408C8085" w14:textId="77777777" w:rsidR="002E7E3F" w:rsidRPr="00AC1930" w:rsidRDefault="0001118D">
            <w:pPr>
              <w:spacing w:before="0" w:after="0" w:line="240" w:lineRule="auto"/>
              <w:jc w:val="center"/>
              <w:rPr>
                <w:sz w:val="20"/>
                <w:szCs w:val="20"/>
              </w:rPr>
            </w:pPr>
            <w:r w:rsidRPr="00AC1930">
              <w:rPr>
                <w:sz w:val="20"/>
                <w:szCs w:val="20"/>
              </w:rPr>
              <w:t>0.202</w:t>
            </w:r>
          </w:p>
        </w:tc>
        <w:tc>
          <w:tcPr>
            <w:tcW w:w="1418" w:type="dxa"/>
            <w:tcBorders>
              <w:top w:val="nil"/>
              <w:left w:val="nil"/>
              <w:bottom w:val="single" w:sz="8" w:space="0" w:color="7F7F7F"/>
              <w:right w:val="nil"/>
            </w:tcBorders>
            <w:shd w:val="clear" w:color="auto" w:fill="auto"/>
            <w:tcMar>
              <w:top w:w="100" w:type="dxa"/>
              <w:left w:w="100" w:type="dxa"/>
              <w:bottom w:w="100" w:type="dxa"/>
              <w:right w:w="100" w:type="dxa"/>
            </w:tcMar>
          </w:tcPr>
          <w:p w14:paraId="692B53EB" w14:textId="77777777" w:rsidR="002E7E3F" w:rsidRPr="00AC1930" w:rsidRDefault="0001118D">
            <w:pPr>
              <w:spacing w:before="0" w:after="0" w:line="240" w:lineRule="auto"/>
              <w:jc w:val="center"/>
              <w:rPr>
                <w:sz w:val="20"/>
                <w:szCs w:val="20"/>
              </w:rPr>
            </w:pPr>
            <w:r w:rsidRPr="00AC1930">
              <w:rPr>
                <w:sz w:val="20"/>
                <w:szCs w:val="20"/>
              </w:rPr>
              <w:t>0.134</w:t>
            </w:r>
          </w:p>
        </w:tc>
        <w:tc>
          <w:tcPr>
            <w:tcW w:w="1225" w:type="dxa"/>
            <w:tcBorders>
              <w:top w:val="nil"/>
              <w:left w:val="nil"/>
              <w:bottom w:val="single" w:sz="8" w:space="0" w:color="7F7F7F"/>
              <w:right w:val="nil"/>
            </w:tcBorders>
            <w:shd w:val="clear" w:color="auto" w:fill="auto"/>
            <w:tcMar>
              <w:top w:w="100" w:type="dxa"/>
              <w:left w:w="100" w:type="dxa"/>
              <w:bottom w:w="100" w:type="dxa"/>
              <w:right w:w="100" w:type="dxa"/>
            </w:tcMar>
          </w:tcPr>
          <w:p w14:paraId="3E3F43E6" w14:textId="77777777" w:rsidR="002E7E3F" w:rsidRPr="00AC1930" w:rsidRDefault="0001118D">
            <w:pPr>
              <w:spacing w:before="0" w:after="0" w:line="240" w:lineRule="auto"/>
              <w:jc w:val="center"/>
              <w:rPr>
                <w:sz w:val="20"/>
                <w:szCs w:val="20"/>
              </w:rPr>
            </w:pPr>
            <w:r w:rsidRPr="00AC1930">
              <w:rPr>
                <w:sz w:val="20"/>
                <w:szCs w:val="20"/>
              </w:rPr>
              <w:t>No/No</w:t>
            </w:r>
          </w:p>
        </w:tc>
      </w:tr>
    </w:tbl>
    <w:p w14:paraId="132A1438" w14:textId="77777777" w:rsidR="002E7E3F" w:rsidRPr="00AC1930" w:rsidRDefault="0001118D" w:rsidP="00CF37FB">
      <w:pPr>
        <w:spacing w:before="0" w:line="276" w:lineRule="auto"/>
        <w:rPr>
          <w:sz w:val="20"/>
          <w:szCs w:val="20"/>
        </w:rPr>
      </w:pPr>
      <w:r w:rsidRPr="00AC1930">
        <w:rPr>
          <w:sz w:val="20"/>
          <w:szCs w:val="20"/>
        </w:rPr>
        <w:t>CV: Control Variable</w:t>
      </w:r>
    </w:p>
    <w:p w14:paraId="50566449" w14:textId="3832DB39" w:rsidR="002E7E3F" w:rsidRPr="00AC1930" w:rsidRDefault="0001118D" w:rsidP="001A2D0A">
      <w:pPr>
        <w:spacing w:after="120"/>
      </w:pPr>
      <w:r w:rsidRPr="00AC1930">
        <w:t>The results of the multi-group analysis (see Table 5) show that according to two groups (public and private sector groups)</w:t>
      </w:r>
      <w:r w:rsidR="002276E4" w:rsidRPr="00AC1930">
        <w:t>,</w:t>
      </w:r>
      <w:r w:rsidRPr="00AC1930">
        <w:t xml:space="preserve"> the relationship between Age and WA and LMX and SR differs. According to our findings, an increase in age decreases WA in the public sector. The age variable does not affect WA in the private sector. </w:t>
      </w:r>
      <w:r w:rsidR="00F96883" w:rsidRPr="00AC1930">
        <w:t>Further</w:t>
      </w:r>
      <w:r w:rsidRPr="00AC1930">
        <w:t xml:space="preserve">, while LMX perception has a higher impact on the SR in the public sector, the effect of </w:t>
      </w:r>
      <w:r w:rsidR="00A369CB" w:rsidRPr="00AC1930">
        <w:t xml:space="preserve">the perception of </w:t>
      </w:r>
      <w:r w:rsidRPr="00AC1930">
        <w:t xml:space="preserve">LMX on SR is lower in the private sector. </w:t>
      </w:r>
      <w:r w:rsidR="00A42AB9" w:rsidRPr="00AC1930">
        <w:t>MGA analysis results suggest that</w:t>
      </w:r>
      <w:r w:rsidRPr="00AC1930">
        <w:t xml:space="preserve"> there are no other significant differences between </w:t>
      </w:r>
      <w:r w:rsidR="00A369CB" w:rsidRPr="00AC1930">
        <w:t xml:space="preserve">the </w:t>
      </w:r>
      <w:r w:rsidRPr="00AC1930">
        <w:t xml:space="preserve">public and private sectors. </w:t>
      </w:r>
      <w:r w:rsidR="00910FA1" w:rsidRPr="00AC1930">
        <w:t xml:space="preserve">As a result of </w:t>
      </w:r>
      <w:r w:rsidR="003B246D" w:rsidRPr="00AC1930">
        <w:t>multi-group analysis</w:t>
      </w:r>
      <w:r w:rsidR="002276E4" w:rsidRPr="00AC1930">
        <w:t>,</w:t>
      </w:r>
      <w:r w:rsidR="00DE3B8E" w:rsidRPr="00AC1930">
        <w:t xml:space="preserve"> H6</w:t>
      </w:r>
      <w:r w:rsidRPr="00AC1930">
        <w:t xml:space="preserve"> is </w:t>
      </w:r>
      <w:r w:rsidR="00A369CB" w:rsidRPr="00AC1930">
        <w:t xml:space="preserve">only </w:t>
      </w:r>
      <w:r w:rsidR="00DE3B8E" w:rsidRPr="00AC1930">
        <w:t xml:space="preserve">partially </w:t>
      </w:r>
      <w:r w:rsidRPr="00AC1930">
        <w:t>supported</w:t>
      </w:r>
      <w:r w:rsidR="00DE3B8E" w:rsidRPr="00AC1930">
        <w:t>.</w:t>
      </w:r>
    </w:p>
    <w:p w14:paraId="1D522A59" w14:textId="77777777" w:rsidR="002E7E3F" w:rsidRPr="00AC1930" w:rsidRDefault="0001118D">
      <w:pPr>
        <w:pStyle w:val="Heading1"/>
        <w:keepNext w:val="0"/>
        <w:keepLines w:val="0"/>
        <w:spacing w:before="480" w:after="120" w:line="480" w:lineRule="auto"/>
        <w:rPr>
          <w:b/>
          <w:sz w:val="32"/>
          <w:szCs w:val="32"/>
        </w:rPr>
      </w:pPr>
      <w:bookmarkStart w:id="17" w:name="_44sinio" w:colFirst="0" w:colLast="0"/>
      <w:bookmarkEnd w:id="17"/>
      <w:r w:rsidRPr="00AC1930">
        <w:rPr>
          <w:b/>
          <w:sz w:val="32"/>
          <w:szCs w:val="32"/>
        </w:rPr>
        <w:t>Discussion</w:t>
      </w:r>
    </w:p>
    <w:p w14:paraId="742F6C66" w14:textId="5B082D96" w:rsidR="002E7E3F" w:rsidRPr="00AC1930" w:rsidRDefault="0001118D">
      <w:r w:rsidRPr="00AC1930">
        <w:lastRenderedPageBreak/>
        <w:t>The aim of the study was to propose a novel research model to examine</w:t>
      </w:r>
      <w:r w:rsidR="00471CD3" w:rsidRPr="00AC1930">
        <w:t xml:space="preserve"> </w:t>
      </w:r>
      <w:r w:rsidRPr="00AC1930">
        <w:t xml:space="preserve">the </w:t>
      </w:r>
      <w:r w:rsidR="00FD569E" w:rsidRPr="00AC1930">
        <w:t xml:space="preserve">impact of tenure and </w:t>
      </w:r>
      <w:r w:rsidRPr="00AC1930">
        <w:t xml:space="preserve">LMX </w:t>
      </w:r>
      <w:r w:rsidR="00FD569E" w:rsidRPr="00AC1930">
        <w:t>on</w:t>
      </w:r>
      <w:r w:rsidRPr="00AC1930">
        <w:t xml:space="preserve"> WA</w:t>
      </w:r>
      <w:r w:rsidR="005F4064" w:rsidRPr="00AC1930">
        <w:t>,</w:t>
      </w:r>
      <w:r w:rsidRPr="00AC1930">
        <w:t xml:space="preserve"> and the </w:t>
      </w:r>
      <w:r w:rsidR="005F4064" w:rsidRPr="00AC1930">
        <w:t xml:space="preserve">mediating </w:t>
      </w:r>
      <w:r w:rsidRPr="00AC1930">
        <w:t>role of SR</w:t>
      </w:r>
      <w:r w:rsidR="00FD569E" w:rsidRPr="00AC1930">
        <w:t xml:space="preserve"> and moderating role of tenure on the relationship</w:t>
      </w:r>
      <w:r w:rsidRPr="00AC1930">
        <w:t>. With a theoretical model benefiting from Social Exchange Theory (</w:t>
      </w:r>
      <w:proofErr w:type="spellStart"/>
      <w:r w:rsidRPr="00AC1930">
        <w:t>Blau</w:t>
      </w:r>
      <w:proofErr w:type="spellEnd"/>
      <w:r w:rsidRPr="00AC1930">
        <w:t xml:space="preserve"> 1964) and Self-Determination Theory (Deci/Ryan 2000), we </w:t>
      </w:r>
      <w:r w:rsidR="005F4064" w:rsidRPr="00AC1930">
        <w:t xml:space="preserve">attempted </w:t>
      </w:r>
      <w:r w:rsidRPr="00AC1930">
        <w:t xml:space="preserve">to examine how the quality of the relationship between organisation members and their leaders affects </w:t>
      </w:r>
      <w:r w:rsidR="00726959" w:rsidRPr="00AC1930">
        <w:t xml:space="preserve">the </w:t>
      </w:r>
      <w:r w:rsidRPr="00AC1930">
        <w:t>alienation of organisation members. We also investigated the mediating role of organisation members' SR on the relationship between LMX and WA.</w:t>
      </w:r>
      <w:r w:rsidR="00D6156A" w:rsidRPr="00AC1930">
        <w:t xml:space="preserve"> </w:t>
      </w:r>
      <w:r w:rsidR="00960A9B" w:rsidRPr="00AC1930">
        <w:t xml:space="preserve">In addition, to enhance the results of our research, we performed a multi-group analysis </w:t>
      </w:r>
      <w:r w:rsidR="00726959" w:rsidRPr="00AC1930">
        <w:t xml:space="preserve">that focused </w:t>
      </w:r>
      <w:r w:rsidR="00960A9B" w:rsidRPr="00AC1930">
        <w:t xml:space="preserve">on salient differences between the private and public sectors. </w:t>
      </w:r>
      <w:r w:rsidRPr="00AC1930">
        <w:t xml:space="preserve">To </w:t>
      </w:r>
      <w:r w:rsidR="00726959" w:rsidRPr="00AC1930">
        <w:t xml:space="preserve">the </w:t>
      </w:r>
      <w:r w:rsidRPr="00AC1930">
        <w:t xml:space="preserve">best </w:t>
      </w:r>
      <w:r w:rsidR="00726959" w:rsidRPr="00AC1930">
        <w:t xml:space="preserve">of our </w:t>
      </w:r>
      <w:r w:rsidRPr="00AC1930">
        <w:t xml:space="preserve">knowledge, our model </w:t>
      </w:r>
      <w:r w:rsidR="00726959" w:rsidRPr="00AC1930">
        <w:t xml:space="preserve">can be </w:t>
      </w:r>
      <w:r w:rsidRPr="00AC1930">
        <w:t xml:space="preserve">regarded as the first </w:t>
      </w:r>
      <w:r w:rsidR="00726959" w:rsidRPr="00AC1930">
        <w:t>time</w:t>
      </w:r>
      <w:r w:rsidRPr="00AC1930">
        <w:t xml:space="preserve"> SR </w:t>
      </w:r>
      <w:r w:rsidR="00726959" w:rsidRPr="00AC1930">
        <w:t xml:space="preserve">has been used </w:t>
      </w:r>
      <w:r w:rsidRPr="00AC1930">
        <w:t xml:space="preserve">as a mediator and tenure as a moderator. In our research, the emerging results supported our hypotheses and made contributions to the current research streams </w:t>
      </w:r>
      <w:r w:rsidR="00726959" w:rsidRPr="00AC1930">
        <w:t xml:space="preserve">in the areas of </w:t>
      </w:r>
      <w:r w:rsidRPr="00AC1930">
        <w:t>SR, LMX</w:t>
      </w:r>
      <w:r w:rsidR="00726959" w:rsidRPr="00AC1930">
        <w:t>,</w:t>
      </w:r>
      <w:r w:rsidRPr="00AC1930">
        <w:t xml:space="preserve"> and WA. We found that SR can play a </w:t>
      </w:r>
      <w:r w:rsidR="00726959" w:rsidRPr="00AC1930">
        <w:t xml:space="preserve">mediating </w:t>
      </w:r>
      <w:r w:rsidRPr="00AC1930">
        <w:t xml:space="preserve">role </w:t>
      </w:r>
      <w:r w:rsidR="00726959" w:rsidRPr="00AC1930">
        <w:t xml:space="preserve">in </w:t>
      </w:r>
      <w:r w:rsidRPr="00AC1930">
        <w:t xml:space="preserve">the relationship between LMX and WA. We also found that tenure has a moderating effect on the relationship between LMX and WA. We will first discuss the results in the following paragraphs and then </w:t>
      </w:r>
      <w:r w:rsidR="00726959" w:rsidRPr="00AC1930">
        <w:t xml:space="preserve">their </w:t>
      </w:r>
      <w:r w:rsidRPr="00AC1930">
        <w:t xml:space="preserve">contributions in the </w:t>
      </w:r>
      <w:r w:rsidR="00726959" w:rsidRPr="00AC1930">
        <w:t xml:space="preserve">following </w:t>
      </w:r>
      <w:r w:rsidRPr="00AC1930">
        <w:t>section of the paper.</w:t>
      </w:r>
    </w:p>
    <w:p w14:paraId="5A5E7D9D" w14:textId="0690A2BD" w:rsidR="002E7E3F" w:rsidRPr="00AC1930" w:rsidRDefault="0001118D">
      <w:r w:rsidRPr="00AC1930">
        <w:t>First, we focused on the relationship between LMX and WA. Our results showed that there is a significant effect of LMX on WA. We found that LMX is a predictor of WA, and there is a negative association between LMX and WA. The</w:t>
      </w:r>
      <w:r w:rsidR="00EA2855" w:rsidRPr="00AC1930">
        <w:t>se</w:t>
      </w:r>
      <w:r w:rsidRPr="00AC1930">
        <w:t xml:space="preserve"> results are in line with those of previous studies (</w:t>
      </w:r>
      <w:proofErr w:type="spellStart"/>
      <w:r w:rsidRPr="00AC1930">
        <w:t>Banai</w:t>
      </w:r>
      <w:proofErr w:type="spellEnd"/>
      <w:r w:rsidRPr="00AC1930">
        <w:t>/</w:t>
      </w:r>
      <w:proofErr w:type="spellStart"/>
      <w:r w:rsidRPr="00AC1930">
        <w:t>Reisel</w:t>
      </w:r>
      <w:proofErr w:type="spellEnd"/>
      <w:r w:rsidRPr="00AC1930">
        <w:t xml:space="preserve"> 2007; Nair/Vohra 2010; Finney/Finney/</w:t>
      </w:r>
      <w:proofErr w:type="spellStart"/>
      <w:r w:rsidRPr="00AC1930">
        <w:t>Maes</w:t>
      </w:r>
      <w:proofErr w:type="spellEnd"/>
      <w:r w:rsidRPr="00AC1930">
        <w:t xml:space="preserve"> 2018)</w:t>
      </w:r>
      <w:r w:rsidR="002276E4" w:rsidRPr="00AC1930">
        <w:t>,</w:t>
      </w:r>
      <w:r w:rsidRPr="00AC1930">
        <w:t xml:space="preserve"> which illustrate that </w:t>
      </w:r>
      <w:r w:rsidR="002276E4" w:rsidRPr="00AC1930">
        <w:t xml:space="preserve">a </w:t>
      </w:r>
      <w:r w:rsidRPr="00AC1930">
        <w:t xml:space="preserve">good relationship with leaders can diminish </w:t>
      </w:r>
      <w:r w:rsidR="00EA2855" w:rsidRPr="00AC1930">
        <w:t xml:space="preserve">the </w:t>
      </w:r>
      <w:r w:rsidRPr="00AC1930">
        <w:t>WA of organisation members. Consistent with SET and SDT, we found that organisation members who have a higher perception of good exchange relationship with their leaders had lower WA</w:t>
      </w:r>
      <w:r w:rsidR="002276E4" w:rsidRPr="00AC1930">
        <w:t>,</w:t>
      </w:r>
      <w:r w:rsidRPr="00AC1930">
        <w:t xml:space="preserve"> which extends the current knowledge by bringing more evidence to the literature (</w:t>
      </w:r>
      <w:proofErr w:type="spellStart"/>
      <w:r w:rsidRPr="00AC1930">
        <w:t>Tanriverdi</w:t>
      </w:r>
      <w:proofErr w:type="spellEnd"/>
      <w:r w:rsidRPr="00AC1930">
        <w:t>/</w:t>
      </w:r>
      <w:proofErr w:type="spellStart"/>
      <w:r w:rsidRPr="00AC1930">
        <w:t>Kahraman</w:t>
      </w:r>
      <w:proofErr w:type="spellEnd"/>
      <w:r w:rsidRPr="00AC1930">
        <w:t xml:space="preserve"> 2016; Can 2019). Second, based on the findings, LMX had a significant effect on SR. This can be interpreted </w:t>
      </w:r>
      <w:r w:rsidR="00EA2855" w:rsidRPr="00AC1930">
        <w:t xml:space="preserve">in terms of </w:t>
      </w:r>
      <w:r w:rsidRPr="00AC1930">
        <w:lastRenderedPageBreak/>
        <w:t xml:space="preserve">the way </w:t>
      </w:r>
      <w:r w:rsidR="00EA2855" w:rsidRPr="00AC1930">
        <w:t xml:space="preserve">in which </w:t>
      </w:r>
      <w:r w:rsidRPr="00AC1930">
        <w:t>organ</w:t>
      </w:r>
      <w:r w:rsidR="007A6407" w:rsidRPr="00AC1930">
        <w:t>is</w:t>
      </w:r>
      <w:r w:rsidRPr="00AC1930">
        <w:t>ation members gain resources and regulate their behaviours. In other words, we found that having a high-quality relationship with a leader provides emotional as well as cognitive resources to organisation members as they can regulate their behaviour</w:t>
      </w:r>
      <w:r w:rsidR="00524AB6" w:rsidRPr="00AC1930">
        <w:t>s</w:t>
      </w:r>
      <w:r w:rsidRPr="00AC1930">
        <w:t xml:space="preserve"> based on the</w:t>
      </w:r>
      <w:r w:rsidR="00524AB6" w:rsidRPr="00AC1930">
        <w:t>se</w:t>
      </w:r>
      <w:r w:rsidRPr="00AC1930">
        <w:t xml:space="preserve"> resources (Jawahar/</w:t>
      </w:r>
      <w:proofErr w:type="spellStart"/>
      <w:r w:rsidRPr="00AC1930">
        <w:t>Schreurs</w:t>
      </w:r>
      <w:proofErr w:type="spellEnd"/>
      <w:r w:rsidRPr="00AC1930">
        <w:t>/Mohammed 2018). From this point of view, this finding is a solid contribution to the literature</w:t>
      </w:r>
      <w:r w:rsidR="00582639" w:rsidRPr="00AC1930">
        <w:t>,</w:t>
      </w:r>
      <w:r w:rsidRPr="00AC1930">
        <w:t xml:space="preserve"> </w:t>
      </w:r>
      <w:r w:rsidR="00524AB6" w:rsidRPr="00AC1930">
        <w:t>it</w:t>
      </w:r>
      <w:r w:rsidR="00582639" w:rsidRPr="00AC1930">
        <w:t xml:space="preserve"> </w:t>
      </w:r>
      <w:proofErr w:type="gramStart"/>
      <w:r w:rsidRPr="00AC1930">
        <w:t>joining</w:t>
      </w:r>
      <w:proofErr w:type="gramEnd"/>
      <w:r w:rsidRPr="00AC1930">
        <w:t xml:space="preserve"> other positive outcomes</w:t>
      </w:r>
      <w:r w:rsidR="00F62713" w:rsidRPr="00AC1930">
        <w:t xml:space="preserve"> of LMX</w:t>
      </w:r>
      <w:r w:rsidR="00582639" w:rsidRPr="00AC1930">
        <w:t xml:space="preserve"> such as</w:t>
      </w:r>
      <w:r w:rsidRPr="00AC1930">
        <w:t xml:space="preserve"> job </w:t>
      </w:r>
      <w:r w:rsidR="00F62713" w:rsidRPr="00AC1930">
        <w:t>embeddedness</w:t>
      </w:r>
      <w:r w:rsidR="00F62713" w:rsidRPr="00AC1930" w:rsidDel="00F62713">
        <w:t xml:space="preserve"> </w:t>
      </w:r>
      <w:r w:rsidRPr="00AC1930">
        <w:t>(Harris/Wheeler/</w:t>
      </w:r>
      <w:proofErr w:type="spellStart"/>
      <w:r w:rsidRPr="00AC1930">
        <w:t>Kacmar</w:t>
      </w:r>
      <w:proofErr w:type="spellEnd"/>
      <w:r w:rsidRPr="00AC1930">
        <w:t xml:space="preserve"> 2011). Moreover, this result is congruent with prior studies (</w:t>
      </w:r>
      <w:proofErr w:type="spellStart"/>
      <w:r w:rsidRPr="00AC1930">
        <w:t>Shaalan</w:t>
      </w:r>
      <w:proofErr w:type="spellEnd"/>
      <w:r w:rsidRPr="00AC1930">
        <w:t>/</w:t>
      </w:r>
      <w:proofErr w:type="spellStart"/>
      <w:r w:rsidRPr="00AC1930">
        <w:t>Elsaid</w:t>
      </w:r>
      <w:proofErr w:type="spellEnd"/>
      <w:r w:rsidRPr="00AC1930">
        <w:t>/</w:t>
      </w:r>
      <w:proofErr w:type="spellStart"/>
      <w:r w:rsidRPr="00AC1930">
        <w:t>Elsaid</w:t>
      </w:r>
      <w:proofErr w:type="spellEnd"/>
      <w:r w:rsidRPr="00AC1930">
        <w:t xml:space="preserve"> 2019)</w:t>
      </w:r>
      <w:r w:rsidR="002276E4" w:rsidRPr="00AC1930">
        <w:t>,</w:t>
      </w:r>
      <w:r w:rsidRPr="00AC1930">
        <w:t xml:space="preserve"> as they similarly found that LMX has a positive </w:t>
      </w:r>
      <w:r w:rsidR="007F0782" w:rsidRPr="00AC1930">
        <w:t xml:space="preserve">and </w:t>
      </w:r>
      <w:r w:rsidRPr="00AC1930">
        <w:t>direct impact on SR.</w:t>
      </w:r>
    </w:p>
    <w:p w14:paraId="7605D3E9" w14:textId="33A0D126" w:rsidR="002E7E3F" w:rsidRPr="00AC1930" w:rsidRDefault="0001118D">
      <w:r w:rsidRPr="00AC1930">
        <w:t>Third, another focus was to examine the association between SR and WA</w:t>
      </w:r>
      <w:r w:rsidR="00316F0E" w:rsidRPr="00AC1930">
        <w:t>, the existence of which the results confirmed</w:t>
      </w:r>
      <w:r w:rsidRPr="00AC1930">
        <w:t xml:space="preserve">. Based on this finding, participants with self-regulation failures would </w:t>
      </w:r>
      <w:r w:rsidR="00316F0E" w:rsidRPr="00AC1930">
        <w:t>be more likely to show</w:t>
      </w:r>
      <w:r w:rsidRPr="00AC1930">
        <w:t xml:space="preserve"> estrangement from work, whereas employees with solid self-regulatory practices would not be alienated from their work. This outcome was one of the most important contributions of this paper, which extends </w:t>
      </w:r>
      <w:r w:rsidR="00316F0E" w:rsidRPr="00AC1930">
        <w:t xml:space="preserve">the </w:t>
      </w:r>
      <w:r w:rsidRPr="00AC1930">
        <w:t>LMX, SR</w:t>
      </w:r>
      <w:r w:rsidR="00316F0E" w:rsidRPr="00AC1930">
        <w:t>,</w:t>
      </w:r>
      <w:r w:rsidRPr="00AC1930">
        <w:t xml:space="preserve"> and WA literatures (Eisenberger/</w:t>
      </w:r>
      <w:proofErr w:type="spellStart"/>
      <w:r w:rsidRPr="00AC1930">
        <w:t>Fasolo</w:t>
      </w:r>
      <w:proofErr w:type="spellEnd"/>
      <w:r w:rsidRPr="00AC1930">
        <w:t>/Davis-</w:t>
      </w:r>
      <w:proofErr w:type="spellStart"/>
      <w:r w:rsidRPr="00AC1930">
        <w:t>LaMastro</w:t>
      </w:r>
      <w:proofErr w:type="spellEnd"/>
      <w:r w:rsidRPr="00AC1930">
        <w:t xml:space="preserve"> 1990; Marshall/Michaels/Mulki 2007). The outcome broadly supported the work of similar studies</w:t>
      </w:r>
      <w:r w:rsidR="002276E4" w:rsidRPr="00AC1930">
        <w:t>,</w:t>
      </w:r>
      <w:r w:rsidRPr="00AC1930">
        <w:t xml:space="preserve"> which provided the predictors and outcomes of WA </w:t>
      </w:r>
      <w:r w:rsidR="00316F0E" w:rsidRPr="00AC1930">
        <w:t xml:space="preserve">according to </w:t>
      </w:r>
      <w:r w:rsidRPr="00AC1930">
        <w:t>different variables (</w:t>
      </w:r>
      <w:proofErr w:type="spellStart"/>
      <w:r w:rsidRPr="00AC1930">
        <w:t>Chiaburu</w:t>
      </w:r>
      <w:proofErr w:type="spellEnd"/>
      <w:r w:rsidRPr="00AC1930">
        <w:t xml:space="preserve"> et al. 2014).</w:t>
      </w:r>
    </w:p>
    <w:p w14:paraId="589F96B7" w14:textId="079CB452" w:rsidR="002E7E3F" w:rsidRPr="00AC1930" w:rsidRDefault="0001118D">
      <w:r w:rsidRPr="00AC1930">
        <w:t xml:space="preserve">Fourth, the present study was designed to determine the </w:t>
      </w:r>
      <w:r w:rsidR="00316F0E" w:rsidRPr="00AC1930">
        <w:t xml:space="preserve">mediating </w:t>
      </w:r>
      <w:r w:rsidRPr="00AC1930">
        <w:t xml:space="preserve">role of SR on the relationship between LMX and WA, as no previous research has attempted to examine this role. We wondered if self-regulation would show a </w:t>
      </w:r>
      <w:r w:rsidR="005E2054" w:rsidRPr="00AC1930">
        <w:t xml:space="preserve">mediating </w:t>
      </w:r>
      <w:r w:rsidRPr="00AC1930">
        <w:t>effect while LMX qualities were influencing WA. We found that SR was mediating the relationship between LMX and WA. Since SR is a construct to control individuals' responses, needs</w:t>
      </w:r>
      <w:r w:rsidR="005E2054" w:rsidRPr="00AC1930">
        <w:t>,</w:t>
      </w:r>
      <w:r w:rsidRPr="00AC1930">
        <w:t xml:space="preserve"> or feelings when they encounter a situation (Baumeister et al. 2007), this finding can be interpreted </w:t>
      </w:r>
      <w:r w:rsidR="005E2054" w:rsidRPr="00AC1930">
        <w:t xml:space="preserve">in the sense </w:t>
      </w:r>
      <w:r w:rsidRPr="00AC1930">
        <w:t xml:space="preserve">that having a stronger psychological state would play a role in not being alienated from their work. This is </w:t>
      </w:r>
      <w:r w:rsidRPr="00AC1930">
        <w:lastRenderedPageBreak/>
        <w:t xml:space="preserve">one of the most important contributions to the literature given the limited empirical research on SR and its </w:t>
      </w:r>
      <w:r w:rsidR="005E2054" w:rsidRPr="00AC1930">
        <w:t xml:space="preserve">mediating </w:t>
      </w:r>
      <w:r w:rsidRPr="00AC1930">
        <w:t>role with other variables.</w:t>
      </w:r>
    </w:p>
    <w:p w14:paraId="7D65DB18" w14:textId="54BB2008" w:rsidR="002E7E3F" w:rsidRPr="00AC1930" w:rsidRDefault="0001118D">
      <w:r w:rsidRPr="00AC1930">
        <w:t xml:space="preserve">Fifth, we focused on </w:t>
      </w:r>
      <w:r w:rsidR="005E2054" w:rsidRPr="00AC1930">
        <w:t xml:space="preserve">whether </w:t>
      </w:r>
      <w:r w:rsidRPr="00AC1930">
        <w:t>tenure would moderate the relationship between LMX and WA. For this purpose, we conducted a moderation analysis</w:t>
      </w:r>
      <w:r w:rsidR="005E2054" w:rsidRPr="00AC1930">
        <w:t xml:space="preserve">, </w:t>
      </w:r>
      <w:r w:rsidRPr="00AC1930">
        <w:t xml:space="preserve">results </w:t>
      </w:r>
      <w:r w:rsidR="005E2054" w:rsidRPr="00AC1930">
        <w:t xml:space="preserve">of which </w:t>
      </w:r>
      <w:r w:rsidRPr="00AC1930">
        <w:t>(</w:t>
      </w:r>
      <w:r w:rsidR="005E2054" w:rsidRPr="00AC1930">
        <w:t xml:space="preserve">please </w:t>
      </w:r>
      <w:r w:rsidRPr="00AC1930">
        <w:t xml:space="preserve">see Appendix 2 for the Slope Matrix) </w:t>
      </w:r>
      <w:r w:rsidR="005E2054" w:rsidRPr="00AC1930">
        <w:t xml:space="preserve">show that </w:t>
      </w:r>
      <w:r w:rsidRPr="00AC1930">
        <w:t>tenure dampens the negative relationship between LMX and WA. Based on the</w:t>
      </w:r>
      <w:r w:rsidR="005E2054" w:rsidRPr="00AC1930">
        <w:t>se</w:t>
      </w:r>
      <w:r w:rsidRPr="00AC1930">
        <w:t xml:space="preserve"> results, we found that LMX </w:t>
      </w:r>
      <w:r w:rsidR="005E2054" w:rsidRPr="00AC1930">
        <w:t xml:space="preserve">is not sufficient </w:t>
      </w:r>
      <w:proofErr w:type="gramStart"/>
      <w:r w:rsidR="005E2054" w:rsidRPr="00AC1930">
        <w:t>in itself</w:t>
      </w:r>
      <w:r w:rsidRPr="00AC1930">
        <w:t xml:space="preserve"> to</w:t>
      </w:r>
      <w:proofErr w:type="gramEnd"/>
      <w:r w:rsidRPr="00AC1930">
        <w:t xml:space="preserve"> prevent WA when tenure increases. This finding provided support for the </w:t>
      </w:r>
      <w:r w:rsidR="005E2054" w:rsidRPr="00AC1930">
        <w:t xml:space="preserve">moderating </w:t>
      </w:r>
      <w:r w:rsidRPr="00AC1930">
        <w:t>role of tenure, which is consistent with similar research (Kim et al. 2015).</w:t>
      </w:r>
    </w:p>
    <w:p w14:paraId="47932825" w14:textId="7C731A79" w:rsidR="002E7E3F" w:rsidRPr="00AC1930" w:rsidRDefault="0001118D">
      <w:r w:rsidRPr="00AC1930">
        <w:t xml:space="preserve">MGA results show that the effect of </w:t>
      </w:r>
      <w:r w:rsidR="002276E4" w:rsidRPr="00AC1930">
        <w:t xml:space="preserve">the </w:t>
      </w:r>
      <w:r w:rsidRPr="00AC1930">
        <w:t xml:space="preserve">age variable on WA and the effect of LMX on SR differ by sector. According to the findings, age has a negative effect on WA in the public sector, whereas age does not affect WA significantly </w:t>
      </w:r>
      <w:r w:rsidR="005E2054" w:rsidRPr="00AC1930">
        <w:t xml:space="preserve">in </w:t>
      </w:r>
      <w:r w:rsidRPr="00AC1930">
        <w:t xml:space="preserve">the private sector. In other words, it can be concluded that the </w:t>
      </w:r>
      <w:r w:rsidR="00C07DCD" w:rsidRPr="00AC1930">
        <w:t xml:space="preserve">greater one’s </w:t>
      </w:r>
      <w:r w:rsidRPr="00AC1930">
        <w:t>age</w:t>
      </w:r>
      <w:r w:rsidR="00C07DCD" w:rsidRPr="00AC1930">
        <w:t>,</w:t>
      </w:r>
      <w:r w:rsidRPr="00AC1930">
        <w:t xml:space="preserve"> the lower </w:t>
      </w:r>
      <w:r w:rsidR="00C07DCD" w:rsidRPr="00AC1930">
        <w:t xml:space="preserve">the </w:t>
      </w:r>
      <w:r w:rsidRPr="00AC1930">
        <w:t>WA in the public sector. Another significant difference occurs for the LMX and SR relationship in which LMX has a stronger effect on SR for the public sector than the private sector.</w:t>
      </w:r>
    </w:p>
    <w:p w14:paraId="7377FA2A" w14:textId="77777777" w:rsidR="002E7E3F" w:rsidRPr="00AC1930" w:rsidRDefault="0001118D">
      <w:pPr>
        <w:pStyle w:val="Heading1"/>
        <w:keepNext w:val="0"/>
        <w:keepLines w:val="0"/>
        <w:spacing w:before="480" w:after="120" w:line="480" w:lineRule="auto"/>
        <w:rPr>
          <w:b/>
          <w:sz w:val="32"/>
          <w:szCs w:val="32"/>
        </w:rPr>
      </w:pPr>
      <w:bookmarkStart w:id="18" w:name="_2jxsxqh" w:colFirst="0" w:colLast="0"/>
      <w:bookmarkEnd w:id="18"/>
      <w:r w:rsidRPr="00AC1930">
        <w:rPr>
          <w:b/>
          <w:sz w:val="32"/>
          <w:szCs w:val="32"/>
        </w:rPr>
        <w:t>Conclusion</w:t>
      </w:r>
    </w:p>
    <w:p w14:paraId="5CC51E95" w14:textId="050F0008" w:rsidR="002E7E3F" w:rsidRPr="00AC1930" w:rsidRDefault="0001118D">
      <w:r w:rsidRPr="00AC1930">
        <w:t xml:space="preserve">This paper demonstrated that organisation members </w:t>
      </w:r>
      <w:r w:rsidR="00EA39F9" w:rsidRPr="00AC1930">
        <w:t xml:space="preserve">in </w:t>
      </w:r>
      <w:r w:rsidRPr="00AC1930">
        <w:t xml:space="preserve">both </w:t>
      </w:r>
      <w:r w:rsidR="00EA39F9" w:rsidRPr="00AC1930">
        <w:t xml:space="preserve">the </w:t>
      </w:r>
      <w:r w:rsidRPr="00AC1930">
        <w:t>private and public sectors encounter estrangement from their work</w:t>
      </w:r>
      <w:r w:rsidR="00EA39F9" w:rsidRPr="00AC1930">
        <w:t>,</w:t>
      </w:r>
      <w:r w:rsidRPr="00AC1930">
        <w:t xml:space="preserve"> which has </w:t>
      </w:r>
      <w:r w:rsidR="00EA39F9" w:rsidRPr="00AC1930">
        <w:t xml:space="preserve">long </w:t>
      </w:r>
      <w:r w:rsidRPr="00AC1930">
        <w:t>been a detrimental issue (</w:t>
      </w:r>
      <w:proofErr w:type="spellStart"/>
      <w:r w:rsidRPr="00AC1930">
        <w:t>Tummers</w:t>
      </w:r>
      <w:proofErr w:type="spellEnd"/>
      <w:r w:rsidRPr="00AC1930">
        <w:t xml:space="preserve">/den </w:t>
      </w:r>
      <w:proofErr w:type="spellStart"/>
      <w:r w:rsidRPr="00AC1930">
        <w:t>Dulk</w:t>
      </w:r>
      <w:proofErr w:type="spellEnd"/>
      <w:r w:rsidRPr="00AC1930">
        <w:t xml:space="preserve"> 2011). Considering the foundations of work alienation</w:t>
      </w:r>
      <w:r w:rsidR="00EA39F9" w:rsidRPr="00AC1930">
        <w:t>,</w:t>
      </w:r>
      <w:r w:rsidRPr="00AC1930">
        <w:t xml:space="preserve"> which </w:t>
      </w:r>
      <w:proofErr w:type="gramStart"/>
      <w:r w:rsidRPr="00AC1930">
        <w:t>dates back to</w:t>
      </w:r>
      <w:proofErr w:type="gramEnd"/>
      <w:r w:rsidRPr="00AC1930">
        <w:t xml:space="preserve"> works of Hegel (1807/1977) and Marx (1844/1969), it </w:t>
      </w:r>
      <w:r w:rsidR="00EA39F9" w:rsidRPr="00AC1930">
        <w:t xml:space="preserve">can be </w:t>
      </w:r>
      <w:r w:rsidRPr="00AC1930">
        <w:t>seen that alienation is conceptual</w:t>
      </w:r>
      <w:r w:rsidR="007A6407" w:rsidRPr="00AC1930">
        <w:t>is</w:t>
      </w:r>
      <w:r w:rsidRPr="00AC1930">
        <w:t>ed as a state of psychological disengagement. Marx described alienation as an objective condition in which employees become isolated having given up their desire for self-expression at work (Nelson/</w:t>
      </w:r>
      <w:proofErr w:type="spellStart"/>
      <w:r w:rsidRPr="00AC1930">
        <w:t>O'Donohue</w:t>
      </w:r>
      <w:proofErr w:type="spellEnd"/>
      <w:r w:rsidRPr="00AC1930">
        <w:t xml:space="preserve"> 2006). From a more psychological standpoint </w:t>
      </w:r>
      <w:r w:rsidR="00EA39F9" w:rsidRPr="00AC1930">
        <w:t>–</w:t>
      </w:r>
      <w:r w:rsidRPr="00AC1930">
        <w:t xml:space="preserve"> </w:t>
      </w:r>
      <w:r w:rsidRPr="00AC1930">
        <w:lastRenderedPageBreak/>
        <w:t xml:space="preserve">through </w:t>
      </w:r>
      <w:r w:rsidR="00EA39F9" w:rsidRPr="00AC1930">
        <w:t xml:space="preserve">the </w:t>
      </w:r>
      <w:r w:rsidRPr="00AC1930">
        <w:t>five dimensions</w:t>
      </w:r>
      <w:r w:rsidR="00EA39F9" w:rsidRPr="00AC1930">
        <w:t xml:space="preserve"> of </w:t>
      </w:r>
      <w:r w:rsidRPr="00AC1930">
        <w:t>powerlessness, meaninglessness, normlessness, isolation, and self-estrangement</w:t>
      </w:r>
      <w:r w:rsidR="00EA39F9" w:rsidRPr="00AC1930">
        <w:t xml:space="preserve"> –</w:t>
      </w:r>
      <w:r w:rsidRPr="00AC1930">
        <w:t xml:space="preserve"> work alienation has been identified as a psychological syndrome that causes </w:t>
      </w:r>
      <w:r w:rsidR="00EA39F9" w:rsidRPr="00AC1930">
        <w:t xml:space="preserve">a </w:t>
      </w:r>
      <w:r w:rsidRPr="00AC1930">
        <w:t xml:space="preserve">loss of connection with one's feelings and self-requirements (Seeman 1959). While past research has articulated </w:t>
      </w:r>
      <w:r w:rsidR="00EA39F9" w:rsidRPr="00AC1930">
        <w:t xml:space="preserve">the </w:t>
      </w:r>
      <w:r w:rsidRPr="00AC1930">
        <w:t>various work-related and personal antecedents of work alienation, e.g.</w:t>
      </w:r>
      <w:r w:rsidR="00EA39F9" w:rsidRPr="00AC1930">
        <w:t>,</w:t>
      </w:r>
      <w:r w:rsidRPr="00AC1930">
        <w:t xml:space="preserve"> poor job conditions (</w:t>
      </w:r>
      <w:proofErr w:type="spellStart"/>
      <w:r w:rsidRPr="00AC1930">
        <w:t>Banai</w:t>
      </w:r>
      <w:proofErr w:type="spellEnd"/>
      <w:r w:rsidRPr="00AC1930">
        <w:t>/</w:t>
      </w:r>
      <w:proofErr w:type="spellStart"/>
      <w:r w:rsidRPr="00AC1930">
        <w:t>Reisel</w:t>
      </w:r>
      <w:proofErr w:type="spellEnd"/>
      <w:r w:rsidRPr="00AC1930">
        <w:t xml:space="preserve"> 2007), injustice (Sulu et al. 2010), locus of control (</w:t>
      </w:r>
      <w:proofErr w:type="spellStart"/>
      <w:r w:rsidRPr="00AC1930">
        <w:t>Banai</w:t>
      </w:r>
      <w:proofErr w:type="spellEnd"/>
      <w:r w:rsidRPr="00AC1930">
        <w:t xml:space="preserve"> et al. 2004)</w:t>
      </w:r>
      <w:r w:rsidR="00EA39F9" w:rsidRPr="00AC1930">
        <w:t>,</w:t>
      </w:r>
      <w:r w:rsidRPr="00AC1930">
        <w:t xml:space="preserve"> or achievement orientation (Hirschfeld 2002), recent studies drew attention to the role of social relations at work (e.g.</w:t>
      </w:r>
      <w:r w:rsidR="00EA39F9" w:rsidRPr="00AC1930">
        <w:t>,</w:t>
      </w:r>
      <w:r w:rsidRPr="00AC1930">
        <w:t xml:space="preserve"> Shantz et al. 2015). In this sense, a lack of meaningful relationships with others appears </w:t>
      </w:r>
      <w:r w:rsidR="00EA39F9" w:rsidRPr="00AC1930">
        <w:t xml:space="preserve">to be </w:t>
      </w:r>
      <w:r w:rsidRPr="00AC1930">
        <w:t>a driver of work alienation. Hence, our study highlighted that having quality relationships with leaders and feeling a sense of connection with them at work can reduce alienation. Thus, the relationship between the leader and organ</w:t>
      </w:r>
      <w:r w:rsidR="007A6407" w:rsidRPr="00AC1930">
        <w:t>is</w:t>
      </w:r>
      <w:r w:rsidRPr="00AC1930">
        <w:t xml:space="preserve">ational members appears to </w:t>
      </w:r>
      <w:r w:rsidR="004112B8" w:rsidRPr="00AC1930">
        <w:t>influence feelings of</w:t>
      </w:r>
      <w:r w:rsidRPr="00AC1930">
        <w:t xml:space="preserve"> alienation</w:t>
      </w:r>
      <w:r w:rsidR="004112B8" w:rsidRPr="00AC1930">
        <w:t>,</w:t>
      </w:r>
      <w:r w:rsidRPr="00AC1930">
        <w:t xml:space="preserve"> as leaders </w:t>
      </w:r>
      <w:r w:rsidR="004112B8" w:rsidRPr="00AC1930">
        <w:t xml:space="preserve">can </w:t>
      </w:r>
      <w:r w:rsidRPr="00AC1930">
        <w:t>diminish members' alienation by providing the needed emotional resources and support (</w:t>
      </w:r>
      <w:proofErr w:type="spellStart"/>
      <w:r w:rsidRPr="00AC1930">
        <w:t>Chiaburu</w:t>
      </w:r>
      <w:proofErr w:type="spellEnd"/>
      <w:r w:rsidRPr="00AC1930">
        <w:t xml:space="preserve"> et al. 2014). Moreover, considering alienation as a subjective "state of mind" (Blauner 1964) rather than Marx's "objective reality" conceptual</w:t>
      </w:r>
      <w:r w:rsidR="007A6407" w:rsidRPr="00AC1930">
        <w:t>is</w:t>
      </w:r>
      <w:r w:rsidRPr="00AC1930">
        <w:t xml:space="preserve">ation, our research showed that the person's ability to regulate </w:t>
      </w:r>
      <w:r w:rsidR="004112B8" w:rsidRPr="00AC1930">
        <w:t>their</w:t>
      </w:r>
      <w:r w:rsidRPr="00AC1930">
        <w:t xml:space="preserve"> feelings </w:t>
      </w:r>
      <w:r w:rsidR="004112B8" w:rsidRPr="00AC1930">
        <w:t>can have an influence</w:t>
      </w:r>
      <w:r w:rsidRPr="00AC1930">
        <w:t xml:space="preserve"> on </w:t>
      </w:r>
      <w:r w:rsidR="004112B8" w:rsidRPr="00AC1930">
        <w:t xml:space="preserve">feelings of </w:t>
      </w:r>
      <w:r w:rsidRPr="00AC1930">
        <w:t>alienation</w:t>
      </w:r>
      <w:r w:rsidR="004112B8" w:rsidRPr="00AC1930">
        <w:t>.</w:t>
      </w:r>
    </w:p>
    <w:p w14:paraId="113327C1" w14:textId="277B8617" w:rsidR="002E7E3F" w:rsidRPr="00AC1930" w:rsidRDefault="0001118D">
      <w:r w:rsidRPr="00AC1930">
        <w:t>The contribution of this research is twofold</w:t>
      </w:r>
      <w:r w:rsidR="004112B8" w:rsidRPr="00AC1930">
        <w:t>; t</w:t>
      </w:r>
      <w:r w:rsidR="002276E4" w:rsidRPr="00AC1930">
        <w:t xml:space="preserve">he </w:t>
      </w:r>
      <w:r w:rsidRPr="00AC1930">
        <w:t xml:space="preserve">first is theoretical, </w:t>
      </w:r>
      <w:r w:rsidR="004112B8" w:rsidRPr="00AC1930">
        <w:t xml:space="preserve">whilst </w:t>
      </w:r>
      <w:r w:rsidRPr="00AC1930">
        <w:t>the latter is methodological. First, this study addresses the gaps in the literature and extends our knowledge about LMX, WA</w:t>
      </w:r>
      <w:r w:rsidR="004112B8" w:rsidRPr="00AC1930">
        <w:t>,</w:t>
      </w:r>
      <w:r w:rsidRPr="00AC1930">
        <w:t xml:space="preserve"> and SR in the following ways. It is surprising that no empirical attempts </w:t>
      </w:r>
      <w:r w:rsidR="004112B8" w:rsidRPr="00AC1930">
        <w:t xml:space="preserve">have previously been </w:t>
      </w:r>
      <w:r w:rsidRPr="00AC1930">
        <w:t xml:space="preserve">made to investigate possible mediating mechanisms of SR. By testing the hypotheses, our research model </w:t>
      </w:r>
      <w:r w:rsidR="004112B8" w:rsidRPr="00AC1930">
        <w:t xml:space="preserve">not only </w:t>
      </w:r>
      <w:r w:rsidRPr="00AC1930">
        <w:t>enhances our understanding of WA but also the capability of SR. It can be inferred that SR can create a basis for overcoming work alienation even though low LMX. SET is proposed to provide explanations of human behaviours in the social exchange processes (</w:t>
      </w:r>
      <w:proofErr w:type="spellStart"/>
      <w:r w:rsidRPr="00AC1930">
        <w:t>Cropanzano</w:t>
      </w:r>
      <w:proofErr w:type="spellEnd"/>
      <w:r w:rsidRPr="00AC1930">
        <w:t>/Mitchell 2005)</w:t>
      </w:r>
      <w:r w:rsidR="004112B8" w:rsidRPr="00AC1930">
        <w:t xml:space="preserve">, as </w:t>
      </w:r>
      <w:r w:rsidRPr="00AC1930">
        <w:t xml:space="preserve">generally based on pragmatism and mutual benefits of individual exchanges (Emerson 1976). In the context of the present study, </w:t>
      </w:r>
      <w:r w:rsidRPr="00AC1930">
        <w:lastRenderedPageBreak/>
        <w:t xml:space="preserve">organisation members offer their labour or loyalty, and they expect to receive </w:t>
      </w:r>
      <w:r w:rsidR="002276E4" w:rsidRPr="00AC1930">
        <w:t xml:space="preserve">the </w:t>
      </w:r>
      <w:r w:rsidRPr="00AC1930">
        <w:t xml:space="preserve">empowerment </w:t>
      </w:r>
      <w:r w:rsidR="0078444F" w:rsidRPr="00AC1930">
        <w:t xml:space="preserve">of, </w:t>
      </w:r>
      <w:r w:rsidRPr="00AC1930">
        <w:t xml:space="preserve">or better relations with their leaders. For these relationships, we argued that those organisation members with higher SR behaviours are unlikely to be alienated from work even though they have </w:t>
      </w:r>
      <w:r w:rsidR="0078444F" w:rsidRPr="00AC1930">
        <w:t>lower</w:t>
      </w:r>
      <w:r w:rsidR="00850EC5" w:rsidRPr="00AC1930">
        <w:t xml:space="preserve"> </w:t>
      </w:r>
      <w:r w:rsidRPr="00AC1930">
        <w:t xml:space="preserve">quality LMX. This interesting finding contributes to </w:t>
      </w:r>
      <w:r w:rsidR="0078444F" w:rsidRPr="00AC1930">
        <w:t xml:space="preserve">the </w:t>
      </w:r>
      <w:r w:rsidRPr="00AC1930">
        <w:t xml:space="preserve">existing knowledge of SET and SDT by extending it </w:t>
      </w:r>
      <w:r w:rsidR="0078444F" w:rsidRPr="00AC1930">
        <w:t xml:space="preserve">through </w:t>
      </w:r>
      <w:r w:rsidRPr="00AC1930">
        <w:t xml:space="preserve">the concept of SR. For the methodological contribution, this is the first inquiry </w:t>
      </w:r>
      <w:r w:rsidR="0078444F" w:rsidRPr="00AC1930">
        <w:t xml:space="preserve">to date to </w:t>
      </w:r>
      <w:r w:rsidRPr="00AC1930">
        <w:t>investigate the relationship between LMX and WA and SR as a mediator in this relationship</w:t>
      </w:r>
      <w:r w:rsidR="0078444F" w:rsidRPr="00AC1930">
        <w:t xml:space="preserve"> using</w:t>
      </w:r>
      <w:r w:rsidRPr="00AC1930">
        <w:t xml:space="preserve"> </w:t>
      </w:r>
      <w:r w:rsidR="0078444F" w:rsidRPr="00AC1930">
        <w:t xml:space="preserve">the </w:t>
      </w:r>
      <w:proofErr w:type="spellStart"/>
      <w:r w:rsidRPr="00AC1930">
        <w:t>smartPLS</w:t>
      </w:r>
      <w:proofErr w:type="spellEnd"/>
      <w:r w:rsidRPr="00AC1930">
        <w:t xml:space="preserve"> software and MGA</w:t>
      </w:r>
      <w:r w:rsidR="002276E4" w:rsidRPr="00AC1930">
        <w:t>,</w:t>
      </w:r>
      <w:r w:rsidRPr="00AC1930">
        <w:t xml:space="preserve"> which are advanced tools to compare two distinct groups.</w:t>
      </w:r>
    </w:p>
    <w:p w14:paraId="7288C09F" w14:textId="57377186" w:rsidR="002E7E3F" w:rsidRPr="00AC1930" w:rsidRDefault="0001118D">
      <w:r w:rsidRPr="00AC1930">
        <w:t xml:space="preserve">Our findings have important implications for policy and practice. First, our analysis suggests that leaders should be helpful in building a higher quality of LMX. They should treat organisation members </w:t>
      </w:r>
      <w:proofErr w:type="gramStart"/>
      <w:r w:rsidRPr="00AC1930">
        <w:t xml:space="preserve">fairly, </w:t>
      </w:r>
      <w:r w:rsidR="0078444F" w:rsidRPr="00AC1930">
        <w:t>and</w:t>
      </w:r>
      <w:proofErr w:type="gramEnd"/>
      <w:r w:rsidR="0078444F" w:rsidRPr="00AC1930">
        <w:t xml:space="preserve"> </w:t>
      </w:r>
      <w:r w:rsidRPr="00AC1930">
        <w:t xml:space="preserve">provide effective communication and voice mechanisms in the organisation. Second, </w:t>
      </w:r>
      <w:proofErr w:type="gramStart"/>
      <w:r w:rsidRPr="00AC1930">
        <w:t>in light of</w:t>
      </w:r>
      <w:proofErr w:type="gramEnd"/>
      <w:r w:rsidRPr="00AC1930">
        <w:t xml:space="preserve"> results</w:t>
      </w:r>
      <w:r w:rsidR="002276E4" w:rsidRPr="00AC1930">
        <w:t>,</w:t>
      </w:r>
      <w:r w:rsidRPr="00AC1930">
        <w:t xml:space="preserve"> organisation members should be aware of SR and understand the importance of SR in dealing with detrimental issues in the workplace, </w:t>
      </w:r>
      <w:r w:rsidR="00850EC5" w:rsidRPr="00AC1930">
        <w:t>e.g.,</w:t>
      </w:r>
      <w:r w:rsidRPr="00AC1930">
        <w:t xml:space="preserve"> WA. Third, organisations should create a democratic setting in which organisation members feel committed and empowered by including them in decision-making process</w:t>
      </w:r>
      <w:r w:rsidR="00842F71" w:rsidRPr="00AC1930">
        <w:t>es</w:t>
      </w:r>
      <w:r w:rsidRPr="00AC1930">
        <w:t>.</w:t>
      </w:r>
    </w:p>
    <w:p w14:paraId="035285BB" w14:textId="77777777" w:rsidR="002E7E3F" w:rsidRPr="00AC1930" w:rsidRDefault="0001118D">
      <w:pPr>
        <w:pStyle w:val="Heading1"/>
        <w:keepNext w:val="0"/>
        <w:keepLines w:val="0"/>
        <w:spacing w:before="480" w:after="120" w:line="480" w:lineRule="auto"/>
        <w:rPr>
          <w:b/>
          <w:i/>
          <w:sz w:val="28"/>
          <w:szCs w:val="28"/>
        </w:rPr>
      </w:pPr>
      <w:bookmarkStart w:id="19" w:name="_z337ya" w:colFirst="0" w:colLast="0"/>
      <w:bookmarkEnd w:id="19"/>
      <w:r w:rsidRPr="00AC1930">
        <w:rPr>
          <w:b/>
          <w:i/>
          <w:sz w:val="28"/>
          <w:szCs w:val="28"/>
        </w:rPr>
        <w:t>Limitations and Future Directions</w:t>
      </w:r>
    </w:p>
    <w:p w14:paraId="0FE1150D" w14:textId="60A5F229" w:rsidR="002E7E3F" w:rsidRPr="00AC1930" w:rsidRDefault="0001118D">
      <w:r w:rsidRPr="00AC1930">
        <w:t xml:space="preserve">There are several limitations to this study. First, since LMX, self-regulation, and work alienation variables of employees' and middle managers' subjective feelings, all scales were rated by themselves. We </w:t>
      </w:r>
      <w:proofErr w:type="gramStart"/>
      <w:r w:rsidRPr="00AC1930">
        <w:t>have to</w:t>
      </w:r>
      <w:proofErr w:type="gramEnd"/>
      <w:r w:rsidRPr="00AC1930">
        <w:t xml:space="preserve"> consider that the </w:t>
      </w:r>
      <w:r w:rsidR="006C3229" w:rsidRPr="00AC1930">
        <w:t xml:space="preserve">use </w:t>
      </w:r>
      <w:r w:rsidRPr="00AC1930">
        <w:t xml:space="preserve">of self-reports for all variables may lead to the common method and social desirability biases. Second, it is challenging to accurately determine </w:t>
      </w:r>
      <w:r w:rsidR="006C3229" w:rsidRPr="00AC1930">
        <w:t xml:space="preserve">a </w:t>
      </w:r>
      <w:r w:rsidRPr="00AC1930">
        <w:t xml:space="preserve">causal relationship using cross-sectional data. Therefore, we suggest future research </w:t>
      </w:r>
      <w:r w:rsidR="008E2976" w:rsidRPr="00AC1930">
        <w:t xml:space="preserve">should adopt </w:t>
      </w:r>
      <w:r w:rsidRPr="00AC1930">
        <w:t xml:space="preserve">a longitudinal approach </w:t>
      </w:r>
      <w:r w:rsidR="008E2976" w:rsidRPr="00AC1930">
        <w:t xml:space="preserve">to gain </w:t>
      </w:r>
      <w:r w:rsidRPr="00AC1930">
        <w:t xml:space="preserve">more convincing causal relationship results. Third, the fieldwork was carried out in cosmopolitan cities </w:t>
      </w:r>
      <w:r w:rsidR="0053374C" w:rsidRPr="00AC1930">
        <w:t xml:space="preserve">in </w:t>
      </w:r>
      <w:r w:rsidRPr="00AC1930">
        <w:t xml:space="preserve">the </w:t>
      </w:r>
      <w:r w:rsidR="0053374C" w:rsidRPr="00AC1930">
        <w:t xml:space="preserve">eastern </w:t>
      </w:r>
      <w:r w:rsidRPr="00AC1930">
        <w:t xml:space="preserve">part of Turkey, </w:t>
      </w:r>
      <w:r w:rsidRPr="00AC1930">
        <w:lastRenderedPageBreak/>
        <w:t xml:space="preserve">and it is difficult to generalise the results to the </w:t>
      </w:r>
      <w:r w:rsidR="0053374C" w:rsidRPr="00AC1930">
        <w:t xml:space="preserve">entire </w:t>
      </w:r>
      <w:r w:rsidRPr="00AC1930">
        <w:t xml:space="preserve">population of Turkey, which appears </w:t>
      </w:r>
      <w:r w:rsidR="00F0399C" w:rsidRPr="00AC1930">
        <w:t xml:space="preserve">to be </w:t>
      </w:r>
      <w:r w:rsidRPr="00AC1930">
        <w:t xml:space="preserve">a weakness of this study. Another limitation might be the unequal participation from sectors. There </w:t>
      </w:r>
      <w:r w:rsidR="00F0399C" w:rsidRPr="00AC1930">
        <w:t xml:space="preserve">were </w:t>
      </w:r>
      <w:r w:rsidRPr="00AC1930">
        <w:t xml:space="preserve">205 participants out of 310 from the public sector, while there </w:t>
      </w:r>
      <w:r w:rsidR="00F0399C" w:rsidRPr="00AC1930">
        <w:t xml:space="preserve">were </w:t>
      </w:r>
      <w:r w:rsidRPr="00AC1930">
        <w:t xml:space="preserve">105 participants from the private sector. Even if the sample size </w:t>
      </w:r>
      <w:r w:rsidR="00F0399C" w:rsidRPr="00AC1930">
        <w:t xml:space="preserve">was sufficiently large </w:t>
      </w:r>
      <w:r w:rsidRPr="00AC1930">
        <w:t>for the study, more participants would be needed to general</w:t>
      </w:r>
      <w:r w:rsidR="007A6407" w:rsidRPr="00AC1930">
        <w:t>is</w:t>
      </w:r>
      <w:r w:rsidRPr="00AC1930">
        <w:t>e the results by sector.</w:t>
      </w:r>
    </w:p>
    <w:p w14:paraId="48F15D74" w14:textId="5947F372" w:rsidR="002E7E3F" w:rsidRPr="00AC1930" w:rsidRDefault="0001118D">
      <w:r w:rsidRPr="00AC1930">
        <w:t xml:space="preserve">Future research may explore the concepts </w:t>
      </w:r>
      <w:r w:rsidR="00262D01" w:rsidRPr="00AC1930">
        <w:t xml:space="preserve">that </w:t>
      </w:r>
      <w:r w:rsidRPr="00AC1930">
        <w:t>might affect WA</w:t>
      </w:r>
      <w:r w:rsidR="002276E4" w:rsidRPr="00AC1930">
        <w:t>,</w:t>
      </w:r>
      <w:r w:rsidRPr="00AC1930">
        <w:t xml:space="preserve"> such as </w:t>
      </w:r>
      <w:r w:rsidR="002276E4" w:rsidRPr="00AC1930">
        <w:t xml:space="preserve">the </w:t>
      </w:r>
      <w:r w:rsidRPr="00AC1930">
        <w:t>effect</w:t>
      </w:r>
      <w:r w:rsidR="002276E4" w:rsidRPr="00AC1930">
        <w:t>s of</w:t>
      </w:r>
      <w:r w:rsidRPr="00AC1930">
        <w:t xml:space="preserve"> authentic leadership, positive psychological capital</w:t>
      </w:r>
      <w:r w:rsidR="00262D01" w:rsidRPr="00AC1930">
        <w:t>,</w:t>
      </w:r>
      <w:r w:rsidRPr="00AC1930">
        <w:t xml:space="preserve"> and organisational support. Since we studied LMX with one source, further research may consider examining LMX in a dyadic manner. This study lays the groundwork for future research by using self-efficacy and self-esteem as mediators when dealing with toxic work environment issues. Moreover, self-organisation as a variable can be explored for further studies by applying socio-economic theories, e.g.</w:t>
      </w:r>
      <w:r w:rsidR="00262D01" w:rsidRPr="00AC1930">
        <w:t>,</w:t>
      </w:r>
      <w:r w:rsidRPr="00AC1930">
        <w:t xml:space="preserve"> Kahneman's Prospect Theory and Thaler's Nudging Theory. Future studies might conduct research by comparing results from the Turkish context to developed countries.</w:t>
      </w:r>
    </w:p>
    <w:p w14:paraId="6E9B11CA" w14:textId="77777777" w:rsidR="002E7E3F" w:rsidRPr="00AC1930" w:rsidRDefault="0001118D">
      <w:pPr>
        <w:pStyle w:val="Heading1"/>
        <w:keepNext w:val="0"/>
        <w:keepLines w:val="0"/>
        <w:spacing w:before="480" w:after="120" w:line="480" w:lineRule="auto"/>
        <w:rPr>
          <w:b/>
          <w:sz w:val="32"/>
          <w:szCs w:val="32"/>
        </w:rPr>
      </w:pPr>
      <w:bookmarkStart w:id="20" w:name="_3j2qqm3" w:colFirst="0" w:colLast="0"/>
      <w:bookmarkEnd w:id="20"/>
      <w:r w:rsidRPr="00AC1930">
        <w:rPr>
          <w:b/>
          <w:sz w:val="32"/>
          <w:szCs w:val="32"/>
        </w:rPr>
        <w:t>References</w:t>
      </w:r>
    </w:p>
    <w:p w14:paraId="4E066CBD" w14:textId="77777777" w:rsidR="002E7E3F" w:rsidRPr="00AC1930" w:rsidRDefault="0001118D">
      <w:pPr>
        <w:spacing w:line="360" w:lineRule="auto"/>
      </w:pPr>
      <w:r w:rsidRPr="00AC1930">
        <w:t xml:space="preserve">Agarwal, A./Bhargava, S. (2013): Effects of psychological contract breach on organizational outcomes: Moderating role of tenure and educational levels, in: </w:t>
      </w:r>
      <w:proofErr w:type="spellStart"/>
      <w:r w:rsidRPr="00AC1930">
        <w:t>Vikalpa</w:t>
      </w:r>
      <w:proofErr w:type="spellEnd"/>
      <w:r w:rsidRPr="00AC1930">
        <w:t>, 38,1, 13-26.</w:t>
      </w:r>
    </w:p>
    <w:p w14:paraId="67868053" w14:textId="77777777" w:rsidR="002E7E3F" w:rsidRPr="00AC1930" w:rsidRDefault="0001118D">
      <w:pPr>
        <w:spacing w:line="360" w:lineRule="auto"/>
      </w:pPr>
      <w:r w:rsidRPr="00AC1930">
        <w:t>Andersen, I./Buch, R./</w:t>
      </w:r>
      <w:proofErr w:type="spellStart"/>
      <w:r w:rsidRPr="00AC1930">
        <w:t>Kuvaas</w:t>
      </w:r>
      <w:proofErr w:type="spellEnd"/>
      <w:r w:rsidRPr="00AC1930">
        <w:t>, B. (2020): A Literature Review of Social and Economic Leader–Member Exchange, in: Frontiers in Psychology, 11, 1474.</w:t>
      </w:r>
    </w:p>
    <w:p w14:paraId="2DF5DF0C" w14:textId="7E14F9E5" w:rsidR="00FD569E" w:rsidRPr="00AC1930" w:rsidRDefault="00FD569E" w:rsidP="00FD569E">
      <w:pPr>
        <w:spacing w:line="360" w:lineRule="auto"/>
        <w:rPr>
          <w:shd w:val="clear" w:color="auto" w:fill="FFFFFF"/>
        </w:rPr>
      </w:pPr>
      <w:r w:rsidRPr="00AC1930">
        <w:rPr>
          <w:shd w:val="clear" w:color="auto" w:fill="FFFFFF"/>
        </w:rPr>
        <w:t>Andersen, S.M./Chen, S./Carter, C. (2000): Fundamental human needs: Making social cognition relevant. </w:t>
      </w:r>
      <w:r w:rsidRPr="00AC1930">
        <w:rPr>
          <w:iCs/>
          <w:shd w:val="clear" w:color="auto" w:fill="FFFFFF"/>
        </w:rPr>
        <w:t>Psychological inquiry</w:t>
      </w:r>
      <w:r w:rsidRPr="00AC1930">
        <w:rPr>
          <w:shd w:val="clear" w:color="auto" w:fill="FFFFFF"/>
        </w:rPr>
        <w:t>, </w:t>
      </w:r>
      <w:r w:rsidRPr="00AC1930">
        <w:rPr>
          <w:iCs/>
          <w:shd w:val="clear" w:color="auto" w:fill="FFFFFF"/>
        </w:rPr>
        <w:t xml:space="preserve">11, </w:t>
      </w:r>
      <w:r w:rsidRPr="00AC1930">
        <w:rPr>
          <w:shd w:val="clear" w:color="auto" w:fill="FFFFFF"/>
        </w:rPr>
        <w:t>4, 2</w:t>
      </w:r>
      <w:r w:rsidR="009C3E1E" w:rsidRPr="00AC1930">
        <w:rPr>
          <w:shd w:val="clear" w:color="auto" w:fill="FFFFFF"/>
        </w:rPr>
        <w:t xml:space="preserve">, </w:t>
      </w:r>
      <w:r w:rsidRPr="00AC1930">
        <w:rPr>
          <w:shd w:val="clear" w:color="auto" w:fill="FFFFFF"/>
        </w:rPr>
        <w:t>69-275.</w:t>
      </w:r>
    </w:p>
    <w:p w14:paraId="4C7AA29B" w14:textId="77777777" w:rsidR="002E7E3F" w:rsidRPr="00AC1930" w:rsidRDefault="0001118D">
      <w:pPr>
        <w:spacing w:line="360" w:lineRule="auto"/>
      </w:pPr>
      <w:proofErr w:type="spellStart"/>
      <w:r w:rsidRPr="00AC1930">
        <w:t>Ashforth</w:t>
      </w:r>
      <w:proofErr w:type="spellEnd"/>
      <w:r w:rsidRPr="00AC1930">
        <w:t xml:space="preserve">, B.E. (1989): The experience of powerlessness in organizations, in: Organizational </w:t>
      </w:r>
      <w:proofErr w:type="spellStart"/>
      <w:r w:rsidRPr="00AC1930">
        <w:t>Behavior</w:t>
      </w:r>
      <w:proofErr w:type="spellEnd"/>
      <w:r w:rsidRPr="00AC1930">
        <w:t xml:space="preserve"> and Human Decision Processes, 43, 2, 207-242.</w:t>
      </w:r>
    </w:p>
    <w:p w14:paraId="17BCE695" w14:textId="3853537A" w:rsidR="002E7E3F" w:rsidRPr="00AC1930" w:rsidRDefault="0001118D">
      <w:pPr>
        <w:shd w:val="clear" w:color="auto" w:fill="FFFFFF"/>
        <w:spacing w:after="160" w:line="360" w:lineRule="auto"/>
      </w:pPr>
      <w:proofErr w:type="spellStart"/>
      <w:r w:rsidRPr="00AC1930">
        <w:lastRenderedPageBreak/>
        <w:t>Audenaert</w:t>
      </w:r>
      <w:proofErr w:type="spellEnd"/>
      <w:r w:rsidRPr="00AC1930">
        <w:t>, M./</w:t>
      </w:r>
      <w:proofErr w:type="spellStart"/>
      <w:r w:rsidRPr="00AC1930">
        <w:t>Decramer</w:t>
      </w:r>
      <w:proofErr w:type="spellEnd"/>
      <w:r w:rsidRPr="00AC1930">
        <w:t>, A./George, B./</w:t>
      </w:r>
      <w:proofErr w:type="spellStart"/>
      <w:r w:rsidRPr="00AC1930">
        <w:t>Verschuere</w:t>
      </w:r>
      <w:proofErr w:type="spellEnd"/>
      <w:r w:rsidRPr="00AC1930">
        <w:t>, B./</w:t>
      </w:r>
      <w:r w:rsidR="00850EC5" w:rsidRPr="00AC1930">
        <w:t>van</w:t>
      </w:r>
      <w:r w:rsidRPr="00AC1930">
        <w:t xml:space="preserve"> </w:t>
      </w:r>
      <w:proofErr w:type="spellStart"/>
      <w:r w:rsidRPr="00AC1930">
        <w:t>Waeyenberg</w:t>
      </w:r>
      <w:proofErr w:type="spellEnd"/>
      <w:r w:rsidRPr="00AC1930">
        <w:t>, T. (2016): When Employee Performance Management Affects Individual Innovation in Public Organizations: The Role of Consistency and LMX, in: The International Journal of Human Resource Management, 30, 5, 1–20.</w:t>
      </w:r>
    </w:p>
    <w:p w14:paraId="44E6A68A" w14:textId="77777777" w:rsidR="002E7E3F" w:rsidRPr="00AC1930" w:rsidRDefault="0001118D">
      <w:pPr>
        <w:spacing w:line="360" w:lineRule="auto"/>
      </w:pPr>
      <w:r w:rsidRPr="00AC1930">
        <w:t>Baard, P. P./Deci, E. L./Ryan, R. M. (2004): Intrinsic need satisfaction: a motivational basis of performance and wellbeing in two work settings, in: Journal of Applied Social Psychology, 34, 10, 2045-2068.</w:t>
      </w:r>
    </w:p>
    <w:p w14:paraId="5F8FCFC0" w14:textId="77777777" w:rsidR="002E7E3F" w:rsidRPr="00AC1930" w:rsidRDefault="0001118D">
      <w:pPr>
        <w:spacing w:line="360" w:lineRule="auto"/>
      </w:pPr>
      <w:proofErr w:type="spellStart"/>
      <w:r w:rsidRPr="00AC1930">
        <w:t>Banai</w:t>
      </w:r>
      <w:proofErr w:type="spellEnd"/>
      <w:r w:rsidRPr="00AC1930">
        <w:t>, M./</w:t>
      </w:r>
      <w:proofErr w:type="spellStart"/>
      <w:r w:rsidRPr="00AC1930">
        <w:t>Reisel</w:t>
      </w:r>
      <w:proofErr w:type="spellEnd"/>
      <w:r w:rsidRPr="00AC1930">
        <w:t>, W. (2003): A test of control-alienation theory among Cuban workers, in: Management Research, 1, 243–252.</w:t>
      </w:r>
    </w:p>
    <w:p w14:paraId="2B21EDDD" w14:textId="77777777" w:rsidR="002E7E3F" w:rsidRPr="00AC1930" w:rsidRDefault="0001118D">
      <w:pPr>
        <w:spacing w:line="360" w:lineRule="auto"/>
      </w:pPr>
      <w:proofErr w:type="spellStart"/>
      <w:r w:rsidRPr="00AC1930">
        <w:t>Banai</w:t>
      </w:r>
      <w:proofErr w:type="spellEnd"/>
      <w:r w:rsidRPr="00AC1930">
        <w:t>, M./</w:t>
      </w:r>
      <w:proofErr w:type="spellStart"/>
      <w:r w:rsidRPr="00AC1930">
        <w:t>Reisel</w:t>
      </w:r>
      <w:proofErr w:type="spellEnd"/>
      <w:r w:rsidRPr="00AC1930">
        <w:t>, W.D. (2007): The influence of supportive leadership and job characteristics on work alienation: A six-country investigation, in: Journal of World Business, 42, 4, 463-476.</w:t>
      </w:r>
    </w:p>
    <w:p w14:paraId="4FAF0D74" w14:textId="77777777" w:rsidR="002E7E3F" w:rsidRPr="00AC1930" w:rsidRDefault="0001118D">
      <w:pPr>
        <w:spacing w:line="360" w:lineRule="auto"/>
      </w:pPr>
      <w:proofErr w:type="spellStart"/>
      <w:r w:rsidRPr="00AC1930">
        <w:t>Banai</w:t>
      </w:r>
      <w:proofErr w:type="spellEnd"/>
      <w:r w:rsidRPr="00AC1930">
        <w:t>, M./</w:t>
      </w:r>
      <w:proofErr w:type="spellStart"/>
      <w:r w:rsidRPr="00AC1930">
        <w:t>Reisel</w:t>
      </w:r>
      <w:proofErr w:type="spellEnd"/>
      <w:r w:rsidRPr="00AC1930">
        <w:t>, W.D./Probst, T.M. (2004): A managerial and personal control model: predictions of work alienation and organizational commitment in Hungary, in: Journal of International Management, 10, 3, 375-392.</w:t>
      </w:r>
    </w:p>
    <w:p w14:paraId="09A3F0A3" w14:textId="77777777" w:rsidR="002E7E3F" w:rsidRPr="00AC1930" w:rsidRDefault="0001118D">
      <w:pPr>
        <w:spacing w:line="360" w:lineRule="auto"/>
      </w:pPr>
      <w:r w:rsidRPr="00AC1930">
        <w:t>Bandura, A. (1991): Social cognitive theory of self-regulation, in: Organizational behaviour and human decision processes, 50, 2, 248-287.</w:t>
      </w:r>
    </w:p>
    <w:p w14:paraId="0B40AAE0" w14:textId="3CFC7445" w:rsidR="005C7487" w:rsidRPr="00AC1930" w:rsidRDefault="005C7487">
      <w:pPr>
        <w:spacing w:line="360" w:lineRule="auto"/>
      </w:pPr>
      <w:r w:rsidRPr="00AC1930">
        <w:t>Baron, R. M./Kenny, D. A. (1986): The moderator–mediator variable distinction in social psychological research: Conceptual, strategic, and statistical considerations, in: Journal of Personality and Social Psychology, 51, 6, 1173–1182.</w:t>
      </w:r>
    </w:p>
    <w:p w14:paraId="71535A5B" w14:textId="4AE80F05" w:rsidR="002E7E3F" w:rsidRPr="00AC1930" w:rsidRDefault="0001118D">
      <w:pPr>
        <w:spacing w:line="360" w:lineRule="auto"/>
      </w:pPr>
      <w:r w:rsidRPr="00AC1930">
        <w:t>Bauer, T. N./Green, S. G. (1996): Development of leader-member exchange: A longitudinal test, in: Academy of Management Journal, 39, 6, 1538-1567.</w:t>
      </w:r>
    </w:p>
    <w:p w14:paraId="25BE374B" w14:textId="77777777" w:rsidR="002E7E3F" w:rsidRPr="00AC1930" w:rsidRDefault="0001118D">
      <w:pPr>
        <w:spacing w:line="360" w:lineRule="auto"/>
      </w:pPr>
      <w:r w:rsidRPr="00AC1930">
        <w:t>Baumeister, R.F./</w:t>
      </w:r>
      <w:proofErr w:type="spellStart"/>
      <w:r w:rsidRPr="00AC1930">
        <w:t>DeWall</w:t>
      </w:r>
      <w:proofErr w:type="spellEnd"/>
      <w:r w:rsidRPr="00AC1930">
        <w:t>, C.N./</w:t>
      </w:r>
      <w:proofErr w:type="spellStart"/>
      <w:r w:rsidRPr="00AC1930">
        <w:t>Ciarocco</w:t>
      </w:r>
      <w:proofErr w:type="spellEnd"/>
      <w:r w:rsidRPr="00AC1930">
        <w:t>, N.J./Twenge, J. M. (2005): Social exclusion impairs self-regulation, in: Journal of Personality and Social Psychology, 88, 4, 589.</w:t>
      </w:r>
    </w:p>
    <w:p w14:paraId="0D5BF0D2" w14:textId="77777777" w:rsidR="002E7E3F" w:rsidRPr="00AC1930" w:rsidRDefault="0001118D">
      <w:pPr>
        <w:spacing w:line="360" w:lineRule="auto"/>
      </w:pPr>
      <w:r w:rsidRPr="00AC1930">
        <w:t>Baumeister, R.F./Heatherton, T.F. (1996): Self-regulation failure: An overview, in: Psychological Inquiry, 7, 1, 1-15.</w:t>
      </w:r>
    </w:p>
    <w:p w14:paraId="1B326116" w14:textId="5A2A7AD8" w:rsidR="002E7E3F" w:rsidRPr="00AC1930" w:rsidRDefault="0001118D" w:rsidP="00364E40">
      <w:pPr>
        <w:spacing w:line="360" w:lineRule="auto"/>
      </w:pPr>
      <w:r w:rsidRPr="00AC1930">
        <w:lastRenderedPageBreak/>
        <w:t>Baumeister, R.F./</w:t>
      </w:r>
      <w:r w:rsidR="00364E40" w:rsidRPr="00AC1930">
        <w:t>Schmeichel, B.J./</w:t>
      </w:r>
      <w:proofErr w:type="spellStart"/>
      <w:r w:rsidRPr="00AC1930">
        <w:t>Vohs</w:t>
      </w:r>
      <w:proofErr w:type="spellEnd"/>
      <w:r w:rsidRPr="00AC1930">
        <w:t>, K.D.</w:t>
      </w:r>
      <w:r w:rsidR="00364E40" w:rsidRPr="00AC1930">
        <w:t xml:space="preserve"> (2007)</w:t>
      </w:r>
      <w:r w:rsidR="00EB5A79" w:rsidRPr="00AC1930">
        <w:t>:</w:t>
      </w:r>
      <w:r w:rsidR="00364E40" w:rsidRPr="00AC1930">
        <w:t xml:space="preserve"> Self-Regulation and the Executive Function: The Self as Controlling Agent in </w:t>
      </w:r>
      <w:proofErr w:type="spellStart"/>
      <w:r w:rsidR="00364E40" w:rsidRPr="00AC1930">
        <w:t>Kruglanski</w:t>
      </w:r>
      <w:proofErr w:type="spellEnd"/>
      <w:r w:rsidR="00364E40" w:rsidRPr="00AC1930">
        <w:t>, A. W. / Higgins, E.T. (ed): Social psychology: Handbook of basic principles</w:t>
      </w:r>
      <w:r w:rsidR="00EB5A79" w:rsidRPr="00AC1930">
        <w:t>,</w:t>
      </w:r>
      <w:r w:rsidR="00220674" w:rsidRPr="00AC1930">
        <w:t xml:space="preserve"> </w:t>
      </w:r>
      <w:r w:rsidR="00364E40" w:rsidRPr="00AC1930">
        <w:t>New York: Guilford,</w:t>
      </w:r>
      <w:r w:rsidR="00EB5A79" w:rsidRPr="00AC1930">
        <w:t xml:space="preserve"> </w:t>
      </w:r>
      <w:r w:rsidR="00364E40" w:rsidRPr="00AC1930">
        <w:t>516-539.</w:t>
      </w:r>
    </w:p>
    <w:p w14:paraId="76C356B1" w14:textId="77777777" w:rsidR="002E7E3F" w:rsidRPr="00AC1930" w:rsidRDefault="0001118D">
      <w:pPr>
        <w:spacing w:line="360" w:lineRule="auto"/>
      </w:pPr>
      <w:proofErr w:type="spellStart"/>
      <w:r w:rsidRPr="00AC1930">
        <w:t>Blau</w:t>
      </w:r>
      <w:proofErr w:type="spellEnd"/>
      <w:r w:rsidRPr="00AC1930">
        <w:t>, P.M. (1964): Justice in social exchange, in: Sociological inquiry, 34, 2, 193-206.</w:t>
      </w:r>
    </w:p>
    <w:p w14:paraId="3EE1AC00" w14:textId="77777777" w:rsidR="002E7E3F" w:rsidRPr="00AC1930" w:rsidRDefault="0001118D">
      <w:pPr>
        <w:shd w:val="clear" w:color="auto" w:fill="FFFFFF"/>
        <w:spacing w:after="160" w:line="360" w:lineRule="auto"/>
      </w:pPr>
      <w:r w:rsidRPr="00AC1930">
        <w:t>Blauner, R. (1964): Alienation and Freedom: The Factory Worker and His Industry. Chicago: University of Chicago Press.</w:t>
      </w:r>
    </w:p>
    <w:p w14:paraId="729064D2" w14:textId="77777777" w:rsidR="002E7E3F" w:rsidRPr="00AC1930" w:rsidRDefault="0001118D">
      <w:pPr>
        <w:shd w:val="clear" w:color="auto" w:fill="FFFFFF"/>
        <w:spacing w:after="160" w:line="360" w:lineRule="auto"/>
      </w:pPr>
      <w:proofErr w:type="spellStart"/>
      <w:r w:rsidRPr="00AC1930">
        <w:t>Bodla</w:t>
      </w:r>
      <w:proofErr w:type="spellEnd"/>
      <w:r w:rsidRPr="00AC1930">
        <w:t>, M.A./Danish, R.Q. (2008): The Perceptions of Organisational Politics and Work Performance: Exploring the Differences in Public and Private Sector, in: International Journal of Knowledge, Culture and Change Management. 8, 123-131.</w:t>
      </w:r>
    </w:p>
    <w:p w14:paraId="2878D0EA" w14:textId="77777777" w:rsidR="002E7E3F" w:rsidRPr="00AC1930" w:rsidRDefault="0001118D">
      <w:pPr>
        <w:spacing w:line="360" w:lineRule="auto"/>
      </w:pPr>
      <w:r w:rsidRPr="00AC1930">
        <w:t xml:space="preserve">Boerner, S. (1998): Work alienation and continuous improvement: The effects of leadership style, in: Proceedings of 2nd International </w:t>
      </w:r>
      <w:proofErr w:type="spellStart"/>
      <w:r w:rsidRPr="00AC1930">
        <w:t>EuroCI</w:t>
      </w:r>
      <w:proofErr w:type="spellEnd"/>
      <w:r w:rsidRPr="00AC1930">
        <w:t xml:space="preserve"> Net Conference, Netherlands, 63-75.</w:t>
      </w:r>
    </w:p>
    <w:p w14:paraId="3DF367F7" w14:textId="77777777" w:rsidR="002E7E3F" w:rsidRPr="00AC1930" w:rsidRDefault="0001118D">
      <w:pPr>
        <w:spacing w:line="360" w:lineRule="auto"/>
      </w:pPr>
      <w:proofErr w:type="spellStart"/>
      <w:r w:rsidRPr="00AC1930">
        <w:t>Boğan</w:t>
      </w:r>
      <w:proofErr w:type="spellEnd"/>
      <w:r w:rsidRPr="00AC1930">
        <w:t>, E./</w:t>
      </w:r>
      <w:proofErr w:type="spellStart"/>
      <w:r w:rsidRPr="00AC1930">
        <w:t>Dedeoğlu</w:t>
      </w:r>
      <w:proofErr w:type="spellEnd"/>
      <w:r w:rsidRPr="00AC1930">
        <w:t xml:space="preserve">, B. B. (2017): The effects of perceived </w:t>
      </w:r>
      <w:proofErr w:type="spellStart"/>
      <w:r w:rsidRPr="00AC1930">
        <w:t>behavioral</w:t>
      </w:r>
      <w:proofErr w:type="spellEnd"/>
      <w:r w:rsidRPr="00AC1930">
        <w:t xml:space="preserve"> integrity of supervisors on employee outcomes: Moderating effects of tenure, in: Journal of Hospitality Marketing &amp; Management, 26</w:t>
      </w:r>
      <w:r w:rsidRPr="00AC1930">
        <w:rPr>
          <w:i/>
        </w:rPr>
        <w:t xml:space="preserve">, </w:t>
      </w:r>
      <w:r w:rsidRPr="00AC1930">
        <w:t>5, 511-531.</w:t>
      </w:r>
    </w:p>
    <w:p w14:paraId="3DE84918" w14:textId="77777777" w:rsidR="002E7E3F" w:rsidRPr="00AC1930" w:rsidRDefault="0001118D">
      <w:pPr>
        <w:spacing w:line="360" w:lineRule="auto"/>
      </w:pPr>
      <w:r w:rsidRPr="00AC1930">
        <w:t>Braverman, H. (1974): Labour and monopoly capital. New York: Monthly Review.</w:t>
      </w:r>
    </w:p>
    <w:p w14:paraId="1348F9CF" w14:textId="3C054206" w:rsidR="002E7E3F" w:rsidRPr="00AC1930" w:rsidRDefault="0001118D">
      <w:pPr>
        <w:spacing w:line="360" w:lineRule="auto"/>
      </w:pPr>
      <w:proofErr w:type="spellStart"/>
      <w:r w:rsidRPr="00AC1930">
        <w:t>Brislin</w:t>
      </w:r>
      <w:proofErr w:type="spellEnd"/>
      <w:r w:rsidRPr="00AC1930">
        <w:t>, R. W. (1980): Translation and content analysis of oral and written materials, in Berry, J. W./</w:t>
      </w:r>
      <w:proofErr w:type="spellStart"/>
      <w:r w:rsidRPr="00AC1930">
        <w:t>Triandis</w:t>
      </w:r>
      <w:proofErr w:type="spellEnd"/>
      <w:r w:rsidRPr="00AC1930">
        <w:t xml:space="preserve"> H. C. (ed): Handbook of cross-cultural psychology, Boston: </w:t>
      </w:r>
      <w:proofErr w:type="spellStart"/>
      <w:r w:rsidRPr="00AC1930">
        <w:t>Allyn</w:t>
      </w:r>
      <w:proofErr w:type="spellEnd"/>
      <w:r w:rsidRPr="00AC1930">
        <w:t xml:space="preserve"> &amp; Bacon, 2, 389-444.</w:t>
      </w:r>
    </w:p>
    <w:p w14:paraId="71A436BD" w14:textId="77777777" w:rsidR="002E7E3F" w:rsidRPr="00AC1930" w:rsidRDefault="0001118D">
      <w:pPr>
        <w:shd w:val="clear" w:color="auto" w:fill="FFFFFF"/>
        <w:spacing w:after="160" w:line="360" w:lineRule="auto"/>
      </w:pPr>
      <w:proofErr w:type="spellStart"/>
      <w:r w:rsidRPr="00AC1930">
        <w:t>Brunetto</w:t>
      </w:r>
      <w:proofErr w:type="spellEnd"/>
      <w:r w:rsidRPr="00AC1930">
        <w:t>, Y./Shacklock, K./Bartram, T./Leggat, S.G./Farr-Wharton, R./Stanton, P./Casimir, G. (2012): Comparing the impact of leader–member exchange, psychological empowerment and affective commitment upon Australian public and private sector nurses: implications for retention, in: The International Journal of Human Resource Management, 23, 11, 2238-2255.</w:t>
      </w:r>
    </w:p>
    <w:p w14:paraId="43D4E7DF" w14:textId="6CDEAA84" w:rsidR="002E7E3F" w:rsidRPr="00AC1930" w:rsidRDefault="0001118D">
      <w:pPr>
        <w:spacing w:line="360" w:lineRule="auto"/>
      </w:pPr>
      <w:r w:rsidRPr="00AC1930">
        <w:t xml:space="preserve">Bryman, A. (2016). Social research methods. London: Oxford </w:t>
      </w:r>
      <w:r w:rsidR="009C3E1E" w:rsidRPr="00AC1930">
        <w:t>U</w:t>
      </w:r>
      <w:r w:rsidRPr="00AC1930">
        <w:t xml:space="preserve">niversity </w:t>
      </w:r>
      <w:r w:rsidR="009C3E1E" w:rsidRPr="00AC1930">
        <w:t>P</w:t>
      </w:r>
      <w:r w:rsidRPr="00AC1930">
        <w:t>ress.</w:t>
      </w:r>
    </w:p>
    <w:p w14:paraId="22BD1063" w14:textId="77777777" w:rsidR="002E7E3F" w:rsidRPr="00AC1930" w:rsidRDefault="0001118D">
      <w:pPr>
        <w:spacing w:line="360" w:lineRule="auto"/>
      </w:pPr>
      <w:r w:rsidRPr="00AC1930">
        <w:t>Can, A. (2019): Leader-Member Exchange and Turnover Intention of White-collar Employees: A Moderated Mediation Model, Dissertation, a Thesis Submitted to the Graduate School of Social Sciences of Middle East Technical University.</w:t>
      </w:r>
    </w:p>
    <w:p w14:paraId="4A2A697A" w14:textId="77777777" w:rsidR="002E7E3F" w:rsidRPr="00AC1930" w:rsidRDefault="0001118D">
      <w:pPr>
        <w:spacing w:line="360" w:lineRule="auto"/>
      </w:pPr>
      <w:proofErr w:type="spellStart"/>
      <w:r w:rsidRPr="00AC1930">
        <w:lastRenderedPageBreak/>
        <w:t>Chiaburu</w:t>
      </w:r>
      <w:proofErr w:type="spellEnd"/>
      <w:r w:rsidRPr="00AC1930">
        <w:t>, D.S./</w:t>
      </w:r>
      <w:proofErr w:type="spellStart"/>
      <w:r w:rsidRPr="00AC1930">
        <w:t>Thundiyil</w:t>
      </w:r>
      <w:proofErr w:type="spellEnd"/>
      <w:r w:rsidRPr="00AC1930">
        <w:t>, T./Wang, J. (2014): Alienation and its correlates: A meta-analysis, in: European Management Journal, 32, 1, 24-36.</w:t>
      </w:r>
    </w:p>
    <w:p w14:paraId="581D3A0C" w14:textId="0FB7D201" w:rsidR="002E7E3F" w:rsidRDefault="0001118D">
      <w:pPr>
        <w:spacing w:line="360" w:lineRule="auto"/>
      </w:pPr>
      <w:r w:rsidRPr="00AC1930">
        <w:t>Chin, W.W./</w:t>
      </w:r>
      <w:proofErr w:type="spellStart"/>
      <w:r w:rsidRPr="00AC1930">
        <w:t>Dibbern</w:t>
      </w:r>
      <w:proofErr w:type="spellEnd"/>
      <w:r w:rsidRPr="00AC1930">
        <w:t xml:space="preserve">, J. (2010): An introduction to a </w:t>
      </w:r>
      <w:proofErr w:type="gramStart"/>
      <w:r w:rsidRPr="00AC1930">
        <w:t>permutation based</w:t>
      </w:r>
      <w:proofErr w:type="gramEnd"/>
      <w:r w:rsidRPr="00AC1930">
        <w:t xml:space="preserve"> procedure for multi-group PLS analysis: Results of tests of differences on simulated data and a cross cultural analysis of the sourcing of information system services between Germany and the USA, in: V. E. </w:t>
      </w:r>
      <w:proofErr w:type="spellStart"/>
      <w:r w:rsidRPr="00AC1930">
        <w:t>Vinzi</w:t>
      </w:r>
      <w:proofErr w:type="spellEnd"/>
      <w:r w:rsidRPr="00AC1930">
        <w:t xml:space="preserve">/W. W. Chin/J. </w:t>
      </w:r>
      <w:proofErr w:type="spellStart"/>
      <w:r w:rsidRPr="00AC1930">
        <w:t>Henseler</w:t>
      </w:r>
      <w:proofErr w:type="spellEnd"/>
      <w:r w:rsidRPr="00AC1930">
        <w:t>/H. Wang (ed.): Handbook of partial least squares, Berlin: Springer, 171-193.</w:t>
      </w:r>
    </w:p>
    <w:p w14:paraId="1A003886" w14:textId="2DC03BFE" w:rsidR="00AC1930" w:rsidRPr="00AC1930" w:rsidRDefault="00AC1930">
      <w:pPr>
        <w:spacing w:line="360" w:lineRule="auto"/>
      </w:pPr>
      <w:proofErr w:type="spellStart"/>
      <w:r w:rsidRPr="00AC1930">
        <w:t>Cicek</w:t>
      </w:r>
      <w:proofErr w:type="spellEnd"/>
      <w:r>
        <w:t>, B./</w:t>
      </w:r>
      <w:r w:rsidRPr="00AC1930">
        <w:t>Turkmenoglu, M.A.</w:t>
      </w:r>
      <w:r>
        <w:t>/</w:t>
      </w:r>
      <w:proofErr w:type="spellStart"/>
      <w:r>
        <w:t>Ozbilgin</w:t>
      </w:r>
      <w:proofErr w:type="spellEnd"/>
      <w:r>
        <w:t>, M. (2021):</w:t>
      </w:r>
      <w:r w:rsidRPr="00AC1930">
        <w:t xml:space="preserve"> Examining the mediating role of organisational support on the relationship between organisational cynicism and turnover intention </w:t>
      </w:r>
      <w:r>
        <w:t>in technology firms in Istanbul, in:</w:t>
      </w:r>
      <w:r w:rsidRPr="00AC1930">
        <w:t xml:space="preserve"> Frontiers in Psychology, 12, 1621.</w:t>
      </w:r>
    </w:p>
    <w:p w14:paraId="7448B832" w14:textId="77777777" w:rsidR="002E7E3F" w:rsidRPr="00AC1930" w:rsidRDefault="0001118D">
      <w:pPr>
        <w:spacing w:line="360" w:lineRule="auto"/>
      </w:pPr>
      <w:r w:rsidRPr="00AC1930">
        <w:t>Cohen, A. (1993): Age and tenure in relation to organizational commitment: A meta-analysis, in: Basic and applied social psychology, 14, 2, 143-159.</w:t>
      </w:r>
    </w:p>
    <w:p w14:paraId="24CF4E34" w14:textId="77777777" w:rsidR="002E7E3F" w:rsidRPr="00AC1930" w:rsidRDefault="0001118D">
      <w:pPr>
        <w:spacing w:line="360" w:lineRule="auto"/>
      </w:pPr>
      <w:proofErr w:type="spellStart"/>
      <w:r w:rsidRPr="00AC1930">
        <w:t>Cropanzano</w:t>
      </w:r>
      <w:proofErr w:type="spellEnd"/>
      <w:r w:rsidRPr="00AC1930">
        <w:t>, R./Mitchell, M. S. (2005): Social exchange theory: An interdisciplinary review, in: Journal of management, 31, 6, 874-900.</w:t>
      </w:r>
    </w:p>
    <w:p w14:paraId="3FF7D411" w14:textId="77777777" w:rsidR="002E7E3F" w:rsidRPr="00AC1930" w:rsidRDefault="0001118D">
      <w:pPr>
        <w:spacing w:line="360" w:lineRule="auto"/>
      </w:pPr>
      <w:r w:rsidRPr="00AC1930">
        <w:t>Dansereau, F./</w:t>
      </w:r>
      <w:proofErr w:type="spellStart"/>
      <w:r w:rsidRPr="00AC1930">
        <w:t>Graen</w:t>
      </w:r>
      <w:proofErr w:type="spellEnd"/>
      <w:r w:rsidRPr="00AC1930">
        <w:t>, G./</w:t>
      </w:r>
      <w:proofErr w:type="spellStart"/>
      <w:r w:rsidRPr="00AC1930">
        <w:t>Haga</w:t>
      </w:r>
      <w:proofErr w:type="spellEnd"/>
      <w:r w:rsidRPr="00AC1930">
        <w:t xml:space="preserve">, W.J. (1975): A vertical dyad linkage approach to leadership within formal organizations--A longitudinal investigation of the role making process, in: Organizational </w:t>
      </w:r>
      <w:proofErr w:type="spellStart"/>
      <w:r w:rsidRPr="00AC1930">
        <w:t>Behavior</w:t>
      </w:r>
      <w:proofErr w:type="spellEnd"/>
      <w:r w:rsidRPr="00AC1930">
        <w:t xml:space="preserve"> and Human Performance, 13,1, 46-78.</w:t>
      </w:r>
    </w:p>
    <w:p w14:paraId="218F6C57" w14:textId="77777777" w:rsidR="002E7E3F" w:rsidRPr="00AC1930" w:rsidRDefault="0001118D">
      <w:pPr>
        <w:spacing w:line="360" w:lineRule="auto"/>
      </w:pPr>
      <w:r w:rsidRPr="00AC1930">
        <w:t>Deci, E. L./Ryan, R. M. (1985): The general causality orientations scale: Self-determination in personality, in Journal of Research in Personality, 19,2, 109-134.</w:t>
      </w:r>
    </w:p>
    <w:p w14:paraId="163C091E" w14:textId="77777777" w:rsidR="002E7E3F" w:rsidRPr="00AC1930" w:rsidRDefault="0001118D">
      <w:pPr>
        <w:spacing w:line="360" w:lineRule="auto"/>
      </w:pPr>
      <w:r w:rsidRPr="00AC1930">
        <w:t>Deci, E. L./Ryan, R. M. (2000): The" what" and" why" of goal pursuits: Human needs and the self-determination of behaviour, in Psychological Inquiry, 11,4, 227-268.</w:t>
      </w:r>
    </w:p>
    <w:p w14:paraId="183690A1" w14:textId="43A5F03A" w:rsidR="002E7E3F" w:rsidRPr="00AC1930" w:rsidRDefault="0001118D">
      <w:pPr>
        <w:spacing w:line="360" w:lineRule="auto"/>
      </w:pPr>
      <w:r w:rsidRPr="00AC1930">
        <w:t>Deci, E. L./Ryan, R. M./Williams, G. C. (1996): Need satisfaction and the self-regulation of learning, in Learning and Individual Differences, 8,</w:t>
      </w:r>
      <w:r w:rsidR="00822DA7" w:rsidRPr="00AC1930">
        <w:t xml:space="preserve"> </w:t>
      </w:r>
      <w:r w:rsidRPr="00AC1930">
        <w:t>3, 165-183.</w:t>
      </w:r>
    </w:p>
    <w:p w14:paraId="005723F8" w14:textId="77777777" w:rsidR="002E7E3F" w:rsidRPr="00AC1930" w:rsidRDefault="0001118D">
      <w:pPr>
        <w:spacing w:line="360" w:lineRule="auto"/>
      </w:pPr>
      <w:r w:rsidRPr="00AC1930">
        <w:t xml:space="preserve">DeHart-Davis, L./Pandey, S.K. (2005): Red tape and public employees: Does perceived rule dysfunction alienate </w:t>
      </w:r>
      <w:proofErr w:type="gramStart"/>
      <w:r w:rsidRPr="00AC1930">
        <w:t>managers?,</w:t>
      </w:r>
      <w:proofErr w:type="gramEnd"/>
      <w:r w:rsidRPr="00AC1930">
        <w:t xml:space="preserve"> in: Journal of Public Administration Research and Theory, 15, 1, 133-148.</w:t>
      </w:r>
    </w:p>
    <w:p w14:paraId="2A0B8C67" w14:textId="48B63109" w:rsidR="002E7E3F" w:rsidRPr="00AC1930" w:rsidRDefault="0001118D">
      <w:pPr>
        <w:spacing w:line="360" w:lineRule="auto"/>
      </w:pPr>
      <w:proofErr w:type="spellStart"/>
      <w:r w:rsidRPr="00AC1930">
        <w:lastRenderedPageBreak/>
        <w:t>Dienesch</w:t>
      </w:r>
      <w:proofErr w:type="spellEnd"/>
      <w:r w:rsidRPr="00AC1930">
        <w:t xml:space="preserve">, R. M./Liden, R. C. (1986): Leader-member exchange model of leadership: A critique and further development, in Academy of </w:t>
      </w:r>
      <w:r w:rsidR="00822DA7" w:rsidRPr="00AC1930">
        <w:t>M</w:t>
      </w:r>
      <w:r w:rsidRPr="00AC1930">
        <w:t xml:space="preserve">anagement </w:t>
      </w:r>
      <w:r w:rsidR="00822DA7" w:rsidRPr="00AC1930">
        <w:t>R</w:t>
      </w:r>
      <w:r w:rsidRPr="00AC1930">
        <w:t>eview, 11,</w:t>
      </w:r>
      <w:r w:rsidR="00822DA7" w:rsidRPr="00AC1930">
        <w:t xml:space="preserve"> </w:t>
      </w:r>
      <w:r w:rsidRPr="00AC1930">
        <w:t>3, 618-634.</w:t>
      </w:r>
    </w:p>
    <w:p w14:paraId="181624D0" w14:textId="77777777" w:rsidR="002E7E3F" w:rsidRPr="00AC1930" w:rsidRDefault="0001118D">
      <w:pPr>
        <w:spacing w:line="360" w:lineRule="auto"/>
      </w:pPr>
      <w:r w:rsidRPr="00AC1930">
        <w:t>Dijkstra, T.K./</w:t>
      </w:r>
      <w:proofErr w:type="spellStart"/>
      <w:r w:rsidRPr="00AC1930">
        <w:t>Henseler</w:t>
      </w:r>
      <w:proofErr w:type="spellEnd"/>
      <w:r w:rsidRPr="00AC1930">
        <w:t xml:space="preserve">, J. (2015): Consistent partial least squares path </w:t>
      </w:r>
      <w:proofErr w:type="spellStart"/>
      <w:r w:rsidRPr="00AC1930">
        <w:t>modeling</w:t>
      </w:r>
      <w:proofErr w:type="spellEnd"/>
      <w:r w:rsidRPr="00AC1930">
        <w:t>, in: MIS Quarterly, 39, 2, 297-316.</w:t>
      </w:r>
    </w:p>
    <w:p w14:paraId="248EF5D0" w14:textId="77777777" w:rsidR="002E7E3F" w:rsidRPr="00AC1930" w:rsidRDefault="0001118D">
      <w:pPr>
        <w:spacing w:line="360" w:lineRule="auto"/>
      </w:pPr>
      <w:proofErr w:type="spellStart"/>
      <w:r w:rsidRPr="00AC1930">
        <w:t>Dulebohn</w:t>
      </w:r>
      <w:proofErr w:type="spellEnd"/>
      <w:r w:rsidRPr="00AC1930">
        <w:t>, J.H./</w:t>
      </w:r>
      <w:proofErr w:type="spellStart"/>
      <w:r w:rsidRPr="00AC1930">
        <w:t>Bommer</w:t>
      </w:r>
      <w:proofErr w:type="spellEnd"/>
      <w:r w:rsidRPr="00AC1930">
        <w:t>, W.H./Liden, R.C./</w:t>
      </w:r>
      <w:proofErr w:type="spellStart"/>
      <w:r w:rsidRPr="00AC1930">
        <w:t>Brouer</w:t>
      </w:r>
      <w:proofErr w:type="spellEnd"/>
      <w:r w:rsidRPr="00AC1930">
        <w:t>, R.L./Ferris, G.R. (2012): A meta-analysis of antecedents and consequences of leader-member exchange: Integrating the past with an eye toward the future, in: Journal of Management, 38, 6, 1715-1759.</w:t>
      </w:r>
    </w:p>
    <w:p w14:paraId="1B78F386" w14:textId="77777777" w:rsidR="002E7E3F" w:rsidRPr="00AC1930" w:rsidRDefault="0001118D">
      <w:pPr>
        <w:spacing w:line="360" w:lineRule="auto"/>
      </w:pPr>
      <w:proofErr w:type="spellStart"/>
      <w:r w:rsidRPr="00AC1930">
        <w:t>Dunegan</w:t>
      </w:r>
      <w:proofErr w:type="spellEnd"/>
      <w:r w:rsidRPr="00AC1930">
        <w:t>, K. J./</w:t>
      </w:r>
      <w:proofErr w:type="spellStart"/>
      <w:r w:rsidRPr="00AC1930">
        <w:t>Uhl</w:t>
      </w:r>
      <w:proofErr w:type="spellEnd"/>
      <w:r w:rsidRPr="00AC1930">
        <w:t>-Bien, M./</w:t>
      </w:r>
      <w:proofErr w:type="spellStart"/>
      <w:r w:rsidRPr="00AC1930">
        <w:t>Duchon</w:t>
      </w:r>
      <w:proofErr w:type="spellEnd"/>
      <w:r w:rsidRPr="00AC1930">
        <w:t>, D. (2002): LMX and subordinate performance: The moderating effects of task characteristics, in: Journal of Business and Psychology, 17, 2, 275-285.</w:t>
      </w:r>
    </w:p>
    <w:p w14:paraId="0A230FAF" w14:textId="77777777" w:rsidR="002E7E3F" w:rsidRPr="00AC1930" w:rsidRDefault="0001118D">
      <w:pPr>
        <w:spacing w:line="360" w:lineRule="auto"/>
      </w:pPr>
      <w:r w:rsidRPr="00AC1930">
        <w:t>Emerson, R. M. (1976): Social exchange theory, in: Annual review of sociology, 2, 1, 335-362.</w:t>
      </w:r>
    </w:p>
    <w:p w14:paraId="7E1D624B" w14:textId="2EBC7340" w:rsidR="002E7E3F" w:rsidRPr="00AC1930" w:rsidRDefault="0001118D">
      <w:pPr>
        <w:spacing w:line="360" w:lineRule="auto"/>
      </w:pPr>
      <w:r w:rsidRPr="00AC1930">
        <w:t>English, B./Morrison, D./Chalon, C. (2010): Moderator effects of organizational tenure on the relationship between psychological climate and affective commitment, in: Journal of Management Development, 29, 4, 394-408</w:t>
      </w:r>
      <w:r w:rsidR="00EB5A79" w:rsidRPr="00AC1930">
        <w:t>.</w:t>
      </w:r>
    </w:p>
    <w:p w14:paraId="4850E084" w14:textId="77777777" w:rsidR="002E7E3F" w:rsidRPr="00AC1930" w:rsidRDefault="0001118D">
      <w:pPr>
        <w:spacing w:line="360" w:lineRule="auto"/>
      </w:pPr>
      <w:r w:rsidRPr="00AC1930">
        <w:t>Eisenberger, R./</w:t>
      </w:r>
      <w:proofErr w:type="spellStart"/>
      <w:r w:rsidRPr="00AC1930">
        <w:t>Fasolo</w:t>
      </w:r>
      <w:proofErr w:type="spellEnd"/>
      <w:r w:rsidRPr="00AC1930">
        <w:t>, P./Davis-</w:t>
      </w:r>
      <w:proofErr w:type="spellStart"/>
      <w:r w:rsidRPr="00AC1930">
        <w:t>LaMastro</w:t>
      </w:r>
      <w:proofErr w:type="spellEnd"/>
      <w:r w:rsidRPr="00AC1930">
        <w:t>, V. (1990): Perceived organizational support and employee diligence, commitment, and innovation, in: Journal of Applied Psychology, 75, 1, 51-59.</w:t>
      </w:r>
    </w:p>
    <w:p w14:paraId="61C1F8CD" w14:textId="77777777" w:rsidR="002E7E3F" w:rsidRPr="00AC1930" w:rsidRDefault="0001118D">
      <w:pPr>
        <w:spacing w:line="360" w:lineRule="auto"/>
      </w:pPr>
      <w:r w:rsidRPr="00AC1930">
        <w:t xml:space="preserve">Erdogan, B./Liden, K. (2002): Social Exchanges in the Workplace. in:  L. </w:t>
      </w:r>
      <w:proofErr w:type="spellStart"/>
      <w:r w:rsidRPr="00AC1930">
        <w:t>Neider</w:t>
      </w:r>
      <w:proofErr w:type="spellEnd"/>
      <w:r w:rsidRPr="00AC1930">
        <w:t xml:space="preserve"> and C. </w:t>
      </w:r>
      <w:proofErr w:type="spellStart"/>
      <w:r w:rsidRPr="00AC1930">
        <w:t>Schriesheim</w:t>
      </w:r>
      <w:proofErr w:type="spellEnd"/>
      <w:r w:rsidRPr="00AC1930">
        <w:t>. Greenwich, (ed): Leadership. CT: Information Age Publishing, 65-114.</w:t>
      </w:r>
    </w:p>
    <w:p w14:paraId="6EEE3161" w14:textId="77777777" w:rsidR="002E7E3F" w:rsidRPr="00AC1930" w:rsidRDefault="0001118D">
      <w:pPr>
        <w:spacing w:line="360" w:lineRule="auto"/>
      </w:pPr>
      <w:r w:rsidRPr="00AC1930">
        <w:t xml:space="preserve">Evans, G.W./Fuller-Rowell, T.E./Doan, S.N. (2012): Childhood cumulative risk and obesity: The mediating role of self-regulatory ability, in: </w:t>
      </w:r>
      <w:proofErr w:type="spellStart"/>
      <w:r w:rsidRPr="00AC1930">
        <w:t>Pediatrics</w:t>
      </w:r>
      <w:proofErr w:type="spellEnd"/>
      <w:r w:rsidRPr="00AC1930">
        <w:t>, 129, 1, 68-73.</w:t>
      </w:r>
    </w:p>
    <w:p w14:paraId="42E9443C" w14:textId="77777777" w:rsidR="002E7E3F" w:rsidRPr="00AC1930" w:rsidRDefault="0001118D">
      <w:pPr>
        <w:spacing w:line="360" w:lineRule="auto"/>
      </w:pPr>
      <w:r w:rsidRPr="00AC1930">
        <w:t>Evans, J.R./Mathur, A. (2005): The value of online surveys, in: Internet research, 15, 2, 195-219.</w:t>
      </w:r>
    </w:p>
    <w:p w14:paraId="09EB7E27" w14:textId="77777777" w:rsidR="002E7E3F" w:rsidRPr="00AC1930" w:rsidRDefault="0001118D">
      <w:pPr>
        <w:spacing w:line="360" w:lineRule="auto"/>
      </w:pPr>
      <w:proofErr w:type="spellStart"/>
      <w:r w:rsidRPr="00AC1930">
        <w:t>Faul</w:t>
      </w:r>
      <w:proofErr w:type="spellEnd"/>
      <w:r w:rsidRPr="00AC1930">
        <w:t>, F./</w:t>
      </w:r>
      <w:proofErr w:type="spellStart"/>
      <w:r w:rsidRPr="00AC1930">
        <w:t>Erdfelder</w:t>
      </w:r>
      <w:proofErr w:type="spellEnd"/>
      <w:r w:rsidRPr="00AC1930">
        <w:t xml:space="preserve">, E./Lang, A. G./Buchner, A. (2007): G* Power 3: A flexible statistical power analysis program for the social, </w:t>
      </w:r>
      <w:proofErr w:type="spellStart"/>
      <w:r w:rsidRPr="00AC1930">
        <w:t>behavioral</w:t>
      </w:r>
      <w:proofErr w:type="spellEnd"/>
      <w:r w:rsidRPr="00AC1930">
        <w:t xml:space="preserve">, and biomedical sciences, in: </w:t>
      </w:r>
      <w:proofErr w:type="spellStart"/>
      <w:r w:rsidRPr="00AC1930">
        <w:t>Behavior</w:t>
      </w:r>
      <w:proofErr w:type="spellEnd"/>
      <w:r w:rsidRPr="00AC1930">
        <w:t xml:space="preserve"> Research Methods, 39, 2, 175-191.</w:t>
      </w:r>
    </w:p>
    <w:p w14:paraId="59F71289" w14:textId="77777777" w:rsidR="002E7E3F" w:rsidRPr="00AC1930" w:rsidRDefault="0001118D">
      <w:pPr>
        <w:spacing w:line="360" w:lineRule="auto"/>
      </w:pPr>
      <w:r w:rsidRPr="00AC1930">
        <w:lastRenderedPageBreak/>
        <w:t>Finney, T. G./Finney, R. Z./</w:t>
      </w:r>
      <w:proofErr w:type="spellStart"/>
      <w:r w:rsidRPr="00AC1930">
        <w:t>Maes</w:t>
      </w:r>
      <w:proofErr w:type="spellEnd"/>
      <w:r w:rsidRPr="00AC1930">
        <w:t>, J. (2018): Abusive Supervision and Work Alienation: An Exploratory Study, in: Journal of Organizational Psychology, 18, 1, 78-87.</w:t>
      </w:r>
    </w:p>
    <w:p w14:paraId="768EE948" w14:textId="77777777" w:rsidR="002E7E3F" w:rsidRPr="00AC1930" w:rsidRDefault="0001118D">
      <w:pPr>
        <w:spacing w:line="360" w:lineRule="auto"/>
      </w:pPr>
      <w:r w:rsidRPr="00AC1930">
        <w:t>Fischer, C.S. (1976): Alienation: trying to bridge the chasm, in: The British Journal of Sociology, 27, 1, 35-49.</w:t>
      </w:r>
    </w:p>
    <w:p w14:paraId="33CC22BD" w14:textId="12354FB3" w:rsidR="00822DA7" w:rsidRPr="00AC1930" w:rsidRDefault="00822DA7">
      <w:pPr>
        <w:spacing w:line="360" w:lineRule="auto"/>
      </w:pPr>
      <w:proofErr w:type="spellStart"/>
      <w:r w:rsidRPr="00AC1930">
        <w:t>Fornell</w:t>
      </w:r>
      <w:proofErr w:type="spellEnd"/>
      <w:r w:rsidR="00EB5A79" w:rsidRPr="00AC1930">
        <w:t>, C.</w:t>
      </w:r>
      <w:r w:rsidRPr="00AC1930">
        <w:t>/</w:t>
      </w:r>
      <w:proofErr w:type="spellStart"/>
      <w:r w:rsidRPr="00AC1930">
        <w:t>Larcker</w:t>
      </w:r>
      <w:proofErr w:type="spellEnd"/>
      <w:r w:rsidR="00EB5A79" w:rsidRPr="00AC1930">
        <w:t>, F.L. (</w:t>
      </w:r>
      <w:r w:rsidRPr="00AC1930">
        <w:t>1981</w:t>
      </w:r>
      <w:r w:rsidR="00EB5A79" w:rsidRPr="00AC1930">
        <w:t>): Evaluating Structural Equation Models with Unobservable Variables and Measurement Error, in: Journal of Marketing Research, 18,1, 39-50.</w:t>
      </w:r>
    </w:p>
    <w:p w14:paraId="6398755A" w14:textId="77777777" w:rsidR="002E7E3F" w:rsidRPr="00AC1930" w:rsidRDefault="0001118D">
      <w:pPr>
        <w:spacing w:line="360" w:lineRule="auto"/>
      </w:pPr>
      <w:proofErr w:type="spellStart"/>
      <w:r w:rsidRPr="00AC1930">
        <w:t>Gagné</w:t>
      </w:r>
      <w:proofErr w:type="spellEnd"/>
      <w:r w:rsidRPr="00AC1930">
        <w:t>, M. (2003): Autonomy support and need satisfaction in the motivation and wellbeing of gymnasts, in Journal of Applied Sport Psychology, 15, 4, 372-390.</w:t>
      </w:r>
    </w:p>
    <w:p w14:paraId="1F9E6A56" w14:textId="1AD9FCCE" w:rsidR="00822DA7" w:rsidRPr="00AC1930" w:rsidRDefault="00822DA7">
      <w:pPr>
        <w:spacing w:line="360" w:lineRule="auto"/>
      </w:pPr>
      <w:proofErr w:type="spellStart"/>
      <w:r w:rsidRPr="00AC1930">
        <w:t>Gagné</w:t>
      </w:r>
      <w:proofErr w:type="spellEnd"/>
      <w:r w:rsidRPr="00AC1930">
        <w:t>, M. / Deci,</w:t>
      </w:r>
      <w:r w:rsidR="00850EC5" w:rsidRPr="00AC1930">
        <w:t xml:space="preserve"> </w:t>
      </w:r>
      <w:r w:rsidRPr="00AC1930">
        <w:t xml:space="preserve">R. (2005): Self-Determination Theory and Work Motivation, in: Journal of Organizational </w:t>
      </w:r>
      <w:proofErr w:type="spellStart"/>
      <w:r w:rsidRPr="00AC1930">
        <w:t>Behavior</w:t>
      </w:r>
      <w:proofErr w:type="spellEnd"/>
      <w:r w:rsidRPr="00AC1930">
        <w:t xml:space="preserve"> 26, 4, 331-362.</w:t>
      </w:r>
    </w:p>
    <w:p w14:paraId="6ADAE3D2" w14:textId="77777777" w:rsidR="002E7E3F" w:rsidRPr="00AC1930" w:rsidRDefault="0001118D">
      <w:pPr>
        <w:spacing w:line="360" w:lineRule="auto"/>
      </w:pPr>
      <w:r w:rsidRPr="00AC1930">
        <w:t>Gerstner, C.R./Day, D.V. (1997): Meta-Analytic review of leader–Member exchange theory: Correlates and construct issues, in: Journal of Applied Psychology, 82, 827–844.</w:t>
      </w:r>
    </w:p>
    <w:p w14:paraId="6E1AC2A8" w14:textId="77777777" w:rsidR="002E7E3F" w:rsidRPr="00AC1930" w:rsidRDefault="0001118D">
      <w:pPr>
        <w:spacing w:line="360" w:lineRule="auto"/>
      </w:pPr>
      <w:proofErr w:type="spellStart"/>
      <w:r w:rsidRPr="00AC1930">
        <w:t>Graen</w:t>
      </w:r>
      <w:proofErr w:type="spellEnd"/>
      <w:r w:rsidRPr="00AC1930">
        <w:t>, G.B./</w:t>
      </w:r>
      <w:proofErr w:type="spellStart"/>
      <w:r w:rsidRPr="00AC1930">
        <w:t>Uhl</w:t>
      </w:r>
      <w:proofErr w:type="spellEnd"/>
      <w:r w:rsidRPr="00AC1930">
        <w:t>-Bien, M. (1995): Relationship-based approach to leadership: Development of leader-member exchange (LMX) theory of leadership over 25 years: Applying a multi-level multi-domain perspective, in: The Leadership Quarterly, 6, 219–247.</w:t>
      </w:r>
    </w:p>
    <w:p w14:paraId="13AA9A46" w14:textId="77777777" w:rsidR="002E7E3F" w:rsidRPr="00AC1930" w:rsidRDefault="0001118D">
      <w:pPr>
        <w:spacing w:line="360" w:lineRule="auto"/>
      </w:pPr>
      <w:proofErr w:type="spellStart"/>
      <w:r w:rsidRPr="00AC1930">
        <w:t>Graen</w:t>
      </w:r>
      <w:proofErr w:type="spellEnd"/>
      <w:r w:rsidRPr="00AC1930">
        <w:t>, G./</w:t>
      </w:r>
      <w:proofErr w:type="spellStart"/>
      <w:r w:rsidRPr="00AC1930">
        <w:t>Scandura</w:t>
      </w:r>
      <w:proofErr w:type="spellEnd"/>
      <w:r w:rsidRPr="00AC1930">
        <w:t xml:space="preserve">, T.A. (1987): Toward a psychology of dyadic organizing, in:  Research in Organizational </w:t>
      </w:r>
      <w:proofErr w:type="spellStart"/>
      <w:r w:rsidRPr="00AC1930">
        <w:t>Behavior</w:t>
      </w:r>
      <w:proofErr w:type="spellEnd"/>
      <w:r w:rsidRPr="00AC1930">
        <w:t>, 9, 175-208.</w:t>
      </w:r>
    </w:p>
    <w:p w14:paraId="12ED30FF" w14:textId="77777777" w:rsidR="002E7E3F" w:rsidRPr="00AC1930" w:rsidRDefault="0001118D">
      <w:pPr>
        <w:spacing w:line="360" w:lineRule="auto"/>
      </w:pPr>
      <w:r w:rsidRPr="00AC1930">
        <w:t>Graves, L. M./Luciano, M. M. (2013): Self-determination at work: Understanding the role of leader-member exchange, in Motivation and Emotion, 37, 3, 518-536.</w:t>
      </w:r>
    </w:p>
    <w:p w14:paraId="307D57A4" w14:textId="77777777" w:rsidR="002E7E3F" w:rsidRPr="00AC1930" w:rsidRDefault="0001118D">
      <w:pPr>
        <w:spacing w:line="360" w:lineRule="auto"/>
      </w:pPr>
      <w:r w:rsidRPr="00AC1930">
        <w:t>Hair Jr, J.F./</w:t>
      </w:r>
      <w:proofErr w:type="spellStart"/>
      <w:r w:rsidRPr="00AC1930">
        <w:t>Hult</w:t>
      </w:r>
      <w:proofErr w:type="spellEnd"/>
      <w:r w:rsidRPr="00AC1930">
        <w:t>, G.T.M./</w:t>
      </w:r>
      <w:proofErr w:type="spellStart"/>
      <w:r w:rsidRPr="00AC1930">
        <w:t>Ringle</w:t>
      </w:r>
      <w:proofErr w:type="spellEnd"/>
      <w:r w:rsidRPr="00AC1930">
        <w:t>, C./</w:t>
      </w:r>
      <w:proofErr w:type="spellStart"/>
      <w:r w:rsidRPr="00AC1930">
        <w:t>Sarstedt</w:t>
      </w:r>
      <w:proofErr w:type="spellEnd"/>
      <w:r w:rsidRPr="00AC1930">
        <w:t xml:space="preserve">, M. (2017): A primer on partial least squares structural equation </w:t>
      </w:r>
      <w:proofErr w:type="spellStart"/>
      <w:r w:rsidRPr="00AC1930">
        <w:t>modeling</w:t>
      </w:r>
      <w:proofErr w:type="spellEnd"/>
      <w:r w:rsidRPr="00AC1930">
        <w:t xml:space="preserve"> (PLS-SEM). Sage publications.</w:t>
      </w:r>
    </w:p>
    <w:p w14:paraId="53980079" w14:textId="77777777" w:rsidR="002E7E3F" w:rsidRPr="00AC1930" w:rsidRDefault="0001118D">
      <w:pPr>
        <w:spacing w:line="360" w:lineRule="auto"/>
      </w:pPr>
      <w:r w:rsidRPr="00AC1930">
        <w:t>Hair, J. F./</w:t>
      </w:r>
      <w:proofErr w:type="spellStart"/>
      <w:r w:rsidRPr="00AC1930">
        <w:t>Risher</w:t>
      </w:r>
      <w:proofErr w:type="spellEnd"/>
      <w:r w:rsidRPr="00AC1930">
        <w:t>, J.J./</w:t>
      </w:r>
      <w:proofErr w:type="spellStart"/>
      <w:r w:rsidRPr="00AC1930">
        <w:t>Sarstedt</w:t>
      </w:r>
      <w:proofErr w:type="spellEnd"/>
      <w:r w:rsidRPr="00AC1930">
        <w:t>, M./</w:t>
      </w:r>
      <w:proofErr w:type="spellStart"/>
      <w:r w:rsidRPr="00AC1930">
        <w:t>Ringle</w:t>
      </w:r>
      <w:proofErr w:type="spellEnd"/>
      <w:r w:rsidRPr="00AC1930">
        <w:t>, C. M. (2019): When to use and how to report the results of PLS-SEM, in: European Business Review, 31, 1, 2-24.</w:t>
      </w:r>
    </w:p>
    <w:p w14:paraId="09571041" w14:textId="316FABFB" w:rsidR="002E7E3F" w:rsidRPr="00AC1930" w:rsidRDefault="0001118D">
      <w:pPr>
        <w:spacing w:line="360" w:lineRule="auto"/>
      </w:pPr>
      <w:proofErr w:type="spellStart"/>
      <w:r w:rsidRPr="00AC1930">
        <w:t>Hamstra</w:t>
      </w:r>
      <w:proofErr w:type="spellEnd"/>
      <w:r w:rsidRPr="00AC1930">
        <w:t>, M.R.W./</w:t>
      </w:r>
      <w:r w:rsidR="00850EC5" w:rsidRPr="00AC1930">
        <w:t>van</w:t>
      </w:r>
      <w:r w:rsidRPr="00AC1930">
        <w:t xml:space="preserve"> </w:t>
      </w:r>
      <w:proofErr w:type="spellStart"/>
      <w:r w:rsidRPr="00AC1930">
        <w:t>Yperen</w:t>
      </w:r>
      <w:proofErr w:type="spellEnd"/>
      <w:r w:rsidRPr="00AC1930">
        <w:t>, N.W./</w:t>
      </w:r>
      <w:proofErr w:type="spellStart"/>
      <w:r w:rsidRPr="00AC1930">
        <w:t>Wisse</w:t>
      </w:r>
      <w:proofErr w:type="spellEnd"/>
      <w:r w:rsidRPr="00AC1930">
        <w:t>, B./</w:t>
      </w:r>
      <w:proofErr w:type="spellStart"/>
      <w:r w:rsidRPr="00AC1930">
        <w:t>Sassenberg</w:t>
      </w:r>
      <w:proofErr w:type="spellEnd"/>
      <w:r w:rsidRPr="00AC1930">
        <w:t>, K. (2011): Transformational-transactional leadership styles and followers' regulatory focus: Fit reduces followers' turnover intentions, in: Journal of Personnel Psychology, 10, 4, 182-186.</w:t>
      </w:r>
    </w:p>
    <w:p w14:paraId="6C174F79" w14:textId="77777777" w:rsidR="002E7E3F" w:rsidRPr="00AC1930" w:rsidRDefault="0001118D">
      <w:pPr>
        <w:spacing w:line="360" w:lineRule="auto"/>
      </w:pPr>
      <w:r w:rsidRPr="00AC1930">
        <w:lastRenderedPageBreak/>
        <w:t>Harman, H. H. (1967): Modern factor analysis. Chicago: University of Chicago Press.</w:t>
      </w:r>
    </w:p>
    <w:p w14:paraId="5550C832" w14:textId="3E12D720" w:rsidR="002E7E3F" w:rsidRPr="00AC1930" w:rsidRDefault="0001118D">
      <w:pPr>
        <w:shd w:val="clear" w:color="auto" w:fill="FFFFFF"/>
        <w:spacing w:line="360" w:lineRule="auto"/>
      </w:pPr>
      <w:r w:rsidRPr="00AC1930">
        <w:t>Harris, K. J./</w:t>
      </w:r>
      <w:proofErr w:type="spellStart"/>
      <w:r w:rsidRPr="00AC1930">
        <w:t>Kacmar</w:t>
      </w:r>
      <w:proofErr w:type="spellEnd"/>
      <w:r w:rsidRPr="00AC1930">
        <w:t>, K. M./Witt, L. A. (2005): An examination of the curvilinear relationship between leader–member exchange and intent to turnover, in</w:t>
      </w:r>
      <w:r w:rsidR="00822DA7" w:rsidRPr="00AC1930">
        <w:t>:</w:t>
      </w:r>
      <w:r w:rsidRPr="00AC1930">
        <w:t xml:space="preserve"> Journal of Organizational </w:t>
      </w:r>
      <w:proofErr w:type="spellStart"/>
      <w:r w:rsidRPr="00AC1930">
        <w:t>Behavior</w:t>
      </w:r>
      <w:proofErr w:type="spellEnd"/>
      <w:r w:rsidRPr="00AC1930">
        <w:t>, 26, 4, 363-378.</w:t>
      </w:r>
    </w:p>
    <w:p w14:paraId="171D0E18" w14:textId="77777777" w:rsidR="002E7E3F" w:rsidRPr="00AC1930" w:rsidRDefault="0001118D">
      <w:pPr>
        <w:shd w:val="clear" w:color="auto" w:fill="FFFFFF"/>
        <w:spacing w:after="160" w:line="360" w:lineRule="auto"/>
      </w:pPr>
      <w:r w:rsidRPr="00AC1930">
        <w:t>Harris, K.J./</w:t>
      </w:r>
      <w:proofErr w:type="spellStart"/>
      <w:r w:rsidRPr="00AC1930">
        <w:t>Kacmar</w:t>
      </w:r>
      <w:proofErr w:type="spellEnd"/>
      <w:r w:rsidRPr="00AC1930">
        <w:t>, K.M./Carlson, D.S. (2006): An examination of temporal variables and relationship quality on promotability ratings, in: Group &amp; Organization Management, 31, 6, 677-699.</w:t>
      </w:r>
    </w:p>
    <w:p w14:paraId="50B25FB9" w14:textId="77777777" w:rsidR="002E7E3F" w:rsidRPr="00AC1930" w:rsidRDefault="0001118D">
      <w:pPr>
        <w:spacing w:line="360" w:lineRule="auto"/>
      </w:pPr>
      <w:r w:rsidRPr="00AC1930">
        <w:t>Harris, K. J./Wheeler, A. R./</w:t>
      </w:r>
      <w:proofErr w:type="spellStart"/>
      <w:r w:rsidRPr="00AC1930">
        <w:t>Kacmar</w:t>
      </w:r>
      <w:proofErr w:type="spellEnd"/>
      <w:r w:rsidRPr="00AC1930">
        <w:t>, K. M. (2011): The mediating role of organizational job embeddedness in the LMX–outcomes relationships, in: The Leadership Quarterly, 22, 2, 271-281.</w:t>
      </w:r>
    </w:p>
    <w:p w14:paraId="660F0E1A" w14:textId="2352ACD8" w:rsidR="002E7E3F" w:rsidRPr="00AC1930" w:rsidRDefault="0001118D">
      <w:pPr>
        <w:spacing w:line="360" w:lineRule="auto"/>
      </w:pPr>
      <w:r w:rsidRPr="00AC1930">
        <w:t xml:space="preserve">Harvey, D. (2018): Universal alienation, </w:t>
      </w:r>
      <w:r w:rsidR="00822DA7" w:rsidRPr="00AC1930">
        <w:t xml:space="preserve">in: </w:t>
      </w:r>
      <w:r w:rsidRPr="00AC1930">
        <w:t>Journal for Cultural Research, 22,</w:t>
      </w:r>
      <w:r w:rsidR="00FD569E" w:rsidRPr="00AC1930">
        <w:t xml:space="preserve"> </w:t>
      </w:r>
      <w:r w:rsidRPr="00AC1930">
        <w:t>2, 137-150.</w:t>
      </w:r>
    </w:p>
    <w:p w14:paraId="6A9CE9BD" w14:textId="77777777" w:rsidR="002E7E3F" w:rsidRPr="00AC1930" w:rsidRDefault="0001118D">
      <w:pPr>
        <w:spacing w:line="360" w:lineRule="auto"/>
      </w:pPr>
      <w:r w:rsidRPr="00AC1930">
        <w:t xml:space="preserve">Hegel, G. W. F. (1807/1977): </w:t>
      </w:r>
      <w:proofErr w:type="spellStart"/>
      <w:r w:rsidRPr="00AC1930">
        <w:t>Phenomonology</w:t>
      </w:r>
      <w:proofErr w:type="spellEnd"/>
      <w:r w:rsidRPr="00AC1930">
        <w:t xml:space="preserve"> of spirit. Oxford: Oxford: Clarendon Press.</w:t>
      </w:r>
    </w:p>
    <w:p w14:paraId="20BFDFE3" w14:textId="77777777" w:rsidR="002E7E3F" w:rsidRPr="00AC1930" w:rsidRDefault="0001118D">
      <w:pPr>
        <w:spacing w:line="360" w:lineRule="auto"/>
      </w:pPr>
      <w:proofErr w:type="spellStart"/>
      <w:r w:rsidRPr="00AC1930">
        <w:t>Henseler</w:t>
      </w:r>
      <w:proofErr w:type="spellEnd"/>
      <w:r w:rsidRPr="00AC1930">
        <w:t xml:space="preserve">, J. (2018): Partial least squares path </w:t>
      </w:r>
      <w:proofErr w:type="spellStart"/>
      <w:r w:rsidRPr="00AC1930">
        <w:t>modeling</w:t>
      </w:r>
      <w:proofErr w:type="spellEnd"/>
      <w:r w:rsidRPr="00AC1930">
        <w:t xml:space="preserve">: Quo </w:t>
      </w:r>
      <w:proofErr w:type="spellStart"/>
      <w:proofErr w:type="gramStart"/>
      <w:r w:rsidRPr="00AC1930">
        <w:t>vadis</w:t>
      </w:r>
      <w:proofErr w:type="spellEnd"/>
      <w:r w:rsidRPr="00AC1930">
        <w:t>?,</w:t>
      </w:r>
      <w:proofErr w:type="gramEnd"/>
      <w:r w:rsidRPr="00AC1930">
        <w:t xml:space="preserve"> in: Quality &amp; Quantity, 52, 1, 1-8.</w:t>
      </w:r>
    </w:p>
    <w:p w14:paraId="7BFCD457" w14:textId="77777777" w:rsidR="002E7E3F" w:rsidRPr="00AC1930" w:rsidRDefault="0001118D">
      <w:pPr>
        <w:spacing w:line="360" w:lineRule="auto"/>
      </w:pPr>
      <w:proofErr w:type="spellStart"/>
      <w:r w:rsidRPr="00AC1930">
        <w:t>Henseler</w:t>
      </w:r>
      <w:proofErr w:type="spellEnd"/>
      <w:r w:rsidRPr="00AC1930">
        <w:t>, J./</w:t>
      </w:r>
      <w:proofErr w:type="spellStart"/>
      <w:r w:rsidRPr="00AC1930">
        <w:t>Hubona</w:t>
      </w:r>
      <w:proofErr w:type="spellEnd"/>
      <w:r w:rsidRPr="00AC1930">
        <w:t xml:space="preserve">, G./Ray, P. A. (2016a): Using PLS path </w:t>
      </w:r>
      <w:proofErr w:type="spellStart"/>
      <w:r w:rsidRPr="00AC1930">
        <w:t>modeling</w:t>
      </w:r>
      <w:proofErr w:type="spellEnd"/>
      <w:r w:rsidRPr="00AC1930">
        <w:t xml:space="preserve"> in new technology research: updated guidelines. in: Industrial Management &amp; Data Systems, 116, 1, 2-20.</w:t>
      </w:r>
    </w:p>
    <w:p w14:paraId="2D6AF562" w14:textId="77777777" w:rsidR="002E7E3F" w:rsidRPr="00AC1930" w:rsidRDefault="0001118D">
      <w:pPr>
        <w:spacing w:line="360" w:lineRule="auto"/>
      </w:pPr>
      <w:proofErr w:type="spellStart"/>
      <w:r w:rsidRPr="00AC1930">
        <w:t>Henseler</w:t>
      </w:r>
      <w:proofErr w:type="spellEnd"/>
      <w:r w:rsidRPr="00AC1930">
        <w:t>, J./</w:t>
      </w:r>
      <w:proofErr w:type="spellStart"/>
      <w:r w:rsidRPr="00AC1930">
        <w:t>Ringle</w:t>
      </w:r>
      <w:proofErr w:type="spellEnd"/>
      <w:r w:rsidRPr="00AC1930">
        <w:t>, C. M./</w:t>
      </w:r>
      <w:proofErr w:type="spellStart"/>
      <w:r w:rsidRPr="00AC1930">
        <w:t>Sarstedt</w:t>
      </w:r>
      <w:proofErr w:type="spellEnd"/>
      <w:r w:rsidRPr="00AC1930">
        <w:t xml:space="preserve">, M. (2015): A new criterion for assessing discriminant validity in variance-based structural equation </w:t>
      </w:r>
      <w:proofErr w:type="spellStart"/>
      <w:r w:rsidRPr="00AC1930">
        <w:t>modeling</w:t>
      </w:r>
      <w:proofErr w:type="spellEnd"/>
      <w:r w:rsidRPr="00AC1930">
        <w:t>, in: Journal of the Academy of Marketing Science, 43, 1, 115-135.</w:t>
      </w:r>
    </w:p>
    <w:p w14:paraId="7B547A1A" w14:textId="77777777" w:rsidR="002E7E3F" w:rsidRPr="00AC1930" w:rsidRDefault="0001118D">
      <w:pPr>
        <w:spacing w:line="360" w:lineRule="auto"/>
      </w:pPr>
      <w:proofErr w:type="spellStart"/>
      <w:r w:rsidRPr="00AC1930">
        <w:t>Henseler</w:t>
      </w:r>
      <w:proofErr w:type="spellEnd"/>
      <w:r w:rsidRPr="00AC1930">
        <w:t>, J./</w:t>
      </w:r>
      <w:proofErr w:type="spellStart"/>
      <w:r w:rsidRPr="00AC1930">
        <w:t>Ringle</w:t>
      </w:r>
      <w:proofErr w:type="spellEnd"/>
      <w:r w:rsidRPr="00AC1930">
        <w:t>, C.M./</w:t>
      </w:r>
      <w:proofErr w:type="spellStart"/>
      <w:r w:rsidRPr="00AC1930">
        <w:t>Sarstedt</w:t>
      </w:r>
      <w:proofErr w:type="spellEnd"/>
      <w:r w:rsidRPr="00AC1930">
        <w:t>, M. (2016b): Testing measurement invariance of composites using partial least squares, in: International marketing review, 33, 3, 405-431.</w:t>
      </w:r>
    </w:p>
    <w:p w14:paraId="72DD3EEA" w14:textId="77777777" w:rsidR="002E7E3F" w:rsidRPr="00AC1930" w:rsidRDefault="0001118D">
      <w:pPr>
        <w:spacing w:line="360" w:lineRule="auto"/>
      </w:pPr>
      <w:proofErr w:type="spellStart"/>
      <w:r w:rsidRPr="00AC1930">
        <w:t>Henseler</w:t>
      </w:r>
      <w:proofErr w:type="spellEnd"/>
      <w:r w:rsidRPr="00AC1930">
        <w:t>, J./</w:t>
      </w:r>
      <w:proofErr w:type="spellStart"/>
      <w:r w:rsidRPr="00AC1930">
        <w:t>Ringle</w:t>
      </w:r>
      <w:proofErr w:type="spellEnd"/>
      <w:r w:rsidRPr="00AC1930">
        <w:t>, C.M./</w:t>
      </w:r>
      <w:proofErr w:type="spellStart"/>
      <w:r w:rsidRPr="00AC1930">
        <w:t>Sinkovics</w:t>
      </w:r>
      <w:proofErr w:type="spellEnd"/>
      <w:r w:rsidRPr="00AC1930">
        <w:t xml:space="preserve">, R.R. (2009): The use of partial least squares path </w:t>
      </w:r>
      <w:proofErr w:type="spellStart"/>
      <w:r w:rsidRPr="00AC1930">
        <w:t>modeling</w:t>
      </w:r>
      <w:proofErr w:type="spellEnd"/>
      <w:r w:rsidRPr="00AC1930">
        <w:t xml:space="preserve"> in international marketing, in: </w:t>
      </w:r>
      <w:proofErr w:type="spellStart"/>
      <w:r w:rsidRPr="00AC1930">
        <w:t>Sinkovics</w:t>
      </w:r>
      <w:proofErr w:type="spellEnd"/>
      <w:r w:rsidRPr="00AC1930">
        <w:t>, R./</w:t>
      </w:r>
      <w:proofErr w:type="spellStart"/>
      <w:r w:rsidRPr="00AC1930">
        <w:t>Ghauri</w:t>
      </w:r>
      <w:proofErr w:type="spellEnd"/>
      <w:r w:rsidRPr="00AC1930">
        <w:t>, P. (eds.): New challenges to international marketing. Emerald Group Publishing Limited, 277-319.</w:t>
      </w:r>
    </w:p>
    <w:p w14:paraId="2CC3806F" w14:textId="77777777" w:rsidR="002E7E3F" w:rsidRPr="00AC1930" w:rsidRDefault="0001118D">
      <w:pPr>
        <w:shd w:val="clear" w:color="auto" w:fill="FFFFFF"/>
        <w:spacing w:after="160" w:line="360" w:lineRule="auto"/>
      </w:pPr>
      <w:r w:rsidRPr="00AC1930">
        <w:lastRenderedPageBreak/>
        <w:t>Hirschfeld, R. R. (2002): Achievement Orientation and Psychological Involvement in Job Tasks: The Interactive Effects of Work Alienation and Intrinsic Job Satisfaction, in: Journal of Applied Social Psychology, 32, 8, 1663-1681.</w:t>
      </w:r>
    </w:p>
    <w:p w14:paraId="6322EBAD" w14:textId="77777777" w:rsidR="002E7E3F" w:rsidRPr="00AC1930" w:rsidRDefault="0001118D">
      <w:pPr>
        <w:spacing w:line="360" w:lineRule="auto"/>
      </w:pPr>
      <w:r w:rsidRPr="00AC1930">
        <w:t xml:space="preserve">Hirschfeld, R.R./Field, H.S. (2000): Work centrality and work alienation: distinct aspects of a general commitment to work, in: Journal of Organizational </w:t>
      </w:r>
      <w:proofErr w:type="spellStart"/>
      <w:r w:rsidRPr="00AC1930">
        <w:t>Behavior</w:t>
      </w:r>
      <w:proofErr w:type="spellEnd"/>
      <w:r w:rsidRPr="00AC1930">
        <w:t>, 21, 789-800.</w:t>
      </w:r>
    </w:p>
    <w:p w14:paraId="4DB84561" w14:textId="77777777" w:rsidR="002E7E3F" w:rsidRPr="00AC1930" w:rsidRDefault="0001118D">
      <w:pPr>
        <w:spacing w:line="360" w:lineRule="auto"/>
      </w:pPr>
      <w:r w:rsidRPr="00AC1930">
        <w:t>Hofmann, S.G./</w:t>
      </w:r>
      <w:proofErr w:type="spellStart"/>
      <w:r w:rsidRPr="00AC1930">
        <w:t>Asnaani</w:t>
      </w:r>
      <w:proofErr w:type="spellEnd"/>
      <w:r w:rsidRPr="00AC1930">
        <w:t>, A./</w:t>
      </w:r>
      <w:proofErr w:type="spellStart"/>
      <w:r w:rsidRPr="00AC1930">
        <w:t>Vonk</w:t>
      </w:r>
      <w:proofErr w:type="spellEnd"/>
      <w:r w:rsidRPr="00AC1930">
        <w:t xml:space="preserve">, I.J./Sawyer, A.T./Fang, A. (2012): The efficacy of cognitive </w:t>
      </w:r>
      <w:proofErr w:type="spellStart"/>
      <w:r w:rsidRPr="00AC1930">
        <w:t>behavioral</w:t>
      </w:r>
      <w:proofErr w:type="spellEnd"/>
      <w:r w:rsidRPr="00AC1930">
        <w:t xml:space="preserve"> therapy: A review of meta-analyses, in: Cognitive Therapy and Research, 36, 5, 427-440.</w:t>
      </w:r>
    </w:p>
    <w:p w14:paraId="314A8BE8" w14:textId="77777777" w:rsidR="002E7E3F" w:rsidRPr="00AC1930" w:rsidRDefault="0001118D">
      <w:pPr>
        <w:spacing w:line="360" w:lineRule="auto"/>
      </w:pPr>
      <w:r w:rsidRPr="00AC1930">
        <w:t>Hooper, D.T./Martin, R. (2008): Beyond personal leader–member exchange (LMX) quality: The effects of perceived LMX variability on employee reactions, in:  The Leadership Quarterly, 19, 1, 20-30.</w:t>
      </w:r>
    </w:p>
    <w:p w14:paraId="13E60BD1" w14:textId="77777777" w:rsidR="002E7E3F" w:rsidRPr="00AC1930" w:rsidRDefault="0001118D">
      <w:pPr>
        <w:spacing w:line="360" w:lineRule="auto"/>
      </w:pPr>
      <w:proofErr w:type="spellStart"/>
      <w:r w:rsidRPr="00AC1930">
        <w:t>Ilies</w:t>
      </w:r>
      <w:proofErr w:type="spellEnd"/>
      <w:r w:rsidRPr="00AC1930">
        <w:t>, R./</w:t>
      </w:r>
      <w:proofErr w:type="spellStart"/>
      <w:r w:rsidRPr="00AC1930">
        <w:t>Nahrgang</w:t>
      </w:r>
      <w:proofErr w:type="spellEnd"/>
      <w:r w:rsidRPr="00AC1930">
        <w:t>, J.D./</w:t>
      </w:r>
      <w:proofErr w:type="spellStart"/>
      <w:r w:rsidRPr="00AC1930">
        <w:t>Morgeson</w:t>
      </w:r>
      <w:proofErr w:type="spellEnd"/>
      <w:r w:rsidRPr="00AC1930">
        <w:t xml:space="preserve">, F.P. (2007): Leader-member exchange and citizenship </w:t>
      </w:r>
      <w:proofErr w:type="spellStart"/>
      <w:r w:rsidRPr="00AC1930">
        <w:t>behaviors</w:t>
      </w:r>
      <w:proofErr w:type="spellEnd"/>
      <w:r w:rsidRPr="00AC1930">
        <w:t>: A meta-analysis, in: Journal of Applied Psychology, 92, 1, 269.</w:t>
      </w:r>
    </w:p>
    <w:p w14:paraId="7B5FFDCE" w14:textId="77777777" w:rsidR="002E7E3F" w:rsidRPr="00AC1930" w:rsidRDefault="0001118D">
      <w:pPr>
        <w:spacing w:line="360" w:lineRule="auto"/>
      </w:pPr>
      <w:r w:rsidRPr="00AC1930">
        <w:t>Jawahar, I. M./</w:t>
      </w:r>
      <w:proofErr w:type="spellStart"/>
      <w:r w:rsidRPr="00AC1930">
        <w:t>Schreurs</w:t>
      </w:r>
      <w:proofErr w:type="spellEnd"/>
      <w:r w:rsidRPr="00AC1930">
        <w:t>, B./Mohammed, S. J. (2018): How and when LMX quality relates to counterproductive performance, in: Career Development International, 23, 6-7, 557-575.</w:t>
      </w:r>
    </w:p>
    <w:p w14:paraId="2C98C079" w14:textId="77777777" w:rsidR="002E7E3F" w:rsidRPr="00AC1930" w:rsidRDefault="0001118D">
      <w:pPr>
        <w:spacing w:line="360" w:lineRule="auto"/>
      </w:pPr>
      <w:bookmarkStart w:id="21" w:name="_1y810tw" w:colFirst="0" w:colLast="0"/>
      <w:bookmarkEnd w:id="21"/>
      <w:r w:rsidRPr="00AC1930">
        <w:t xml:space="preserve">Jiang, H./Chen, Y./Sun, P./Li, C. (2019): Authoritarian leadership and employees' unsafe </w:t>
      </w:r>
      <w:proofErr w:type="spellStart"/>
      <w:r w:rsidRPr="00AC1930">
        <w:t>behaviors</w:t>
      </w:r>
      <w:proofErr w:type="spellEnd"/>
      <w:r w:rsidRPr="00AC1930">
        <w:t>: The mediating roles of organizational cynicism and work alienation, in: Current Psychology, 1-11.</w:t>
      </w:r>
    </w:p>
    <w:p w14:paraId="7B1CA683" w14:textId="77777777" w:rsidR="002E7E3F" w:rsidRPr="00AC1930" w:rsidRDefault="0001118D">
      <w:pPr>
        <w:spacing w:line="360" w:lineRule="auto"/>
      </w:pPr>
      <w:bookmarkStart w:id="22" w:name="_4i7ojhp" w:colFirst="0" w:colLast="0"/>
      <w:bookmarkEnd w:id="22"/>
      <w:r w:rsidRPr="00AC1930">
        <w:t>Johnson, R.E./Lin, S.H./Lee, H.W. (2018): Self-control as the fuel for effective self-regulation at work: Antecedents, consequences, and boundary conditions of employee self-control, in Advances in motivation science, 5, 87-128.</w:t>
      </w:r>
    </w:p>
    <w:p w14:paraId="152CF783" w14:textId="77777777" w:rsidR="000060AF" w:rsidRPr="00AC1930" w:rsidRDefault="000060AF" w:rsidP="000060AF">
      <w:pPr>
        <w:spacing w:line="360" w:lineRule="auto"/>
      </w:pPr>
      <w:proofErr w:type="spellStart"/>
      <w:r w:rsidRPr="00AC1930">
        <w:t>Ingledew</w:t>
      </w:r>
      <w:proofErr w:type="spellEnd"/>
      <w:r w:rsidRPr="00AC1930">
        <w:t>, D.K./Markland, D./Sheppard, K.E. (2004): Personality and self-determination of exercise behaviour, in: </w:t>
      </w:r>
      <w:r w:rsidRPr="00AC1930">
        <w:rPr>
          <w:iCs/>
        </w:rPr>
        <w:t>Personality and individual differences</w:t>
      </w:r>
      <w:r w:rsidRPr="00AC1930">
        <w:t>, </w:t>
      </w:r>
      <w:r w:rsidRPr="00AC1930">
        <w:rPr>
          <w:iCs/>
        </w:rPr>
        <w:t xml:space="preserve">36, </w:t>
      </w:r>
      <w:r w:rsidRPr="00AC1930">
        <w:t>8, 1921-1932.</w:t>
      </w:r>
    </w:p>
    <w:p w14:paraId="7920233E" w14:textId="77777777" w:rsidR="002E7E3F" w:rsidRPr="00AC1930" w:rsidRDefault="0001118D">
      <w:pPr>
        <w:spacing w:line="360" w:lineRule="auto"/>
      </w:pPr>
      <w:r w:rsidRPr="00AC1930">
        <w:t>Kanungo, R.N. (1979): The concepts of alienation and involvement revisited, in:  Psychological Bulletin, 86, 119–138.</w:t>
      </w:r>
    </w:p>
    <w:p w14:paraId="60F50CBD" w14:textId="242583D1" w:rsidR="002E7E3F" w:rsidRPr="00AC1930" w:rsidRDefault="0001118D">
      <w:r w:rsidRPr="00AC1930">
        <w:t>Kanungo, R.N. (1998). Leadership in organizations: Looking ahead to the 21st century, in:</w:t>
      </w:r>
      <w:r w:rsidR="00850EC5" w:rsidRPr="00AC1930">
        <w:t xml:space="preserve"> </w:t>
      </w:r>
      <w:r w:rsidRPr="00AC1930">
        <w:t>Canadian Psychology, 39, 71-82.</w:t>
      </w:r>
    </w:p>
    <w:p w14:paraId="33F69B62" w14:textId="4E3EB547" w:rsidR="002E7E3F" w:rsidRPr="00AC1930" w:rsidRDefault="0001118D">
      <w:pPr>
        <w:spacing w:line="360" w:lineRule="auto"/>
      </w:pPr>
      <w:proofErr w:type="spellStart"/>
      <w:r w:rsidRPr="00AC1930">
        <w:lastRenderedPageBreak/>
        <w:t>Kark</w:t>
      </w:r>
      <w:proofErr w:type="spellEnd"/>
      <w:r w:rsidRPr="00AC1930">
        <w:t xml:space="preserve"> R./</w:t>
      </w:r>
      <w:r w:rsidR="00850EC5" w:rsidRPr="00AC1930">
        <w:t>van</w:t>
      </w:r>
      <w:r w:rsidRPr="00AC1930">
        <w:t xml:space="preserve"> Dijk, D. (2019): Keep your head in the clouds and your feet on the ground: a multifocal review of leadership–followership self-regulatory focus, in: Academy of Management Annals, 13, 2, 549-546.</w:t>
      </w:r>
    </w:p>
    <w:p w14:paraId="16B3C796" w14:textId="77777777" w:rsidR="002E7E3F" w:rsidRPr="00AC1930" w:rsidRDefault="0001118D">
      <w:pPr>
        <w:spacing w:line="360" w:lineRule="auto"/>
      </w:pPr>
      <w:proofErr w:type="spellStart"/>
      <w:r w:rsidRPr="00AC1930">
        <w:t>Kartal</w:t>
      </w:r>
      <w:proofErr w:type="spellEnd"/>
      <w:r w:rsidRPr="00AC1930">
        <w:t>, N. (2018): Evaluating the relationship between work engagement, work alienation and work performance of healthcare professionals, in: International Journal of Healthcare Management, 11, 3, 251-259.</w:t>
      </w:r>
    </w:p>
    <w:p w14:paraId="09FC75D3" w14:textId="77777777" w:rsidR="002E7E3F" w:rsidRPr="00AC1930" w:rsidRDefault="0001118D">
      <w:pPr>
        <w:shd w:val="clear" w:color="auto" w:fill="FFFFFF"/>
        <w:spacing w:after="160" w:line="360" w:lineRule="auto"/>
      </w:pPr>
      <w:r w:rsidRPr="00AC1930">
        <w:t>Kim, T.Y./Liu, Z./</w:t>
      </w:r>
      <w:proofErr w:type="spellStart"/>
      <w:r w:rsidRPr="00AC1930">
        <w:t>Diefendorff</w:t>
      </w:r>
      <w:proofErr w:type="spellEnd"/>
      <w:r w:rsidRPr="00AC1930">
        <w:t xml:space="preserve">, J.M. (2015): Leader–member exchange and job performance: The effects of taking charge and organizational tenure, in: Journal of Organizational </w:t>
      </w:r>
      <w:proofErr w:type="spellStart"/>
      <w:r w:rsidRPr="00AC1930">
        <w:t>Behavior</w:t>
      </w:r>
      <w:proofErr w:type="spellEnd"/>
      <w:r w:rsidRPr="00AC1930">
        <w:t>, 36, 2, 216-231.</w:t>
      </w:r>
    </w:p>
    <w:p w14:paraId="3540D933" w14:textId="77777777" w:rsidR="002E7E3F" w:rsidRPr="00AC1930" w:rsidRDefault="0001118D">
      <w:pPr>
        <w:spacing w:line="360" w:lineRule="auto"/>
      </w:pPr>
      <w:r w:rsidRPr="00AC1930">
        <w:t xml:space="preserve">Kline, R. B. (2005): Principles and practice of structural equation </w:t>
      </w:r>
      <w:proofErr w:type="spellStart"/>
      <w:r w:rsidRPr="00AC1930">
        <w:t>modeling</w:t>
      </w:r>
      <w:proofErr w:type="spellEnd"/>
      <w:r w:rsidRPr="00AC1930">
        <w:t>. New York: Guilford Press.</w:t>
      </w:r>
    </w:p>
    <w:p w14:paraId="13D94030" w14:textId="77777777" w:rsidR="002E7E3F" w:rsidRPr="00AC1930" w:rsidRDefault="0001118D">
      <w:pPr>
        <w:spacing w:line="360" w:lineRule="auto"/>
      </w:pPr>
      <w:r w:rsidRPr="00AC1930">
        <w:t>Kock, N. (2015): Common method bias in PLS-SEM: A full collinearity assessment approach, in: International Journal of e-Collaboration (</w:t>
      </w:r>
      <w:proofErr w:type="spellStart"/>
      <w:r w:rsidRPr="00AC1930">
        <w:t>ijec</w:t>
      </w:r>
      <w:proofErr w:type="spellEnd"/>
      <w:r w:rsidRPr="00AC1930">
        <w:t>), 11, 4, 1-10.</w:t>
      </w:r>
    </w:p>
    <w:p w14:paraId="10802FEE" w14:textId="77777777" w:rsidR="002E7E3F" w:rsidRPr="00AC1930" w:rsidRDefault="0001118D">
      <w:pPr>
        <w:spacing w:line="360" w:lineRule="auto"/>
      </w:pPr>
      <w:r w:rsidRPr="00AC1930">
        <w:t>Koopman, J./Lin, S.H./Lennard, A.C./Matta, F.K./Johnson, R.E. (2019): My co-workers are treated more fairly than me! A self-regulatory perspective on justice social comparisons, in:   Academy of Management Journal, 63, 857-880.</w:t>
      </w:r>
    </w:p>
    <w:p w14:paraId="20BB83AC" w14:textId="35BDAD0A" w:rsidR="002E7E3F" w:rsidRPr="00AC1930" w:rsidRDefault="0001118D">
      <w:pPr>
        <w:spacing w:line="360" w:lineRule="auto"/>
      </w:pPr>
      <w:proofErr w:type="spellStart"/>
      <w:r w:rsidRPr="00AC1930">
        <w:t>Kuvaas</w:t>
      </w:r>
      <w:proofErr w:type="spellEnd"/>
      <w:r w:rsidRPr="00AC1930">
        <w:t>, B./Buch, R./</w:t>
      </w:r>
      <w:proofErr w:type="spellStart"/>
      <w:r w:rsidRPr="00AC1930">
        <w:t>Dysvik</w:t>
      </w:r>
      <w:proofErr w:type="spellEnd"/>
      <w:r w:rsidRPr="00AC1930">
        <w:t>, A./</w:t>
      </w:r>
      <w:proofErr w:type="spellStart"/>
      <w:r w:rsidRPr="00AC1930">
        <w:t>Haerem</w:t>
      </w:r>
      <w:proofErr w:type="spellEnd"/>
      <w:r w:rsidRPr="00AC1930">
        <w:t>, T. (2012): Economic and social leader–member exchange relationships and follower performance, in</w:t>
      </w:r>
      <w:r w:rsidR="00822DA7" w:rsidRPr="00AC1930">
        <w:t>:</w:t>
      </w:r>
      <w:r w:rsidRPr="00AC1930">
        <w:t xml:space="preserve"> The Leadership Quarterly, 23, 5, 756-765.</w:t>
      </w:r>
    </w:p>
    <w:p w14:paraId="54B71887" w14:textId="48A438EA" w:rsidR="002E7E3F" w:rsidRPr="00AC1930" w:rsidRDefault="0001118D">
      <w:pPr>
        <w:spacing w:line="360" w:lineRule="auto"/>
      </w:pPr>
      <w:proofErr w:type="spellStart"/>
      <w:r w:rsidRPr="00AC1930">
        <w:t>Kuvaas</w:t>
      </w:r>
      <w:proofErr w:type="spellEnd"/>
      <w:r w:rsidRPr="00AC1930">
        <w:t>, B./Buch, R. (2019): Leader self-efficacy and role ambiguity and follower leader-member exchange, in</w:t>
      </w:r>
      <w:r w:rsidR="00822DA7" w:rsidRPr="00AC1930">
        <w:t>:</w:t>
      </w:r>
      <w:r w:rsidRPr="00AC1930">
        <w:t xml:space="preserve"> Leadership &amp; Organization Development Journal, 41, 1, 118-132.</w:t>
      </w:r>
    </w:p>
    <w:p w14:paraId="0F34D1FB" w14:textId="77777777" w:rsidR="002E7E3F" w:rsidRPr="00AC1930" w:rsidRDefault="0001118D">
      <w:pPr>
        <w:spacing w:line="360" w:lineRule="auto"/>
      </w:pPr>
      <w:r w:rsidRPr="00AC1930">
        <w:t>Leventhal, H.O.R./Ian, B. (2012): The common-sense model of self-regulation of health and illness, in: The self-regulation of health and illness behaviour (56-79). Routledge.</w:t>
      </w:r>
    </w:p>
    <w:p w14:paraId="786842FA" w14:textId="77777777" w:rsidR="002E7E3F" w:rsidRPr="00AC1930" w:rsidRDefault="0001118D">
      <w:pPr>
        <w:spacing w:line="360" w:lineRule="auto"/>
      </w:pPr>
      <w:r w:rsidRPr="00AC1930">
        <w:t>Liden, R.C./</w:t>
      </w:r>
      <w:proofErr w:type="spellStart"/>
      <w:r w:rsidRPr="00AC1930">
        <w:t>Graen</w:t>
      </w:r>
      <w:proofErr w:type="spellEnd"/>
      <w:r w:rsidRPr="00AC1930">
        <w:t>, G. (1980): Generalizability of the Vertical Dyad Linkage Model of Leadership, in: Academy of Management Journal, 23, 451-465.</w:t>
      </w:r>
    </w:p>
    <w:p w14:paraId="52DE64E2" w14:textId="77777777" w:rsidR="002E7E3F" w:rsidRPr="00AC1930" w:rsidRDefault="0001118D">
      <w:pPr>
        <w:spacing w:line="360" w:lineRule="auto"/>
      </w:pPr>
      <w:r w:rsidRPr="00AC1930">
        <w:lastRenderedPageBreak/>
        <w:t>Liden, R.C./</w:t>
      </w:r>
      <w:proofErr w:type="spellStart"/>
      <w:r w:rsidRPr="00AC1930">
        <w:t>Sparrowe</w:t>
      </w:r>
      <w:proofErr w:type="spellEnd"/>
      <w:r w:rsidRPr="00AC1930">
        <w:t>, R.T./Wayne, S. J. (1997): Leader-member exchange theory: The past and potential for the future, in: Research in Personnel and Human Resources Management, 15, 47-120.</w:t>
      </w:r>
    </w:p>
    <w:p w14:paraId="38D119E1" w14:textId="77777777" w:rsidR="002E7E3F" w:rsidRPr="00AC1930" w:rsidRDefault="0001118D">
      <w:pPr>
        <w:spacing w:line="360" w:lineRule="auto"/>
      </w:pPr>
      <w:r w:rsidRPr="00AC1930">
        <w:t>Liden, R. C./Wayne, S. J./</w:t>
      </w:r>
      <w:proofErr w:type="spellStart"/>
      <w:r w:rsidRPr="00AC1930">
        <w:t>Sparrowe</w:t>
      </w:r>
      <w:proofErr w:type="spellEnd"/>
      <w:r w:rsidRPr="00AC1930">
        <w:t>, R. T. (2000): An examination of the mediating role of psychological empowerment on the relations between the job, interpersonal relationships, and work outcomes, in: Journal of Applied Psychology, 85 ,3, 407.</w:t>
      </w:r>
    </w:p>
    <w:p w14:paraId="48DA962B" w14:textId="77777777" w:rsidR="002E7E3F" w:rsidRPr="00AC1930" w:rsidRDefault="0001118D">
      <w:pPr>
        <w:spacing w:line="360" w:lineRule="auto"/>
      </w:pPr>
      <w:r w:rsidRPr="00AC1930">
        <w:t>Lord, R.G./</w:t>
      </w:r>
      <w:proofErr w:type="spellStart"/>
      <w:r w:rsidRPr="00AC1930">
        <w:t>Diefendorff</w:t>
      </w:r>
      <w:proofErr w:type="spellEnd"/>
      <w:r w:rsidRPr="00AC1930">
        <w:t>, J. M./Schmidt, A.M./Hall, R.J. (2010): Self-regulation at Work, in: Annual Review of Psychology, 61, 543-568.</w:t>
      </w:r>
    </w:p>
    <w:p w14:paraId="04BFC9C4" w14:textId="77777777" w:rsidR="002E7E3F" w:rsidRPr="00AC1930" w:rsidRDefault="0001118D">
      <w:pPr>
        <w:spacing w:line="360" w:lineRule="auto"/>
      </w:pPr>
      <w:proofErr w:type="spellStart"/>
      <w:r w:rsidRPr="00AC1930">
        <w:t>Luszczynska</w:t>
      </w:r>
      <w:proofErr w:type="spellEnd"/>
      <w:r w:rsidRPr="00AC1930">
        <w:t>, A./Diehl, M./Gutiérrez-Dona, B./</w:t>
      </w:r>
      <w:proofErr w:type="spellStart"/>
      <w:r w:rsidRPr="00AC1930">
        <w:t>Kuusinen</w:t>
      </w:r>
      <w:proofErr w:type="spellEnd"/>
      <w:r w:rsidRPr="00AC1930">
        <w:t>, P./Schwarzer, R. (2004): Measuring one component of dispositional self-regulation: Attention control in goal pursuit, in: Personality and Individual Differences, 37, 3, 555-566.</w:t>
      </w:r>
    </w:p>
    <w:p w14:paraId="4CAC0505" w14:textId="77777777" w:rsidR="002E7E3F" w:rsidRPr="00AC1930" w:rsidRDefault="0001118D">
      <w:pPr>
        <w:spacing w:line="360" w:lineRule="auto"/>
      </w:pPr>
      <w:r w:rsidRPr="00AC1930">
        <w:t>Marshall, G.W./Michaels, C.E./Mulki, J.P. (2007): Workplace isolation: exploring the construct and IRS measurement, in: Psychology &amp; Marketing, 24, 3, 195-223.</w:t>
      </w:r>
    </w:p>
    <w:p w14:paraId="7E498015" w14:textId="56BD4227" w:rsidR="002E7E3F" w:rsidRPr="00AC1930" w:rsidRDefault="00EB5A79">
      <w:pPr>
        <w:spacing w:line="360" w:lineRule="auto"/>
      </w:pPr>
      <w:r w:rsidRPr="00AC1930">
        <w:t xml:space="preserve">Martin, R./ Guillaume, Y./ Thomas, G./ Lee, A./ </w:t>
      </w:r>
      <w:proofErr w:type="spellStart"/>
      <w:r w:rsidRPr="00AC1930">
        <w:t>Epitropaki</w:t>
      </w:r>
      <w:proofErr w:type="spellEnd"/>
      <w:r w:rsidRPr="00AC1930">
        <w:t>, O. (2016): Leader–member exchange (LMX) and performance: A meta‐analytic review, in: Personnel Psychology, 69, 1, 67–121.</w:t>
      </w:r>
      <w:r w:rsidR="0001118D" w:rsidRPr="00AC1930">
        <w:t>Marx, K. (1844/1969): Alienated Labour, ed. P. Gardener, New York: Free Press.</w:t>
      </w:r>
    </w:p>
    <w:p w14:paraId="64C39BB7" w14:textId="77777777" w:rsidR="002E7E3F" w:rsidRPr="00AC1930" w:rsidRDefault="0001118D">
      <w:pPr>
        <w:spacing w:line="360" w:lineRule="auto"/>
      </w:pPr>
      <w:r w:rsidRPr="00AC1930">
        <w:t>McCullough, M.E./Willoughby, B.L. (2009): Religion, self-regulation, and self-control: Associations, explanations, and implications, in: Psychological bulletin, 135, 1, 69.</w:t>
      </w:r>
    </w:p>
    <w:p w14:paraId="3F399F83" w14:textId="77777777" w:rsidR="002E7E3F" w:rsidRPr="00AC1930" w:rsidRDefault="0001118D">
      <w:pPr>
        <w:spacing w:line="360" w:lineRule="auto"/>
      </w:pPr>
      <w:proofErr w:type="spellStart"/>
      <w:r w:rsidRPr="00AC1930">
        <w:t>Merli</w:t>
      </w:r>
      <w:proofErr w:type="spellEnd"/>
      <w:r w:rsidRPr="00AC1930">
        <w:t>, R./</w:t>
      </w:r>
      <w:proofErr w:type="spellStart"/>
      <w:r w:rsidRPr="00AC1930">
        <w:t>Preziosi</w:t>
      </w:r>
      <w:proofErr w:type="spellEnd"/>
      <w:r w:rsidRPr="00AC1930">
        <w:t>, M./</w:t>
      </w:r>
      <w:proofErr w:type="spellStart"/>
      <w:r w:rsidRPr="00AC1930">
        <w:t>Acampora</w:t>
      </w:r>
      <w:proofErr w:type="spellEnd"/>
      <w:r w:rsidRPr="00AC1930">
        <w:t>, A./Ali, F. (2019): Why should hotels go green? Insights from guests experience in green hotels, in: International Journal of Hospitality Management, 81, 169-179.</w:t>
      </w:r>
    </w:p>
    <w:p w14:paraId="20A92AE0" w14:textId="77777777" w:rsidR="002E7E3F" w:rsidRPr="00AC1930" w:rsidRDefault="0001118D">
      <w:pPr>
        <w:spacing w:line="360" w:lineRule="auto"/>
      </w:pPr>
      <w:r w:rsidRPr="00AC1930">
        <w:t>Miller, D.C./Byrnes, J.P. (2001): Adolescents' decision making in social situations. A self-regulation perspective, in: Journal of Applied Developmental Psychology, 22, 3, 237-256.</w:t>
      </w:r>
    </w:p>
    <w:p w14:paraId="14DE9564" w14:textId="77777777" w:rsidR="002E7E3F" w:rsidRPr="00AC1930" w:rsidRDefault="0001118D">
      <w:pPr>
        <w:spacing w:line="360" w:lineRule="auto"/>
      </w:pPr>
      <w:proofErr w:type="spellStart"/>
      <w:r w:rsidRPr="00AC1930">
        <w:t>Morosanova</w:t>
      </w:r>
      <w:proofErr w:type="spellEnd"/>
      <w:r w:rsidRPr="00AC1930">
        <w:t>, V.I./</w:t>
      </w:r>
      <w:proofErr w:type="spellStart"/>
      <w:r w:rsidRPr="00AC1930">
        <w:t>Fomina</w:t>
      </w:r>
      <w:proofErr w:type="spellEnd"/>
      <w:r w:rsidRPr="00AC1930">
        <w:t>, T.G. (2017): Self-regulation as a Mediator in the Relationship between Anxiety and Academic Examination Performance, in: Procedia-Social and Behavioural Sciences, 237, 1066-1070.</w:t>
      </w:r>
    </w:p>
    <w:p w14:paraId="3A15D1C7" w14:textId="77777777" w:rsidR="002E7E3F" w:rsidRPr="00AC1930" w:rsidRDefault="0001118D">
      <w:pPr>
        <w:spacing w:line="360" w:lineRule="auto"/>
      </w:pPr>
      <w:proofErr w:type="spellStart"/>
      <w:r w:rsidRPr="00AC1930">
        <w:lastRenderedPageBreak/>
        <w:t>Mottaz</w:t>
      </w:r>
      <w:proofErr w:type="spellEnd"/>
      <w:r w:rsidRPr="00AC1930">
        <w:t>, C.J. (1981): Some Determinants of Work Alienation, in: Sociological Quarterly, 22, 515-529.</w:t>
      </w:r>
    </w:p>
    <w:p w14:paraId="721D9ED3" w14:textId="77777777" w:rsidR="002E7E3F" w:rsidRPr="00AC1930" w:rsidRDefault="0001118D">
      <w:pPr>
        <w:spacing w:line="360" w:lineRule="auto"/>
      </w:pPr>
      <w:proofErr w:type="spellStart"/>
      <w:r w:rsidRPr="00AC1930">
        <w:t>Muraven</w:t>
      </w:r>
      <w:proofErr w:type="spellEnd"/>
      <w:r w:rsidRPr="00AC1930">
        <w:t xml:space="preserve">, M./Baumeister, R.F. (2000): Self-regulation and depletion of limited resources: Does self-control resemble a </w:t>
      </w:r>
      <w:proofErr w:type="gramStart"/>
      <w:r w:rsidRPr="00AC1930">
        <w:t>muscle?,</w:t>
      </w:r>
      <w:proofErr w:type="gramEnd"/>
      <w:r w:rsidRPr="00AC1930">
        <w:t xml:space="preserve"> in: Psychological Bulletin, 126, 2, 247-259.</w:t>
      </w:r>
    </w:p>
    <w:p w14:paraId="7562F531" w14:textId="77777777" w:rsidR="002E7E3F" w:rsidRPr="00AC1930" w:rsidRDefault="0001118D">
      <w:pPr>
        <w:spacing w:line="360" w:lineRule="auto"/>
      </w:pPr>
      <w:r w:rsidRPr="00AC1930">
        <w:t>Nair, N./Vohra, N. (2009): Developing a new measure of work alienation, in: Journal of Workplace Rights, 14, 3, 293-309.</w:t>
      </w:r>
    </w:p>
    <w:p w14:paraId="70655268" w14:textId="77777777" w:rsidR="002E7E3F" w:rsidRPr="00AC1930" w:rsidRDefault="0001118D">
      <w:pPr>
        <w:spacing w:line="360" w:lineRule="auto"/>
      </w:pPr>
      <w:r w:rsidRPr="00AC1930">
        <w:t>Nair, N./Vohra, N. (2010): An exploration of factors predicting work alienation of knowledge workers, in: Management Decision, 48, 4, 600-615.</w:t>
      </w:r>
    </w:p>
    <w:p w14:paraId="7A17587D" w14:textId="77777777" w:rsidR="002E7E3F" w:rsidRPr="00AC1930" w:rsidRDefault="0001118D">
      <w:pPr>
        <w:shd w:val="clear" w:color="auto" w:fill="FFFFFF"/>
        <w:spacing w:after="160" w:line="360" w:lineRule="auto"/>
      </w:pPr>
      <w:r w:rsidRPr="00AC1930">
        <w:t>Nelson, L./</w:t>
      </w:r>
      <w:proofErr w:type="spellStart"/>
      <w:r w:rsidRPr="00AC1930">
        <w:t>O'Donohue</w:t>
      </w:r>
      <w:proofErr w:type="spellEnd"/>
      <w:r w:rsidRPr="00AC1930">
        <w:t>, W. (2006): Alienation, psychology, and human resource management. Proceedings of the 2nd Australian Centre for Research in Employment and Work (ACREW) Conference, Prato, Italy.</w:t>
      </w:r>
    </w:p>
    <w:p w14:paraId="6CAAA539" w14:textId="77777777" w:rsidR="002E7E3F" w:rsidRPr="00AC1930" w:rsidRDefault="0001118D">
      <w:pPr>
        <w:spacing w:line="360" w:lineRule="auto"/>
      </w:pPr>
      <w:r w:rsidRPr="00AC1930">
        <w:t>Ng, T. W./Feldman, D. C. (2010): Organizational tenure and job performance, in: Journal of management, 36, 5, 1220-1250.</w:t>
      </w:r>
    </w:p>
    <w:p w14:paraId="6991789C" w14:textId="77777777" w:rsidR="002E7E3F" w:rsidRPr="00AC1930" w:rsidRDefault="0001118D">
      <w:pPr>
        <w:spacing w:line="360" w:lineRule="auto"/>
      </w:pPr>
      <w:proofErr w:type="spellStart"/>
      <w:r w:rsidRPr="00AC1930">
        <w:t>Niemiec</w:t>
      </w:r>
      <w:proofErr w:type="spellEnd"/>
      <w:r w:rsidRPr="00AC1930">
        <w:t>, C. P./Ryan, R. M./Patrick, H./Deci, E. L./Williams, G. C. (2010): The energization of health-</w:t>
      </w:r>
      <w:proofErr w:type="spellStart"/>
      <w:r w:rsidRPr="00AC1930">
        <w:t>behavior</w:t>
      </w:r>
      <w:proofErr w:type="spellEnd"/>
      <w:r w:rsidRPr="00AC1930">
        <w:t xml:space="preserve"> change: Examining the associations among autonomous self-regulation, subjective vitality, depressive symptoms, and tobacco abstinence, in The Journal of Positive Psychology, 5, 2, 122-138.</w:t>
      </w:r>
    </w:p>
    <w:p w14:paraId="0CCCF116" w14:textId="77777777" w:rsidR="002E7E3F" w:rsidRPr="00AC1930" w:rsidRDefault="0001118D">
      <w:pPr>
        <w:spacing w:line="360" w:lineRule="auto"/>
      </w:pPr>
      <w:proofErr w:type="spellStart"/>
      <w:r w:rsidRPr="00AC1930">
        <w:t>Özer</w:t>
      </w:r>
      <w:proofErr w:type="spellEnd"/>
      <w:r w:rsidRPr="00AC1930">
        <w:t>, Ö./</w:t>
      </w:r>
      <w:proofErr w:type="spellStart"/>
      <w:r w:rsidRPr="00AC1930">
        <w:t>Uğurluoğlu</w:t>
      </w:r>
      <w:proofErr w:type="spellEnd"/>
      <w:r w:rsidRPr="00AC1930">
        <w:t>, Ö./</w:t>
      </w:r>
      <w:proofErr w:type="spellStart"/>
      <w:r w:rsidRPr="00AC1930">
        <w:t>Saygılı</w:t>
      </w:r>
      <w:proofErr w:type="spellEnd"/>
      <w:r w:rsidRPr="00AC1930">
        <w:t>, M./</w:t>
      </w:r>
      <w:proofErr w:type="spellStart"/>
      <w:r w:rsidRPr="00AC1930">
        <w:t>Sonğur</w:t>
      </w:r>
      <w:proofErr w:type="spellEnd"/>
      <w:r w:rsidRPr="00AC1930">
        <w:t>, C. (2019): The impact of work alienation on organizational health: A field study in health sector, in: International Journal of Healthcare Management, 12, 1, 18-24.</w:t>
      </w:r>
    </w:p>
    <w:p w14:paraId="2D498880" w14:textId="77777777" w:rsidR="002E7E3F" w:rsidRPr="00AC1930" w:rsidRDefault="0001118D">
      <w:pPr>
        <w:spacing w:line="360" w:lineRule="auto"/>
      </w:pPr>
      <w:r w:rsidRPr="00AC1930">
        <w:t>Padilla-Walker, L.M./Harper, J.M./Jensen, A.C. (2010): Self-regulation as a mediator between sibling relationship quality and early adolescents' positive and negative outcomes, in: Journal of Family Psychology, 24, 4, 419.</w:t>
      </w:r>
    </w:p>
    <w:p w14:paraId="7906501E" w14:textId="77777777" w:rsidR="002E7E3F" w:rsidRPr="00AC1930" w:rsidRDefault="0001118D">
      <w:pPr>
        <w:spacing w:line="360" w:lineRule="auto"/>
      </w:pPr>
      <w:r w:rsidRPr="00AC1930">
        <w:t>Pellegrini, E.K./</w:t>
      </w:r>
      <w:proofErr w:type="spellStart"/>
      <w:r w:rsidRPr="00AC1930">
        <w:t>Scandura</w:t>
      </w:r>
      <w:proofErr w:type="spellEnd"/>
      <w:r w:rsidRPr="00AC1930">
        <w:t>, T.A. (2006): Leader–member exchange (LMX), paternalism, and delegation in the Turkish business culture: An empirical investigation, in: Journal of international business studies, 37, 2, 264-279.</w:t>
      </w:r>
    </w:p>
    <w:p w14:paraId="023C82E4" w14:textId="77777777" w:rsidR="002E7E3F" w:rsidRPr="00AC1930" w:rsidRDefault="0001118D">
      <w:pPr>
        <w:spacing w:line="360" w:lineRule="auto"/>
      </w:pPr>
      <w:proofErr w:type="spellStart"/>
      <w:r w:rsidRPr="00AC1930">
        <w:lastRenderedPageBreak/>
        <w:t>Pignata</w:t>
      </w:r>
      <w:proofErr w:type="spellEnd"/>
      <w:r w:rsidRPr="00AC1930">
        <w:t>, S./</w:t>
      </w:r>
      <w:proofErr w:type="spellStart"/>
      <w:r w:rsidRPr="00AC1930">
        <w:t>Winefield</w:t>
      </w:r>
      <w:proofErr w:type="spellEnd"/>
      <w:r w:rsidRPr="00AC1930">
        <w:t>, A. H./</w:t>
      </w:r>
      <w:proofErr w:type="spellStart"/>
      <w:r w:rsidRPr="00AC1930">
        <w:t>Provis</w:t>
      </w:r>
      <w:proofErr w:type="spellEnd"/>
      <w:r w:rsidRPr="00AC1930">
        <w:t>, C./Boyd, C. M. (2016): Awareness of stress-reduction interventions on work attitudes: The impact of tenure and staff group in Australian universities, in: Frontiers in psychology, 7, 1225.</w:t>
      </w:r>
    </w:p>
    <w:p w14:paraId="66761F32" w14:textId="77777777" w:rsidR="002E7E3F" w:rsidRPr="00AC1930" w:rsidRDefault="0001118D">
      <w:pPr>
        <w:spacing w:line="360" w:lineRule="auto"/>
      </w:pPr>
      <w:r w:rsidRPr="00AC1930">
        <w:t>Podsakoff, P.M./</w:t>
      </w:r>
      <w:proofErr w:type="spellStart"/>
      <w:r w:rsidRPr="00AC1930">
        <w:t>MacKenzie</w:t>
      </w:r>
      <w:proofErr w:type="spellEnd"/>
      <w:r w:rsidRPr="00AC1930">
        <w:t xml:space="preserve">, S.B./Lee, J.Y./Podsakoff, N.P. (2003): Common method biases in </w:t>
      </w:r>
      <w:proofErr w:type="spellStart"/>
      <w:r w:rsidRPr="00AC1930">
        <w:t>behavioral</w:t>
      </w:r>
      <w:proofErr w:type="spellEnd"/>
      <w:r w:rsidRPr="00AC1930">
        <w:t xml:space="preserve"> research: A critical review of the literature and recommended remedies, in: Journal of Applied Psychology, 88, 5, 879.</w:t>
      </w:r>
    </w:p>
    <w:p w14:paraId="5C97AE1C" w14:textId="77777777" w:rsidR="002E7E3F" w:rsidRPr="00AC1930" w:rsidRDefault="0001118D">
      <w:pPr>
        <w:spacing w:line="360" w:lineRule="auto"/>
      </w:pPr>
      <w:proofErr w:type="spellStart"/>
      <w:r w:rsidRPr="00AC1930">
        <w:t>Rasoolimanesh</w:t>
      </w:r>
      <w:proofErr w:type="spellEnd"/>
      <w:r w:rsidRPr="00AC1930">
        <w:t>, S.M./</w:t>
      </w:r>
      <w:proofErr w:type="spellStart"/>
      <w:r w:rsidRPr="00AC1930">
        <w:t>Roldán</w:t>
      </w:r>
      <w:proofErr w:type="spellEnd"/>
      <w:r w:rsidRPr="00AC1930">
        <w:t>, J.L./Jaafar, M./</w:t>
      </w:r>
      <w:proofErr w:type="spellStart"/>
      <w:r w:rsidRPr="00AC1930">
        <w:t>Ramayah</w:t>
      </w:r>
      <w:proofErr w:type="spellEnd"/>
      <w:r w:rsidRPr="00AC1930">
        <w:t>, T. (2017): Factors influencing residents' perceptions toward tourism development: Differences across rural and urban world heritage sites, in: Journal of Travel Research, 56, 6, 760-775.</w:t>
      </w:r>
    </w:p>
    <w:p w14:paraId="41FF5D0F" w14:textId="77777777" w:rsidR="002E7E3F" w:rsidRPr="00AC1930" w:rsidRDefault="0001118D">
      <w:pPr>
        <w:spacing w:line="360" w:lineRule="auto"/>
      </w:pPr>
      <w:r w:rsidRPr="00AC1930">
        <w:t>Reeve, J./Ryan, R./Deci, E. L./Jang, H. (2008): Understanding and promoting autonomous self-regulation: A self-determination theory perspective. In D. H. Schunk &amp; B. J. Zimmerman (Eds.), Motivation and self-regulated learning: Theory, research, and applications (223–244). Lawrence Erlbaum Associates Publishers.</w:t>
      </w:r>
    </w:p>
    <w:p w14:paraId="7CA1F012" w14:textId="77777777" w:rsidR="002E7E3F" w:rsidRPr="00AC1930" w:rsidRDefault="0001118D">
      <w:pPr>
        <w:spacing w:line="360" w:lineRule="auto"/>
      </w:pPr>
      <w:proofErr w:type="spellStart"/>
      <w:r w:rsidRPr="00AC1930">
        <w:t>Ringle</w:t>
      </w:r>
      <w:proofErr w:type="spellEnd"/>
      <w:r w:rsidRPr="00AC1930">
        <w:t xml:space="preserve">, C.M./Wende, S./Becker, J.M. (2015): </w:t>
      </w:r>
      <w:proofErr w:type="spellStart"/>
      <w:r w:rsidRPr="00AC1930">
        <w:t>SmartPLS</w:t>
      </w:r>
      <w:proofErr w:type="spellEnd"/>
      <w:r w:rsidRPr="00AC1930">
        <w:t xml:space="preserve"> 3. Retrieved from www.smartpls.com</w:t>
      </w:r>
    </w:p>
    <w:p w14:paraId="6B83EAC2" w14:textId="77777777" w:rsidR="002E7E3F" w:rsidRPr="00AC1930" w:rsidRDefault="0001118D">
      <w:pPr>
        <w:spacing w:line="360" w:lineRule="auto"/>
      </w:pPr>
      <w:r w:rsidRPr="00AC1930">
        <w:t>Ryan, R. M./Deci, E. L. (2000): Self-determination theory and the facilitation of intrinsic motivation, social development, and wellbeing, in: American Psychologist, 55, 1, 68.</w:t>
      </w:r>
    </w:p>
    <w:p w14:paraId="3ED1F702" w14:textId="77777777" w:rsidR="002E7E3F" w:rsidRPr="00AC1930" w:rsidRDefault="0001118D">
      <w:pPr>
        <w:spacing w:line="360" w:lineRule="auto"/>
      </w:pPr>
      <w:r w:rsidRPr="00AC1930">
        <w:t>Ryan, R. M./Deci, E. L. (2006): Self</w:t>
      </w:r>
      <w:r w:rsidRPr="00AC1930">
        <w:rPr>
          <w:rFonts w:ascii="Cambria Math" w:eastAsia="Cambria Math" w:hAnsi="Cambria Math" w:cs="Cambria Math"/>
        </w:rPr>
        <w:t>‐</w:t>
      </w:r>
      <w:r w:rsidRPr="00AC1930">
        <w:t>regulation and the problem of human autonomy: Does psychology need choice, self</w:t>
      </w:r>
      <w:r w:rsidRPr="00AC1930">
        <w:rPr>
          <w:rFonts w:ascii="Cambria Math" w:eastAsia="Cambria Math" w:hAnsi="Cambria Math" w:cs="Cambria Math"/>
        </w:rPr>
        <w:t>‐</w:t>
      </w:r>
      <w:r w:rsidRPr="00AC1930">
        <w:t xml:space="preserve">determination, and </w:t>
      </w:r>
      <w:proofErr w:type="gramStart"/>
      <w:r w:rsidRPr="00AC1930">
        <w:t>will?,</w:t>
      </w:r>
      <w:proofErr w:type="gramEnd"/>
      <w:r w:rsidRPr="00AC1930">
        <w:t xml:space="preserve"> in: Journal of Personality, 74, 6, 1557-1586.</w:t>
      </w:r>
    </w:p>
    <w:p w14:paraId="17FDDC2C" w14:textId="77777777" w:rsidR="002E7E3F" w:rsidRPr="00AC1930" w:rsidRDefault="0001118D">
      <w:pPr>
        <w:spacing w:line="360" w:lineRule="auto"/>
      </w:pPr>
      <w:r w:rsidRPr="00AC1930">
        <w:t>Ryan, R. M./Deci, E. L. (2017): Self-determination theory: Basic psychological needs in motivation, development, and wellness. Guilford Publications.</w:t>
      </w:r>
    </w:p>
    <w:p w14:paraId="3813EC98" w14:textId="77777777" w:rsidR="002E7E3F" w:rsidRPr="00AC1930" w:rsidRDefault="0001118D">
      <w:pPr>
        <w:spacing w:line="360" w:lineRule="auto"/>
      </w:pPr>
      <w:proofErr w:type="spellStart"/>
      <w:r w:rsidRPr="00AC1930">
        <w:t>Sarros</w:t>
      </w:r>
      <w:proofErr w:type="spellEnd"/>
      <w:r w:rsidRPr="00AC1930">
        <w:t>, J.C./</w:t>
      </w:r>
      <w:proofErr w:type="spellStart"/>
      <w:r w:rsidRPr="00AC1930">
        <w:t>Tanewski</w:t>
      </w:r>
      <w:proofErr w:type="spellEnd"/>
      <w:r w:rsidRPr="00AC1930">
        <w:t>, G.A./Winter, R.P./Santora, J.C./</w:t>
      </w:r>
      <w:proofErr w:type="spellStart"/>
      <w:r w:rsidRPr="00AC1930">
        <w:t>Densten</w:t>
      </w:r>
      <w:proofErr w:type="spellEnd"/>
      <w:r w:rsidRPr="00AC1930">
        <w:t>, I. L. (2002): Work alienation and organizational leadership, in: British Journal of Management, 13, 285-304.</w:t>
      </w:r>
    </w:p>
    <w:p w14:paraId="6F685CD5" w14:textId="77777777" w:rsidR="002E7E3F" w:rsidRPr="00AC1930" w:rsidRDefault="0001118D">
      <w:pPr>
        <w:spacing w:line="360" w:lineRule="auto"/>
      </w:pPr>
      <w:proofErr w:type="spellStart"/>
      <w:r w:rsidRPr="00AC1930">
        <w:t>Sarstedt</w:t>
      </w:r>
      <w:proofErr w:type="spellEnd"/>
      <w:r w:rsidRPr="00AC1930">
        <w:t>, M./</w:t>
      </w:r>
      <w:proofErr w:type="spellStart"/>
      <w:r w:rsidRPr="00AC1930">
        <w:t>Ringle</w:t>
      </w:r>
      <w:proofErr w:type="spellEnd"/>
      <w:r w:rsidRPr="00AC1930">
        <w:t>, C.M./</w:t>
      </w:r>
      <w:proofErr w:type="spellStart"/>
      <w:r w:rsidRPr="00AC1930">
        <w:t>Henseler</w:t>
      </w:r>
      <w:proofErr w:type="spellEnd"/>
      <w:r w:rsidRPr="00AC1930">
        <w:t xml:space="preserve">, J./Hair, J.F. (2014): On the emancipation of PLS-SEM: A commentary on Rigdon (2012), in: </w:t>
      </w:r>
      <w:proofErr w:type="gramStart"/>
      <w:r w:rsidRPr="00AC1930">
        <w:t>Long</w:t>
      </w:r>
      <w:proofErr w:type="gramEnd"/>
      <w:r w:rsidRPr="00AC1930">
        <w:t xml:space="preserve"> range planning, 47, 3, 154-160.</w:t>
      </w:r>
    </w:p>
    <w:p w14:paraId="11BE45FA" w14:textId="77777777" w:rsidR="002E7E3F" w:rsidRPr="00AC1930" w:rsidRDefault="0001118D">
      <w:pPr>
        <w:spacing w:line="360" w:lineRule="auto"/>
      </w:pPr>
      <w:proofErr w:type="spellStart"/>
      <w:r w:rsidRPr="00AC1930">
        <w:t>Sarti</w:t>
      </w:r>
      <w:proofErr w:type="spellEnd"/>
      <w:r w:rsidRPr="00AC1930">
        <w:t>, D. (2018): Organizational tenure and knowledge-sharing behaviours: The moderating role of leader-member exchange, in: Journal of Workplace Learning, 30, 4, 291-307.</w:t>
      </w:r>
    </w:p>
    <w:p w14:paraId="4B8F3F31" w14:textId="77777777" w:rsidR="002E7E3F" w:rsidRPr="00AC1930" w:rsidRDefault="0001118D">
      <w:pPr>
        <w:spacing w:line="360" w:lineRule="auto"/>
      </w:pPr>
      <w:proofErr w:type="spellStart"/>
      <w:r w:rsidRPr="00AC1930">
        <w:lastRenderedPageBreak/>
        <w:t>Sassenberg</w:t>
      </w:r>
      <w:proofErr w:type="spellEnd"/>
      <w:r w:rsidRPr="00AC1930">
        <w:t>, K./</w:t>
      </w:r>
      <w:proofErr w:type="spellStart"/>
      <w:r w:rsidRPr="00AC1930">
        <w:t>Hamstra</w:t>
      </w:r>
      <w:proofErr w:type="spellEnd"/>
      <w:r w:rsidRPr="00AC1930">
        <w:t>, M.R.W. (2017): The intrapersonal and interpersonal dynamics of self-regulation in the leadership process, in: Advances in Experimental Social Psychology, 55, 193-257.</w:t>
      </w:r>
    </w:p>
    <w:p w14:paraId="51781D8E" w14:textId="77777777" w:rsidR="002E7E3F" w:rsidRPr="00AC1930" w:rsidRDefault="000035F8">
      <w:pPr>
        <w:spacing w:line="360" w:lineRule="auto"/>
      </w:pPr>
      <w:r w:rsidRPr="00AC1930">
        <w:t>Sawyer, J.</w:t>
      </w:r>
      <w:r w:rsidR="0001118D" w:rsidRPr="00AC1930">
        <w:t>E./</w:t>
      </w:r>
      <w:proofErr w:type="spellStart"/>
      <w:r w:rsidR="0001118D" w:rsidRPr="00AC1930">
        <w:t>Gampab</w:t>
      </w:r>
      <w:proofErr w:type="spellEnd"/>
      <w:r w:rsidR="0001118D" w:rsidRPr="00AC1930">
        <w:t>, A. (2020): Work Alienation and its gravediggers: Social Class, class consciousness, and activism, in: Journal of Social and Political Psychology, 8, 1, 198-219.</w:t>
      </w:r>
    </w:p>
    <w:p w14:paraId="0812B9DD" w14:textId="77777777" w:rsidR="002E7E3F" w:rsidRPr="00AC1930" w:rsidRDefault="0001118D">
      <w:pPr>
        <w:spacing w:line="360" w:lineRule="auto"/>
      </w:pPr>
      <w:proofErr w:type="spellStart"/>
      <w:r w:rsidRPr="00AC1930">
        <w:t>Scandura</w:t>
      </w:r>
      <w:proofErr w:type="spellEnd"/>
      <w:r w:rsidRPr="00AC1930">
        <w:t>, T.A./</w:t>
      </w:r>
      <w:proofErr w:type="spellStart"/>
      <w:r w:rsidRPr="00AC1930">
        <w:t>Graen</w:t>
      </w:r>
      <w:proofErr w:type="spellEnd"/>
      <w:r w:rsidRPr="00AC1930">
        <w:t>, G.B./Novak, M.A. (1986): When managers decide not to decide autocratically: An investigation of leader–member exchange and decision influence, in: Journal of applied psychology, 71, 4, 579.</w:t>
      </w:r>
    </w:p>
    <w:p w14:paraId="51710EA1" w14:textId="77777777" w:rsidR="002E7E3F" w:rsidRPr="00AC1930" w:rsidRDefault="0001118D">
      <w:pPr>
        <w:spacing w:line="360" w:lineRule="auto"/>
      </w:pPr>
      <w:r w:rsidRPr="00AC1930">
        <w:t xml:space="preserve">Searle, M.S. (2000): Is leisure theory needed for leisure </w:t>
      </w:r>
      <w:proofErr w:type="gramStart"/>
      <w:r w:rsidRPr="00AC1930">
        <w:t>studies?,</w:t>
      </w:r>
      <w:proofErr w:type="gramEnd"/>
      <w:r w:rsidRPr="00AC1930">
        <w:t xml:space="preserve"> in: Journal of leisure research, 32, 1, 138-142.</w:t>
      </w:r>
    </w:p>
    <w:p w14:paraId="794B0AEE" w14:textId="77777777" w:rsidR="002E7E3F" w:rsidRPr="00AC1930" w:rsidRDefault="0001118D">
      <w:pPr>
        <w:spacing w:line="360" w:lineRule="auto"/>
      </w:pPr>
      <w:r w:rsidRPr="00AC1930">
        <w:t>Seeman, M. (1959): On the meaning of alienation, in: Americ</w:t>
      </w:r>
      <w:r w:rsidR="000035F8" w:rsidRPr="00AC1930">
        <w:t>an Sociological Review, 24, 783-</w:t>
      </w:r>
      <w:r w:rsidRPr="00AC1930">
        <w:t>791.</w:t>
      </w:r>
    </w:p>
    <w:p w14:paraId="4EEF4180" w14:textId="77777777" w:rsidR="002E7E3F" w:rsidRPr="00AC1930" w:rsidRDefault="0001118D">
      <w:pPr>
        <w:spacing w:line="360" w:lineRule="auto"/>
      </w:pPr>
      <w:proofErr w:type="spellStart"/>
      <w:r w:rsidRPr="00AC1930">
        <w:t>Shaalan</w:t>
      </w:r>
      <w:proofErr w:type="spellEnd"/>
      <w:r w:rsidRPr="00AC1930">
        <w:t>, L. A. A. B./</w:t>
      </w:r>
      <w:proofErr w:type="spellStart"/>
      <w:r w:rsidRPr="00AC1930">
        <w:t>Elsaid</w:t>
      </w:r>
      <w:proofErr w:type="spellEnd"/>
      <w:r w:rsidRPr="00AC1930">
        <w:t>, A. M./</w:t>
      </w:r>
      <w:proofErr w:type="spellStart"/>
      <w:r w:rsidRPr="00AC1930">
        <w:t>Elsaid</w:t>
      </w:r>
      <w:proofErr w:type="spellEnd"/>
      <w:r w:rsidRPr="00AC1930">
        <w:t>, E. (2019): The Effect of Leader-Member Exchange "LMX" on Employee Turnover Intent: An Applied Study on the Telecommunication Sector in Egypt, in: Journal of Business Administration Research, 8, 1, 1-13.</w:t>
      </w:r>
    </w:p>
    <w:p w14:paraId="4BB09AD9" w14:textId="77777777" w:rsidR="002E7E3F" w:rsidRPr="00AC1930" w:rsidRDefault="0001118D">
      <w:pPr>
        <w:spacing w:line="360" w:lineRule="auto"/>
      </w:pPr>
      <w:r w:rsidRPr="00AC1930">
        <w:t>Shantz, A./</w:t>
      </w:r>
      <w:proofErr w:type="spellStart"/>
      <w:r w:rsidRPr="00AC1930">
        <w:t>Alfes</w:t>
      </w:r>
      <w:proofErr w:type="spellEnd"/>
      <w:r w:rsidRPr="00AC1930">
        <w:t>, K./Bailey, C./Soane, E. (2015): Drivers and outcomes of work alienation: Reviving a concept, in: Journal of Management Inquiry, 24, 4, 382-393.</w:t>
      </w:r>
    </w:p>
    <w:p w14:paraId="51315E62" w14:textId="77777777" w:rsidR="002E7E3F" w:rsidRPr="00AC1930" w:rsidRDefault="0001118D">
      <w:pPr>
        <w:spacing w:line="360" w:lineRule="auto"/>
      </w:pPr>
      <w:r w:rsidRPr="00AC1930">
        <w:t>Shantz, A./</w:t>
      </w:r>
      <w:proofErr w:type="spellStart"/>
      <w:r w:rsidRPr="00AC1930">
        <w:t>Alfes</w:t>
      </w:r>
      <w:proofErr w:type="spellEnd"/>
      <w:r w:rsidRPr="00AC1930">
        <w:t>, K./Truss, C. (2014): Alienation from work: Marxist ideologies and twenty-first-century practice, in: The International Journal of Human Resource Management, 25, 18, 2529-2550.</w:t>
      </w:r>
    </w:p>
    <w:p w14:paraId="6DFEB07D" w14:textId="77777777" w:rsidR="000035F8" w:rsidRPr="00AC1930" w:rsidRDefault="000035F8" w:rsidP="000035F8">
      <w:pPr>
        <w:spacing w:line="360" w:lineRule="auto"/>
      </w:pPr>
      <w:r w:rsidRPr="00AC1930">
        <w:t>Sheldon, K.M/Elliot, A.J./Kim, Y./</w:t>
      </w:r>
      <w:proofErr w:type="spellStart"/>
      <w:r w:rsidRPr="00AC1930">
        <w:t>Kasser</w:t>
      </w:r>
      <w:proofErr w:type="spellEnd"/>
      <w:r w:rsidRPr="00AC1930">
        <w:t>, T. (2001): What is satisfying about satisfying events? Testing 10 candidate psychological needs. In: Journal of Applied Psychology, 80, 325-339.</w:t>
      </w:r>
    </w:p>
    <w:p w14:paraId="5EC591E9" w14:textId="77777777" w:rsidR="002E7E3F" w:rsidRPr="00AC1930" w:rsidRDefault="0001118D">
      <w:pPr>
        <w:spacing w:line="360" w:lineRule="auto"/>
      </w:pPr>
      <w:proofErr w:type="spellStart"/>
      <w:r w:rsidRPr="00AC1930">
        <w:t>Shirom</w:t>
      </w:r>
      <w:proofErr w:type="spellEnd"/>
      <w:r w:rsidRPr="00AC1930">
        <w:t xml:space="preserve">, A./Shechter Gilboa, S./Fried, Y./Cooper, C. L. (2008): Gender, </w:t>
      </w:r>
      <w:proofErr w:type="gramStart"/>
      <w:r w:rsidRPr="00AC1930">
        <w:t>age</w:t>
      </w:r>
      <w:proofErr w:type="gramEnd"/>
      <w:r w:rsidRPr="00AC1930">
        <w:t xml:space="preserve"> and tenure as moderators of work-related stressors' relationships with job performance: A meta-analysis, in: Human Relations, 61, 10, 1371-1398.</w:t>
      </w:r>
    </w:p>
    <w:p w14:paraId="5C7B8410" w14:textId="77777777" w:rsidR="002E7E3F" w:rsidRPr="00AC1930" w:rsidRDefault="000035F8">
      <w:pPr>
        <w:spacing w:line="360" w:lineRule="auto"/>
      </w:pPr>
      <w:r w:rsidRPr="00AC1930">
        <w:lastRenderedPageBreak/>
        <w:t>Shore, L.</w:t>
      </w:r>
      <w:r w:rsidR="0001118D" w:rsidRPr="00AC1930">
        <w:t>M./</w:t>
      </w:r>
      <w:proofErr w:type="spellStart"/>
      <w:r w:rsidR="0001118D" w:rsidRPr="00AC1930">
        <w:t>Tetrick</w:t>
      </w:r>
      <w:proofErr w:type="spellEnd"/>
      <w:r w:rsidR="0001118D" w:rsidRPr="00AC1930">
        <w:t>, L.E./Lynch, P./Barksdale, K. (2006): Social and economic exchange: Construct development and validation., in Journal of Applied Social Psychology, 36, 4, 837-867.</w:t>
      </w:r>
    </w:p>
    <w:p w14:paraId="098653A6" w14:textId="77777777" w:rsidR="002E7E3F" w:rsidRPr="00AC1930" w:rsidRDefault="0001118D">
      <w:pPr>
        <w:spacing w:line="360" w:lineRule="auto"/>
      </w:pPr>
      <w:proofErr w:type="spellStart"/>
      <w:r w:rsidRPr="00AC1930">
        <w:t>Sparrowe</w:t>
      </w:r>
      <w:proofErr w:type="spellEnd"/>
      <w:r w:rsidRPr="00AC1930">
        <w:t>, R.T./Liden, R.C. (1997): Process and structure in leader-member exchange, in: Academy of Management Review, 22, 522-552.</w:t>
      </w:r>
    </w:p>
    <w:p w14:paraId="0143C81F" w14:textId="77777777" w:rsidR="002E7E3F" w:rsidRPr="00AC1930" w:rsidRDefault="0001118D">
      <w:pPr>
        <w:spacing w:line="360" w:lineRule="auto"/>
      </w:pPr>
      <w:proofErr w:type="spellStart"/>
      <w:r w:rsidRPr="00AC1930">
        <w:t>Streukens</w:t>
      </w:r>
      <w:proofErr w:type="spellEnd"/>
      <w:r w:rsidRPr="00AC1930">
        <w:t>, S./Leroi-</w:t>
      </w:r>
      <w:proofErr w:type="spellStart"/>
      <w:r w:rsidRPr="00AC1930">
        <w:t>Werelds</w:t>
      </w:r>
      <w:proofErr w:type="spellEnd"/>
      <w:r w:rsidRPr="00AC1930">
        <w:t>, S. (2016): Bootstrapping and PLS-SEM: A step-by-step guide to get more out of your bootstrap results, in: European Management Journal, 34, 6, 618-632.</w:t>
      </w:r>
    </w:p>
    <w:p w14:paraId="2061054F" w14:textId="77777777" w:rsidR="002E7E3F" w:rsidRPr="00AC1930" w:rsidRDefault="0001118D">
      <w:pPr>
        <w:spacing w:line="360" w:lineRule="auto"/>
      </w:pPr>
      <w:r w:rsidRPr="00AC1930">
        <w:t>Sulu, S./Ceylan, A./Kaynak, R. (2010): Work alienation as a mediator of the relationship between organizational injustice and organizational commitment: Implications for healthcare professionals, in: International Journal of Business and Management, 5, 8, 27-38.</w:t>
      </w:r>
    </w:p>
    <w:p w14:paraId="45157C72" w14:textId="77777777" w:rsidR="002E7E3F" w:rsidRPr="00AC1930" w:rsidRDefault="000035F8">
      <w:pPr>
        <w:spacing w:line="360" w:lineRule="auto"/>
      </w:pPr>
      <w:r w:rsidRPr="00AC1930">
        <w:t>Sural, A.</w:t>
      </w:r>
      <w:r w:rsidR="0001118D" w:rsidRPr="00AC1930">
        <w:t>N. (2005): Employment termination and job security under new Turkish labour act, in: Middle Eastern Studies, 41, 2, 249-268.</w:t>
      </w:r>
    </w:p>
    <w:p w14:paraId="6453F119" w14:textId="77777777" w:rsidR="002E7E3F" w:rsidRPr="00AC1930" w:rsidRDefault="0001118D">
      <w:pPr>
        <w:spacing w:line="360" w:lineRule="auto"/>
      </w:pPr>
      <w:r w:rsidRPr="00AC1930">
        <w:t>Tan, B.U. (2016): The role of work centrality in the relationship between work alienation and organisational commitment: A study of Turkish SMEs, in: Journal of East European Management Studies, 21, 1 60-81.</w:t>
      </w:r>
    </w:p>
    <w:p w14:paraId="03553FC6" w14:textId="77777777" w:rsidR="002E7E3F" w:rsidRPr="00AC1930" w:rsidRDefault="0001118D">
      <w:pPr>
        <w:spacing w:line="360" w:lineRule="auto"/>
      </w:pPr>
      <w:proofErr w:type="spellStart"/>
      <w:r w:rsidRPr="00AC1930">
        <w:t>Tanrıverdi</w:t>
      </w:r>
      <w:proofErr w:type="spellEnd"/>
      <w:r w:rsidRPr="00AC1930">
        <w:t>, H./</w:t>
      </w:r>
      <w:proofErr w:type="spellStart"/>
      <w:r w:rsidRPr="00AC1930">
        <w:t>Kahraman</w:t>
      </w:r>
      <w:proofErr w:type="spellEnd"/>
      <w:r w:rsidRPr="00AC1930">
        <w:t xml:space="preserve">, O.C. (2016): 5 </w:t>
      </w:r>
      <w:proofErr w:type="spellStart"/>
      <w:r w:rsidRPr="00AC1930">
        <w:t>Yıldızlı</w:t>
      </w:r>
      <w:proofErr w:type="spellEnd"/>
      <w:r w:rsidRPr="00AC1930">
        <w:t xml:space="preserve"> </w:t>
      </w:r>
      <w:proofErr w:type="spellStart"/>
      <w:r w:rsidRPr="00AC1930">
        <w:t>Otel</w:t>
      </w:r>
      <w:proofErr w:type="spellEnd"/>
      <w:r w:rsidRPr="00AC1930">
        <w:t xml:space="preserve"> </w:t>
      </w:r>
      <w:proofErr w:type="spellStart"/>
      <w:r w:rsidRPr="00AC1930">
        <w:t>İşletmelerinde</w:t>
      </w:r>
      <w:proofErr w:type="spellEnd"/>
      <w:r w:rsidRPr="00AC1930">
        <w:t xml:space="preserve"> </w:t>
      </w:r>
      <w:proofErr w:type="spellStart"/>
      <w:r w:rsidRPr="00AC1930">
        <w:t>Lider-Üye</w:t>
      </w:r>
      <w:proofErr w:type="spellEnd"/>
      <w:r w:rsidRPr="00AC1930">
        <w:t xml:space="preserve"> </w:t>
      </w:r>
      <w:proofErr w:type="spellStart"/>
      <w:r w:rsidRPr="00AC1930">
        <w:t>Etkileşimi</w:t>
      </w:r>
      <w:proofErr w:type="spellEnd"/>
      <w:r w:rsidRPr="00AC1930">
        <w:t xml:space="preserve"> </w:t>
      </w:r>
      <w:proofErr w:type="spellStart"/>
      <w:r w:rsidRPr="00AC1930">
        <w:t>ve</w:t>
      </w:r>
      <w:proofErr w:type="spellEnd"/>
      <w:r w:rsidRPr="00AC1930">
        <w:t xml:space="preserve"> </w:t>
      </w:r>
      <w:proofErr w:type="spellStart"/>
      <w:r w:rsidRPr="00AC1930">
        <w:t>İşe</w:t>
      </w:r>
      <w:proofErr w:type="spellEnd"/>
      <w:r w:rsidRPr="00AC1930">
        <w:t xml:space="preserve"> </w:t>
      </w:r>
      <w:proofErr w:type="spellStart"/>
      <w:r w:rsidRPr="00AC1930">
        <w:t>Yabancılaşma</w:t>
      </w:r>
      <w:proofErr w:type="spellEnd"/>
      <w:r w:rsidRPr="00AC1930">
        <w:t xml:space="preserve"> </w:t>
      </w:r>
      <w:proofErr w:type="spellStart"/>
      <w:r w:rsidRPr="00AC1930">
        <w:t>İlişkisi</w:t>
      </w:r>
      <w:proofErr w:type="spellEnd"/>
      <w:r w:rsidRPr="00AC1930">
        <w:t xml:space="preserve">: Marmaris </w:t>
      </w:r>
      <w:proofErr w:type="spellStart"/>
      <w:r w:rsidRPr="00AC1930">
        <w:t>ve</w:t>
      </w:r>
      <w:proofErr w:type="spellEnd"/>
      <w:r w:rsidRPr="00AC1930">
        <w:t xml:space="preserve"> İstanbul </w:t>
      </w:r>
      <w:proofErr w:type="spellStart"/>
      <w:r w:rsidRPr="00AC1930">
        <w:t>Destinasyonlarında</w:t>
      </w:r>
      <w:proofErr w:type="spellEnd"/>
      <w:r w:rsidRPr="00AC1930">
        <w:t xml:space="preserve"> Bir </w:t>
      </w:r>
      <w:proofErr w:type="spellStart"/>
      <w:r w:rsidRPr="00AC1930">
        <w:t>Araştırma</w:t>
      </w:r>
      <w:proofErr w:type="spellEnd"/>
      <w:r w:rsidRPr="00AC1930">
        <w:t xml:space="preserve">, </w:t>
      </w:r>
      <w:proofErr w:type="spellStart"/>
      <w:r w:rsidRPr="00AC1930">
        <w:t>Dokuz</w:t>
      </w:r>
      <w:proofErr w:type="spellEnd"/>
      <w:r w:rsidRPr="00AC1930">
        <w:t xml:space="preserve"> </w:t>
      </w:r>
      <w:proofErr w:type="spellStart"/>
      <w:r w:rsidRPr="00AC1930">
        <w:t>Eylul</w:t>
      </w:r>
      <w:proofErr w:type="spellEnd"/>
      <w:r w:rsidRPr="00AC1930">
        <w:t xml:space="preserve"> University Journal of Graduate School of Social Sciences, 18, 3.</w:t>
      </w:r>
    </w:p>
    <w:p w14:paraId="787C53C9" w14:textId="77777777" w:rsidR="002E7E3F" w:rsidRPr="00AC1930" w:rsidRDefault="0001118D">
      <w:pPr>
        <w:spacing w:line="360" w:lineRule="auto"/>
      </w:pPr>
      <w:r w:rsidRPr="00AC1930">
        <w:t>Taura, A.A./Abdullah, M.C./</w:t>
      </w:r>
      <w:proofErr w:type="spellStart"/>
      <w:r w:rsidRPr="00AC1930">
        <w:t>Roslan</w:t>
      </w:r>
      <w:proofErr w:type="spellEnd"/>
      <w:r w:rsidRPr="00AC1930">
        <w:t>, S./Omar, Z. (2014): An examination of pre-service teachers' goal orientations, self-</w:t>
      </w:r>
      <w:proofErr w:type="gramStart"/>
      <w:r w:rsidRPr="00AC1930">
        <w:t>regulation</w:t>
      </w:r>
      <w:proofErr w:type="gramEnd"/>
      <w:r w:rsidRPr="00AC1930">
        <w:t xml:space="preserve"> and active procrastination, in: Life Science Journal, 11, 10, 71-81.</w:t>
      </w:r>
    </w:p>
    <w:p w14:paraId="54A74373" w14:textId="77777777" w:rsidR="002E7E3F" w:rsidRPr="00AC1930" w:rsidRDefault="0001118D">
      <w:pPr>
        <w:spacing w:line="360" w:lineRule="auto"/>
      </w:pPr>
      <w:r w:rsidRPr="00AC1930">
        <w:t>Top, M./</w:t>
      </w:r>
      <w:proofErr w:type="spellStart"/>
      <w:r w:rsidRPr="00AC1930">
        <w:t>Akdere</w:t>
      </w:r>
      <w:proofErr w:type="spellEnd"/>
      <w:r w:rsidRPr="00AC1930">
        <w:t>, M./</w:t>
      </w:r>
      <w:proofErr w:type="spellStart"/>
      <w:r w:rsidRPr="00AC1930">
        <w:t>Tarcan</w:t>
      </w:r>
      <w:proofErr w:type="spellEnd"/>
      <w:r w:rsidRPr="00AC1930">
        <w:t xml:space="preserve">, M. (2015): Examining transformational leadership, job satisfaction, organizational </w:t>
      </w:r>
      <w:proofErr w:type="gramStart"/>
      <w:r w:rsidRPr="00AC1930">
        <w:t>commitment</w:t>
      </w:r>
      <w:proofErr w:type="gramEnd"/>
      <w:r w:rsidRPr="00AC1930">
        <w:t xml:space="preserve"> and organizational trust in Turkish hospitals: public servants versus private sector employees, in: The International Journal of Human Resource Management, 26, 9, 1259-1282.</w:t>
      </w:r>
    </w:p>
    <w:p w14:paraId="2FD3863E" w14:textId="77777777" w:rsidR="002E7E3F" w:rsidRPr="00AC1930" w:rsidRDefault="0001118D">
      <w:pPr>
        <w:shd w:val="clear" w:color="auto" w:fill="FFFFFF"/>
        <w:spacing w:after="160" w:line="360" w:lineRule="auto"/>
      </w:pPr>
      <w:proofErr w:type="spellStart"/>
      <w:r w:rsidRPr="00AC1930">
        <w:t>Tummers</w:t>
      </w:r>
      <w:proofErr w:type="spellEnd"/>
      <w:r w:rsidRPr="00AC1930">
        <w:t>, L./</w:t>
      </w:r>
      <w:proofErr w:type="spellStart"/>
      <w:r w:rsidRPr="00AC1930">
        <w:t>Bekkers</w:t>
      </w:r>
      <w:proofErr w:type="spellEnd"/>
      <w:r w:rsidRPr="00AC1930">
        <w:t xml:space="preserve">, V./van </w:t>
      </w:r>
      <w:proofErr w:type="spellStart"/>
      <w:r w:rsidRPr="00AC1930">
        <w:t>Thiel</w:t>
      </w:r>
      <w:proofErr w:type="spellEnd"/>
      <w:r w:rsidRPr="00AC1930">
        <w:t>, S./</w:t>
      </w:r>
      <w:proofErr w:type="spellStart"/>
      <w:r w:rsidRPr="00AC1930">
        <w:t>Steijn</w:t>
      </w:r>
      <w:proofErr w:type="spellEnd"/>
      <w:r w:rsidRPr="00AC1930">
        <w:t xml:space="preserve">, B. (2015): The effects of work alienation and policy alienation on </w:t>
      </w:r>
      <w:proofErr w:type="spellStart"/>
      <w:r w:rsidRPr="00AC1930">
        <w:t>behavior</w:t>
      </w:r>
      <w:proofErr w:type="spellEnd"/>
      <w:r w:rsidRPr="00AC1930">
        <w:t xml:space="preserve"> of public employees, in: Administration &amp; Society, 47, 5, 596-617.</w:t>
      </w:r>
    </w:p>
    <w:p w14:paraId="60D1CED7" w14:textId="359FB872" w:rsidR="002E7E3F" w:rsidRPr="00AC1930" w:rsidRDefault="0001118D">
      <w:pPr>
        <w:spacing w:line="360" w:lineRule="auto"/>
      </w:pPr>
      <w:proofErr w:type="spellStart"/>
      <w:r w:rsidRPr="00AC1930">
        <w:lastRenderedPageBreak/>
        <w:t>Tummers</w:t>
      </w:r>
      <w:proofErr w:type="spellEnd"/>
      <w:r w:rsidRPr="00AC1930">
        <w:t xml:space="preserve">, L./den </w:t>
      </w:r>
      <w:proofErr w:type="spellStart"/>
      <w:r w:rsidRPr="00AC1930">
        <w:t>Dulk</w:t>
      </w:r>
      <w:proofErr w:type="spellEnd"/>
      <w:r w:rsidRPr="00AC1930">
        <w:t>, L. (2011): Meaningful work for a meaningful life? Work alienation and its effects in the work and the family context.</w:t>
      </w:r>
      <w:r w:rsidR="0001713A" w:rsidRPr="00AC1930">
        <w:t xml:space="preserve"> </w:t>
      </w:r>
      <w:r w:rsidRPr="00AC1930">
        <w:t>Retrieved from http://hdl.handle.net/1765/31286</w:t>
      </w:r>
    </w:p>
    <w:p w14:paraId="6BF8F188" w14:textId="77777777" w:rsidR="002E7E3F" w:rsidRPr="00AC1930" w:rsidRDefault="0001118D">
      <w:pPr>
        <w:spacing w:line="360" w:lineRule="auto"/>
      </w:pPr>
      <w:proofErr w:type="spellStart"/>
      <w:r w:rsidRPr="00AC1930">
        <w:t>Tummers</w:t>
      </w:r>
      <w:proofErr w:type="spellEnd"/>
      <w:r w:rsidRPr="00AC1930">
        <w:t xml:space="preserve">, L./den </w:t>
      </w:r>
      <w:proofErr w:type="spellStart"/>
      <w:r w:rsidRPr="00AC1930">
        <w:t>Dulk</w:t>
      </w:r>
      <w:proofErr w:type="spellEnd"/>
      <w:r w:rsidRPr="00AC1930">
        <w:t>, L. (2013): The effects of work alienation on organisational commitment, work effort and work</w:t>
      </w:r>
      <w:r w:rsidRPr="00AC1930">
        <w:rPr>
          <w:rFonts w:ascii="Cambria Math" w:eastAsia="Cambria Math" w:hAnsi="Cambria Math" w:cs="Cambria Math"/>
        </w:rPr>
        <w:t>‐</w:t>
      </w:r>
      <w:r w:rsidRPr="00AC1930">
        <w:t>to</w:t>
      </w:r>
      <w:r w:rsidRPr="00AC1930">
        <w:rPr>
          <w:rFonts w:ascii="Cambria Math" w:eastAsia="Cambria Math" w:hAnsi="Cambria Math" w:cs="Cambria Math"/>
        </w:rPr>
        <w:t>‐</w:t>
      </w:r>
      <w:r w:rsidRPr="00AC1930">
        <w:t>family enrichment, in: Journal of nursing management, 21, 6, 850-859.</w:t>
      </w:r>
    </w:p>
    <w:p w14:paraId="4856F008" w14:textId="77777777" w:rsidR="002E7E3F" w:rsidRPr="00AC1930" w:rsidRDefault="0001118D">
      <w:pPr>
        <w:spacing w:line="360" w:lineRule="auto"/>
      </w:pPr>
      <w:r w:rsidRPr="00AC1930">
        <w:t>Twining, J.E. (1980): Alienation as a Social Process, in: The Sociological Quarterly, 21, 417-428.</w:t>
      </w:r>
    </w:p>
    <w:p w14:paraId="4A434609" w14:textId="77777777" w:rsidR="002E7E3F" w:rsidRPr="00AC1930" w:rsidRDefault="0001118D">
      <w:pPr>
        <w:spacing w:line="360" w:lineRule="auto"/>
      </w:pPr>
      <w:r w:rsidRPr="00AC1930">
        <w:t xml:space="preserve">Van </w:t>
      </w:r>
      <w:proofErr w:type="spellStart"/>
      <w:r w:rsidRPr="00AC1930">
        <w:t>Breukelen</w:t>
      </w:r>
      <w:proofErr w:type="spellEnd"/>
      <w:r w:rsidRPr="00AC1930">
        <w:t>, W./</w:t>
      </w:r>
      <w:proofErr w:type="spellStart"/>
      <w:r w:rsidRPr="00AC1930">
        <w:t>Schyns</w:t>
      </w:r>
      <w:proofErr w:type="spellEnd"/>
      <w:r w:rsidRPr="00AC1930">
        <w:t>, B./Le Blanc, P. (2006): Leader-member exchange theory and research: Accomplishments and future challenges, in: Leadership, 2, 3, 295-316.</w:t>
      </w:r>
    </w:p>
    <w:p w14:paraId="11E2AD06" w14:textId="4B73C4EE" w:rsidR="002E7E3F" w:rsidRPr="00AC1930" w:rsidRDefault="0001118D">
      <w:pPr>
        <w:spacing w:line="360" w:lineRule="auto"/>
      </w:pPr>
      <w:proofErr w:type="spellStart"/>
      <w:r w:rsidRPr="00AC1930">
        <w:t>Vansteenkiste</w:t>
      </w:r>
      <w:proofErr w:type="spellEnd"/>
      <w:r w:rsidRPr="00AC1930">
        <w:t>, M./</w:t>
      </w:r>
      <w:proofErr w:type="spellStart"/>
      <w:r w:rsidRPr="00AC1930">
        <w:t>Neyrinck</w:t>
      </w:r>
      <w:proofErr w:type="spellEnd"/>
      <w:r w:rsidRPr="00AC1930">
        <w:t>, B./</w:t>
      </w:r>
      <w:proofErr w:type="spellStart"/>
      <w:r w:rsidRPr="00AC1930">
        <w:t>Niemiec</w:t>
      </w:r>
      <w:proofErr w:type="spellEnd"/>
      <w:r w:rsidRPr="00AC1930">
        <w:t>, C. P./</w:t>
      </w:r>
      <w:proofErr w:type="spellStart"/>
      <w:r w:rsidRPr="00AC1930">
        <w:t>Soenens</w:t>
      </w:r>
      <w:proofErr w:type="spellEnd"/>
      <w:r w:rsidRPr="00AC1930">
        <w:t>, B./De Witte, H./</w:t>
      </w:r>
      <w:r w:rsidR="00850EC5" w:rsidRPr="00AC1930">
        <w:t>van</w:t>
      </w:r>
      <w:r w:rsidRPr="00AC1930">
        <w:t xml:space="preserve"> den </w:t>
      </w:r>
      <w:proofErr w:type="spellStart"/>
      <w:r w:rsidRPr="00AC1930">
        <w:t>Broeck</w:t>
      </w:r>
      <w:proofErr w:type="spellEnd"/>
      <w:r w:rsidRPr="00AC1930">
        <w:t>, A. (2007): On the relations among work value orientations, psychological need satisfaction and job outcomes: A self</w:t>
      </w:r>
      <w:r w:rsidRPr="00AC1930">
        <w:rPr>
          <w:rFonts w:ascii="Cambria Math" w:eastAsia="Cambria Math" w:hAnsi="Cambria Math" w:cs="Cambria Math"/>
        </w:rPr>
        <w:t>‐</w:t>
      </w:r>
      <w:r w:rsidRPr="00AC1930">
        <w:t>determination theory approach, in: Journal of Occupational and Organizational psychology, 80, 2, 251-277.</w:t>
      </w:r>
    </w:p>
    <w:p w14:paraId="40148C48" w14:textId="77777777" w:rsidR="002E7E3F" w:rsidRPr="00AC1930" w:rsidRDefault="0001118D">
      <w:pPr>
        <w:shd w:val="clear" w:color="auto" w:fill="FFFFFF"/>
        <w:spacing w:after="160" w:line="360" w:lineRule="auto"/>
      </w:pPr>
      <w:r w:rsidRPr="00AC1930">
        <w:t>Vigoda-Gadot, E./</w:t>
      </w:r>
      <w:proofErr w:type="spellStart"/>
      <w:r w:rsidRPr="00AC1930">
        <w:t>Beeri</w:t>
      </w:r>
      <w:proofErr w:type="spellEnd"/>
      <w:r w:rsidRPr="00AC1930">
        <w:t xml:space="preserve">, I. (2012): Change-Oriented Organizational Citizenship </w:t>
      </w:r>
      <w:proofErr w:type="spellStart"/>
      <w:r w:rsidRPr="00AC1930">
        <w:t>Behavior</w:t>
      </w:r>
      <w:proofErr w:type="spellEnd"/>
      <w:r w:rsidRPr="00AC1930">
        <w:t xml:space="preserve"> in Public Administration: The Power of Leadership and the Cost of Organizational Politics, in: Journal of Public Administration Research and Theory, 22, 573–596.</w:t>
      </w:r>
    </w:p>
    <w:p w14:paraId="6F567C79" w14:textId="77777777" w:rsidR="002E7E3F" w:rsidRPr="00AC1930" w:rsidRDefault="0001118D">
      <w:pPr>
        <w:shd w:val="clear" w:color="auto" w:fill="FFFFFF"/>
        <w:spacing w:after="160" w:line="360" w:lineRule="auto"/>
      </w:pPr>
      <w:r w:rsidRPr="00AC1930">
        <w:t>Vigoda-Gadot, E./</w:t>
      </w:r>
      <w:proofErr w:type="spellStart"/>
      <w:r w:rsidRPr="00AC1930">
        <w:t>Kapun</w:t>
      </w:r>
      <w:proofErr w:type="spellEnd"/>
      <w:r w:rsidRPr="00AC1930">
        <w:t>, D. (2005): Perceptions of politics and perceived performance in public and private organizations: A test of one model across two sectors in: Policy Politics 33, 251-276.</w:t>
      </w:r>
    </w:p>
    <w:p w14:paraId="63F21163" w14:textId="77777777" w:rsidR="002E7E3F" w:rsidRPr="00AC1930" w:rsidRDefault="0001118D">
      <w:pPr>
        <w:spacing w:line="360" w:lineRule="auto"/>
      </w:pPr>
      <w:proofErr w:type="spellStart"/>
      <w:r w:rsidRPr="00AC1930">
        <w:t>Vohs</w:t>
      </w:r>
      <w:proofErr w:type="spellEnd"/>
      <w:r w:rsidRPr="00AC1930">
        <w:t>, K.D./Baumeister, R.F. (2004): Handbook of self-regulation: Research, theory, and applications, Guildford: Guilford Publications.</w:t>
      </w:r>
    </w:p>
    <w:p w14:paraId="5891DE4D" w14:textId="77777777" w:rsidR="002E7E3F" w:rsidRPr="00AC1930" w:rsidRDefault="0001118D">
      <w:pPr>
        <w:spacing w:line="360" w:lineRule="auto"/>
      </w:pPr>
      <w:proofErr w:type="spellStart"/>
      <w:r w:rsidRPr="00AC1930">
        <w:t>Wasti</w:t>
      </w:r>
      <w:proofErr w:type="spellEnd"/>
      <w:r w:rsidRPr="00AC1930">
        <w:t>, S. A. (2002): Affective and continuance commitment to the organization: Test of an integrated model in the Turkish context, in: International Journal of Intercultural Relations, 26, 5, 525-550.</w:t>
      </w:r>
    </w:p>
    <w:p w14:paraId="6F0A19EB" w14:textId="77777777" w:rsidR="002E7E3F" w:rsidRPr="00AC1930" w:rsidRDefault="0001118D">
      <w:pPr>
        <w:spacing w:line="360" w:lineRule="auto"/>
      </w:pPr>
      <w:r w:rsidRPr="00AC1930">
        <w:t>Wayne, S. J./Shore, L. M./Liden, R. C. (1997): Perceived organizational support and leader-member exchange: A social exchange perspective, in: Academy of Management Journal, 40, 1, 82-111.</w:t>
      </w:r>
    </w:p>
    <w:p w14:paraId="7191466D" w14:textId="77777777" w:rsidR="002E7E3F" w:rsidRPr="00AC1930" w:rsidRDefault="0001118D">
      <w:pPr>
        <w:spacing w:line="360" w:lineRule="auto"/>
      </w:pPr>
      <w:r w:rsidRPr="00AC1930">
        <w:lastRenderedPageBreak/>
        <w:t>Wayne, S. J./Liden, R. C./</w:t>
      </w:r>
      <w:proofErr w:type="spellStart"/>
      <w:r w:rsidRPr="00AC1930">
        <w:t>Kraimer</w:t>
      </w:r>
      <w:proofErr w:type="spellEnd"/>
      <w:r w:rsidRPr="00AC1930">
        <w:t xml:space="preserve">, M. L./Graf, I. K. (1999): The role of human capital, </w:t>
      </w:r>
      <w:proofErr w:type="gramStart"/>
      <w:r w:rsidRPr="00AC1930">
        <w:t>motivation</w:t>
      </w:r>
      <w:proofErr w:type="gramEnd"/>
      <w:r w:rsidRPr="00AC1930">
        <w:t xml:space="preserve"> and supervisor sponsorship in predicting career success, in: Journal of Organizational </w:t>
      </w:r>
      <w:proofErr w:type="spellStart"/>
      <w:r w:rsidRPr="00AC1930">
        <w:t>Behavior</w:t>
      </w:r>
      <w:proofErr w:type="spellEnd"/>
      <w:r w:rsidRPr="00AC1930">
        <w:t>, 20, 5, 577-595.</w:t>
      </w:r>
    </w:p>
    <w:p w14:paraId="6D47BFC0" w14:textId="3356BE4C" w:rsidR="002E7E3F" w:rsidRPr="00AC1930" w:rsidRDefault="0001118D">
      <w:pPr>
        <w:spacing w:line="360" w:lineRule="auto"/>
      </w:pPr>
      <w:proofErr w:type="spellStart"/>
      <w:r w:rsidRPr="00AC1930">
        <w:t>Wetzels</w:t>
      </w:r>
      <w:proofErr w:type="spellEnd"/>
      <w:r w:rsidRPr="00AC1930">
        <w:t>, M./</w:t>
      </w:r>
      <w:proofErr w:type="spellStart"/>
      <w:r w:rsidRPr="00AC1930">
        <w:t>Odekerken-Schröder</w:t>
      </w:r>
      <w:proofErr w:type="spellEnd"/>
      <w:r w:rsidRPr="00AC1930">
        <w:t>, G./</w:t>
      </w:r>
      <w:r w:rsidR="00850EC5" w:rsidRPr="00AC1930">
        <w:t>van</w:t>
      </w:r>
      <w:r w:rsidRPr="00AC1930">
        <w:t xml:space="preserve"> </w:t>
      </w:r>
      <w:proofErr w:type="spellStart"/>
      <w:r w:rsidRPr="00AC1930">
        <w:t>Oppen</w:t>
      </w:r>
      <w:proofErr w:type="spellEnd"/>
      <w:r w:rsidRPr="00AC1930">
        <w:t xml:space="preserve">, C. (2009): Using PLS path </w:t>
      </w:r>
      <w:proofErr w:type="spellStart"/>
      <w:r w:rsidRPr="00AC1930">
        <w:t>modeling</w:t>
      </w:r>
      <w:proofErr w:type="spellEnd"/>
      <w:r w:rsidRPr="00AC1930">
        <w:t xml:space="preserve"> for assessing hierarchical construct models: Guidelines and empirical illustration, in: MIS Quarterly, 177-195.</w:t>
      </w:r>
    </w:p>
    <w:p w14:paraId="74942833" w14:textId="77777777" w:rsidR="002E7E3F" w:rsidRPr="00AC1930" w:rsidRDefault="0001118D">
      <w:pPr>
        <w:spacing w:line="360" w:lineRule="auto"/>
      </w:pPr>
      <w:r w:rsidRPr="00AC1930">
        <w:t>Wright, T. A./</w:t>
      </w:r>
      <w:proofErr w:type="spellStart"/>
      <w:r w:rsidRPr="00AC1930">
        <w:t>Bonett</w:t>
      </w:r>
      <w:proofErr w:type="spellEnd"/>
      <w:r w:rsidRPr="00AC1930">
        <w:t>, D. G. (2002): The moderating effects of employee tenure on the relation between organizational commitment and job performance: a meta-analysis, in: Journal of applied psychology, 87, 6, 1183.</w:t>
      </w:r>
    </w:p>
    <w:p w14:paraId="72D72BAE" w14:textId="23703196" w:rsidR="002E7E3F" w:rsidRPr="00AC1930" w:rsidRDefault="0001118D">
      <w:pPr>
        <w:spacing w:line="360" w:lineRule="auto"/>
      </w:pPr>
      <w:r w:rsidRPr="00AC1930">
        <w:t>Wolters, C. A./</w:t>
      </w:r>
      <w:proofErr w:type="spellStart"/>
      <w:r w:rsidRPr="00AC1930">
        <w:t>Pintrich</w:t>
      </w:r>
      <w:proofErr w:type="spellEnd"/>
      <w:r w:rsidRPr="00AC1930">
        <w:t>, P. R./</w:t>
      </w:r>
      <w:proofErr w:type="spellStart"/>
      <w:r w:rsidRPr="00AC1930">
        <w:t>Karabenick</w:t>
      </w:r>
      <w:proofErr w:type="spellEnd"/>
      <w:r w:rsidRPr="00AC1930">
        <w:t>, S. A. (2005): Assessing academic self-regulated learning, in</w:t>
      </w:r>
      <w:r w:rsidR="00822DA7" w:rsidRPr="00AC1930">
        <w:t>:</w:t>
      </w:r>
      <w:r w:rsidRPr="00AC1930">
        <w:t xml:space="preserve"> </w:t>
      </w:r>
      <w:r w:rsidR="00822DA7" w:rsidRPr="00AC1930">
        <w:t>Moore K.A., Lippman L.H. (ed):</w:t>
      </w:r>
      <w:r w:rsidR="00850EC5" w:rsidRPr="00AC1930">
        <w:t xml:space="preserve"> </w:t>
      </w:r>
      <w:r w:rsidRPr="00AC1930">
        <w:t xml:space="preserve">What do children need to </w:t>
      </w:r>
      <w:proofErr w:type="gramStart"/>
      <w:r w:rsidRPr="00AC1930">
        <w:t>flourish?,</w:t>
      </w:r>
      <w:proofErr w:type="gramEnd"/>
      <w:r w:rsidRPr="00AC1930">
        <w:t xml:space="preserve"> Springer, Boston, MA</w:t>
      </w:r>
      <w:r w:rsidR="00822DA7" w:rsidRPr="00AC1930">
        <w:t>, 251-270.</w:t>
      </w:r>
    </w:p>
    <w:p w14:paraId="43B3957E" w14:textId="77777777" w:rsidR="002E7E3F" w:rsidRPr="00AC1930" w:rsidRDefault="0001118D">
      <w:pPr>
        <w:spacing w:line="360" w:lineRule="auto"/>
      </w:pPr>
      <w:r w:rsidRPr="00AC1930">
        <w:t>Zimmerman, B.J. (1989): A social cognitive view of self-regulated academic learning, in: Journal of Educational Psychology, 81, 3, 329.</w:t>
      </w:r>
    </w:p>
    <w:p w14:paraId="5B7AD02C" w14:textId="77777777" w:rsidR="002E7E3F" w:rsidRPr="00AC1930" w:rsidRDefault="0001118D">
      <w:pPr>
        <w:spacing w:line="360" w:lineRule="auto"/>
      </w:pPr>
      <w:r w:rsidRPr="00AC1930">
        <w:t>Zimmerman, B.J./Schunk, D.H. (2011): Handbook of self-regulation of learning and performance, Routledge/Taylor &amp; Francis Group.</w:t>
      </w:r>
    </w:p>
    <w:p w14:paraId="11911A2E" w14:textId="222B0D54" w:rsidR="002E7E3F" w:rsidRPr="00AC1930" w:rsidRDefault="002E7E3F"/>
    <w:p w14:paraId="06A6034C" w14:textId="77777777" w:rsidR="002E7E3F" w:rsidRPr="00AC1930" w:rsidRDefault="0001118D">
      <w:r w:rsidRPr="00AC1930">
        <w:t>Appendix 1. Final PLS model</w:t>
      </w:r>
    </w:p>
    <w:p w14:paraId="29D93102" w14:textId="77777777" w:rsidR="002E7E3F" w:rsidRPr="00AC1930" w:rsidRDefault="0001118D">
      <w:r w:rsidRPr="00AC1930">
        <w:rPr>
          <w:noProof/>
          <w:lang w:val="tr-TR"/>
        </w:rPr>
        <w:lastRenderedPageBreak/>
        <w:drawing>
          <wp:inline distT="114300" distB="114300" distL="114300" distR="114300" wp14:anchorId="2FA47B2E" wp14:editId="541669F4">
            <wp:extent cx="5733415" cy="388577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33415" cy="3885770"/>
                    </a:xfrm>
                    <a:prstGeom prst="rect">
                      <a:avLst/>
                    </a:prstGeom>
                    <a:ln/>
                  </pic:spPr>
                </pic:pic>
              </a:graphicData>
            </a:graphic>
          </wp:inline>
        </w:drawing>
      </w:r>
    </w:p>
    <w:p w14:paraId="0C39EEA0" w14:textId="77777777" w:rsidR="002E7E3F" w:rsidRPr="00AC1930" w:rsidRDefault="0001118D">
      <w:r w:rsidRPr="00AC1930">
        <w:t>Appendix 2. Slope matrix</w:t>
      </w:r>
    </w:p>
    <w:p w14:paraId="25841BE3" w14:textId="77777777" w:rsidR="002E7E3F" w:rsidRPr="00AC1930" w:rsidRDefault="0001118D">
      <w:r w:rsidRPr="00AC1930">
        <w:rPr>
          <w:noProof/>
          <w:lang w:val="tr-TR"/>
        </w:rPr>
        <w:drawing>
          <wp:inline distT="114300" distB="114300" distL="114300" distR="114300" wp14:anchorId="7AEB9219" wp14:editId="3A50CED4">
            <wp:extent cx="5733415" cy="234924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33415" cy="2349240"/>
                    </a:xfrm>
                    <a:prstGeom prst="rect">
                      <a:avLst/>
                    </a:prstGeom>
                    <a:ln/>
                  </pic:spPr>
                </pic:pic>
              </a:graphicData>
            </a:graphic>
          </wp:inline>
        </w:drawing>
      </w:r>
    </w:p>
    <w:p w14:paraId="582E89F0" w14:textId="77777777" w:rsidR="002E7E3F" w:rsidRPr="00AC1930" w:rsidRDefault="002E7E3F">
      <w:pPr>
        <w:sectPr w:rsidR="002E7E3F" w:rsidRPr="00AC1930">
          <w:headerReference w:type="even" r:id="rId10"/>
          <w:headerReference w:type="default" r:id="rId11"/>
          <w:footerReference w:type="even" r:id="rId12"/>
          <w:footerReference w:type="default" r:id="rId13"/>
          <w:headerReference w:type="first" r:id="rId14"/>
          <w:footerReference w:type="first" r:id="rId15"/>
          <w:pgSz w:w="11909" w:h="16834"/>
          <w:pgMar w:top="1440" w:right="1440" w:bottom="1440" w:left="1440" w:header="720" w:footer="720" w:gutter="0"/>
          <w:pgNumType w:start="1"/>
          <w:cols w:space="708"/>
          <w:titlePg/>
        </w:sectPr>
      </w:pPr>
    </w:p>
    <w:p w14:paraId="0C6E980E" w14:textId="77777777" w:rsidR="002E7E3F" w:rsidRPr="00AC1930" w:rsidRDefault="0001118D">
      <w:r w:rsidRPr="00AC1930">
        <w:lastRenderedPageBreak/>
        <w:t>Appendix 3. MICOM process results</w:t>
      </w:r>
    </w:p>
    <w:tbl>
      <w:tblPr>
        <w:tblStyle w:val="a4"/>
        <w:tblW w:w="15027" w:type="dxa"/>
        <w:tblInd w:w="-426"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1288"/>
        <w:gridCol w:w="980"/>
        <w:gridCol w:w="709"/>
        <w:gridCol w:w="1418"/>
        <w:gridCol w:w="1134"/>
        <w:gridCol w:w="1417"/>
        <w:gridCol w:w="993"/>
        <w:gridCol w:w="1134"/>
        <w:gridCol w:w="1417"/>
        <w:gridCol w:w="1134"/>
        <w:gridCol w:w="1559"/>
      </w:tblGrid>
      <w:tr w:rsidR="00AC1930" w:rsidRPr="00AC1930" w14:paraId="7877EBD4" w14:textId="77777777">
        <w:tc>
          <w:tcPr>
            <w:tcW w:w="1844" w:type="dxa"/>
            <w:vMerge w:val="restart"/>
          </w:tcPr>
          <w:p w14:paraId="09CBF8BA" w14:textId="77777777" w:rsidR="002E7E3F" w:rsidRPr="00AC1930" w:rsidRDefault="0001118D">
            <w:pPr>
              <w:spacing w:before="0" w:after="0" w:line="276" w:lineRule="auto"/>
              <w:jc w:val="left"/>
              <w:rPr>
                <w:sz w:val="20"/>
                <w:szCs w:val="20"/>
              </w:rPr>
            </w:pPr>
            <w:r w:rsidRPr="00AC1930">
              <w:rPr>
                <w:sz w:val="20"/>
                <w:szCs w:val="20"/>
              </w:rPr>
              <w:t>Constructs</w:t>
            </w:r>
          </w:p>
        </w:tc>
        <w:tc>
          <w:tcPr>
            <w:tcW w:w="1288" w:type="dxa"/>
            <w:vMerge w:val="restart"/>
          </w:tcPr>
          <w:p w14:paraId="7111AE6A" w14:textId="77777777" w:rsidR="002E7E3F" w:rsidRPr="00AC1930" w:rsidRDefault="0001118D">
            <w:pPr>
              <w:spacing w:before="0" w:after="0" w:line="276" w:lineRule="auto"/>
              <w:jc w:val="left"/>
              <w:rPr>
                <w:sz w:val="20"/>
                <w:szCs w:val="20"/>
              </w:rPr>
            </w:pPr>
            <w:r w:rsidRPr="00AC1930">
              <w:rPr>
                <w:sz w:val="20"/>
                <w:szCs w:val="20"/>
              </w:rPr>
              <w:t>Configural invariance</w:t>
            </w:r>
          </w:p>
        </w:tc>
        <w:tc>
          <w:tcPr>
            <w:tcW w:w="3107" w:type="dxa"/>
            <w:gridSpan w:val="3"/>
          </w:tcPr>
          <w:p w14:paraId="4E5D1736" w14:textId="77777777" w:rsidR="002E7E3F" w:rsidRPr="00AC1930" w:rsidRDefault="0001118D">
            <w:pPr>
              <w:spacing w:before="0" w:after="0" w:line="276" w:lineRule="auto"/>
              <w:jc w:val="left"/>
              <w:rPr>
                <w:sz w:val="20"/>
                <w:szCs w:val="20"/>
              </w:rPr>
            </w:pPr>
            <w:r w:rsidRPr="00AC1930">
              <w:rPr>
                <w:sz w:val="20"/>
                <w:szCs w:val="20"/>
              </w:rPr>
              <w:t>Compositional invariance assessment</w:t>
            </w:r>
          </w:p>
        </w:tc>
        <w:tc>
          <w:tcPr>
            <w:tcW w:w="8788" w:type="dxa"/>
            <w:gridSpan w:val="7"/>
          </w:tcPr>
          <w:p w14:paraId="64505273" w14:textId="77777777" w:rsidR="002E7E3F" w:rsidRPr="00AC1930" w:rsidRDefault="0001118D">
            <w:pPr>
              <w:spacing w:before="0" w:after="0" w:line="276" w:lineRule="auto"/>
              <w:jc w:val="left"/>
              <w:rPr>
                <w:sz w:val="20"/>
                <w:szCs w:val="20"/>
              </w:rPr>
            </w:pPr>
            <w:r w:rsidRPr="00AC1930">
              <w:rPr>
                <w:sz w:val="20"/>
                <w:szCs w:val="20"/>
              </w:rPr>
              <w:t>Full measurement model invariance assessment</w:t>
            </w:r>
          </w:p>
        </w:tc>
      </w:tr>
      <w:tr w:rsidR="00AC1930" w:rsidRPr="00AC1930" w14:paraId="7371A7FE" w14:textId="77777777">
        <w:tc>
          <w:tcPr>
            <w:tcW w:w="1844" w:type="dxa"/>
            <w:vMerge/>
          </w:tcPr>
          <w:p w14:paraId="2B9F0CFE" w14:textId="77777777" w:rsidR="002E7E3F" w:rsidRPr="00AC1930" w:rsidRDefault="002E7E3F">
            <w:pPr>
              <w:widowControl w:val="0"/>
              <w:pBdr>
                <w:top w:val="nil"/>
                <w:left w:val="nil"/>
                <w:bottom w:val="nil"/>
                <w:right w:val="nil"/>
                <w:between w:val="nil"/>
              </w:pBdr>
              <w:spacing w:before="0" w:after="0" w:line="276" w:lineRule="auto"/>
              <w:jc w:val="left"/>
              <w:rPr>
                <w:sz w:val="20"/>
                <w:szCs w:val="20"/>
              </w:rPr>
            </w:pPr>
          </w:p>
        </w:tc>
        <w:tc>
          <w:tcPr>
            <w:tcW w:w="1288" w:type="dxa"/>
            <w:vMerge/>
          </w:tcPr>
          <w:p w14:paraId="0FC2322F" w14:textId="77777777" w:rsidR="002E7E3F" w:rsidRPr="00AC1930" w:rsidRDefault="002E7E3F">
            <w:pPr>
              <w:widowControl w:val="0"/>
              <w:pBdr>
                <w:top w:val="nil"/>
                <w:left w:val="nil"/>
                <w:bottom w:val="nil"/>
                <w:right w:val="nil"/>
                <w:between w:val="nil"/>
              </w:pBdr>
              <w:spacing w:before="0" w:after="0" w:line="276" w:lineRule="auto"/>
              <w:jc w:val="left"/>
              <w:rPr>
                <w:sz w:val="20"/>
                <w:szCs w:val="20"/>
              </w:rPr>
            </w:pPr>
          </w:p>
        </w:tc>
        <w:tc>
          <w:tcPr>
            <w:tcW w:w="980" w:type="dxa"/>
          </w:tcPr>
          <w:p w14:paraId="280BFA9C" w14:textId="77777777" w:rsidR="002E7E3F" w:rsidRPr="00AC1930" w:rsidRDefault="0001118D">
            <w:pPr>
              <w:spacing w:before="0" w:after="0" w:line="276" w:lineRule="auto"/>
              <w:jc w:val="left"/>
              <w:rPr>
                <w:sz w:val="20"/>
                <w:szCs w:val="20"/>
              </w:rPr>
            </w:pPr>
            <w:r w:rsidRPr="00AC1930">
              <w:rPr>
                <w:sz w:val="20"/>
                <w:szCs w:val="20"/>
              </w:rPr>
              <w:t>Original Correlation</w:t>
            </w:r>
          </w:p>
        </w:tc>
        <w:tc>
          <w:tcPr>
            <w:tcW w:w="709" w:type="dxa"/>
          </w:tcPr>
          <w:p w14:paraId="6E99FBB9" w14:textId="77777777" w:rsidR="002E7E3F" w:rsidRPr="00AC1930" w:rsidRDefault="0001118D">
            <w:pPr>
              <w:spacing w:before="0" w:after="0" w:line="276" w:lineRule="auto"/>
              <w:jc w:val="left"/>
              <w:rPr>
                <w:sz w:val="20"/>
                <w:szCs w:val="20"/>
              </w:rPr>
            </w:pPr>
            <w:r w:rsidRPr="00AC1930">
              <w:rPr>
                <w:sz w:val="20"/>
                <w:szCs w:val="20"/>
              </w:rPr>
              <w:t>0.05</w:t>
            </w:r>
          </w:p>
        </w:tc>
        <w:tc>
          <w:tcPr>
            <w:tcW w:w="1418" w:type="dxa"/>
          </w:tcPr>
          <w:p w14:paraId="245AEC3C" w14:textId="77777777" w:rsidR="002E7E3F" w:rsidRPr="00AC1930" w:rsidRDefault="0001118D">
            <w:pPr>
              <w:spacing w:before="0" w:after="0" w:line="276" w:lineRule="auto"/>
              <w:jc w:val="left"/>
              <w:rPr>
                <w:sz w:val="20"/>
                <w:szCs w:val="20"/>
              </w:rPr>
            </w:pPr>
            <w:r w:rsidRPr="00AC1930">
              <w:rPr>
                <w:sz w:val="20"/>
                <w:szCs w:val="20"/>
              </w:rPr>
              <w:t>Compositional invariance</w:t>
            </w:r>
          </w:p>
        </w:tc>
        <w:tc>
          <w:tcPr>
            <w:tcW w:w="1134" w:type="dxa"/>
          </w:tcPr>
          <w:p w14:paraId="4F256F5F" w14:textId="77777777" w:rsidR="002E7E3F" w:rsidRPr="00AC1930" w:rsidRDefault="0001118D">
            <w:pPr>
              <w:spacing w:before="0" w:after="0" w:line="276" w:lineRule="auto"/>
              <w:jc w:val="left"/>
              <w:rPr>
                <w:sz w:val="20"/>
                <w:szCs w:val="20"/>
              </w:rPr>
            </w:pPr>
            <w:r w:rsidRPr="00AC1930">
              <w:rPr>
                <w:sz w:val="20"/>
                <w:szCs w:val="20"/>
              </w:rPr>
              <w:t>Mean Difference</w:t>
            </w:r>
          </w:p>
        </w:tc>
        <w:tc>
          <w:tcPr>
            <w:tcW w:w="1417" w:type="dxa"/>
          </w:tcPr>
          <w:p w14:paraId="6A2E647A" w14:textId="77777777" w:rsidR="002E7E3F" w:rsidRPr="00AC1930" w:rsidRDefault="0001118D">
            <w:pPr>
              <w:spacing w:before="0" w:after="0" w:line="276" w:lineRule="auto"/>
              <w:jc w:val="left"/>
              <w:rPr>
                <w:sz w:val="20"/>
                <w:szCs w:val="20"/>
              </w:rPr>
            </w:pPr>
            <w:r w:rsidRPr="00AC1930">
              <w:rPr>
                <w:sz w:val="20"/>
                <w:szCs w:val="20"/>
              </w:rPr>
              <w:t>Confidence Interval</w:t>
            </w:r>
          </w:p>
        </w:tc>
        <w:tc>
          <w:tcPr>
            <w:tcW w:w="993" w:type="dxa"/>
          </w:tcPr>
          <w:p w14:paraId="10D19BC7" w14:textId="77777777" w:rsidR="002E7E3F" w:rsidRPr="00AC1930" w:rsidRDefault="0001118D">
            <w:pPr>
              <w:spacing w:before="0" w:after="0" w:line="276" w:lineRule="auto"/>
              <w:jc w:val="left"/>
              <w:rPr>
                <w:sz w:val="20"/>
                <w:szCs w:val="20"/>
              </w:rPr>
            </w:pPr>
            <w:r w:rsidRPr="00AC1930">
              <w:rPr>
                <w:sz w:val="20"/>
                <w:szCs w:val="20"/>
              </w:rPr>
              <w:t>Equal mean values?</w:t>
            </w:r>
          </w:p>
        </w:tc>
        <w:tc>
          <w:tcPr>
            <w:tcW w:w="1134" w:type="dxa"/>
          </w:tcPr>
          <w:p w14:paraId="5451D3A5" w14:textId="77777777" w:rsidR="002E7E3F" w:rsidRPr="00AC1930" w:rsidRDefault="0001118D">
            <w:pPr>
              <w:spacing w:before="0" w:after="0" w:line="276" w:lineRule="auto"/>
              <w:jc w:val="left"/>
              <w:rPr>
                <w:sz w:val="20"/>
                <w:szCs w:val="20"/>
              </w:rPr>
            </w:pPr>
            <w:r w:rsidRPr="00AC1930">
              <w:rPr>
                <w:sz w:val="20"/>
                <w:szCs w:val="20"/>
              </w:rPr>
              <w:t>Variance Difference</w:t>
            </w:r>
          </w:p>
        </w:tc>
        <w:tc>
          <w:tcPr>
            <w:tcW w:w="1417" w:type="dxa"/>
          </w:tcPr>
          <w:p w14:paraId="62313D2D" w14:textId="77777777" w:rsidR="002E7E3F" w:rsidRPr="00AC1930" w:rsidRDefault="0001118D">
            <w:pPr>
              <w:spacing w:before="0" w:after="0" w:line="276" w:lineRule="auto"/>
              <w:jc w:val="left"/>
              <w:rPr>
                <w:sz w:val="20"/>
                <w:szCs w:val="20"/>
              </w:rPr>
            </w:pPr>
            <w:r w:rsidRPr="00AC1930">
              <w:rPr>
                <w:sz w:val="20"/>
                <w:szCs w:val="20"/>
              </w:rPr>
              <w:t>Confidence Interval</w:t>
            </w:r>
          </w:p>
        </w:tc>
        <w:tc>
          <w:tcPr>
            <w:tcW w:w="1134" w:type="dxa"/>
          </w:tcPr>
          <w:p w14:paraId="1604D831" w14:textId="77777777" w:rsidR="002E7E3F" w:rsidRPr="00AC1930" w:rsidRDefault="0001118D">
            <w:pPr>
              <w:spacing w:before="0" w:after="0" w:line="276" w:lineRule="auto"/>
              <w:jc w:val="left"/>
              <w:rPr>
                <w:sz w:val="20"/>
                <w:szCs w:val="20"/>
              </w:rPr>
            </w:pPr>
            <w:r w:rsidRPr="00AC1930">
              <w:rPr>
                <w:sz w:val="20"/>
                <w:szCs w:val="20"/>
              </w:rPr>
              <w:t>Equal variances?</w:t>
            </w:r>
          </w:p>
        </w:tc>
        <w:tc>
          <w:tcPr>
            <w:tcW w:w="1559" w:type="dxa"/>
          </w:tcPr>
          <w:p w14:paraId="52E69868" w14:textId="77777777" w:rsidR="002E7E3F" w:rsidRPr="00AC1930" w:rsidRDefault="0001118D">
            <w:pPr>
              <w:spacing w:before="0" w:after="0" w:line="276" w:lineRule="auto"/>
              <w:jc w:val="left"/>
              <w:rPr>
                <w:sz w:val="20"/>
                <w:szCs w:val="20"/>
              </w:rPr>
            </w:pPr>
            <w:r w:rsidRPr="00AC1930">
              <w:rPr>
                <w:sz w:val="20"/>
                <w:szCs w:val="20"/>
              </w:rPr>
              <w:t>Full measurement invariance</w:t>
            </w:r>
          </w:p>
        </w:tc>
      </w:tr>
      <w:tr w:rsidR="00AC1930" w:rsidRPr="00AC1930" w14:paraId="1DE82D90" w14:textId="77777777">
        <w:tc>
          <w:tcPr>
            <w:tcW w:w="1844" w:type="dxa"/>
          </w:tcPr>
          <w:p w14:paraId="6A46AFC9" w14:textId="77777777" w:rsidR="002E7E3F" w:rsidRPr="00AC1930" w:rsidRDefault="0001118D">
            <w:pPr>
              <w:spacing w:before="0" w:after="0" w:line="276" w:lineRule="auto"/>
              <w:jc w:val="left"/>
              <w:rPr>
                <w:sz w:val="20"/>
                <w:szCs w:val="20"/>
              </w:rPr>
            </w:pPr>
            <w:r w:rsidRPr="00AC1930">
              <w:rPr>
                <w:sz w:val="20"/>
                <w:szCs w:val="20"/>
              </w:rPr>
              <w:t>Age</w:t>
            </w:r>
          </w:p>
        </w:tc>
        <w:tc>
          <w:tcPr>
            <w:tcW w:w="1288" w:type="dxa"/>
          </w:tcPr>
          <w:p w14:paraId="34D29D3E" w14:textId="77777777" w:rsidR="002E7E3F" w:rsidRPr="00AC1930" w:rsidRDefault="0001118D">
            <w:pPr>
              <w:spacing w:before="0" w:after="0" w:line="276" w:lineRule="auto"/>
              <w:jc w:val="left"/>
              <w:rPr>
                <w:sz w:val="20"/>
                <w:szCs w:val="20"/>
              </w:rPr>
            </w:pPr>
            <w:r w:rsidRPr="00AC1930">
              <w:rPr>
                <w:sz w:val="20"/>
                <w:szCs w:val="20"/>
              </w:rPr>
              <w:t>Established</w:t>
            </w:r>
          </w:p>
        </w:tc>
        <w:tc>
          <w:tcPr>
            <w:tcW w:w="980" w:type="dxa"/>
          </w:tcPr>
          <w:p w14:paraId="0EE72A98" w14:textId="77777777" w:rsidR="002E7E3F" w:rsidRPr="00AC1930" w:rsidRDefault="0001118D">
            <w:pPr>
              <w:spacing w:before="0" w:after="0" w:line="276" w:lineRule="auto"/>
              <w:jc w:val="left"/>
              <w:rPr>
                <w:sz w:val="20"/>
                <w:szCs w:val="20"/>
              </w:rPr>
            </w:pPr>
            <w:r w:rsidRPr="00AC1930">
              <w:rPr>
                <w:sz w:val="20"/>
                <w:szCs w:val="20"/>
              </w:rPr>
              <w:t>1.000</w:t>
            </w:r>
          </w:p>
        </w:tc>
        <w:tc>
          <w:tcPr>
            <w:tcW w:w="709" w:type="dxa"/>
          </w:tcPr>
          <w:p w14:paraId="5559BF3E" w14:textId="77777777" w:rsidR="002E7E3F" w:rsidRPr="00AC1930" w:rsidRDefault="0001118D">
            <w:pPr>
              <w:spacing w:before="0" w:after="0" w:line="276" w:lineRule="auto"/>
              <w:jc w:val="left"/>
              <w:rPr>
                <w:sz w:val="20"/>
                <w:szCs w:val="20"/>
              </w:rPr>
            </w:pPr>
            <w:r w:rsidRPr="00AC1930">
              <w:rPr>
                <w:sz w:val="20"/>
                <w:szCs w:val="20"/>
              </w:rPr>
              <w:t>1.000</w:t>
            </w:r>
          </w:p>
        </w:tc>
        <w:tc>
          <w:tcPr>
            <w:tcW w:w="1418" w:type="dxa"/>
          </w:tcPr>
          <w:p w14:paraId="6F0A85F0" w14:textId="77777777" w:rsidR="002E7E3F" w:rsidRPr="00AC1930" w:rsidRDefault="0001118D">
            <w:pPr>
              <w:spacing w:before="0" w:after="0" w:line="276" w:lineRule="auto"/>
              <w:jc w:val="left"/>
              <w:rPr>
                <w:sz w:val="20"/>
                <w:szCs w:val="20"/>
              </w:rPr>
            </w:pPr>
            <w:r w:rsidRPr="00AC1930">
              <w:rPr>
                <w:sz w:val="20"/>
                <w:szCs w:val="20"/>
              </w:rPr>
              <w:t>Established</w:t>
            </w:r>
          </w:p>
        </w:tc>
        <w:tc>
          <w:tcPr>
            <w:tcW w:w="1134" w:type="dxa"/>
          </w:tcPr>
          <w:p w14:paraId="01C12EEB" w14:textId="77777777" w:rsidR="002E7E3F" w:rsidRPr="00AC1930" w:rsidRDefault="0001118D">
            <w:pPr>
              <w:spacing w:before="0" w:after="0" w:line="276" w:lineRule="auto"/>
              <w:jc w:val="left"/>
              <w:rPr>
                <w:sz w:val="20"/>
                <w:szCs w:val="20"/>
              </w:rPr>
            </w:pPr>
            <w:r w:rsidRPr="00AC1930">
              <w:rPr>
                <w:sz w:val="20"/>
                <w:szCs w:val="20"/>
              </w:rPr>
              <w:t>0.519</w:t>
            </w:r>
          </w:p>
        </w:tc>
        <w:tc>
          <w:tcPr>
            <w:tcW w:w="1417" w:type="dxa"/>
          </w:tcPr>
          <w:p w14:paraId="6B31A20B" w14:textId="77777777" w:rsidR="002E7E3F" w:rsidRPr="00AC1930" w:rsidRDefault="0001118D">
            <w:pPr>
              <w:spacing w:before="0" w:after="0" w:line="276" w:lineRule="auto"/>
              <w:jc w:val="left"/>
              <w:rPr>
                <w:sz w:val="20"/>
                <w:szCs w:val="20"/>
              </w:rPr>
            </w:pPr>
            <w:r w:rsidRPr="00AC1930">
              <w:rPr>
                <w:sz w:val="20"/>
                <w:szCs w:val="20"/>
              </w:rPr>
              <w:t>[-0.192, 0.191]</w:t>
            </w:r>
          </w:p>
        </w:tc>
        <w:tc>
          <w:tcPr>
            <w:tcW w:w="993" w:type="dxa"/>
          </w:tcPr>
          <w:p w14:paraId="6A22746F" w14:textId="77777777" w:rsidR="002E7E3F" w:rsidRPr="00AC1930" w:rsidRDefault="0001118D">
            <w:pPr>
              <w:spacing w:before="0" w:after="0" w:line="276" w:lineRule="auto"/>
              <w:jc w:val="left"/>
              <w:rPr>
                <w:sz w:val="20"/>
                <w:szCs w:val="20"/>
              </w:rPr>
            </w:pPr>
            <w:r w:rsidRPr="00AC1930">
              <w:rPr>
                <w:sz w:val="20"/>
                <w:szCs w:val="20"/>
              </w:rPr>
              <w:t>No</w:t>
            </w:r>
          </w:p>
        </w:tc>
        <w:tc>
          <w:tcPr>
            <w:tcW w:w="1134" w:type="dxa"/>
          </w:tcPr>
          <w:p w14:paraId="46D9C195" w14:textId="77777777" w:rsidR="002E7E3F" w:rsidRPr="00AC1930" w:rsidRDefault="0001118D">
            <w:pPr>
              <w:spacing w:before="0" w:after="0" w:line="276" w:lineRule="auto"/>
              <w:jc w:val="left"/>
              <w:rPr>
                <w:sz w:val="20"/>
                <w:szCs w:val="20"/>
              </w:rPr>
            </w:pPr>
            <w:r w:rsidRPr="00AC1930">
              <w:rPr>
                <w:sz w:val="20"/>
                <w:szCs w:val="20"/>
              </w:rPr>
              <w:t>-0.181</w:t>
            </w:r>
          </w:p>
        </w:tc>
        <w:tc>
          <w:tcPr>
            <w:tcW w:w="1417" w:type="dxa"/>
          </w:tcPr>
          <w:p w14:paraId="2AE44340" w14:textId="77777777" w:rsidR="002E7E3F" w:rsidRPr="00AC1930" w:rsidRDefault="0001118D">
            <w:pPr>
              <w:spacing w:before="0" w:after="0" w:line="276" w:lineRule="auto"/>
              <w:jc w:val="left"/>
              <w:rPr>
                <w:sz w:val="20"/>
                <w:szCs w:val="20"/>
              </w:rPr>
            </w:pPr>
            <w:r w:rsidRPr="00AC1930">
              <w:rPr>
                <w:sz w:val="20"/>
                <w:szCs w:val="20"/>
              </w:rPr>
              <w:t>[-0.361, 0.377]</w:t>
            </w:r>
          </w:p>
        </w:tc>
        <w:tc>
          <w:tcPr>
            <w:tcW w:w="1134" w:type="dxa"/>
          </w:tcPr>
          <w:p w14:paraId="11F4CB17" w14:textId="77777777" w:rsidR="002E7E3F" w:rsidRPr="00AC1930" w:rsidRDefault="0001118D">
            <w:pPr>
              <w:spacing w:before="0" w:after="0" w:line="276" w:lineRule="auto"/>
              <w:jc w:val="left"/>
              <w:rPr>
                <w:sz w:val="20"/>
                <w:szCs w:val="20"/>
              </w:rPr>
            </w:pPr>
            <w:r w:rsidRPr="00AC1930">
              <w:rPr>
                <w:sz w:val="20"/>
                <w:szCs w:val="20"/>
              </w:rPr>
              <w:t>Yes</w:t>
            </w:r>
          </w:p>
        </w:tc>
        <w:tc>
          <w:tcPr>
            <w:tcW w:w="1559" w:type="dxa"/>
          </w:tcPr>
          <w:p w14:paraId="771FE6DA" w14:textId="77777777" w:rsidR="002E7E3F" w:rsidRPr="00AC1930" w:rsidRDefault="0001118D">
            <w:pPr>
              <w:spacing w:before="0" w:after="0" w:line="276" w:lineRule="auto"/>
              <w:jc w:val="left"/>
              <w:rPr>
                <w:sz w:val="20"/>
                <w:szCs w:val="20"/>
              </w:rPr>
            </w:pPr>
            <w:r w:rsidRPr="00AC1930">
              <w:rPr>
                <w:sz w:val="20"/>
                <w:szCs w:val="20"/>
              </w:rPr>
              <w:t>Not Established</w:t>
            </w:r>
          </w:p>
        </w:tc>
      </w:tr>
      <w:tr w:rsidR="00AC1930" w:rsidRPr="00AC1930" w14:paraId="1866C8DC" w14:textId="77777777">
        <w:tc>
          <w:tcPr>
            <w:tcW w:w="1844" w:type="dxa"/>
          </w:tcPr>
          <w:p w14:paraId="6F28A43B" w14:textId="77777777" w:rsidR="002E7E3F" w:rsidRPr="00AC1930" w:rsidRDefault="0001118D">
            <w:pPr>
              <w:spacing w:before="0" w:after="0" w:line="276" w:lineRule="auto"/>
              <w:jc w:val="left"/>
              <w:rPr>
                <w:sz w:val="20"/>
                <w:szCs w:val="20"/>
              </w:rPr>
            </w:pPr>
            <w:r w:rsidRPr="00AC1930">
              <w:rPr>
                <w:sz w:val="20"/>
                <w:szCs w:val="20"/>
              </w:rPr>
              <w:t>Gender</w:t>
            </w:r>
          </w:p>
        </w:tc>
        <w:tc>
          <w:tcPr>
            <w:tcW w:w="1288" w:type="dxa"/>
          </w:tcPr>
          <w:p w14:paraId="0531711C" w14:textId="77777777" w:rsidR="002E7E3F" w:rsidRPr="00AC1930" w:rsidRDefault="0001118D">
            <w:pPr>
              <w:spacing w:before="0" w:after="0" w:line="276" w:lineRule="auto"/>
              <w:jc w:val="left"/>
              <w:rPr>
                <w:sz w:val="20"/>
                <w:szCs w:val="20"/>
              </w:rPr>
            </w:pPr>
            <w:r w:rsidRPr="00AC1930">
              <w:rPr>
                <w:sz w:val="20"/>
                <w:szCs w:val="20"/>
              </w:rPr>
              <w:t>Established</w:t>
            </w:r>
          </w:p>
        </w:tc>
        <w:tc>
          <w:tcPr>
            <w:tcW w:w="980" w:type="dxa"/>
          </w:tcPr>
          <w:p w14:paraId="54CCF472" w14:textId="77777777" w:rsidR="002E7E3F" w:rsidRPr="00AC1930" w:rsidRDefault="0001118D">
            <w:pPr>
              <w:spacing w:before="0" w:after="0" w:line="276" w:lineRule="auto"/>
              <w:jc w:val="left"/>
              <w:rPr>
                <w:sz w:val="20"/>
                <w:szCs w:val="20"/>
              </w:rPr>
            </w:pPr>
            <w:r w:rsidRPr="00AC1930">
              <w:rPr>
                <w:sz w:val="20"/>
                <w:szCs w:val="20"/>
              </w:rPr>
              <w:t>1.000</w:t>
            </w:r>
          </w:p>
        </w:tc>
        <w:tc>
          <w:tcPr>
            <w:tcW w:w="709" w:type="dxa"/>
          </w:tcPr>
          <w:p w14:paraId="55CA98DF" w14:textId="77777777" w:rsidR="002E7E3F" w:rsidRPr="00AC1930" w:rsidRDefault="0001118D">
            <w:pPr>
              <w:spacing w:before="0" w:after="0" w:line="276" w:lineRule="auto"/>
              <w:jc w:val="left"/>
              <w:rPr>
                <w:sz w:val="20"/>
                <w:szCs w:val="20"/>
              </w:rPr>
            </w:pPr>
            <w:r w:rsidRPr="00AC1930">
              <w:rPr>
                <w:sz w:val="20"/>
                <w:szCs w:val="20"/>
              </w:rPr>
              <w:t>1.000</w:t>
            </w:r>
          </w:p>
        </w:tc>
        <w:tc>
          <w:tcPr>
            <w:tcW w:w="1418" w:type="dxa"/>
          </w:tcPr>
          <w:p w14:paraId="58578C96" w14:textId="77777777" w:rsidR="002E7E3F" w:rsidRPr="00AC1930" w:rsidRDefault="0001118D">
            <w:pPr>
              <w:spacing w:before="0" w:after="0" w:line="276" w:lineRule="auto"/>
              <w:jc w:val="left"/>
              <w:rPr>
                <w:sz w:val="20"/>
                <w:szCs w:val="20"/>
              </w:rPr>
            </w:pPr>
            <w:r w:rsidRPr="00AC1930">
              <w:rPr>
                <w:sz w:val="20"/>
                <w:szCs w:val="20"/>
              </w:rPr>
              <w:t>Established</w:t>
            </w:r>
          </w:p>
        </w:tc>
        <w:tc>
          <w:tcPr>
            <w:tcW w:w="1134" w:type="dxa"/>
          </w:tcPr>
          <w:p w14:paraId="31B92DB6" w14:textId="77777777" w:rsidR="002E7E3F" w:rsidRPr="00AC1930" w:rsidRDefault="0001118D">
            <w:pPr>
              <w:spacing w:before="0" w:after="0" w:line="276" w:lineRule="auto"/>
              <w:jc w:val="left"/>
              <w:rPr>
                <w:sz w:val="20"/>
                <w:szCs w:val="20"/>
              </w:rPr>
            </w:pPr>
            <w:r w:rsidRPr="00AC1930">
              <w:rPr>
                <w:sz w:val="20"/>
                <w:szCs w:val="20"/>
              </w:rPr>
              <w:t>-0.236</w:t>
            </w:r>
          </w:p>
        </w:tc>
        <w:tc>
          <w:tcPr>
            <w:tcW w:w="1417" w:type="dxa"/>
          </w:tcPr>
          <w:p w14:paraId="281B6314" w14:textId="77777777" w:rsidR="002E7E3F" w:rsidRPr="00AC1930" w:rsidRDefault="0001118D">
            <w:pPr>
              <w:spacing w:before="0" w:after="0" w:line="276" w:lineRule="auto"/>
              <w:jc w:val="left"/>
              <w:rPr>
                <w:sz w:val="20"/>
                <w:szCs w:val="20"/>
              </w:rPr>
            </w:pPr>
            <w:r w:rsidRPr="00AC1930">
              <w:rPr>
                <w:sz w:val="20"/>
                <w:szCs w:val="20"/>
              </w:rPr>
              <w:t>[-0.206, 0.207]</w:t>
            </w:r>
          </w:p>
        </w:tc>
        <w:tc>
          <w:tcPr>
            <w:tcW w:w="993" w:type="dxa"/>
          </w:tcPr>
          <w:p w14:paraId="3DB4C670" w14:textId="77777777" w:rsidR="002E7E3F" w:rsidRPr="00AC1930" w:rsidRDefault="0001118D">
            <w:pPr>
              <w:spacing w:before="0" w:after="0" w:line="276" w:lineRule="auto"/>
              <w:jc w:val="left"/>
              <w:rPr>
                <w:sz w:val="20"/>
                <w:szCs w:val="20"/>
              </w:rPr>
            </w:pPr>
            <w:r w:rsidRPr="00AC1930">
              <w:rPr>
                <w:sz w:val="20"/>
                <w:szCs w:val="20"/>
              </w:rPr>
              <w:t>No</w:t>
            </w:r>
          </w:p>
        </w:tc>
        <w:tc>
          <w:tcPr>
            <w:tcW w:w="1134" w:type="dxa"/>
          </w:tcPr>
          <w:p w14:paraId="5B2D9E2A" w14:textId="77777777" w:rsidR="002E7E3F" w:rsidRPr="00AC1930" w:rsidRDefault="0001118D">
            <w:pPr>
              <w:spacing w:before="0" w:after="0" w:line="276" w:lineRule="auto"/>
              <w:jc w:val="left"/>
              <w:rPr>
                <w:sz w:val="20"/>
                <w:szCs w:val="20"/>
              </w:rPr>
            </w:pPr>
            <w:r w:rsidRPr="00AC1930">
              <w:rPr>
                <w:sz w:val="20"/>
                <w:szCs w:val="20"/>
              </w:rPr>
              <w:t>0.128</w:t>
            </w:r>
          </w:p>
        </w:tc>
        <w:tc>
          <w:tcPr>
            <w:tcW w:w="1417" w:type="dxa"/>
          </w:tcPr>
          <w:p w14:paraId="0019852F" w14:textId="77777777" w:rsidR="002E7E3F" w:rsidRPr="00AC1930" w:rsidRDefault="0001118D">
            <w:pPr>
              <w:spacing w:before="0" w:after="0" w:line="276" w:lineRule="auto"/>
              <w:jc w:val="left"/>
              <w:rPr>
                <w:sz w:val="20"/>
                <w:szCs w:val="20"/>
              </w:rPr>
            </w:pPr>
            <w:r w:rsidRPr="00AC1930">
              <w:rPr>
                <w:sz w:val="20"/>
                <w:szCs w:val="20"/>
              </w:rPr>
              <w:t>[-0.079, 0.109]</w:t>
            </w:r>
          </w:p>
        </w:tc>
        <w:tc>
          <w:tcPr>
            <w:tcW w:w="1134" w:type="dxa"/>
          </w:tcPr>
          <w:p w14:paraId="6E16F9F8" w14:textId="77777777" w:rsidR="002E7E3F" w:rsidRPr="00AC1930" w:rsidRDefault="0001118D">
            <w:pPr>
              <w:spacing w:before="0" w:after="0" w:line="276" w:lineRule="auto"/>
              <w:jc w:val="left"/>
              <w:rPr>
                <w:sz w:val="20"/>
                <w:szCs w:val="20"/>
              </w:rPr>
            </w:pPr>
            <w:r w:rsidRPr="00AC1930">
              <w:rPr>
                <w:sz w:val="20"/>
                <w:szCs w:val="20"/>
              </w:rPr>
              <w:t>No</w:t>
            </w:r>
          </w:p>
        </w:tc>
        <w:tc>
          <w:tcPr>
            <w:tcW w:w="1559" w:type="dxa"/>
          </w:tcPr>
          <w:p w14:paraId="02808B25" w14:textId="77777777" w:rsidR="002E7E3F" w:rsidRPr="00AC1930" w:rsidRDefault="0001118D">
            <w:pPr>
              <w:spacing w:before="0" w:after="0" w:line="276" w:lineRule="auto"/>
              <w:jc w:val="left"/>
              <w:rPr>
                <w:sz w:val="20"/>
                <w:szCs w:val="20"/>
              </w:rPr>
            </w:pPr>
            <w:r w:rsidRPr="00AC1930">
              <w:rPr>
                <w:sz w:val="20"/>
                <w:szCs w:val="20"/>
              </w:rPr>
              <w:t>Not Established</w:t>
            </w:r>
          </w:p>
        </w:tc>
      </w:tr>
      <w:tr w:rsidR="00AC1930" w:rsidRPr="00AC1930" w14:paraId="02765384" w14:textId="77777777">
        <w:tc>
          <w:tcPr>
            <w:tcW w:w="1844" w:type="dxa"/>
          </w:tcPr>
          <w:p w14:paraId="3A345F2A" w14:textId="77777777" w:rsidR="002E7E3F" w:rsidRPr="00AC1930" w:rsidRDefault="0001118D">
            <w:pPr>
              <w:spacing w:before="0" w:after="0" w:line="276" w:lineRule="auto"/>
              <w:jc w:val="left"/>
              <w:rPr>
                <w:sz w:val="20"/>
                <w:szCs w:val="20"/>
              </w:rPr>
            </w:pPr>
            <w:r w:rsidRPr="00AC1930">
              <w:rPr>
                <w:sz w:val="20"/>
                <w:szCs w:val="20"/>
              </w:rPr>
              <w:t>LMX</w:t>
            </w:r>
          </w:p>
        </w:tc>
        <w:tc>
          <w:tcPr>
            <w:tcW w:w="1288" w:type="dxa"/>
          </w:tcPr>
          <w:p w14:paraId="0633A46E" w14:textId="77777777" w:rsidR="002E7E3F" w:rsidRPr="00AC1930" w:rsidRDefault="0001118D">
            <w:pPr>
              <w:spacing w:before="0" w:after="0" w:line="276" w:lineRule="auto"/>
              <w:jc w:val="left"/>
              <w:rPr>
                <w:sz w:val="20"/>
                <w:szCs w:val="20"/>
              </w:rPr>
            </w:pPr>
            <w:r w:rsidRPr="00AC1930">
              <w:rPr>
                <w:sz w:val="20"/>
                <w:szCs w:val="20"/>
              </w:rPr>
              <w:t>Established</w:t>
            </w:r>
          </w:p>
        </w:tc>
        <w:tc>
          <w:tcPr>
            <w:tcW w:w="980" w:type="dxa"/>
          </w:tcPr>
          <w:p w14:paraId="0637BF18" w14:textId="77777777" w:rsidR="002E7E3F" w:rsidRPr="00AC1930" w:rsidRDefault="0001118D">
            <w:pPr>
              <w:spacing w:before="0" w:after="0" w:line="276" w:lineRule="auto"/>
              <w:jc w:val="left"/>
              <w:rPr>
                <w:sz w:val="20"/>
                <w:szCs w:val="20"/>
              </w:rPr>
            </w:pPr>
            <w:r w:rsidRPr="00AC1930">
              <w:rPr>
                <w:sz w:val="20"/>
                <w:szCs w:val="20"/>
              </w:rPr>
              <w:t>0.999</w:t>
            </w:r>
          </w:p>
        </w:tc>
        <w:tc>
          <w:tcPr>
            <w:tcW w:w="709" w:type="dxa"/>
          </w:tcPr>
          <w:p w14:paraId="23AAB8DD" w14:textId="77777777" w:rsidR="002E7E3F" w:rsidRPr="00AC1930" w:rsidRDefault="0001118D">
            <w:pPr>
              <w:spacing w:before="0" w:after="0" w:line="276" w:lineRule="auto"/>
              <w:jc w:val="left"/>
              <w:rPr>
                <w:sz w:val="20"/>
                <w:szCs w:val="20"/>
              </w:rPr>
            </w:pPr>
            <w:r w:rsidRPr="00AC1930">
              <w:rPr>
                <w:sz w:val="20"/>
                <w:szCs w:val="20"/>
              </w:rPr>
              <w:t>0.995</w:t>
            </w:r>
          </w:p>
        </w:tc>
        <w:tc>
          <w:tcPr>
            <w:tcW w:w="1418" w:type="dxa"/>
          </w:tcPr>
          <w:p w14:paraId="6782B227" w14:textId="77777777" w:rsidR="002E7E3F" w:rsidRPr="00AC1930" w:rsidRDefault="0001118D">
            <w:pPr>
              <w:spacing w:before="0" w:after="0" w:line="276" w:lineRule="auto"/>
              <w:jc w:val="left"/>
              <w:rPr>
                <w:sz w:val="20"/>
                <w:szCs w:val="20"/>
              </w:rPr>
            </w:pPr>
            <w:r w:rsidRPr="00AC1930">
              <w:rPr>
                <w:sz w:val="20"/>
                <w:szCs w:val="20"/>
              </w:rPr>
              <w:t>Established</w:t>
            </w:r>
          </w:p>
        </w:tc>
        <w:tc>
          <w:tcPr>
            <w:tcW w:w="1134" w:type="dxa"/>
          </w:tcPr>
          <w:p w14:paraId="1BF96108" w14:textId="77777777" w:rsidR="002E7E3F" w:rsidRPr="00AC1930" w:rsidRDefault="0001118D">
            <w:pPr>
              <w:spacing w:before="0" w:after="0" w:line="276" w:lineRule="auto"/>
              <w:jc w:val="left"/>
              <w:rPr>
                <w:sz w:val="20"/>
                <w:szCs w:val="20"/>
              </w:rPr>
            </w:pPr>
            <w:r w:rsidRPr="00AC1930">
              <w:rPr>
                <w:sz w:val="20"/>
                <w:szCs w:val="20"/>
              </w:rPr>
              <w:t>-0.418</w:t>
            </w:r>
          </w:p>
        </w:tc>
        <w:tc>
          <w:tcPr>
            <w:tcW w:w="1417" w:type="dxa"/>
          </w:tcPr>
          <w:p w14:paraId="490C21BC" w14:textId="77777777" w:rsidR="002E7E3F" w:rsidRPr="00AC1930" w:rsidRDefault="0001118D">
            <w:pPr>
              <w:spacing w:before="0" w:after="0" w:line="276" w:lineRule="auto"/>
              <w:jc w:val="left"/>
              <w:rPr>
                <w:sz w:val="20"/>
                <w:szCs w:val="20"/>
              </w:rPr>
            </w:pPr>
            <w:r w:rsidRPr="00AC1930">
              <w:rPr>
                <w:sz w:val="20"/>
                <w:szCs w:val="20"/>
              </w:rPr>
              <w:t>[-0.210, 0.197]</w:t>
            </w:r>
          </w:p>
        </w:tc>
        <w:tc>
          <w:tcPr>
            <w:tcW w:w="993" w:type="dxa"/>
          </w:tcPr>
          <w:p w14:paraId="7176FB1E" w14:textId="77777777" w:rsidR="002E7E3F" w:rsidRPr="00AC1930" w:rsidRDefault="0001118D">
            <w:pPr>
              <w:spacing w:before="0" w:after="0" w:line="276" w:lineRule="auto"/>
              <w:jc w:val="left"/>
              <w:rPr>
                <w:sz w:val="20"/>
                <w:szCs w:val="20"/>
              </w:rPr>
            </w:pPr>
            <w:r w:rsidRPr="00AC1930">
              <w:rPr>
                <w:sz w:val="20"/>
                <w:szCs w:val="20"/>
              </w:rPr>
              <w:t>No</w:t>
            </w:r>
          </w:p>
        </w:tc>
        <w:tc>
          <w:tcPr>
            <w:tcW w:w="1134" w:type="dxa"/>
          </w:tcPr>
          <w:p w14:paraId="7C8C9539" w14:textId="77777777" w:rsidR="002E7E3F" w:rsidRPr="00AC1930" w:rsidRDefault="0001118D">
            <w:pPr>
              <w:spacing w:before="0" w:after="0" w:line="276" w:lineRule="auto"/>
              <w:jc w:val="left"/>
              <w:rPr>
                <w:sz w:val="20"/>
                <w:szCs w:val="20"/>
              </w:rPr>
            </w:pPr>
            <w:r w:rsidRPr="00AC1930">
              <w:rPr>
                <w:sz w:val="20"/>
                <w:szCs w:val="20"/>
              </w:rPr>
              <w:t>0.219</w:t>
            </w:r>
          </w:p>
        </w:tc>
        <w:tc>
          <w:tcPr>
            <w:tcW w:w="1417" w:type="dxa"/>
          </w:tcPr>
          <w:p w14:paraId="38459821" w14:textId="77777777" w:rsidR="002E7E3F" w:rsidRPr="00AC1930" w:rsidRDefault="0001118D">
            <w:pPr>
              <w:spacing w:before="0" w:after="0" w:line="276" w:lineRule="auto"/>
              <w:jc w:val="left"/>
              <w:rPr>
                <w:sz w:val="20"/>
                <w:szCs w:val="20"/>
              </w:rPr>
            </w:pPr>
            <w:r w:rsidRPr="00AC1930">
              <w:rPr>
                <w:sz w:val="20"/>
                <w:szCs w:val="20"/>
              </w:rPr>
              <w:t>[-0.239, 0.240]</w:t>
            </w:r>
          </w:p>
        </w:tc>
        <w:tc>
          <w:tcPr>
            <w:tcW w:w="1134" w:type="dxa"/>
          </w:tcPr>
          <w:p w14:paraId="60E9FD88" w14:textId="77777777" w:rsidR="002E7E3F" w:rsidRPr="00AC1930" w:rsidRDefault="0001118D">
            <w:pPr>
              <w:spacing w:before="0" w:after="0" w:line="276" w:lineRule="auto"/>
              <w:jc w:val="left"/>
              <w:rPr>
                <w:sz w:val="20"/>
                <w:szCs w:val="20"/>
              </w:rPr>
            </w:pPr>
            <w:r w:rsidRPr="00AC1930">
              <w:rPr>
                <w:sz w:val="20"/>
                <w:szCs w:val="20"/>
              </w:rPr>
              <w:t>Yes</w:t>
            </w:r>
          </w:p>
        </w:tc>
        <w:tc>
          <w:tcPr>
            <w:tcW w:w="1559" w:type="dxa"/>
          </w:tcPr>
          <w:p w14:paraId="0BB0388E" w14:textId="77777777" w:rsidR="002E7E3F" w:rsidRPr="00AC1930" w:rsidRDefault="0001118D">
            <w:pPr>
              <w:spacing w:before="0" w:after="0" w:line="276" w:lineRule="auto"/>
              <w:jc w:val="left"/>
              <w:rPr>
                <w:sz w:val="20"/>
                <w:szCs w:val="20"/>
              </w:rPr>
            </w:pPr>
            <w:r w:rsidRPr="00AC1930">
              <w:rPr>
                <w:sz w:val="20"/>
                <w:szCs w:val="20"/>
              </w:rPr>
              <w:t>Not Established</w:t>
            </w:r>
          </w:p>
        </w:tc>
      </w:tr>
      <w:tr w:rsidR="00AC1930" w:rsidRPr="00AC1930" w14:paraId="13E42CAD" w14:textId="77777777">
        <w:tc>
          <w:tcPr>
            <w:tcW w:w="1844" w:type="dxa"/>
          </w:tcPr>
          <w:p w14:paraId="106E9DB6" w14:textId="77777777" w:rsidR="002E7E3F" w:rsidRPr="00AC1930" w:rsidRDefault="0001118D">
            <w:pPr>
              <w:spacing w:before="0" w:after="0" w:line="276" w:lineRule="auto"/>
              <w:jc w:val="left"/>
              <w:rPr>
                <w:sz w:val="20"/>
                <w:szCs w:val="20"/>
              </w:rPr>
            </w:pPr>
            <w:r w:rsidRPr="00AC1930">
              <w:rPr>
                <w:sz w:val="20"/>
                <w:szCs w:val="20"/>
              </w:rPr>
              <w:t>LMX*Tenure</w:t>
            </w:r>
          </w:p>
        </w:tc>
        <w:tc>
          <w:tcPr>
            <w:tcW w:w="1288" w:type="dxa"/>
          </w:tcPr>
          <w:p w14:paraId="7EA50FC7" w14:textId="77777777" w:rsidR="002E7E3F" w:rsidRPr="00AC1930" w:rsidRDefault="0001118D">
            <w:pPr>
              <w:spacing w:before="0" w:after="0" w:line="276" w:lineRule="auto"/>
              <w:jc w:val="left"/>
              <w:rPr>
                <w:sz w:val="20"/>
                <w:szCs w:val="20"/>
              </w:rPr>
            </w:pPr>
            <w:r w:rsidRPr="00AC1930">
              <w:rPr>
                <w:sz w:val="20"/>
                <w:szCs w:val="20"/>
              </w:rPr>
              <w:t>Established</w:t>
            </w:r>
          </w:p>
        </w:tc>
        <w:tc>
          <w:tcPr>
            <w:tcW w:w="980" w:type="dxa"/>
          </w:tcPr>
          <w:p w14:paraId="1D5B5322" w14:textId="77777777" w:rsidR="002E7E3F" w:rsidRPr="00AC1930" w:rsidRDefault="0001118D">
            <w:pPr>
              <w:spacing w:before="0" w:after="0" w:line="276" w:lineRule="auto"/>
              <w:jc w:val="left"/>
              <w:rPr>
                <w:sz w:val="20"/>
                <w:szCs w:val="20"/>
              </w:rPr>
            </w:pPr>
            <w:r w:rsidRPr="00AC1930">
              <w:rPr>
                <w:sz w:val="20"/>
                <w:szCs w:val="20"/>
              </w:rPr>
              <w:t>1.000</w:t>
            </w:r>
          </w:p>
        </w:tc>
        <w:tc>
          <w:tcPr>
            <w:tcW w:w="709" w:type="dxa"/>
          </w:tcPr>
          <w:p w14:paraId="53911358" w14:textId="77777777" w:rsidR="002E7E3F" w:rsidRPr="00AC1930" w:rsidRDefault="0001118D">
            <w:pPr>
              <w:spacing w:before="0" w:after="0" w:line="276" w:lineRule="auto"/>
              <w:jc w:val="left"/>
              <w:rPr>
                <w:sz w:val="20"/>
                <w:szCs w:val="20"/>
              </w:rPr>
            </w:pPr>
            <w:r w:rsidRPr="00AC1930">
              <w:rPr>
                <w:sz w:val="20"/>
                <w:szCs w:val="20"/>
              </w:rPr>
              <w:t>1.000</w:t>
            </w:r>
          </w:p>
        </w:tc>
        <w:tc>
          <w:tcPr>
            <w:tcW w:w="1418" w:type="dxa"/>
          </w:tcPr>
          <w:p w14:paraId="7FA0088E" w14:textId="77777777" w:rsidR="002E7E3F" w:rsidRPr="00AC1930" w:rsidRDefault="0001118D">
            <w:pPr>
              <w:spacing w:before="0" w:after="0" w:line="276" w:lineRule="auto"/>
              <w:jc w:val="left"/>
              <w:rPr>
                <w:sz w:val="20"/>
                <w:szCs w:val="20"/>
              </w:rPr>
            </w:pPr>
            <w:r w:rsidRPr="00AC1930">
              <w:rPr>
                <w:sz w:val="20"/>
                <w:szCs w:val="20"/>
              </w:rPr>
              <w:t>Established</w:t>
            </w:r>
          </w:p>
        </w:tc>
        <w:tc>
          <w:tcPr>
            <w:tcW w:w="1134" w:type="dxa"/>
          </w:tcPr>
          <w:p w14:paraId="39753DE0" w14:textId="77777777" w:rsidR="002E7E3F" w:rsidRPr="00AC1930" w:rsidRDefault="0001118D">
            <w:pPr>
              <w:spacing w:before="0" w:after="0" w:line="276" w:lineRule="auto"/>
              <w:jc w:val="left"/>
              <w:rPr>
                <w:sz w:val="20"/>
                <w:szCs w:val="20"/>
              </w:rPr>
            </w:pPr>
            <w:r w:rsidRPr="00AC1930">
              <w:rPr>
                <w:sz w:val="20"/>
                <w:szCs w:val="20"/>
              </w:rPr>
              <w:t>-0.023</w:t>
            </w:r>
          </w:p>
        </w:tc>
        <w:tc>
          <w:tcPr>
            <w:tcW w:w="1417" w:type="dxa"/>
          </w:tcPr>
          <w:p w14:paraId="61D391D1" w14:textId="77777777" w:rsidR="002E7E3F" w:rsidRPr="00AC1930" w:rsidRDefault="0001118D">
            <w:pPr>
              <w:spacing w:before="0" w:after="0" w:line="276" w:lineRule="auto"/>
              <w:jc w:val="left"/>
              <w:rPr>
                <w:sz w:val="20"/>
                <w:szCs w:val="20"/>
              </w:rPr>
            </w:pPr>
            <w:r w:rsidRPr="00AC1930">
              <w:rPr>
                <w:sz w:val="20"/>
                <w:szCs w:val="20"/>
              </w:rPr>
              <w:t>[-0.199, 0.211]</w:t>
            </w:r>
          </w:p>
        </w:tc>
        <w:tc>
          <w:tcPr>
            <w:tcW w:w="993" w:type="dxa"/>
          </w:tcPr>
          <w:p w14:paraId="0C8DD7CB" w14:textId="77777777" w:rsidR="002E7E3F" w:rsidRPr="00AC1930" w:rsidRDefault="0001118D">
            <w:pPr>
              <w:spacing w:before="0" w:after="0" w:line="276" w:lineRule="auto"/>
              <w:jc w:val="left"/>
              <w:rPr>
                <w:sz w:val="20"/>
                <w:szCs w:val="20"/>
              </w:rPr>
            </w:pPr>
            <w:r w:rsidRPr="00AC1930">
              <w:rPr>
                <w:sz w:val="20"/>
                <w:szCs w:val="20"/>
              </w:rPr>
              <w:t>Yes</w:t>
            </w:r>
          </w:p>
        </w:tc>
        <w:tc>
          <w:tcPr>
            <w:tcW w:w="1134" w:type="dxa"/>
          </w:tcPr>
          <w:p w14:paraId="389C4A8F" w14:textId="77777777" w:rsidR="002E7E3F" w:rsidRPr="00AC1930" w:rsidRDefault="0001118D">
            <w:pPr>
              <w:spacing w:before="0" w:after="0" w:line="276" w:lineRule="auto"/>
              <w:jc w:val="left"/>
              <w:rPr>
                <w:sz w:val="20"/>
                <w:szCs w:val="20"/>
              </w:rPr>
            </w:pPr>
            <w:r w:rsidRPr="00AC1930">
              <w:rPr>
                <w:sz w:val="20"/>
                <w:szCs w:val="20"/>
              </w:rPr>
              <w:t>0.468</w:t>
            </w:r>
          </w:p>
        </w:tc>
        <w:tc>
          <w:tcPr>
            <w:tcW w:w="1417" w:type="dxa"/>
          </w:tcPr>
          <w:p w14:paraId="5EE5122F" w14:textId="77777777" w:rsidR="002E7E3F" w:rsidRPr="00AC1930" w:rsidRDefault="0001118D">
            <w:pPr>
              <w:spacing w:before="0" w:after="0" w:line="276" w:lineRule="auto"/>
              <w:jc w:val="left"/>
              <w:rPr>
                <w:sz w:val="20"/>
                <w:szCs w:val="20"/>
              </w:rPr>
            </w:pPr>
            <w:r w:rsidRPr="00AC1930">
              <w:rPr>
                <w:sz w:val="20"/>
                <w:szCs w:val="20"/>
              </w:rPr>
              <w:t>[-0.751, 0.919]</w:t>
            </w:r>
          </w:p>
        </w:tc>
        <w:tc>
          <w:tcPr>
            <w:tcW w:w="1134" w:type="dxa"/>
          </w:tcPr>
          <w:p w14:paraId="14F784CC" w14:textId="77777777" w:rsidR="002E7E3F" w:rsidRPr="00AC1930" w:rsidRDefault="0001118D">
            <w:pPr>
              <w:spacing w:before="0" w:after="0" w:line="276" w:lineRule="auto"/>
              <w:jc w:val="left"/>
              <w:rPr>
                <w:sz w:val="20"/>
                <w:szCs w:val="20"/>
              </w:rPr>
            </w:pPr>
            <w:r w:rsidRPr="00AC1930">
              <w:rPr>
                <w:sz w:val="20"/>
                <w:szCs w:val="20"/>
              </w:rPr>
              <w:t>Yes</w:t>
            </w:r>
          </w:p>
        </w:tc>
        <w:tc>
          <w:tcPr>
            <w:tcW w:w="1559" w:type="dxa"/>
          </w:tcPr>
          <w:p w14:paraId="76AE32EA" w14:textId="77777777" w:rsidR="002E7E3F" w:rsidRPr="00AC1930" w:rsidRDefault="0001118D">
            <w:pPr>
              <w:spacing w:before="0" w:after="0" w:line="276" w:lineRule="auto"/>
              <w:jc w:val="left"/>
              <w:rPr>
                <w:sz w:val="20"/>
                <w:szCs w:val="20"/>
              </w:rPr>
            </w:pPr>
            <w:r w:rsidRPr="00AC1930">
              <w:rPr>
                <w:sz w:val="20"/>
                <w:szCs w:val="20"/>
              </w:rPr>
              <w:t>Established</w:t>
            </w:r>
          </w:p>
        </w:tc>
      </w:tr>
      <w:tr w:rsidR="00AC1930" w:rsidRPr="00AC1930" w14:paraId="31E00462" w14:textId="77777777">
        <w:tc>
          <w:tcPr>
            <w:tcW w:w="1844" w:type="dxa"/>
          </w:tcPr>
          <w:p w14:paraId="3392B174" w14:textId="77777777" w:rsidR="002E7E3F" w:rsidRPr="00AC1930" w:rsidRDefault="0001118D">
            <w:pPr>
              <w:spacing w:before="0" w:after="0" w:line="276" w:lineRule="auto"/>
              <w:jc w:val="left"/>
              <w:rPr>
                <w:sz w:val="20"/>
                <w:szCs w:val="20"/>
              </w:rPr>
            </w:pPr>
            <w:r w:rsidRPr="00AC1930">
              <w:rPr>
                <w:sz w:val="20"/>
                <w:szCs w:val="20"/>
              </w:rPr>
              <w:t>Self-Regulation</w:t>
            </w:r>
          </w:p>
        </w:tc>
        <w:tc>
          <w:tcPr>
            <w:tcW w:w="1288" w:type="dxa"/>
          </w:tcPr>
          <w:p w14:paraId="1DAE895B" w14:textId="77777777" w:rsidR="002E7E3F" w:rsidRPr="00AC1930" w:rsidRDefault="0001118D">
            <w:pPr>
              <w:spacing w:before="0" w:after="0" w:line="276" w:lineRule="auto"/>
              <w:jc w:val="left"/>
              <w:rPr>
                <w:sz w:val="20"/>
                <w:szCs w:val="20"/>
              </w:rPr>
            </w:pPr>
            <w:r w:rsidRPr="00AC1930">
              <w:rPr>
                <w:sz w:val="20"/>
                <w:szCs w:val="20"/>
              </w:rPr>
              <w:t>Established</w:t>
            </w:r>
          </w:p>
        </w:tc>
        <w:tc>
          <w:tcPr>
            <w:tcW w:w="980" w:type="dxa"/>
          </w:tcPr>
          <w:p w14:paraId="4BD83635" w14:textId="77777777" w:rsidR="002E7E3F" w:rsidRPr="00AC1930" w:rsidRDefault="0001118D">
            <w:pPr>
              <w:spacing w:before="0" w:after="0" w:line="276" w:lineRule="auto"/>
              <w:jc w:val="left"/>
              <w:rPr>
                <w:sz w:val="20"/>
                <w:szCs w:val="20"/>
              </w:rPr>
            </w:pPr>
            <w:r w:rsidRPr="00AC1930">
              <w:rPr>
                <w:sz w:val="20"/>
                <w:szCs w:val="20"/>
              </w:rPr>
              <w:t>0.993</w:t>
            </w:r>
          </w:p>
        </w:tc>
        <w:tc>
          <w:tcPr>
            <w:tcW w:w="709" w:type="dxa"/>
          </w:tcPr>
          <w:p w14:paraId="40A47A67" w14:textId="77777777" w:rsidR="002E7E3F" w:rsidRPr="00AC1930" w:rsidRDefault="0001118D">
            <w:pPr>
              <w:spacing w:before="0" w:after="0" w:line="276" w:lineRule="auto"/>
              <w:jc w:val="left"/>
              <w:rPr>
                <w:sz w:val="20"/>
                <w:szCs w:val="20"/>
              </w:rPr>
            </w:pPr>
            <w:r w:rsidRPr="00AC1930">
              <w:rPr>
                <w:sz w:val="20"/>
                <w:szCs w:val="20"/>
              </w:rPr>
              <w:t>0.992</w:t>
            </w:r>
          </w:p>
        </w:tc>
        <w:tc>
          <w:tcPr>
            <w:tcW w:w="1418" w:type="dxa"/>
          </w:tcPr>
          <w:p w14:paraId="00F89185" w14:textId="77777777" w:rsidR="002E7E3F" w:rsidRPr="00AC1930" w:rsidRDefault="0001118D">
            <w:pPr>
              <w:spacing w:before="0" w:after="0" w:line="276" w:lineRule="auto"/>
              <w:jc w:val="left"/>
              <w:rPr>
                <w:sz w:val="20"/>
                <w:szCs w:val="20"/>
              </w:rPr>
            </w:pPr>
            <w:r w:rsidRPr="00AC1930">
              <w:rPr>
                <w:sz w:val="20"/>
                <w:szCs w:val="20"/>
              </w:rPr>
              <w:t>Established</w:t>
            </w:r>
          </w:p>
        </w:tc>
        <w:tc>
          <w:tcPr>
            <w:tcW w:w="1134" w:type="dxa"/>
          </w:tcPr>
          <w:p w14:paraId="5AF35576" w14:textId="77777777" w:rsidR="002E7E3F" w:rsidRPr="00AC1930" w:rsidRDefault="0001118D">
            <w:pPr>
              <w:spacing w:before="0" w:after="0" w:line="276" w:lineRule="auto"/>
              <w:jc w:val="left"/>
              <w:rPr>
                <w:sz w:val="20"/>
                <w:szCs w:val="20"/>
              </w:rPr>
            </w:pPr>
            <w:r w:rsidRPr="00AC1930">
              <w:rPr>
                <w:sz w:val="20"/>
                <w:szCs w:val="20"/>
              </w:rPr>
              <w:t>-0.351</w:t>
            </w:r>
          </w:p>
        </w:tc>
        <w:tc>
          <w:tcPr>
            <w:tcW w:w="1417" w:type="dxa"/>
          </w:tcPr>
          <w:p w14:paraId="442267E9" w14:textId="77777777" w:rsidR="002E7E3F" w:rsidRPr="00AC1930" w:rsidRDefault="0001118D">
            <w:pPr>
              <w:spacing w:before="0" w:after="0" w:line="276" w:lineRule="auto"/>
              <w:jc w:val="left"/>
              <w:rPr>
                <w:sz w:val="20"/>
                <w:szCs w:val="20"/>
              </w:rPr>
            </w:pPr>
            <w:r w:rsidRPr="00AC1930">
              <w:rPr>
                <w:sz w:val="20"/>
                <w:szCs w:val="20"/>
              </w:rPr>
              <w:t>[-0.197, 0.204]</w:t>
            </w:r>
          </w:p>
        </w:tc>
        <w:tc>
          <w:tcPr>
            <w:tcW w:w="993" w:type="dxa"/>
          </w:tcPr>
          <w:p w14:paraId="76F924FE" w14:textId="77777777" w:rsidR="002E7E3F" w:rsidRPr="00AC1930" w:rsidRDefault="0001118D">
            <w:pPr>
              <w:spacing w:before="0" w:after="0" w:line="276" w:lineRule="auto"/>
              <w:jc w:val="left"/>
              <w:rPr>
                <w:sz w:val="20"/>
                <w:szCs w:val="20"/>
              </w:rPr>
            </w:pPr>
            <w:r w:rsidRPr="00AC1930">
              <w:rPr>
                <w:sz w:val="20"/>
                <w:szCs w:val="20"/>
              </w:rPr>
              <w:t>No</w:t>
            </w:r>
          </w:p>
        </w:tc>
        <w:tc>
          <w:tcPr>
            <w:tcW w:w="1134" w:type="dxa"/>
          </w:tcPr>
          <w:p w14:paraId="4F0D0BD3" w14:textId="77777777" w:rsidR="002E7E3F" w:rsidRPr="00AC1930" w:rsidRDefault="0001118D">
            <w:pPr>
              <w:spacing w:before="0" w:after="0" w:line="276" w:lineRule="auto"/>
              <w:jc w:val="left"/>
              <w:rPr>
                <w:sz w:val="20"/>
                <w:szCs w:val="20"/>
              </w:rPr>
            </w:pPr>
            <w:r w:rsidRPr="00AC1930">
              <w:rPr>
                <w:sz w:val="20"/>
                <w:szCs w:val="20"/>
              </w:rPr>
              <w:t>-0.085</w:t>
            </w:r>
          </w:p>
        </w:tc>
        <w:tc>
          <w:tcPr>
            <w:tcW w:w="1417" w:type="dxa"/>
          </w:tcPr>
          <w:p w14:paraId="428B78B1" w14:textId="77777777" w:rsidR="002E7E3F" w:rsidRPr="00AC1930" w:rsidRDefault="0001118D">
            <w:pPr>
              <w:spacing w:before="0" w:after="0" w:line="276" w:lineRule="auto"/>
              <w:jc w:val="left"/>
              <w:rPr>
                <w:sz w:val="20"/>
                <w:szCs w:val="20"/>
              </w:rPr>
            </w:pPr>
            <w:r w:rsidRPr="00AC1930">
              <w:rPr>
                <w:sz w:val="20"/>
                <w:szCs w:val="20"/>
              </w:rPr>
              <w:t>[-0.286, 0.295]</w:t>
            </w:r>
          </w:p>
        </w:tc>
        <w:tc>
          <w:tcPr>
            <w:tcW w:w="1134" w:type="dxa"/>
          </w:tcPr>
          <w:p w14:paraId="7BA1EC5F" w14:textId="77777777" w:rsidR="002E7E3F" w:rsidRPr="00AC1930" w:rsidRDefault="0001118D">
            <w:pPr>
              <w:spacing w:before="0" w:after="0" w:line="276" w:lineRule="auto"/>
              <w:jc w:val="left"/>
              <w:rPr>
                <w:sz w:val="20"/>
                <w:szCs w:val="20"/>
              </w:rPr>
            </w:pPr>
            <w:r w:rsidRPr="00AC1930">
              <w:rPr>
                <w:sz w:val="20"/>
                <w:szCs w:val="20"/>
              </w:rPr>
              <w:t>Yes</w:t>
            </w:r>
          </w:p>
        </w:tc>
        <w:tc>
          <w:tcPr>
            <w:tcW w:w="1559" w:type="dxa"/>
          </w:tcPr>
          <w:p w14:paraId="0DF6030F" w14:textId="77777777" w:rsidR="002E7E3F" w:rsidRPr="00AC1930" w:rsidRDefault="0001118D">
            <w:pPr>
              <w:spacing w:before="0" w:after="0" w:line="276" w:lineRule="auto"/>
              <w:jc w:val="left"/>
              <w:rPr>
                <w:sz w:val="20"/>
                <w:szCs w:val="20"/>
              </w:rPr>
            </w:pPr>
            <w:r w:rsidRPr="00AC1930">
              <w:rPr>
                <w:sz w:val="20"/>
                <w:szCs w:val="20"/>
              </w:rPr>
              <w:t>Not Established</w:t>
            </w:r>
          </w:p>
        </w:tc>
      </w:tr>
      <w:tr w:rsidR="00AC1930" w:rsidRPr="00AC1930" w14:paraId="7E4D48C1" w14:textId="77777777">
        <w:tc>
          <w:tcPr>
            <w:tcW w:w="1844" w:type="dxa"/>
          </w:tcPr>
          <w:p w14:paraId="7A14E456" w14:textId="77777777" w:rsidR="002E7E3F" w:rsidRPr="00AC1930" w:rsidRDefault="0001118D">
            <w:pPr>
              <w:spacing w:before="0" w:after="0" w:line="276" w:lineRule="auto"/>
              <w:jc w:val="left"/>
              <w:rPr>
                <w:sz w:val="20"/>
                <w:szCs w:val="20"/>
              </w:rPr>
            </w:pPr>
            <w:r w:rsidRPr="00AC1930">
              <w:rPr>
                <w:sz w:val="20"/>
                <w:szCs w:val="20"/>
              </w:rPr>
              <w:t>Tenure</w:t>
            </w:r>
          </w:p>
        </w:tc>
        <w:tc>
          <w:tcPr>
            <w:tcW w:w="1288" w:type="dxa"/>
          </w:tcPr>
          <w:p w14:paraId="0E88B50D" w14:textId="77777777" w:rsidR="002E7E3F" w:rsidRPr="00AC1930" w:rsidRDefault="0001118D">
            <w:pPr>
              <w:spacing w:before="0" w:after="0" w:line="276" w:lineRule="auto"/>
              <w:jc w:val="left"/>
              <w:rPr>
                <w:sz w:val="20"/>
                <w:szCs w:val="20"/>
              </w:rPr>
            </w:pPr>
            <w:r w:rsidRPr="00AC1930">
              <w:rPr>
                <w:sz w:val="20"/>
                <w:szCs w:val="20"/>
              </w:rPr>
              <w:t>Established</w:t>
            </w:r>
          </w:p>
        </w:tc>
        <w:tc>
          <w:tcPr>
            <w:tcW w:w="980" w:type="dxa"/>
          </w:tcPr>
          <w:p w14:paraId="2D96664D" w14:textId="77777777" w:rsidR="002E7E3F" w:rsidRPr="00AC1930" w:rsidRDefault="0001118D">
            <w:pPr>
              <w:spacing w:before="0" w:after="0" w:line="276" w:lineRule="auto"/>
              <w:jc w:val="left"/>
              <w:rPr>
                <w:sz w:val="20"/>
                <w:szCs w:val="20"/>
              </w:rPr>
            </w:pPr>
            <w:r w:rsidRPr="00AC1930">
              <w:rPr>
                <w:sz w:val="20"/>
                <w:szCs w:val="20"/>
              </w:rPr>
              <w:t>1.000</w:t>
            </w:r>
          </w:p>
        </w:tc>
        <w:tc>
          <w:tcPr>
            <w:tcW w:w="709" w:type="dxa"/>
          </w:tcPr>
          <w:p w14:paraId="7DDF62BF" w14:textId="77777777" w:rsidR="002E7E3F" w:rsidRPr="00AC1930" w:rsidRDefault="0001118D">
            <w:pPr>
              <w:spacing w:before="0" w:after="0" w:line="276" w:lineRule="auto"/>
              <w:jc w:val="left"/>
              <w:rPr>
                <w:sz w:val="20"/>
                <w:szCs w:val="20"/>
              </w:rPr>
            </w:pPr>
            <w:r w:rsidRPr="00AC1930">
              <w:rPr>
                <w:sz w:val="20"/>
                <w:szCs w:val="20"/>
              </w:rPr>
              <w:t>1.000</w:t>
            </w:r>
          </w:p>
        </w:tc>
        <w:tc>
          <w:tcPr>
            <w:tcW w:w="1418" w:type="dxa"/>
          </w:tcPr>
          <w:p w14:paraId="7DDC443A" w14:textId="77777777" w:rsidR="002E7E3F" w:rsidRPr="00AC1930" w:rsidRDefault="0001118D">
            <w:pPr>
              <w:spacing w:before="0" w:after="0" w:line="276" w:lineRule="auto"/>
              <w:jc w:val="left"/>
              <w:rPr>
                <w:sz w:val="20"/>
                <w:szCs w:val="20"/>
              </w:rPr>
            </w:pPr>
            <w:r w:rsidRPr="00AC1930">
              <w:rPr>
                <w:sz w:val="20"/>
                <w:szCs w:val="20"/>
              </w:rPr>
              <w:t>Established</w:t>
            </w:r>
          </w:p>
        </w:tc>
        <w:tc>
          <w:tcPr>
            <w:tcW w:w="1134" w:type="dxa"/>
          </w:tcPr>
          <w:p w14:paraId="0632553E" w14:textId="77777777" w:rsidR="002E7E3F" w:rsidRPr="00AC1930" w:rsidRDefault="0001118D">
            <w:pPr>
              <w:spacing w:before="0" w:after="0" w:line="276" w:lineRule="auto"/>
              <w:jc w:val="left"/>
              <w:rPr>
                <w:sz w:val="20"/>
                <w:szCs w:val="20"/>
              </w:rPr>
            </w:pPr>
            <w:r w:rsidRPr="00AC1930">
              <w:rPr>
                <w:sz w:val="20"/>
                <w:szCs w:val="20"/>
              </w:rPr>
              <w:t>0.288</w:t>
            </w:r>
          </w:p>
        </w:tc>
        <w:tc>
          <w:tcPr>
            <w:tcW w:w="1417" w:type="dxa"/>
          </w:tcPr>
          <w:p w14:paraId="53FCDBDA" w14:textId="77777777" w:rsidR="002E7E3F" w:rsidRPr="00AC1930" w:rsidRDefault="0001118D">
            <w:pPr>
              <w:spacing w:before="0" w:after="0" w:line="276" w:lineRule="auto"/>
              <w:jc w:val="left"/>
              <w:rPr>
                <w:sz w:val="20"/>
                <w:szCs w:val="20"/>
              </w:rPr>
            </w:pPr>
            <w:r w:rsidRPr="00AC1930">
              <w:rPr>
                <w:sz w:val="20"/>
                <w:szCs w:val="20"/>
              </w:rPr>
              <w:t>[-0.208, 0.178]</w:t>
            </w:r>
          </w:p>
        </w:tc>
        <w:tc>
          <w:tcPr>
            <w:tcW w:w="993" w:type="dxa"/>
          </w:tcPr>
          <w:p w14:paraId="268B1A1B" w14:textId="77777777" w:rsidR="002E7E3F" w:rsidRPr="00AC1930" w:rsidRDefault="0001118D">
            <w:pPr>
              <w:spacing w:before="0" w:after="0" w:line="276" w:lineRule="auto"/>
              <w:jc w:val="left"/>
              <w:rPr>
                <w:sz w:val="20"/>
                <w:szCs w:val="20"/>
              </w:rPr>
            </w:pPr>
            <w:r w:rsidRPr="00AC1930">
              <w:rPr>
                <w:sz w:val="20"/>
                <w:szCs w:val="20"/>
              </w:rPr>
              <w:t>No</w:t>
            </w:r>
          </w:p>
        </w:tc>
        <w:tc>
          <w:tcPr>
            <w:tcW w:w="1134" w:type="dxa"/>
          </w:tcPr>
          <w:p w14:paraId="41754477" w14:textId="77777777" w:rsidR="002E7E3F" w:rsidRPr="00AC1930" w:rsidRDefault="0001118D">
            <w:pPr>
              <w:spacing w:before="0" w:after="0" w:line="276" w:lineRule="auto"/>
              <w:jc w:val="left"/>
              <w:rPr>
                <w:sz w:val="20"/>
                <w:szCs w:val="20"/>
              </w:rPr>
            </w:pPr>
            <w:r w:rsidRPr="00AC1930">
              <w:rPr>
                <w:sz w:val="20"/>
                <w:szCs w:val="20"/>
              </w:rPr>
              <w:t>0.496</w:t>
            </w:r>
          </w:p>
        </w:tc>
        <w:tc>
          <w:tcPr>
            <w:tcW w:w="1417" w:type="dxa"/>
          </w:tcPr>
          <w:p w14:paraId="4AD06E15" w14:textId="77777777" w:rsidR="002E7E3F" w:rsidRPr="00AC1930" w:rsidRDefault="0001118D">
            <w:pPr>
              <w:spacing w:before="0" w:after="0" w:line="276" w:lineRule="auto"/>
              <w:jc w:val="left"/>
              <w:rPr>
                <w:sz w:val="20"/>
                <w:szCs w:val="20"/>
              </w:rPr>
            </w:pPr>
            <w:r w:rsidRPr="00AC1930">
              <w:rPr>
                <w:sz w:val="20"/>
                <w:szCs w:val="20"/>
              </w:rPr>
              <w:t>[-0.773, 0.869]</w:t>
            </w:r>
          </w:p>
        </w:tc>
        <w:tc>
          <w:tcPr>
            <w:tcW w:w="1134" w:type="dxa"/>
          </w:tcPr>
          <w:p w14:paraId="391C0833" w14:textId="77777777" w:rsidR="002E7E3F" w:rsidRPr="00AC1930" w:rsidRDefault="0001118D">
            <w:pPr>
              <w:spacing w:before="0" w:after="0" w:line="276" w:lineRule="auto"/>
              <w:jc w:val="left"/>
              <w:rPr>
                <w:sz w:val="20"/>
                <w:szCs w:val="20"/>
              </w:rPr>
            </w:pPr>
            <w:r w:rsidRPr="00AC1930">
              <w:rPr>
                <w:sz w:val="20"/>
                <w:szCs w:val="20"/>
              </w:rPr>
              <w:t>Yes</w:t>
            </w:r>
          </w:p>
        </w:tc>
        <w:tc>
          <w:tcPr>
            <w:tcW w:w="1559" w:type="dxa"/>
          </w:tcPr>
          <w:p w14:paraId="03736DF0" w14:textId="77777777" w:rsidR="002E7E3F" w:rsidRPr="00AC1930" w:rsidRDefault="0001118D">
            <w:pPr>
              <w:spacing w:before="0" w:after="0" w:line="276" w:lineRule="auto"/>
              <w:jc w:val="left"/>
              <w:rPr>
                <w:sz w:val="20"/>
                <w:szCs w:val="20"/>
              </w:rPr>
            </w:pPr>
            <w:r w:rsidRPr="00AC1930">
              <w:rPr>
                <w:sz w:val="20"/>
                <w:szCs w:val="20"/>
              </w:rPr>
              <w:t>Not Established</w:t>
            </w:r>
          </w:p>
        </w:tc>
      </w:tr>
      <w:tr w:rsidR="00AC1930" w:rsidRPr="00AC1930" w14:paraId="5DA1D1C4" w14:textId="77777777">
        <w:tc>
          <w:tcPr>
            <w:tcW w:w="1844" w:type="dxa"/>
          </w:tcPr>
          <w:p w14:paraId="75ED19A2" w14:textId="77777777" w:rsidR="002E7E3F" w:rsidRPr="00AC1930" w:rsidRDefault="0001118D">
            <w:pPr>
              <w:spacing w:before="0" w:after="0" w:line="276" w:lineRule="auto"/>
              <w:jc w:val="left"/>
              <w:rPr>
                <w:sz w:val="20"/>
                <w:szCs w:val="20"/>
              </w:rPr>
            </w:pPr>
            <w:r w:rsidRPr="00AC1930">
              <w:rPr>
                <w:sz w:val="20"/>
                <w:szCs w:val="20"/>
              </w:rPr>
              <w:t>Work Alienation</w:t>
            </w:r>
          </w:p>
        </w:tc>
        <w:tc>
          <w:tcPr>
            <w:tcW w:w="1288" w:type="dxa"/>
          </w:tcPr>
          <w:p w14:paraId="23FD5011" w14:textId="77777777" w:rsidR="002E7E3F" w:rsidRPr="00AC1930" w:rsidRDefault="0001118D">
            <w:pPr>
              <w:spacing w:before="0" w:after="0" w:line="276" w:lineRule="auto"/>
              <w:jc w:val="left"/>
              <w:rPr>
                <w:sz w:val="20"/>
                <w:szCs w:val="20"/>
              </w:rPr>
            </w:pPr>
            <w:r w:rsidRPr="00AC1930">
              <w:rPr>
                <w:sz w:val="20"/>
                <w:szCs w:val="20"/>
              </w:rPr>
              <w:t>Established</w:t>
            </w:r>
          </w:p>
        </w:tc>
        <w:tc>
          <w:tcPr>
            <w:tcW w:w="980" w:type="dxa"/>
          </w:tcPr>
          <w:p w14:paraId="47F56B86" w14:textId="77777777" w:rsidR="002E7E3F" w:rsidRPr="00AC1930" w:rsidRDefault="0001118D">
            <w:pPr>
              <w:spacing w:before="0" w:after="0" w:line="276" w:lineRule="auto"/>
              <w:jc w:val="left"/>
              <w:rPr>
                <w:sz w:val="20"/>
                <w:szCs w:val="20"/>
              </w:rPr>
            </w:pPr>
            <w:r w:rsidRPr="00AC1930">
              <w:rPr>
                <w:sz w:val="20"/>
                <w:szCs w:val="20"/>
              </w:rPr>
              <w:t>1.000</w:t>
            </w:r>
          </w:p>
        </w:tc>
        <w:tc>
          <w:tcPr>
            <w:tcW w:w="709" w:type="dxa"/>
          </w:tcPr>
          <w:p w14:paraId="2D2ADB3B" w14:textId="77777777" w:rsidR="002E7E3F" w:rsidRPr="00AC1930" w:rsidRDefault="0001118D">
            <w:pPr>
              <w:spacing w:before="0" w:after="0" w:line="276" w:lineRule="auto"/>
              <w:jc w:val="left"/>
              <w:rPr>
                <w:sz w:val="20"/>
                <w:szCs w:val="20"/>
              </w:rPr>
            </w:pPr>
            <w:r w:rsidRPr="00AC1930">
              <w:rPr>
                <w:sz w:val="20"/>
                <w:szCs w:val="20"/>
              </w:rPr>
              <w:t>0.996</w:t>
            </w:r>
          </w:p>
        </w:tc>
        <w:tc>
          <w:tcPr>
            <w:tcW w:w="1418" w:type="dxa"/>
          </w:tcPr>
          <w:p w14:paraId="60294152" w14:textId="77777777" w:rsidR="002E7E3F" w:rsidRPr="00AC1930" w:rsidRDefault="0001118D">
            <w:pPr>
              <w:spacing w:before="0" w:after="0" w:line="276" w:lineRule="auto"/>
              <w:jc w:val="left"/>
              <w:rPr>
                <w:sz w:val="20"/>
                <w:szCs w:val="20"/>
              </w:rPr>
            </w:pPr>
            <w:r w:rsidRPr="00AC1930">
              <w:rPr>
                <w:sz w:val="20"/>
                <w:szCs w:val="20"/>
              </w:rPr>
              <w:t>Established</w:t>
            </w:r>
          </w:p>
        </w:tc>
        <w:tc>
          <w:tcPr>
            <w:tcW w:w="1134" w:type="dxa"/>
          </w:tcPr>
          <w:p w14:paraId="29BBCD4B" w14:textId="77777777" w:rsidR="002E7E3F" w:rsidRPr="00AC1930" w:rsidRDefault="0001118D">
            <w:pPr>
              <w:spacing w:before="0" w:after="0" w:line="276" w:lineRule="auto"/>
              <w:jc w:val="left"/>
              <w:rPr>
                <w:sz w:val="20"/>
                <w:szCs w:val="20"/>
              </w:rPr>
            </w:pPr>
            <w:r w:rsidRPr="00AC1930">
              <w:rPr>
                <w:sz w:val="20"/>
                <w:szCs w:val="20"/>
              </w:rPr>
              <w:t>0.055</w:t>
            </w:r>
          </w:p>
        </w:tc>
        <w:tc>
          <w:tcPr>
            <w:tcW w:w="1417" w:type="dxa"/>
          </w:tcPr>
          <w:p w14:paraId="24BF7C4E" w14:textId="77777777" w:rsidR="002E7E3F" w:rsidRPr="00AC1930" w:rsidRDefault="0001118D">
            <w:pPr>
              <w:spacing w:before="0" w:after="0" w:line="276" w:lineRule="auto"/>
              <w:jc w:val="left"/>
              <w:rPr>
                <w:sz w:val="20"/>
                <w:szCs w:val="20"/>
              </w:rPr>
            </w:pPr>
            <w:r w:rsidRPr="00AC1930">
              <w:rPr>
                <w:sz w:val="20"/>
                <w:szCs w:val="20"/>
              </w:rPr>
              <w:t>[-0.202, 0.202]</w:t>
            </w:r>
          </w:p>
        </w:tc>
        <w:tc>
          <w:tcPr>
            <w:tcW w:w="993" w:type="dxa"/>
          </w:tcPr>
          <w:p w14:paraId="61108FCE" w14:textId="77777777" w:rsidR="002E7E3F" w:rsidRPr="00AC1930" w:rsidRDefault="0001118D">
            <w:pPr>
              <w:spacing w:before="0" w:after="0" w:line="276" w:lineRule="auto"/>
              <w:jc w:val="left"/>
              <w:rPr>
                <w:sz w:val="20"/>
                <w:szCs w:val="20"/>
              </w:rPr>
            </w:pPr>
            <w:r w:rsidRPr="00AC1930">
              <w:rPr>
                <w:sz w:val="20"/>
                <w:szCs w:val="20"/>
              </w:rPr>
              <w:t>Yes</w:t>
            </w:r>
          </w:p>
        </w:tc>
        <w:tc>
          <w:tcPr>
            <w:tcW w:w="1134" w:type="dxa"/>
          </w:tcPr>
          <w:p w14:paraId="5369B903" w14:textId="77777777" w:rsidR="002E7E3F" w:rsidRPr="00AC1930" w:rsidRDefault="0001118D">
            <w:pPr>
              <w:spacing w:before="0" w:after="0" w:line="276" w:lineRule="auto"/>
              <w:jc w:val="left"/>
              <w:rPr>
                <w:sz w:val="20"/>
                <w:szCs w:val="20"/>
              </w:rPr>
            </w:pPr>
            <w:r w:rsidRPr="00AC1930">
              <w:rPr>
                <w:sz w:val="20"/>
                <w:szCs w:val="20"/>
              </w:rPr>
              <w:t>-0.192</w:t>
            </w:r>
          </w:p>
        </w:tc>
        <w:tc>
          <w:tcPr>
            <w:tcW w:w="1417" w:type="dxa"/>
          </w:tcPr>
          <w:p w14:paraId="19EB8681" w14:textId="77777777" w:rsidR="002E7E3F" w:rsidRPr="00AC1930" w:rsidRDefault="0001118D">
            <w:pPr>
              <w:spacing w:before="0" w:after="0" w:line="276" w:lineRule="auto"/>
              <w:jc w:val="left"/>
              <w:rPr>
                <w:sz w:val="20"/>
                <w:szCs w:val="20"/>
              </w:rPr>
            </w:pPr>
            <w:r w:rsidRPr="00AC1930">
              <w:rPr>
                <w:sz w:val="20"/>
                <w:szCs w:val="20"/>
              </w:rPr>
              <w:t>[-0.275, 0.304]</w:t>
            </w:r>
          </w:p>
        </w:tc>
        <w:tc>
          <w:tcPr>
            <w:tcW w:w="1134" w:type="dxa"/>
          </w:tcPr>
          <w:p w14:paraId="7B93B13E" w14:textId="77777777" w:rsidR="002E7E3F" w:rsidRPr="00AC1930" w:rsidRDefault="0001118D">
            <w:pPr>
              <w:spacing w:before="0" w:after="0" w:line="276" w:lineRule="auto"/>
              <w:jc w:val="left"/>
              <w:rPr>
                <w:sz w:val="20"/>
                <w:szCs w:val="20"/>
              </w:rPr>
            </w:pPr>
            <w:r w:rsidRPr="00AC1930">
              <w:rPr>
                <w:sz w:val="20"/>
                <w:szCs w:val="20"/>
              </w:rPr>
              <w:t>Yes</w:t>
            </w:r>
          </w:p>
        </w:tc>
        <w:tc>
          <w:tcPr>
            <w:tcW w:w="1559" w:type="dxa"/>
          </w:tcPr>
          <w:p w14:paraId="6C038212" w14:textId="77777777" w:rsidR="002E7E3F" w:rsidRPr="00AC1930" w:rsidRDefault="0001118D">
            <w:pPr>
              <w:spacing w:before="0" w:after="0" w:line="276" w:lineRule="auto"/>
              <w:jc w:val="left"/>
              <w:rPr>
                <w:sz w:val="20"/>
                <w:szCs w:val="20"/>
              </w:rPr>
            </w:pPr>
            <w:r w:rsidRPr="00AC1930">
              <w:rPr>
                <w:sz w:val="20"/>
                <w:szCs w:val="20"/>
              </w:rPr>
              <w:t>Established</w:t>
            </w:r>
          </w:p>
        </w:tc>
      </w:tr>
    </w:tbl>
    <w:p w14:paraId="23F93554" w14:textId="77777777" w:rsidR="002E7E3F" w:rsidRPr="00AC1930" w:rsidRDefault="002E7E3F"/>
    <w:sectPr w:rsidR="002E7E3F" w:rsidRPr="00AC1930">
      <w:pgSz w:w="16834" w:h="11909" w:orient="landscape"/>
      <w:pgMar w:top="1440" w:right="1440" w:bottom="1440" w:left="1440"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4430E" w14:textId="77777777" w:rsidR="00EC0A4E" w:rsidRDefault="00EC0A4E">
      <w:pPr>
        <w:spacing w:before="0" w:after="0" w:line="240" w:lineRule="auto"/>
      </w:pPr>
      <w:r>
        <w:separator/>
      </w:r>
    </w:p>
  </w:endnote>
  <w:endnote w:type="continuationSeparator" w:id="0">
    <w:p w14:paraId="00D688ED" w14:textId="77777777" w:rsidR="00EC0A4E" w:rsidRDefault="00EC0A4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240D" w14:textId="77777777" w:rsidR="00B6318B" w:rsidRDefault="00B63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E69C" w14:textId="5B6225D9" w:rsidR="00B6318B" w:rsidRDefault="00B6318B">
    <w:pPr>
      <w:jc w:val="right"/>
    </w:pPr>
    <w:r>
      <w:fldChar w:fldCharType="begin"/>
    </w:r>
    <w:r>
      <w:instrText>PAGE</w:instrText>
    </w:r>
    <w:r>
      <w:fldChar w:fldCharType="separate"/>
    </w:r>
    <w:r w:rsidR="004E272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2D20" w14:textId="77777777" w:rsidR="00B6318B" w:rsidRDefault="00B631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CF5E3" w14:textId="77777777" w:rsidR="00EC0A4E" w:rsidRDefault="00EC0A4E">
      <w:pPr>
        <w:spacing w:before="0" w:after="0" w:line="240" w:lineRule="auto"/>
      </w:pPr>
      <w:r>
        <w:separator/>
      </w:r>
    </w:p>
  </w:footnote>
  <w:footnote w:type="continuationSeparator" w:id="0">
    <w:p w14:paraId="180C6C12" w14:textId="77777777" w:rsidR="00EC0A4E" w:rsidRDefault="00EC0A4E">
      <w:pPr>
        <w:spacing w:before="0" w:after="0" w:line="240" w:lineRule="auto"/>
      </w:pPr>
      <w:r>
        <w:continuationSeparator/>
      </w:r>
    </w:p>
  </w:footnote>
  <w:footnote w:id="1">
    <w:p w14:paraId="5776BE29" w14:textId="0666A860" w:rsidR="00B6318B" w:rsidRDefault="00B6318B" w:rsidP="00DA2F30">
      <w:pPr>
        <w:pStyle w:val="FootnoteText"/>
      </w:pPr>
      <w:r>
        <w:rPr>
          <w:rStyle w:val="FootnoteReference"/>
        </w:rPr>
        <w:footnoteRef/>
      </w:r>
      <w:r>
        <w:t xml:space="preserve"> Mehmet Ali </w:t>
      </w:r>
      <w:r w:rsidR="00C31A5F">
        <w:t>Turkmenoglu</w:t>
      </w:r>
      <w:r w:rsidR="00DA2F30">
        <w:t xml:space="preserve">, (Corresponding author) PhD, </w:t>
      </w:r>
      <w:r w:rsidRPr="00B6318B">
        <w:t>Assistant Professor of Management and Organisation</w:t>
      </w:r>
      <w:r w:rsidR="00DA2F30">
        <w:t xml:space="preserve">; Mus </w:t>
      </w:r>
      <w:proofErr w:type="spellStart"/>
      <w:r w:rsidR="00DA2F30">
        <w:t>Alparslan</w:t>
      </w:r>
      <w:proofErr w:type="spellEnd"/>
      <w:r w:rsidR="00DA2F30">
        <w:t xml:space="preserve"> University Faculty of Economics and Administrative Sciences and </w:t>
      </w:r>
      <w:r w:rsidR="00DA2F30" w:rsidRPr="00DA2F30">
        <w:t>Southampton Business School, University of Southampton</w:t>
      </w:r>
      <w:r w:rsidR="00DA2F30">
        <w:t xml:space="preserve">. Email: </w:t>
      </w:r>
      <w:r w:rsidR="00DA2F30" w:rsidRPr="00C16E03">
        <w:t>m.turkmenoglu@alparslan.edu.tr</w:t>
      </w:r>
      <w:r w:rsidR="00DA2F30">
        <w:t>. Main research interests: organisational behavi</w:t>
      </w:r>
      <w:r w:rsidR="00C16E03">
        <w:t xml:space="preserve">our </w:t>
      </w:r>
      <w:proofErr w:type="gramStart"/>
      <w:r w:rsidR="00C16E03">
        <w:t xml:space="preserve">and </w:t>
      </w:r>
      <w:r w:rsidR="00C31A5F">
        <w:t xml:space="preserve"> human</w:t>
      </w:r>
      <w:proofErr w:type="gramEnd"/>
      <w:r w:rsidR="00C31A5F">
        <w:t xml:space="preserve"> resources management</w:t>
      </w:r>
    </w:p>
    <w:p w14:paraId="38EA699B" w14:textId="2901D6FD" w:rsidR="00C31A5F" w:rsidRDefault="00C31A5F" w:rsidP="00DA2F30">
      <w:pPr>
        <w:pStyle w:val="FootnoteText"/>
      </w:pPr>
      <w:proofErr w:type="spellStart"/>
      <w:r w:rsidRPr="00C31A5F">
        <w:t>Berat</w:t>
      </w:r>
      <w:proofErr w:type="spellEnd"/>
      <w:r w:rsidRPr="00C31A5F">
        <w:t xml:space="preserve"> </w:t>
      </w:r>
      <w:proofErr w:type="spellStart"/>
      <w:r w:rsidRPr="00C31A5F">
        <w:t>Cicek</w:t>
      </w:r>
      <w:proofErr w:type="spellEnd"/>
      <w:r w:rsidRPr="00C31A5F">
        <w:t xml:space="preserve">, PhD, Associate Professor, Malatya Turgut </w:t>
      </w:r>
      <w:proofErr w:type="spellStart"/>
      <w:r w:rsidRPr="00C31A5F">
        <w:t>Özal</w:t>
      </w:r>
      <w:proofErr w:type="spellEnd"/>
      <w:r w:rsidRPr="00C31A5F">
        <w:t xml:space="preserve"> University, Department of Aviation Management, Email: berat.cicek@ozal.edu.tr. Main researc</w:t>
      </w:r>
      <w:r>
        <w:t>h interests: leadership, organis</w:t>
      </w:r>
      <w:r w:rsidRPr="00C31A5F">
        <w:t>ational behaviour</w:t>
      </w:r>
      <w:r>
        <w:t>, organis</w:t>
      </w:r>
      <w:r w:rsidRPr="00C31A5F">
        <w:t>ational psychology</w:t>
      </w:r>
    </w:p>
    <w:p w14:paraId="719508C2" w14:textId="629C8B46" w:rsidR="00C31A5F" w:rsidRPr="00C31A5F" w:rsidRDefault="00C31A5F" w:rsidP="00C16E03">
      <w:pPr>
        <w:spacing w:before="0" w:after="0" w:line="240" w:lineRule="auto"/>
        <w:rPr>
          <w:sz w:val="20"/>
          <w:szCs w:val="20"/>
        </w:rPr>
      </w:pPr>
      <w:proofErr w:type="spellStart"/>
      <w:r w:rsidRPr="00C31A5F">
        <w:rPr>
          <w:sz w:val="20"/>
          <w:szCs w:val="20"/>
        </w:rPr>
        <w:t>Duygu</w:t>
      </w:r>
      <w:proofErr w:type="spellEnd"/>
      <w:r w:rsidRPr="00C31A5F">
        <w:rPr>
          <w:sz w:val="20"/>
          <w:szCs w:val="20"/>
        </w:rPr>
        <w:t xml:space="preserve"> </w:t>
      </w:r>
      <w:proofErr w:type="spellStart"/>
      <w:r w:rsidRPr="00C31A5F">
        <w:rPr>
          <w:sz w:val="20"/>
          <w:szCs w:val="20"/>
        </w:rPr>
        <w:t>Acar</w:t>
      </w:r>
      <w:proofErr w:type="spellEnd"/>
      <w:r w:rsidRPr="00C31A5F">
        <w:rPr>
          <w:sz w:val="20"/>
          <w:szCs w:val="20"/>
        </w:rPr>
        <w:t xml:space="preserve"> </w:t>
      </w:r>
      <w:proofErr w:type="spellStart"/>
      <w:r w:rsidRPr="00C31A5F">
        <w:rPr>
          <w:sz w:val="20"/>
          <w:szCs w:val="20"/>
        </w:rPr>
        <w:t>Erdur</w:t>
      </w:r>
      <w:proofErr w:type="spellEnd"/>
      <w:r w:rsidRPr="00C31A5F">
        <w:rPr>
          <w:sz w:val="20"/>
          <w:szCs w:val="20"/>
        </w:rPr>
        <w:t>, PhD in Management and Organisation</w:t>
      </w:r>
      <w:r w:rsidR="00C16E03">
        <w:rPr>
          <w:sz w:val="20"/>
          <w:szCs w:val="20"/>
        </w:rPr>
        <w:t xml:space="preserve">; </w:t>
      </w:r>
      <w:proofErr w:type="spellStart"/>
      <w:r w:rsidR="00C16E03" w:rsidRPr="00C16E03">
        <w:rPr>
          <w:sz w:val="20"/>
          <w:szCs w:val="20"/>
        </w:rPr>
        <w:t>Uludag</w:t>
      </w:r>
      <w:proofErr w:type="spellEnd"/>
      <w:r w:rsidR="00C16E03" w:rsidRPr="00C16E03">
        <w:rPr>
          <w:sz w:val="20"/>
          <w:szCs w:val="20"/>
        </w:rPr>
        <w:t xml:space="preserve"> University</w:t>
      </w:r>
      <w:r w:rsidR="00C16E03">
        <w:rPr>
          <w:sz w:val="20"/>
          <w:szCs w:val="20"/>
        </w:rPr>
        <w:t xml:space="preserve">, Faculty of Economics and </w:t>
      </w:r>
      <w:r w:rsidR="00C16E03" w:rsidRPr="00C16E03">
        <w:rPr>
          <w:sz w:val="20"/>
          <w:szCs w:val="20"/>
        </w:rPr>
        <w:t xml:space="preserve">Administrative Sciences, </w:t>
      </w:r>
      <w:r w:rsidR="00C16E03">
        <w:rPr>
          <w:sz w:val="20"/>
          <w:szCs w:val="20"/>
        </w:rPr>
        <w:t xml:space="preserve">Email: </w:t>
      </w:r>
      <w:r w:rsidR="00C16E03" w:rsidRPr="00C16E03">
        <w:rPr>
          <w:sz w:val="20"/>
          <w:szCs w:val="20"/>
        </w:rPr>
        <w:t>duyguacar@uludag.edu.tr</w:t>
      </w:r>
      <w:r w:rsidR="00C16E03">
        <w:rPr>
          <w:sz w:val="20"/>
          <w:szCs w:val="20"/>
        </w:rPr>
        <w:t xml:space="preserve">. Main research interests: </w:t>
      </w:r>
      <w:r w:rsidRPr="00C31A5F">
        <w:rPr>
          <w:sz w:val="20"/>
          <w:szCs w:val="20"/>
        </w:rPr>
        <w:t>diversity management, i</w:t>
      </w:r>
      <w:r w:rsidR="004E272B">
        <w:rPr>
          <w:sz w:val="20"/>
          <w:szCs w:val="20"/>
        </w:rPr>
        <w:t xml:space="preserve">nclusion, </w:t>
      </w:r>
      <w:proofErr w:type="gramStart"/>
      <w:r w:rsidR="004E272B">
        <w:rPr>
          <w:sz w:val="20"/>
          <w:szCs w:val="20"/>
        </w:rPr>
        <w:t>context-sensitive</w:t>
      </w:r>
      <w:proofErr w:type="gramEnd"/>
      <w:r w:rsidR="004E272B">
        <w:rPr>
          <w:sz w:val="20"/>
          <w:szCs w:val="20"/>
        </w:rPr>
        <w:t xml:space="preserve"> HRM</w:t>
      </w:r>
    </w:p>
    <w:p w14:paraId="46A1766F" w14:textId="04A1E195" w:rsidR="00C31A5F" w:rsidRDefault="00C31A5F" w:rsidP="00DA2F30">
      <w:pPr>
        <w:pStyle w:val="FootnoteText"/>
      </w:pPr>
    </w:p>
    <w:p w14:paraId="7418C415" w14:textId="77777777" w:rsidR="00C31A5F" w:rsidRPr="00B6318B" w:rsidRDefault="00C31A5F" w:rsidP="00DA2F30">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A89D5" w14:textId="77777777" w:rsidR="00B6318B" w:rsidRDefault="00B631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D38D" w14:textId="77777777" w:rsidR="00B6318B" w:rsidRDefault="00B631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4EFD" w14:textId="77777777" w:rsidR="00B6318B" w:rsidRDefault="00B6318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2tDA1tjAztDS0NDdR0lEKTi0uzszPAymwrAUAXeFaSSwAAAA="/>
  </w:docVars>
  <w:rsids>
    <w:rsidRoot w:val="002E7E3F"/>
    <w:rsid w:val="00001EB7"/>
    <w:rsid w:val="000035F8"/>
    <w:rsid w:val="000060AF"/>
    <w:rsid w:val="00007974"/>
    <w:rsid w:val="000102A2"/>
    <w:rsid w:val="0001118D"/>
    <w:rsid w:val="0001713A"/>
    <w:rsid w:val="00023B09"/>
    <w:rsid w:val="00051BB8"/>
    <w:rsid w:val="0006158F"/>
    <w:rsid w:val="00080D32"/>
    <w:rsid w:val="000A11F0"/>
    <w:rsid w:val="000A207F"/>
    <w:rsid w:val="000B25A1"/>
    <w:rsid w:val="000B53C6"/>
    <w:rsid w:val="000B6E1B"/>
    <w:rsid w:val="000C49CE"/>
    <w:rsid w:val="000C79C9"/>
    <w:rsid w:val="000D6962"/>
    <w:rsid w:val="000E0CDE"/>
    <w:rsid w:val="000E4667"/>
    <w:rsid w:val="000F062B"/>
    <w:rsid w:val="000F30E2"/>
    <w:rsid w:val="0010363F"/>
    <w:rsid w:val="00115F3E"/>
    <w:rsid w:val="00120CF8"/>
    <w:rsid w:val="00132BA6"/>
    <w:rsid w:val="0014698D"/>
    <w:rsid w:val="00164CD9"/>
    <w:rsid w:val="00171F69"/>
    <w:rsid w:val="00187F94"/>
    <w:rsid w:val="001A11EA"/>
    <w:rsid w:val="001A2B3B"/>
    <w:rsid w:val="001A2D0A"/>
    <w:rsid w:val="001A5BE7"/>
    <w:rsid w:val="001E141C"/>
    <w:rsid w:val="00220674"/>
    <w:rsid w:val="002276E4"/>
    <w:rsid w:val="00237E9A"/>
    <w:rsid w:val="002532DE"/>
    <w:rsid w:val="00255B8B"/>
    <w:rsid w:val="00262D01"/>
    <w:rsid w:val="00264B79"/>
    <w:rsid w:val="002977FB"/>
    <w:rsid w:val="002C365E"/>
    <w:rsid w:val="002C51FD"/>
    <w:rsid w:val="002E51FB"/>
    <w:rsid w:val="002E5BCB"/>
    <w:rsid w:val="002E7E3F"/>
    <w:rsid w:val="003029D8"/>
    <w:rsid w:val="00310A45"/>
    <w:rsid w:val="00316F0E"/>
    <w:rsid w:val="00340931"/>
    <w:rsid w:val="00343FEB"/>
    <w:rsid w:val="00364E40"/>
    <w:rsid w:val="003748A7"/>
    <w:rsid w:val="00375BAD"/>
    <w:rsid w:val="00387665"/>
    <w:rsid w:val="003A27E3"/>
    <w:rsid w:val="003A53AE"/>
    <w:rsid w:val="003A6930"/>
    <w:rsid w:val="003B246D"/>
    <w:rsid w:val="003C4A2A"/>
    <w:rsid w:val="003E0D12"/>
    <w:rsid w:val="003E56EB"/>
    <w:rsid w:val="003E6BC4"/>
    <w:rsid w:val="003F0D0A"/>
    <w:rsid w:val="004112B8"/>
    <w:rsid w:val="00454F00"/>
    <w:rsid w:val="00471CD3"/>
    <w:rsid w:val="004A349D"/>
    <w:rsid w:val="004A666F"/>
    <w:rsid w:val="004C5B4E"/>
    <w:rsid w:val="004D7DBA"/>
    <w:rsid w:val="004E272B"/>
    <w:rsid w:val="00515955"/>
    <w:rsid w:val="00524AB6"/>
    <w:rsid w:val="0053374C"/>
    <w:rsid w:val="00545206"/>
    <w:rsid w:val="005455A3"/>
    <w:rsid w:val="005456E3"/>
    <w:rsid w:val="005622E0"/>
    <w:rsid w:val="00582639"/>
    <w:rsid w:val="00585927"/>
    <w:rsid w:val="00596EA8"/>
    <w:rsid w:val="005A2946"/>
    <w:rsid w:val="005C7487"/>
    <w:rsid w:val="005E2054"/>
    <w:rsid w:val="005E407C"/>
    <w:rsid w:val="005E4729"/>
    <w:rsid w:val="005F3C93"/>
    <w:rsid w:val="005F4064"/>
    <w:rsid w:val="005F5390"/>
    <w:rsid w:val="006007F9"/>
    <w:rsid w:val="00611F1D"/>
    <w:rsid w:val="006922CB"/>
    <w:rsid w:val="0069736C"/>
    <w:rsid w:val="006A7C77"/>
    <w:rsid w:val="006B569B"/>
    <w:rsid w:val="006C3229"/>
    <w:rsid w:val="006D0C06"/>
    <w:rsid w:val="006E3E3C"/>
    <w:rsid w:val="006F71C1"/>
    <w:rsid w:val="0070215B"/>
    <w:rsid w:val="00714FE6"/>
    <w:rsid w:val="00716C09"/>
    <w:rsid w:val="00726959"/>
    <w:rsid w:val="007350FA"/>
    <w:rsid w:val="0074089F"/>
    <w:rsid w:val="007437BC"/>
    <w:rsid w:val="0075048C"/>
    <w:rsid w:val="0075259D"/>
    <w:rsid w:val="007541BB"/>
    <w:rsid w:val="00754736"/>
    <w:rsid w:val="00765D22"/>
    <w:rsid w:val="00772F60"/>
    <w:rsid w:val="00782C0F"/>
    <w:rsid w:val="0078444F"/>
    <w:rsid w:val="00797260"/>
    <w:rsid w:val="007A32C2"/>
    <w:rsid w:val="007A5CCE"/>
    <w:rsid w:val="007A6407"/>
    <w:rsid w:val="007C195C"/>
    <w:rsid w:val="007C218D"/>
    <w:rsid w:val="007D41F5"/>
    <w:rsid w:val="007E2518"/>
    <w:rsid w:val="007E505A"/>
    <w:rsid w:val="007F0782"/>
    <w:rsid w:val="00813A8D"/>
    <w:rsid w:val="00822DA7"/>
    <w:rsid w:val="00842F71"/>
    <w:rsid w:val="00850759"/>
    <w:rsid w:val="00850EC5"/>
    <w:rsid w:val="008706AF"/>
    <w:rsid w:val="008817D7"/>
    <w:rsid w:val="00881FF4"/>
    <w:rsid w:val="00894296"/>
    <w:rsid w:val="008B0F11"/>
    <w:rsid w:val="008B219C"/>
    <w:rsid w:val="008D1804"/>
    <w:rsid w:val="008D6171"/>
    <w:rsid w:val="008E27D3"/>
    <w:rsid w:val="008E2976"/>
    <w:rsid w:val="008F4562"/>
    <w:rsid w:val="00910FA1"/>
    <w:rsid w:val="00913E7A"/>
    <w:rsid w:val="00942A5E"/>
    <w:rsid w:val="009464E5"/>
    <w:rsid w:val="00956202"/>
    <w:rsid w:val="00960A9B"/>
    <w:rsid w:val="00970501"/>
    <w:rsid w:val="009753D5"/>
    <w:rsid w:val="00981770"/>
    <w:rsid w:val="00984E4A"/>
    <w:rsid w:val="009A1727"/>
    <w:rsid w:val="009B28F6"/>
    <w:rsid w:val="009B29C9"/>
    <w:rsid w:val="009C3E1E"/>
    <w:rsid w:val="009E10D6"/>
    <w:rsid w:val="009E1D81"/>
    <w:rsid w:val="009E3DA8"/>
    <w:rsid w:val="009F7E6A"/>
    <w:rsid w:val="00A16A29"/>
    <w:rsid w:val="00A22454"/>
    <w:rsid w:val="00A3171D"/>
    <w:rsid w:val="00A369CB"/>
    <w:rsid w:val="00A42AB9"/>
    <w:rsid w:val="00A43F30"/>
    <w:rsid w:val="00A67D74"/>
    <w:rsid w:val="00A84825"/>
    <w:rsid w:val="00A877BC"/>
    <w:rsid w:val="00A90A68"/>
    <w:rsid w:val="00A91684"/>
    <w:rsid w:val="00AA210D"/>
    <w:rsid w:val="00AA31F2"/>
    <w:rsid w:val="00AC1930"/>
    <w:rsid w:val="00AC37A5"/>
    <w:rsid w:val="00AC7834"/>
    <w:rsid w:val="00AE564E"/>
    <w:rsid w:val="00AF63F8"/>
    <w:rsid w:val="00B03950"/>
    <w:rsid w:val="00B17F36"/>
    <w:rsid w:val="00B2651E"/>
    <w:rsid w:val="00B266FE"/>
    <w:rsid w:val="00B6318B"/>
    <w:rsid w:val="00B65A55"/>
    <w:rsid w:val="00B87BDA"/>
    <w:rsid w:val="00BB1C7C"/>
    <w:rsid w:val="00BC1761"/>
    <w:rsid w:val="00BD7DBE"/>
    <w:rsid w:val="00BF2BC1"/>
    <w:rsid w:val="00C01932"/>
    <w:rsid w:val="00C02F17"/>
    <w:rsid w:val="00C050AD"/>
    <w:rsid w:val="00C07DCD"/>
    <w:rsid w:val="00C16E03"/>
    <w:rsid w:val="00C27C03"/>
    <w:rsid w:val="00C31A5F"/>
    <w:rsid w:val="00C55EAC"/>
    <w:rsid w:val="00C86695"/>
    <w:rsid w:val="00C876FA"/>
    <w:rsid w:val="00C97C66"/>
    <w:rsid w:val="00CA0071"/>
    <w:rsid w:val="00CA212B"/>
    <w:rsid w:val="00CD4B51"/>
    <w:rsid w:val="00CE6B93"/>
    <w:rsid w:val="00CF37FB"/>
    <w:rsid w:val="00D00CC6"/>
    <w:rsid w:val="00D04ED4"/>
    <w:rsid w:val="00D47A71"/>
    <w:rsid w:val="00D57770"/>
    <w:rsid w:val="00D605B9"/>
    <w:rsid w:val="00D6156A"/>
    <w:rsid w:val="00D70FE6"/>
    <w:rsid w:val="00D906BF"/>
    <w:rsid w:val="00D9160A"/>
    <w:rsid w:val="00DA2F30"/>
    <w:rsid w:val="00DB7BD7"/>
    <w:rsid w:val="00DC4F83"/>
    <w:rsid w:val="00DD31CF"/>
    <w:rsid w:val="00DE3024"/>
    <w:rsid w:val="00DE3B8E"/>
    <w:rsid w:val="00E139D7"/>
    <w:rsid w:val="00E247DE"/>
    <w:rsid w:val="00E267EE"/>
    <w:rsid w:val="00E96799"/>
    <w:rsid w:val="00EA2855"/>
    <w:rsid w:val="00EA39F9"/>
    <w:rsid w:val="00EB5A79"/>
    <w:rsid w:val="00EB67C7"/>
    <w:rsid w:val="00EC0A4E"/>
    <w:rsid w:val="00EE13DF"/>
    <w:rsid w:val="00EE2B83"/>
    <w:rsid w:val="00EF72A3"/>
    <w:rsid w:val="00F0399C"/>
    <w:rsid w:val="00F16580"/>
    <w:rsid w:val="00F34A52"/>
    <w:rsid w:val="00F47AB6"/>
    <w:rsid w:val="00F62713"/>
    <w:rsid w:val="00F767E5"/>
    <w:rsid w:val="00F807E9"/>
    <w:rsid w:val="00F96883"/>
    <w:rsid w:val="00FB47F8"/>
    <w:rsid w:val="00FC0C0B"/>
    <w:rsid w:val="00FC5028"/>
    <w:rsid w:val="00FD569E"/>
    <w:rsid w:val="00FF3083"/>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1C0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tr-TR" w:bidi="ar-SA"/>
      </w:rPr>
    </w:rPrDefault>
    <w:pPrDefault>
      <w:pPr>
        <w:spacing w:before="240" w:after="24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line="360" w:lineRule="auto"/>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after="80"/>
      <w:outlineLvl w:val="4"/>
    </w:pPr>
    <w:rPr>
      <w:color w:val="666666"/>
    </w:rPr>
  </w:style>
  <w:style w:type="paragraph" w:styleId="Heading6">
    <w:name w:val="heading 6"/>
    <w:basedOn w:val="Normal"/>
    <w:next w:val="Normal"/>
    <w:pPr>
      <w:keepNext/>
      <w:keepLines/>
      <w:spacing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FD569E"/>
    <w:rPr>
      <w:sz w:val="16"/>
      <w:szCs w:val="16"/>
    </w:rPr>
  </w:style>
  <w:style w:type="paragraph" w:styleId="CommentText">
    <w:name w:val="annotation text"/>
    <w:basedOn w:val="Normal"/>
    <w:link w:val="CommentTextChar"/>
    <w:uiPriority w:val="99"/>
    <w:semiHidden/>
    <w:unhideWhenUsed/>
    <w:rsid w:val="00FD569E"/>
    <w:pPr>
      <w:spacing w:line="240" w:lineRule="auto"/>
    </w:pPr>
    <w:rPr>
      <w:sz w:val="20"/>
      <w:szCs w:val="20"/>
    </w:rPr>
  </w:style>
  <w:style w:type="character" w:customStyle="1" w:styleId="CommentTextChar">
    <w:name w:val="Comment Text Char"/>
    <w:basedOn w:val="DefaultParagraphFont"/>
    <w:link w:val="CommentText"/>
    <w:uiPriority w:val="99"/>
    <w:semiHidden/>
    <w:rsid w:val="00FD569E"/>
    <w:rPr>
      <w:sz w:val="20"/>
      <w:szCs w:val="20"/>
    </w:rPr>
  </w:style>
  <w:style w:type="paragraph" w:styleId="CommentSubject">
    <w:name w:val="annotation subject"/>
    <w:basedOn w:val="CommentText"/>
    <w:next w:val="CommentText"/>
    <w:link w:val="CommentSubjectChar"/>
    <w:uiPriority w:val="99"/>
    <w:semiHidden/>
    <w:unhideWhenUsed/>
    <w:rsid w:val="00FD569E"/>
    <w:rPr>
      <w:b/>
      <w:bCs/>
    </w:rPr>
  </w:style>
  <w:style w:type="character" w:customStyle="1" w:styleId="CommentSubjectChar">
    <w:name w:val="Comment Subject Char"/>
    <w:basedOn w:val="CommentTextChar"/>
    <w:link w:val="CommentSubject"/>
    <w:uiPriority w:val="99"/>
    <w:semiHidden/>
    <w:rsid w:val="00FD569E"/>
    <w:rPr>
      <w:b/>
      <w:bCs/>
      <w:sz w:val="20"/>
      <w:szCs w:val="20"/>
    </w:rPr>
  </w:style>
  <w:style w:type="paragraph" w:styleId="BalloonText">
    <w:name w:val="Balloon Text"/>
    <w:basedOn w:val="Normal"/>
    <w:link w:val="BalloonTextChar"/>
    <w:uiPriority w:val="99"/>
    <w:semiHidden/>
    <w:unhideWhenUsed/>
    <w:rsid w:val="00FD569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69E"/>
    <w:rPr>
      <w:rFonts w:ascii="Segoe UI" w:hAnsi="Segoe UI" w:cs="Segoe UI"/>
      <w:sz w:val="18"/>
      <w:szCs w:val="18"/>
    </w:rPr>
  </w:style>
  <w:style w:type="paragraph" w:styleId="Header">
    <w:name w:val="header"/>
    <w:basedOn w:val="Normal"/>
    <w:link w:val="HeaderChar"/>
    <w:uiPriority w:val="99"/>
    <w:unhideWhenUsed/>
    <w:rsid w:val="00D906B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906BF"/>
  </w:style>
  <w:style w:type="paragraph" w:styleId="Footer">
    <w:name w:val="footer"/>
    <w:basedOn w:val="Normal"/>
    <w:link w:val="FooterChar"/>
    <w:uiPriority w:val="99"/>
    <w:unhideWhenUsed/>
    <w:rsid w:val="00D906B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906BF"/>
  </w:style>
  <w:style w:type="paragraph" w:styleId="Revision">
    <w:name w:val="Revision"/>
    <w:hidden/>
    <w:uiPriority w:val="99"/>
    <w:semiHidden/>
    <w:rsid w:val="00956202"/>
    <w:pPr>
      <w:spacing w:before="0" w:after="0" w:line="240" w:lineRule="auto"/>
      <w:jc w:val="left"/>
    </w:pPr>
  </w:style>
  <w:style w:type="paragraph" w:styleId="FootnoteText">
    <w:name w:val="footnote text"/>
    <w:basedOn w:val="Normal"/>
    <w:link w:val="FootnoteTextChar"/>
    <w:uiPriority w:val="99"/>
    <w:semiHidden/>
    <w:unhideWhenUsed/>
    <w:rsid w:val="00B6318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B6318B"/>
    <w:rPr>
      <w:sz w:val="20"/>
      <w:szCs w:val="20"/>
    </w:rPr>
  </w:style>
  <w:style w:type="character" w:styleId="FootnoteReference">
    <w:name w:val="footnote reference"/>
    <w:basedOn w:val="DefaultParagraphFont"/>
    <w:uiPriority w:val="99"/>
    <w:semiHidden/>
    <w:unhideWhenUsed/>
    <w:rsid w:val="00B6318B"/>
    <w:rPr>
      <w:vertAlign w:val="superscript"/>
    </w:rPr>
  </w:style>
  <w:style w:type="character" w:styleId="Hyperlink">
    <w:name w:val="Hyperlink"/>
    <w:basedOn w:val="DefaultParagraphFont"/>
    <w:uiPriority w:val="99"/>
    <w:unhideWhenUsed/>
    <w:rsid w:val="00DA2F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EF447-9468-4CC5-B305-17637B39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13782</Words>
  <Characters>83672</Characters>
  <Application>Microsoft Office Word</Application>
  <DocSecurity>4</DocSecurity>
  <Lines>697</Lines>
  <Paragraphs>194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2022-08-08T10:48:00Z</dcterms:created>
  <dcterms:modified xsi:type="dcterms:W3CDTF">2022-08-08T10:48:00Z</dcterms:modified>
</cp:coreProperties>
</file>