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999E" w14:textId="2E57CAC1" w:rsidR="00323CE3" w:rsidRPr="00AF1F8A" w:rsidRDefault="00323CE3" w:rsidP="00D276D9">
      <w:pPr>
        <w:spacing w:line="480" w:lineRule="auto"/>
      </w:pPr>
      <w:r w:rsidRPr="00AF1F8A">
        <w:rPr>
          <w:rFonts w:cstheme="minorHAnsi"/>
        </w:rPr>
        <w:t>Quality of life and health status in older adults (</w:t>
      </w:r>
      <w:r w:rsidRPr="00AF1F8A">
        <w:rPr>
          <w:rFonts w:cstheme="minorHAnsi"/>
          <w:u w:val="single"/>
        </w:rPr>
        <w:t>&gt;</w:t>
      </w:r>
      <w:r w:rsidRPr="00AF1F8A">
        <w:rPr>
          <w:rFonts w:cstheme="minorHAnsi"/>
        </w:rPr>
        <w:t xml:space="preserve">65 years) up to five years following colorectal cancer treatment: </w:t>
      </w:r>
      <w:r w:rsidRPr="00AF1F8A">
        <w:t xml:space="preserve">Findings from the </w:t>
      </w:r>
      <w:proofErr w:type="spellStart"/>
      <w:r w:rsidRPr="00AF1F8A">
        <w:t>ColoREctal</w:t>
      </w:r>
      <w:proofErr w:type="spellEnd"/>
      <w:r w:rsidRPr="00AF1F8A">
        <w:t xml:space="preserve"> Wellbeing (CREW) cohort study</w:t>
      </w:r>
    </w:p>
    <w:p w14:paraId="11A94805" w14:textId="77777777" w:rsidR="00296EBE" w:rsidRDefault="00296EBE" w:rsidP="00D276D9">
      <w:pPr>
        <w:spacing w:line="480" w:lineRule="auto"/>
        <w:rPr>
          <w:b/>
        </w:rPr>
      </w:pPr>
    </w:p>
    <w:p w14:paraId="4702BE45" w14:textId="3A82B53A" w:rsidR="00323CE3" w:rsidRPr="005D02FB" w:rsidRDefault="00323CE3" w:rsidP="00D276D9">
      <w:pPr>
        <w:spacing w:after="0" w:line="480" w:lineRule="auto"/>
        <w:rPr>
          <w:rFonts w:cstheme="minorHAnsi"/>
        </w:rPr>
      </w:pPr>
      <w:r>
        <w:rPr>
          <w:rFonts w:cstheme="minorHAnsi"/>
        </w:rPr>
        <w:t>Amanda</w:t>
      </w:r>
      <w:r w:rsidRPr="007E605C">
        <w:rPr>
          <w:rFonts w:cstheme="minorHAnsi"/>
        </w:rPr>
        <w:t xml:space="preserve"> Cummings</w:t>
      </w:r>
      <w:r w:rsidR="00B23894">
        <w:rPr>
          <w:rFonts w:cstheme="minorHAnsi"/>
          <w:vertAlign w:val="superscript"/>
        </w:rPr>
        <w:t>1</w:t>
      </w:r>
      <w:r w:rsidR="00B23894">
        <w:rPr>
          <w:rFonts w:cstheme="minorHAnsi"/>
        </w:rPr>
        <w:t xml:space="preserve">, </w:t>
      </w:r>
      <w:r w:rsidRPr="007E605C">
        <w:rPr>
          <w:rFonts w:cstheme="minorHAnsi"/>
        </w:rPr>
        <w:t>R</w:t>
      </w:r>
      <w:r>
        <w:rPr>
          <w:rFonts w:cstheme="minorHAnsi"/>
        </w:rPr>
        <w:t>ebecca</w:t>
      </w:r>
      <w:r w:rsidRPr="007E605C">
        <w:rPr>
          <w:rFonts w:cstheme="minorHAnsi"/>
        </w:rPr>
        <w:t xml:space="preserve"> Foster</w:t>
      </w:r>
      <w:r w:rsidR="00B23894">
        <w:rPr>
          <w:rFonts w:cstheme="minorHAnsi"/>
          <w:vertAlign w:val="superscript"/>
        </w:rPr>
        <w:t>1</w:t>
      </w:r>
      <w:r w:rsidR="00B23894">
        <w:rPr>
          <w:rFonts w:cstheme="minorHAnsi"/>
        </w:rPr>
        <w:t xml:space="preserve">, </w:t>
      </w:r>
      <w:r w:rsidRPr="007E605C">
        <w:rPr>
          <w:rFonts w:cstheme="minorHAnsi"/>
        </w:rPr>
        <w:t>L</w:t>
      </w:r>
      <w:r>
        <w:rPr>
          <w:rFonts w:cstheme="minorHAnsi"/>
        </w:rPr>
        <w:t>ynn</w:t>
      </w:r>
      <w:r w:rsidRPr="007E605C">
        <w:rPr>
          <w:rFonts w:cstheme="minorHAnsi"/>
        </w:rPr>
        <w:t xml:space="preserve"> Calman</w:t>
      </w:r>
      <w:r>
        <w:rPr>
          <w:rFonts w:cstheme="minorHAnsi"/>
          <w:vertAlign w:val="superscript"/>
        </w:rPr>
        <w:t>1</w:t>
      </w:r>
      <w:r w:rsidR="00B23894">
        <w:rPr>
          <w:rFonts w:cstheme="minorHAnsi"/>
        </w:rPr>
        <w:t xml:space="preserve">, </w:t>
      </w:r>
      <w:hyperlink r:id="rId8" w:history="1"/>
      <w:r w:rsidRPr="00A072A7">
        <w:rPr>
          <w:rFonts w:cstheme="minorHAnsi"/>
        </w:rPr>
        <w:t>Natalia</w:t>
      </w:r>
      <w:r w:rsidRPr="00A072A7">
        <w:rPr>
          <w:rFonts w:cstheme="minorHAnsi"/>
          <w:sz w:val="20"/>
          <w:szCs w:val="20"/>
        </w:rPr>
        <w:t xml:space="preserve"> </w:t>
      </w:r>
      <w:r w:rsidRPr="00A072A7">
        <w:rPr>
          <w:rFonts w:cstheme="minorHAnsi"/>
        </w:rPr>
        <w:t>V</w:t>
      </w:r>
      <w:r>
        <w:rPr>
          <w:rFonts w:cstheme="minorHAnsi"/>
        </w:rPr>
        <w:t>.</w:t>
      </w:r>
      <w:r w:rsidRPr="00A072A7">
        <w:rPr>
          <w:rFonts w:ascii="Lato-Bold" w:hAnsi="Lato-Bold" w:cs="Lato-Bold"/>
          <w:b/>
          <w:bCs/>
        </w:rPr>
        <w:t xml:space="preserve"> </w:t>
      </w:r>
      <w:r w:rsidRPr="00A072A7">
        <w:rPr>
          <w:rFonts w:cstheme="minorHAnsi"/>
        </w:rPr>
        <w:t>Permyakova</w:t>
      </w:r>
      <w:r>
        <w:rPr>
          <w:rFonts w:cstheme="minorHAnsi"/>
          <w:vertAlign w:val="superscript"/>
        </w:rPr>
        <w:t>2,3</w:t>
      </w:r>
      <w:r w:rsidR="00B23894">
        <w:rPr>
          <w:rFonts w:cstheme="minorHAnsi"/>
        </w:rPr>
        <w:t xml:space="preserve">, </w:t>
      </w:r>
      <w:r w:rsidRPr="00A072A7">
        <w:rPr>
          <w:rFonts w:cstheme="minorHAnsi"/>
        </w:rPr>
        <w:t>Jackie Bridges</w:t>
      </w:r>
      <w:r w:rsidRPr="00E670C6">
        <w:rPr>
          <w:rFonts w:cstheme="minorHAnsi"/>
          <w:vertAlign w:val="superscript"/>
        </w:rPr>
        <w:t>4</w:t>
      </w:r>
      <w:r w:rsidR="00B23894">
        <w:rPr>
          <w:rFonts w:cstheme="minorHAnsi"/>
        </w:rPr>
        <w:t xml:space="preserve">, </w:t>
      </w:r>
      <w:r>
        <w:rPr>
          <w:rFonts w:cstheme="minorHAnsi"/>
        </w:rPr>
        <w:t>Theresa</w:t>
      </w:r>
      <w:r w:rsidRPr="007E605C">
        <w:rPr>
          <w:rFonts w:cstheme="minorHAnsi"/>
        </w:rPr>
        <w:t xml:space="preserve"> Wiseman</w:t>
      </w:r>
      <w:r w:rsidRPr="00E670C6">
        <w:rPr>
          <w:rFonts w:cstheme="minorHAnsi"/>
          <w:vertAlign w:val="superscript"/>
        </w:rPr>
        <w:t>5</w:t>
      </w:r>
      <w:r w:rsidR="00B23894">
        <w:rPr>
          <w:rFonts w:cstheme="minorHAnsi"/>
        </w:rPr>
        <w:t xml:space="preserve">, </w:t>
      </w:r>
      <w:r>
        <w:rPr>
          <w:rFonts w:cstheme="minorHAnsi"/>
        </w:rPr>
        <w:t xml:space="preserve">Teresa </w:t>
      </w:r>
      <w:r w:rsidRPr="007E605C">
        <w:rPr>
          <w:rFonts w:cstheme="minorHAnsi"/>
        </w:rPr>
        <w:t>Corbett</w:t>
      </w:r>
      <w:r>
        <w:rPr>
          <w:rFonts w:cstheme="minorHAnsi"/>
          <w:vertAlign w:val="superscript"/>
        </w:rPr>
        <w:t>6</w:t>
      </w:r>
      <w:r w:rsidR="00B23894">
        <w:rPr>
          <w:rFonts w:cstheme="minorHAnsi"/>
        </w:rPr>
        <w:t xml:space="preserve">, </w:t>
      </w:r>
      <w:r w:rsidRPr="00C73111">
        <w:rPr>
          <w:rFonts w:cstheme="minorHAnsi"/>
        </w:rPr>
        <w:t>Peter W. F. Smith</w:t>
      </w:r>
      <w:r>
        <w:rPr>
          <w:rFonts w:cstheme="minorHAnsi"/>
          <w:vertAlign w:val="superscript"/>
        </w:rPr>
        <w:t>7</w:t>
      </w:r>
      <w:r w:rsidR="00B23894">
        <w:rPr>
          <w:rFonts w:cstheme="minorHAnsi"/>
        </w:rPr>
        <w:t xml:space="preserve">, </w:t>
      </w:r>
      <w:r>
        <w:rPr>
          <w:rFonts w:cstheme="minorHAnsi"/>
        </w:rPr>
        <w:t xml:space="preserve">Claire </w:t>
      </w:r>
      <w:r w:rsidRPr="007E605C">
        <w:rPr>
          <w:rFonts w:cstheme="minorHAnsi"/>
        </w:rPr>
        <w:t>Foster</w:t>
      </w:r>
      <w:r>
        <w:rPr>
          <w:rFonts w:cstheme="minorHAnsi"/>
          <w:vertAlign w:val="superscript"/>
        </w:rPr>
        <w:t>1</w:t>
      </w:r>
      <w:r w:rsidR="00DB2D79">
        <w:rPr>
          <w:rFonts w:cstheme="minorHAnsi"/>
          <w:vertAlign w:val="superscript"/>
        </w:rPr>
        <w:t>*</w:t>
      </w:r>
      <w:r>
        <w:rPr>
          <w:rFonts w:cstheme="minorHAnsi"/>
        </w:rPr>
        <w:t xml:space="preserve"> </w:t>
      </w:r>
    </w:p>
    <w:p w14:paraId="4F4A2F56" w14:textId="77777777" w:rsidR="00323CE3" w:rsidRDefault="00323CE3" w:rsidP="00D276D9">
      <w:pPr>
        <w:spacing w:after="0" w:line="480" w:lineRule="auto"/>
        <w:rPr>
          <w:rFonts w:ascii="Times New Roman" w:eastAsiaTheme="minorEastAsia" w:hAnsi="Times New Roman" w:cs="Times New Roman"/>
          <w:noProof/>
        </w:rPr>
      </w:pPr>
    </w:p>
    <w:p w14:paraId="6C06E103" w14:textId="77777777" w:rsidR="00323CE3" w:rsidRPr="00E670C6" w:rsidRDefault="00323CE3" w:rsidP="00D276D9">
      <w:pPr>
        <w:spacing w:after="0" w:line="480" w:lineRule="auto"/>
        <w:rPr>
          <w:rFonts w:cstheme="minorHAnsi"/>
        </w:rPr>
      </w:pPr>
      <w:r w:rsidRPr="00E670C6">
        <w:rPr>
          <w:rFonts w:cstheme="minorHAnsi"/>
          <w:vertAlign w:val="superscript"/>
        </w:rPr>
        <w:t xml:space="preserve">1 </w:t>
      </w:r>
      <w:r w:rsidRPr="00E670C6">
        <w:rPr>
          <w:rFonts w:cstheme="minorHAnsi"/>
        </w:rPr>
        <w:t xml:space="preserve">Macmillan Survivorship Research Group, School of Health Sciences, University of Southampton, Southampton, UK.  </w:t>
      </w:r>
    </w:p>
    <w:p w14:paraId="5EF32A12" w14:textId="77777777" w:rsidR="00323CE3" w:rsidRPr="00C60A1D" w:rsidRDefault="00323CE3" w:rsidP="00D276D9">
      <w:pPr>
        <w:pStyle w:val="CommentText"/>
        <w:spacing w:after="0" w:line="480" w:lineRule="auto"/>
        <w:rPr>
          <w:rFonts w:cstheme="minorHAnsi"/>
          <w:sz w:val="22"/>
          <w:szCs w:val="22"/>
        </w:rPr>
      </w:pPr>
      <w:r w:rsidRPr="00E670C6">
        <w:rPr>
          <w:sz w:val="22"/>
          <w:szCs w:val="22"/>
          <w:vertAlign w:val="superscript"/>
        </w:rPr>
        <w:t>2</w:t>
      </w:r>
      <w:r>
        <w:rPr>
          <w:sz w:val="22"/>
          <w:szCs w:val="22"/>
          <w:vertAlign w:val="superscript"/>
        </w:rPr>
        <w:t xml:space="preserve"> </w:t>
      </w:r>
      <w:r w:rsidRPr="00E670C6">
        <w:rPr>
          <w:sz w:val="22"/>
          <w:szCs w:val="22"/>
        </w:rPr>
        <w:t xml:space="preserve">Southampton Clinical </w:t>
      </w:r>
      <w:r w:rsidRPr="00C60A1D">
        <w:rPr>
          <w:rFonts w:cstheme="minorHAnsi"/>
          <w:sz w:val="22"/>
          <w:szCs w:val="22"/>
        </w:rPr>
        <w:t>Trials Unit, Faculty of Medicine, University of Southampton, UK.</w:t>
      </w:r>
    </w:p>
    <w:p w14:paraId="31A1E9A7" w14:textId="77777777" w:rsidR="00323CE3" w:rsidRPr="00C60A1D" w:rsidRDefault="00323CE3" w:rsidP="00D276D9">
      <w:pPr>
        <w:pStyle w:val="CommentText"/>
        <w:spacing w:after="0" w:line="480" w:lineRule="auto"/>
        <w:rPr>
          <w:rFonts w:cstheme="minorHAnsi"/>
          <w:sz w:val="22"/>
          <w:szCs w:val="22"/>
        </w:rPr>
      </w:pPr>
      <w:r w:rsidRPr="00C60A1D">
        <w:rPr>
          <w:rFonts w:cstheme="minorHAnsi"/>
          <w:sz w:val="22"/>
          <w:szCs w:val="22"/>
          <w:vertAlign w:val="superscript"/>
        </w:rPr>
        <w:t xml:space="preserve">3 </w:t>
      </w:r>
      <w:r w:rsidRPr="00C60A1D">
        <w:rPr>
          <w:rFonts w:cstheme="minorHAnsi"/>
          <w:sz w:val="22"/>
          <w:szCs w:val="22"/>
        </w:rPr>
        <w:t>NIHR Research Design Service South Central, Faculty of Medicine, University of Southampton, UK.</w:t>
      </w:r>
    </w:p>
    <w:p w14:paraId="2B8D81D6" w14:textId="77777777" w:rsidR="00323CE3" w:rsidRPr="00C60A1D" w:rsidRDefault="00323CE3" w:rsidP="00D276D9">
      <w:pPr>
        <w:spacing w:after="0" w:line="480" w:lineRule="auto"/>
        <w:rPr>
          <w:rFonts w:cstheme="minorHAnsi"/>
          <w:vertAlign w:val="superscript"/>
        </w:rPr>
      </w:pPr>
      <w:r w:rsidRPr="00C60A1D">
        <w:rPr>
          <w:rFonts w:cstheme="minorHAnsi"/>
          <w:vertAlign w:val="superscript"/>
        </w:rPr>
        <w:t>4</w:t>
      </w:r>
      <w:r w:rsidRPr="00C60A1D">
        <w:rPr>
          <w:rFonts w:cstheme="minorHAnsi"/>
        </w:rPr>
        <w:t xml:space="preserve"> NIHR ARC Wessex,</w:t>
      </w:r>
      <w:r w:rsidRPr="00C60A1D">
        <w:rPr>
          <w:rFonts w:cstheme="minorHAnsi"/>
          <w:b/>
        </w:rPr>
        <w:t xml:space="preserve"> </w:t>
      </w:r>
      <w:r w:rsidRPr="00C60A1D">
        <w:rPr>
          <w:rFonts w:cstheme="minorHAnsi"/>
        </w:rPr>
        <w:t>School of Health Sciences, University of Southampton, Southampton, UK.</w:t>
      </w:r>
    </w:p>
    <w:p w14:paraId="6EBAC43C" w14:textId="77777777" w:rsidR="00323CE3" w:rsidRPr="00C60A1D" w:rsidRDefault="00323CE3" w:rsidP="00D276D9">
      <w:pPr>
        <w:spacing w:after="0" w:line="480" w:lineRule="auto"/>
        <w:rPr>
          <w:rFonts w:eastAsiaTheme="minorEastAsia" w:cstheme="minorHAnsi"/>
          <w:noProof/>
        </w:rPr>
      </w:pPr>
      <w:r w:rsidRPr="00C60A1D">
        <w:rPr>
          <w:rFonts w:eastAsiaTheme="minorEastAsia" w:cstheme="minorHAnsi"/>
          <w:noProof/>
          <w:vertAlign w:val="superscript"/>
        </w:rPr>
        <w:t xml:space="preserve">5 </w:t>
      </w:r>
      <w:r w:rsidRPr="00C60A1D">
        <w:rPr>
          <w:rFonts w:eastAsiaTheme="minorEastAsia" w:cstheme="minorHAnsi"/>
          <w:noProof/>
        </w:rPr>
        <w:t>The Royal Marsden NHS Foundation Trust and University of Southampton, UK.</w:t>
      </w:r>
    </w:p>
    <w:p w14:paraId="0E07154E" w14:textId="77777777" w:rsidR="00323CE3" w:rsidRPr="00C60A1D" w:rsidRDefault="00323CE3" w:rsidP="00D276D9">
      <w:pPr>
        <w:shd w:val="clear" w:color="auto" w:fill="FFFFFF"/>
        <w:spacing w:after="0" w:line="480" w:lineRule="auto"/>
        <w:textAlignment w:val="baseline"/>
        <w:rPr>
          <w:rFonts w:eastAsiaTheme="minorEastAsia" w:cstheme="minorHAnsi"/>
          <w:noProof/>
        </w:rPr>
      </w:pPr>
      <w:r w:rsidRPr="00C60A1D">
        <w:rPr>
          <w:rFonts w:eastAsiaTheme="minorEastAsia" w:cstheme="minorHAnsi"/>
          <w:noProof/>
          <w:vertAlign w:val="superscript"/>
        </w:rPr>
        <w:t>6</w:t>
      </w:r>
      <w:r w:rsidRPr="00C60A1D">
        <w:rPr>
          <w:rFonts w:eastAsiaTheme="minorEastAsia" w:cstheme="minorHAnsi"/>
          <w:noProof/>
        </w:rPr>
        <w:t xml:space="preserve"> </w:t>
      </w:r>
      <w:r w:rsidRPr="00C60A1D">
        <w:rPr>
          <w:rFonts w:cstheme="minorHAnsi"/>
          <w:color w:val="000000"/>
          <w:bdr w:val="none" w:sz="0" w:space="0" w:color="auto" w:frame="1"/>
        </w:rPr>
        <w:t>Faculty of Sport, Health, &amp; Social Sciences, Solent University, Southampton, UK</w:t>
      </w:r>
      <w:r>
        <w:rPr>
          <w:rFonts w:cstheme="minorHAnsi"/>
          <w:color w:val="000000"/>
          <w:bdr w:val="none" w:sz="0" w:space="0" w:color="auto" w:frame="1"/>
        </w:rPr>
        <w:t>.</w:t>
      </w:r>
    </w:p>
    <w:p w14:paraId="40C90D34" w14:textId="5F8F4519" w:rsidR="00323CE3" w:rsidRDefault="00323CE3" w:rsidP="00D276D9">
      <w:pPr>
        <w:autoSpaceDE w:val="0"/>
        <w:autoSpaceDN w:val="0"/>
        <w:adjustRightInd w:val="0"/>
        <w:spacing w:after="0" w:line="480" w:lineRule="auto"/>
        <w:rPr>
          <w:rFonts w:cstheme="minorHAnsi"/>
        </w:rPr>
      </w:pPr>
      <w:r w:rsidRPr="00C60A1D">
        <w:rPr>
          <w:rFonts w:cstheme="minorHAnsi"/>
          <w:vertAlign w:val="superscript"/>
        </w:rPr>
        <w:t xml:space="preserve">7 </w:t>
      </w:r>
      <w:r w:rsidRPr="00C60A1D">
        <w:rPr>
          <w:rFonts w:cstheme="minorHAnsi"/>
        </w:rPr>
        <w:t>Social Statistics and Demography, Social Sciences, University of Southampton, Southampton, UK.</w:t>
      </w:r>
    </w:p>
    <w:p w14:paraId="165ACC9E" w14:textId="34687888" w:rsidR="00B23894" w:rsidRDefault="00B23894" w:rsidP="00D276D9">
      <w:pPr>
        <w:autoSpaceDE w:val="0"/>
        <w:autoSpaceDN w:val="0"/>
        <w:adjustRightInd w:val="0"/>
        <w:spacing w:after="0" w:line="480" w:lineRule="auto"/>
        <w:rPr>
          <w:rFonts w:cstheme="minorHAnsi"/>
        </w:rPr>
      </w:pPr>
    </w:p>
    <w:p w14:paraId="6D790BB5" w14:textId="77777777" w:rsidR="00B23894" w:rsidRDefault="00B23894" w:rsidP="00B23894">
      <w:pPr>
        <w:autoSpaceDE w:val="0"/>
        <w:autoSpaceDN w:val="0"/>
        <w:adjustRightInd w:val="0"/>
        <w:spacing w:after="0" w:line="480" w:lineRule="auto"/>
      </w:pPr>
      <w:r>
        <w:rPr>
          <w:rFonts w:cstheme="minorHAnsi"/>
        </w:rPr>
        <w:t>*</w:t>
      </w:r>
      <w:r w:rsidRPr="00075E76">
        <w:rPr>
          <w:rFonts w:cstheme="minorHAnsi"/>
        </w:rPr>
        <w:t>Corresponding Author</w:t>
      </w:r>
      <w:r>
        <w:t xml:space="preserve"> </w:t>
      </w:r>
    </w:p>
    <w:p w14:paraId="26E4B68D" w14:textId="7E6C17DC" w:rsidR="00B23894" w:rsidRPr="00075E76" w:rsidRDefault="00B23894">
      <w:pPr>
        <w:autoSpaceDE w:val="0"/>
        <w:autoSpaceDN w:val="0"/>
        <w:adjustRightInd w:val="0"/>
        <w:spacing w:after="0" w:line="480" w:lineRule="auto"/>
        <w:rPr>
          <w:rFonts w:cstheme="minorHAnsi"/>
        </w:rPr>
      </w:pPr>
      <w:r>
        <w:t xml:space="preserve">Email:  </w:t>
      </w:r>
      <w:r w:rsidR="00762F90" w:rsidRPr="00762F90">
        <w:rPr>
          <w:rFonts w:cstheme="minorHAnsi"/>
        </w:rPr>
        <w:t>C.L.Foster@soton.ac.uk</w:t>
      </w:r>
      <w:r w:rsidRPr="00075E76">
        <w:rPr>
          <w:rFonts w:cstheme="minorHAnsi"/>
        </w:rPr>
        <w:t xml:space="preserve"> </w:t>
      </w:r>
      <w:r w:rsidR="00DB2D79">
        <w:rPr>
          <w:rFonts w:cstheme="minorHAnsi"/>
        </w:rPr>
        <w:t>(CF)</w:t>
      </w:r>
    </w:p>
    <w:p w14:paraId="7DD52CDA" w14:textId="77777777" w:rsidR="00B23894" w:rsidRDefault="00B23894" w:rsidP="00D276D9">
      <w:pPr>
        <w:spacing w:line="480" w:lineRule="auto"/>
        <w:rPr>
          <w:rFonts w:cstheme="minorHAnsi"/>
          <w:b/>
          <w:bCs/>
          <w:sz w:val="36"/>
          <w:szCs w:val="36"/>
        </w:rPr>
      </w:pPr>
    </w:p>
    <w:p w14:paraId="43A6092A" w14:textId="7D5A68E0" w:rsidR="00B23894" w:rsidRDefault="00B23894" w:rsidP="00D276D9">
      <w:pPr>
        <w:spacing w:line="480" w:lineRule="auto"/>
        <w:rPr>
          <w:rFonts w:cstheme="minorHAnsi"/>
          <w:b/>
          <w:bCs/>
          <w:sz w:val="36"/>
          <w:szCs w:val="36"/>
        </w:rPr>
      </w:pPr>
    </w:p>
    <w:p w14:paraId="10766053" w14:textId="285A08E0" w:rsidR="00765419" w:rsidRDefault="00765419" w:rsidP="00D276D9">
      <w:pPr>
        <w:spacing w:line="480" w:lineRule="auto"/>
        <w:rPr>
          <w:rFonts w:cstheme="minorHAnsi"/>
          <w:b/>
          <w:bCs/>
          <w:sz w:val="36"/>
          <w:szCs w:val="36"/>
        </w:rPr>
      </w:pPr>
    </w:p>
    <w:p w14:paraId="2113401C" w14:textId="77777777" w:rsidR="00765419" w:rsidRDefault="00765419" w:rsidP="00D276D9">
      <w:pPr>
        <w:spacing w:line="480" w:lineRule="auto"/>
        <w:rPr>
          <w:rFonts w:cstheme="minorHAnsi"/>
          <w:b/>
          <w:bCs/>
          <w:sz w:val="36"/>
          <w:szCs w:val="36"/>
        </w:rPr>
      </w:pPr>
    </w:p>
    <w:p w14:paraId="023537F2" w14:textId="2C85D778" w:rsidR="00323CE3" w:rsidRPr="00AF1F8A" w:rsidRDefault="00323CE3" w:rsidP="00D276D9">
      <w:pPr>
        <w:spacing w:line="480" w:lineRule="auto"/>
        <w:rPr>
          <w:rFonts w:cstheme="minorHAnsi"/>
          <w:b/>
          <w:bCs/>
          <w:sz w:val="36"/>
          <w:szCs w:val="36"/>
        </w:rPr>
      </w:pPr>
      <w:r w:rsidRPr="00AF1F8A">
        <w:rPr>
          <w:rFonts w:cstheme="minorHAnsi"/>
          <w:b/>
          <w:bCs/>
          <w:sz w:val="36"/>
          <w:szCs w:val="36"/>
        </w:rPr>
        <w:lastRenderedPageBreak/>
        <w:t>Abstract</w:t>
      </w:r>
    </w:p>
    <w:p w14:paraId="4EAFEA72" w14:textId="58FDCD97" w:rsidR="00323CE3" w:rsidRDefault="00323CE3" w:rsidP="00D276D9">
      <w:pPr>
        <w:spacing w:line="480" w:lineRule="auto"/>
        <w:rPr>
          <w:rFonts w:cstheme="minorHAnsi"/>
        </w:rPr>
      </w:pPr>
      <w:r>
        <w:rPr>
          <w:rFonts w:cstheme="minorHAnsi"/>
        </w:rPr>
        <w:t xml:space="preserve">Objective:  Colorectal cancer (CRC) is </w:t>
      </w:r>
      <w:r>
        <w:rPr>
          <w:rFonts w:cstheme="minorHAnsi"/>
          <w:lang w:val="en"/>
        </w:rPr>
        <w:t>common in</w:t>
      </w:r>
      <w:r w:rsidRPr="007E605C">
        <w:rPr>
          <w:rFonts w:cstheme="minorHAnsi"/>
          <w:lang w:val="en"/>
        </w:rPr>
        <w:t xml:space="preserve"> older adults,</w:t>
      </w:r>
      <w:r>
        <w:rPr>
          <w:rFonts w:cstheme="minorHAnsi"/>
          <w:lang w:val="en"/>
        </w:rPr>
        <w:t xml:space="preserve"> </w:t>
      </w:r>
      <w:r>
        <w:t>with more</w:t>
      </w:r>
      <w:r w:rsidRPr="62CBA459">
        <w:rPr>
          <w:lang w:val="en"/>
        </w:rPr>
        <w:t xml:space="preserve"> than </w:t>
      </w:r>
      <w:r w:rsidR="001B499B">
        <w:rPr>
          <w:lang w:val="en"/>
        </w:rPr>
        <w:t>7</w:t>
      </w:r>
      <w:r w:rsidR="001B499B" w:rsidRPr="62CBA459">
        <w:rPr>
          <w:lang w:val="en"/>
        </w:rPr>
        <w:t>0</w:t>
      </w:r>
      <w:r w:rsidRPr="62CBA459">
        <w:rPr>
          <w:lang w:val="en"/>
        </w:rPr>
        <w:t>% of</w:t>
      </w:r>
      <w:r>
        <w:rPr>
          <w:lang w:val="en"/>
        </w:rPr>
        <w:t xml:space="preserve"> </w:t>
      </w:r>
      <w:r w:rsidRPr="62CBA459">
        <w:rPr>
          <w:lang w:val="en"/>
        </w:rPr>
        <w:t xml:space="preserve">diagnoses in people aged </w:t>
      </w:r>
      <w:r w:rsidRPr="002D2C64">
        <w:rPr>
          <w:u w:val="single"/>
          <w:lang w:val="en"/>
        </w:rPr>
        <w:t>&gt;</w:t>
      </w:r>
      <w:r w:rsidR="00A45021">
        <w:rPr>
          <w:lang w:val="en"/>
        </w:rPr>
        <w:t>65</w:t>
      </w:r>
      <w:r w:rsidR="00A45021" w:rsidRPr="62CBA459">
        <w:rPr>
          <w:lang w:val="en"/>
        </w:rPr>
        <w:t xml:space="preserve"> </w:t>
      </w:r>
      <w:r>
        <w:rPr>
          <w:lang w:val="en"/>
        </w:rPr>
        <w:t xml:space="preserve">years.  </w:t>
      </w:r>
      <w:r>
        <w:rPr>
          <w:rFonts w:cstheme="minorHAnsi"/>
          <w:lang w:val="en"/>
        </w:rPr>
        <w:t xml:space="preserve">Despite this, </w:t>
      </w:r>
      <w:r w:rsidRPr="007E605C">
        <w:rPr>
          <w:rFonts w:cstheme="minorHAnsi"/>
          <w:lang w:val="en"/>
        </w:rPr>
        <w:t xml:space="preserve">there is a knowledge gap regarding longer-term outcomes </w:t>
      </w:r>
      <w:r>
        <w:rPr>
          <w:rFonts w:cstheme="minorHAnsi"/>
          <w:lang w:val="en"/>
        </w:rPr>
        <w:t>in this population</w:t>
      </w:r>
      <w:r w:rsidRPr="00186510">
        <w:rPr>
          <w:b/>
          <w:bCs/>
          <w:lang w:val="en"/>
        </w:rPr>
        <w:t>.</w:t>
      </w:r>
      <w:r>
        <w:rPr>
          <w:b/>
          <w:bCs/>
          <w:lang w:val="en"/>
        </w:rPr>
        <w:t xml:space="preserve">  </w:t>
      </w:r>
      <w:r w:rsidRPr="009E433E">
        <w:rPr>
          <w:lang w:val="en"/>
        </w:rPr>
        <w:t>Here</w:t>
      </w:r>
      <w:r>
        <w:rPr>
          <w:lang w:val="en"/>
        </w:rPr>
        <w:t>,</w:t>
      </w:r>
      <w:r w:rsidRPr="009E433E">
        <w:rPr>
          <w:lang w:val="en"/>
        </w:rPr>
        <w:t xml:space="preserve"> we</w:t>
      </w:r>
      <w:r>
        <w:rPr>
          <w:b/>
          <w:bCs/>
          <w:lang w:val="en"/>
        </w:rPr>
        <w:t xml:space="preserve"> </w:t>
      </w:r>
      <w:r w:rsidRPr="00A60F0A">
        <w:rPr>
          <w:rFonts w:cstheme="minorHAnsi"/>
        </w:rPr>
        <w:t xml:space="preserve">identify </w:t>
      </w:r>
      <w:r>
        <w:rPr>
          <w:rFonts w:cstheme="minorHAnsi"/>
        </w:rPr>
        <w:t xml:space="preserve">those </w:t>
      </w:r>
      <w:r w:rsidRPr="00A60F0A">
        <w:rPr>
          <w:rFonts w:cstheme="minorHAnsi"/>
        </w:rPr>
        <w:t xml:space="preserve">older people </w:t>
      </w:r>
      <w:r>
        <w:rPr>
          <w:rFonts w:cstheme="minorHAnsi"/>
        </w:rPr>
        <w:t xml:space="preserve">most at risk </w:t>
      </w:r>
      <w:r w:rsidRPr="00A60F0A">
        <w:rPr>
          <w:rFonts w:cstheme="minorHAnsi"/>
        </w:rPr>
        <w:t>of poor quality of life (QoL) and health status</w:t>
      </w:r>
      <w:r>
        <w:rPr>
          <w:rFonts w:cstheme="minorHAnsi"/>
        </w:rPr>
        <w:t xml:space="preserve"> </w:t>
      </w:r>
      <w:r w:rsidRPr="00A60F0A">
        <w:rPr>
          <w:rFonts w:cstheme="minorHAnsi"/>
        </w:rPr>
        <w:t xml:space="preserve">in the five years </w:t>
      </w:r>
      <w:r>
        <w:rPr>
          <w:rFonts w:cstheme="minorHAnsi"/>
        </w:rPr>
        <w:t>following</w:t>
      </w:r>
      <w:r w:rsidRPr="00A60F0A">
        <w:rPr>
          <w:rFonts w:cstheme="minorHAnsi"/>
        </w:rPr>
        <w:t xml:space="preserve"> </w:t>
      </w:r>
      <w:r>
        <w:rPr>
          <w:rFonts w:cstheme="minorHAnsi"/>
        </w:rPr>
        <w:t xml:space="preserve">CRC </w:t>
      </w:r>
      <w:r w:rsidRPr="00A60F0A">
        <w:rPr>
          <w:rFonts w:cstheme="minorHAnsi"/>
        </w:rPr>
        <w:t>treatment.</w:t>
      </w:r>
    </w:p>
    <w:p w14:paraId="4DC205B6" w14:textId="77777777" w:rsidR="00323CE3" w:rsidRPr="009E433E" w:rsidRDefault="00323CE3" w:rsidP="00D276D9">
      <w:pPr>
        <w:spacing w:line="480" w:lineRule="auto"/>
        <w:rPr>
          <w:rFonts w:cstheme="minorHAnsi"/>
        </w:rPr>
      </w:pPr>
      <w:r>
        <w:rPr>
          <w:rFonts w:cstheme="minorHAnsi"/>
        </w:rPr>
        <w:t>Materials and m</w:t>
      </w:r>
      <w:r w:rsidRPr="00A60F0A">
        <w:rPr>
          <w:rFonts w:cstheme="minorHAnsi"/>
        </w:rPr>
        <w:t xml:space="preserve">ethods:  CREW is a UK longitudinal cohort study investigating factors associated with health and wellbeing </w:t>
      </w:r>
      <w:r>
        <w:rPr>
          <w:rFonts w:cstheme="minorHAnsi"/>
        </w:rPr>
        <w:t xml:space="preserve">recovery </w:t>
      </w:r>
      <w:r w:rsidRPr="00A60F0A">
        <w:rPr>
          <w:rFonts w:cstheme="minorHAnsi"/>
        </w:rPr>
        <w:t>following curative</w:t>
      </w:r>
      <w:r>
        <w:rPr>
          <w:rFonts w:cstheme="minorHAnsi"/>
        </w:rPr>
        <w:t>-</w:t>
      </w:r>
      <w:r w:rsidRPr="00A60F0A">
        <w:rPr>
          <w:rFonts w:cstheme="minorHAnsi"/>
        </w:rPr>
        <w:t xml:space="preserve">intent CRC surgery. </w:t>
      </w:r>
      <w:r>
        <w:rPr>
          <w:rFonts w:cstheme="minorHAnsi"/>
        </w:rPr>
        <w:t>Participants completed self-report q</w:t>
      </w:r>
      <w:r w:rsidRPr="00A60F0A">
        <w:rPr>
          <w:rFonts w:cstheme="minorHAnsi"/>
        </w:rPr>
        <w:t>uestionnaires</w:t>
      </w:r>
      <w:r>
        <w:rPr>
          <w:rFonts w:cstheme="minorHAnsi"/>
        </w:rPr>
        <w:t xml:space="preserve"> </w:t>
      </w:r>
      <w:r w:rsidRPr="00A60F0A">
        <w:rPr>
          <w:rFonts w:cstheme="minorHAnsi"/>
        </w:rPr>
        <w:t>pre-surgery, then at</w:t>
      </w:r>
      <w:r>
        <w:rPr>
          <w:rFonts w:cstheme="minorHAnsi"/>
        </w:rPr>
        <w:t xml:space="preserve"> least annually up to five years</w:t>
      </w:r>
      <w:r w:rsidRPr="00A60F0A">
        <w:rPr>
          <w:rFonts w:cstheme="minorHAnsi"/>
        </w:rPr>
        <w:t>.</w:t>
      </w:r>
      <w:r>
        <w:rPr>
          <w:rFonts w:cstheme="minorHAnsi"/>
        </w:rPr>
        <w:t xml:space="preserve">  </w:t>
      </w:r>
      <w:r w:rsidRPr="00A60F0A">
        <w:rPr>
          <w:rFonts w:cstheme="minorHAnsi"/>
        </w:rPr>
        <w:t xml:space="preserve">Longitudinal analyses explored the prevalence and pre-surgery risk factors of poor </w:t>
      </w:r>
      <w:r>
        <w:rPr>
          <w:rFonts w:cstheme="minorHAnsi"/>
        </w:rPr>
        <w:t xml:space="preserve">QoL (QLACS-GSS) and </w:t>
      </w:r>
      <w:r w:rsidRPr="00A60F0A">
        <w:rPr>
          <w:rFonts w:cstheme="minorHAnsi"/>
        </w:rPr>
        <w:t>health status (EQ-5D: presence/absence of problems in five domains) in older (</w:t>
      </w:r>
      <w:r w:rsidRPr="00A60F0A">
        <w:rPr>
          <w:rFonts w:cstheme="minorHAnsi"/>
          <w:u w:val="single"/>
        </w:rPr>
        <w:t>&gt;</w:t>
      </w:r>
      <w:r w:rsidRPr="00A60F0A">
        <w:rPr>
          <w:rFonts w:cstheme="minorHAnsi"/>
        </w:rPr>
        <w:t>65</w:t>
      </w:r>
      <w:r>
        <w:rPr>
          <w:rFonts w:cstheme="minorHAnsi"/>
        </w:rPr>
        <w:t xml:space="preserve"> </w:t>
      </w:r>
      <w:r w:rsidRPr="00A60F0A">
        <w:rPr>
          <w:rFonts w:cstheme="minorHAnsi"/>
        </w:rPr>
        <w:t>year</w:t>
      </w:r>
      <w:r>
        <w:rPr>
          <w:rFonts w:cstheme="minorHAnsi"/>
        </w:rPr>
        <w:t>s</w:t>
      </w:r>
      <w:r w:rsidRPr="00A60F0A">
        <w:rPr>
          <w:rFonts w:cstheme="minorHAnsi"/>
        </w:rPr>
        <w:t xml:space="preserve">) participants over </w:t>
      </w:r>
      <w:r>
        <w:rPr>
          <w:rFonts w:cstheme="minorHAnsi"/>
        </w:rPr>
        <w:t>five</w:t>
      </w:r>
      <w:r w:rsidRPr="00A60F0A">
        <w:rPr>
          <w:rFonts w:cstheme="minorHAnsi"/>
        </w:rPr>
        <w:t xml:space="preserve"> years.</w:t>
      </w:r>
    </w:p>
    <w:p w14:paraId="2761EFFC" w14:textId="77777777" w:rsidR="00323CE3" w:rsidRDefault="00323CE3" w:rsidP="00D276D9">
      <w:pPr>
        <w:spacing w:line="480" w:lineRule="auto"/>
      </w:pPr>
      <w:r w:rsidRPr="00A60F0A">
        <w:rPr>
          <w:rFonts w:cstheme="minorHAnsi"/>
        </w:rPr>
        <w:t>Results:</w:t>
      </w:r>
      <w:r>
        <w:rPr>
          <w:rFonts w:cstheme="minorHAnsi"/>
        </w:rPr>
        <w:t xml:space="preserve">  </w:t>
      </w:r>
      <w:r w:rsidRPr="00A60F0A">
        <w:rPr>
          <w:rFonts w:cstheme="minorHAnsi"/>
        </w:rPr>
        <w:t xml:space="preserve">501 participants aged </w:t>
      </w:r>
      <w:r w:rsidRPr="00A60F0A">
        <w:rPr>
          <w:rFonts w:cstheme="minorHAnsi"/>
          <w:u w:val="single"/>
        </w:rPr>
        <w:t>&gt;</w:t>
      </w:r>
      <w:r w:rsidRPr="00A60F0A">
        <w:rPr>
          <w:rFonts w:cstheme="minorHAnsi"/>
        </w:rPr>
        <w:t xml:space="preserve">65years completed questionnaires pre-surgery; 45% completed questionnaires </w:t>
      </w:r>
      <w:r>
        <w:rPr>
          <w:rFonts w:cstheme="minorHAnsi"/>
        </w:rPr>
        <w:t>five</w:t>
      </w:r>
      <w:r w:rsidRPr="00A60F0A">
        <w:rPr>
          <w:rFonts w:cstheme="minorHAnsi"/>
        </w:rPr>
        <w:t xml:space="preserve"> years later.</w:t>
      </w:r>
      <w:r>
        <w:rPr>
          <w:rFonts w:cstheme="minorHAnsi"/>
        </w:rPr>
        <w:t xml:space="preserve">  </w:t>
      </w:r>
      <w:r>
        <w:t>Oldest-old participants (</w:t>
      </w:r>
      <w:r w:rsidRPr="00FE3F65">
        <w:rPr>
          <w:u w:val="single"/>
        </w:rPr>
        <w:t>&gt;</w:t>
      </w:r>
      <w:r>
        <w:t xml:space="preserve">80 years) reported poorer QoL (18% higher QLACS-GSS) and 2-4 times higher odds of having problems with mobility or usual activities, compared with the youngest-old (65-69 years) over follow-up.  </w:t>
      </w:r>
      <w:r>
        <w:rPr>
          <w:rFonts w:cstheme="minorHAnsi"/>
        </w:rPr>
        <w:t xml:space="preserve">Baseline higher </w:t>
      </w:r>
      <w:r>
        <w:t xml:space="preserve">self-efficacy was significantly associated with better QoL (10-30% lower QLACS-GSS scores compared to those with low self-efficacy) and lower odds of problems in all </w:t>
      </w:r>
      <w:r>
        <w:rPr>
          <w:rFonts w:cstheme="minorHAnsi"/>
        </w:rPr>
        <w:t>EQ-5D domains</w:t>
      </w:r>
      <w:r>
        <w:t>.  Adequate social support was significantly associated with better QoL (8% lower QLACS-GSS) and lower odds of</w:t>
      </w:r>
      <w:r w:rsidRPr="003B69ED">
        <w:rPr>
          <w:rFonts w:cstheme="minorHAnsi"/>
          <w:lang w:val="en-US"/>
        </w:rPr>
        <w:t xml:space="preserve"> problems with </w:t>
      </w:r>
      <w:r>
        <w:rPr>
          <w:rFonts w:cstheme="minorHAnsi"/>
          <w:lang w:val="en-US"/>
        </w:rPr>
        <w:t xml:space="preserve">usual activities (OR=0.62) </w:t>
      </w:r>
      <w:r w:rsidRPr="003B69ED">
        <w:rPr>
          <w:rFonts w:cstheme="minorHAnsi"/>
          <w:lang w:val="en-US"/>
        </w:rPr>
        <w:t>and anxiety/depression</w:t>
      </w:r>
      <w:r>
        <w:rPr>
          <w:rFonts w:cstheme="minorHAnsi"/>
          <w:lang w:val="en-US"/>
        </w:rPr>
        <w:t xml:space="preserve"> (OR=0.56)</w:t>
      </w:r>
      <w:r>
        <w:t xml:space="preserve">.  </w:t>
      </w:r>
    </w:p>
    <w:p w14:paraId="73405A5B" w14:textId="77777777" w:rsidR="00323CE3" w:rsidRDefault="00323CE3" w:rsidP="00D276D9">
      <w:pPr>
        <w:spacing w:line="480" w:lineRule="auto"/>
        <w:rPr>
          <w:rFonts w:cstheme="minorHAnsi"/>
          <w:b/>
          <w:bCs/>
        </w:rPr>
      </w:pPr>
      <w:r w:rsidRPr="00A60F0A">
        <w:rPr>
          <w:rFonts w:cstheme="minorHAnsi"/>
        </w:rPr>
        <w:t>Conclusion:</w:t>
      </w:r>
      <w:r>
        <w:rPr>
          <w:rFonts w:cstheme="minorHAnsi"/>
        </w:rPr>
        <w:t xml:space="preserve">  </w:t>
      </w:r>
      <w:r>
        <w:t>There are important differences in QoL and health status outcomes for the oldest-old during CRC recovery.  CREW reveals pre-surgery risk factors that are amenable to intervention including self-efficacy and social support.</w:t>
      </w:r>
    </w:p>
    <w:p w14:paraId="0A6545C1" w14:textId="3861DB1B" w:rsidR="00323CE3" w:rsidRDefault="00323CE3" w:rsidP="00D276D9">
      <w:pPr>
        <w:spacing w:line="480" w:lineRule="auto"/>
        <w:rPr>
          <w:rFonts w:cstheme="minorHAnsi"/>
          <w:b/>
          <w:bCs/>
        </w:rPr>
      </w:pPr>
    </w:p>
    <w:p w14:paraId="1D1F6A16" w14:textId="7E781C0C" w:rsidR="00D276D9" w:rsidRDefault="00D276D9" w:rsidP="00D276D9">
      <w:pPr>
        <w:spacing w:line="480" w:lineRule="auto"/>
        <w:rPr>
          <w:rFonts w:cstheme="minorHAnsi"/>
          <w:b/>
          <w:bCs/>
        </w:rPr>
      </w:pPr>
    </w:p>
    <w:p w14:paraId="60D8F0C4" w14:textId="77777777" w:rsidR="00D276D9" w:rsidRDefault="00D276D9" w:rsidP="00D276D9">
      <w:pPr>
        <w:spacing w:line="480" w:lineRule="auto"/>
        <w:rPr>
          <w:rFonts w:cstheme="minorHAnsi"/>
          <w:b/>
          <w:u w:val="single"/>
          <w:lang w:val="en"/>
        </w:rPr>
      </w:pPr>
    </w:p>
    <w:p w14:paraId="6A31A9EB" w14:textId="77777777" w:rsidR="00323CE3" w:rsidRPr="00AF1F8A" w:rsidRDefault="00323CE3" w:rsidP="00D276D9">
      <w:pPr>
        <w:spacing w:line="480" w:lineRule="auto"/>
        <w:rPr>
          <w:rFonts w:cstheme="minorHAnsi"/>
          <w:b/>
          <w:bCs/>
          <w:sz w:val="36"/>
          <w:szCs w:val="36"/>
        </w:rPr>
      </w:pPr>
      <w:r w:rsidRPr="00AF1F8A">
        <w:rPr>
          <w:rFonts w:cstheme="minorHAnsi"/>
          <w:b/>
          <w:bCs/>
          <w:sz w:val="36"/>
          <w:szCs w:val="36"/>
        </w:rPr>
        <w:t>Introduction</w:t>
      </w:r>
    </w:p>
    <w:p w14:paraId="0E508E0A" w14:textId="15198F17" w:rsidR="00323CE3" w:rsidRPr="007E605C" w:rsidRDefault="00323CE3" w:rsidP="00D276D9">
      <w:pPr>
        <w:spacing w:line="480" w:lineRule="auto"/>
        <w:rPr>
          <w:lang w:val="en"/>
        </w:rPr>
      </w:pPr>
      <w:r w:rsidRPr="62CBA459">
        <w:t xml:space="preserve">Colorectal cancer (CRC) is the third most common cancer worldwide and one of the </w:t>
      </w:r>
      <w:r w:rsidRPr="62CBA459">
        <w:rPr>
          <w:lang w:val="en"/>
        </w:rPr>
        <w:t>most commonly diagnosed malignancies in the older population</w:t>
      </w:r>
      <w:r w:rsidR="00274C75">
        <w:rPr>
          <w:noProof/>
        </w:rPr>
        <w:t xml:space="preserve"> [</w:t>
      </w:r>
      <w:r>
        <w:rPr>
          <w:noProof/>
        </w:rPr>
        <w:t>1, 2</w:t>
      </w:r>
      <w:r w:rsidR="00274C75">
        <w:rPr>
          <w:noProof/>
        </w:rPr>
        <w:t>]</w:t>
      </w:r>
      <w:r>
        <w:t xml:space="preserve">.  </w:t>
      </w:r>
      <w:r w:rsidRPr="62CBA459">
        <w:rPr>
          <w:lang w:val="en"/>
        </w:rPr>
        <w:t xml:space="preserve">In the UK, more than </w:t>
      </w:r>
      <w:r w:rsidR="001B499B">
        <w:rPr>
          <w:lang w:val="en"/>
        </w:rPr>
        <w:t>7</w:t>
      </w:r>
      <w:r w:rsidRPr="62CBA459">
        <w:rPr>
          <w:lang w:val="en"/>
        </w:rPr>
        <w:t xml:space="preserve">0% of CRC diagnoses occur in people aged </w:t>
      </w:r>
      <w:r w:rsidR="00611A0F" w:rsidRPr="00EF136D">
        <w:rPr>
          <w:rFonts w:cstheme="minorHAnsi"/>
          <w:u w:val="single"/>
        </w:rPr>
        <w:t>&gt;</w:t>
      </w:r>
      <w:r w:rsidR="00611A0F">
        <w:rPr>
          <w:rFonts w:cstheme="minorHAnsi"/>
        </w:rPr>
        <w:t xml:space="preserve">65 </w:t>
      </w:r>
      <w:r w:rsidR="00274C75">
        <w:rPr>
          <w:noProof/>
          <w:lang w:val="en"/>
        </w:rPr>
        <w:t>[</w:t>
      </w:r>
      <w:r>
        <w:rPr>
          <w:noProof/>
          <w:lang w:val="en"/>
        </w:rPr>
        <w:t>3</w:t>
      </w:r>
      <w:r w:rsidR="00274C75">
        <w:rPr>
          <w:noProof/>
          <w:lang w:val="en"/>
        </w:rPr>
        <w:t>]</w:t>
      </w:r>
      <w:r w:rsidRPr="62CBA459">
        <w:rPr>
          <w:lang w:val="en"/>
        </w:rPr>
        <w:t xml:space="preserve">.  With increasing survival rates (57% surviving </w:t>
      </w:r>
      <w:r w:rsidRPr="62CBA459">
        <w:rPr>
          <w:u w:val="single"/>
          <w:lang w:val="en"/>
        </w:rPr>
        <w:t>&gt;</w:t>
      </w:r>
      <w:r w:rsidRPr="62CBA459">
        <w:rPr>
          <w:lang w:val="en"/>
        </w:rPr>
        <w:t>10 years) in an ageing population, almost two thirds of people living with and beyond</w:t>
      </w:r>
      <w:r>
        <w:rPr>
          <w:lang w:val="en"/>
        </w:rPr>
        <w:t xml:space="preserve"> </w:t>
      </w:r>
      <w:r w:rsidRPr="62CBA459">
        <w:rPr>
          <w:lang w:val="en"/>
        </w:rPr>
        <w:t>(referred to herein as ‘living with’) cancer are aged over 65 years</w:t>
      </w:r>
      <w:r w:rsidR="00274C75">
        <w:rPr>
          <w:lang w:val="en"/>
        </w:rPr>
        <w:t xml:space="preserve"> </w:t>
      </w:r>
      <w:r w:rsidR="00274C75">
        <w:rPr>
          <w:noProof/>
          <w:lang w:val="en"/>
        </w:rPr>
        <w:t>[</w:t>
      </w:r>
      <w:r>
        <w:rPr>
          <w:noProof/>
          <w:lang w:val="en"/>
        </w:rPr>
        <w:t>4, 5</w:t>
      </w:r>
      <w:r w:rsidR="00274C75">
        <w:rPr>
          <w:noProof/>
          <w:lang w:val="en"/>
        </w:rPr>
        <w:t>]</w:t>
      </w:r>
      <w:r w:rsidRPr="62CBA459">
        <w:rPr>
          <w:lang w:val="en"/>
        </w:rPr>
        <w:t>.</w:t>
      </w:r>
    </w:p>
    <w:p w14:paraId="4365DE2A" w14:textId="72798551" w:rsidR="00323CE3" w:rsidRDefault="00323CE3" w:rsidP="00D276D9">
      <w:pPr>
        <w:spacing w:after="0" w:line="480" w:lineRule="auto"/>
        <w:rPr>
          <w:rFonts w:cstheme="minorHAnsi"/>
          <w:lang w:val="en"/>
        </w:rPr>
      </w:pPr>
      <w:r>
        <w:t>Current e</w:t>
      </w:r>
      <w:r w:rsidRPr="43792D12">
        <w:t xml:space="preserve">vidence shows that older adults </w:t>
      </w:r>
      <w:r>
        <w:t>after cancer diagnosis</w:t>
      </w:r>
      <w:r w:rsidRPr="43792D12">
        <w:t xml:space="preserve"> report poorer QoL and </w:t>
      </w:r>
      <w:r w:rsidRPr="43792D12">
        <w:rPr>
          <w:lang w:val="en"/>
        </w:rPr>
        <w:t>health status</w:t>
      </w:r>
      <w:r w:rsidRPr="43792D12">
        <w:t xml:space="preserve"> compared to older adults without a cancer diagnosis</w:t>
      </w:r>
      <w:r w:rsidR="00274C75">
        <w:t xml:space="preserve"> </w:t>
      </w:r>
      <w:r w:rsidR="00274C75">
        <w:rPr>
          <w:noProof/>
          <w:lang w:val="en"/>
        </w:rPr>
        <w:t>[</w:t>
      </w:r>
      <w:r>
        <w:rPr>
          <w:noProof/>
          <w:lang w:val="en"/>
        </w:rPr>
        <w:t>6-10</w:t>
      </w:r>
      <w:r w:rsidR="00274C75">
        <w:rPr>
          <w:noProof/>
          <w:lang w:val="en"/>
        </w:rPr>
        <w:t>]</w:t>
      </w:r>
      <w:r>
        <w:rPr>
          <w:lang w:val="en"/>
        </w:rPr>
        <w:t xml:space="preserve">.  </w:t>
      </w:r>
      <w:r w:rsidRPr="43792D12">
        <w:rPr>
          <w:lang w:val="en"/>
        </w:rPr>
        <w:t xml:space="preserve">Similarly, in breast cancer, newly diagnosed older </w:t>
      </w:r>
      <w:r>
        <w:rPr>
          <w:lang w:val="en"/>
        </w:rPr>
        <w:t>women</w:t>
      </w:r>
      <w:r w:rsidRPr="43792D12">
        <w:rPr>
          <w:lang w:val="en"/>
        </w:rPr>
        <w:t xml:space="preserve"> report poorer functioning than younger counterparts</w:t>
      </w:r>
      <w:r w:rsidR="00274C75">
        <w:rPr>
          <w:noProof/>
          <w:lang w:val="en"/>
        </w:rPr>
        <w:t xml:space="preserve"> [</w:t>
      </w:r>
      <w:r>
        <w:rPr>
          <w:noProof/>
          <w:lang w:val="en"/>
        </w:rPr>
        <w:t>6</w:t>
      </w:r>
      <w:r w:rsidR="00274C75">
        <w:rPr>
          <w:noProof/>
          <w:lang w:val="en"/>
        </w:rPr>
        <w:t>]</w:t>
      </w:r>
      <w:r w:rsidRPr="43792D12">
        <w:rPr>
          <w:lang w:val="en"/>
        </w:rPr>
        <w:t xml:space="preserve">.  In order to improve outcomes, research into older </w:t>
      </w:r>
      <w:r>
        <w:rPr>
          <w:lang w:val="en"/>
        </w:rPr>
        <w:t>adults</w:t>
      </w:r>
      <w:r w:rsidRPr="43792D12">
        <w:rPr>
          <w:lang w:val="en"/>
        </w:rPr>
        <w:t xml:space="preserve"> living with CRC is needed to identify individuals at greatest risk of poorer health and wellbeing over time</w:t>
      </w:r>
      <w:r w:rsidR="005600ED">
        <w:rPr>
          <w:noProof/>
          <w:lang w:val="en"/>
        </w:rPr>
        <w:t xml:space="preserve"> [</w:t>
      </w:r>
      <w:r>
        <w:rPr>
          <w:noProof/>
          <w:lang w:val="en"/>
        </w:rPr>
        <w:t>7</w:t>
      </w:r>
      <w:r w:rsidR="005600ED">
        <w:rPr>
          <w:noProof/>
          <w:lang w:val="en"/>
        </w:rPr>
        <w:t>]</w:t>
      </w:r>
      <w:r w:rsidRPr="43792D12">
        <w:rPr>
          <w:lang w:val="en"/>
        </w:rPr>
        <w:t>.</w:t>
      </w:r>
      <w:r>
        <w:rPr>
          <w:lang w:val="en"/>
        </w:rPr>
        <w:t xml:space="preserve">  However, d</w:t>
      </w:r>
      <w:r w:rsidRPr="007E605C">
        <w:rPr>
          <w:rFonts w:cstheme="minorHAnsi"/>
          <w:lang w:val="en"/>
        </w:rPr>
        <w:t>espite</w:t>
      </w:r>
      <w:r>
        <w:rPr>
          <w:rFonts w:cstheme="minorHAnsi"/>
          <w:lang w:val="en"/>
        </w:rPr>
        <w:t xml:space="preserve"> </w:t>
      </w:r>
      <w:r w:rsidRPr="007E605C">
        <w:rPr>
          <w:rFonts w:cstheme="minorHAnsi"/>
          <w:lang w:val="en"/>
        </w:rPr>
        <w:t xml:space="preserve">being the fastest growing age group </w:t>
      </w:r>
      <w:r>
        <w:rPr>
          <w:rFonts w:cstheme="minorHAnsi"/>
          <w:lang w:val="en"/>
        </w:rPr>
        <w:t xml:space="preserve">living with cancer, </w:t>
      </w:r>
      <w:r w:rsidRPr="007E605C">
        <w:rPr>
          <w:rFonts w:cstheme="minorHAnsi"/>
          <w:lang w:val="en"/>
        </w:rPr>
        <w:t>the predominance of older people</w:t>
      </w:r>
      <w:r>
        <w:rPr>
          <w:rFonts w:cstheme="minorHAnsi"/>
          <w:lang w:val="en"/>
        </w:rPr>
        <w:t xml:space="preserve"> </w:t>
      </w:r>
      <w:r w:rsidRPr="007E605C">
        <w:rPr>
          <w:rFonts w:cstheme="minorHAnsi"/>
          <w:lang w:val="en"/>
        </w:rPr>
        <w:t xml:space="preserve">is </w:t>
      </w:r>
      <w:r>
        <w:rPr>
          <w:rFonts w:cstheme="minorHAnsi"/>
          <w:lang w:val="en"/>
        </w:rPr>
        <w:t xml:space="preserve">often </w:t>
      </w:r>
      <w:r w:rsidRPr="007E605C">
        <w:rPr>
          <w:rFonts w:cstheme="minorHAnsi"/>
          <w:lang w:val="en"/>
        </w:rPr>
        <w:t>not reflected in current research</w:t>
      </w:r>
      <w:r w:rsidR="005600ED">
        <w:rPr>
          <w:rFonts w:cstheme="minorHAnsi"/>
          <w:lang w:val="en"/>
        </w:rPr>
        <w:t xml:space="preserve"> </w:t>
      </w:r>
      <w:r w:rsidR="005600ED">
        <w:rPr>
          <w:rFonts w:cstheme="minorHAnsi"/>
          <w:noProof/>
          <w:lang w:val="en"/>
        </w:rPr>
        <w:t>[</w:t>
      </w:r>
      <w:r>
        <w:rPr>
          <w:rFonts w:cstheme="minorHAnsi"/>
          <w:noProof/>
          <w:lang w:val="en"/>
        </w:rPr>
        <w:t>11</w:t>
      </w:r>
      <w:r w:rsidR="005600ED">
        <w:rPr>
          <w:rFonts w:cstheme="minorHAnsi"/>
          <w:noProof/>
          <w:lang w:val="en"/>
        </w:rPr>
        <w:t>]</w:t>
      </w:r>
      <w:r>
        <w:rPr>
          <w:rFonts w:cstheme="minorHAnsi"/>
          <w:lang w:val="en"/>
        </w:rPr>
        <w:t xml:space="preserve">.  This under-representation has limited our </w:t>
      </w:r>
      <w:r w:rsidRPr="007E605C">
        <w:rPr>
          <w:rFonts w:cstheme="minorHAnsi"/>
          <w:lang w:val="en"/>
        </w:rPr>
        <w:t xml:space="preserve">understanding of their </w:t>
      </w:r>
      <w:r>
        <w:rPr>
          <w:rFonts w:cstheme="minorHAnsi"/>
          <w:lang w:val="en"/>
        </w:rPr>
        <w:t>distinct</w:t>
      </w:r>
      <w:r w:rsidRPr="007E605C">
        <w:rPr>
          <w:rFonts w:cstheme="minorHAnsi"/>
          <w:lang w:val="en"/>
        </w:rPr>
        <w:t xml:space="preserve"> needs, </w:t>
      </w:r>
      <w:r>
        <w:rPr>
          <w:rFonts w:cstheme="minorHAnsi"/>
          <w:lang w:val="en"/>
        </w:rPr>
        <w:t xml:space="preserve">resulting in </w:t>
      </w:r>
      <w:r w:rsidRPr="007E605C">
        <w:rPr>
          <w:rFonts w:cstheme="minorHAnsi"/>
          <w:lang w:val="en"/>
        </w:rPr>
        <w:t xml:space="preserve">deficiencies in </w:t>
      </w:r>
      <w:r>
        <w:rPr>
          <w:rFonts w:cstheme="minorHAnsi"/>
          <w:lang w:val="en"/>
        </w:rPr>
        <w:t xml:space="preserve">tailored </w:t>
      </w:r>
      <w:r w:rsidRPr="007E605C">
        <w:rPr>
          <w:rFonts w:cstheme="minorHAnsi"/>
          <w:lang w:val="en"/>
        </w:rPr>
        <w:t>intervention development and support for this growing population</w:t>
      </w:r>
      <w:r w:rsidR="005600ED">
        <w:rPr>
          <w:rFonts w:cstheme="minorHAnsi"/>
          <w:noProof/>
          <w:lang w:val="en"/>
        </w:rPr>
        <w:t xml:space="preserve"> [</w:t>
      </w:r>
      <w:r>
        <w:rPr>
          <w:rFonts w:cstheme="minorHAnsi"/>
          <w:noProof/>
          <w:lang w:val="en"/>
        </w:rPr>
        <w:t>9, 12</w:t>
      </w:r>
      <w:r w:rsidR="005600ED">
        <w:rPr>
          <w:rFonts w:cstheme="minorHAnsi"/>
          <w:noProof/>
          <w:lang w:val="en"/>
        </w:rPr>
        <w:t>]</w:t>
      </w:r>
      <w:r w:rsidRPr="007E605C">
        <w:rPr>
          <w:rFonts w:cstheme="minorHAnsi"/>
          <w:lang w:val="en"/>
        </w:rPr>
        <w:t xml:space="preserve">.  </w:t>
      </w:r>
      <w:r>
        <w:rPr>
          <w:rFonts w:cstheme="minorHAnsi"/>
          <w:lang w:val="en"/>
        </w:rPr>
        <w:t xml:space="preserve">As a result, older people, often with additional </w:t>
      </w:r>
      <w:r w:rsidRPr="007E605C">
        <w:rPr>
          <w:rFonts w:cstheme="minorHAnsi"/>
          <w:lang w:val="en"/>
        </w:rPr>
        <w:t>complicat</w:t>
      </w:r>
      <w:r>
        <w:rPr>
          <w:rFonts w:cstheme="minorHAnsi"/>
          <w:lang w:val="en"/>
        </w:rPr>
        <w:t>ions caused by</w:t>
      </w:r>
      <w:r w:rsidRPr="007E605C">
        <w:rPr>
          <w:rFonts w:cstheme="minorHAnsi"/>
          <w:lang w:val="en"/>
        </w:rPr>
        <w:t xml:space="preserve"> altered physiology,</w:t>
      </w:r>
      <w:r>
        <w:rPr>
          <w:rFonts w:cstheme="minorHAnsi"/>
          <w:lang w:val="en"/>
        </w:rPr>
        <w:t xml:space="preserve"> </w:t>
      </w:r>
      <w:r w:rsidRPr="007E605C">
        <w:rPr>
          <w:rFonts w:cstheme="minorHAnsi"/>
          <w:lang w:val="en"/>
        </w:rPr>
        <w:t>multimorbidity</w:t>
      </w:r>
      <w:r>
        <w:rPr>
          <w:rFonts w:cstheme="minorHAnsi"/>
          <w:lang w:val="en"/>
        </w:rPr>
        <w:t>,</w:t>
      </w:r>
      <w:r w:rsidRPr="007E605C">
        <w:rPr>
          <w:rFonts w:cstheme="minorHAnsi"/>
          <w:lang w:val="en"/>
        </w:rPr>
        <w:t xml:space="preserve"> functi</w:t>
      </w:r>
      <w:r>
        <w:rPr>
          <w:rFonts w:cstheme="minorHAnsi"/>
          <w:lang w:val="en"/>
        </w:rPr>
        <w:t>onal and cognitive impairments</w:t>
      </w:r>
      <w:r w:rsidRPr="007E605C">
        <w:rPr>
          <w:rFonts w:cstheme="minorHAnsi"/>
          <w:lang w:val="en"/>
        </w:rPr>
        <w:t xml:space="preserve">, are often </w:t>
      </w:r>
      <w:r>
        <w:rPr>
          <w:rFonts w:cstheme="minorHAnsi"/>
          <w:lang w:val="en"/>
        </w:rPr>
        <w:t>inadequately</w:t>
      </w:r>
      <w:r w:rsidRPr="007E605C">
        <w:rPr>
          <w:rFonts w:cstheme="minorHAnsi"/>
          <w:lang w:val="en"/>
        </w:rPr>
        <w:t xml:space="preserve"> supported by healthcare</w:t>
      </w:r>
      <w:r w:rsidR="005600ED">
        <w:rPr>
          <w:rFonts w:cstheme="minorHAnsi"/>
          <w:lang w:val="en"/>
        </w:rPr>
        <w:t xml:space="preserve"> </w:t>
      </w:r>
      <w:r w:rsidR="005600ED">
        <w:rPr>
          <w:rFonts w:cstheme="minorHAnsi"/>
          <w:noProof/>
          <w:lang w:val="en"/>
        </w:rPr>
        <w:t>[</w:t>
      </w:r>
      <w:r>
        <w:rPr>
          <w:rFonts w:cstheme="minorHAnsi"/>
          <w:noProof/>
          <w:lang w:val="en"/>
        </w:rPr>
        <w:t>9, 13</w:t>
      </w:r>
      <w:r w:rsidR="005600ED">
        <w:rPr>
          <w:rFonts w:cstheme="minorHAnsi"/>
          <w:noProof/>
          <w:lang w:val="en"/>
        </w:rPr>
        <w:t>]</w:t>
      </w:r>
      <w:r w:rsidRPr="007E605C">
        <w:rPr>
          <w:rFonts w:cstheme="minorHAnsi"/>
          <w:lang w:val="en"/>
        </w:rPr>
        <w:t>.</w:t>
      </w:r>
      <w:r>
        <w:rPr>
          <w:rFonts w:cstheme="minorHAnsi"/>
          <w:lang w:val="en"/>
        </w:rPr>
        <w:t xml:space="preserve">  </w:t>
      </w:r>
      <w:r w:rsidRPr="007E605C">
        <w:rPr>
          <w:rFonts w:cstheme="minorHAnsi"/>
          <w:lang w:val="en"/>
        </w:rPr>
        <w:t>It has been suggested that the long</w:t>
      </w:r>
      <w:r w:rsidRPr="007E605C">
        <w:rPr>
          <w:rFonts w:cstheme="minorHAnsi"/>
        </w:rPr>
        <w:t>-term effects of cancer</w:t>
      </w:r>
      <w:r>
        <w:rPr>
          <w:rFonts w:cstheme="minorHAnsi"/>
        </w:rPr>
        <w:t xml:space="preserve"> </w:t>
      </w:r>
      <w:r w:rsidRPr="007E605C">
        <w:rPr>
          <w:rFonts w:cstheme="minorHAnsi"/>
        </w:rPr>
        <w:t>alongside the physical and psychosocial changes associated with ageing, may</w:t>
      </w:r>
      <w:r>
        <w:rPr>
          <w:rFonts w:cstheme="minorHAnsi"/>
        </w:rPr>
        <w:t xml:space="preserve"> exacerbate</w:t>
      </w:r>
      <w:r w:rsidRPr="007E605C">
        <w:rPr>
          <w:rFonts w:cstheme="minorHAnsi"/>
        </w:rPr>
        <w:t xml:space="preserve"> problems </w:t>
      </w:r>
      <w:r>
        <w:rPr>
          <w:rFonts w:cstheme="minorHAnsi"/>
        </w:rPr>
        <w:t>for</w:t>
      </w:r>
      <w:r w:rsidRPr="007E605C">
        <w:rPr>
          <w:rFonts w:cstheme="minorHAnsi"/>
        </w:rPr>
        <w:t xml:space="preserve"> older people</w:t>
      </w:r>
      <w:r w:rsidR="005600ED">
        <w:rPr>
          <w:rFonts w:cstheme="minorHAnsi"/>
        </w:rPr>
        <w:t xml:space="preserve"> </w:t>
      </w:r>
      <w:r w:rsidR="005600ED">
        <w:rPr>
          <w:rFonts w:cstheme="minorHAnsi"/>
          <w:noProof/>
        </w:rPr>
        <w:t>[</w:t>
      </w:r>
      <w:r>
        <w:rPr>
          <w:rFonts w:cstheme="minorHAnsi"/>
          <w:noProof/>
        </w:rPr>
        <w:t>11</w:t>
      </w:r>
      <w:r w:rsidR="005600ED">
        <w:rPr>
          <w:rFonts w:cstheme="minorHAnsi"/>
          <w:noProof/>
        </w:rPr>
        <w:t>]</w:t>
      </w:r>
      <w:r w:rsidRPr="007E605C">
        <w:rPr>
          <w:rFonts w:cstheme="minorHAnsi"/>
        </w:rPr>
        <w:t>.</w:t>
      </w:r>
      <w:r w:rsidRPr="007E605C">
        <w:rPr>
          <w:rFonts w:cstheme="minorHAnsi"/>
          <w:lang w:val="en"/>
        </w:rPr>
        <w:t xml:space="preserve">   However, there is </w:t>
      </w:r>
      <w:r>
        <w:rPr>
          <w:rFonts w:cstheme="minorHAnsi"/>
          <w:lang w:val="en"/>
        </w:rPr>
        <w:t>limited evidence</w:t>
      </w:r>
      <w:r w:rsidRPr="007E605C">
        <w:rPr>
          <w:rFonts w:cstheme="minorHAnsi"/>
          <w:lang w:val="en"/>
        </w:rPr>
        <w:t xml:space="preserve"> regarding </w:t>
      </w:r>
      <w:r>
        <w:rPr>
          <w:rFonts w:cstheme="minorHAnsi"/>
          <w:lang w:val="en"/>
        </w:rPr>
        <w:t xml:space="preserve">their </w:t>
      </w:r>
      <w:r w:rsidRPr="007E605C">
        <w:rPr>
          <w:rFonts w:cstheme="minorHAnsi"/>
          <w:lang w:val="en"/>
        </w:rPr>
        <w:t xml:space="preserve">longer-term </w:t>
      </w:r>
      <w:r>
        <w:rPr>
          <w:rFonts w:cstheme="minorHAnsi"/>
          <w:lang w:val="en"/>
        </w:rPr>
        <w:t>QoL and functioning</w:t>
      </w:r>
      <w:r w:rsidRPr="007E605C">
        <w:rPr>
          <w:rFonts w:cstheme="minorHAnsi"/>
          <w:lang w:val="en"/>
        </w:rPr>
        <w:t xml:space="preserve"> outcomes</w:t>
      </w:r>
      <w:r w:rsidR="005600ED">
        <w:rPr>
          <w:rFonts w:cstheme="minorHAnsi"/>
          <w:lang w:val="en"/>
        </w:rPr>
        <w:t xml:space="preserve"> </w:t>
      </w:r>
      <w:r w:rsidR="005600ED">
        <w:rPr>
          <w:rFonts w:cstheme="minorHAnsi"/>
          <w:noProof/>
          <w:lang w:val="en"/>
        </w:rPr>
        <w:t>[</w:t>
      </w:r>
      <w:r>
        <w:rPr>
          <w:rFonts w:cstheme="minorHAnsi"/>
          <w:noProof/>
          <w:lang w:val="en"/>
        </w:rPr>
        <w:t>14-16</w:t>
      </w:r>
      <w:r w:rsidR="005600ED">
        <w:rPr>
          <w:rFonts w:cstheme="minorHAnsi"/>
          <w:noProof/>
          <w:lang w:val="en"/>
        </w:rPr>
        <w:t>]</w:t>
      </w:r>
      <w:r>
        <w:rPr>
          <w:rFonts w:cstheme="minorHAnsi"/>
        </w:rPr>
        <w:t>; including</w:t>
      </w:r>
      <w:r w:rsidRPr="007E605C">
        <w:rPr>
          <w:rFonts w:cstheme="minorHAnsi"/>
        </w:rPr>
        <w:t xml:space="preserve"> </w:t>
      </w:r>
      <w:r>
        <w:rPr>
          <w:rFonts w:cstheme="minorHAnsi"/>
        </w:rPr>
        <w:t>who is</w:t>
      </w:r>
      <w:r w:rsidRPr="007E605C">
        <w:rPr>
          <w:rFonts w:cstheme="minorHAnsi"/>
        </w:rPr>
        <w:t xml:space="preserve"> </w:t>
      </w:r>
      <w:r w:rsidRPr="007E605C">
        <w:rPr>
          <w:rFonts w:cstheme="minorHAnsi"/>
          <w:lang w:val="en"/>
        </w:rPr>
        <w:t>at greatest risk of poor health and wellbeing outcomes</w:t>
      </w:r>
      <w:r w:rsidR="005600ED">
        <w:rPr>
          <w:rFonts w:cstheme="minorHAnsi"/>
          <w:lang w:val="en"/>
        </w:rPr>
        <w:t xml:space="preserve"> </w:t>
      </w:r>
      <w:r w:rsidR="005600ED">
        <w:rPr>
          <w:rFonts w:cstheme="minorHAnsi"/>
          <w:noProof/>
          <w:lang w:val="en"/>
        </w:rPr>
        <w:t>[</w:t>
      </w:r>
      <w:r>
        <w:rPr>
          <w:rFonts w:cstheme="minorHAnsi"/>
          <w:noProof/>
          <w:lang w:val="en"/>
        </w:rPr>
        <w:t>9, 14</w:t>
      </w:r>
      <w:r w:rsidR="005600ED">
        <w:rPr>
          <w:rFonts w:cstheme="minorHAnsi"/>
          <w:noProof/>
          <w:lang w:val="en"/>
        </w:rPr>
        <w:t>]</w:t>
      </w:r>
      <w:r w:rsidRPr="007E605C">
        <w:rPr>
          <w:rFonts w:cstheme="minorHAnsi"/>
          <w:lang w:val="en"/>
        </w:rPr>
        <w:t xml:space="preserve">.  </w:t>
      </w:r>
      <w:r>
        <w:rPr>
          <w:rFonts w:cstheme="minorHAnsi"/>
          <w:lang w:val="en"/>
        </w:rPr>
        <w:t>Understanding the specific issues faced by older adults and i</w:t>
      </w:r>
      <w:r w:rsidRPr="007E605C">
        <w:rPr>
          <w:rFonts w:cstheme="minorHAnsi"/>
          <w:lang w:val="en"/>
        </w:rPr>
        <w:t xml:space="preserve">mproving </w:t>
      </w:r>
      <w:r>
        <w:rPr>
          <w:rFonts w:cstheme="minorHAnsi"/>
          <w:lang w:val="en"/>
        </w:rPr>
        <w:t xml:space="preserve">their </w:t>
      </w:r>
      <w:r w:rsidRPr="007E605C">
        <w:rPr>
          <w:rFonts w:cstheme="minorHAnsi"/>
          <w:lang w:val="en"/>
        </w:rPr>
        <w:t xml:space="preserve">quality of </w:t>
      </w:r>
      <w:r>
        <w:rPr>
          <w:rFonts w:cstheme="minorHAnsi"/>
          <w:lang w:val="en"/>
        </w:rPr>
        <w:t>life (Qo</w:t>
      </w:r>
      <w:r w:rsidRPr="007E605C">
        <w:rPr>
          <w:rFonts w:cstheme="minorHAnsi"/>
          <w:lang w:val="en"/>
        </w:rPr>
        <w:t>L)</w:t>
      </w:r>
      <w:r>
        <w:rPr>
          <w:rFonts w:cstheme="minorHAnsi"/>
          <w:lang w:val="en"/>
        </w:rPr>
        <w:t xml:space="preserve">, are globally </w:t>
      </w:r>
      <w:proofErr w:type="spellStart"/>
      <w:r>
        <w:rPr>
          <w:rFonts w:cstheme="minorHAnsi"/>
          <w:lang w:val="en"/>
        </w:rPr>
        <w:t>recognised</w:t>
      </w:r>
      <w:proofErr w:type="spellEnd"/>
      <w:r>
        <w:rPr>
          <w:rFonts w:cstheme="minorHAnsi"/>
          <w:lang w:val="en"/>
        </w:rPr>
        <w:t xml:space="preserve"> </w:t>
      </w:r>
      <w:r w:rsidRPr="007E605C">
        <w:rPr>
          <w:rFonts w:cstheme="minorHAnsi"/>
        </w:rPr>
        <w:t>research priorit</w:t>
      </w:r>
      <w:r>
        <w:rPr>
          <w:rFonts w:cstheme="minorHAnsi"/>
        </w:rPr>
        <w:t>ies</w:t>
      </w:r>
      <w:r w:rsidR="005600ED">
        <w:rPr>
          <w:rFonts w:cstheme="minorHAnsi"/>
        </w:rPr>
        <w:t xml:space="preserve"> </w:t>
      </w:r>
      <w:r w:rsidR="005600ED">
        <w:rPr>
          <w:rFonts w:cstheme="minorHAnsi"/>
          <w:noProof/>
        </w:rPr>
        <w:t>[</w:t>
      </w:r>
      <w:r>
        <w:rPr>
          <w:rFonts w:cstheme="minorHAnsi"/>
          <w:noProof/>
        </w:rPr>
        <w:t>12, 17</w:t>
      </w:r>
      <w:r w:rsidR="005600ED">
        <w:rPr>
          <w:rFonts w:cstheme="minorHAnsi"/>
          <w:noProof/>
        </w:rPr>
        <w:t>]</w:t>
      </w:r>
      <w:r>
        <w:rPr>
          <w:rFonts w:cstheme="minorHAnsi"/>
        </w:rPr>
        <w:t>.</w:t>
      </w:r>
      <w:r>
        <w:rPr>
          <w:rFonts w:cstheme="minorHAnsi"/>
          <w:lang w:val="en"/>
        </w:rPr>
        <w:t xml:space="preserve">    </w:t>
      </w:r>
    </w:p>
    <w:p w14:paraId="3608C481" w14:textId="77777777" w:rsidR="00323CE3" w:rsidRPr="007E605C" w:rsidRDefault="00323CE3" w:rsidP="00D276D9">
      <w:pPr>
        <w:spacing w:after="0" w:line="480" w:lineRule="auto"/>
        <w:rPr>
          <w:rFonts w:cstheme="minorHAnsi"/>
          <w:lang w:val="en"/>
        </w:rPr>
      </w:pPr>
    </w:p>
    <w:p w14:paraId="09675B23" w14:textId="7E02850C" w:rsidR="00323CE3" w:rsidRDefault="00323CE3" w:rsidP="00D276D9">
      <w:pPr>
        <w:spacing w:after="0" w:line="480" w:lineRule="auto"/>
        <w:rPr>
          <w:rFonts w:cstheme="minorHAnsi"/>
        </w:rPr>
      </w:pPr>
      <w:r>
        <w:rPr>
          <w:rFonts w:cstheme="minorHAnsi"/>
          <w:lang w:val="en"/>
        </w:rPr>
        <w:lastRenderedPageBreak/>
        <w:t>We</w:t>
      </w:r>
      <w:r w:rsidRPr="007E605C">
        <w:rPr>
          <w:rFonts w:cstheme="minorHAnsi"/>
          <w:lang w:val="en"/>
        </w:rPr>
        <w:t xml:space="preserve"> address the knowledge gap and research priorities outlined above, using data from the </w:t>
      </w:r>
      <w:proofErr w:type="spellStart"/>
      <w:r w:rsidRPr="007E605C">
        <w:rPr>
          <w:rFonts w:cstheme="minorHAnsi"/>
          <w:bCs/>
        </w:rPr>
        <w:t>ColoREctal</w:t>
      </w:r>
      <w:proofErr w:type="spellEnd"/>
      <w:r w:rsidRPr="007E605C">
        <w:rPr>
          <w:rFonts w:cstheme="minorHAnsi"/>
          <w:bCs/>
        </w:rPr>
        <w:t xml:space="preserve"> Wellbeing study (CREW); a prospective longitudinal cohort study </w:t>
      </w:r>
      <w:r w:rsidRPr="007E605C">
        <w:rPr>
          <w:rFonts w:cstheme="minorHAnsi"/>
        </w:rPr>
        <w:t xml:space="preserve">investigating factors associated with recovery of health and wellbeing in the </w:t>
      </w:r>
      <w:r>
        <w:rPr>
          <w:rFonts w:cstheme="minorHAnsi"/>
        </w:rPr>
        <w:t>five</w:t>
      </w:r>
      <w:r w:rsidRPr="007E605C">
        <w:rPr>
          <w:rFonts w:cstheme="minorHAnsi"/>
        </w:rPr>
        <w:t xml:space="preserve"> years following CRC</w:t>
      </w:r>
      <w:r w:rsidR="005600ED">
        <w:rPr>
          <w:rFonts w:cstheme="minorHAnsi"/>
        </w:rPr>
        <w:t xml:space="preserve"> </w:t>
      </w:r>
      <w:r w:rsidR="005600ED">
        <w:rPr>
          <w:rFonts w:cstheme="minorHAnsi"/>
          <w:bCs/>
          <w:noProof/>
        </w:rPr>
        <w:t>[</w:t>
      </w:r>
      <w:r>
        <w:rPr>
          <w:rFonts w:cstheme="minorHAnsi"/>
          <w:bCs/>
          <w:noProof/>
        </w:rPr>
        <w:t>18</w:t>
      </w:r>
      <w:r w:rsidR="005600ED">
        <w:rPr>
          <w:rFonts w:cstheme="minorHAnsi"/>
          <w:bCs/>
          <w:noProof/>
        </w:rPr>
        <w:t>]</w:t>
      </w:r>
      <w:r w:rsidRPr="007E605C">
        <w:rPr>
          <w:rFonts w:cstheme="minorHAnsi"/>
        </w:rPr>
        <w:t>.</w:t>
      </w:r>
      <w:r>
        <w:rPr>
          <w:rFonts w:cstheme="minorHAnsi"/>
        </w:rPr>
        <w:t xml:space="preserve">  </w:t>
      </w:r>
      <w:r>
        <w:t>This study aims to investigate the differences in pre-surgical (</w:t>
      </w:r>
      <w:r>
        <w:rPr>
          <w:rFonts w:cstheme="minorHAnsi"/>
        </w:rPr>
        <w:t xml:space="preserve">sociodemographic, </w:t>
      </w:r>
      <w:r w:rsidRPr="007E605C">
        <w:rPr>
          <w:rFonts w:cstheme="minorHAnsi"/>
        </w:rPr>
        <w:t>clinical</w:t>
      </w:r>
      <w:r>
        <w:rPr>
          <w:rFonts w:cstheme="minorHAnsi"/>
        </w:rPr>
        <w:t xml:space="preserve">, </w:t>
      </w:r>
      <w:r w:rsidRPr="007E605C">
        <w:rPr>
          <w:rFonts w:cstheme="minorHAnsi"/>
        </w:rPr>
        <w:t>treatment</w:t>
      </w:r>
      <w:r>
        <w:rPr>
          <w:rFonts w:cstheme="minorHAnsi"/>
        </w:rPr>
        <w:t>, environmental</w:t>
      </w:r>
      <w:r w:rsidRPr="007E605C">
        <w:rPr>
          <w:rFonts w:cstheme="minorHAnsi"/>
        </w:rPr>
        <w:t xml:space="preserve"> and</w:t>
      </w:r>
      <w:r>
        <w:rPr>
          <w:rFonts w:cstheme="minorHAnsi"/>
        </w:rPr>
        <w:t xml:space="preserve"> personal) </w:t>
      </w:r>
      <w:r>
        <w:t xml:space="preserve">factors across older people </w:t>
      </w:r>
      <w:r>
        <w:rPr>
          <w:rFonts w:cstheme="minorHAnsi"/>
        </w:rPr>
        <w:t>(</w:t>
      </w:r>
      <w:r w:rsidRPr="007E605C">
        <w:rPr>
          <w:rFonts w:cstheme="minorHAnsi"/>
          <w:u w:val="single"/>
        </w:rPr>
        <w:t>&gt;</w:t>
      </w:r>
      <w:r w:rsidRPr="007E605C">
        <w:rPr>
          <w:rFonts w:cstheme="minorHAnsi"/>
        </w:rPr>
        <w:t>65</w:t>
      </w:r>
      <w:r>
        <w:rPr>
          <w:rFonts w:cstheme="minorHAnsi"/>
        </w:rPr>
        <w:t xml:space="preserve"> </w:t>
      </w:r>
      <w:r w:rsidRPr="007E605C">
        <w:rPr>
          <w:rFonts w:cstheme="minorHAnsi"/>
        </w:rPr>
        <w:t>years</w:t>
      </w:r>
      <w:r>
        <w:rPr>
          <w:rFonts w:cstheme="minorHAnsi"/>
        </w:rPr>
        <w:t>) diagnosed with CRC and their associations with</w:t>
      </w:r>
      <w:r>
        <w:t xml:space="preserve"> post-surgical QoL and health status </w:t>
      </w:r>
      <w:r>
        <w:rPr>
          <w:rFonts w:cstheme="minorHAnsi"/>
        </w:rPr>
        <w:t>up to five years following treatment for CRC.</w:t>
      </w:r>
    </w:p>
    <w:p w14:paraId="5D20121F" w14:textId="77777777" w:rsidR="00323CE3" w:rsidRPr="007E605C" w:rsidRDefault="00323CE3" w:rsidP="00D276D9">
      <w:pPr>
        <w:spacing w:after="0" w:line="480" w:lineRule="auto"/>
        <w:rPr>
          <w:rFonts w:cstheme="minorHAnsi"/>
        </w:rPr>
      </w:pPr>
    </w:p>
    <w:p w14:paraId="3264293F" w14:textId="77777777" w:rsidR="00323CE3" w:rsidRPr="007E605C" w:rsidRDefault="00323CE3" w:rsidP="00D276D9">
      <w:pPr>
        <w:pStyle w:val="NormalWeb"/>
        <w:shd w:val="clear" w:color="auto" w:fill="FFFFFF"/>
        <w:spacing w:after="0" w:line="480" w:lineRule="auto"/>
        <w:rPr>
          <w:rFonts w:asciiTheme="minorHAnsi" w:hAnsiTheme="minorHAnsi" w:cstheme="minorHAnsi"/>
          <w:sz w:val="22"/>
          <w:szCs w:val="22"/>
          <w:lang w:val="en"/>
        </w:rPr>
      </w:pPr>
    </w:p>
    <w:p w14:paraId="478F24A3" w14:textId="77777777" w:rsidR="00323CE3" w:rsidRPr="00AF1F8A" w:rsidRDefault="00323CE3" w:rsidP="00D276D9">
      <w:pPr>
        <w:spacing w:line="480" w:lineRule="auto"/>
        <w:rPr>
          <w:rFonts w:cstheme="minorHAnsi"/>
          <w:b/>
          <w:bCs/>
          <w:sz w:val="36"/>
          <w:szCs w:val="36"/>
        </w:rPr>
      </w:pPr>
      <w:r w:rsidRPr="00AF1F8A">
        <w:rPr>
          <w:rFonts w:cstheme="minorHAnsi"/>
          <w:b/>
          <w:bCs/>
          <w:sz w:val="36"/>
          <w:szCs w:val="36"/>
        </w:rPr>
        <w:t>Materials and Methods</w:t>
      </w:r>
    </w:p>
    <w:p w14:paraId="597D5762" w14:textId="77777777" w:rsidR="00323CE3" w:rsidRPr="00AF1F8A" w:rsidRDefault="00323CE3" w:rsidP="00D276D9">
      <w:pPr>
        <w:spacing w:line="480" w:lineRule="auto"/>
        <w:rPr>
          <w:rFonts w:cstheme="minorHAnsi"/>
          <w:b/>
          <w:iCs/>
          <w:sz w:val="32"/>
          <w:szCs w:val="32"/>
          <w:lang w:val="en"/>
        </w:rPr>
      </w:pPr>
      <w:r w:rsidRPr="00AF1F8A">
        <w:rPr>
          <w:rFonts w:cstheme="minorHAnsi"/>
          <w:b/>
          <w:iCs/>
          <w:sz w:val="32"/>
          <w:szCs w:val="32"/>
          <w:lang w:val="en"/>
        </w:rPr>
        <w:t>Study Design, Participants and Procedure</w:t>
      </w:r>
    </w:p>
    <w:p w14:paraId="388E2018" w14:textId="29494B3C" w:rsidR="00323CE3" w:rsidRPr="007E605C" w:rsidRDefault="00323CE3" w:rsidP="00D276D9">
      <w:pPr>
        <w:spacing w:after="0" w:line="480" w:lineRule="auto"/>
        <w:rPr>
          <w:rFonts w:cstheme="minorHAnsi"/>
        </w:rPr>
      </w:pPr>
      <w:r w:rsidRPr="007E605C">
        <w:rPr>
          <w:rFonts w:cstheme="minorHAnsi"/>
        </w:rPr>
        <w:t>CREW is a multi-centre, longitudinal cohort study of patients with non-metastatic CRC.  Participants were recruited between 2010 and 2012 from 29 cancer centres across the UK.  Eligible pa</w:t>
      </w:r>
      <w:r>
        <w:rPr>
          <w:rFonts w:cstheme="minorHAnsi"/>
        </w:rPr>
        <w:t>rticipant</w:t>
      </w:r>
      <w:r w:rsidRPr="007E605C">
        <w:rPr>
          <w:rFonts w:cstheme="minorHAnsi"/>
        </w:rPr>
        <w:t xml:space="preserve">s were those aged </w:t>
      </w:r>
      <w:r w:rsidRPr="007E605C">
        <w:rPr>
          <w:rFonts w:cstheme="minorHAnsi"/>
          <w:u w:val="single"/>
        </w:rPr>
        <w:t>&gt;</w:t>
      </w:r>
      <w:r w:rsidRPr="007E605C">
        <w:rPr>
          <w:rFonts w:cstheme="minorHAnsi"/>
        </w:rPr>
        <w:t>18</w:t>
      </w:r>
      <w:r>
        <w:rPr>
          <w:rFonts w:cstheme="minorHAnsi"/>
        </w:rPr>
        <w:t xml:space="preserve"> </w:t>
      </w:r>
      <w:r w:rsidRPr="007E605C">
        <w:rPr>
          <w:rFonts w:cstheme="minorHAnsi"/>
        </w:rPr>
        <w:t>years</w:t>
      </w:r>
      <w:r>
        <w:rPr>
          <w:rFonts w:cstheme="minorHAnsi"/>
        </w:rPr>
        <w:t xml:space="preserve"> (no upper limit)</w:t>
      </w:r>
      <w:r w:rsidRPr="007E605C">
        <w:rPr>
          <w:rFonts w:cstheme="minorHAnsi"/>
        </w:rPr>
        <w:t xml:space="preserve"> </w:t>
      </w:r>
      <w:r w:rsidRPr="00CB19C5">
        <w:rPr>
          <w:rFonts w:cstheme="minorHAnsi"/>
        </w:rPr>
        <w:t xml:space="preserve">being treated with curative-intent surgery for CRC (Dukes’ stage A-C), and able to complete questionnaires.  </w:t>
      </w:r>
      <w:r w:rsidRPr="00CB19C5">
        <w:rPr>
          <w:rFonts w:cstheme="minorHAnsi"/>
          <w:shd w:val="clear" w:color="auto" w:fill="FFFFFF"/>
        </w:rPr>
        <w:t xml:space="preserve">Distant metastatic disease at diagnosis or a prior cancer diagnosis were exclusion criteria.  </w:t>
      </w:r>
      <w:r w:rsidRPr="00CB19C5">
        <w:rPr>
          <w:rFonts w:cstheme="minorHAnsi"/>
        </w:rPr>
        <w:t>All eligible patients were invited to participate.  Participants completed self-report questionnaires at baseline (pre-surgery), 3, 9, 15, 24 months, and annually up to 5 years.  Clinical characteristics were collected from NHS medical data.  Additional details are described elsewhere</w:t>
      </w:r>
      <w:r w:rsidR="005600ED">
        <w:rPr>
          <w:rFonts w:cstheme="minorHAnsi"/>
        </w:rPr>
        <w:t xml:space="preserve"> </w:t>
      </w:r>
      <w:r w:rsidR="005600ED">
        <w:rPr>
          <w:rFonts w:cstheme="minorHAnsi"/>
          <w:bCs/>
          <w:noProof/>
        </w:rPr>
        <w:t>[</w:t>
      </w:r>
      <w:r>
        <w:rPr>
          <w:rFonts w:cstheme="minorHAnsi"/>
          <w:bCs/>
          <w:noProof/>
        </w:rPr>
        <w:t>18</w:t>
      </w:r>
      <w:r w:rsidR="005600ED">
        <w:rPr>
          <w:rFonts w:cstheme="minorHAnsi"/>
          <w:bCs/>
          <w:noProof/>
        </w:rPr>
        <w:t>]</w:t>
      </w:r>
      <w:r w:rsidRPr="00CB19C5">
        <w:rPr>
          <w:rFonts w:cstheme="minorHAnsi"/>
        </w:rPr>
        <w:t>.  Ethical approval</w:t>
      </w:r>
      <w:r w:rsidRPr="007E605C">
        <w:rPr>
          <w:rFonts w:cstheme="minorHAnsi"/>
        </w:rPr>
        <w:t xml:space="preserve"> was granted by the UK NHS Health Research Authority NRES Committee South Central - Oxford B (REC ref: 10/H0605/31).  </w:t>
      </w:r>
    </w:p>
    <w:p w14:paraId="3F721C39" w14:textId="77777777" w:rsidR="00323CE3" w:rsidRPr="007E605C" w:rsidRDefault="00323CE3" w:rsidP="00D276D9">
      <w:pPr>
        <w:spacing w:after="0" w:line="480" w:lineRule="auto"/>
        <w:rPr>
          <w:rFonts w:cstheme="minorHAnsi"/>
        </w:rPr>
      </w:pPr>
    </w:p>
    <w:p w14:paraId="17B198F1" w14:textId="2B2E654B" w:rsidR="00323CE3" w:rsidRPr="007E605C" w:rsidRDefault="00323CE3" w:rsidP="00D276D9">
      <w:pPr>
        <w:spacing w:after="0" w:line="480" w:lineRule="auto"/>
        <w:rPr>
          <w:rFonts w:cstheme="minorHAnsi"/>
        </w:rPr>
      </w:pPr>
      <w:r w:rsidRPr="007E605C">
        <w:rPr>
          <w:rFonts w:cstheme="minorHAnsi"/>
        </w:rPr>
        <w:t xml:space="preserve">Whilst the definition of ‘older adult’ lacks uniform consensus, </w:t>
      </w:r>
      <w:r w:rsidRPr="007E605C">
        <w:rPr>
          <w:rFonts w:cstheme="minorHAnsi"/>
          <w:u w:val="single"/>
        </w:rPr>
        <w:t>&gt;</w:t>
      </w:r>
      <w:r w:rsidRPr="007E605C">
        <w:rPr>
          <w:rFonts w:cstheme="minorHAnsi"/>
        </w:rPr>
        <w:t>65 years is a commonly adopted threshold in cancer literature</w:t>
      </w:r>
      <w:r w:rsidR="005600ED">
        <w:rPr>
          <w:rFonts w:cstheme="minorHAnsi"/>
        </w:rPr>
        <w:t xml:space="preserve"> </w:t>
      </w:r>
      <w:r w:rsidR="005600ED">
        <w:rPr>
          <w:rFonts w:cstheme="minorHAnsi"/>
          <w:noProof/>
        </w:rPr>
        <w:t>[</w:t>
      </w:r>
      <w:r>
        <w:rPr>
          <w:rFonts w:cstheme="minorHAnsi"/>
          <w:noProof/>
        </w:rPr>
        <w:t>6, 11</w:t>
      </w:r>
      <w:r w:rsidR="005600ED">
        <w:rPr>
          <w:rFonts w:cstheme="minorHAnsi"/>
          <w:noProof/>
        </w:rPr>
        <w:t>]</w:t>
      </w:r>
      <w:r w:rsidRPr="007E605C">
        <w:rPr>
          <w:rFonts w:cstheme="minorHAnsi"/>
        </w:rPr>
        <w:t xml:space="preserve">. </w:t>
      </w:r>
      <w:r>
        <w:rPr>
          <w:rFonts w:cstheme="minorHAnsi"/>
        </w:rPr>
        <w:t xml:space="preserve"> We therefore report data pertaining to CREW participants aged </w:t>
      </w:r>
      <w:bookmarkStart w:id="0" w:name="_Hlk85536791"/>
      <w:r w:rsidRPr="00EF136D">
        <w:rPr>
          <w:rFonts w:cstheme="minorHAnsi"/>
          <w:u w:val="single"/>
        </w:rPr>
        <w:t>&gt;</w:t>
      </w:r>
      <w:r>
        <w:rPr>
          <w:rFonts w:cstheme="minorHAnsi"/>
        </w:rPr>
        <w:t xml:space="preserve">65 </w:t>
      </w:r>
      <w:bookmarkEnd w:id="0"/>
      <w:r>
        <w:rPr>
          <w:rFonts w:cstheme="minorHAnsi"/>
        </w:rPr>
        <w:t xml:space="preserve">on the date of baseline questionnaire completion in our description of ‘older participants’.  </w:t>
      </w:r>
    </w:p>
    <w:p w14:paraId="13450E0D" w14:textId="77777777" w:rsidR="00323CE3" w:rsidRDefault="00323CE3" w:rsidP="00D276D9">
      <w:pPr>
        <w:spacing w:after="0" w:line="480" w:lineRule="auto"/>
        <w:rPr>
          <w:rFonts w:cstheme="minorHAnsi"/>
        </w:rPr>
      </w:pPr>
    </w:p>
    <w:p w14:paraId="5B38BA8C"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lastRenderedPageBreak/>
        <w:t>Measures</w:t>
      </w:r>
    </w:p>
    <w:p w14:paraId="4751DE52" w14:textId="1C27F132" w:rsidR="00323CE3" w:rsidRDefault="00323CE3" w:rsidP="00D276D9">
      <w:pPr>
        <w:spacing w:after="0" w:line="480" w:lineRule="auto"/>
        <w:rPr>
          <w:rFonts w:cstheme="minorHAnsi"/>
          <w:szCs w:val="20"/>
        </w:rPr>
      </w:pPr>
      <w:r w:rsidRPr="007E605C">
        <w:rPr>
          <w:rFonts w:cstheme="minorHAnsi"/>
          <w:szCs w:val="20"/>
        </w:rPr>
        <w:t>Foster and Fenlon’s conceptual model of health and wellbeing recovery following cancer treatment informed data collection in CREW</w:t>
      </w:r>
      <w:r w:rsidR="005600ED">
        <w:rPr>
          <w:rFonts w:cstheme="minorHAnsi"/>
          <w:szCs w:val="20"/>
        </w:rPr>
        <w:t xml:space="preserve"> </w:t>
      </w:r>
      <w:r w:rsidR="005600ED">
        <w:rPr>
          <w:rFonts w:cstheme="minorHAnsi"/>
          <w:noProof/>
          <w:szCs w:val="20"/>
        </w:rPr>
        <w:t>[</w:t>
      </w:r>
      <w:r>
        <w:rPr>
          <w:rFonts w:cstheme="minorHAnsi"/>
          <w:noProof/>
          <w:szCs w:val="20"/>
        </w:rPr>
        <w:t>19</w:t>
      </w:r>
      <w:r w:rsidR="005600ED">
        <w:rPr>
          <w:rFonts w:cstheme="minorHAnsi"/>
          <w:noProof/>
          <w:szCs w:val="20"/>
        </w:rPr>
        <w:t>]</w:t>
      </w:r>
      <w:r w:rsidRPr="007E605C">
        <w:rPr>
          <w:rFonts w:cstheme="minorHAnsi"/>
          <w:szCs w:val="20"/>
        </w:rPr>
        <w:t xml:space="preserve">.  Their model recognises </w:t>
      </w:r>
      <w:r>
        <w:rPr>
          <w:rFonts w:cstheme="minorHAnsi"/>
          <w:szCs w:val="20"/>
        </w:rPr>
        <w:t xml:space="preserve">the importance of </w:t>
      </w:r>
      <w:r w:rsidRPr="007E605C">
        <w:rPr>
          <w:rFonts w:cstheme="minorHAnsi"/>
          <w:szCs w:val="20"/>
        </w:rPr>
        <w:t xml:space="preserve">multiple factors in </w:t>
      </w:r>
      <w:r>
        <w:rPr>
          <w:rFonts w:cstheme="minorHAnsi"/>
          <w:szCs w:val="20"/>
        </w:rPr>
        <w:t xml:space="preserve">contributing toward </w:t>
      </w:r>
      <w:r w:rsidRPr="007E605C">
        <w:rPr>
          <w:rFonts w:cstheme="minorHAnsi"/>
          <w:szCs w:val="20"/>
        </w:rPr>
        <w:t xml:space="preserve">the recovery of health and wellbeing, including </w:t>
      </w:r>
      <w:r>
        <w:rPr>
          <w:rFonts w:cstheme="minorHAnsi"/>
          <w:szCs w:val="20"/>
        </w:rPr>
        <w:t>sociodemographic (referred to as ‘pre-existing’ in the model)</w:t>
      </w:r>
      <w:r w:rsidRPr="007E605C">
        <w:rPr>
          <w:rFonts w:cstheme="minorHAnsi"/>
          <w:szCs w:val="20"/>
        </w:rPr>
        <w:t xml:space="preserve">, </w:t>
      </w:r>
      <w:r>
        <w:rPr>
          <w:rFonts w:cstheme="minorHAnsi"/>
          <w:szCs w:val="20"/>
        </w:rPr>
        <w:t xml:space="preserve">clinical, treatment, </w:t>
      </w:r>
      <w:r w:rsidRPr="007E605C">
        <w:rPr>
          <w:rFonts w:cstheme="minorHAnsi"/>
          <w:szCs w:val="20"/>
        </w:rPr>
        <w:t>environmental</w:t>
      </w:r>
      <w:r>
        <w:rPr>
          <w:rFonts w:cstheme="minorHAnsi"/>
          <w:szCs w:val="20"/>
        </w:rPr>
        <w:t xml:space="preserve"> and personal </w:t>
      </w:r>
      <w:r w:rsidRPr="007E605C">
        <w:rPr>
          <w:rFonts w:cstheme="minorHAnsi"/>
          <w:szCs w:val="20"/>
        </w:rPr>
        <w:t xml:space="preserve">factors (Fig 1).  </w:t>
      </w:r>
      <w:r>
        <w:rPr>
          <w:rFonts w:cstheme="minorHAnsi"/>
          <w:szCs w:val="20"/>
        </w:rPr>
        <w:t>For this publication, five</w:t>
      </w:r>
      <w:r>
        <w:rPr>
          <w:rFonts w:cstheme="minorHAnsi"/>
        </w:rPr>
        <w:t xml:space="preserve"> domains</w:t>
      </w:r>
      <w:r w:rsidRPr="007E605C">
        <w:rPr>
          <w:rFonts w:cstheme="minorHAnsi"/>
        </w:rPr>
        <w:t xml:space="preserve"> of assessment</w:t>
      </w:r>
      <w:r>
        <w:rPr>
          <w:rFonts w:cstheme="minorHAnsi"/>
        </w:rPr>
        <w:t xml:space="preserve"> </w:t>
      </w:r>
      <w:r w:rsidRPr="007E605C">
        <w:rPr>
          <w:rFonts w:cstheme="minorHAnsi"/>
        </w:rPr>
        <w:t xml:space="preserve">were </w:t>
      </w:r>
      <w:r>
        <w:rPr>
          <w:rFonts w:cstheme="minorHAnsi"/>
        </w:rPr>
        <w:t>selected</w:t>
      </w:r>
      <w:r>
        <w:rPr>
          <w:rFonts w:cstheme="minorHAnsi"/>
          <w:szCs w:val="20"/>
        </w:rPr>
        <w:t xml:space="preserve">, each with </w:t>
      </w:r>
      <w:r w:rsidRPr="00B87718">
        <w:rPr>
          <w:rFonts w:cstheme="minorHAnsi"/>
          <w:szCs w:val="20"/>
        </w:rPr>
        <w:t>corresponding predictors</w:t>
      </w:r>
      <w:r w:rsidRPr="00B87718">
        <w:rPr>
          <w:rFonts w:cstheme="minorHAnsi"/>
        </w:rPr>
        <w:t>.</w:t>
      </w:r>
      <w:r>
        <w:rPr>
          <w:rFonts w:cstheme="minorHAnsi"/>
        </w:rPr>
        <w:t xml:space="preserve">  Fig 1 shows these </w:t>
      </w:r>
      <w:r w:rsidRPr="007E605C">
        <w:rPr>
          <w:rFonts w:cstheme="minorHAnsi"/>
        </w:rPr>
        <w:t xml:space="preserve">variables mapped onto </w:t>
      </w:r>
      <w:r>
        <w:rPr>
          <w:rFonts w:cstheme="minorHAnsi"/>
        </w:rPr>
        <w:t xml:space="preserve">the conceptual model.  </w:t>
      </w:r>
      <w:r w:rsidRPr="007E605C">
        <w:rPr>
          <w:rFonts w:cstheme="minorHAnsi"/>
        </w:rPr>
        <w:t xml:space="preserve">Each </w:t>
      </w:r>
      <w:r>
        <w:rPr>
          <w:rFonts w:cstheme="minorHAnsi"/>
        </w:rPr>
        <w:t>predictor</w:t>
      </w:r>
      <w:r w:rsidRPr="007E605C">
        <w:rPr>
          <w:rFonts w:cstheme="minorHAnsi"/>
        </w:rPr>
        <w:t xml:space="preserve"> h</w:t>
      </w:r>
      <w:r w:rsidRPr="007E605C">
        <w:rPr>
          <w:rFonts w:cstheme="minorHAnsi"/>
          <w:szCs w:val="20"/>
        </w:rPr>
        <w:t>olds significance as an identifiable, or potentially modifiable factor</w:t>
      </w:r>
      <w:r>
        <w:rPr>
          <w:rFonts w:cstheme="minorHAnsi"/>
          <w:szCs w:val="20"/>
        </w:rPr>
        <w:t>,</w:t>
      </w:r>
      <w:r w:rsidRPr="007E605C">
        <w:rPr>
          <w:rFonts w:cstheme="minorHAnsi"/>
          <w:szCs w:val="20"/>
        </w:rPr>
        <w:t xml:space="preserve"> for informing and targeting future interventions</w:t>
      </w:r>
      <w:r>
        <w:rPr>
          <w:rFonts w:cstheme="minorHAnsi"/>
          <w:szCs w:val="20"/>
        </w:rPr>
        <w:t xml:space="preserve"> for the health and well-being of older people with CRC</w:t>
      </w:r>
      <w:r w:rsidRPr="007E605C">
        <w:rPr>
          <w:rFonts w:cstheme="minorHAnsi"/>
          <w:szCs w:val="20"/>
        </w:rPr>
        <w:t>.</w:t>
      </w:r>
    </w:p>
    <w:p w14:paraId="2ACADC23" w14:textId="77777777" w:rsidR="00323CE3" w:rsidRDefault="00323CE3" w:rsidP="00D276D9">
      <w:pPr>
        <w:spacing w:after="0" w:line="480" w:lineRule="auto"/>
        <w:rPr>
          <w:rFonts w:cstheme="minorHAnsi"/>
          <w:szCs w:val="20"/>
        </w:rPr>
      </w:pPr>
    </w:p>
    <w:p w14:paraId="436BF737" w14:textId="0B33F03C" w:rsidR="00323CE3" w:rsidRPr="00AF1F8A" w:rsidRDefault="00323CE3" w:rsidP="00D276D9">
      <w:pPr>
        <w:spacing w:after="0" w:line="480" w:lineRule="auto"/>
        <w:rPr>
          <w:rFonts w:cstheme="minorHAnsi"/>
          <w:b/>
          <w:bCs/>
          <w:szCs w:val="20"/>
        </w:rPr>
      </w:pPr>
      <w:r w:rsidRPr="00AF1F8A">
        <w:rPr>
          <w:rFonts w:cstheme="minorHAnsi"/>
          <w:b/>
          <w:bCs/>
          <w:szCs w:val="20"/>
        </w:rPr>
        <w:t>Fig 1</w:t>
      </w:r>
      <w:r w:rsidR="00483F0E" w:rsidRPr="00AF1F8A">
        <w:rPr>
          <w:rFonts w:cstheme="minorHAnsi"/>
          <w:b/>
          <w:bCs/>
          <w:szCs w:val="20"/>
        </w:rPr>
        <w:t>. Predictors for older people with CRC mapped onto Foster and Fenlon’s conceptual model of health and wellbeing recovery following cancer treatment</w:t>
      </w:r>
    </w:p>
    <w:p w14:paraId="1FF7E448" w14:textId="77777777" w:rsidR="00323CE3" w:rsidRDefault="00323CE3" w:rsidP="00D276D9">
      <w:pPr>
        <w:spacing w:after="0" w:line="480" w:lineRule="auto"/>
        <w:rPr>
          <w:rFonts w:cstheme="minorHAnsi"/>
          <w:szCs w:val="20"/>
        </w:rPr>
      </w:pPr>
    </w:p>
    <w:p w14:paraId="03FD55D5" w14:textId="5FDC9917" w:rsidR="00323CE3" w:rsidRPr="007E605C" w:rsidRDefault="00323CE3" w:rsidP="00D276D9">
      <w:pPr>
        <w:spacing w:after="0" w:line="480" w:lineRule="auto"/>
        <w:rPr>
          <w:rFonts w:cstheme="minorHAnsi"/>
        </w:rPr>
      </w:pPr>
      <w:r w:rsidRPr="007E605C">
        <w:rPr>
          <w:rFonts w:cstheme="minorHAnsi"/>
        </w:rPr>
        <w:t>Full details of all CREW measures are published elsewhere</w:t>
      </w:r>
      <w:r w:rsidR="005600ED">
        <w:rPr>
          <w:rFonts w:cstheme="minorHAnsi"/>
        </w:rPr>
        <w:t xml:space="preserve"> </w:t>
      </w:r>
      <w:r w:rsidR="005600ED">
        <w:rPr>
          <w:rFonts w:cstheme="minorHAnsi"/>
          <w:noProof/>
        </w:rPr>
        <w:t>[</w:t>
      </w:r>
      <w:r>
        <w:rPr>
          <w:rFonts w:cstheme="minorHAnsi"/>
          <w:noProof/>
        </w:rPr>
        <w:t>18</w:t>
      </w:r>
      <w:r w:rsidR="005600ED">
        <w:rPr>
          <w:rFonts w:cstheme="minorHAnsi"/>
          <w:noProof/>
        </w:rPr>
        <w:t>]</w:t>
      </w:r>
      <w:r w:rsidRPr="007E605C">
        <w:rPr>
          <w:rFonts w:cstheme="minorHAnsi"/>
        </w:rPr>
        <w:t>.  Information below pertains to measures presented in this paper.</w:t>
      </w:r>
    </w:p>
    <w:p w14:paraId="28D27E48" w14:textId="77777777" w:rsidR="00323CE3" w:rsidRDefault="00323CE3" w:rsidP="00D276D9">
      <w:pPr>
        <w:spacing w:after="0" w:line="480" w:lineRule="auto"/>
        <w:rPr>
          <w:rFonts w:cstheme="minorHAnsi"/>
          <w:szCs w:val="20"/>
        </w:rPr>
      </w:pPr>
    </w:p>
    <w:p w14:paraId="2E4368F3"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t xml:space="preserve">Outcome Measures                   </w:t>
      </w:r>
    </w:p>
    <w:p w14:paraId="6B1DEF1E" w14:textId="2FFF560F" w:rsidR="00323CE3" w:rsidRPr="007E605C" w:rsidRDefault="00323CE3" w:rsidP="00D276D9">
      <w:pPr>
        <w:spacing w:after="0" w:line="480" w:lineRule="auto"/>
        <w:rPr>
          <w:rFonts w:cstheme="minorHAnsi"/>
        </w:rPr>
      </w:pPr>
      <w:r w:rsidRPr="007E605C">
        <w:rPr>
          <w:rFonts w:cstheme="minorHAnsi"/>
        </w:rPr>
        <w:t xml:space="preserve">Areas of assessment reflect their relevance to an older cancer population.  The Quality of Life in Adult Cancer Survivors (QLACS) measure </w:t>
      </w:r>
      <w:r>
        <w:rPr>
          <w:rFonts w:cstheme="minorHAnsi"/>
        </w:rPr>
        <w:t>assesses</w:t>
      </w:r>
      <w:r w:rsidRPr="007E605C">
        <w:rPr>
          <w:rFonts w:cstheme="minorHAnsi"/>
        </w:rPr>
        <w:t xml:space="preserve"> to what degree individuals are </w:t>
      </w:r>
      <w:r w:rsidRPr="007E605C">
        <w:rPr>
          <w:rFonts w:cstheme="minorHAnsi"/>
          <w:i/>
        </w:rPr>
        <w:t xml:space="preserve">bothered </w:t>
      </w:r>
      <w:r w:rsidRPr="007E605C">
        <w:rPr>
          <w:rFonts w:cstheme="minorHAnsi"/>
        </w:rPr>
        <w:t>by a problem</w:t>
      </w:r>
      <w:r w:rsidR="005600ED">
        <w:rPr>
          <w:rFonts w:cstheme="minorHAnsi"/>
        </w:rPr>
        <w:t xml:space="preserve"> </w:t>
      </w:r>
      <w:r w:rsidR="005600ED">
        <w:rPr>
          <w:rFonts w:cstheme="minorHAnsi"/>
          <w:noProof/>
        </w:rPr>
        <w:t>[</w:t>
      </w:r>
      <w:r>
        <w:rPr>
          <w:rFonts w:cstheme="minorHAnsi"/>
          <w:noProof/>
        </w:rPr>
        <w:t>20</w:t>
      </w:r>
      <w:r w:rsidR="005600ED">
        <w:rPr>
          <w:rFonts w:cstheme="minorHAnsi"/>
          <w:noProof/>
        </w:rPr>
        <w:t>]</w:t>
      </w:r>
      <w:r w:rsidRPr="007E605C">
        <w:rPr>
          <w:rFonts w:cstheme="minorHAnsi"/>
        </w:rPr>
        <w:t>.  The EQ</w:t>
      </w:r>
      <w:r>
        <w:rPr>
          <w:rFonts w:cstheme="minorHAnsi"/>
        </w:rPr>
        <w:t>-</w:t>
      </w:r>
      <w:r w:rsidRPr="007E605C">
        <w:rPr>
          <w:rFonts w:cstheme="minorHAnsi"/>
        </w:rPr>
        <w:t xml:space="preserve">5D captures impaired health status and the subsequent </w:t>
      </w:r>
      <w:r w:rsidRPr="007E605C">
        <w:rPr>
          <w:rFonts w:cstheme="minorHAnsi"/>
          <w:i/>
        </w:rPr>
        <w:t>impact</w:t>
      </w:r>
      <w:r w:rsidRPr="007E605C">
        <w:rPr>
          <w:rFonts w:cstheme="minorHAnsi"/>
        </w:rPr>
        <w:t xml:space="preserve"> on an individual’s everyday life</w:t>
      </w:r>
      <w:r w:rsidR="005600ED">
        <w:rPr>
          <w:rFonts w:cstheme="minorHAnsi"/>
        </w:rPr>
        <w:t xml:space="preserve"> </w:t>
      </w:r>
      <w:r w:rsidR="005600ED">
        <w:rPr>
          <w:rFonts w:cstheme="minorHAnsi"/>
          <w:noProof/>
          <w:szCs w:val="20"/>
        </w:rPr>
        <w:t>[</w:t>
      </w:r>
      <w:r>
        <w:rPr>
          <w:rFonts w:cstheme="minorHAnsi"/>
          <w:noProof/>
          <w:szCs w:val="20"/>
        </w:rPr>
        <w:t>21</w:t>
      </w:r>
      <w:r w:rsidR="005600ED">
        <w:rPr>
          <w:rFonts w:cstheme="minorHAnsi"/>
          <w:noProof/>
          <w:szCs w:val="20"/>
        </w:rPr>
        <w:t>]</w:t>
      </w:r>
      <w:r w:rsidRPr="007E605C">
        <w:rPr>
          <w:rFonts w:cstheme="minorHAnsi"/>
        </w:rPr>
        <w:t xml:space="preserve">.  </w:t>
      </w:r>
      <w:r>
        <w:rPr>
          <w:rFonts w:cstheme="minorHAnsi"/>
        </w:rPr>
        <w:t xml:space="preserve">Both measures were collected at baseline and every subsequent timepoint (apart from EQ-5D at 9 months). </w:t>
      </w:r>
    </w:p>
    <w:p w14:paraId="766B3E9E" w14:textId="77777777" w:rsidR="00323CE3" w:rsidRPr="007E605C" w:rsidRDefault="00323CE3" w:rsidP="00D276D9">
      <w:pPr>
        <w:spacing w:after="0" w:line="480" w:lineRule="auto"/>
        <w:rPr>
          <w:rFonts w:cstheme="minorHAnsi"/>
          <w:b/>
        </w:rPr>
      </w:pPr>
    </w:p>
    <w:p w14:paraId="0B4E22D2" w14:textId="77777777" w:rsidR="00323CE3" w:rsidRPr="00AF1F8A" w:rsidRDefault="00323CE3" w:rsidP="00D276D9">
      <w:pPr>
        <w:spacing w:after="0" w:line="480" w:lineRule="auto"/>
        <w:rPr>
          <w:rFonts w:cstheme="minorHAnsi"/>
          <w:b/>
          <w:bCs/>
          <w:sz w:val="28"/>
          <w:szCs w:val="28"/>
        </w:rPr>
      </w:pPr>
      <w:r w:rsidRPr="00AF1F8A">
        <w:rPr>
          <w:rFonts w:cstheme="minorHAnsi"/>
          <w:b/>
          <w:bCs/>
          <w:sz w:val="28"/>
          <w:szCs w:val="28"/>
        </w:rPr>
        <w:t xml:space="preserve">Quality of Life </w:t>
      </w:r>
    </w:p>
    <w:p w14:paraId="4F9A89A9" w14:textId="57B6B620" w:rsidR="00323CE3" w:rsidRPr="00E51883" w:rsidRDefault="00323CE3" w:rsidP="00D276D9">
      <w:pPr>
        <w:spacing w:line="480" w:lineRule="auto"/>
        <w:rPr>
          <w:rFonts w:cstheme="minorHAnsi"/>
        </w:rPr>
      </w:pPr>
      <w:r>
        <w:rPr>
          <w:rFonts w:cstheme="minorHAnsi"/>
        </w:rPr>
        <w:lastRenderedPageBreak/>
        <w:t>QLACS</w:t>
      </w:r>
      <w:r w:rsidRPr="007E605C">
        <w:rPr>
          <w:rFonts w:cstheme="minorHAnsi"/>
        </w:rPr>
        <w:t xml:space="preserve"> assesses </w:t>
      </w:r>
      <w:r w:rsidRPr="007E605C">
        <w:rPr>
          <w:rFonts w:cstheme="minorHAnsi"/>
          <w:bCs/>
        </w:rPr>
        <w:t>health</w:t>
      </w:r>
      <w:r>
        <w:rPr>
          <w:rFonts w:cstheme="minorHAnsi"/>
          <w:bCs/>
        </w:rPr>
        <w:t>-</w:t>
      </w:r>
      <w:r w:rsidRPr="007E605C">
        <w:rPr>
          <w:rFonts w:cstheme="minorHAnsi"/>
          <w:bCs/>
        </w:rPr>
        <w:t>related quality of life among long-term cancer survivors</w:t>
      </w:r>
      <w:r w:rsidR="005600ED">
        <w:rPr>
          <w:rFonts w:cstheme="minorHAnsi"/>
          <w:bCs/>
        </w:rPr>
        <w:t xml:space="preserve"> </w:t>
      </w:r>
      <w:r w:rsidR="005600ED">
        <w:rPr>
          <w:rFonts w:cstheme="minorHAnsi"/>
          <w:noProof/>
        </w:rPr>
        <w:t>[</w:t>
      </w:r>
      <w:r>
        <w:rPr>
          <w:rFonts w:cstheme="minorHAnsi"/>
          <w:noProof/>
        </w:rPr>
        <w:t>20</w:t>
      </w:r>
      <w:r w:rsidR="005600ED">
        <w:rPr>
          <w:rFonts w:cstheme="minorHAnsi"/>
          <w:noProof/>
        </w:rPr>
        <w:t>]</w:t>
      </w:r>
      <w:r w:rsidRPr="007E605C">
        <w:rPr>
          <w:rFonts w:cstheme="minorHAnsi"/>
          <w:bCs/>
        </w:rPr>
        <w:t xml:space="preserve">.  </w:t>
      </w:r>
      <w:r w:rsidRPr="007E605C">
        <w:rPr>
          <w:rFonts w:cstheme="minorHAnsi"/>
        </w:rPr>
        <w:t xml:space="preserve">QLACS Part 1 measures generic quality of life </w:t>
      </w:r>
      <w:r>
        <w:rPr>
          <w:rFonts w:cstheme="minorHAnsi"/>
        </w:rPr>
        <w:t xml:space="preserve">with </w:t>
      </w:r>
      <w:r w:rsidRPr="007E605C">
        <w:rPr>
          <w:rFonts w:cstheme="minorHAnsi"/>
        </w:rPr>
        <w:t xml:space="preserve">28 items organised into 8 </w:t>
      </w:r>
      <w:r w:rsidRPr="007E605C">
        <w:rPr>
          <w:rFonts w:cstheme="minorHAnsi"/>
          <w:bCs/>
        </w:rPr>
        <w:t>domains</w:t>
      </w:r>
      <w:r>
        <w:rPr>
          <w:rFonts w:cstheme="minorHAnsi"/>
          <w:bCs/>
        </w:rPr>
        <w:t xml:space="preserve"> using a </w:t>
      </w:r>
      <w:proofErr w:type="gramStart"/>
      <w:r>
        <w:rPr>
          <w:rFonts w:cstheme="minorHAnsi"/>
          <w:bCs/>
        </w:rPr>
        <w:t>7 point</w:t>
      </w:r>
      <w:proofErr w:type="gramEnd"/>
      <w:r>
        <w:rPr>
          <w:rFonts w:cstheme="minorHAnsi"/>
          <w:bCs/>
        </w:rPr>
        <w:t xml:space="preserve"> rating scale</w:t>
      </w:r>
      <w:r w:rsidR="005600ED">
        <w:rPr>
          <w:rFonts w:cstheme="minorHAnsi"/>
          <w:bCs/>
        </w:rPr>
        <w:t xml:space="preserve"> </w:t>
      </w:r>
      <w:r w:rsidR="005600ED">
        <w:rPr>
          <w:rFonts w:cstheme="minorHAnsi"/>
          <w:noProof/>
        </w:rPr>
        <w:t>[</w:t>
      </w:r>
      <w:r>
        <w:rPr>
          <w:rFonts w:cstheme="minorHAnsi"/>
          <w:noProof/>
        </w:rPr>
        <w:t>20</w:t>
      </w:r>
      <w:r w:rsidR="005600ED">
        <w:rPr>
          <w:rFonts w:cstheme="minorHAnsi"/>
          <w:noProof/>
        </w:rPr>
        <w:t>]</w:t>
      </w:r>
      <w:r>
        <w:rPr>
          <w:rFonts w:cstheme="minorHAnsi"/>
        </w:rPr>
        <w:t xml:space="preserve">.  </w:t>
      </w:r>
      <w:r w:rsidRPr="007E605C">
        <w:rPr>
          <w:rFonts w:cstheme="minorHAnsi"/>
        </w:rPr>
        <w:t>The sum of these domains yields a Generic Summary Score (GSS).</w:t>
      </w:r>
      <w:r>
        <w:rPr>
          <w:rFonts w:cstheme="minorHAnsi"/>
        </w:rPr>
        <w:t xml:space="preserve"> </w:t>
      </w:r>
      <w:r w:rsidRPr="007E605C">
        <w:rPr>
          <w:rFonts w:cstheme="minorHAnsi"/>
          <w:bCs/>
        </w:rPr>
        <w:t>Informed by the underpinning conceptual model above, QLACS</w:t>
      </w:r>
      <w:r>
        <w:rPr>
          <w:rFonts w:cstheme="minorHAnsi"/>
          <w:bCs/>
        </w:rPr>
        <w:t>-GSS</w:t>
      </w:r>
      <w:r w:rsidRPr="007E605C">
        <w:rPr>
          <w:rFonts w:cstheme="minorHAnsi"/>
          <w:bCs/>
        </w:rPr>
        <w:t xml:space="preserve"> was the primary outcome measure in CREW</w:t>
      </w:r>
      <w:r w:rsidR="005600ED">
        <w:rPr>
          <w:rFonts w:cstheme="minorHAnsi"/>
          <w:bCs/>
        </w:rPr>
        <w:t xml:space="preserve"> </w:t>
      </w:r>
      <w:r w:rsidR="005600ED">
        <w:rPr>
          <w:rFonts w:cstheme="minorHAnsi"/>
          <w:bCs/>
          <w:noProof/>
        </w:rPr>
        <w:t>[</w:t>
      </w:r>
      <w:r>
        <w:rPr>
          <w:rFonts w:cstheme="minorHAnsi"/>
          <w:bCs/>
          <w:noProof/>
        </w:rPr>
        <w:t>18</w:t>
      </w:r>
      <w:r w:rsidR="005600ED">
        <w:rPr>
          <w:rFonts w:cstheme="minorHAnsi"/>
          <w:bCs/>
          <w:noProof/>
        </w:rPr>
        <w:t>]</w:t>
      </w:r>
      <w:r w:rsidRPr="007E605C">
        <w:rPr>
          <w:rFonts w:cstheme="minorHAnsi"/>
          <w:bCs/>
        </w:rPr>
        <w:t>.</w:t>
      </w:r>
      <w:r>
        <w:rPr>
          <w:rFonts w:cstheme="minorHAnsi"/>
          <w:bCs/>
        </w:rPr>
        <w:t xml:space="preserve">  </w:t>
      </w:r>
    </w:p>
    <w:p w14:paraId="769FFB26" w14:textId="77777777" w:rsidR="00323CE3" w:rsidRPr="00AF1F8A" w:rsidRDefault="00323CE3" w:rsidP="00D276D9">
      <w:pPr>
        <w:spacing w:after="0" w:line="480" w:lineRule="auto"/>
        <w:rPr>
          <w:rFonts w:cstheme="minorHAnsi"/>
          <w:b/>
          <w:bCs/>
          <w:sz w:val="28"/>
          <w:szCs w:val="28"/>
        </w:rPr>
      </w:pPr>
      <w:r w:rsidRPr="00AF1F8A">
        <w:rPr>
          <w:rFonts w:cstheme="minorHAnsi"/>
          <w:b/>
          <w:bCs/>
          <w:sz w:val="28"/>
          <w:szCs w:val="28"/>
        </w:rPr>
        <w:t>Health Status</w:t>
      </w:r>
    </w:p>
    <w:p w14:paraId="7272CA14" w14:textId="1C5F97D4" w:rsidR="00323CE3" w:rsidRPr="007E605C" w:rsidRDefault="00323CE3" w:rsidP="00D276D9">
      <w:pPr>
        <w:spacing w:after="0" w:line="480" w:lineRule="auto"/>
        <w:rPr>
          <w:rFonts w:cstheme="minorHAnsi"/>
        </w:rPr>
      </w:pPr>
      <w:r w:rsidRPr="007E605C">
        <w:rPr>
          <w:rFonts w:cstheme="minorHAnsi"/>
        </w:rPr>
        <w:t xml:space="preserve">EQ-5D provides a generic </w:t>
      </w:r>
      <w:r>
        <w:rPr>
          <w:rFonts w:cstheme="minorHAnsi"/>
        </w:rPr>
        <w:t>assessment</w:t>
      </w:r>
      <w:r w:rsidRPr="007E605C">
        <w:rPr>
          <w:rFonts w:cstheme="minorHAnsi"/>
        </w:rPr>
        <w:t xml:space="preserve"> of self-rated health status, and is widely adopted in cancer survivor populations</w:t>
      </w:r>
      <w:r w:rsidR="005600ED">
        <w:rPr>
          <w:rFonts w:cstheme="minorHAnsi"/>
        </w:rPr>
        <w:t xml:space="preserve"> </w:t>
      </w:r>
      <w:r w:rsidR="005600ED">
        <w:rPr>
          <w:rFonts w:cstheme="minorHAnsi"/>
          <w:noProof/>
        </w:rPr>
        <w:t>[</w:t>
      </w:r>
      <w:r>
        <w:rPr>
          <w:rFonts w:cstheme="minorHAnsi"/>
          <w:noProof/>
        </w:rPr>
        <w:t>21</w:t>
      </w:r>
      <w:r w:rsidR="005600ED">
        <w:rPr>
          <w:rFonts w:cstheme="minorHAnsi"/>
          <w:noProof/>
        </w:rPr>
        <w:t>]</w:t>
      </w:r>
      <w:r w:rsidRPr="007E605C">
        <w:rPr>
          <w:rFonts w:cstheme="minorHAnsi"/>
        </w:rPr>
        <w:t xml:space="preserve">.  The measure consists of five </w:t>
      </w:r>
      <w:r>
        <w:rPr>
          <w:rFonts w:cstheme="minorHAnsi"/>
        </w:rPr>
        <w:t>domain</w:t>
      </w:r>
      <w:r w:rsidRPr="007E605C">
        <w:rPr>
          <w:rFonts w:cstheme="minorHAnsi"/>
        </w:rPr>
        <w:t xml:space="preserve">s (mobility, self-care, usual activities, pain/discomfort, anxiety/depression) each scored </w:t>
      </w:r>
      <w:r>
        <w:rPr>
          <w:rFonts w:cstheme="minorHAnsi"/>
        </w:rPr>
        <w:t xml:space="preserve">on a 3-point scale </w:t>
      </w:r>
      <w:r w:rsidRPr="007E605C">
        <w:rPr>
          <w:rFonts w:cstheme="minorHAnsi"/>
        </w:rPr>
        <w:t>as none/some/severe problems</w:t>
      </w:r>
      <w:r>
        <w:rPr>
          <w:rFonts w:cstheme="minorHAnsi"/>
        </w:rPr>
        <w:t>. Due to low counts of participants with ‘severe problems’, each EQ-5D domain was</w:t>
      </w:r>
      <w:r w:rsidRPr="007E605C">
        <w:rPr>
          <w:rFonts w:cstheme="minorHAnsi"/>
        </w:rPr>
        <w:t xml:space="preserve"> </w:t>
      </w:r>
      <w:r>
        <w:rPr>
          <w:rFonts w:cstheme="minorHAnsi"/>
        </w:rPr>
        <w:t>dichotomised</w:t>
      </w:r>
      <w:r w:rsidRPr="007E605C">
        <w:rPr>
          <w:rFonts w:cstheme="minorHAnsi"/>
        </w:rPr>
        <w:t xml:space="preserve"> as presence/absence of problems.</w:t>
      </w:r>
    </w:p>
    <w:p w14:paraId="38BF430C" w14:textId="77777777" w:rsidR="00323CE3" w:rsidRPr="007E605C" w:rsidRDefault="00323CE3" w:rsidP="00D276D9">
      <w:pPr>
        <w:spacing w:after="0" w:line="480" w:lineRule="auto"/>
        <w:rPr>
          <w:rFonts w:cstheme="minorHAnsi"/>
          <w:szCs w:val="20"/>
        </w:rPr>
      </w:pPr>
    </w:p>
    <w:p w14:paraId="1C7BFED9" w14:textId="77777777" w:rsidR="00323CE3" w:rsidRPr="007E605C" w:rsidRDefault="00323CE3" w:rsidP="00D276D9">
      <w:pPr>
        <w:autoSpaceDE w:val="0"/>
        <w:autoSpaceDN w:val="0"/>
        <w:adjustRightInd w:val="0"/>
        <w:spacing w:after="0" w:line="480" w:lineRule="auto"/>
        <w:rPr>
          <w:rFonts w:cstheme="minorHAnsi"/>
          <w:szCs w:val="20"/>
        </w:rPr>
      </w:pPr>
    </w:p>
    <w:p w14:paraId="5BEC9C5A"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t>Predictors</w:t>
      </w:r>
    </w:p>
    <w:p w14:paraId="1F371A84" w14:textId="77777777" w:rsidR="00323CE3" w:rsidRPr="00AF1F8A" w:rsidRDefault="00323CE3" w:rsidP="00AF1F8A">
      <w:pPr>
        <w:spacing w:after="0" w:line="480" w:lineRule="auto"/>
        <w:rPr>
          <w:rFonts w:cstheme="minorHAnsi"/>
          <w:b/>
          <w:bCs/>
          <w:sz w:val="28"/>
          <w:szCs w:val="28"/>
        </w:rPr>
      </w:pPr>
      <w:r w:rsidRPr="00AF1F8A">
        <w:rPr>
          <w:rFonts w:cstheme="minorHAnsi"/>
          <w:b/>
          <w:bCs/>
          <w:sz w:val="28"/>
          <w:szCs w:val="28"/>
        </w:rPr>
        <w:t>Sociodemographic characteristics</w:t>
      </w:r>
    </w:p>
    <w:p w14:paraId="2000EA0F" w14:textId="1646BE75" w:rsidR="00323CE3" w:rsidRDefault="00323CE3" w:rsidP="00D276D9">
      <w:pPr>
        <w:autoSpaceDE w:val="0"/>
        <w:autoSpaceDN w:val="0"/>
        <w:adjustRightInd w:val="0"/>
        <w:spacing w:after="0" w:line="480" w:lineRule="auto"/>
        <w:rPr>
          <w:rFonts w:cstheme="minorHAnsi"/>
        </w:rPr>
      </w:pPr>
      <w:r w:rsidRPr="00C13483">
        <w:rPr>
          <w:rFonts w:cstheme="minorHAnsi"/>
        </w:rPr>
        <w:t>Gender was self-reported by participants in questionnaires.</w:t>
      </w:r>
      <w:r>
        <w:rPr>
          <w:rFonts w:cstheme="minorHAnsi"/>
        </w:rPr>
        <w:t xml:space="preserve">  </w:t>
      </w:r>
      <w:r w:rsidRPr="00DA21A3">
        <w:rPr>
          <w:rFonts w:cstheme="minorHAnsi"/>
        </w:rPr>
        <w:t>Older participants were divided into four</w:t>
      </w:r>
      <w:r>
        <w:t xml:space="preserve"> sub-groups by age (65-69, 70-74, 75-79, </w:t>
      </w:r>
      <w:r w:rsidRPr="00AF1F8A">
        <w:rPr>
          <w:u w:val="single"/>
        </w:rPr>
        <w:t>&gt;</w:t>
      </w:r>
      <w:r w:rsidRPr="00017E9C">
        <w:t>80</w:t>
      </w:r>
      <w:r>
        <w:t xml:space="preserve"> </w:t>
      </w:r>
      <w:r w:rsidRPr="00017E9C">
        <w:t>years</w:t>
      </w:r>
      <w:r>
        <w:t xml:space="preserve">).  </w:t>
      </w:r>
      <w:r w:rsidRPr="007E605C">
        <w:rPr>
          <w:rFonts w:cstheme="minorHAnsi"/>
        </w:rPr>
        <w:t>Neighbourhood deprivation was derived from postcodes using the index of multiple deprivation</w:t>
      </w:r>
      <w:r>
        <w:rPr>
          <w:rFonts w:cstheme="minorHAnsi"/>
        </w:rPr>
        <w:t xml:space="preserve"> and converted into quintiles</w:t>
      </w:r>
      <w:r w:rsidR="005600ED">
        <w:rPr>
          <w:rFonts w:cstheme="minorHAnsi"/>
          <w:noProof/>
        </w:rPr>
        <w:t xml:space="preserve"> [</w:t>
      </w:r>
      <w:r>
        <w:rPr>
          <w:rFonts w:cstheme="minorHAnsi"/>
          <w:noProof/>
        </w:rPr>
        <w:t>22</w:t>
      </w:r>
      <w:r w:rsidR="005600ED">
        <w:rPr>
          <w:rFonts w:cstheme="minorHAnsi"/>
          <w:noProof/>
        </w:rPr>
        <w:t>]</w:t>
      </w:r>
      <w:r w:rsidRPr="007E605C">
        <w:rPr>
          <w:rFonts w:cstheme="minorHAnsi"/>
        </w:rPr>
        <w:t xml:space="preserve">.  </w:t>
      </w:r>
    </w:p>
    <w:p w14:paraId="5E200C73" w14:textId="77777777" w:rsidR="00323CE3" w:rsidRDefault="00323CE3" w:rsidP="00D276D9">
      <w:pPr>
        <w:autoSpaceDE w:val="0"/>
        <w:autoSpaceDN w:val="0"/>
        <w:adjustRightInd w:val="0"/>
        <w:spacing w:after="0" w:line="480" w:lineRule="auto"/>
        <w:rPr>
          <w:rFonts w:cstheme="minorHAnsi"/>
          <w:i/>
        </w:rPr>
      </w:pPr>
    </w:p>
    <w:p w14:paraId="0E8A912A" w14:textId="77777777" w:rsidR="00323CE3" w:rsidRPr="00AF1F8A" w:rsidRDefault="00323CE3" w:rsidP="00AF1F8A">
      <w:pPr>
        <w:spacing w:after="0" w:line="480" w:lineRule="auto"/>
        <w:rPr>
          <w:rFonts w:cstheme="minorHAnsi"/>
          <w:b/>
          <w:bCs/>
          <w:sz w:val="28"/>
          <w:szCs w:val="28"/>
        </w:rPr>
      </w:pPr>
      <w:r w:rsidRPr="00AF1F8A">
        <w:rPr>
          <w:rFonts w:cstheme="minorHAnsi"/>
          <w:b/>
          <w:bCs/>
          <w:sz w:val="28"/>
          <w:szCs w:val="28"/>
        </w:rPr>
        <w:t>Clinical and Treatment Characteristics</w:t>
      </w:r>
    </w:p>
    <w:p w14:paraId="74EFB59F" w14:textId="62744AC3" w:rsidR="00323CE3" w:rsidRDefault="00323CE3" w:rsidP="00D276D9">
      <w:pPr>
        <w:pStyle w:val="CommentText"/>
        <w:spacing w:after="0" w:line="480" w:lineRule="auto"/>
        <w:rPr>
          <w:rFonts w:cstheme="minorHAnsi"/>
          <w:sz w:val="22"/>
          <w:szCs w:val="22"/>
        </w:rPr>
      </w:pPr>
      <w:r w:rsidRPr="0057740C">
        <w:rPr>
          <w:rFonts w:cstheme="minorHAnsi"/>
          <w:sz w:val="22"/>
          <w:szCs w:val="22"/>
        </w:rPr>
        <w:t>Clinical and treatment data were acquired from medical notes (with consent): tumour site</w:t>
      </w:r>
      <w:r>
        <w:rPr>
          <w:rFonts w:cstheme="minorHAnsi"/>
          <w:sz w:val="22"/>
          <w:szCs w:val="22"/>
        </w:rPr>
        <w:t xml:space="preserve"> (colon, rectum)</w:t>
      </w:r>
      <w:r w:rsidRPr="0057740C">
        <w:rPr>
          <w:rFonts w:cstheme="minorHAnsi"/>
          <w:sz w:val="22"/>
          <w:szCs w:val="22"/>
        </w:rPr>
        <w:t>, Dukes' stage</w:t>
      </w:r>
      <w:r>
        <w:rPr>
          <w:rFonts w:cstheme="minorHAnsi"/>
          <w:sz w:val="22"/>
          <w:szCs w:val="22"/>
        </w:rPr>
        <w:t xml:space="preserve"> (A, B, C)</w:t>
      </w:r>
      <w:r w:rsidRPr="0057740C">
        <w:rPr>
          <w:rFonts w:cstheme="minorHAnsi"/>
          <w:sz w:val="22"/>
          <w:szCs w:val="22"/>
        </w:rPr>
        <w:t xml:space="preserve">, </w:t>
      </w:r>
      <w:r>
        <w:rPr>
          <w:rFonts w:cstheme="minorHAnsi"/>
          <w:sz w:val="22"/>
          <w:szCs w:val="22"/>
        </w:rPr>
        <w:t xml:space="preserve">nodal involvement (N0, N1-2), </w:t>
      </w:r>
      <w:r w:rsidRPr="0057740C">
        <w:rPr>
          <w:rFonts w:cstheme="minorHAnsi"/>
          <w:sz w:val="22"/>
          <w:szCs w:val="22"/>
        </w:rPr>
        <w:t>presence of a stoma</w:t>
      </w:r>
      <w:r>
        <w:rPr>
          <w:rFonts w:cstheme="minorHAnsi"/>
          <w:sz w:val="22"/>
          <w:szCs w:val="22"/>
        </w:rPr>
        <w:t xml:space="preserve"> (yes, no)</w:t>
      </w:r>
      <w:r w:rsidRPr="0057740C">
        <w:rPr>
          <w:rFonts w:cstheme="minorHAnsi"/>
          <w:sz w:val="22"/>
          <w:szCs w:val="22"/>
        </w:rPr>
        <w:t xml:space="preserve"> and (neo)adjuvant treatment details</w:t>
      </w:r>
      <w:r>
        <w:rPr>
          <w:rFonts w:cstheme="minorHAnsi"/>
          <w:sz w:val="22"/>
          <w:szCs w:val="22"/>
        </w:rPr>
        <w:t xml:space="preserve"> (none, any (chemotherapy, radiotherapy or both))</w:t>
      </w:r>
      <w:r w:rsidRPr="0057740C">
        <w:rPr>
          <w:rFonts w:cstheme="minorHAnsi"/>
          <w:sz w:val="22"/>
          <w:szCs w:val="22"/>
        </w:rPr>
        <w:t>.  Participants self-reported the presence of comorbidities in questionnaires.</w:t>
      </w:r>
      <w:r>
        <w:rPr>
          <w:rStyle w:val="CommentReference"/>
          <w:rFonts w:cstheme="minorHAnsi"/>
          <w:sz w:val="22"/>
          <w:szCs w:val="22"/>
        </w:rPr>
        <w:t xml:space="preserve">  </w:t>
      </w:r>
      <w:r w:rsidRPr="0057740C">
        <w:rPr>
          <w:rStyle w:val="CommentReference"/>
          <w:rFonts w:cstheme="minorHAnsi"/>
          <w:sz w:val="22"/>
          <w:szCs w:val="22"/>
        </w:rPr>
        <w:t>T</w:t>
      </w:r>
      <w:r w:rsidRPr="0057740C">
        <w:rPr>
          <w:rFonts w:cstheme="minorHAnsi"/>
          <w:sz w:val="22"/>
          <w:szCs w:val="22"/>
        </w:rPr>
        <w:t xml:space="preserve">he study-specific comorbidity measure related to </w:t>
      </w:r>
      <w:r>
        <w:rPr>
          <w:rFonts w:cstheme="minorHAnsi"/>
          <w:sz w:val="22"/>
          <w:szCs w:val="22"/>
        </w:rPr>
        <w:t>twelve</w:t>
      </w:r>
      <w:r w:rsidRPr="0057740C">
        <w:rPr>
          <w:rFonts w:cstheme="minorHAnsi"/>
          <w:sz w:val="22"/>
          <w:szCs w:val="22"/>
        </w:rPr>
        <w:t xml:space="preserve"> individual </w:t>
      </w:r>
      <w:r w:rsidR="00340FED">
        <w:rPr>
          <w:rFonts w:cstheme="minorHAnsi"/>
          <w:sz w:val="22"/>
          <w:szCs w:val="22"/>
        </w:rPr>
        <w:t xml:space="preserve">physical and mental health </w:t>
      </w:r>
      <w:r w:rsidRPr="0057740C">
        <w:rPr>
          <w:rFonts w:cstheme="minorHAnsi"/>
          <w:sz w:val="22"/>
          <w:szCs w:val="22"/>
        </w:rPr>
        <w:t xml:space="preserve">conditions or disease </w:t>
      </w:r>
      <w:r w:rsidR="005C3B65" w:rsidRPr="0057740C">
        <w:rPr>
          <w:rFonts w:cstheme="minorHAnsi"/>
          <w:sz w:val="22"/>
          <w:szCs w:val="22"/>
        </w:rPr>
        <w:t>groups and</w:t>
      </w:r>
      <w:r w:rsidRPr="0057740C">
        <w:rPr>
          <w:rFonts w:cstheme="minorHAnsi"/>
          <w:sz w:val="22"/>
          <w:szCs w:val="22"/>
        </w:rPr>
        <w:t xml:space="preserve"> </w:t>
      </w:r>
      <w:r w:rsidRPr="0057740C">
        <w:rPr>
          <w:rFonts w:cstheme="minorHAnsi"/>
          <w:sz w:val="22"/>
          <w:szCs w:val="22"/>
        </w:rPr>
        <w:lastRenderedPageBreak/>
        <w:t xml:space="preserve">asked whether a doctor had ever told the participant they had </w:t>
      </w:r>
      <w:r w:rsidR="00340FED">
        <w:rPr>
          <w:rFonts w:cstheme="minorHAnsi"/>
          <w:sz w:val="22"/>
          <w:szCs w:val="22"/>
        </w:rPr>
        <w:t>the</w:t>
      </w:r>
      <w:r w:rsidRPr="0057740C">
        <w:rPr>
          <w:rFonts w:cstheme="minorHAnsi"/>
          <w:sz w:val="22"/>
          <w:szCs w:val="22"/>
        </w:rPr>
        <w:t xml:space="preserve"> condition and whether the condition limited their typical daily activities</w:t>
      </w:r>
      <w:r w:rsidR="005600ED">
        <w:rPr>
          <w:rFonts w:cstheme="minorHAnsi"/>
          <w:sz w:val="22"/>
          <w:szCs w:val="22"/>
        </w:rPr>
        <w:t xml:space="preserve"> </w:t>
      </w:r>
      <w:r w:rsidR="005600ED">
        <w:rPr>
          <w:rFonts w:cstheme="minorHAnsi"/>
          <w:noProof/>
          <w:sz w:val="22"/>
          <w:szCs w:val="22"/>
        </w:rPr>
        <w:t>[</w:t>
      </w:r>
      <w:r>
        <w:rPr>
          <w:rFonts w:cstheme="minorHAnsi"/>
          <w:noProof/>
          <w:sz w:val="22"/>
          <w:szCs w:val="22"/>
        </w:rPr>
        <w:t>23</w:t>
      </w:r>
      <w:r w:rsidR="005600ED">
        <w:rPr>
          <w:rFonts w:cstheme="minorHAnsi"/>
          <w:noProof/>
          <w:sz w:val="22"/>
          <w:szCs w:val="22"/>
        </w:rPr>
        <w:t>]</w:t>
      </w:r>
      <w:r w:rsidRPr="0057740C">
        <w:rPr>
          <w:rFonts w:cstheme="minorHAnsi"/>
          <w:sz w:val="22"/>
          <w:szCs w:val="22"/>
        </w:rPr>
        <w:t>.</w:t>
      </w:r>
    </w:p>
    <w:p w14:paraId="2B178BE6" w14:textId="77777777" w:rsidR="00323CE3" w:rsidRPr="008A350D" w:rsidRDefault="00323CE3" w:rsidP="00D276D9">
      <w:pPr>
        <w:pStyle w:val="CommentText"/>
        <w:spacing w:after="0" w:line="480" w:lineRule="auto"/>
        <w:rPr>
          <w:rFonts w:cstheme="minorHAnsi"/>
          <w:sz w:val="22"/>
          <w:szCs w:val="22"/>
        </w:rPr>
      </w:pPr>
    </w:p>
    <w:p w14:paraId="415EC933" w14:textId="77777777" w:rsidR="00323CE3" w:rsidRPr="00AF1F8A" w:rsidRDefault="00323CE3" w:rsidP="00AF1F8A">
      <w:pPr>
        <w:spacing w:after="0" w:line="480" w:lineRule="auto"/>
        <w:rPr>
          <w:rFonts w:cstheme="minorHAnsi"/>
          <w:b/>
          <w:bCs/>
          <w:sz w:val="28"/>
          <w:szCs w:val="28"/>
        </w:rPr>
      </w:pPr>
      <w:r w:rsidRPr="00AF1F8A">
        <w:rPr>
          <w:rFonts w:cstheme="minorHAnsi"/>
          <w:b/>
          <w:bCs/>
          <w:sz w:val="28"/>
          <w:szCs w:val="28"/>
        </w:rPr>
        <w:t>Environmental Factors</w:t>
      </w:r>
    </w:p>
    <w:p w14:paraId="6C5990C7" w14:textId="4C6E5C53" w:rsidR="00323CE3" w:rsidRDefault="00323CE3" w:rsidP="00D276D9">
      <w:pPr>
        <w:autoSpaceDE w:val="0"/>
        <w:autoSpaceDN w:val="0"/>
        <w:adjustRightInd w:val="0"/>
        <w:spacing w:after="0" w:line="480" w:lineRule="auto"/>
        <w:rPr>
          <w:rFonts w:cstheme="minorHAnsi"/>
        </w:rPr>
      </w:pPr>
      <w:r w:rsidRPr="007E605C">
        <w:rPr>
          <w:rFonts w:cstheme="minorHAnsi"/>
        </w:rPr>
        <w:t>Social support was assessed using the Medical Outcomes Study (MOS)</w:t>
      </w:r>
      <w:r>
        <w:rPr>
          <w:rFonts w:cstheme="minorHAnsi"/>
        </w:rPr>
        <w:t xml:space="preserve"> </w:t>
      </w:r>
      <w:r w:rsidRPr="007E605C">
        <w:rPr>
          <w:rFonts w:cstheme="minorHAnsi"/>
        </w:rPr>
        <w:t>19</w:t>
      </w:r>
      <w:r>
        <w:rPr>
          <w:rFonts w:cstheme="minorHAnsi"/>
        </w:rPr>
        <w:t>-</w:t>
      </w:r>
      <w:r w:rsidRPr="007E605C">
        <w:rPr>
          <w:rFonts w:cstheme="minorHAnsi"/>
        </w:rPr>
        <w:t>item scale</w:t>
      </w:r>
      <w:r>
        <w:rPr>
          <w:rFonts w:cstheme="minorHAnsi"/>
        </w:rPr>
        <w:t>, where h</w:t>
      </w:r>
      <w:r w:rsidRPr="007E605C">
        <w:rPr>
          <w:rFonts w:cstheme="minorHAnsi"/>
        </w:rPr>
        <w:t>igher scores indicate greater social support</w:t>
      </w:r>
      <w:r>
        <w:rPr>
          <w:rFonts w:cstheme="minorHAnsi"/>
        </w:rPr>
        <w:t xml:space="preserve"> (range 0-100)</w:t>
      </w:r>
      <w:r w:rsidR="005600ED">
        <w:rPr>
          <w:rFonts w:cstheme="minorHAnsi"/>
        </w:rPr>
        <w:t xml:space="preserve"> </w:t>
      </w:r>
      <w:r w:rsidR="005600ED">
        <w:rPr>
          <w:rFonts w:cstheme="minorHAnsi"/>
          <w:noProof/>
        </w:rPr>
        <w:t>[</w:t>
      </w:r>
      <w:r>
        <w:rPr>
          <w:rFonts w:cstheme="minorHAnsi"/>
          <w:noProof/>
        </w:rPr>
        <w:t>24</w:t>
      </w:r>
      <w:r w:rsidR="005600ED">
        <w:rPr>
          <w:rFonts w:cstheme="minorHAnsi"/>
          <w:noProof/>
        </w:rPr>
        <w:t>]</w:t>
      </w:r>
      <w:r w:rsidRPr="007E605C">
        <w:rPr>
          <w:rFonts w:cstheme="minorHAnsi"/>
        </w:rPr>
        <w:t>.</w:t>
      </w:r>
      <w:r>
        <w:rPr>
          <w:rFonts w:cstheme="minorHAnsi"/>
        </w:rPr>
        <w:t xml:space="preserve">  An overall </w:t>
      </w:r>
      <w:r>
        <w:rPr>
          <w:lang w:val="en"/>
        </w:rPr>
        <w:t>score of ≥ 80 was considered good social support</w:t>
      </w:r>
      <w:r w:rsidR="005600ED">
        <w:rPr>
          <w:lang w:val="en"/>
        </w:rPr>
        <w:t xml:space="preserve"> </w:t>
      </w:r>
      <w:r w:rsidR="005600ED">
        <w:rPr>
          <w:noProof/>
          <w:lang w:val="en"/>
        </w:rPr>
        <w:t>[</w:t>
      </w:r>
      <w:r>
        <w:rPr>
          <w:noProof/>
          <w:lang w:val="en"/>
        </w:rPr>
        <w:t>25</w:t>
      </w:r>
      <w:r w:rsidR="005600ED">
        <w:rPr>
          <w:noProof/>
          <w:lang w:val="en"/>
        </w:rPr>
        <w:t>]</w:t>
      </w:r>
      <w:r>
        <w:rPr>
          <w:lang w:val="en"/>
        </w:rPr>
        <w:t xml:space="preserve">.  </w:t>
      </w:r>
      <w:r w:rsidRPr="007E605C">
        <w:rPr>
          <w:rFonts w:cstheme="minorHAnsi"/>
        </w:rPr>
        <w:t>Whether</w:t>
      </w:r>
      <w:r>
        <w:rPr>
          <w:rFonts w:cstheme="minorHAnsi"/>
        </w:rPr>
        <w:t xml:space="preserve"> or not</w:t>
      </w:r>
      <w:r w:rsidRPr="007E605C">
        <w:rPr>
          <w:rFonts w:cstheme="minorHAnsi"/>
        </w:rPr>
        <w:t xml:space="preserve"> participants live</w:t>
      </w:r>
      <w:r>
        <w:rPr>
          <w:rFonts w:cstheme="minorHAnsi"/>
        </w:rPr>
        <w:t>d</w:t>
      </w:r>
      <w:r w:rsidRPr="007E605C">
        <w:rPr>
          <w:rFonts w:cstheme="minorHAnsi"/>
        </w:rPr>
        <w:t xml:space="preserve"> alone was assessed by self‐report in questionnaires.  </w:t>
      </w:r>
    </w:p>
    <w:p w14:paraId="431407AC" w14:textId="77777777" w:rsidR="00323CE3" w:rsidRPr="007E605C" w:rsidRDefault="00323CE3" w:rsidP="00D276D9">
      <w:pPr>
        <w:autoSpaceDE w:val="0"/>
        <w:autoSpaceDN w:val="0"/>
        <w:adjustRightInd w:val="0"/>
        <w:spacing w:after="0" w:line="480" w:lineRule="auto"/>
        <w:rPr>
          <w:rFonts w:cstheme="minorHAnsi"/>
        </w:rPr>
      </w:pPr>
    </w:p>
    <w:p w14:paraId="7277222E" w14:textId="77777777" w:rsidR="00323CE3" w:rsidRPr="00AF1F8A" w:rsidRDefault="00323CE3" w:rsidP="00AF1F8A">
      <w:pPr>
        <w:spacing w:after="0" w:line="480" w:lineRule="auto"/>
        <w:rPr>
          <w:rFonts w:cstheme="minorHAnsi"/>
          <w:b/>
          <w:bCs/>
          <w:sz w:val="28"/>
          <w:szCs w:val="28"/>
        </w:rPr>
      </w:pPr>
      <w:r w:rsidRPr="00AF1F8A">
        <w:rPr>
          <w:rFonts w:cstheme="minorHAnsi"/>
          <w:b/>
          <w:bCs/>
          <w:sz w:val="28"/>
          <w:szCs w:val="28"/>
        </w:rPr>
        <w:t>Personal factors</w:t>
      </w:r>
    </w:p>
    <w:p w14:paraId="5F67309A" w14:textId="5254F780" w:rsidR="00323CE3" w:rsidRPr="00CF0DB5" w:rsidRDefault="00323CE3" w:rsidP="00D276D9">
      <w:pPr>
        <w:autoSpaceDE w:val="0"/>
        <w:autoSpaceDN w:val="0"/>
        <w:adjustRightInd w:val="0"/>
        <w:spacing w:after="0" w:line="480" w:lineRule="auto"/>
        <w:rPr>
          <w:rFonts w:cstheme="minorHAnsi"/>
        </w:rPr>
      </w:pPr>
      <w:r w:rsidRPr="007E605C">
        <w:rPr>
          <w:rFonts w:cstheme="minorHAnsi"/>
        </w:rPr>
        <w:t xml:space="preserve">Personal factors were assessed using validated measures in </w:t>
      </w:r>
      <w:r>
        <w:rPr>
          <w:rFonts w:cstheme="minorHAnsi"/>
        </w:rPr>
        <w:t xml:space="preserve">the </w:t>
      </w:r>
      <w:r w:rsidRPr="007E605C">
        <w:rPr>
          <w:rFonts w:cstheme="minorHAnsi"/>
        </w:rPr>
        <w:t xml:space="preserve">self-report questionnaires.  Depression and anxiety were assessed using the </w:t>
      </w:r>
      <w:r w:rsidRPr="00CF0DB5">
        <w:rPr>
          <w:rFonts w:cstheme="minorHAnsi"/>
        </w:rPr>
        <w:t>Centre for Epidemiological Studies Depression Scale (CES-D)</w:t>
      </w:r>
      <w:r w:rsidR="005600ED">
        <w:rPr>
          <w:rFonts w:cstheme="minorHAnsi"/>
        </w:rPr>
        <w:t xml:space="preserve"> </w:t>
      </w:r>
      <w:r w:rsidR="005600ED">
        <w:rPr>
          <w:rFonts w:cstheme="minorHAnsi"/>
          <w:noProof/>
        </w:rPr>
        <w:t>[</w:t>
      </w:r>
      <w:r>
        <w:rPr>
          <w:rFonts w:cstheme="minorHAnsi"/>
          <w:noProof/>
        </w:rPr>
        <w:t>26</w:t>
      </w:r>
      <w:r w:rsidR="005600ED">
        <w:rPr>
          <w:rFonts w:cstheme="minorHAnsi"/>
          <w:noProof/>
        </w:rPr>
        <w:t>]</w:t>
      </w:r>
      <w:r w:rsidRPr="00CF0DB5">
        <w:rPr>
          <w:rFonts w:cstheme="minorHAnsi"/>
        </w:rPr>
        <w:t xml:space="preserve"> and the State-Trait Anxiety Inventory (STAI)</w:t>
      </w:r>
      <w:r w:rsidR="005600ED">
        <w:rPr>
          <w:rFonts w:cstheme="minorHAnsi"/>
        </w:rPr>
        <w:t xml:space="preserve"> </w:t>
      </w:r>
      <w:r w:rsidR="005600ED">
        <w:rPr>
          <w:rFonts w:cstheme="minorHAnsi"/>
          <w:noProof/>
        </w:rPr>
        <w:t>[</w:t>
      </w:r>
      <w:r>
        <w:rPr>
          <w:rFonts w:cstheme="minorHAnsi"/>
          <w:noProof/>
        </w:rPr>
        <w:t>27</w:t>
      </w:r>
      <w:r w:rsidR="005600ED">
        <w:rPr>
          <w:rFonts w:cstheme="minorHAnsi"/>
          <w:noProof/>
        </w:rPr>
        <w:t>]</w:t>
      </w:r>
      <w:r>
        <w:rPr>
          <w:rFonts w:cstheme="minorHAnsi"/>
        </w:rPr>
        <w:t>, respectively</w:t>
      </w:r>
      <w:r w:rsidRPr="00CF0DB5">
        <w:rPr>
          <w:rFonts w:cstheme="minorHAnsi"/>
        </w:rPr>
        <w:t>.  Both are 20</w:t>
      </w:r>
      <w:r>
        <w:rPr>
          <w:rFonts w:cstheme="minorHAnsi"/>
        </w:rPr>
        <w:t>-</w:t>
      </w:r>
      <w:r w:rsidRPr="00CF0DB5">
        <w:rPr>
          <w:rFonts w:cstheme="minorHAnsi"/>
        </w:rPr>
        <w:t>item measures, where higher scores indicate greater depression or anxiety.</w:t>
      </w:r>
      <w:r>
        <w:rPr>
          <w:rFonts w:cstheme="minorHAnsi"/>
        </w:rPr>
        <w:t xml:space="preserve">  Scores</w:t>
      </w:r>
      <w:r w:rsidRPr="00577F14">
        <w:rPr>
          <w:rFonts w:cstheme="minorHAnsi"/>
        </w:rPr>
        <w:t xml:space="preserve"> ≥40 </w:t>
      </w:r>
      <w:r>
        <w:rPr>
          <w:rFonts w:cstheme="minorHAnsi"/>
        </w:rPr>
        <w:t xml:space="preserve">on the STAI </w:t>
      </w:r>
      <w:r w:rsidRPr="00577F14">
        <w:rPr>
          <w:rFonts w:cstheme="minorHAnsi"/>
        </w:rPr>
        <w:t>suggest clinically significant anxiety</w:t>
      </w:r>
      <w:r>
        <w:rPr>
          <w:rFonts w:cstheme="minorHAnsi"/>
        </w:rPr>
        <w:t xml:space="preserve"> </w:t>
      </w:r>
      <w:r w:rsidRPr="00577F14">
        <w:rPr>
          <w:rFonts w:cstheme="minorHAnsi"/>
        </w:rPr>
        <w:t xml:space="preserve">and scores of ≥20 </w:t>
      </w:r>
      <w:r>
        <w:rPr>
          <w:rFonts w:cstheme="minorHAnsi"/>
        </w:rPr>
        <w:t xml:space="preserve">on the CES-D </w:t>
      </w:r>
      <w:r w:rsidRPr="00577F14">
        <w:rPr>
          <w:rFonts w:cstheme="minorHAnsi"/>
        </w:rPr>
        <w:t>suggest clinical depression.</w:t>
      </w:r>
      <w:r>
        <w:rPr>
          <w:rFonts w:cstheme="minorHAnsi"/>
        </w:rPr>
        <w:t xml:space="preserve">  </w:t>
      </w:r>
      <w:r w:rsidRPr="00CF0DB5">
        <w:rPr>
          <w:rFonts w:cstheme="minorHAnsi"/>
        </w:rPr>
        <w:t xml:space="preserve">Self-efficacy was assessed using the Self-efficacy for Managing Chronic Disease (SEMCD) Scale, a 6-item measure using </w:t>
      </w:r>
      <w:r>
        <w:rPr>
          <w:rFonts w:cstheme="minorHAnsi"/>
        </w:rPr>
        <w:t xml:space="preserve">a rating </w:t>
      </w:r>
      <w:r w:rsidRPr="00CF0DB5">
        <w:rPr>
          <w:rFonts w:cstheme="minorHAnsi"/>
        </w:rPr>
        <w:t xml:space="preserve">scale from </w:t>
      </w:r>
      <w:r>
        <w:rPr>
          <w:rFonts w:cstheme="minorHAnsi"/>
        </w:rPr>
        <w:t>1-10</w:t>
      </w:r>
      <w:r w:rsidRPr="00CF0DB5">
        <w:rPr>
          <w:rFonts w:cstheme="minorHAnsi"/>
        </w:rPr>
        <w:t>.</w:t>
      </w:r>
      <w:r>
        <w:rPr>
          <w:rFonts w:cstheme="minorHAnsi"/>
        </w:rPr>
        <w:t xml:space="preserve">  T</w:t>
      </w:r>
      <w:r w:rsidRPr="00CF0DB5">
        <w:rPr>
          <w:rFonts w:cstheme="minorHAnsi"/>
        </w:rPr>
        <w:t xml:space="preserve">he </w:t>
      </w:r>
      <w:r>
        <w:rPr>
          <w:rFonts w:cstheme="minorHAnsi"/>
        </w:rPr>
        <w:t>mean of all</w:t>
      </w:r>
      <w:r w:rsidRPr="00CF0DB5">
        <w:rPr>
          <w:rFonts w:cstheme="minorHAnsi"/>
        </w:rPr>
        <w:t xml:space="preserve"> items</w:t>
      </w:r>
      <w:r>
        <w:rPr>
          <w:rFonts w:cstheme="minorHAnsi"/>
        </w:rPr>
        <w:t xml:space="preserve"> provides an overall score</w:t>
      </w:r>
      <w:r w:rsidRPr="00CF0DB5">
        <w:rPr>
          <w:rFonts w:cstheme="minorHAnsi"/>
        </w:rPr>
        <w:t>, with higher scores indicating greater confidence to manage illness-related problems</w:t>
      </w:r>
      <w:r w:rsidR="005600ED">
        <w:rPr>
          <w:rFonts w:cstheme="minorHAnsi"/>
        </w:rPr>
        <w:t xml:space="preserve"> </w:t>
      </w:r>
      <w:r w:rsidR="005600ED">
        <w:rPr>
          <w:rFonts w:cstheme="minorHAnsi"/>
          <w:noProof/>
        </w:rPr>
        <w:t>[</w:t>
      </w:r>
      <w:r>
        <w:rPr>
          <w:rFonts w:cstheme="minorHAnsi"/>
          <w:noProof/>
        </w:rPr>
        <w:t>28</w:t>
      </w:r>
      <w:r w:rsidR="005600ED">
        <w:rPr>
          <w:rFonts w:cstheme="minorHAnsi"/>
          <w:noProof/>
        </w:rPr>
        <w:t>]</w:t>
      </w:r>
      <w:r>
        <w:rPr>
          <w:rFonts w:cstheme="minorHAnsi"/>
        </w:rPr>
        <w:t>.  The following c</w:t>
      </w:r>
      <w:r w:rsidRPr="00CF0DB5">
        <w:rPr>
          <w:rFonts w:cstheme="minorHAnsi"/>
        </w:rPr>
        <w:t>ut-offs were assigned</w:t>
      </w:r>
      <w:r>
        <w:rPr>
          <w:rFonts w:cstheme="minorHAnsi"/>
        </w:rPr>
        <w:t xml:space="preserve"> to reflect different levels of self-efficacy</w:t>
      </w:r>
      <w:r w:rsidRPr="00CF0DB5">
        <w:rPr>
          <w:rFonts w:cstheme="minorHAnsi"/>
        </w:rPr>
        <w:t>: 1–4 ‘low confidence’, 5–6 ‘moderate</w:t>
      </w:r>
      <w:r>
        <w:rPr>
          <w:rFonts w:cstheme="minorHAnsi"/>
        </w:rPr>
        <w:t xml:space="preserve"> </w:t>
      </w:r>
      <w:r w:rsidRPr="00CF0DB5">
        <w:rPr>
          <w:rFonts w:cstheme="minorHAnsi"/>
        </w:rPr>
        <w:t>confidence’, 7–8 ‘confident’ and 9–10 ‘very confident’</w:t>
      </w:r>
      <w:r w:rsidR="005600ED">
        <w:rPr>
          <w:rFonts w:cstheme="minorHAnsi"/>
        </w:rPr>
        <w:t xml:space="preserve"> </w:t>
      </w:r>
      <w:r w:rsidR="005600ED">
        <w:rPr>
          <w:rFonts w:cstheme="minorHAnsi"/>
          <w:noProof/>
        </w:rPr>
        <w:t>[</w:t>
      </w:r>
      <w:r>
        <w:rPr>
          <w:rFonts w:cstheme="minorHAnsi"/>
          <w:noProof/>
        </w:rPr>
        <w:t>29</w:t>
      </w:r>
      <w:r w:rsidR="005600ED">
        <w:rPr>
          <w:rFonts w:cstheme="minorHAnsi"/>
          <w:noProof/>
        </w:rPr>
        <w:t>]</w:t>
      </w:r>
      <w:r w:rsidRPr="00CF0DB5">
        <w:rPr>
          <w:rFonts w:cstheme="minorHAnsi"/>
        </w:rPr>
        <w:t xml:space="preserve">.  </w:t>
      </w:r>
    </w:p>
    <w:p w14:paraId="14C06162" w14:textId="77777777" w:rsidR="00323CE3" w:rsidRPr="007E605C" w:rsidRDefault="00323CE3" w:rsidP="00D276D9">
      <w:pPr>
        <w:autoSpaceDE w:val="0"/>
        <w:autoSpaceDN w:val="0"/>
        <w:adjustRightInd w:val="0"/>
        <w:spacing w:after="0" w:line="480" w:lineRule="auto"/>
        <w:rPr>
          <w:rFonts w:cstheme="minorHAnsi"/>
        </w:rPr>
      </w:pPr>
    </w:p>
    <w:p w14:paraId="3364B37C" w14:textId="77777777" w:rsidR="00323CE3" w:rsidRPr="00DE1B48" w:rsidRDefault="00323CE3" w:rsidP="00D276D9">
      <w:pPr>
        <w:autoSpaceDE w:val="0"/>
        <w:autoSpaceDN w:val="0"/>
        <w:adjustRightInd w:val="0"/>
        <w:spacing w:after="0" w:line="480" w:lineRule="auto"/>
        <w:rPr>
          <w:rFonts w:cstheme="minorHAnsi"/>
          <w:bCs/>
          <w:strike/>
        </w:rPr>
      </w:pPr>
    </w:p>
    <w:p w14:paraId="39466F71"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t>Statistical Analysis</w:t>
      </w:r>
    </w:p>
    <w:p w14:paraId="5E2E2242" w14:textId="77777777" w:rsidR="00323CE3" w:rsidRDefault="00323CE3" w:rsidP="00D276D9">
      <w:pPr>
        <w:spacing w:after="0" w:line="480" w:lineRule="auto"/>
      </w:pPr>
    </w:p>
    <w:p w14:paraId="2AE52082" w14:textId="77777777" w:rsidR="00323CE3" w:rsidRDefault="00323CE3" w:rsidP="00D276D9">
      <w:pPr>
        <w:autoSpaceDE w:val="0"/>
        <w:autoSpaceDN w:val="0"/>
        <w:adjustRightInd w:val="0"/>
        <w:spacing w:after="0" w:line="480" w:lineRule="auto"/>
      </w:pPr>
      <w:r w:rsidRPr="00CC1FD1">
        <w:rPr>
          <w:rFonts w:cstheme="minorHAnsi"/>
          <w:bCs/>
        </w:rPr>
        <w:lastRenderedPageBreak/>
        <w:t xml:space="preserve">All </w:t>
      </w:r>
      <w:r w:rsidRPr="001359FA">
        <w:rPr>
          <w:rFonts w:cstheme="minorHAnsi"/>
          <w:bCs/>
        </w:rPr>
        <w:t>predictor</w:t>
      </w:r>
      <w:r>
        <w:rPr>
          <w:rFonts w:cstheme="minorHAnsi"/>
          <w:bCs/>
        </w:rPr>
        <w:t>s and outcomes</w:t>
      </w:r>
      <w:r w:rsidRPr="00CC1FD1">
        <w:rPr>
          <w:rFonts w:cstheme="minorHAnsi"/>
          <w:bCs/>
        </w:rPr>
        <w:t xml:space="preserve"> were assessed at baseline (pre-surgery), except for comorbidities and living alone status (questionnaire self-report at 3 months)</w:t>
      </w:r>
      <w:r>
        <w:rPr>
          <w:rFonts w:cstheme="minorHAnsi"/>
          <w:bCs/>
        </w:rPr>
        <w:t xml:space="preserve">. </w:t>
      </w:r>
      <w:r w:rsidRPr="00CC1FD1">
        <w:rPr>
          <w:rFonts w:cstheme="minorHAnsi"/>
          <w:bCs/>
        </w:rPr>
        <w:t xml:space="preserve">Several </w:t>
      </w:r>
      <w:r>
        <w:rPr>
          <w:rFonts w:cstheme="minorHAnsi"/>
          <w:bCs/>
        </w:rPr>
        <w:t>variables</w:t>
      </w:r>
      <w:r w:rsidRPr="00CC1FD1">
        <w:rPr>
          <w:rFonts w:cstheme="minorHAnsi"/>
          <w:bCs/>
        </w:rPr>
        <w:t xml:space="preserve"> were assessed at multiple</w:t>
      </w:r>
      <w:r>
        <w:rPr>
          <w:rFonts w:cstheme="minorHAnsi"/>
          <w:bCs/>
        </w:rPr>
        <w:t xml:space="preserve"> </w:t>
      </w:r>
      <w:r w:rsidRPr="00CC1FD1">
        <w:rPr>
          <w:rFonts w:cstheme="minorHAnsi"/>
          <w:bCs/>
        </w:rPr>
        <w:t xml:space="preserve">timepoints post-surgery: </w:t>
      </w:r>
      <w:r>
        <w:rPr>
          <w:rFonts w:cstheme="minorHAnsi"/>
          <w:bCs/>
        </w:rPr>
        <w:t>QLACS-GSS, five EQ-5D domains</w:t>
      </w:r>
      <w:r w:rsidRPr="00CC1FD1">
        <w:rPr>
          <w:rFonts w:cstheme="minorHAnsi"/>
          <w:bCs/>
        </w:rPr>
        <w:t>, living alone status, MOS, CES-D, STAI and SEMCD.</w:t>
      </w:r>
      <w:r>
        <w:t xml:space="preserve"> Continuous variables were categorised according to the guidelines on clinically significant cut offs (see Measures).  There was less than 5% of missing data in each variable, hence, no categories for missing data were included for any variable (</w:t>
      </w:r>
      <w:r w:rsidRPr="00B4286A">
        <w:rPr>
          <w:rFonts w:cstheme="minorHAnsi"/>
          <w:lang w:val="en"/>
        </w:rPr>
        <w:t>but accounted for in the column percentages</w:t>
      </w:r>
      <w:r>
        <w:rPr>
          <w:rFonts w:cstheme="minorHAnsi"/>
          <w:lang w:val="en"/>
        </w:rPr>
        <w:t xml:space="preserve"> in the descriptive output)</w:t>
      </w:r>
      <w:r>
        <w:t>.</w:t>
      </w:r>
    </w:p>
    <w:p w14:paraId="331CEF99" w14:textId="77777777" w:rsidR="00323CE3" w:rsidRDefault="00323CE3" w:rsidP="00D276D9">
      <w:pPr>
        <w:spacing w:after="0" w:line="480" w:lineRule="auto"/>
      </w:pPr>
    </w:p>
    <w:p w14:paraId="78208849" w14:textId="20A7B973" w:rsidR="00323CE3" w:rsidRDefault="00323CE3" w:rsidP="00D276D9">
      <w:pPr>
        <w:spacing w:after="0" w:line="480" w:lineRule="auto"/>
      </w:pPr>
      <w:r>
        <w:t>Descriptive analyses compared baseline values of all variables for four age sub-groups</w:t>
      </w:r>
      <w:r w:rsidRPr="006430B6">
        <w:t xml:space="preserve"> </w:t>
      </w:r>
      <w:r>
        <w:t xml:space="preserve">of older participants (65-69, 70-74, 75-79, </w:t>
      </w:r>
      <w:r w:rsidRPr="00AF1F8A">
        <w:rPr>
          <w:u w:val="single"/>
        </w:rPr>
        <w:t>&gt;</w:t>
      </w:r>
      <w:r w:rsidRPr="00017E9C">
        <w:t>80</w:t>
      </w:r>
      <w:r>
        <w:t xml:space="preserve"> </w:t>
      </w:r>
      <w:r w:rsidRPr="00017E9C">
        <w:t>years</w:t>
      </w:r>
      <w:r>
        <w:t>).  We also compared baseline values of the outcomes with their values at each follow-up timepoint. U</w:t>
      </w:r>
      <w:r w:rsidRPr="00FA1371">
        <w:t>sing Shapiro–Wilk and Shapiro–Francia tests</w:t>
      </w:r>
      <w:r>
        <w:t>, preliminary normality assessment revealed a non-parametric distribution</w:t>
      </w:r>
      <w:r w:rsidRPr="00FA1371">
        <w:t xml:space="preserve"> </w:t>
      </w:r>
      <w:r>
        <w:t xml:space="preserve">in QLACS-GSS by </w:t>
      </w:r>
      <w:r w:rsidRPr="00790EF1">
        <w:t xml:space="preserve">each age group. Therefore, a median with lower and upper quartiles was indicated for QLACS-GSS using a </w:t>
      </w:r>
      <w:r w:rsidRPr="002D25C3">
        <w:t>Kruskal-Wallis rank test</w:t>
      </w:r>
      <w:r>
        <w:t xml:space="preserve"> in the four age sub-groups</w:t>
      </w:r>
      <w:r w:rsidRPr="00790EF1">
        <w:t xml:space="preserve"> </w:t>
      </w:r>
      <w:r>
        <w:t xml:space="preserve">and </w:t>
      </w:r>
      <w:r w:rsidRPr="00790EF1">
        <w:t>Mann-Whitney test</w:t>
      </w:r>
      <w:r>
        <w:t xml:space="preserve"> in the comparison with follow-up timepoints. The differences in categorical variables by each grouping type were assessed using a chi-squared test. In addition, similar descriptive analyses were conducted comparing older (</w:t>
      </w:r>
      <w:r w:rsidR="00611A0F" w:rsidRPr="00EF136D">
        <w:rPr>
          <w:rFonts w:cstheme="minorHAnsi"/>
          <w:u w:val="single"/>
        </w:rPr>
        <w:t>&gt;</w:t>
      </w:r>
      <w:r w:rsidR="00611A0F">
        <w:rPr>
          <w:rFonts w:cstheme="minorHAnsi"/>
        </w:rPr>
        <w:t>65</w:t>
      </w:r>
      <w:r>
        <w:t>) and younger (&lt;65) CREW participants to add context to our findings for older people.</w:t>
      </w:r>
    </w:p>
    <w:p w14:paraId="13195235" w14:textId="77777777" w:rsidR="00323CE3" w:rsidRDefault="00323CE3" w:rsidP="00D276D9">
      <w:pPr>
        <w:spacing w:after="0" w:line="480" w:lineRule="auto"/>
      </w:pPr>
    </w:p>
    <w:p w14:paraId="4D736E21" w14:textId="1C53BD05" w:rsidR="00323CE3" w:rsidRDefault="00323CE3" w:rsidP="00D276D9">
      <w:pPr>
        <w:spacing w:after="0" w:line="480" w:lineRule="auto"/>
      </w:pPr>
      <w:r w:rsidRPr="00EB0B87">
        <w:t>Multivariable regression analyses were conducted for</w:t>
      </w:r>
      <w:r>
        <w:t xml:space="preserve"> the</w:t>
      </w:r>
      <w:r w:rsidRPr="00EB0B87">
        <w:t xml:space="preserve"> QLACS-GSS and </w:t>
      </w:r>
      <w:r>
        <w:t>each</w:t>
      </w:r>
      <w:r w:rsidRPr="00EB0B87">
        <w:t xml:space="preserve"> EQ-5D domain to</w:t>
      </w:r>
      <w:r>
        <w:t xml:space="preserve"> identify those baseline risk </w:t>
      </w:r>
      <w:r w:rsidRPr="00D47FD1">
        <w:t>factors</w:t>
      </w:r>
      <w:r>
        <w:t xml:space="preserve"> which were </w:t>
      </w:r>
      <w:r w:rsidRPr="00D47FD1">
        <w:t>associated with poorer outcomes</w:t>
      </w:r>
      <w:r>
        <w:t xml:space="preserve"> for older participants </w:t>
      </w:r>
      <w:r w:rsidRPr="00364787">
        <w:t xml:space="preserve">over </w:t>
      </w:r>
      <w:r>
        <w:t xml:space="preserve">the </w:t>
      </w:r>
      <w:r w:rsidRPr="00364787">
        <w:t>5</w:t>
      </w:r>
      <w:r>
        <w:t>-</w:t>
      </w:r>
      <w:r w:rsidRPr="00364787">
        <w:t>year</w:t>
      </w:r>
      <w:r>
        <w:t xml:space="preserve"> follow-up.  </w:t>
      </w:r>
      <w:r w:rsidRPr="00EB0B87" w:rsidDel="00945550">
        <w:t>A log-linear regression model was applied for QLACS-GSS to meet the assumption of normal distribution</w:t>
      </w:r>
      <w:r>
        <w:t>.  E</w:t>
      </w:r>
      <w:r w:rsidRPr="00EB0B87" w:rsidDel="00945550">
        <w:t xml:space="preserve">ach EQ-5D domain had a logistic regression model fitted to predict the likelihood of </w:t>
      </w:r>
      <w:r>
        <w:t xml:space="preserve">presence of problems </w:t>
      </w:r>
      <w:r w:rsidDel="00945550">
        <w:t>separately in each domain.</w:t>
      </w:r>
      <w:r>
        <w:t xml:space="preserve">  STAI and CES-D were not included as predictors in the regression model of ‘Anxiety/Depression’ EQ-5D domain due to their high correlation with this outcome. </w:t>
      </w:r>
    </w:p>
    <w:p w14:paraId="6054CEA3" w14:textId="77777777" w:rsidR="00323CE3" w:rsidRDefault="00323CE3" w:rsidP="00D276D9">
      <w:pPr>
        <w:spacing w:after="0" w:line="480" w:lineRule="auto"/>
      </w:pPr>
    </w:p>
    <w:p w14:paraId="30883D93" w14:textId="046E973A" w:rsidR="00323CE3" w:rsidRDefault="00323CE3" w:rsidP="00D276D9">
      <w:pPr>
        <w:spacing w:after="0" w:line="480" w:lineRule="auto"/>
      </w:pPr>
      <w:r>
        <w:lastRenderedPageBreak/>
        <w:t xml:space="preserve">To be able to observe the associations between pre-surgery predictors and post-surgery outcomes, individuals </w:t>
      </w:r>
      <w:r w:rsidRPr="009101B6">
        <w:t>who participated at baseline and a</w:t>
      </w:r>
      <w:r>
        <w:t>t least one other timepoint were</w:t>
      </w:r>
      <w:r w:rsidRPr="009101B6">
        <w:t xml:space="preserve"> included</w:t>
      </w:r>
      <w:r>
        <w:t xml:space="preserve"> in the regression analyses</w:t>
      </w:r>
      <w:r w:rsidRPr="00FD27E0">
        <w:t>.  Descriptive statistics accounted for anyone who completed the baseline questionnaire and reported their date of birth.</w:t>
      </w:r>
      <w:r>
        <w:t xml:space="preserve">  There was no imputation of missing data, however, to minimise the attrition bias, a</w:t>
      </w:r>
      <w:r w:rsidRPr="00EB0B87">
        <w:t xml:space="preserve"> population-average approach was applied </w:t>
      </w:r>
      <w:r>
        <w:t xml:space="preserve">in each regression model </w:t>
      </w:r>
      <w:r w:rsidRPr="00EB0B87">
        <w:t xml:space="preserve">to account for multiple observations of the same participants over </w:t>
      </w:r>
      <w:r>
        <w:t>5-year follow-up post-surgery; therefore, the time of participation after baseline was controlled for in each model</w:t>
      </w:r>
      <w:r w:rsidRPr="00EB0B87">
        <w:t>.</w:t>
      </w:r>
      <w:r>
        <w:t xml:space="preserve"> A backward stepwise selection criterion was applied in the regression analyses of each outcome allowing only statistically significant (p&lt;0.05) confounders to be carried forward in two steps: first, it was applied in each regression model per domain (</w:t>
      </w:r>
      <w:r w:rsidRPr="00213BAB">
        <w:t xml:space="preserve">see </w:t>
      </w:r>
      <w:r w:rsidR="00BA1261">
        <w:t xml:space="preserve">S1 </w:t>
      </w:r>
      <w:r w:rsidRPr="00213BAB">
        <w:t>Appendix)</w:t>
      </w:r>
      <w:r>
        <w:t xml:space="preserve">; second, the statistically significant predictors across all domains from step one </w:t>
      </w:r>
      <w:proofErr w:type="gramStart"/>
      <w:r>
        <w:t>were</w:t>
      </w:r>
      <w:proofErr w:type="gramEnd"/>
      <w:r>
        <w:t xml:space="preserve"> carried forward and tested for significance in a single regression model per outcome. All analyses were carried out at the 5% significance level using </w:t>
      </w:r>
      <w:r w:rsidRPr="003D173D">
        <w:t xml:space="preserve">Stata Corp. </w:t>
      </w:r>
      <w:proofErr w:type="spellStart"/>
      <w:r w:rsidRPr="003D173D">
        <w:t>StataSE</w:t>
      </w:r>
      <w:proofErr w:type="spellEnd"/>
      <w:r w:rsidRPr="003D173D">
        <w:t xml:space="preserve"> 14</w:t>
      </w:r>
      <w:r>
        <w:t>.</w:t>
      </w:r>
    </w:p>
    <w:p w14:paraId="75AEFBA1" w14:textId="77777777" w:rsidR="00323CE3" w:rsidRDefault="00323CE3" w:rsidP="00D276D9">
      <w:pPr>
        <w:spacing w:after="0" w:line="480" w:lineRule="auto"/>
        <w:rPr>
          <w:rFonts w:cstheme="minorHAnsi"/>
          <w:b/>
          <w:color w:val="385623" w:themeColor="accent6" w:themeShade="80"/>
          <w:u w:val="single"/>
        </w:rPr>
      </w:pPr>
    </w:p>
    <w:p w14:paraId="54F8376A" w14:textId="77777777" w:rsidR="00323CE3" w:rsidRDefault="00323CE3" w:rsidP="00D276D9">
      <w:pPr>
        <w:spacing w:after="0" w:line="480" w:lineRule="auto"/>
        <w:rPr>
          <w:rFonts w:cstheme="minorHAnsi"/>
          <w:b/>
          <w:color w:val="385623" w:themeColor="accent6" w:themeShade="80"/>
          <w:u w:val="single"/>
        </w:rPr>
      </w:pPr>
    </w:p>
    <w:p w14:paraId="5172B4F3" w14:textId="77777777" w:rsidR="00323CE3" w:rsidRPr="00AF1F8A" w:rsidRDefault="00323CE3" w:rsidP="00AF1F8A">
      <w:pPr>
        <w:spacing w:line="480" w:lineRule="auto"/>
        <w:rPr>
          <w:rFonts w:cstheme="minorHAnsi"/>
          <w:b/>
          <w:bCs/>
          <w:sz w:val="36"/>
          <w:szCs w:val="36"/>
        </w:rPr>
      </w:pPr>
      <w:r w:rsidRPr="00AF1F8A">
        <w:rPr>
          <w:rFonts w:cstheme="minorHAnsi"/>
          <w:b/>
          <w:bCs/>
          <w:sz w:val="36"/>
          <w:szCs w:val="36"/>
        </w:rPr>
        <w:t>Results</w:t>
      </w:r>
    </w:p>
    <w:p w14:paraId="3894A725" w14:textId="77777777" w:rsidR="00323CE3" w:rsidRDefault="00323CE3" w:rsidP="00D276D9">
      <w:pPr>
        <w:spacing w:after="0" w:line="480" w:lineRule="auto"/>
        <w:rPr>
          <w:rFonts w:cstheme="minorHAnsi"/>
          <w:b/>
          <w:u w:val="single"/>
        </w:rPr>
      </w:pPr>
    </w:p>
    <w:p w14:paraId="39DCFA41"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t>Participants</w:t>
      </w:r>
    </w:p>
    <w:p w14:paraId="1FA71ADE" w14:textId="3D23191E" w:rsidR="00323CE3" w:rsidRPr="00670C5D" w:rsidRDefault="00323CE3" w:rsidP="00D276D9">
      <w:pPr>
        <w:pStyle w:val="CommentText"/>
        <w:spacing w:after="0" w:line="480" w:lineRule="auto"/>
        <w:rPr>
          <w:sz w:val="22"/>
          <w:szCs w:val="22"/>
        </w:rPr>
      </w:pPr>
      <w:r w:rsidRPr="00AF1F8A">
        <w:rPr>
          <w:sz w:val="22"/>
          <w:szCs w:val="22"/>
        </w:rPr>
        <w:t xml:space="preserve">The CREW cohort is a representative sample of eligible patients treated during the recruitment period.  Recruitment and participation rates are described in detail </w:t>
      </w:r>
      <w:proofErr w:type="gramStart"/>
      <w:r w:rsidRPr="00AF1F8A">
        <w:rPr>
          <w:sz w:val="22"/>
          <w:szCs w:val="22"/>
        </w:rPr>
        <w:t>elsewhere</w:t>
      </w:r>
      <w:r w:rsidR="004D78F7" w:rsidRPr="00AF1F8A">
        <w:rPr>
          <w:sz w:val="22"/>
          <w:szCs w:val="22"/>
        </w:rPr>
        <w:t>[</w:t>
      </w:r>
      <w:proofErr w:type="gramEnd"/>
      <w:r w:rsidRPr="00AF1F8A">
        <w:rPr>
          <w:sz w:val="22"/>
          <w:szCs w:val="22"/>
        </w:rPr>
        <w:t>30</w:t>
      </w:r>
      <w:r w:rsidR="004D78F7" w:rsidRPr="00AF1F8A">
        <w:rPr>
          <w:sz w:val="22"/>
          <w:szCs w:val="22"/>
        </w:rPr>
        <w:t>]</w:t>
      </w:r>
      <w:r w:rsidRPr="00AF1F8A">
        <w:rPr>
          <w:sz w:val="22"/>
          <w:szCs w:val="22"/>
        </w:rPr>
        <w:t xml:space="preserve">.  </w:t>
      </w:r>
      <w:r w:rsidR="00C61A60" w:rsidRPr="00AF1F8A">
        <w:rPr>
          <w:sz w:val="22"/>
          <w:szCs w:val="22"/>
        </w:rPr>
        <w:t xml:space="preserve">Fig </w:t>
      </w:r>
      <w:r w:rsidR="003416F8" w:rsidRPr="00AF1F8A">
        <w:rPr>
          <w:sz w:val="22"/>
          <w:szCs w:val="22"/>
        </w:rPr>
        <w:t>2</w:t>
      </w:r>
      <w:r w:rsidR="00C61A60" w:rsidRPr="00AF1F8A">
        <w:rPr>
          <w:sz w:val="22"/>
          <w:szCs w:val="22"/>
        </w:rPr>
        <w:t xml:space="preserve"> shows the number</w:t>
      </w:r>
      <w:r w:rsidR="001E01A6" w:rsidRPr="00AF1F8A">
        <w:rPr>
          <w:sz w:val="22"/>
          <w:szCs w:val="22"/>
        </w:rPr>
        <w:t>s</w:t>
      </w:r>
      <w:r w:rsidR="00C61A60" w:rsidRPr="00AF1F8A">
        <w:rPr>
          <w:sz w:val="22"/>
          <w:szCs w:val="22"/>
        </w:rPr>
        <w:t xml:space="preserve"> of patients </w:t>
      </w:r>
      <w:r w:rsidR="001E01A6" w:rsidRPr="00AF1F8A">
        <w:rPr>
          <w:sz w:val="22"/>
          <w:szCs w:val="22"/>
        </w:rPr>
        <w:t xml:space="preserve">who were </w:t>
      </w:r>
      <w:r w:rsidR="00C61A60" w:rsidRPr="00AF1F8A">
        <w:rPr>
          <w:sz w:val="22"/>
          <w:szCs w:val="22"/>
        </w:rPr>
        <w:t xml:space="preserve">screened, </w:t>
      </w:r>
      <w:r w:rsidR="001E01A6" w:rsidRPr="00AF1F8A">
        <w:rPr>
          <w:sz w:val="22"/>
          <w:szCs w:val="22"/>
        </w:rPr>
        <w:t>e</w:t>
      </w:r>
      <w:r w:rsidR="00C61A60" w:rsidRPr="00AF1F8A">
        <w:rPr>
          <w:sz w:val="22"/>
          <w:szCs w:val="22"/>
        </w:rPr>
        <w:t xml:space="preserve">ligible and </w:t>
      </w:r>
      <w:r w:rsidR="004D78F7" w:rsidRPr="00AF1F8A">
        <w:rPr>
          <w:sz w:val="22"/>
          <w:szCs w:val="22"/>
        </w:rPr>
        <w:t xml:space="preserve">who </w:t>
      </w:r>
      <w:r w:rsidR="00C61A60" w:rsidRPr="00AF1F8A">
        <w:rPr>
          <w:sz w:val="22"/>
          <w:szCs w:val="22"/>
        </w:rPr>
        <w:t>g</w:t>
      </w:r>
      <w:r w:rsidR="004D78F7" w:rsidRPr="00AF1F8A">
        <w:rPr>
          <w:sz w:val="22"/>
          <w:szCs w:val="22"/>
        </w:rPr>
        <w:t>ave</w:t>
      </w:r>
      <w:r w:rsidR="00C61A60" w:rsidRPr="00AF1F8A">
        <w:rPr>
          <w:sz w:val="22"/>
          <w:szCs w:val="22"/>
        </w:rPr>
        <w:t xml:space="preserve"> consent to take part in the study. O</w:t>
      </w:r>
      <w:r w:rsidRPr="00AF1F8A">
        <w:rPr>
          <w:sz w:val="22"/>
          <w:szCs w:val="22"/>
        </w:rPr>
        <w:t xml:space="preserve">f those eligible (n=1,350), 78% agreed to </w:t>
      </w:r>
      <w:proofErr w:type="gramStart"/>
      <w:r w:rsidRPr="00AF1F8A">
        <w:rPr>
          <w:sz w:val="22"/>
          <w:szCs w:val="22"/>
        </w:rPr>
        <w:t>participate,  909</w:t>
      </w:r>
      <w:proofErr w:type="gramEnd"/>
      <w:r w:rsidRPr="00AF1F8A">
        <w:rPr>
          <w:sz w:val="22"/>
          <w:szCs w:val="22"/>
        </w:rPr>
        <w:t xml:space="preserve"> </w:t>
      </w:r>
      <w:r w:rsidR="00C61A60" w:rsidRPr="00AF1F8A">
        <w:rPr>
          <w:sz w:val="22"/>
          <w:szCs w:val="22"/>
        </w:rPr>
        <w:t xml:space="preserve">gave consent to receive questionnaires and </w:t>
      </w:r>
      <w:r w:rsidRPr="00AF1F8A">
        <w:rPr>
          <w:sz w:val="22"/>
          <w:szCs w:val="22"/>
        </w:rPr>
        <w:t>146 g</w:t>
      </w:r>
      <w:r w:rsidR="00C61A60" w:rsidRPr="00AF1F8A">
        <w:rPr>
          <w:sz w:val="22"/>
          <w:szCs w:val="22"/>
        </w:rPr>
        <w:t>ave</w:t>
      </w:r>
      <w:r w:rsidRPr="00AF1F8A">
        <w:rPr>
          <w:sz w:val="22"/>
          <w:szCs w:val="22"/>
        </w:rPr>
        <w:t xml:space="preserve"> consent for the collection of clinical data only. Excluding 48 individuals who were found to be ineligible following surgery, or who withdrew or died between consent and baseline, </w:t>
      </w:r>
      <w:r w:rsidR="004D78F7" w:rsidRPr="00AF1F8A">
        <w:rPr>
          <w:sz w:val="22"/>
          <w:szCs w:val="22"/>
        </w:rPr>
        <w:t xml:space="preserve">a total of </w:t>
      </w:r>
      <w:r w:rsidRPr="00AF1F8A">
        <w:rPr>
          <w:sz w:val="22"/>
          <w:szCs w:val="22"/>
        </w:rPr>
        <w:lastRenderedPageBreak/>
        <w:t xml:space="preserve">861 </w:t>
      </w:r>
      <w:r w:rsidR="004D78F7" w:rsidRPr="00AF1F8A">
        <w:rPr>
          <w:sz w:val="22"/>
          <w:szCs w:val="22"/>
        </w:rPr>
        <w:t xml:space="preserve">eligible </w:t>
      </w:r>
      <w:r w:rsidRPr="00AF1F8A">
        <w:rPr>
          <w:sz w:val="22"/>
          <w:szCs w:val="22"/>
        </w:rPr>
        <w:t xml:space="preserve">participants consented to </w:t>
      </w:r>
      <w:r w:rsidR="004D78F7" w:rsidRPr="00AF1F8A">
        <w:rPr>
          <w:sz w:val="22"/>
          <w:szCs w:val="22"/>
        </w:rPr>
        <w:t xml:space="preserve">questionnaire </w:t>
      </w:r>
      <w:r w:rsidRPr="00AF1F8A">
        <w:rPr>
          <w:sz w:val="22"/>
          <w:szCs w:val="22"/>
        </w:rPr>
        <w:t xml:space="preserve">follow‐up.  The baseline return rate was 88% (756/861) and 5-year return rate </w:t>
      </w:r>
      <w:r w:rsidR="006843A6" w:rsidRPr="00AF1F8A">
        <w:rPr>
          <w:sz w:val="22"/>
          <w:szCs w:val="22"/>
        </w:rPr>
        <w:t>43</w:t>
      </w:r>
      <w:r w:rsidRPr="00AF1F8A">
        <w:rPr>
          <w:sz w:val="22"/>
          <w:szCs w:val="22"/>
        </w:rPr>
        <w:t>% (</w:t>
      </w:r>
      <w:r w:rsidR="006843A6" w:rsidRPr="00AF1F8A">
        <w:rPr>
          <w:sz w:val="22"/>
          <w:szCs w:val="22"/>
        </w:rPr>
        <w:t>371</w:t>
      </w:r>
      <w:r w:rsidRPr="00AF1F8A">
        <w:rPr>
          <w:sz w:val="22"/>
          <w:szCs w:val="22"/>
        </w:rPr>
        <w:t>/861).  The mean age of participants at baseline was 68 (SD=10.3, range 32-95</w:t>
      </w:r>
      <w:r w:rsidR="001A0EA2" w:rsidRPr="00AF1F8A">
        <w:rPr>
          <w:sz w:val="22"/>
          <w:szCs w:val="22"/>
        </w:rPr>
        <w:t xml:space="preserve">) and </w:t>
      </w:r>
      <w:r w:rsidRPr="00AF1F8A">
        <w:rPr>
          <w:sz w:val="22"/>
          <w:szCs w:val="22"/>
        </w:rPr>
        <w:t xml:space="preserve">68% (584/861) </w:t>
      </w:r>
      <w:r w:rsidR="001A0EA2" w:rsidRPr="00AF1F8A">
        <w:rPr>
          <w:sz w:val="22"/>
          <w:szCs w:val="22"/>
        </w:rPr>
        <w:t xml:space="preserve">were aged </w:t>
      </w:r>
      <w:r w:rsidR="00611A0F" w:rsidRPr="00AF1F8A">
        <w:rPr>
          <w:rFonts w:cstheme="minorHAnsi"/>
          <w:sz w:val="22"/>
          <w:szCs w:val="22"/>
          <w:u w:val="single"/>
        </w:rPr>
        <w:t>&gt;</w:t>
      </w:r>
      <w:r w:rsidR="00611A0F" w:rsidRPr="00AF1F8A">
        <w:rPr>
          <w:rFonts w:cstheme="minorHAnsi"/>
          <w:sz w:val="22"/>
          <w:szCs w:val="22"/>
        </w:rPr>
        <w:t>65</w:t>
      </w:r>
      <w:r w:rsidRPr="002B175B">
        <w:rPr>
          <w:sz w:val="22"/>
          <w:szCs w:val="22"/>
        </w:rPr>
        <w:t>. Of these</w:t>
      </w:r>
      <w:r w:rsidR="002655A1" w:rsidRPr="002B175B">
        <w:rPr>
          <w:sz w:val="22"/>
          <w:szCs w:val="22"/>
        </w:rPr>
        <w:t xml:space="preserve"> older participants</w:t>
      </w:r>
      <w:r w:rsidR="002655A1" w:rsidRPr="00AF1F8A">
        <w:rPr>
          <w:sz w:val="22"/>
          <w:szCs w:val="22"/>
        </w:rPr>
        <w:t xml:space="preserve"> aged </w:t>
      </w:r>
      <w:r w:rsidR="00611A0F" w:rsidRPr="00AF1F8A">
        <w:rPr>
          <w:rFonts w:cstheme="minorHAnsi"/>
          <w:sz w:val="22"/>
          <w:szCs w:val="22"/>
          <w:u w:val="single"/>
        </w:rPr>
        <w:t>&gt;</w:t>
      </w:r>
      <w:r w:rsidR="00611A0F" w:rsidRPr="00AF1F8A">
        <w:rPr>
          <w:rFonts w:cstheme="minorHAnsi"/>
          <w:sz w:val="22"/>
          <w:szCs w:val="22"/>
        </w:rPr>
        <w:t>65</w:t>
      </w:r>
      <w:r w:rsidR="002655A1">
        <w:rPr>
          <w:sz w:val="22"/>
          <w:szCs w:val="22"/>
        </w:rPr>
        <w:t xml:space="preserve">, </w:t>
      </w:r>
      <w:r w:rsidRPr="00BA1261">
        <w:rPr>
          <w:sz w:val="22"/>
          <w:szCs w:val="22"/>
        </w:rPr>
        <w:t>133 (23%) died, 135 (23%) actively</w:t>
      </w:r>
      <w:r w:rsidRPr="00670C5D">
        <w:rPr>
          <w:sz w:val="22"/>
          <w:szCs w:val="22"/>
        </w:rPr>
        <w:t xml:space="preserve"> withdrew and 90 (</w:t>
      </w:r>
      <w:r w:rsidRPr="00844E7E">
        <w:rPr>
          <w:sz w:val="22"/>
          <w:szCs w:val="22"/>
        </w:rPr>
        <w:t xml:space="preserve">15%) were lost to follow-up during the </w:t>
      </w:r>
      <w:r>
        <w:rPr>
          <w:sz w:val="22"/>
          <w:szCs w:val="22"/>
        </w:rPr>
        <w:t>five</w:t>
      </w:r>
      <w:r w:rsidRPr="00844E7E">
        <w:rPr>
          <w:sz w:val="22"/>
          <w:szCs w:val="22"/>
        </w:rPr>
        <w:t xml:space="preserve">-year period.  </w:t>
      </w:r>
      <w:r w:rsidR="00570084">
        <w:rPr>
          <w:sz w:val="22"/>
          <w:szCs w:val="22"/>
        </w:rPr>
        <w:t>Of</w:t>
      </w:r>
      <w:r w:rsidR="002655A1">
        <w:rPr>
          <w:sz w:val="22"/>
          <w:szCs w:val="22"/>
        </w:rPr>
        <w:t xml:space="preserve"> the 584 participants </w:t>
      </w:r>
      <w:r w:rsidR="009F7268">
        <w:rPr>
          <w:sz w:val="22"/>
          <w:szCs w:val="22"/>
        </w:rPr>
        <w:t xml:space="preserve">aged </w:t>
      </w:r>
      <w:r w:rsidR="009F7268" w:rsidRPr="00611A0F">
        <w:rPr>
          <w:rFonts w:cstheme="minorHAnsi"/>
          <w:u w:val="single"/>
        </w:rPr>
        <w:t>&gt;</w:t>
      </w:r>
      <w:r w:rsidR="00611A0F" w:rsidRPr="00AF1F8A">
        <w:rPr>
          <w:rFonts w:cstheme="minorHAnsi"/>
          <w:sz w:val="22"/>
          <w:szCs w:val="22"/>
        </w:rPr>
        <w:t>65</w:t>
      </w:r>
      <w:r w:rsidR="002655A1">
        <w:rPr>
          <w:sz w:val="22"/>
          <w:szCs w:val="22"/>
        </w:rPr>
        <w:t>,</w:t>
      </w:r>
      <w:r w:rsidRPr="00844E7E">
        <w:rPr>
          <w:sz w:val="22"/>
          <w:szCs w:val="22"/>
        </w:rPr>
        <w:t xml:space="preserve"> 86% </w:t>
      </w:r>
      <w:r w:rsidR="001A0EA2">
        <w:rPr>
          <w:sz w:val="22"/>
          <w:szCs w:val="22"/>
        </w:rPr>
        <w:t xml:space="preserve">returned a questionnaire </w:t>
      </w:r>
      <w:r w:rsidRPr="00844E7E">
        <w:rPr>
          <w:sz w:val="22"/>
          <w:szCs w:val="22"/>
        </w:rPr>
        <w:t xml:space="preserve">(501/584) at baseline and </w:t>
      </w:r>
      <w:r w:rsidR="00560C76" w:rsidRPr="002655A1">
        <w:rPr>
          <w:sz w:val="22"/>
          <w:szCs w:val="22"/>
        </w:rPr>
        <w:t>39</w:t>
      </w:r>
      <w:r w:rsidRPr="002655A1">
        <w:rPr>
          <w:sz w:val="22"/>
          <w:szCs w:val="22"/>
        </w:rPr>
        <w:t>% (226/</w:t>
      </w:r>
      <w:r w:rsidR="002655A1" w:rsidRPr="00AF1F8A">
        <w:rPr>
          <w:sz w:val="22"/>
          <w:szCs w:val="22"/>
        </w:rPr>
        <w:t>584</w:t>
      </w:r>
      <w:r w:rsidRPr="002655A1">
        <w:rPr>
          <w:sz w:val="22"/>
          <w:szCs w:val="22"/>
        </w:rPr>
        <w:t>)</w:t>
      </w:r>
      <w:r w:rsidRPr="00844E7E">
        <w:rPr>
          <w:sz w:val="22"/>
          <w:szCs w:val="22"/>
        </w:rPr>
        <w:t xml:space="preserve"> at </w:t>
      </w:r>
      <w:r>
        <w:rPr>
          <w:sz w:val="22"/>
          <w:szCs w:val="22"/>
        </w:rPr>
        <w:t>five</w:t>
      </w:r>
      <w:r w:rsidRPr="00844E7E">
        <w:rPr>
          <w:sz w:val="22"/>
          <w:szCs w:val="22"/>
        </w:rPr>
        <w:t xml:space="preserve"> years. </w:t>
      </w:r>
      <w:r w:rsidR="009F7268">
        <w:rPr>
          <w:sz w:val="22"/>
          <w:szCs w:val="22"/>
        </w:rPr>
        <w:t xml:space="preserve">Four hundred and </w:t>
      </w:r>
      <w:r w:rsidR="003416F8">
        <w:rPr>
          <w:sz w:val="22"/>
          <w:szCs w:val="22"/>
        </w:rPr>
        <w:t>fifty-one</w:t>
      </w:r>
      <w:r w:rsidR="009F7268">
        <w:rPr>
          <w:sz w:val="22"/>
          <w:szCs w:val="22"/>
        </w:rPr>
        <w:t xml:space="preserve"> </w:t>
      </w:r>
      <w:r>
        <w:rPr>
          <w:sz w:val="22"/>
          <w:szCs w:val="22"/>
        </w:rPr>
        <w:t>older participants</w:t>
      </w:r>
      <w:r w:rsidRPr="00844E7E">
        <w:rPr>
          <w:sz w:val="22"/>
          <w:szCs w:val="22"/>
        </w:rPr>
        <w:t xml:space="preserve"> returned questionnaires at baseline and at least one other timepoint.</w:t>
      </w:r>
    </w:p>
    <w:p w14:paraId="68BE7B0E" w14:textId="63530E27" w:rsidR="00323CE3" w:rsidRDefault="00323CE3" w:rsidP="00D276D9">
      <w:pPr>
        <w:spacing w:after="0" w:line="480" w:lineRule="auto"/>
      </w:pPr>
    </w:p>
    <w:p w14:paraId="0452EC34" w14:textId="24308B4F" w:rsidR="001E01A6" w:rsidRDefault="001E01A6" w:rsidP="00D276D9">
      <w:pPr>
        <w:spacing w:after="0" w:line="480" w:lineRule="auto"/>
        <w:rPr>
          <w:b/>
          <w:bCs/>
        </w:rPr>
      </w:pPr>
      <w:r w:rsidRPr="00AF1F8A">
        <w:rPr>
          <w:b/>
          <w:bCs/>
        </w:rPr>
        <w:t>Fig 2. Flowchart showing screening of patients, eligibility and numbers consenting</w:t>
      </w:r>
    </w:p>
    <w:p w14:paraId="755D099F" w14:textId="77777777" w:rsidR="001E01A6" w:rsidRPr="00AF1F8A" w:rsidRDefault="001E01A6" w:rsidP="00D276D9">
      <w:pPr>
        <w:spacing w:after="0" w:line="480" w:lineRule="auto"/>
        <w:rPr>
          <w:b/>
          <w:bCs/>
        </w:rPr>
      </w:pPr>
    </w:p>
    <w:p w14:paraId="6E83C211"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t>Baseline characteristics</w:t>
      </w:r>
    </w:p>
    <w:p w14:paraId="068D1C21" w14:textId="3F36EDCC" w:rsidR="00323CE3" w:rsidRDefault="00323CE3" w:rsidP="00D276D9">
      <w:pPr>
        <w:spacing w:after="0" w:line="480" w:lineRule="auto"/>
      </w:pPr>
      <w:r w:rsidRPr="00670C5D">
        <w:rPr>
          <w:rFonts w:cstheme="minorHAnsi"/>
        </w:rPr>
        <w:t>Of participants</w:t>
      </w:r>
      <w:r>
        <w:rPr>
          <w:rFonts w:cstheme="minorHAnsi"/>
        </w:rPr>
        <w:t xml:space="preserve"> </w:t>
      </w:r>
      <w:r w:rsidR="00DB4E0D">
        <w:rPr>
          <w:rFonts w:cstheme="minorHAnsi"/>
        </w:rPr>
        <w:t xml:space="preserve">aged </w:t>
      </w:r>
      <w:r w:rsidR="00DB4E0D" w:rsidRPr="00AF1F8A">
        <w:rPr>
          <w:u w:val="single"/>
        </w:rPr>
        <w:t>&gt;</w:t>
      </w:r>
      <w:r w:rsidR="00DB4E0D" w:rsidRPr="00AF1F8A">
        <w:t>65</w:t>
      </w:r>
      <w:r w:rsidR="00DB4E0D">
        <w:rPr>
          <w:b/>
          <w:bCs/>
        </w:rPr>
        <w:t xml:space="preserve"> </w:t>
      </w:r>
      <w:r>
        <w:rPr>
          <w:rFonts w:cstheme="minorHAnsi"/>
        </w:rPr>
        <w:t>at baseline (n=501)</w:t>
      </w:r>
      <w:r w:rsidRPr="00670C5D">
        <w:rPr>
          <w:rFonts w:cstheme="minorHAnsi"/>
        </w:rPr>
        <w:t xml:space="preserve">, </w:t>
      </w:r>
      <w:r>
        <w:t>26</w:t>
      </w:r>
      <w:r w:rsidRPr="00670C5D">
        <w:t xml:space="preserve">% </w:t>
      </w:r>
      <w:r>
        <w:t xml:space="preserve">were </w:t>
      </w:r>
      <w:r w:rsidRPr="00670C5D">
        <w:t xml:space="preserve">aged 70-74, </w:t>
      </w:r>
      <w:r>
        <w:t>19</w:t>
      </w:r>
      <w:r w:rsidRPr="00670C5D">
        <w:t>% aged 75-79</w:t>
      </w:r>
      <w:r>
        <w:t xml:space="preserve"> and 19% aged </w:t>
      </w:r>
      <w:r w:rsidRPr="00310645">
        <w:rPr>
          <w:u w:val="single"/>
        </w:rPr>
        <w:t>&gt;</w:t>
      </w:r>
      <w:r>
        <w:t>80.  Sixty percent were male, 20% were living alone and 22% reported at least one</w:t>
      </w:r>
      <w:r w:rsidR="00484362">
        <w:t xml:space="preserve"> </w:t>
      </w:r>
      <w:r>
        <w:t>comorbidity</w:t>
      </w:r>
      <w:r w:rsidR="00484362">
        <w:t xml:space="preserve"> which the participant </w:t>
      </w:r>
      <w:r w:rsidR="005E565C">
        <w:t>felt ‘</w:t>
      </w:r>
      <w:r w:rsidR="00484362" w:rsidRPr="009325B6">
        <w:t>limited their typical daily activities’</w:t>
      </w:r>
      <w:r>
        <w:t xml:space="preserve">.  Most participants had colon cancer (67%), Dukes’ stage B (56%) and absence of nodal involvement (65%) </w:t>
      </w:r>
      <w:r w:rsidRPr="00941E9A">
        <w:t>(Table 1).</w:t>
      </w:r>
      <w:r>
        <w:t xml:space="preserve">  </w:t>
      </w:r>
    </w:p>
    <w:p w14:paraId="4009EEA8" w14:textId="76AF464B" w:rsidR="00BC7C93" w:rsidRDefault="00BC7C93" w:rsidP="00D276D9">
      <w:pPr>
        <w:spacing w:after="0" w:line="480" w:lineRule="auto"/>
      </w:pPr>
    </w:p>
    <w:p w14:paraId="30E7CC42" w14:textId="1D627D1B" w:rsidR="0093416B" w:rsidRPr="00722851" w:rsidRDefault="0093416B" w:rsidP="0093416B">
      <w:pPr>
        <w:autoSpaceDE w:val="0"/>
        <w:autoSpaceDN w:val="0"/>
        <w:adjustRightInd w:val="0"/>
        <w:spacing w:after="0" w:line="480" w:lineRule="auto"/>
      </w:pPr>
      <w:r w:rsidRPr="00AF1F8A">
        <w:rPr>
          <w:rFonts w:cstheme="minorHAnsi"/>
          <w:b/>
          <w:bCs/>
          <w:lang w:val="en"/>
        </w:rPr>
        <w:t>Table 1</w:t>
      </w:r>
      <w:r w:rsidR="00C450CF">
        <w:rPr>
          <w:rFonts w:cstheme="minorHAnsi"/>
          <w:lang w:val="en"/>
        </w:rPr>
        <w:t>.</w:t>
      </w:r>
      <w:r w:rsidRPr="0093416B">
        <w:rPr>
          <w:rFonts w:cstheme="minorHAnsi"/>
          <w:lang w:val="en"/>
        </w:rPr>
        <w:t xml:space="preserve"> </w:t>
      </w:r>
      <w:r w:rsidRPr="00AF1F8A">
        <w:rPr>
          <w:b/>
          <w:bCs/>
        </w:rPr>
        <w:t>Distribution of baseline characteristics for total older CREW participants (</w:t>
      </w:r>
      <w:r w:rsidRPr="00AF1F8A">
        <w:rPr>
          <w:b/>
          <w:bCs/>
          <w:u w:val="single"/>
        </w:rPr>
        <w:t>&gt;</w:t>
      </w:r>
      <w:r w:rsidRPr="00AF1F8A">
        <w:rPr>
          <w:b/>
          <w:bCs/>
        </w:rPr>
        <w:t>65 years) and by four age sub-groups for older participants</w:t>
      </w:r>
    </w:p>
    <w:p w14:paraId="4793D9BE" w14:textId="77777777" w:rsidR="0093416B" w:rsidRDefault="0093416B" w:rsidP="0093416B">
      <w:pPr>
        <w:autoSpaceDE w:val="0"/>
        <w:autoSpaceDN w:val="0"/>
        <w:adjustRightInd w:val="0"/>
        <w:spacing w:after="0" w:line="480" w:lineRule="auto"/>
      </w:pPr>
    </w:p>
    <w:tbl>
      <w:tblPr>
        <w:tblStyle w:val="TableGrid"/>
        <w:tblW w:w="11835" w:type="dxa"/>
        <w:tblLayout w:type="fixed"/>
        <w:tblLook w:val="04A0" w:firstRow="1" w:lastRow="0" w:firstColumn="1" w:lastColumn="0" w:noHBand="0" w:noVBand="1"/>
      </w:tblPr>
      <w:tblGrid>
        <w:gridCol w:w="988"/>
        <w:gridCol w:w="1701"/>
        <w:gridCol w:w="1701"/>
        <w:gridCol w:w="1701"/>
        <w:gridCol w:w="1627"/>
        <w:gridCol w:w="7"/>
        <w:gridCol w:w="1552"/>
        <w:gridCol w:w="7"/>
        <w:gridCol w:w="1694"/>
        <w:gridCol w:w="7"/>
        <w:gridCol w:w="850"/>
      </w:tblGrid>
      <w:tr w:rsidR="0093416B" w:rsidRPr="00CD6712" w14:paraId="0882FB68" w14:textId="77777777" w:rsidTr="0093416B">
        <w:trPr>
          <w:trHeight w:val="300"/>
        </w:trPr>
        <w:tc>
          <w:tcPr>
            <w:tcW w:w="2689" w:type="dxa"/>
            <w:gridSpan w:val="2"/>
            <w:vMerge w:val="restart"/>
            <w:tcBorders>
              <w:top w:val="single" w:sz="12" w:space="0" w:color="auto"/>
              <w:left w:val="single" w:sz="12" w:space="0" w:color="auto"/>
              <w:right w:val="single" w:sz="12" w:space="0" w:color="auto"/>
            </w:tcBorders>
            <w:shd w:val="clear" w:color="auto" w:fill="A6A6A6" w:themeFill="background1" w:themeFillShade="A6"/>
            <w:noWrap/>
            <w:hideMark/>
          </w:tcPr>
          <w:p w14:paraId="0E1518BB"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 xml:space="preserve">Baseline </w:t>
            </w:r>
            <w:r>
              <w:rPr>
                <w:rFonts w:cstheme="minorHAnsi"/>
                <w:b/>
                <w:bCs/>
                <w:sz w:val="16"/>
                <w:szCs w:val="16"/>
              </w:rPr>
              <w:t>C</w:t>
            </w:r>
            <w:r w:rsidRPr="00CD6712">
              <w:rPr>
                <w:rFonts w:cstheme="minorHAnsi"/>
                <w:b/>
                <w:bCs/>
                <w:sz w:val="16"/>
                <w:szCs w:val="16"/>
              </w:rPr>
              <w:t>haracteristics</w:t>
            </w:r>
          </w:p>
        </w:tc>
        <w:tc>
          <w:tcPr>
            <w:tcW w:w="1701" w:type="dxa"/>
            <w:tcBorders>
              <w:top w:val="single" w:sz="12" w:space="0" w:color="auto"/>
              <w:left w:val="single" w:sz="12" w:space="0" w:color="auto"/>
              <w:right w:val="single" w:sz="12" w:space="0" w:color="auto"/>
            </w:tcBorders>
            <w:shd w:val="clear" w:color="auto" w:fill="A6A6A6" w:themeFill="background1" w:themeFillShade="A6"/>
          </w:tcPr>
          <w:p w14:paraId="5A627514" w14:textId="5ED161B9" w:rsidR="0093416B" w:rsidRPr="00CD6712" w:rsidRDefault="0093416B" w:rsidP="0093416B">
            <w:pPr>
              <w:autoSpaceDE w:val="0"/>
              <w:autoSpaceDN w:val="0"/>
              <w:adjustRightInd w:val="0"/>
              <w:spacing w:line="480" w:lineRule="auto"/>
              <w:rPr>
                <w:rFonts w:cstheme="minorHAnsi"/>
                <w:b/>
                <w:bCs/>
                <w:sz w:val="16"/>
                <w:szCs w:val="16"/>
              </w:rPr>
            </w:pPr>
            <w:r>
              <w:rPr>
                <w:rFonts w:eastAsia="Times New Roman" w:cs="Calibri"/>
                <w:b/>
                <w:color w:val="000000"/>
                <w:sz w:val="16"/>
                <w:szCs w:val="16"/>
                <w:lang w:eastAsia="en-GB"/>
              </w:rPr>
              <w:t xml:space="preserve">Total Older </w:t>
            </w:r>
            <w:r w:rsidRPr="00CD6712">
              <w:rPr>
                <w:rFonts w:eastAsia="Times New Roman" w:cs="Calibri"/>
                <w:b/>
                <w:color w:val="000000"/>
                <w:sz w:val="16"/>
                <w:szCs w:val="16"/>
                <w:u w:val="single"/>
                <w:lang w:eastAsia="en-GB"/>
              </w:rPr>
              <w:t>&gt;</w:t>
            </w:r>
            <w:r>
              <w:rPr>
                <w:rFonts w:eastAsia="Times New Roman" w:cs="Calibri"/>
                <w:b/>
                <w:color w:val="000000"/>
                <w:sz w:val="16"/>
                <w:szCs w:val="16"/>
                <w:lang w:eastAsia="en-GB"/>
              </w:rPr>
              <w:t xml:space="preserve">65 years) Participants </w:t>
            </w:r>
            <w:r w:rsidRPr="00CD6712">
              <w:rPr>
                <w:rFonts w:eastAsia="Times New Roman" w:cs="Calibri"/>
                <w:b/>
                <w:color w:val="000000"/>
                <w:sz w:val="16"/>
                <w:szCs w:val="16"/>
                <w:lang w:eastAsia="en-GB"/>
              </w:rPr>
              <w:t>(n=501, 100%)</w:t>
            </w:r>
          </w:p>
        </w:tc>
        <w:tc>
          <w:tcPr>
            <w:tcW w:w="1701" w:type="dxa"/>
            <w:tcBorders>
              <w:top w:val="single" w:sz="12" w:space="0" w:color="auto"/>
              <w:left w:val="single" w:sz="12" w:space="0" w:color="auto"/>
            </w:tcBorders>
            <w:shd w:val="clear" w:color="auto" w:fill="A6A6A6" w:themeFill="background1" w:themeFillShade="A6"/>
            <w:noWrap/>
            <w:hideMark/>
          </w:tcPr>
          <w:p w14:paraId="0E32747C"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Aged 65-69 (n=178, 35.53%)</w:t>
            </w:r>
          </w:p>
        </w:tc>
        <w:tc>
          <w:tcPr>
            <w:tcW w:w="1634" w:type="dxa"/>
            <w:gridSpan w:val="2"/>
            <w:tcBorders>
              <w:top w:val="single" w:sz="12" w:space="0" w:color="auto"/>
            </w:tcBorders>
            <w:shd w:val="clear" w:color="auto" w:fill="A6A6A6" w:themeFill="background1" w:themeFillShade="A6"/>
            <w:noWrap/>
            <w:hideMark/>
          </w:tcPr>
          <w:p w14:paraId="40AB61F5"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Aged 70-74 (n=132, 26.35%)</w:t>
            </w:r>
          </w:p>
        </w:tc>
        <w:tc>
          <w:tcPr>
            <w:tcW w:w="1559" w:type="dxa"/>
            <w:gridSpan w:val="2"/>
            <w:tcBorders>
              <w:top w:val="single" w:sz="12" w:space="0" w:color="auto"/>
            </w:tcBorders>
            <w:shd w:val="clear" w:color="auto" w:fill="A6A6A6" w:themeFill="background1" w:themeFillShade="A6"/>
            <w:noWrap/>
            <w:hideMark/>
          </w:tcPr>
          <w:p w14:paraId="09D9D497"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Aged 75-79 (n=97, 19.36%)</w:t>
            </w:r>
          </w:p>
        </w:tc>
        <w:tc>
          <w:tcPr>
            <w:tcW w:w="1701" w:type="dxa"/>
            <w:gridSpan w:val="2"/>
            <w:tcBorders>
              <w:top w:val="single" w:sz="12" w:space="0" w:color="auto"/>
            </w:tcBorders>
            <w:shd w:val="clear" w:color="auto" w:fill="A6A6A6" w:themeFill="background1" w:themeFillShade="A6"/>
            <w:noWrap/>
            <w:hideMark/>
          </w:tcPr>
          <w:p w14:paraId="04BD5D81" w14:textId="46626EAB"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Aged</w:t>
            </w:r>
            <w:r w:rsidR="00081BD9">
              <w:rPr>
                <w:rFonts w:cstheme="minorHAnsi"/>
                <w:b/>
                <w:bCs/>
                <w:sz w:val="16"/>
                <w:szCs w:val="16"/>
              </w:rPr>
              <w:t xml:space="preserve"> </w:t>
            </w:r>
            <w:r w:rsidR="00081BD9" w:rsidRPr="00AF1F8A">
              <w:rPr>
                <w:rFonts w:cstheme="minorHAnsi"/>
                <w:b/>
                <w:bCs/>
                <w:sz w:val="16"/>
                <w:szCs w:val="16"/>
                <w:u w:val="single"/>
              </w:rPr>
              <w:t>&gt;</w:t>
            </w:r>
            <w:r w:rsidRPr="00CD6712">
              <w:rPr>
                <w:rFonts w:cstheme="minorHAnsi"/>
                <w:b/>
                <w:bCs/>
                <w:sz w:val="16"/>
                <w:szCs w:val="16"/>
              </w:rPr>
              <w:t xml:space="preserve">80 </w:t>
            </w:r>
          </w:p>
          <w:p w14:paraId="6FB8DDA0"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(n=94, 18.76%)</w:t>
            </w:r>
          </w:p>
        </w:tc>
        <w:tc>
          <w:tcPr>
            <w:tcW w:w="850" w:type="dxa"/>
            <w:vMerge w:val="restart"/>
            <w:tcBorders>
              <w:top w:val="single" w:sz="12" w:space="0" w:color="auto"/>
            </w:tcBorders>
            <w:shd w:val="clear" w:color="auto" w:fill="A6A6A6" w:themeFill="background1" w:themeFillShade="A6"/>
            <w:noWrap/>
            <w:hideMark/>
          </w:tcPr>
          <w:p w14:paraId="221B3312" w14:textId="77777777" w:rsidR="0093416B" w:rsidRPr="00CD6712" w:rsidRDefault="0093416B" w:rsidP="0093416B">
            <w:pPr>
              <w:autoSpaceDE w:val="0"/>
              <w:autoSpaceDN w:val="0"/>
              <w:adjustRightInd w:val="0"/>
              <w:spacing w:line="480" w:lineRule="auto"/>
              <w:rPr>
                <w:rFonts w:cstheme="minorHAnsi"/>
                <w:b/>
                <w:bCs/>
                <w:sz w:val="16"/>
                <w:szCs w:val="16"/>
                <w:vertAlign w:val="superscript"/>
              </w:rPr>
            </w:pPr>
            <w:r w:rsidRPr="00CD6712">
              <w:rPr>
                <w:rFonts w:cstheme="minorHAnsi"/>
                <w:b/>
                <w:bCs/>
                <w:sz w:val="16"/>
                <w:szCs w:val="16"/>
              </w:rPr>
              <w:t>P-value</w:t>
            </w:r>
            <w:r w:rsidRPr="00CD6712">
              <w:rPr>
                <w:rFonts w:cstheme="minorHAnsi"/>
                <w:b/>
                <w:bCs/>
                <w:sz w:val="16"/>
                <w:szCs w:val="16"/>
                <w:vertAlign w:val="superscript"/>
              </w:rPr>
              <w:t>1</w:t>
            </w:r>
          </w:p>
        </w:tc>
      </w:tr>
      <w:tr w:rsidR="0093416B" w:rsidRPr="00CD6712" w14:paraId="1AAB3B8B" w14:textId="77777777" w:rsidTr="0093416B">
        <w:trPr>
          <w:trHeight w:val="315"/>
        </w:trPr>
        <w:tc>
          <w:tcPr>
            <w:tcW w:w="2689" w:type="dxa"/>
            <w:gridSpan w:val="2"/>
            <w:vMerge/>
            <w:tcBorders>
              <w:left w:val="single" w:sz="12" w:space="0" w:color="auto"/>
              <w:right w:val="single" w:sz="12" w:space="0" w:color="auto"/>
            </w:tcBorders>
            <w:shd w:val="clear" w:color="auto" w:fill="A6A6A6" w:themeFill="background1" w:themeFillShade="A6"/>
            <w:hideMark/>
          </w:tcPr>
          <w:p w14:paraId="23F36B4C"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left w:val="single" w:sz="12" w:space="0" w:color="auto"/>
              <w:bottom w:val="single" w:sz="12" w:space="0" w:color="auto"/>
              <w:right w:val="single" w:sz="12" w:space="0" w:color="auto"/>
            </w:tcBorders>
            <w:shd w:val="clear" w:color="auto" w:fill="A6A6A6" w:themeFill="background1" w:themeFillShade="A6"/>
          </w:tcPr>
          <w:p w14:paraId="4C680405"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 xml:space="preserve">median (LQ, UQ) </w:t>
            </w:r>
          </w:p>
          <w:p w14:paraId="4D6F239C"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sz w:val="16"/>
                <w:szCs w:val="16"/>
              </w:rPr>
              <w:t>/ n (%)</w:t>
            </w:r>
          </w:p>
        </w:tc>
        <w:tc>
          <w:tcPr>
            <w:tcW w:w="1701" w:type="dxa"/>
            <w:tcBorders>
              <w:left w:val="single" w:sz="12" w:space="0" w:color="auto"/>
              <w:bottom w:val="single" w:sz="12" w:space="0" w:color="auto"/>
            </w:tcBorders>
            <w:shd w:val="clear" w:color="auto" w:fill="A6A6A6" w:themeFill="background1" w:themeFillShade="A6"/>
            <w:noWrap/>
            <w:hideMark/>
          </w:tcPr>
          <w:p w14:paraId="3BB5F1D0"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 xml:space="preserve">median (LQ, UQ) </w:t>
            </w:r>
          </w:p>
          <w:p w14:paraId="4E0A7FBE"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sz w:val="16"/>
                <w:szCs w:val="16"/>
              </w:rPr>
              <w:t>/ n (%)</w:t>
            </w:r>
          </w:p>
        </w:tc>
        <w:tc>
          <w:tcPr>
            <w:tcW w:w="1634" w:type="dxa"/>
            <w:gridSpan w:val="2"/>
            <w:tcBorders>
              <w:bottom w:val="single" w:sz="12" w:space="0" w:color="auto"/>
            </w:tcBorders>
            <w:shd w:val="clear" w:color="auto" w:fill="A6A6A6" w:themeFill="background1" w:themeFillShade="A6"/>
            <w:noWrap/>
            <w:hideMark/>
          </w:tcPr>
          <w:p w14:paraId="03D38B4C"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median (LQ, UQ)</w:t>
            </w:r>
          </w:p>
          <w:p w14:paraId="65938BF8"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 xml:space="preserve"> </w:t>
            </w:r>
            <w:r w:rsidRPr="00CD6712">
              <w:rPr>
                <w:rFonts w:cstheme="minorHAnsi"/>
                <w:sz w:val="16"/>
                <w:szCs w:val="16"/>
              </w:rPr>
              <w:t>/ n (%)</w:t>
            </w:r>
          </w:p>
        </w:tc>
        <w:tc>
          <w:tcPr>
            <w:tcW w:w="1559" w:type="dxa"/>
            <w:gridSpan w:val="2"/>
            <w:tcBorders>
              <w:bottom w:val="single" w:sz="12" w:space="0" w:color="auto"/>
            </w:tcBorders>
            <w:shd w:val="clear" w:color="auto" w:fill="A6A6A6" w:themeFill="background1" w:themeFillShade="A6"/>
            <w:noWrap/>
            <w:hideMark/>
          </w:tcPr>
          <w:p w14:paraId="686D8D1F"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 xml:space="preserve">median (LQ, UQ) </w:t>
            </w:r>
          </w:p>
          <w:p w14:paraId="4DCBCAE8"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sz w:val="16"/>
                <w:szCs w:val="16"/>
              </w:rPr>
              <w:t>/ n (%)</w:t>
            </w:r>
          </w:p>
        </w:tc>
        <w:tc>
          <w:tcPr>
            <w:tcW w:w="1701" w:type="dxa"/>
            <w:gridSpan w:val="2"/>
            <w:tcBorders>
              <w:bottom w:val="single" w:sz="12" w:space="0" w:color="auto"/>
            </w:tcBorders>
            <w:shd w:val="clear" w:color="auto" w:fill="A6A6A6" w:themeFill="background1" w:themeFillShade="A6"/>
            <w:noWrap/>
            <w:hideMark/>
          </w:tcPr>
          <w:p w14:paraId="1E340EA9"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median (LQ, UQ)</w:t>
            </w:r>
          </w:p>
          <w:p w14:paraId="4E231DD8"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 xml:space="preserve"> </w:t>
            </w:r>
            <w:r w:rsidRPr="00CD6712">
              <w:rPr>
                <w:rFonts w:cstheme="minorHAnsi"/>
                <w:sz w:val="16"/>
                <w:szCs w:val="16"/>
              </w:rPr>
              <w:t>/ n (%)</w:t>
            </w:r>
          </w:p>
        </w:tc>
        <w:tc>
          <w:tcPr>
            <w:tcW w:w="850" w:type="dxa"/>
            <w:vMerge/>
            <w:tcBorders>
              <w:bottom w:val="single" w:sz="12" w:space="0" w:color="auto"/>
            </w:tcBorders>
            <w:shd w:val="clear" w:color="auto" w:fill="A6A6A6" w:themeFill="background1" w:themeFillShade="A6"/>
            <w:hideMark/>
          </w:tcPr>
          <w:p w14:paraId="343CC701" w14:textId="77777777" w:rsidR="0093416B" w:rsidRPr="00CD6712" w:rsidRDefault="0093416B" w:rsidP="0093416B">
            <w:pPr>
              <w:autoSpaceDE w:val="0"/>
              <w:autoSpaceDN w:val="0"/>
              <w:adjustRightInd w:val="0"/>
              <w:spacing w:line="480" w:lineRule="auto"/>
              <w:rPr>
                <w:rFonts w:cstheme="minorHAnsi"/>
                <w:b/>
                <w:bCs/>
                <w:sz w:val="16"/>
                <w:szCs w:val="16"/>
              </w:rPr>
            </w:pPr>
          </w:p>
        </w:tc>
      </w:tr>
      <w:tr w:rsidR="0093416B" w:rsidRPr="00CD6712" w14:paraId="5835DD93" w14:textId="77777777" w:rsidTr="0093416B">
        <w:trPr>
          <w:trHeight w:val="315"/>
        </w:trPr>
        <w:tc>
          <w:tcPr>
            <w:tcW w:w="988" w:type="dxa"/>
            <w:vMerge w:val="restart"/>
            <w:tcBorders>
              <w:top w:val="single" w:sz="12" w:space="0" w:color="auto"/>
              <w:left w:val="single" w:sz="12" w:space="0" w:color="auto"/>
            </w:tcBorders>
            <w:hideMark/>
          </w:tcPr>
          <w:p w14:paraId="36181698"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Outcomes</w:t>
            </w:r>
          </w:p>
        </w:tc>
        <w:tc>
          <w:tcPr>
            <w:tcW w:w="1701" w:type="dxa"/>
            <w:tcBorders>
              <w:top w:val="single" w:sz="12" w:space="0" w:color="auto"/>
              <w:right w:val="single" w:sz="12" w:space="0" w:color="auto"/>
            </w:tcBorders>
            <w:hideMark/>
          </w:tcPr>
          <w:p w14:paraId="5527898D" w14:textId="77777777" w:rsidR="0093416B" w:rsidRPr="00CD6712" w:rsidRDefault="0093416B" w:rsidP="0093416B">
            <w:pPr>
              <w:autoSpaceDE w:val="0"/>
              <w:autoSpaceDN w:val="0"/>
              <w:adjustRightInd w:val="0"/>
              <w:spacing w:line="480" w:lineRule="auto"/>
              <w:rPr>
                <w:rFonts w:cstheme="minorHAnsi"/>
                <w:b/>
                <w:bCs/>
                <w:i/>
                <w:iCs/>
                <w:sz w:val="16"/>
                <w:szCs w:val="16"/>
              </w:rPr>
            </w:pPr>
            <w:r w:rsidRPr="00CD6712">
              <w:rPr>
                <w:rFonts w:cstheme="minorHAnsi"/>
                <w:b/>
                <w:bCs/>
                <w:i/>
                <w:iCs/>
                <w:sz w:val="16"/>
                <w:szCs w:val="16"/>
              </w:rPr>
              <w:t>QLACS-GSS</w:t>
            </w:r>
          </w:p>
        </w:tc>
        <w:tc>
          <w:tcPr>
            <w:tcW w:w="1701" w:type="dxa"/>
            <w:tcBorders>
              <w:top w:val="single" w:sz="12" w:space="0" w:color="auto"/>
              <w:left w:val="single" w:sz="12" w:space="0" w:color="auto"/>
              <w:right w:val="single" w:sz="12" w:space="0" w:color="auto"/>
            </w:tcBorders>
            <w:shd w:val="clear" w:color="auto" w:fill="D9D9D9" w:themeFill="background1" w:themeFillShade="D9"/>
          </w:tcPr>
          <w:p w14:paraId="68D4D93C"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eastAsia="Times New Roman" w:cs="Calibri"/>
                <w:i/>
                <w:color w:val="000000"/>
                <w:sz w:val="16"/>
                <w:szCs w:val="16"/>
                <w:lang w:eastAsia="en-GB"/>
              </w:rPr>
              <w:t>67.0 (52.0, 82.0)</w:t>
            </w:r>
            <w:r w:rsidRPr="00CD6712">
              <w:rPr>
                <w:rFonts w:eastAsia="Times New Roman" w:cs="Calibri"/>
                <w:color w:val="000000"/>
                <w:sz w:val="16"/>
                <w:szCs w:val="16"/>
                <w:lang w:eastAsia="en-GB"/>
              </w:rPr>
              <w:t xml:space="preserve"> [n=436]</w:t>
            </w:r>
          </w:p>
        </w:tc>
        <w:tc>
          <w:tcPr>
            <w:tcW w:w="1701" w:type="dxa"/>
            <w:tcBorders>
              <w:top w:val="single" w:sz="12" w:space="0" w:color="auto"/>
              <w:left w:val="single" w:sz="12" w:space="0" w:color="auto"/>
            </w:tcBorders>
            <w:noWrap/>
            <w:hideMark/>
          </w:tcPr>
          <w:p w14:paraId="489ECC08"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 xml:space="preserve">64.33 (49.00, 81.00) </w:t>
            </w:r>
            <w:r w:rsidRPr="00CD6712">
              <w:rPr>
                <w:rFonts w:cstheme="minorHAnsi"/>
                <w:sz w:val="16"/>
                <w:szCs w:val="16"/>
              </w:rPr>
              <w:t>[n=167]</w:t>
            </w:r>
            <w:r w:rsidRPr="00CD6712">
              <w:rPr>
                <w:rFonts w:cstheme="minorHAnsi"/>
                <w:i/>
                <w:iCs/>
                <w:sz w:val="16"/>
                <w:szCs w:val="16"/>
              </w:rPr>
              <w:t xml:space="preserve"> </w:t>
            </w:r>
          </w:p>
        </w:tc>
        <w:tc>
          <w:tcPr>
            <w:tcW w:w="1634" w:type="dxa"/>
            <w:gridSpan w:val="2"/>
            <w:tcBorders>
              <w:top w:val="single" w:sz="12" w:space="0" w:color="auto"/>
            </w:tcBorders>
            <w:noWrap/>
            <w:hideMark/>
          </w:tcPr>
          <w:p w14:paraId="0F0624B4"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 xml:space="preserve">67.50 (52.00, 82.00) </w:t>
            </w:r>
            <w:r w:rsidRPr="00CD6712">
              <w:rPr>
                <w:rFonts w:cstheme="minorHAnsi"/>
                <w:sz w:val="16"/>
                <w:szCs w:val="16"/>
              </w:rPr>
              <w:t>[n=114]</w:t>
            </w:r>
          </w:p>
        </w:tc>
        <w:tc>
          <w:tcPr>
            <w:tcW w:w="1559" w:type="dxa"/>
            <w:gridSpan w:val="2"/>
            <w:tcBorders>
              <w:top w:val="single" w:sz="12" w:space="0" w:color="auto"/>
            </w:tcBorders>
            <w:noWrap/>
            <w:hideMark/>
          </w:tcPr>
          <w:p w14:paraId="79BAC00A"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 xml:space="preserve">66.33 (54.50, 81.50) </w:t>
            </w:r>
            <w:r w:rsidRPr="00CD6712">
              <w:rPr>
                <w:rFonts w:cstheme="minorHAnsi"/>
                <w:sz w:val="16"/>
                <w:szCs w:val="16"/>
              </w:rPr>
              <w:t>[n=84]</w:t>
            </w:r>
          </w:p>
        </w:tc>
        <w:tc>
          <w:tcPr>
            <w:tcW w:w="1701" w:type="dxa"/>
            <w:gridSpan w:val="2"/>
            <w:tcBorders>
              <w:top w:val="single" w:sz="12" w:space="0" w:color="auto"/>
            </w:tcBorders>
            <w:noWrap/>
            <w:hideMark/>
          </w:tcPr>
          <w:p w14:paraId="0C6637BF"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 xml:space="preserve">71.00 (60.00, 84.00) </w:t>
            </w:r>
            <w:r w:rsidRPr="00CD6712">
              <w:rPr>
                <w:rFonts w:cstheme="minorHAnsi"/>
                <w:sz w:val="16"/>
                <w:szCs w:val="16"/>
              </w:rPr>
              <w:t>[n=71]</w:t>
            </w:r>
          </w:p>
        </w:tc>
        <w:tc>
          <w:tcPr>
            <w:tcW w:w="850" w:type="dxa"/>
            <w:tcBorders>
              <w:top w:val="single" w:sz="12" w:space="0" w:color="auto"/>
              <w:right w:val="single" w:sz="12" w:space="0" w:color="auto"/>
            </w:tcBorders>
            <w:noWrap/>
            <w:hideMark/>
          </w:tcPr>
          <w:p w14:paraId="48755475" w14:textId="77777777" w:rsidR="0093416B" w:rsidRPr="00CD6712" w:rsidRDefault="0093416B" w:rsidP="0093416B">
            <w:pPr>
              <w:autoSpaceDE w:val="0"/>
              <w:autoSpaceDN w:val="0"/>
              <w:adjustRightInd w:val="0"/>
              <w:spacing w:line="480" w:lineRule="auto"/>
              <w:rPr>
                <w:rFonts w:cstheme="minorHAnsi"/>
                <w:i/>
                <w:iCs/>
                <w:sz w:val="16"/>
                <w:szCs w:val="16"/>
              </w:rPr>
            </w:pPr>
            <w:r w:rsidRPr="00CD6712">
              <w:rPr>
                <w:rFonts w:cstheme="minorHAnsi"/>
                <w:i/>
                <w:iCs/>
                <w:sz w:val="16"/>
                <w:szCs w:val="16"/>
              </w:rPr>
              <w:t>0.172</w:t>
            </w:r>
          </w:p>
        </w:tc>
      </w:tr>
      <w:tr w:rsidR="0093416B" w:rsidRPr="00CD6712" w14:paraId="1F7A34C5" w14:textId="77777777" w:rsidTr="0093416B">
        <w:trPr>
          <w:trHeight w:val="315"/>
        </w:trPr>
        <w:tc>
          <w:tcPr>
            <w:tcW w:w="988" w:type="dxa"/>
            <w:vMerge/>
            <w:tcBorders>
              <w:left w:val="single" w:sz="12" w:space="0" w:color="auto"/>
            </w:tcBorders>
            <w:hideMark/>
          </w:tcPr>
          <w:p w14:paraId="25823EC6"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10AEFAC3"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EQ-5D Mobility</w:t>
            </w:r>
          </w:p>
        </w:tc>
        <w:tc>
          <w:tcPr>
            <w:tcW w:w="1701" w:type="dxa"/>
            <w:tcBorders>
              <w:left w:val="single" w:sz="12" w:space="0" w:color="auto"/>
              <w:right w:val="single" w:sz="12" w:space="0" w:color="auto"/>
            </w:tcBorders>
            <w:shd w:val="clear" w:color="auto" w:fill="D9D9D9" w:themeFill="background1" w:themeFillShade="D9"/>
          </w:tcPr>
          <w:p w14:paraId="23D6D399"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03805660" w14:textId="77777777" w:rsidR="0093416B" w:rsidRPr="00CD6712" w:rsidRDefault="0093416B" w:rsidP="0093416B">
            <w:pPr>
              <w:autoSpaceDE w:val="0"/>
              <w:autoSpaceDN w:val="0"/>
              <w:adjustRightInd w:val="0"/>
              <w:spacing w:line="480" w:lineRule="auto"/>
              <w:rPr>
                <w:rFonts w:cstheme="minorHAnsi"/>
                <w:sz w:val="16"/>
                <w:szCs w:val="16"/>
              </w:rPr>
            </w:pPr>
          </w:p>
        </w:tc>
        <w:tc>
          <w:tcPr>
            <w:tcW w:w="857" w:type="dxa"/>
            <w:gridSpan w:val="2"/>
            <w:tcBorders>
              <w:bottom w:val="single" w:sz="4" w:space="0" w:color="auto"/>
              <w:right w:val="single" w:sz="12" w:space="0" w:color="auto"/>
            </w:tcBorders>
            <w:noWrap/>
            <w:hideMark/>
          </w:tcPr>
          <w:p w14:paraId="6D7E406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28011906" w14:textId="77777777" w:rsidTr="0093416B">
        <w:trPr>
          <w:trHeight w:val="315"/>
        </w:trPr>
        <w:tc>
          <w:tcPr>
            <w:tcW w:w="988" w:type="dxa"/>
            <w:vMerge/>
            <w:tcBorders>
              <w:left w:val="single" w:sz="12" w:space="0" w:color="auto"/>
            </w:tcBorders>
            <w:hideMark/>
          </w:tcPr>
          <w:p w14:paraId="2E47329F"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7C6DDB6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no problems</w:t>
            </w:r>
          </w:p>
        </w:tc>
        <w:tc>
          <w:tcPr>
            <w:tcW w:w="1701" w:type="dxa"/>
            <w:tcBorders>
              <w:left w:val="single" w:sz="12" w:space="0" w:color="auto"/>
              <w:right w:val="single" w:sz="12" w:space="0" w:color="auto"/>
            </w:tcBorders>
            <w:shd w:val="clear" w:color="auto" w:fill="D9D9D9" w:themeFill="background1" w:themeFillShade="D9"/>
          </w:tcPr>
          <w:p w14:paraId="1D879A0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365 (72.85)</w:t>
            </w:r>
          </w:p>
        </w:tc>
        <w:tc>
          <w:tcPr>
            <w:tcW w:w="1701" w:type="dxa"/>
            <w:tcBorders>
              <w:top w:val="single" w:sz="4" w:space="0" w:color="auto"/>
              <w:left w:val="single" w:sz="12" w:space="0" w:color="auto"/>
            </w:tcBorders>
            <w:noWrap/>
            <w:hideMark/>
          </w:tcPr>
          <w:p w14:paraId="762C9F4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143 (80.34)</w:t>
            </w:r>
          </w:p>
        </w:tc>
        <w:tc>
          <w:tcPr>
            <w:tcW w:w="1627" w:type="dxa"/>
            <w:tcBorders>
              <w:top w:val="single" w:sz="4" w:space="0" w:color="auto"/>
            </w:tcBorders>
            <w:noWrap/>
            <w:hideMark/>
          </w:tcPr>
          <w:p w14:paraId="28E79BD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95 (71.97)</w:t>
            </w:r>
          </w:p>
        </w:tc>
        <w:tc>
          <w:tcPr>
            <w:tcW w:w="1559" w:type="dxa"/>
            <w:gridSpan w:val="2"/>
            <w:tcBorders>
              <w:top w:val="single" w:sz="4" w:space="0" w:color="auto"/>
            </w:tcBorders>
            <w:noWrap/>
            <w:hideMark/>
          </w:tcPr>
          <w:p w14:paraId="58519B2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72 (74.23)</w:t>
            </w:r>
          </w:p>
        </w:tc>
        <w:tc>
          <w:tcPr>
            <w:tcW w:w="1701" w:type="dxa"/>
            <w:gridSpan w:val="2"/>
            <w:tcBorders>
              <w:top w:val="single" w:sz="4" w:space="0" w:color="auto"/>
            </w:tcBorders>
            <w:noWrap/>
            <w:hideMark/>
          </w:tcPr>
          <w:p w14:paraId="4DB94B0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55 (58.51)</w:t>
            </w:r>
          </w:p>
        </w:tc>
        <w:tc>
          <w:tcPr>
            <w:tcW w:w="857" w:type="dxa"/>
            <w:gridSpan w:val="2"/>
            <w:vMerge w:val="restart"/>
            <w:tcBorders>
              <w:top w:val="single" w:sz="4" w:space="0" w:color="auto"/>
              <w:right w:val="single" w:sz="12" w:space="0" w:color="auto"/>
            </w:tcBorders>
            <w:noWrap/>
            <w:hideMark/>
          </w:tcPr>
          <w:p w14:paraId="587F558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0.001 **</w:t>
            </w:r>
          </w:p>
        </w:tc>
      </w:tr>
      <w:tr w:rsidR="0093416B" w:rsidRPr="00CD6712" w14:paraId="46782EFF" w14:textId="77777777" w:rsidTr="0093416B">
        <w:trPr>
          <w:trHeight w:val="315"/>
        </w:trPr>
        <w:tc>
          <w:tcPr>
            <w:tcW w:w="988" w:type="dxa"/>
            <w:vMerge/>
            <w:tcBorders>
              <w:left w:val="single" w:sz="12" w:space="0" w:color="auto"/>
            </w:tcBorders>
            <w:hideMark/>
          </w:tcPr>
          <w:p w14:paraId="4D29D41E"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58BB740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problems</w:t>
            </w:r>
          </w:p>
        </w:tc>
        <w:tc>
          <w:tcPr>
            <w:tcW w:w="1701" w:type="dxa"/>
            <w:tcBorders>
              <w:left w:val="single" w:sz="12" w:space="0" w:color="auto"/>
              <w:right w:val="single" w:sz="12" w:space="0" w:color="auto"/>
            </w:tcBorders>
            <w:shd w:val="clear" w:color="auto" w:fill="D9D9D9" w:themeFill="background1" w:themeFillShade="D9"/>
          </w:tcPr>
          <w:p w14:paraId="2A5F881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129 (25.75)</w:t>
            </w:r>
          </w:p>
        </w:tc>
        <w:tc>
          <w:tcPr>
            <w:tcW w:w="1701" w:type="dxa"/>
            <w:tcBorders>
              <w:left w:val="single" w:sz="12" w:space="0" w:color="auto"/>
            </w:tcBorders>
            <w:noWrap/>
            <w:hideMark/>
          </w:tcPr>
          <w:p w14:paraId="2DF58A4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34 (19.10)</w:t>
            </w:r>
          </w:p>
        </w:tc>
        <w:tc>
          <w:tcPr>
            <w:tcW w:w="1627" w:type="dxa"/>
            <w:noWrap/>
            <w:hideMark/>
          </w:tcPr>
          <w:p w14:paraId="3FC6225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 (24.24)</w:t>
            </w:r>
          </w:p>
        </w:tc>
        <w:tc>
          <w:tcPr>
            <w:tcW w:w="1559" w:type="dxa"/>
            <w:gridSpan w:val="2"/>
            <w:noWrap/>
            <w:hideMark/>
          </w:tcPr>
          <w:p w14:paraId="2F20B3C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25 (25.77)</w:t>
            </w:r>
          </w:p>
        </w:tc>
        <w:tc>
          <w:tcPr>
            <w:tcW w:w="1701" w:type="dxa"/>
            <w:gridSpan w:val="2"/>
            <w:noWrap/>
            <w:hideMark/>
          </w:tcPr>
          <w:p w14:paraId="149CE3E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38 (40.43)</w:t>
            </w:r>
          </w:p>
        </w:tc>
        <w:tc>
          <w:tcPr>
            <w:tcW w:w="857" w:type="dxa"/>
            <w:gridSpan w:val="2"/>
            <w:vMerge/>
            <w:tcBorders>
              <w:right w:val="single" w:sz="12" w:space="0" w:color="auto"/>
            </w:tcBorders>
            <w:hideMark/>
          </w:tcPr>
          <w:p w14:paraId="61DF16BD"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1D743804" w14:textId="77777777" w:rsidTr="0093416B">
        <w:trPr>
          <w:trHeight w:val="315"/>
        </w:trPr>
        <w:tc>
          <w:tcPr>
            <w:tcW w:w="988" w:type="dxa"/>
            <w:vMerge/>
            <w:tcBorders>
              <w:left w:val="single" w:sz="12" w:space="0" w:color="auto"/>
            </w:tcBorders>
            <w:hideMark/>
          </w:tcPr>
          <w:p w14:paraId="0BAFBA6A"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6F8F3CD0"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EQ-5D Self-care</w:t>
            </w:r>
          </w:p>
        </w:tc>
        <w:tc>
          <w:tcPr>
            <w:tcW w:w="1701" w:type="dxa"/>
            <w:tcBorders>
              <w:left w:val="single" w:sz="12" w:space="0" w:color="auto"/>
              <w:right w:val="single" w:sz="12" w:space="0" w:color="auto"/>
            </w:tcBorders>
            <w:shd w:val="clear" w:color="auto" w:fill="D9D9D9" w:themeFill="background1" w:themeFillShade="D9"/>
          </w:tcPr>
          <w:p w14:paraId="651CDC44"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1F3AFB5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c>
          <w:tcPr>
            <w:tcW w:w="857" w:type="dxa"/>
            <w:gridSpan w:val="2"/>
            <w:tcBorders>
              <w:right w:val="single" w:sz="12" w:space="0" w:color="auto"/>
            </w:tcBorders>
            <w:noWrap/>
            <w:hideMark/>
          </w:tcPr>
          <w:p w14:paraId="34C8FBE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39F42A7D" w14:textId="77777777" w:rsidTr="0093416B">
        <w:trPr>
          <w:trHeight w:val="315"/>
        </w:trPr>
        <w:tc>
          <w:tcPr>
            <w:tcW w:w="988" w:type="dxa"/>
            <w:vMerge/>
            <w:tcBorders>
              <w:left w:val="single" w:sz="12" w:space="0" w:color="auto"/>
            </w:tcBorders>
            <w:hideMark/>
          </w:tcPr>
          <w:p w14:paraId="0E95B14C"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1FBF5AC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no problems</w:t>
            </w:r>
          </w:p>
        </w:tc>
        <w:tc>
          <w:tcPr>
            <w:tcW w:w="1701" w:type="dxa"/>
            <w:tcBorders>
              <w:left w:val="single" w:sz="12" w:space="0" w:color="auto"/>
              <w:right w:val="single" w:sz="12" w:space="0" w:color="auto"/>
            </w:tcBorders>
            <w:shd w:val="clear" w:color="auto" w:fill="D9D9D9" w:themeFill="background1" w:themeFillShade="D9"/>
          </w:tcPr>
          <w:p w14:paraId="0B0B01B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446 (89.02)</w:t>
            </w:r>
          </w:p>
        </w:tc>
        <w:tc>
          <w:tcPr>
            <w:tcW w:w="1701" w:type="dxa"/>
            <w:tcBorders>
              <w:left w:val="single" w:sz="12" w:space="0" w:color="auto"/>
            </w:tcBorders>
            <w:noWrap/>
            <w:hideMark/>
          </w:tcPr>
          <w:p w14:paraId="404D15B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156 (87.64)</w:t>
            </w:r>
          </w:p>
        </w:tc>
        <w:tc>
          <w:tcPr>
            <w:tcW w:w="1634" w:type="dxa"/>
            <w:gridSpan w:val="2"/>
            <w:noWrap/>
            <w:hideMark/>
          </w:tcPr>
          <w:p w14:paraId="684686E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117 (88.64)</w:t>
            </w:r>
          </w:p>
        </w:tc>
        <w:tc>
          <w:tcPr>
            <w:tcW w:w="1559" w:type="dxa"/>
            <w:gridSpan w:val="2"/>
            <w:noWrap/>
            <w:hideMark/>
          </w:tcPr>
          <w:p w14:paraId="74B18CE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93 (95.88)</w:t>
            </w:r>
          </w:p>
        </w:tc>
        <w:tc>
          <w:tcPr>
            <w:tcW w:w="1701" w:type="dxa"/>
            <w:gridSpan w:val="2"/>
            <w:noWrap/>
            <w:hideMark/>
          </w:tcPr>
          <w:p w14:paraId="5A775CF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80 (85.11)</w:t>
            </w:r>
          </w:p>
        </w:tc>
        <w:tc>
          <w:tcPr>
            <w:tcW w:w="850" w:type="dxa"/>
            <w:vMerge w:val="restart"/>
            <w:tcBorders>
              <w:right w:val="single" w:sz="12" w:space="0" w:color="auto"/>
            </w:tcBorders>
            <w:noWrap/>
            <w:hideMark/>
          </w:tcPr>
          <w:p w14:paraId="30369B6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0.050</w:t>
            </w:r>
          </w:p>
        </w:tc>
      </w:tr>
      <w:tr w:rsidR="0093416B" w:rsidRPr="00CD6712" w14:paraId="6E74B86C" w14:textId="77777777" w:rsidTr="0093416B">
        <w:trPr>
          <w:trHeight w:val="315"/>
        </w:trPr>
        <w:tc>
          <w:tcPr>
            <w:tcW w:w="988" w:type="dxa"/>
            <w:vMerge/>
            <w:tcBorders>
              <w:left w:val="single" w:sz="12" w:space="0" w:color="auto"/>
            </w:tcBorders>
            <w:hideMark/>
          </w:tcPr>
          <w:p w14:paraId="670ECB1C"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3D92D8E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problems</w:t>
            </w:r>
          </w:p>
        </w:tc>
        <w:tc>
          <w:tcPr>
            <w:tcW w:w="1701" w:type="dxa"/>
            <w:tcBorders>
              <w:left w:val="single" w:sz="12" w:space="0" w:color="auto"/>
              <w:right w:val="single" w:sz="12" w:space="0" w:color="auto"/>
            </w:tcBorders>
            <w:shd w:val="clear" w:color="auto" w:fill="D9D9D9" w:themeFill="background1" w:themeFillShade="D9"/>
          </w:tcPr>
          <w:p w14:paraId="4596CBD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47 (9.38)</w:t>
            </w:r>
          </w:p>
        </w:tc>
        <w:tc>
          <w:tcPr>
            <w:tcW w:w="1701" w:type="dxa"/>
            <w:tcBorders>
              <w:left w:val="single" w:sz="12" w:space="0" w:color="auto"/>
            </w:tcBorders>
            <w:noWrap/>
            <w:hideMark/>
          </w:tcPr>
          <w:p w14:paraId="4516AF0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20 (11.24)</w:t>
            </w:r>
          </w:p>
        </w:tc>
        <w:tc>
          <w:tcPr>
            <w:tcW w:w="1634" w:type="dxa"/>
            <w:gridSpan w:val="2"/>
            <w:noWrap/>
            <w:hideMark/>
          </w:tcPr>
          <w:p w14:paraId="1244802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10 (7.58)</w:t>
            </w:r>
          </w:p>
        </w:tc>
        <w:tc>
          <w:tcPr>
            <w:tcW w:w="1559" w:type="dxa"/>
            <w:gridSpan w:val="2"/>
            <w:noWrap/>
            <w:hideMark/>
          </w:tcPr>
          <w:p w14:paraId="68F5E46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 (4.12)</w:t>
            </w:r>
          </w:p>
        </w:tc>
        <w:tc>
          <w:tcPr>
            <w:tcW w:w="1701" w:type="dxa"/>
            <w:gridSpan w:val="2"/>
            <w:noWrap/>
            <w:hideMark/>
          </w:tcPr>
          <w:p w14:paraId="3C48747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13 (13.83)</w:t>
            </w:r>
          </w:p>
        </w:tc>
        <w:tc>
          <w:tcPr>
            <w:tcW w:w="850" w:type="dxa"/>
            <w:vMerge/>
            <w:tcBorders>
              <w:right w:val="single" w:sz="12" w:space="0" w:color="auto"/>
            </w:tcBorders>
            <w:hideMark/>
          </w:tcPr>
          <w:p w14:paraId="42A9281D"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7CFB6B41" w14:textId="77777777" w:rsidTr="0093416B">
        <w:trPr>
          <w:trHeight w:val="315"/>
        </w:trPr>
        <w:tc>
          <w:tcPr>
            <w:tcW w:w="988" w:type="dxa"/>
            <w:vMerge/>
            <w:tcBorders>
              <w:left w:val="single" w:sz="12" w:space="0" w:color="auto"/>
            </w:tcBorders>
            <w:hideMark/>
          </w:tcPr>
          <w:p w14:paraId="0ED409EA"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778D0117"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EQ-5D Usual activities</w:t>
            </w:r>
          </w:p>
        </w:tc>
        <w:tc>
          <w:tcPr>
            <w:tcW w:w="1701" w:type="dxa"/>
            <w:tcBorders>
              <w:left w:val="single" w:sz="12" w:space="0" w:color="auto"/>
              <w:right w:val="single" w:sz="12" w:space="0" w:color="auto"/>
            </w:tcBorders>
            <w:shd w:val="clear" w:color="auto" w:fill="D9D9D9" w:themeFill="background1" w:themeFillShade="D9"/>
          </w:tcPr>
          <w:p w14:paraId="776FBA33"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144737A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c>
          <w:tcPr>
            <w:tcW w:w="857" w:type="dxa"/>
            <w:gridSpan w:val="2"/>
            <w:tcBorders>
              <w:right w:val="single" w:sz="12" w:space="0" w:color="auto"/>
            </w:tcBorders>
            <w:noWrap/>
            <w:hideMark/>
          </w:tcPr>
          <w:p w14:paraId="0B2DF42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26AE6399" w14:textId="77777777" w:rsidTr="0093416B">
        <w:trPr>
          <w:trHeight w:val="315"/>
        </w:trPr>
        <w:tc>
          <w:tcPr>
            <w:tcW w:w="988" w:type="dxa"/>
            <w:vMerge/>
            <w:tcBorders>
              <w:left w:val="single" w:sz="12" w:space="0" w:color="auto"/>
            </w:tcBorders>
            <w:hideMark/>
          </w:tcPr>
          <w:p w14:paraId="544E9193"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6533A31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no problems</w:t>
            </w:r>
          </w:p>
        </w:tc>
        <w:tc>
          <w:tcPr>
            <w:tcW w:w="1701" w:type="dxa"/>
            <w:tcBorders>
              <w:left w:val="single" w:sz="12" w:space="0" w:color="auto"/>
              <w:right w:val="single" w:sz="12" w:space="0" w:color="auto"/>
            </w:tcBorders>
            <w:shd w:val="clear" w:color="auto" w:fill="D9D9D9" w:themeFill="background1" w:themeFillShade="D9"/>
          </w:tcPr>
          <w:p w14:paraId="0903CE3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323 (64.47)</w:t>
            </w:r>
          </w:p>
        </w:tc>
        <w:tc>
          <w:tcPr>
            <w:tcW w:w="1701" w:type="dxa"/>
            <w:tcBorders>
              <w:left w:val="single" w:sz="12" w:space="0" w:color="auto"/>
            </w:tcBorders>
            <w:noWrap/>
            <w:hideMark/>
          </w:tcPr>
          <w:p w14:paraId="720BFF2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118 (66.29)</w:t>
            </w:r>
          </w:p>
        </w:tc>
        <w:tc>
          <w:tcPr>
            <w:tcW w:w="1634" w:type="dxa"/>
            <w:gridSpan w:val="2"/>
            <w:noWrap/>
            <w:hideMark/>
          </w:tcPr>
          <w:p w14:paraId="51488B2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84 (63.64)</w:t>
            </w:r>
          </w:p>
        </w:tc>
        <w:tc>
          <w:tcPr>
            <w:tcW w:w="1559" w:type="dxa"/>
            <w:gridSpan w:val="2"/>
            <w:noWrap/>
            <w:hideMark/>
          </w:tcPr>
          <w:p w14:paraId="6710420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71 (73.20)</w:t>
            </w:r>
          </w:p>
        </w:tc>
        <w:tc>
          <w:tcPr>
            <w:tcW w:w="1701" w:type="dxa"/>
            <w:gridSpan w:val="2"/>
            <w:noWrap/>
            <w:hideMark/>
          </w:tcPr>
          <w:p w14:paraId="75C2942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50 (53.19)</w:t>
            </w:r>
          </w:p>
        </w:tc>
        <w:tc>
          <w:tcPr>
            <w:tcW w:w="850" w:type="dxa"/>
            <w:vMerge w:val="restart"/>
            <w:tcBorders>
              <w:right w:val="single" w:sz="12" w:space="0" w:color="auto"/>
            </w:tcBorders>
            <w:noWrap/>
            <w:hideMark/>
          </w:tcPr>
          <w:p w14:paraId="44B9CB0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0.097</w:t>
            </w:r>
          </w:p>
        </w:tc>
      </w:tr>
      <w:tr w:rsidR="0093416B" w:rsidRPr="00CD6712" w14:paraId="3E75FC1E" w14:textId="77777777" w:rsidTr="0093416B">
        <w:trPr>
          <w:trHeight w:val="315"/>
        </w:trPr>
        <w:tc>
          <w:tcPr>
            <w:tcW w:w="988" w:type="dxa"/>
            <w:vMerge/>
            <w:tcBorders>
              <w:left w:val="single" w:sz="12" w:space="0" w:color="auto"/>
            </w:tcBorders>
            <w:hideMark/>
          </w:tcPr>
          <w:p w14:paraId="0B2FA3D3"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3DAC94D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problems</w:t>
            </w:r>
          </w:p>
        </w:tc>
        <w:tc>
          <w:tcPr>
            <w:tcW w:w="1701" w:type="dxa"/>
            <w:tcBorders>
              <w:left w:val="single" w:sz="12" w:space="0" w:color="auto"/>
              <w:right w:val="single" w:sz="12" w:space="0" w:color="auto"/>
            </w:tcBorders>
            <w:shd w:val="clear" w:color="auto" w:fill="D9D9D9" w:themeFill="background1" w:themeFillShade="D9"/>
          </w:tcPr>
          <w:p w14:paraId="20D5F47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172 (34.33)</w:t>
            </w:r>
          </w:p>
        </w:tc>
        <w:tc>
          <w:tcPr>
            <w:tcW w:w="1701" w:type="dxa"/>
            <w:tcBorders>
              <w:left w:val="single" w:sz="12" w:space="0" w:color="auto"/>
            </w:tcBorders>
            <w:noWrap/>
            <w:hideMark/>
          </w:tcPr>
          <w:p w14:paraId="4B111BB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59 (33.15)</w:t>
            </w:r>
          </w:p>
        </w:tc>
        <w:tc>
          <w:tcPr>
            <w:tcW w:w="1634" w:type="dxa"/>
            <w:gridSpan w:val="2"/>
            <w:noWrap/>
            <w:hideMark/>
          </w:tcPr>
          <w:p w14:paraId="6A6190E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45 34.09)</w:t>
            </w:r>
          </w:p>
        </w:tc>
        <w:tc>
          <w:tcPr>
            <w:tcW w:w="1559" w:type="dxa"/>
            <w:gridSpan w:val="2"/>
            <w:noWrap/>
            <w:hideMark/>
          </w:tcPr>
          <w:p w14:paraId="3BFFC73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25 (25.77)</w:t>
            </w:r>
          </w:p>
        </w:tc>
        <w:tc>
          <w:tcPr>
            <w:tcW w:w="1701" w:type="dxa"/>
            <w:gridSpan w:val="2"/>
            <w:noWrap/>
            <w:hideMark/>
          </w:tcPr>
          <w:p w14:paraId="5E89E9F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43 (45.74)</w:t>
            </w:r>
          </w:p>
        </w:tc>
        <w:tc>
          <w:tcPr>
            <w:tcW w:w="850" w:type="dxa"/>
            <w:vMerge/>
            <w:tcBorders>
              <w:right w:val="single" w:sz="12" w:space="0" w:color="auto"/>
            </w:tcBorders>
            <w:hideMark/>
          </w:tcPr>
          <w:p w14:paraId="6BE15490"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6E223298" w14:textId="77777777" w:rsidTr="0093416B">
        <w:trPr>
          <w:trHeight w:val="315"/>
        </w:trPr>
        <w:tc>
          <w:tcPr>
            <w:tcW w:w="988" w:type="dxa"/>
            <w:vMerge/>
            <w:tcBorders>
              <w:left w:val="single" w:sz="12" w:space="0" w:color="auto"/>
            </w:tcBorders>
            <w:hideMark/>
          </w:tcPr>
          <w:p w14:paraId="4F55E2A4"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2CE47BF4"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EQ-5D Pain/discomfort</w:t>
            </w:r>
          </w:p>
        </w:tc>
        <w:tc>
          <w:tcPr>
            <w:tcW w:w="1701" w:type="dxa"/>
            <w:tcBorders>
              <w:left w:val="single" w:sz="12" w:space="0" w:color="auto"/>
              <w:right w:val="single" w:sz="12" w:space="0" w:color="auto"/>
            </w:tcBorders>
            <w:shd w:val="clear" w:color="auto" w:fill="D9D9D9" w:themeFill="background1" w:themeFillShade="D9"/>
          </w:tcPr>
          <w:p w14:paraId="54741954"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04FC959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c>
          <w:tcPr>
            <w:tcW w:w="857" w:type="dxa"/>
            <w:gridSpan w:val="2"/>
            <w:tcBorders>
              <w:right w:val="single" w:sz="12" w:space="0" w:color="auto"/>
            </w:tcBorders>
            <w:noWrap/>
            <w:hideMark/>
          </w:tcPr>
          <w:p w14:paraId="690489A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2BB00546" w14:textId="77777777" w:rsidTr="0093416B">
        <w:trPr>
          <w:trHeight w:val="315"/>
        </w:trPr>
        <w:tc>
          <w:tcPr>
            <w:tcW w:w="988" w:type="dxa"/>
            <w:vMerge/>
            <w:tcBorders>
              <w:left w:val="single" w:sz="12" w:space="0" w:color="auto"/>
            </w:tcBorders>
            <w:hideMark/>
          </w:tcPr>
          <w:p w14:paraId="30FBEA61"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4B5B5A2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no problems</w:t>
            </w:r>
          </w:p>
        </w:tc>
        <w:tc>
          <w:tcPr>
            <w:tcW w:w="1701" w:type="dxa"/>
            <w:tcBorders>
              <w:left w:val="single" w:sz="12" w:space="0" w:color="auto"/>
              <w:right w:val="single" w:sz="12" w:space="0" w:color="auto"/>
            </w:tcBorders>
            <w:shd w:val="clear" w:color="auto" w:fill="D9D9D9" w:themeFill="background1" w:themeFillShade="D9"/>
          </w:tcPr>
          <w:p w14:paraId="0A9DD4D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239 (47.70)</w:t>
            </w:r>
          </w:p>
        </w:tc>
        <w:tc>
          <w:tcPr>
            <w:tcW w:w="1701" w:type="dxa"/>
            <w:tcBorders>
              <w:left w:val="single" w:sz="12" w:space="0" w:color="auto"/>
            </w:tcBorders>
            <w:noWrap/>
            <w:hideMark/>
          </w:tcPr>
          <w:p w14:paraId="63FA498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95 (53.37)</w:t>
            </w:r>
          </w:p>
        </w:tc>
        <w:tc>
          <w:tcPr>
            <w:tcW w:w="1634" w:type="dxa"/>
            <w:gridSpan w:val="2"/>
            <w:noWrap/>
            <w:hideMark/>
          </w:tcPr>
          <w:p w14:paraId="13E4176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58 (43.94)</w:t>
            </w:r>
          </w:p>
        </w:tc>
        <w:tc>
          <w:tcPr>
            <w:tcW w:w="1559" w:type="dxa"/>
            <w:gridSpan w:val="2"/>
            <w:noWrap/>
            <w:hideMark/>
          </w:tcPr>
          <w:p w14:paraId="30620C2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47 (48.45)</w:t>
            </w:r>
          </w:p>
        </w:tc>
        <w:tc>
          <w:tcPr>
            <w:tcW w:w="1701" w:type="dxa"/>
            <w:gridSpan w:val="2"/>
            <w:noWrap/>
            <w:hideMark/>
          </w:tcPr>
          <w:p w14:paraId="3C79102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39 (41.49)</w:t>
            </w:r>
          </w:p>
        </w:tc>
        <w:tc>
          <w:tcPr>
            <w:tcW w:w="850" w:type="dxa"/>
            <w:vMerge w:val="restart"/>
            <w:tcBorders>
              <w:right w:val="single" w:sz="12" w:space="0" w:color="auto"/>
            </w:tcBorders>
            <w:noWrap/>
            <w:hideMark/>
          </w:tcPr>
          <w:p w14:paraId="0B6E90A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0.225</w:t>
            </w:r>
          </w:p>
        </w:tc>
      </w:tr>
      <w:tr w:rsidR="0093416B" w:rsidRPr="00CD6712" w14:paraId="2072B83C" w14:textId="77777777" w:rsidTr="0093416B">
        <w:trPr>
          <w:trHeight w:val="315"/>
        </w:trPr>
        <w:tc>
          <w:tcPr>
            <w:tcW w:w="988" w:type="dxa"/>
            <w:vMerge/>
            <w:tcBorders>
              <w:left w:val="single" w:sz="12" w:space="0" w:color="auto"/>
            </w:tcBorders>
            <w:hideMark/>
          </w:tcPr>
          <w:p w14:paraId="1AC72786"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6543F20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problems</w:t>
            </w:r>
          </w:p>
        </w:tc>
        <w:tc>
          <w:tcPr>
            <w:tcW w:w="1701" w:type="dxa"/>
            <w:tcBorders>
              <w:left w:val="single" w:sz="12" w:space="0" w:color="auto"/>
              <w:right w:val="single" w:sz="12" w:space="0" w:color="auto"/>
            </w:tcBorders>
            <w:shd w:val="clear" w:color="auto" w:fill="D9D9D9" w:themeFill="background1" w:themeFillShade="D9"/>
          </w:tcPr>
          <w:p w14:paraId="7AA8F92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253 (50.50)</w:t>
            </w:r>
          </w:p>
        </w:tc>
        <w:tc>
          <w:tcPr>
            <w:tcW w:w="1701" w:type="dxa"/>
            <w:tcBorders>
              <w:left w:val="single" w:sz="12" w:space="0" w:color="auto"/>
            </w:tcBorders>
            <w:noWrap/>
            <w:hideMark/>
          </w:tcPr>
          <w:p w14:paraId="3F6ACAE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81 (45.51)</w:t>
            </w:r>
          </w:p>
        </w:tc>
        <w:tc>
          <w:tcPr>
            <w:tcW w:w="1634" w:type="dxa"/>
            <w:gridSpan w:val="2"/>
            <w:noWrap/>
            <w:hideMark/>
          </w:tcPr>
          <w:p w14:paraId="7EF7887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69 (52.27)</w:t>
            </w:r>
          </w:p>
        </w:tc>
        <w:tc>
          <w:tcPr>
            <w:tcW w:w="1559" w:type="dxa"/>
            <w:gridSpan w:val="2"/>
            <w:noWrap/>
            <w:hideMark/>
          </w:tcPr>
          <w:p w14:paraId="793C0B8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49 (50.52)</w:t>
            </w:r>
          </w:p>
        </w:tc>
        <w:tc>
          <w:tcPr>
            <w:tcW w:w="1701" w:type="dxa"/>
            <w:gridSpan w:val="2"/>
            <w:noWrap/>
            <w:hideMark/>
          </w:tcPr>
          <w:p w14:paraId="0F94596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54 (57.45)</w:t>
            </w:r>
          </w:p>
        </w:tc>
        <w:tc>
          <w:tcPr>
            <w:tcW w:w="850" w:type="dxa"/>
            <w:vMerge/>
            <w:tcBorders>
              <w:right w:val="single" w:sz="12" w:space="0" w:color="auto"/>
            </w:tcBorders>
            <w:hideMark/>
          </w:tcPr>
          <w:p w14:paraId="4935650E"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4D4E0453" w14:textId="77777777" w:rsidTr="0093416B">
        <w:trPr>
          <w:trHeight w:val="315"/>
        </w:trPr>
        <w:tc>
          <w:tcPr>
            <w:tcW w:w="988" w:type="dxa"/>
            <w:vMerge/>
            <w:tcBorders>
              <w:left w:val="single" w:sz="12" w:space="0" w:color="auto"/>
            </w:tcBorders>
            <w:hideMark/>
          </w:tcPr>
          <w:p w14:paraId="6C1289B8"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1E3A5354"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EQ-5D Anxiety/depression</w:t>
            </w:r>
          </w:p>
        </w:tc>
        <w:tc>
          <w:tcPr>
            <w:tcW w:w="1701" w:type="dxa"/>
            <w:tcBorders>
              <w:left w:val="single" w:sz="12" w:space="0" w:color="auto"/>
              <w:right w:val="single" w:sz="12" w:space="0" w:color="auto"/>
            </w:tcBorders>
            <w:shd w:val="clear" w:color="auto" w:fill="D9D9D9" w:themeFill="background1" w:themeFillShade="D9"/>
          </w:tcPr>
          <w:p w14:paraId="3E9B7E2E"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6E447B2E" w14:textId="77777777" w:rsidR="0093416B" w:rsidRPr="00CD6712" w:rsidRDefault="0093416B" w:rsidP="0093416B">
            <w:pPr>
              <w:autoSpaceDE w:val="0"/>
              <w:autoSpaceDN w:val="0"/>
              <w:adjustRightInd w:val="0"/>
              <w:spacing w:line="480" w:lineRule="auto"/>
              <w:rPr>
                <w:rFonts w:cstheme="minorHAnsi"/>
                <w:sz w:val="16"/>
                <w:szCs w:val="16"/>
              </w:rPr>
            </w:pPr>
          </w:p>
        </w:tc>
        <w:tc>
          <w:tcPr>
            <w:tcW w:w="857" w:type="dxa"/>
            <w:gridSpan w:val="2"/>
            <w:tcBorders>
              <w:right w:val="single" w:sz="12" w:space="0" w:color="auto"/>
            </w:tcBorders>
            <w:noWrap/>
            <w:hideMark/>
          </w:tcPr>
          <w:p w14:paraId="5436970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7172005B" w14:textId="77777777" w:rsidTr="0093416B">
        <w:trPr>
          <w:trHeight w:val="315"/>
        </w:trPr>
        <w:tc>
          <w:tcPr>
            <w:tcW w:w="988" w:type="dxa"/>
            <w:vMerge/>
            <w:tcBorders>
              <w:left w:val="single" w:sz="12" w:space="0" w:color="auto"/>
            </w:tcBorders>
            <w:hideMark/>
          </w:tcPr>
          <w:p w14:paraId="4508B0E1"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7976819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no problems</w:t>
            </w:r>
          </w:p>
        </w:tc>
        <w:tc>
          <w:tcPr>
            <w:tcW w:w="1701" w:type="dxa"/>
            <w:tcBorders>
              <w:left w:val="single" w:sz="12" w:space="0" w:color="auto"/>
              <w:right w:val="single" w:sz="12" w:space="0" w:color="auto"/>
            </w:tcBorders>
            <w:shd w:val="clear" w:color="auto" w:fill="D9D9D9" w:themeFill="background1" w:themeFillShade="D9"/>
          </w:tcPr>
          <w:p w14:paraId="5255DC7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348 (69.46)</w:t>
            </w:r>
          </w:p>
        </w:tc>
        <w:tc>
          <w:tcPr>
            <w:tcW w:w="1701" w:type="dxa"/>
            <w:tcBorders>
              <w:left w:val="single" w:sz="12" w:space="0" w:color="auto"/>
            </w:tcBorders>
            <w:noWrap/>
            <w:hideMark/>
          </w:tcPr>
          <w:p w14:paraId="42F68E3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125 (70.22)</w:t>
            </w:r>
          </w:p>
        </w:tc>
        <w:tc>
          <w:tcPr>
            <w:tcW w:w="1634" w:type="dxa"/>
            <w:gridSpan w:val="2"/>
            <w:noWrap/>
            <w:hideMark/>
          </w:tcPr>
          <w:p w14:paraId="07BB233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89 (67.42)</w:t>
            </w:r>
          </w:p>
        </w:tc>
        <w:tc>
          <w:tcPr>
            <w:tcW w:w="1559" w:type="dxa"/>
            <w:gridSpan w:val="2"/>
            <w:noWrap/>
            <w:hideMark/>
          </w:tcPr>
          <w:p w14:paraId="3143784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69 (71.13)</w:t>
            </w:r>
          </w:p>
        </w:tc>
        <w:tc>
          <w:tcPr>
            <w:tcW w:w="1701" w:type="dxa"/>
            <w:gridSpan w:val="2"/>
            <w:noWrap/>
            <w:hideMark/>
          </w:tcPr>
          <w:p w14:paraId="046B3B6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65 (69.15)</w:t>
            </w:r>
          </w:p>
        </w:tc>
        <w:tc>
          <w:tcPr>
            <w:tcW w:w="850" w:type="dxa"/>
            <w:vMerge w:val="restart"/>
            <w:tcBorders>
              <w:right w:val="single" w:sz="12" w:space="0" w:color="auto"/>
            </w:tcBorders>
            <w:noWrap/>
            <w:hideMark/>
          </w:tcPr>
          <w:p w14:paraId="20D39E7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0.836</w:t>
            </w:r>
          </w:p>
        </w:tc>
      </w:tr>
      <w:tr w:rsidR="0093416B" w:rsidRPr="00CD6712" w14:paraId="206343B3" w14:textId="77777777" w:rsidTr="0093416B">
        <w:trPr>
          <w:trHeight w:val="315"/>
        </w:trPr>
        <w:tc>
          <w:tcPr>
            <w:tcW w:w="988" w:type="dxa"/>
            <w:vMerge/>
            <w:tcBorders>
              <w:left w:val="single" w:sz="12" w:space="0" w:color="auto"/>
            </w:tcBorders>
            <w:hideMark/>
          </w:tcPr>
          <w:p w14:paraId="3D84A2D0"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hideMark/>
          </w:tcPr>
          <w:p w14:paraId="2466D3D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Having problems</w:t>
            </w:r>
          </w:p>
        </w:tc>
        <w:tc>
          <w:tcPr>
            <w:tcW w:w="1701" w:type="dxa"/>
            <w:tcBorders>
              <w:left w:val="single" w:sz="12" w:space="0" w:color="auto"/>
              <w:right w:val="single" w:sz="12" w:space="0" w:color="auto"/>
            </w:tcBorders>
            <w:shd w:val="clear" w:color="auto" w:fill="D9D9D9" w:themeFill="background1" w:themeFillShade="D9"/>
          </w:tcPr>
          <w:p w14:paraId="17DA980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147 (29.43)</w:t>
            </w:r>
          </w:p>
        </w:tc>
        <w:tc>
          <w:tcPr>
            <w:tcW w:w="1701" w:type="dxa"/>
            <w:tcBorders>
              <w:left w:val="single" w:sz="12" w:space="0" w:color="auto"/>
            </w:tcBorders>
            <w:noWrap/>
            <w:hideMark/>
          </w:tcPr>
          <w:p w14:paraId="38064C9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51 (28.65)</w:t>
            </w:r>
          </w:p>
        </w:tc>
        <w:tc>
          <w:tcPr>
            <w:tcW w:w="1634" w:type="dxa"/>
            <w:gridSpan w:val="2"/>
            <w:noWrap/>
            <w:hideMark/>
          </w:tcPr>
          <w:p w14:paraId="64B4D16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40 (30.30)</w:t>
            </w:r>
          </w:p>
        </w:tc>
        <w:tc>
          <w:tcPr>
            <w:tcW w:w="1559" w:type="dxa"/>
            <w:gridSpan w:val="2"/>
            <w:noWrap/>
            <w:hideMark/>
          </w:tcPr>
          <w:p w14:paraId="07D193F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27 (27.84)</w:t>
            </w:r>
          </w:p>
        </w:tc>
        <w:tc>
          <w:tcPr>
            <w:tcW w:w="1701" w:type="dxa"/>
            <w:gridSpan w:val="2"/>
            <w:noWrap/>
            <w:hideMark/>
          </w:tcPr>
          <w:p w14:paraId="0E262BC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29 (30.85)</w:t>
            </w:r>
          </w:p>
        </w:tc>
        <w:tc>
          <w:tcPr>
            <w:tcW w:w="850" w:type="dxa"/>
            <w:vMerge/>
            <w:tcBorders>
              <w:right w:val="single" w:sz="12" w:space="0" w:color="auto"/>
            </w:tcBorders>
            <w:hideMark/>
          </w:tcPr>
          <w:p w14:paraId="6969F184"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229BF53E" w14:textId="77777777" w:rsidTr="0093416B">
        <w:trPr>
          <w:trHeight w:val="315"/>
        </w:trPr>
        <w:tc>
          <w:tcPr>
            <w:tcW w:w="988" w:type="dxa"/>
            <w:vMerge w:val="restart"/>
            <w:tcBorders>
              <w:left w:val="single" w:sz="12" w:space="0" w:color="auto"/>
            </w:tcBorders>
            <w:hideMark/>
          </w:tcPr>
          <w:p w14:paraId="1B28EF57"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Block 1 - socio-demo</w:t>
            </w:r>
          </w:p>
        </w:tc>
        <w:tc>
          <w:tcPr>
            <w:tcW w:w="1701" w:type="dxa"/>
            <w:tcBorders>
              <w:right w:val="single" w:sz="12" w:space="0" w:color="auto"/>
            </w:tcBorders>
            <w:noWrap/>
            <w:hideMark/>
          </w:tcPr>
          <w:p w14:paraId="0C7290C2"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Gender</w:t>
            </w:r>
          </w:p>
        </w:tc>
        <w:tc>
          <w:tcPr>
            <w:tcW w:w="1701" w:type="dxa"/>
            <w:tcBorders>
              <w:left w:val="single" w:sz="12" w:space="0" w:color="auto"/>
              <w:right w:val="single" w:sz="12" w:space="0" w:color="auto"/>
            </w:tcBorders>
            <w:shd w:val="clear" w:color="auto" w:fill="D9D9D9" w:themeFill="background1" w:themeFillShade="D9"/>
          </w:tcPr>
          <w:p w14:paraId="22282624"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794BE760" w14:textId="77777777" w:rsidR="0093416B" w:rsidRPr="00CD6712" w:rsidRDefault="0093416B" w:rsidP="0093416B">
            <w:pPr>
              <w:autoSpaceDE w:val="0"/>
              <w:autoSpaceDN w:val="0"/>
              <w:adjustRightInd w:val="0"/>
              <w:spacing w:line="480" w:lineRule="auto"/>
              <w:rPr>
                <w:rFonts w:cstheme="minorHAnsi"/>
                <w:sz w:val="16"/>
                <w:szCs w:val="16"/>
              </w:rPr>
            </w:pPr>
          </w:p>
        </w:tc>
        <w:tc>
          <w:tcPr>
            <w:tcW w:w="857" w:type="dxa"/>
            <w:gridSpan w:val="2"/>
            <w:tcBorders>
              <w:right w:val="single" w:sz="12" w:space="0" w:color="auto"/>
            </w:tcBorders>
            <w:noWrap/>
            <w:hideMark/>
          </w:tcPr>
          <w:p w14:paraId="6FF845D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0AED10D8" w14:textId="77777777" w:rsidTr="0093416B">
        <w:trPr>
          <w:trHeight w:val="315"/>
        </w:trPr>
        <w:tc>
          <w:tcPr>
            <w:tcW w:w="988" w:type="dxa"/>
            <w:vMerge/>
            <w:tcBorders>
              <w:left w:val="single" w:sz="12" w:space="0" w:color="auto"/>
            </w:tcBorders>
            <w:hideMark/>
          </w:tcPr>
          <w:p w14:paraId="541BFE8C"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5101357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Male</w:t>
            </w:r>
          </w:p>
        </w:tc>
        <w:tc>
          <w:tcPr>
            <w:tcW w:w="1701" w:type="dxa"/>
            <w:tcBorders>
              <w:left w:val="single" w:sz="12" w:space="0" w:color="auto"/>
              <w:right w:val="single" w:sz="12" w:space="0" w:color="auto"/>
            </w:tcBorders>
            <w:shd w:val="clear" w:color="auto" w:fill="D9D9D9" w:themeFill="background1" w:themeFillShade="D9"/>
          </w:tcPr>
          <w:p w14:paraId="366C488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301 (60.08)</w:t>
            </w:r>
          </w:p>
        </w:tc>
        <w:tc>
          <w:tcPr>
            <w:tcW w:w="1701" w:type="dxa"/>
            <w:tcBorders>
              <w:left w:val="single" w:sz="12" w:space="0" w:color="auto"/>
            </w:tcBorders>
            <w:noWrap/>
            <w:hideMark/>
          </w:tcPr>
          <w:p w14:paraId="7327556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119 (66.85)</w:t>
            </w:r>
          </w:p>
        </w:tc>
        <w:tc>
          <w:tcPr>
            <w:tcW w:w="1634" w:type="dxa"/>
            <w:gridSpan w:val="2"/>
            <w:noWrap/>
            <w:hideMark/>
          </w:tcPr>
          <w:p w14:paraId="4703717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69 (52.27)</w:t>
            </w:r>
          </w:p>
        </w:tc>
        <w:tc>
          <w:tcPr>
            <w:tcW w:w="1559" w:type="dxa"/>
            <w:gridSpan w:val="2"/>
            <w:noWrap/>
            <w:hideMark/>
          </w:tcPr>
          <w:p w14:paraId="6A2576A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59 (60.82)</w:t>
            </w:r>
          </w:p>
        </w:tc>
        <w:tc>
          <w:tcPr>
            <w:tcW w:w="1701" w:type="dxa"/>
            <w:gridSpan w:val="2"/>
            <w:noWrap/>
            <w:hideMark/>
          </w:tcPr>
          <w:p w14:paraId="3A454E3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54 (57.45)</w:t>
            </w:r>
          </w:p>
        </w:tc>
        <w:tc>
          <w:tcPr>
            <w:tcW w:w="850" w:type="dxa"/>
            <w:vMerge w:val="restart"/>
            <w:tcBorders>
              <w:right w:val="single" w:sz="12" w:space="0" w:color="auto"/>
            </w:tcBorders>
            <w:noWrap/>
            <w:hideMark/>
          </w:tcPr>
          <w:p w14:paraId="0FD574C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0.070</w:t>
            </w:r>
          </w:p>
        </w:tc>
      </w:tr>
      <w:tr w:rsidR="0093416B" w:rsidRPr="00CD6712" w14:paraId="39CCFB8E" w14:textId="77777777" w:rsidTr="0093416B">
        <w:trPr>
          <w:trHeight w:val="315"/>
        </w:trPr>
        <w:tc>
          <w:tcPr>
            <w:tcW w:w="988" w:type="dxa"/>
            <w:vMerge/>
            <w:tcBorders>
              <w:left w:val="single" w:sz="12" w:space="0" w:color="auto"/>
            </w:tcBorders>
            <w:hideMark/>
          </w:tcPr>
          <w:p w14:paraId="43ABE431"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345E0EB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Female</w:t>
            </w:r>
          </w:p>
        </w:tc>
        <w:tc>
          <w:tcPr>
            <w:tcW w:w="1701" w:type="dxa"/>
            <w:tcBorders>
              <w:left w:val="single" w:sz="12" w:space="0" w:color="auto"/>
              <w:right w:val="single" w:sz="12" w:space="0" w:color="auto"/>
            </w:tcBorders>
            <w:shd w:val="clear" w:color="auto" w:fill="D9D9D9" w:themeFill="background1" w:themeFillShade="D9"/>
          </w:tcPr>
          <w:p w14:paraId="1767069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200 (39.92)</w:t>
            </w:r>
          </w:p>
        </w:tc>
        <w:tc>
          <w:tcPr>
            <w:tcW w:w="1701" w:type="dxa"/>
            <w:tcBorders>
              <w:left w:val="single" w:sz="12" w:space="0" w:color="auto"/>
            </w:tcBorders>
            <w:noWrap/>
            <w:hideMark/>
          </w:tcPr>
          <w:p w14:paraId="66751B6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59 (33.15)</w:t>
            </w:r>
          </w:p>
        </w:tc>
        <w:tc>
          <w:tcPr>
            <w:tcW w:w="1634" w:type="dxa"/>
            <w:gridSpan w:val="2"/>
            <w:noWrap/>
            <w:hideMark/>
          </w:tcPr>
          <w:p w14:paraId="35A9605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63 (47.73)</w:t>
            </w:r>
          </w:p>
        </w:tc>
        <w:tc>
          <w:tcPr>
            <w:tcW w:w="1559" w:type="dxa"/>
            <w:gridSpan w:val="2"/>
            <w:noWrap/>
            <w:hideMark/>
          </w:tcPr>
          <w:p w14:paraId="3DE1B13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38 (39.18)</w:t>
            </w:r>
          </w:p>
        </w:tc>
        <w:tc>
          <w:tcPr>
            <w:tcW w:w="1701" w:type="dxa"/>
            <w:gridSpan w:val="2"/>
            <w:noWrap/>
            <w:hideMark/>
          </w:tcPr>
          <w:p w14:paraId="16593D8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40 (42.55)</w:t>
            </w:r>
          </w:p>
        </w:tc>
        <w:tc>
          <w:tcPr>
            <w:tcW w:w="850" w:type="dxa"/>
            <w:vMerge/>
            <w:tcBorders>
              <w:right w:val="single" w:sz="12" w:space="0" w:color="auto"/>
            </w:tcBorders>
            <w:hideMark/>
          </w:tcPr>
          <w:p w14:paraId="7899A7F3"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11021706" w14:textId="77777777" w:rsidTr="0093416B">
        <w:trPr>
          <w:trHeight w:val="315"/>
        </w:trPr>
        <w:tc>
          <w:tcPr>
            <w:tcW w:w="988" w:type="dxa"/>
            <w:vMerge/>
            <w:tcBorders>
              <w:left w:val="single" w:sz="12" w:space="0" w:color="auto"/>
            </w:tcBorders>
            <w:hideMark/>
          </w:tcPr>
          <w:p w14:paraId="07DB4E2E"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0352FB27"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 xml:space="preserve">Deprivation index </w:t>
            </w:r>
          </w:p>
        </w:tc>
        <w:tc>
          <w:tcPr>
            <w:tcW w:w="1701" w:type="dxa"/>
            <w:tcBorders>
              <w:left w:val="single" w:sz="12" w:space="0" w:color="auto"/>
              <w:right w:val="single" w:sz="12" w:space="0" w:color="auto"/>
            </w:tcBorders>
            <w:shd w:val="clear" w:color="auto" w:fill="D9D9D9" w:themeFill="background1" w:themeFillShade="D9"/>
          </w:tcPr>
          <w:p w14:paraId="2179C2BD"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57308FA6" w14:textId="77777777" w:rsidR="0093416B" w:rsidRPr="00CD6712" w:rsidRDefault="0093416B" w:rsidP="0093416B">
            <w:pPr>
              <w:autoSpaceDE w:val="0"/>
              <w:autoSpaceDN w:val="0"/>
              <w:adjustRightInd w:val="0"/>
              <w:spacing w:line="480" w:lineRule="auto"/>
              <w:rPr>
                <w:rFonts w:cstheme="minorHAnsi"/>
                <w:sz w:val="16"/>
                <w:szCs w:val="16"/>
              </w:rPr>
            </w:pPr>
          </w:p>
        </w:tc>
        <w:tc>
          <w:tcPr>
            <w:tcW w:w="857" w:type="dxa"/>
            <w:gridSpan w:val="2"/>
            <w:tcBorders>
              <w:right w:val="single" w:sz="12" w:space="0" w:color="auto"/>
            </w:tcBorders>
            <w:noWrap/>
            <w:hideMark/>
          </w:tcPr>
          <w:p w14:paraId="7D03AC9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7F13E3A8" w14:textId="77777777" w:rsidTr="0093416B">
        <w:trPr>
          <w:trHeight w:val="315"/>
        </w:trPr>
        <w:tc>
          <w:tcPr>
            <w:tcW w:w="988" w:type="dxa"/>
            <w:vMerge/>
            <w:tcBorders>
              <w:left w:val="single" w:sz="12" w:space="0" w:color="auto"/>
            </w:tcBorders>
            <w:hideMark/>
          </w:tcPr>
          <w:p w14:paraId="1839EAC5"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00F033C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1st quintile - least deprived</w:t>
            </w:r>
          </w:p>
        </w:tc>
        <w:tc>
          <w:tcPr>
            <w:tcW w:w="1701" w:type="dxa"/>
            <w:tcBorders>
              <w:left w:val="single" w:sz="12" w:space="0" w:color="auto"/>
              <w:right w:val="single" w:sz="12" w:space="0" w:color="auto"/>
            </w:tcBorders>
            <w:shd w:val="clear" w:color="auto" w:fill="D9D9D9" w:themeFill="background1" w:themeFillShade="D9"/>
          </w:tcPr>
          <w:p w14:paraId="19FF1337" w14:textId="77777777" w:rsidR="0093416B" w:rsidRPr="00CD6712" w:rsidRDefault="0093416B" w:rsidP="0093416B">
            <w:pPr>
              <w:autoSpaceDE w:val="0"/>
              <w:autoSpaceDN w:val="0"/>
              <w:adjustRightInd w:val="0"/>
              <w:spacing w:line="480" w:lineRule="auto"/>
              <w:rPr>
                <w:rFonts w:cstheme="minorHAnsi"/>
                <w:sz w:val="16"/>
                <w:szCs w:val="16"/>
              </w:rPr>
            </w:pPr>
            <w:r w:rsidRPr="00CD6712">
              <w:rPr>
                <w:sz w:val="16"/>
                <w:szCs w:val="16"/>
              </w:rPr>
              <w:t>95 (18.96)</w:t>
            </w:r>
          </w:p>
        </w:tc>
        <w:tc>
          <w:tcPr>
            <w:tcW w:w="1701" w:type="dxa"/>
            <w:tcBorders>
              <w:left w:val="single" w:sz="12" w:space="0" w:color="auto"/>
            </w:tcBorders>
            <w:noWrap/>
            <w:hideMark/>
          </w:tcPr>
          <w:p w14:paraId="6990E81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28 (15.73)</w:t>
            </w:r>
          </w:p>
        </w:tc>
        <w:tc>
          <w:tcPr>
            <w:tcW w:w="1634" w:type="dxa"/>
            <w:gridSpan w:val="2"/>
            <w:noWrap/>
            <w:hideMark/>
          </w:tcPr>
          <w:p w14:paraId="7725A2A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26 (19.70)</w:t>
            </w:r>
          </w:p>
        </w:tc>
        <w:tc>
          <w:tcPr>
            <w:tcW w:w="1559" w:type="dxa"/>
            <w:gridSpan w:val="2"/>
            <w:noWrap/>
            <w:hideMark/>
          </w:tcPr>
          <w:p w14:paraId="79DD911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23 (23.71)</w:t>
            </w:r>
          </w:p>
        </w:tc>
        <w:tc>
          <w:tcPr>
            <w:tcW w:w="1701" w:type="dxa"/>
            <w:gridSpan w:val="2"/>
            <w:noWrap/>
            <w:hideMark/>
          </w:tcPr>
          <w:p w14:paraId="4413469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18 (19.15)</w:t>
            </w:r>
          </w:p>
        </w:tc>
        <w:tc>
          <w:tcPr>
            <w:tcW w:w="850" w:type="dxa"/>
            <w:vMerge w:val="restart"/>
            <w:tcBorders>
              <w:right w:val="single" w:sz="12" w:space="0" w:color="auto"/>
            </w:tcBorders>
            <w:noWrap/>
            <w:hideMark/>
          </w:tcPr>
          <w:p w14:paraId="3286F93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0.447</w:t>
            </w:r>
          </w:p>
        </w:tc>
      </w:tr>
      <w:tr w:rsidR="0093416B" w:rsidRPr="00CD6712" w14:paraId="6C980681" w14:textId="77777777" w:rsidTr="0093416B">
        <w:trPr>
          <w:trHeight w:val="315"/>
        </w:trPr>
        <w:tc>
          <w:tcPr>
            <w:tcW w:w="988" w:type="dxa"/>
            <w:vMerge/>
            <w:tcBorders>
              <w:left w:val="single" w:sz="12" w:space="0" w:color="auto"/>
            </w:tcBorders>
            <w:hideMark/>
          </w:tcPr>
          <w:p w14:paraId="3911B013"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769C8F1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2nd quintile</w:t>
            </w:r>
          </w:p>
        </w:tc>
        <w:tc>
          <w:tcPr>
            <w:tcW w:w="1701" w:type="dxa"/>
            <w:tcBorders>
              <w:left w:val="single" w:sz="12" w:space="0" w:color="auto"/>
              <w:right w:val="single" w:sz="12" w:space="0" w:color="auto"/>
            </w:tcBorders>
            <w:shd w:val="clear" w:color="auto" w:fill="D9D9D9" w:themeFill="background1" w:themeFillShade="D9"/>
          </w:tcPr>
          <w:p w14:paraId="6F2B0693" w14:textId="77777777" w:rsidR="0093416B" w:rsidRPr="00CD6712" w:rsidRDefault="0093416B" w:rsidP="0093416B">
            <w:pPr>
              <w:autoSpaceDE w:val="0"/>
              <w:autoSpaceDN w:val="0"/>
              <w:adjustRightInd w:val="0"/>
              <w:spacing w:line="480" w:lineRule="auto"/>
              <w:rPr>
                <w:rFonts w:cstheme="minorHAnsi"/>
                <w:sz w:val="16"/>
                <w:szCs w:val="16"/>
              </w:rPr>
            </w:pPr>
            <w:r w:rsidRPr="00CD6712">
              <w:rPr>
                <w:sz w:val="16"/>
                <w:szCs w:val="16"/>
              </w:rPr>
              <w:t>106 (21.26)</w:t>
            </w:r>
          </w:p>
        </w:tc>
        <w:tc>
          <w:tcPr>
            <w:tcW w:w="1701" w:type="dxa"/>
            <w:tcBorders>
              <w:left w:val="single" w:sz="12" w:space="0" w:color="auto"/>
            </w:tcBorders>
            <w:noWrap/>
            <w:hideMark/>
          </w:tcPr>
          <w:p w14:paraId="60A83AB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38 (21.35)</w:t>
            </w:r>
          </w:p>
        </w:tc>
        <w:tc>
          <w:tcPr>
            <w:tcW w:w="1634" w:type="dxa"/>
            <w:gridSpan w:val="2"/>
            <w:noWrap/>
            <w:hideMark/>
          </w:tcPr>
          <w:p w14:paraId="30E0C44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29 (21.97)</w:t>
            </w:r>
          </w:p>
        </w:tc>
        <w:tc>
          <w:tcPr>
            <w:tcW w:w="1559" w:type="dxa"/>
            <w:gridSpan w:val="2"/>
            <w:noWrap/>
            <w:hideMark/>
          </w:tcPr>
          <w:p w14:paraId="39D6130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20 (20.62)</w:t>
            </w:r>
          </w:p>
        </w:tc>
        <w:tc>
          <w:tcPr>
            <w:tcW w:w="1701" w:type="dxa"/>
            <w:gridSpan w:val="2"/>
            <w:noWrap/>
            <w:hideMark/>
          </w:tcPr>
          <w:p w14:paraId="64A4174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19 (20.21)</w:t>
            </w:r>
          </w:p>
        </w:tc>
        <w:tc>
          <w:tcPr>
            <w:tcW w:w="850" w:type="dxa"/>
            <w:vMerge/>
            <w:tcBorders>
              <w:right w:val="single" w:sz="12" w:space="0" w:color="auto"/>
            </w:tcBorders>
            <w:hideMark/>
          </w:tcPr>
          <w:p w14:paraId="061EF48A"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6ACEA166" w14:textId="77777777" w:rsidTr="0093416B">
        <w:trPr>
          <w:trHeight w:val="315"/>
        </w:trPr>
        <w:tc>
          <w:tcPr>
            <w:tcW w:w="988" w:type="dxa"/>
            <w:vMerge/>
            <w:tcBorders>
              <w:left w:val="single" w:sz="12" w:space="0" w:color="auto"/>
            </w:tcBorders>
            <w:hideMark/>
          </w:tcPr>
          <w:p w14:paraId="1F3E81CB"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3C06173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3rd quintile</w:t>
            </w:r>
          </w:p>
        </w:tc>
        <w:tc>
          <w:tcPr>
            <w:tcW w:w="1701" w:type="dxa"/>
            <w:tcBorders>
              <w:left w:val="single" w:sz="12" w:space="0" w:color="auto"/>
              <w:right w:val="single" w:sz="12" w:space="0" w:color="auto"/>
            </w:tcBorders>
            <w:shd w:val="clear" w:color="auto" w:fill="D9D9D9" w:themeFill="background1" w:themeFillShade="D9"/>
          </w:tcPr>
          <w:p w14:paraId="50B4B9D2" w14:textId="77777777" w:rsidR="0093416B" w:rsidRPr="00CD6712" w:rsidRDefault="0093416B" w:rsidP="0093416B">
            <w:pPr>
              <w:autoSpaceDE w:val="0"/>
              <w:autoSpaceDN w:val="0"/>
              <w:adjustRightInd w:val="0"/>
              <w:spacing w:line="480" w:lineRule="auto"/>
              <w:rPr>
                <w:rFonts w:cstheme="minorHAnsi"/>
                <w:sz w:val="16"/>
                <w:szCs w:val="16"/>
              </w:rPr>
            </w:pPr>
            <w:r w:rsidRPr="00CD6712">
              <w:rPr>
                <w:sz w:val="16"/>
                <w:szCs w:val="16"/>
              </w:rPr>
              <w:t>99 (19.76)</w:t>
            </w:r>
          </w:p>
        </w:tc>
        <w:tc>
          <w:tcPr>
            <w:tcW w:w="1701" w:type="dxa"/>
            <w:tcBorders>
              <w:left w:val="single" w:sz="12" w:space="0" w:color="auto"/>
            </w:tcBorders>
            <w:noWrap/>
            <w:hideMark/>
          </w:tcPr>
          <w:p w14:paraId="4049934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33 (18.54)</w:t>
            </w:r>
          </w:p>
        </w:tc>
        <w:tc>
          <w:tcPr>
            <w:tcW w:w="1634" w:type="dxa"/>
            <w:gridSpan w:val="2"/>
            <w:noWrap/>
            <w:hideMark/>
          </w:tcPr>
          <w:p w14:paraId="61A379B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22 (16.67)</w:t>
            </w:r>
          </w:p>
        </w:tc>
        <w:tc>
          <w:tcPr>
            <w:tcW w:w="1559" w:type="dxa"/>
            <w:gridSpan w:val="2"/>
            <w:noWrap/>
            <w:hideMark/>
          </w:tcPr>
          <w:p w14:paraId="5781051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23 (23.71)</w:t>
            </w:r>
          </w:p>
        </w:tc>
        <w:tc>
          <w:tcPr>
            <w:tcW w:w="1701" w:type="dxa"/>
            <w:gridSpan w:val="2"/>
            <w:noWrap/>
            <w:hideMark/>
          </w:tcPr>
          <w:p w14:paraId="0BAC681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21 (22.34)</w:t>
            </w:r>
          </w:p>
        </w:tc>
        <w:tc>
          <w:tcPr>
            <w:tcW w:w="850" w:type="dxa"/>
            <w:vMerge/>
            <w:tcBorders>
              <w:right w:val="single" w:sz="12" w:space="0" w:color="auto"/>
            </w:tcBorders>
            <w:hideMark/>
          </w:tcPr>
          <w:p w14:paraId="7022316A"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72C24EA9" w14:textId="77777777" w:rsidTr="0093416B">
        <w:trPr>
          <w:trHeight w:val="315"/>
        </w:trPr>
        <w:tc>
          <w:tcPr>
            <w:tcW w:w="988" w:type="dxa"/>
            <w:vMerge/>
            <w:tcBorders>
              <w:left w:val="single" w:sz="12" w:space="0" w:color="auto"/>
            </w:tcBorders>
            <w:hideMark/>
          </w:tcPr>
          <w:p w14:paraId="1412A37E"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2A16DFB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4th quintile</w:t>
            </w:r>
          </w:p>
        </w:tc>
        <w:tc>
          <w:tcPr>
            <w:tcW w:w="1701" w:type="dxa"/>
            <w:tcBorders>
              <w:left w:val="single" w:sz="12" w:space="0" w:color="auto"/>
              <w:right w:val="single" w:sz="12" w:space="0" w:color="auto"/>
            </w:tcBorders>
            <w:shd w:val="clear" w:color="auto" w:fill="D9D9D9" w:themeFill="background1" w:themeFillShade="D9"/>
          </w:tcPr>
          <w:p w14:paraId="4A91E34C" w14:textId="77777777" w:rsidR="0093416B" w:rsidRPr="00CD6712" w:rsidRDefault="0093416B" w:rsidP="0093416B">
            <w:pPr>
              <w:autoSpaceDE w:val="0"/>
              <w:autoSpaceDN w:val="0"/>
              <w:adjustRightInd w:val="0"/>
              <w:spacing w:line="480" w:lineRule="auto"/>
              <w:rPr>
                <w:rFonts w:cstheme="minorHAnsi"/>
                <w:sz w:val="16"/>
                <w:szCs w:val="16"/>
              </w:rPr>
            </w:pPr>
            <w:r w:rsidRPr="00CD6712">
              <w:rPr>
                <w:sz w:val="16"/>
                <w:szCs w:val="16"/>
              </w:rPr>
              <w:t>92 (18.36)</w:t>
            </w:r>
          </w:p>
        </w:tc>
        <w:tc>
          <w:tcPr>
            <w:tcW w:w="1701" w:type="dxa"/>
            <w:tcBorders>
              <w:left w:val="single" w:sz="12" w:space="0" w:color="auto"/>
            </w:tcBorders>
            <w:noWrap/>
            <w:hideMark/>
          </w:tcPr>
          <w:p w14:paraId="59C9B6B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31 (17.42)</w:t>
            </w:r>
          </w:p>
        </w:tc>
        <w:tc>
          <w:tcPr>
            <w:tcW w:w="1634" w:type="dxa"/>
            <w:gridSpan w:val="2"/>
            <w:noWrap/>
            <w:hideMark/>
          </w:tcPr>
          <w:p w14:paraId="2A72AD9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29 (21.97)</w:t>
            </w:r>
          </w:p>
        </w:tc>
        <w:tc>
          <w:tcPr>
            <w:tcW w:w="1559" w:type="dxa"/>
            <w:gridSpan w:val="2"/>
            <w:noWrap/>
            <w:hideMark/>
          </w:tcPr>
          <w:p w14:paraId="0C798AE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13 (13.40)</w:t>
            </w:r>
          </w:p>
        </w:tc>
        <w:tc>
          <w:tcPr>
            <w:tcW w:w="1701" w:type="dxa"/>
            <w:gridSpan w:val="2"/>
            <w:noWrap/>
            <w:hideMark/>
          </w:tcPr>
          <w:p w14:paraId="2DD1FFE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19 (20.21)</w:t>
            </w:r>
          </w:p>
        </w:tc>
        <w:tc>
          <w:tcPr>
            <w:tcW w:w="850" w:type="dxa"/>
            <w:vMerge/>
            <w:tcBorders>
              <w:right w:val="single" w:sz="12" w:space="0" w:color="auto"/>
            </w:tcBorders>
            <w:hideMark/>
          </w:tcPr>
          <w:p w14:paraId="6C5422A7"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59CD9F09" w14:textId="77777777" w:rsidTr="0093416B">
        <w:trPr>
          <w:trHeight w:val="315"/>
        </w:trPr>
        <w:tc>
          <w:tcPr>
            <w:tcW w:w="988" w:type="dxa"/>
            <w:vMerge/>
            <w:tcBorders>
              <w:left w:val="single" w:sz="12" w:space="0" w:color="auto"/>
            </w:tcBorders>
            <w:hideMark/>
          </w:tcPr>
          <w:p w14:paraId="23509C1D"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6681BB9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5th quintile - most deprived</w:t>
            </w:r>
          </w:p>
        </w:tc>
        <w:tc>
          <w:tcPr>
            <w:tcW w:w="1701" w:type="dxa"/>
            <w:tcBorders>
              <w:left w:val="single" w:sz="12" w:space="0" w:color="auto"/>
              <w:right w:val="single" w:sz="12" w:space="0" w:color="auto"/>
            </w:tcBorders>
            <w:shd w:val="clear" w:color="auto" w:fill="D9D9D9" w:themeFill="background1" w:themeFillShade="D9"/>
          </w:tcPr>
          <w:p w14:paraId="1A07168F" w14:textId="77777777" w:rsidR="0093416B" w:rsidRPr="00CD6712" w:rsidRDefault="0093416B" w:rsidP="0093416B">
            <w:pPr>
              <w:autoSpaceDE w:val="0"/>
              <w:autoSpaceDN w:val="0"/>
              <w:adjustRightInd w:val="0"/>
              <w:spacing w:line="480" w:lineRule="auto"/>
              <w:rPr>
                <w:rFonts w:cstheme="minorHAnsi"/>
                <w:sz w:val="16"/>
                <w:szCs w:val="16"/>
              </w:rPr>
            </w:pPr>
            <w:r w:rsidRPr="00CD6712">
              <w:rPr>
                <w:sz w:val="16"/>
                <w:szCs w:val="16"/>
              </w:rPr>
              <w:t>101 (22.16)</w:t>
            </w:r>
          </w:p>
        </w:tc>
        <w:tc>
          <w:tcPr>
            <w:tcW w:w="1701" w:type="dxa"/>
            <w:tcBorders>
              <w:left w:val="single" w:sz="12" w:space="0" w:color="auto"/>
            </w:tcBorders>
            <w:noWrap/>
            <w:hideMark/>
          </w:tcPr>
          <w:p w14:paraId="1CF918F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46 (25.84)</w:t>
            </w:r>
          </w:p>
        </w:tc>
        <w:tc>
          <w:tcPr>
            <w:tcW w:w="1634" w:type="dxa"/>
            <w:gridSpan w:val="2"/>
            <w:noWrap/>
            <w:hideMark/>
          </w:tcPr>
          <w:p w14:paraId="1B40356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23 (17.42)</w:t>
            </w:r>
          </w:p>
        </w:tc>
        <w:tc>
          <w:tcPr>
            <w:tcW w:w="1559" w:type="dxa"/>
            <w:gridSpan w:val="2"/>
            <w:noWrap/>
            <w:hideMark/>
          </w:tcPr>
          <w:p w14:paraId="094D1FD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18 (18.56)</w:t>
            </w:r>
          </w:p>
        </w:tc>
        <w:tc>
          <w:tcPr>
            <w:tcW w:w="1701" w:type="dxa"/>
            <w:gridSpan w:val="2"/>
            <w:noWrap/>
            <w:hideMark/>
          </w:tcPr>
          <w:p w14:paraId="6ECC0F4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 (14.89)</w:t>
            </w:r>
          </w:p>
        </w:tc>
        <w:tc>
          <w:tcPr>
            <w:tcW w:w="850" w:type="dxa"/>
            <w:vMerge/>
            <w:tcBorders>
              <w:right w:val="single" w:sz="12" w:space="0" w:color="auto"/>
            </w:tcBorders>
            <w:hideMark/>
          </w:tcPr>
          <w:p w14:paraId="257377F4"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07D767C2" w14:textId="77777777" w:rsidTr="0093416B">
        <w:trPr>
          <w:trHeight w:val="315"/>
        </w:trPr>
        <w:tc>
          <w:tcPr>
            <w:tcW w:w="988" w:type="dxa"/>
            <w:vMerge w:val="restart"/>
            <w:tcBorders>
              <w:left w:val="single" w:sz="12" w:space="0" w:color="auto"/>
            </w:tcBorders>
            <w:hideMark/>
          </w:tcPr>
          <w:p w14:paraId="405AFC7A"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Block 2 – environ-mental</w:t>
            </w:r>
          </w:p>
        </w:tc>
        <w:tc>
          <w:tcPr>
            <w:tcW w:w="1701" w:type="dxa"/>
            <w:tcBorders>
              <w:right w:val="single" w:sz="12" w:space="0" w:color="auto"/>
            </w:tcBorders>
            <w:noWrap/>
            <w:hideMark/>
          </w:tcPr>
          <w:p w14:paraId="7D94B6D9"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Living alone status</w:t>
            </w:r>
          </w:p>
        </w:tc>
        <w:tc>
          <w:tcPr>
            <w:tcW w:w="1701" w:type="dxa"/>
            <w:tcBorders>
              <w:left w:val="single" w:sz="12" w:space="0" w:color="auto"/>
              <w:right w:val="single" w:sz="12" w:space="0" w:color="auto"/>
            </w:tcBorders>
            <w:shd w:val="clear" w:color="auto" w:fill="D9D9D9" w:themeFill="background1" w:themeFillShade="D9"/>
          </w:tcPr>
          <w:p w14:paraId="4D379D90"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6588" w:type="dxa"/>
            <w:gridSpan w:val="6"/>
            <w:tcBorders>
              <w:left w:val="single" w:sz="12" w:space="0" w:color="auto"/>
            </w:tcBorders>
            <w:noWrap/>
            <w:hideMark/>
          </w:tcPr>
          <w:p w14:paraId="69A48B88"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857" w:type="dxa"/>
            <w:gridSpan w:val="2"/>
            <w:tcBorders>
              <w:right w:val="single" w:sz="12" w:space="0" w:color="auto"/>
            </w:tcBorders>
            <w:noWrap/>
            <w:hideMark/>
          </w:tcPr>
          <w:p w14:paraId="6889C1A9"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 </w:t>
            </w:r>
          </w:p>
        </w:tc>
      </w:tr>
      <w:tr w:rsidR="0093416B" w:rsidRPr="00CD6712" w14:paraId="3B42A771" w14:textId="77777777" w:rsidTr="0093416B">
        <w:trPr>
          <w:trHeight w:val="315"/>
        </w:trPr>
        <w:tc>
          <w:tcPr>
            <w:tcW w:w="988" w:type="dxa"/>
            <w:vMerge/>
            <w:tcBorders>
              <w:left w:val="single" w:sz="12" w:space="0" w:color="auto"/>
            </w:tcBorders>
            <w:hideMark/>
          </w:tcPr>
          <w:p w14:paraId="6DB43E83"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36CF1AE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No</w:t>
            </w:r>
          </w:p>
        </w:tc>
        <w:tc>
          <w:tcPr>
            <w:tcW w:w="1701" w:type="dxa"/>
            <w:tcBorders>
              <w:left w:val="single" w:sz="12" w:space="0" w:color="auto"/>
              <w:right w:val="single" w:sz="12" w:space="0" w:color="auto"/>
            </w:tcBorders>
            <w:shd w:val="clear" w:color="auto" w:fill="D9D9D9" w:themeFill="background1" w:themeFillShade="D9"/>
          </w:tcPr>
          <w:p w14:paraId="4247FEB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eastAsia="Times New Roman" w:cs="Calibri"/>
                <w:color w:val="000000"/>
                <w:sz w:val="16"/>
                <w:szCs w:val="16"/>
                <w:lang w:eastAsia="en-GB"/>
              </w:rPr>
              <w:t>290 (57.88)</w:t>
            </w:r>
          </w:p>
        </w:tc>
        <w:tc>
          <w:tcPr>
            <w:tcW w:w="1701" w:type="dxa"/>
            <w:tcBorders>
              <w:left w:val="single" w:sz="12" w:space="0" w:color="auto"/>
            </w:tcBorders>
            <w:noWrap/>
            <w:hideMark/>
          </w:tcPr>
          <w:p w14:paraId="5F0464F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123 (69.10)</w:t>
            </w:r>
          </w:p>
        </w:tc>
        <w:tc>
          <w:tcPr>
            <w:tcW w:w="1634" w:type="dxa"/>
            <w:gridSpan w:val="2"/>
            <w:noWrap/>
            <w:hideMark/>
          </w:tcPr>
          <w:p w14:paraId="46A1219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77 (58.33)</w:t>
            </w:r>
          </w:p>
        </w:tc>
        <w:tc>
          <w:tcPr>
            <w:tcW w:w="1559" w:type="dxa"/>
            <w:gridSpan w:val="2"/>
            <w:noWrap/>
            <w:hideMark/>
          </w:tcPr>
          <w:p w14:paraId="2E92152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64 (65.98)</w:t>
            </w:r>
          </w:p>
        </w:tc>
        <w:tc>
          <w:tcPr>
            <w:tcW w:w="1701" w:type="dxa"/>
            <w:gridSpan w:val="2"/>
            <w:noWrap/>
            <w:hideMark/>
          </w:tcPr>
          <w:p w14:paraId="3542C36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38 (40.43)</w:t>
            </w:r>
          </w:p>
        </w:tc>
        <w:tc>
          <w:tcPr>
            <w:tcW w:w="850" w:type="dxa"/>
            <w:vMerge w:val="restart"/>
            <w:tcBorders>
              <w:right w:val="single" w:sz="12" w:space="0" w:color="auto"/>
            </w:tcBorders>
            <w:noWrap/>
            <w:hideMark/>
          </w:tcPr>
          <w:p w14:paraId="5D4F036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&lt;0.001 ***</w:t>
            </w:r>
          </w:p>
        </w:tc>
      </w:tr>
      <w:tr w:rsidR="0093416B" w:rsidRPr="00CD6712" w14:paraId="1EAD509F" w14:textId="77777777" w:rsidTr="0093416B">
        <w:trPr>
          <w:trHeight w:val="315"/>
        </w:trPr>
        <w:tc>
          <w:tcPr>
            <w:tcW w:w="988" w:type="dxa"/>
            <w:vMerge/>
            <w:tcBorders>
              <w:left w:val="single" w:sz="12" w:space="0" w:color="auto"/>
            </w:tcBorders>
            <w:hideMark/>
          </w:tcPr>
          <w:p w14:paraId="071E5ACB"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328DCED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Yes</w:t>
            </w:r>
          </w:p>
        </w:tc>
        <w:tc>
          <w:tcPr>
            <w:tcW w:w="1701" w:type="dxa"/>
            <w:tcBorders>
              <w:left w:val="single" w:sz="12" w:space="0" w:color="auto"/>
              <w:right w:val="single" w:sz="12" w:space="0" w:color="auto"/>
            </w:tcBorders>
            <w:shd w:val="clear" w:color="auto" w:fill="D9D9D9" w:themeFill="background1" w:themeFillShade="D9"/>
          </w:tcPr>
          <w:p w14:paraId="05444D8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eastAsia="Times New Roman" w:cs="Calibri"/>
                <w:color w:val="000000"/>
                <w:sz w:val="16"/>
                <w:szCs w:val="16"/>
                <w:lang w:eastAsia="en-GB"/>
              </w:rPr>
              <w:t>100 (19.96)</w:t>
            </w:r>
          </w:p>
        </w:tc>
        <w:tc>
          <w:tcPr>
            <w:tcW w:w="1701" w:type="dxa"/>
            <w:tcBorders>
              <w:left w:val="single" w:sz="12" w:space="0" w:color="auto"/>
            </w:tcBorders>
            <w:noWrap/>
            <w:hideMark/>
          </w:tcPr>
          <w:p w14:paraId="285EAB2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26 (14.61)</w:t>
            </w:r>
          </w:p>
        </w:tc>
        <w:tc>
          <w:tcPr>
            <w:tcW w:w="1634" w:type="dxa"/>
            <w:gridSpan w:val="2"/>
            <w:noWrap/>
            <w:hideMark/>
          </w:tcPr>
          <w:p w14:paraId="52D7D33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29 (21.97)</w:t>
            </w:r>
          </w:p>
        </w:tc>
        <w:tc>
          <w:tcPr>
            <w:tcW w:w="1559" w:type="dxa"/>
            <w:gridSpan w:val="2"/>
            <w:noWrap/>
            <w:hideMark/>
          </w:tcPr>
          <w:p w14:paraId="3CCF216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13 (13.40)</w:t>
            </w:r>
          </w:p>
        </w:tc>
        <w:tc>
          <w:tcPr>
            <w:tcW w:w="1701" w:type="dxa"/>
            <w:gridSpan w:val="2"/>
            <w:noWrap/>
            <w:hideMark/>
          </w:tcPr>
          <w:p w14:paraId="714225C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 (34.04)</w:t>
            </w:r>
          </w:p>
        </w:tc>
        <w:tc>
          <w:tcPr>
            <w:tcW w:w="850" w:type="dxa"/>
            <w:vMerge/>
            <w:tcBorders>
              <w:right w:val="single" w:sz="12" w:space="0" w:color="auto"/>
            </w:tcBorders>
            <w:hideMark/>
          </w:tcPr>
          <w:p w14:paraId="11AFC1DF"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005996EF" w14:textId="77777777" w:rsidTr="0093416B">
        <w:trPr>
          <w:trHeight w:val="315"/>
        </w:trPr>
        <w:tc>
          <w:tcPr>
            <w:tcW w:w="988" w:type="dxa"/>
            <w:vMerge/>
            <w:tcBorders>
              <w:left w:val="single" w:sz="12" w:space="0" w:color="auto"/>
            </w:tcBorders>
            <w:hideMark/>
          </w:tcPr>
          <w:p w14:paraId="79FA979C"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1D97303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Unknown/no-3m</w:t>
            </w:r>
          </w:p>
        </w:tc>
        <w:tc>
          <w:tcPr>
            <w:tcW w:w="1701" w:type="dxa"/>
            <w:tcBorders>
              <w:left w:val="single" w:sz="12" w:space="0" w:color="auto"/>
              <w:right w:val="single" w:sz="12" w:space="0" w:color="auto"/>
            </w:tcBorders>
            <w:shd w:val="clear" w:color="auto" w:fill="D9D9D9" w:themeFill="background1" w:themeFillShade="D9"/>
          </w:tcPr>
          <w:p w14:paraId="4C20664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eastAsia="Times New Roman" w:cs="Calibri"/>
                <w:color w:val="000000"/>
                <w:sz w:val="16"/>
                <w:szCs w:val="16"/>
                <w:lang w:eastAsia="en-GB"/>
              </w:rPr>
              <w:t>111 (22.16)</w:t>
            </w:r>
          </w:p>
        </w:tc>
        <w:tc>
          <w:tcPr>
            <w:tcW w:w="1701" w:type="dxa"/>
            <w:tcBorders>
              <w:left w:val="single" w:sz="12" w:space="0" w:color="auto"/>
            </w:tcBorders>
            <w:noWrap/>
            <w:hideMark/>
          </w:tcPr>
          <w:p w14:paraId="120148A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29 (16.29)</w:t>
            </w:r>
          </w:p>
        </w:tc>
        <w:tc>
          <w:tcPr>
            <w:tcW w:w="1634" w:type="dxa"/>
            <w:gridSpan w:val="2"/>
            <w:noWrap/>
            <w:hideMark/>
          </w:tcPr>
          <w:p w14:paraId="564DF13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26 *19.70)</w:t>
            </w:r>
          </w:p>
        </w:tc>
        <w:tc>
          <w:tcPr>
            <w:tcW w:w="1559" w:type="dxa"/>
            <w:gridSpan w:val="2"/>
            <w:noWrap/>
            <w:hideMark/>
          </w:tcPr>
          <w:p w14:paraId="072C633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20 (20.62)</w:t>
            </w:r>
          </w:p>
        </w:tc>
        <w:tc>
          <w:tcPr>
            <w:tcW w:w="1701" w:type="dxa"/>
            <w:gridSpan w:val="2"/>
            <w:noWrap/>
            <w:hideMark/>
          </w:tcPr>
          <w:p w14:paraId="4CE6F55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24 (25.53)</w:t>
            </w:r>
          </w:p>
        </w:tc>
        <w:tc>
          <w:tcPr>
            <w:tcW w:w="850" w:type="dxa"/>
            <w:vMerge/>
            <w:tcBorders>
              <w:right w:val="single" w:sz="12" w:space="0" w:color="auto"/>
            </w:tcBorders>
            <w:hideMark/>
          </w:tcPr>
          <w:p w14:paraId="535F0BEE"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22500C20" w14:textId="77777777" w:rsidTr="0093416B">
        <w:trPr>
          <w:trHeight w:val="315"/>
        </w:trPr>
        <w:tc>
          <w:tcPr>
            <w:tcW w:w="988" w:type="dxa"/>
            <w:vMerge/>
            <w:tcBorders>
              <w:left w:val="single" w:sz="12" w:space="0" w:color="auto"/>
            </w:tcBorders>
            <w:hideMark/>
          </w:tcPr>
          <w:p w14:paraId="080010C4"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058FDCB1" w14:textId="77777777" w:rsidR="0093416B" w:rsidRPr="00CD6712" w:rsidRDefault="0093416B" w:rsidP="0093416B">
            <w:pPr>
              <w:autoSpaceDE w:val="0"/>
              <w:autoSpaceDN w:val="0"/>
              <w:adjustRightInd w:val="0"/>
              <w:spacing w:line="480" w:lineRule="auto"/>
              <w:rPr>
                <w:rFonts w:cstheme="minorHAnsi"/>
                <w:b/>
                <w:bCs/>
                <w:i/>
                <w:iCs/>
                <w:sz w:val="16"/>
                <w:szCs w:val="16"/>
              </w:rPr>
            </w:pPr>
            <w:r w:rsidRPr="00CD6712">
              <w:rPr>
                <w:rFonts w:cstheme="minorHAnsi"/>
                <w:b/>
                <w:bCs/>
                <w:i/>
                <w:iCs/>
                <w:sz w:val="16"/>
                <w:szCs w:val="16"/>
              </w:rPr>
              <w:t>Social support (MOS)</w:t>
            </w:r>
          </w:p>
        </w:tc>
        <w:tc>
          <w:tcPr>
            <w:tcW w:w="1701" w:type="dxa"/>
            <w:tcBorders>
              <w:left w:val="single" w:sz="12" w:space="0" w:color="auto"/>
              <w:right w:val="single" w:sz="12" w:space="0" w:color="auto"/>
            </w:tcBorders>
            <w:shd w:val="clear" w:color="auto" w:fill="D9D9D9" w:themeFill="background1" w:themeFillShade="D9"/>
          </w:tcPr>
          <w:p w14:paraId="7B12179A" w14:textId="77777777" w:rsidR="0093416B" w:rsidRPr="00CD6712" w:rsidRDefault="0093416B" w:rsidP="0093416B">
            <w:pPr>
              <w:autoSpaceDE w:val="0"/>
              <w:autoSpaceDN w:val="0"/>
              <w:adjustRightInd w:val="0"/>
              <w:spacing w:line="480" w:lineRule="auto"/>
              <w:rPr>
                <w:rFonts w:cstheme="minorHAnsi"/>
                <w:i/>
                <w:iCs/>
                <w:sz w:val="16"/>
                <w:szCs w:val="16"/>
              </w:rPr>
            </w:pPr>
          </w:p>
        </w:tc>
        <w:tc>
          <w:tcPr>
            <w:tcW w:w="6595" w:type="dxa"/>
            <w:gridSpan w:val="7"/>
            <w:tcBorders>
              <w:left w:val="single" w:sz="12" w:space="0" w:color="auto"/>
            </w:tcBorders>
            <w:noWrap/>
            <w:hideMark/>
          </w:tcPr>
          <w:p w14:paraId="0020716E" w14:textId="77777777" w:rsidR="0093416B" w:rsidRPr="00CD6712" w:rsidRDefault="0093416B" w:rsidP="0093416B">
            <w:pPr>
              <w:autoSpaceDE w:val="0"/>
              <w:autoSpaceDN w:val="0"/>
              <w:adjustRightInd w:val="0"/>
              <w:spacing w:line="480" w:lineRule="auto"/>
              <w:rPr>
                <w:rFonts w:cstheme="minorHAnsi"/>
                <w:i/>
                <w:iCs/>
                <w:sz w:val="16"/>
                <w:szCs w:val="16"/>
              </w:rPr>
            </w:pPr>
          </w:p>
        </w:tc>
        <w:tc>
          <w:tcPr>
            <w:tcW w:w="850" w:type="dxa"/>
            <w:tcBorders>
              <w:right w:val="single" w:sz="12" w:space="0" w:color="auto"/>
            </w:tcBorders>
            <w:noWrap/>
            <w:hideMark/>
          </w:tcPr>
          <w:p w14:paraId="77AC268E" w14:textId="77777777" w:rsidR="0093416B" w:rsidRPr="00CD6712" w:rsidRDefault="0093416B" w:rsidP="0093416B">
            <w:pPr>
              <w:autoSpaceDE w:val="0"/>
              <w:autoSpaceDN w:val="0"/>
              <w:adjustRightInd w:val="0"/>
              <w:spacing w:line="480" w:lineRule="auto"/>
              <w:rPr>
                <w:rFonts w:cstheme="minorHAnsi"/>
                <w:i/>
                <w:iCs/>
                <w:sz w:val="16"/>
                <w:szCs w:val="16"/>
              </w:rPr>
            </w:pPr>
          </w:p>
        </w:tc>
      </w:tr>
      <w:tr w:rsidR="0093416B" w:rsidRPr="00CD6712" w14:paraId="71413829" w14:textId="77777777" w:rsidTr="0093416B">
        <w:trPr>
          <w:trHeight w:val="315"/>
        </w:trPr>
        <w:tc>
          <w:tcPr>
            <w:tcW w:w="988" w:type="dxa"/>
            <w:vMerge/>
            <w:tcBorders>
              <w:left w:val="single" w:sz="12" w:space="0" w:color="auto"/>
            </w:tcBorders>
          </w:tcPr>
          <w:p w14:paraId="73EDF71F"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tcPr>
          <w:p w14:paraId="0B2E55C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Inadequate (MOS&lt;80)</w:t>
            </w:r>
          </w:p>
        </w:tc>
        <w:tc>
          <w:tcPr>
            <w:tcW w:w="1701" w:type="dxa"/>
            <w:tcBorders>
              <w:left w:val="single" w:sz="12" w:space="0" w:color="auto"/>
              <w:right w:val="single" w:sz="12" w:space="0" w:color="auto"/>
            </w:tcBorders>
            <w:shd w:val="clear" w:color="auto" w:fill="D9D9D9" w:themeFill="background1" w:themeFillShade="D9"/>
          </w:tcPr>
          <w:p w14:paraId="0B9C7966" w14:textId="77777777" w:rsidR="0093416B" w:rsidRPr="00CD6712" w:rsidRDefault="0093416B" w:rsidP="0093416B">
            <w:pPr>
              <w:autoSpaceDE w:val="0"/>
              <w:autoSpaceDN w:val="0"/>
              <w:adjustRightInd w:val="0"/>
              <w:spacing w:line="480" w:lineRule="auto"/>
              <w:rPr>
                <w:rFonts w:cstheme="minorHAnsi"/>
                <w:sz w:val="16"/>
                <w:szCs w:val="16"/>
              </w:rPr>
            </w:pPr>
            <w:r w:rsidRPr="00CD6712">
              <w:rPr>
                <w:sz w:val="16"/>
                <w:szCs w:val="16"/>
              </w:rPr>
              <w:t>190 (37.92)</w:t>
            </w:r>
          </w:p>
        </w:tc>
        <w:tc>
          <w:tcPr>
            <w:tcW w:w="1701" w:type="dxa"/>
            <w:tcBorders>
              <w:left w:val="single" w:sz="12" w:space="0" w:color="auto"/>
            </w:tcBorders>
            <w:noWrap/>
          </w:tcPr>
          <w:p w14:paraId="0CE9FEF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49 (27.53)</w:t>
            </w:r>
          </w:p>
        </w:tc>
        <w:tc>
          <w:tcPr>
            <w:tcW w:w="1634" w:type="dxa"/>
            <w:gridSpan w:val="2"/>
            <w:noWrap/>
          </w:tcPr>
          <w:p w14:paraId="07E648E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52 (39.39)</w:t>
            </w:r>
          </w:p>
        </w:tc>
        <w:tc>
          <w:tcPr>
            <w:tcW w:w="1559" w:type="dxa"/>
            <w:gridSpan w:val="2"/>
            <w:noWrap/>
          </w:tcPr>
          <w:p w14:paraId="2888A31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38 (39.18)</w:t>
            </w:r>
          </w:p>
        </w:tc>
        <w:tc>
          <w:tcPr>
            <w:tcW w:w="1701" w:type="dxa"/>
            <w:gridSpan w:val="2"/>
            <w:noWrap/>
          </w:tcPr>
          <w:p w14:paraId="1CE5478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51 (54.26)</w:t>
            </w:r>
          </w:p>
        </w:tc>
        <w:tc>
          <w:tcPr>
            <w:tcW w:w="850" w:type="dxa"/>
            <w:vMerge w:val="restart"/>
            <w:tcBorders>
              <w:right w:val="single" w:sz="12" w:space="0" w:color="auto"/>
            </w:tcBorders>
            <w:noWrap/>
          </w:tcPr>
          <w:p w14:paraId="22F6CDC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0.001 **</w:t>
            </w:r>
          </w:p>
        </w:tc>
      </w:tr>
      <w:tr w:rsidR="0093416B" w:rsidRPr="00CD6712" w14:paraId="3C194730" w14:textId="77777777" w:rsidTr="0093416B">
        <w:trPr>
          <w:trHeight w:val="315"/>
        </w:trPr>
        <w:tc>
          <w:tcPr>
            <w:tcW w:w="988" w:type="dxa"/>
            <w:vMerge/>
            <w:tcBorders>
              <w:left w:val="single" w:sz="12" w:space="0" w:color="auto"/>
            </w:tcBorders>
            <w:hideMark/>
          </w:tcPr>
          <w:p w14:paraId="6E147A2C"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229FDEC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xml:space="preserve">Adequate (MOS </w:t>
            </w:r>
            <w:r w:rsidRPr="00CD6712">
              <w:rPr>
                <w:rFonts w:cstheme="minorHAnsi"/>
                <w:sz w:val="16"/>
                <w:szCs w:val="16"/>
                <w:u w:val="single"/>
              </w:rPr>
              <w:t>&gt;</w:t>
            </w:r>
            <w:r w:rsidRPr="00CD6712">
              <w:rPr>
                <w:rFonts w:cstheme="minorHAnsi"/>
                <w:sz w:val="16"/>
                <w:szCs w:val="16"/>
              </w:rPr>
              <w:t xml:space="preserve">80) </w:t>
            </w:r>
          </w:p>
        </w:tc>
        <w:tc>
          <w:tcPr>
            <w:tcW w:w="1701" w:type="dxa"/>
            <w:tcBorders>
              <w:left w:val="single" w:sz="12" w:space="0" w:color="auto"/>
              <w:right w:val="single" w:sz="12" w:space="0" w:color="auto"/>
            </w:tcBorders>
            <w:shd w:val="clear" w:color="auto" w:fill="D9D9D9" w:themeFill="background1" w:themeFillShade="D9"/>
          </w:tcPr>
          <w:p w14:paraId="6A3318D7" w14:textId="77777777" w:rsidR="0093416B" w:rsidRPr="00CD6712" w:rsidRDefault="0093416B" w:rsidP="0093416B">
            <w:pPr>
              <w:autoSpaceDE w:val="0"/>
              <w:autoSpaceDN w:val="0"/>
              <w:adjustRightInd w:val="0"/>
              <w:spacing w:line="480" w:lineRule="auto"/>
              <w:rPr>
                <w:rFonts w:cstheme="minorHAnsi"/>
                <w:sz w:val="16"/>
                <w:szCs w:val="16"/>
              </w:rPr>
            </w:pPr>
            <w:r w:rsidRPr="00CD6712">
              <w:rPr>
                <w:sz w:val="16"/>
                <w:szCs w:val="16"/>
              </w:rPr>
              <w:t>306 (61.08)</w:t>
            </w:r>
          </w:p>
        </w:tc>
        <w:tc>
          <w:tcPr>
            <w:tcW w:w="1701" w:type="dxa"/>
            <w:tcBorders>
              <w:left w:val="single" w:sz="12" w:space="0" w:color="auto"/>
            </w:tcBorders>
            <w:noWrap/>
            <w:hideMark/>
          </w:tcPr>
          <w:p w14:paraId="454CDD0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127 (71.35)</w:t>
            </w:r>
          </w:p>
        </w:tc>
        <w:tc>
          <w:tcPr>
            <w:tcW w:w="1634" w:type="dxa"/>
            <w:gridSpan w:val="2"/>
            <w:noWrap/>
            <w:hideMark/>
          </w:tcPr>
          <w:p w14:paraId="30C9199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80 (60.61)</w:t>
            </w:r>
          </w:p>
        </w:tc>
        <w:tc>
          <w:tcPr>
            <w:tcW w:w="1559" w:type="dxa"/>
            <w:gridSpan w:val="2"/>
            <w:noWrap/>
            <w:hideMark/>
          </w:tcPr>
          <w:p w14:paraId="2DE8400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58 (59.79)</w:t>
            </w:r>
          </w:p>
        </w:tc>
        <w:tc>
          <w:tcPr>
            <w:tcW w:w="1701" w:type="dxa"/>
            <w:gridSpan w:val="2"/>
            <w:noWrap/>
            <w:hideMark/>
          </w:tcPr>
          <w:p w14:paraId="41EC210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41 (43.62)</w:t>
            </w:r>
          </w:p>
        </w:tc>
        <w:tc>
          <w:tcPr>
            <w:tcW w:w="850" w:type="dxa"/>
            <w:vMerge/>
            <w:tcBorders>
              <w:right w:val="single" w:sz="12" w:space="0" w:color="auto"/>
            </w:tcBorders>
            <w:noWrap/>
            <w:hideMark/>
          </w:tcPr>
          <w:p w14:paraId="1ABC125D"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40E9993B" w14:textId="77777777" w:rsidTr="0093416B">
        <w:trPr>
          <w:trHeight w:val="315"/>
        </w:trPr>
        <w:tc>
          <w:tcPr>
            <w:tcW w:w="988" w:type="dxa"/>
            <w:vMerge w:val="restart"/>
            <w:tcBorders>
              <w:left w:val="single" w:sz="12" w:space="0" w:color="auto"/>
            </w:tcBorders>
            <w:hideMark/>
          </w:tcPr>
          <w:p w14:paraId="30CCC844"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lastRenderedPageBreak/>
              <w:t>Block 3 - clinical</w:t>
            </w:r>
          </w:p>
        </w:tc>
        <w:tc>
          <w:tcPr>
            <w:tcW w:w="1701" w:type="dxa"/>
            <w:tcBorders>
              <w:right w:val="single" w:sz="12" w:space="0" w:color="auto"/>
            </w:tcBorders>
            <w:noWrap/>
            <w:hideMark/>
          </w:tcPr>
          <w:p w14:paraId="3B2BABA6"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Tumour site</w:t>
            </w:r>
          </w:p>
        </w:tc>
        <w:tc>
          <w:tcPr>
            <w:tcW w:w="1701" w:type="dxa"/>
            <w:tcBorders>
              <w:left w:val="single" w:sz="12" w:space="0" w:color="auto"/>
              <w:right w:val="single" w:sz="12" w:space="0" w:color="auto"/>
            </w:tcBorders>
            <w:shd w:val="clear" w:color="auto" w:fill="D9D9D9" w:themeFill="background1" w:themeFillShade="D9"/>
          </w:tcPr>
          <w:p w14:paraId="1564DC12"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595B4D1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c>
          <w:tcPr>
            <w:tcW w:w="857" w:type="dxa"/>
            <w:gridSpan w:val="2"/>
            <w:tcBorders>
              <w:right w:val="single" w:sz="12" w:space="0" w:color="auto"/>
            </w:tcBorders>
            <w:noWrap/>
            <w:hideMark/>
          </w:tcPr>
          <w:p w14:paraId="1EA87DA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294C42FE" w14:textId="77777777" w:rsidTr="0093416B">
        <w:trPr>
          <w:trHeight w:val="315"/>
        </w:trPr>
        <w:tc>
          <w:tcPr>
            <w:tcW w:w="988" w:type="dxa"/>
            <w:vMerge/>
            <w:tcBorders>
              <w:left w:val="single" w:sz="12" w:space="0" w:color="auto"/>
            </w:tcBorders>
            <w:hideMark/>
          </w:tcPr>
          <w:p w14:paraId="5CA8484B"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3EEA599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Colon</w:t>
            </w:r>
          </w:p>
        </w:tc>
        <w:tc>
          <w:tcPr>
            <w:tcW w:w="1701" w:type="dxa"/>
            <w:tcBorders>
              <w:left w:val="single" w:sz="12" w:space="0" w:color="auto"/>
              <w:right w:val="single" w:sz="12" w:space="0" w:color="auto"/>
            </w:tcBorders>
            <w:shd w:val="clear" w:color="auto" w:fill="D9D9D9" w:themeFill="background1" w:themeFillShade="D9"/>
          </w:tcPr>
          <w:p w14:paraId="3F7C92E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338 (67.47)</w:t>
            </w:r>
          </w:p>
        </w:tc>
        <w:tc>
          <w:tcPr>
            <w:tcW w:w="1701" w:type="dxa"/>
            <w:tcBorders>
              <w:left w:val="single" w:sz="12" w:space="0" w:color="auto"/>
            </w:tcBorders>
            <w:noWrap/>
            <w:hideMark/>
          </w:tcPr>
          <w:p w14:paraId="291BC07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117 (65.73)</w:t>
            </w:r>
          </w:p>
        </w:tc>
        <w:tc>
          <w:tcPr>
            <w:tcW w:w="1634" w:type="dxa"/>
            <w:gridSpan w:val="2"/>
            <w:noWrap/>
            <w:hideMark/>
          </w:tcPr>
          <w:p w14:paraId="28B28ED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90 (68.18)</w:t>
            </w:r>
          </w:p>
        </w:tc>
        <w:tc>
          <w:tcPr>
            <w:tcW w:w="1559" w:type="dxa"/>
            <w:gridSpan w:val="2"/>
            <w:noWrap/>
            <w:hideMark/>
          </w:tcPr>
          <w:p w14:paraId="651D7A4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65 (67.01)</w:t>
            </w:r>
          </w:p>
        </w:tc>
        <w:tc>
          <w:tcPr>
            <w:tcW w:w="1701" w:type="dxa"/>
            <w:gridSpan w:val="2"/>
            <w:noWrap/>
            <w:hideMark/>
          </w:tcPr>
          <w:p w14:paraId="36E9094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66 (70.21)</w:t>
            </w:r>
          </w:p>
        </w:tc>
        <w:tc>
          <w:tcPr>
            <w:tcW w:w="850" w:type="dxa"/>
            <w:vMerge w:val="restart"/>
            <w:tcBorders>
              <w:right w:val="single" w:sz="12" w:space="0" w:color="auto"/>
            </w:tcBorders>
            <w:noWrap/>
            <w:hideMark/>
          </w:tcPr>
          <w:p w14:paraId="2514C81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0.384</w:t>
            </w:r>
          </w:p>
        </w:tc>
      </w:tr>
      <w:tr w:rsidR="0093416B" w:rsidRPr="00CD6712" w14:paraId="4071ED8B" w14:textId="77777777" w:rsidTr="0093416B">
        <w:trPr>
          <w:trHeight w:val="315"/>
        </w:trPr>
        <w:tc>
          <w:tcPr>
            <w:tcW w:w="988" w:type="dxa"/>
            <w:vMerge/>
            <w:tcBorders>
              <w:left w:val="single" w:sz="12" w:space="0" w:color="auto"/>
            </w:tcBorders>
            <w:hideMark/>
          </w:tcPr>
          <w:p w14:paraId="6DB2C5B0"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7E56F2B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Rectum</w:t>
            </w:r>
          </w:p>
        </w:tc>
        <w:tc>
          <w:tcPr>
            <w:tcW w:w="1701" w:type="dxa"/>
            <w:tcBorders>
              <w:left w:val="single" w:sz="12" w:space="0" w:color="auto"/>
              <w:right w:val="single" w:sz="12" w:space="0" w:color="auto"/>
            </w:tcBorders>
            <w:shd w:val="clear" w:color="auto" w:fill="D9D9D9" w:themeFill="background1" w:themeFillShade="D9"/>
          </w:tcPr>
          <w:p w14:paraId="68AA210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161 (32.14)</w:t>
            </w:r>
          </w:p>
        </w:tc>
        <w:tc>
          <w:tcPr>
            <w:tcW w:w="1701" w:type="dxa"/>
            <w:tcBorders>
              <w:left w:val="single" w:sz="12" w:space="0" w:color="auto"/>
            </w:tcBorders>
            <w:noWrap/>
            <w:hideMark/>
          </w:tcPr>
          <w:p w14:paraId="61C225E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61 (34.27)</w:t>
            </w:r>
          </w:p>
        </w:tc>
        <w:tc>
          <w:tcPr>
            <w:tcW w:w="1634" w:type="dxa"/>
            <w:gridSpan w:val="2"/>
            <w:noWrap/>
            <w:hideMark/>
          </w:tcPr>
          <w:p w14:paraId="7035856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40 (30.30)</w:t>
            </w:r>
          </w:p>
        </w:tc>
        <w:tc>
          <w:tcPr>
            <w:tcW w:w="1559" w:type="dxa"/>
            <w:gridSpan w:val="2"/>
            <w:noWrap/>
            <w:hideMark/>
          </w:tcPr>
          <w:p w14:paraId="504CBDB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 (32.99)</w:t>
            </w:r>
          </w:p>
        </w:tc>
        <w:tc>
          <w:tcPr>
            <w:tcW w:w="1701" w:type="dxa"/>
            <w:gridSpan w:val="2"/>
            <w:noWrap/>
            <w:hideMark/>
          </w:tcPr>
          <w:p w14:paraId="2B1770A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28 (29.79)</w:t>
            </w:r>
          </w:p>
        </w:tc>
        <w:tc>
          <w:tcPr>
            <w:tcW w:w="850" w:type="dxa"/>
            <w:vMerge/>
            <w:tcBorders>
              <w:right w:val="single" w:sz="12" w:space="0" w:color="auto"/>
            </w:tcBorders>
            <w:hideMark/>
          </w:tcPr>
          <w:p w14:paraId="3D494F3F"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36CE8824" w14:textId="77777777" w:rsidTr="0093416B">
        <w:trPr>
          <w:trHeight w:val="315"/>
        </w:trPr>
        <w:tc>
          <w:tcPr>
            <w:tcW w:w="988" w:type="dxa"/>
            <w:vMerge/>
            <w:tcBorders>
              <w:left w:val="single" w:sz="12" w:space="0" w:color="auto"/>
            </w:tcBorders>
            <w:hideMark/>
          </w:tcPr>
          <w:p w14:paraId="6DB2B62D"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7C03BD87"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Dukes’ stage</w:t>
            </w:r>
          </w:p>
        </w:tc>
        <w:tc>
          <w:tcPr>
            <w:tcW w:w="1701" w:type="dxa"/>
            <w:tcBorders>
              <w:left w:val="single" w:sz="12" w:space="0" w:color="auto"/>
              <w:right w:val="single" w:sz="12" w:space="0" w:color="auto"/>
            </w:tcBorders>
            <w:shd w:val="clear" w:color="auto" w:fill="D9D9D9" w:themeFill="background1" w:themeFillShade="D9"/>
          </w:tcPr>
          <w:p w14:paraId="368AD483"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070771CC" w14:textId="77777777" w:rsidR="0093416B" w:rsidRPr="00CD6712" w:rsidRDefault="0093416B" w:rsidP="0093416B">
            <w:pPr>
              <w:autoSpaceDE w:val="0"/>
              <w:autoSpaceDN w:val="0"/>
              <w:adjustRightInd w:val="0"/>
              <w:spacing w:line="480" w:lineRule="auto"/>
              <w:rPr>
                <w:rFonts w:cstheme="minorHAnsi"/>
                <w:sz w:val="16"/>
                <w:szCs w:val="16"/>
              </w:rPr>
            </w:pPr>
          </w:p>
        </w:tc>
        <w:tc>
          <w:tcPr>
            <w:tcW w:w="857" w:type="dxa"/>
            <w:gridSpan w:val="2"/>
            <w:tcBorders>
              <w:right w:val="single" w:sz="12" w:space="0" w:color="auto"/>
            </w:tcBorders>
            <w:noWrap/>
            <w:hideMark/>
          </w:tcPr>
          <w:p w14:paraId="43A5482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09A8EFC0" w14:textId="77777777" w:rsidTr="0093416B">
        <w:trPr>
          <w:trHeight w:val="315"/>
        </w:trPr>
        <w:tc>
          <w:tcPr>
            <w:tcW w:w="988" w:type="dxa"/>
            <w:vMerge/>
            <w:tcBorders>
              <w:left w:val="single" w:sz="12" w:space="0" w:color="auto"/>
            </w:tcBorders>
            <w:hideMark/>
          </w:tcPr>
          <w:p w14:paraId="2C49A3D9"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201F7C5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stage A</w:t>
            </w:r>
          </w:p>
        </w:tc>
        <w:tc>
          <w:tcPr>
            <w:tcW w:w="1701" w:type="dxa"/>
            <w:tcBorders>
              <w:left w:val="single" w:sz="12" w:space="0" w:color="auto"/>
              <w:right w:val="single" w:sz="12" w:space="0" w:color="auto"/>
            </w:tcBorders>
            <w:shd w:val="clear" w:color="auto" w:fill="D9D9D9" w:themeFill="background1" w:themeFillShade="D9"/>
          </w:tcPr>
          <w:p w14:paraId="72F224D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68 (13.57)</w:t>
            </w:r>
          </w:p>
        </w:tc>
        <w:tc>
          <w:tcPr>
            <w:tcW w:w="1701" w:type="dxa"/>
            <w:tcBorders>
              <w:left w:val="single" w:sz="12" w:space="0" w:color="auto"/>
            </w:tcBorders>
            <w:noWrap/>
            <w:hideMark/>
          </w:tcPr>
          <w:p w14:paraId="4E7D3DE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19 (10.67)</w:t>
            </w:r>
          </w:p>
        </w:tc>
        <w:tc>
          <w:tcPr>
            <w:tcW w:w="1634" w:type="dxa"/>
            <w:gridSpan w:val="2"/>
            <w:noWrap/>
            <w:hideMark/>
          </w:tcPr>
          <w:p w14:paraId="35BBA38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18 (13.64)</w:t>
            </w:r>
          </w:p>
        </w:tc>
        <w:tc>
          <w:tcPr>
            <w:tcW w:w="1559" w:type="dxa"/>
            <w:gridSpan w:val="2"/>
            <w:noWrap/>
            <w:hideMark/>
          </w:tcPr>
          <w:p w14:paraId="7A7C394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17 (17.53)</w:t>
            </w:r>
          </w:p>
        </w:tc>
        <w:tc>
          <w:tcPr>
            <w:tcW w:w="1701" w:type="dxa"/>
            <w:gridSpan w:val="2"/>
            <w:noWrap/>
            <w:hideMark/>
          </w:tcPr>
          <w:p w14:paraId="0AADE8C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 (14.89)</w:t>
            </w:r>
          </w:p>
        </w:tc>
        <w:tc>
          <w:tcPr>
            <w:tcW w:w="850" w:type="dxa"/>
            <w:vMerge w:val="restart"/>
            <w:tcBorders>
              <w:right w:val="single" w:sz="12" w:space="0" w:color="auto"/>
            </w:tcBorders>
            <w:noWrap/>
            <w:hideMark/>
          </w:tcPr>
          <w:p w14:paraId="4CC7021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0.721</w:t>
            </w:r>
          </w:p>
        </w:tc>
      </w:tr>
      <w:tr w:rsidR="0093416B" w:rsidRPr="00CD6712" w14:paraId="4FB5B0F2" w14:textId="77777777" w:rsidTr="0093416B">
        <w:trPr>
          <w:trHeight w:val="315"/>
        </w:trPr>
        <w:tc>
          <w:tcPr>
            <w:tcW w:w="988" w:type="dxa"/>
            <w:vMerge/>
            <w:tcBorders>
              <w:left w:val="single" w:sz="12" w:space="0" w:color="auto"/>
            </w:tcBorders>
            <w:hideMark/>
          </w:tcPr>
          <w:p w14:paraId="31024ABA"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3FF9A15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stage B</w:t>
            </w:r>
          </w:p>
        </w:tc>
        <w:tc>
          <w:tcPr>
            <w:tcW w:w="1701" w:type="dxa"/>
            <w:tcBorders>
              <w:left w:val="single" w:sz="12" w:space="0" w:color="auto"/>
              <w:right w:val="single" w:sz="12" w:space="0" w:color="auto"/>
            </w:tcBorders>
            <w:shd w:val="clear" w:color="auto" w:fill="D9D9D9" w:themeFill="background1" w:themeFillShade="D9"/>
          </w:tcPr>
          <w:p w14:paraId="66AEF29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282 (59.29)</w:t>
            </w:r>
          </w:p>
        </w:tc>
        <w:tc>
          <w:tcPr>
            <w:tcW w:w="1701" w:type="dxa"/>
            <w:tcBorders>
              <w:left w:val="single" w:sz="12" w:space="0" w:color="auto"/>
            </w:tcBorders>
            <w:noWrap/>
            <w:hideMark/>
          </w:tcPr>
          <w:p w14:paraId="609DC4A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104 (58.43)</w:t>
            </w:r>
          </w:p>
        </w:tc>
        <w:tc>
          <w:tcPr>
            <w:tcW w:w="1634" w:type="dxa"/>
            <w:gridSpan w:val="2"/>
            <w:noWrap/>
            <w:hideMark/>
          </w:tcPr>
          <w:p w14:paraId="1F8F0CA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78 (59.09)</w:t>
            </w:r>
          </w:p>
        </w:tc>
        <w:tc>
          <w:tcPr>
            <w:tcW w:w="1559" w:type="dxa"/>
            <w:gridSpan w:val="2"/>
            <w:noWrap/>
            <w:hideMark/>
          </w:tcPr>
          <w:p w14:paraId="4DE5E49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51 (52.58)</w:t>
            </w:r>
          </w:p>
        </w:tc>
        <w:tc>
          <w:tcPr>
            <w:tcW w:w="1701" w:type="dxa"/>
            <w:gridSpan w:val="2"/>
            <w:noWrap/>
            <w:hideMark/>
          </w:tcPr>
          <w:p w14:paraId="077E96D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49 (52.13)</w:t>
            </w:r>
          </w:p>
        </w:tc>
        <w:tc>
          <w:tcPr>
            <w:tcW w:w="850" w:type="dxa"/>
            <w:vMerge/>
            <w:tcBorders>
              <w:right w:val="single" w:sz="12" w:space="0" w:color="auto"/>
            </w:tcBorders>
            <w:hideMark/>
          </w:tcPr>
          <w:p w14:paraId="1E6CD1B4"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0945FFBE" w14:textId="77777777" w:rsidTr="0093416B">
        <w:trPr>
          <w:trHeight w:val="315"/>
        </w:trPr>
        <w:tc>
          <w:tcPr>
            <w:tcW w:w="988" w:type="dxa"/>
            <w:vMerge/>
            <w:tcBorders>
              <w:left w:val="single" w:sz="12" w:space="0" w:color="auto"/>
            </w:tcBorders>
            <w:hideMark/>
          </w:tcPr>
          <w:p w14:paraId="0852037E"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4D5CA88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stage C</w:t>
            </w:r>
          </w:p>
        </w:tc>
        <w:tc>
          <w:tcPr>
            <w:tcW w:w="1701" w:type="dxa"/>
            <w:tcBorders>
              <w:left w:val="single" w:sz="12" w:space="0" w:color="auto"/>
              <w:right w:val="single" w:sz="12" w:space="0" w:color="auto"/>
            </w:tcBorders>
            <w:shd w:val="clear" w:color="auto" w:fill="D9D9D9" w:themeFill="background1" w:themeFillShade="D9"/>
          </w:tcPr>
          <w:p w14:paraId="76B92B6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142 (28.34)</w:t>
            </w:r>
          </w:p>
        </w:tc>
        <w:tc>
          <w:tcPr>
            <w:tcW w:w="1701" w:type="dxa"/>
            <w:tcBorders>
              <w:left w:val="single" w:sz="12" w:space="0" w:color="auto"/>
            </w:tcBorders>
            <w:noWrap/>
            <w:hideMark/>
          </w:tcPr>
          <w:p w14:paraId="38C25C9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52 (29.21)</w:t>
            </w:r>
          </w:p>
        </w:tc>
        <w:tc>
          <w:tcPr>
            <w:tcW w:w="1634" w:type="dxa"/>
            <w:gridSpan w:val="2"/>
            <w:noWrap/>
            <w:hideMark/>
          </w:tcPr>
          <w:p w14:paraId="1366EEC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 (24.24)</w:t>
            </w:r>
          </w:p>
        </w:tc>
        <w:tc>
          <w:tcPr>
            <w:tcW w:w="1559" w:type="dxa"/>
            <w:gridSpan w:val="2"/>
            <w:noWrap/>
            <w:hideMark/>
          </w:tcPr>
          <w:p w14:paraId="6EE37E5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28 (28.87)</w:t>
            </w:r>
          </w:p>
        </w:tc>
        <w:tc>
          <w:tcPr>
            <w:tcW w:w="1701" w:type="dxa"/>
            <w:gridSpan w:val="2"/>
            <w:noWrap/>
            <w:hideMark/>
          </w:tcPr>
          <w:p w14:paraId="2873C4D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30 (31.91)</w:t>
            </w:r>
          </w:p>
        </w:tc>
        <w:tc>
          <w:tcPr>
            <w:tcW w:w="850" w:type="dxa"/>
            <w:vMerge/>
            <w:tcBorders>
              <w:right w:val="single" w:sz="12" w:space="0" w:color="auto"/>
            </w:tcBorders>
            <w:hideMark/>
          </w:tcPr>
          <w:p w14:paraId="7C52A30C"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0B3C196F" w14:textId="77777777" w:rsidTr="0093416B">
        <w:trPr>
          <w:trHeight w:val="315"/>
        </w:trPr>
        <w:tc>
          <w:tcPr>
            <w:tcW w:w="988" w:type="dxa"/>
            <w:vMerge/>
            <w:tcBorders>
              <w:left w:val="single" w:sz="12" w:space="0" w:color="auto"/>
            </w:tcBorders>
            <w:hideMark/>
          </w:tcPr>
          <w:p w14:paraId="5D70E394"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4ED79083"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Nodal status</w:t>
            </w:r>
          </w:p>
        </w:tc>
        <w:tc>
          <w:tcPr>
            <w:tcW w:w="1701" w:type="dxa"/>
            <w:tcBorders>
              <w:left w:val="single" w:sz="12" w:space="0" w:color="auto"/>
              <w:right w:val="single" w:sz="12" w:space="0" w:color="auto"/>
            </w:tcBorders>
            <w:shd w:val="clear" w:color="auto" w:fill="D9D9D9" w:themeFill="background1" w:themeFillShade="D9"/>
          </w:tcPr>
          <w:p w14:paraId="3ECFD312"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45E13F7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c>
          <w:tcPr>
            <w:tcW w:w="857" w:type="dxa"/>
            <w:gridSpan w:val="2"/>
            <w:tcBorders>
              <w:right w:val="single" w:sz="12" w:space="0" w:color="auto"/>
            </w:tcBorders>
            <w:noWrap/>
            <w:hideMark/>
          </w:tcPr>
          <w:p w14:paraId="6D4BAD1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3425930C" w14:textId="77777777" w:rsidTr="0093416B">
        <w:trPr>
          <w:trHeight w:val="315"/>
        </w:trPr>
        <w:tc>
          <w:tcPr>
            <w:tcW w:w="988" w:type="dxa"/>
            <w:vMerge/>
            <w:tcBorders>
              <w:left w:val="single" w:sz="12" w:space="0" w:color="auto"/>
            </w:tcBorders>
            <w:hideMark/>
          </w:tcPr>
          <w:p w14:paraId="1BA8754B"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28A87A0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N0</w:t>
            </w:r>
          </w:p>
        </w:tc>
        <w:tc>
          <w:tcPr>
            <w:tcW w:w="1701" w:type="dxa"/>
            <w:tcBorders>
              <w:left w:val="single" w:sz="12" w:space="0" w:color="auto"/>
              <w:right w:val="single" w:sz="12" w:space="0" w:color="auto"/>
            </w:tcBorders>
            <w:shd w:val="clear" w:color="auto" w:fill="D9D9D9" w:themeFill="background1" w:themeFillShade="D9"/>
          </w:tcPr>
          <w:p w14:paraId="625EA98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327 (65.27)</w:t>
            </w:r>
          </w:p>
        </w:tc>
        <w:tc>
          <w:tcPr>
            <w:tcW w:w="1701" w:type="dxa"/>
            <w:tcBorders>
              <w:left w:val="single" w:sz="12" w:space="0" w:color="auto"/>
            </w:tcBorders>
            <w:noWrap/>
            <w:hideMark/>
          </w:tcPr>
          <w:p w14:paraId="649A55F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114 (64.04)</w:t>
            </w:r>
          </w:p>
        </w:tc>
        <w:tc>
          <w:tcPr>
            <w:tcW w:w="1634" w:type="dxa"/>
            <w:gridSpan w:val="2"/>
            <w:noWrap/>
            <w:hideMark/>
          </w:tcPr>
          <w:p w14:paraId="0FE1C2B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92 (69.70)</w:t>
            </w:r>
          </w:p>
        </w:tc>
        <w:tc>
          <w:tcPr>
            <w:tcW w:w="1559" w:type="dxa"/>
            <w:gridSpan w:val="2"/>
            <w:noWrap/>
            <w:hideMark/>
          </w:tcPr>
          <w:p w14:paraId="62F7F7B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64 (65.98)</w:t>
            </w:r>
          </w:p>
        </w:tc>
        <w:tc>
          <w:tcPr>
            <w:tcW w:w="1701" w:type="dxa"/>
            <w:gridSpan w:val="2"/>
            <w:noWrap/>
            <w:hideMark/>
          </w:tcPr>
          <w:p w14:paraId="5DE61BE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57 (60.64)</w:t>
            </w:r>
          </w:p>
        </w:tc>
        <w:tc>
          <w:tcPr>
            <w:tcW w:w="850" w:type="dxa"/>
            <w:vMerge w:val="restart"/>
            <w:tcBorders>
              <w:right w:val="single" w:sz="12" w:space="0" w:color="auto"/>
            </w:tcBorders>
            <w:noWrap/>
            <w:hideMark/>
          </w:tcPr>
          <w:p w14:paraId="5FC8C47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0.887</w:t>
            </w:r>
          </w:p>
        </w:tc>
      </w:tr>
      <w:tr w:rsidR="0093416B" w:rsidRPr="00CD6712" w14:paraId="1BBDD8BB" w14:textId="77777777" w:rsidTr="0093416B">
        <w:trPr>
          <w:trHeight w:val="315"/>
        </w:trPr>
        <w:tc>
          <w:tcPr>
            <w:tcW w:w="988" w:type="dxa"/>
            <w:vMerge/>
            <w:tcBorders>
              <w:left w:val="single" w:sz="12" w:space="0" w:color="auto"/>
            </w:tcBorders>
            <w:hideMark/>
          </w:tcPr>
          <w:p w14:paraId="20870555"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76E45CC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N1-N2</w:t>
            </w:r>
          </w:p>
        </w:tc>
        <w:tc>
          <w:tcPr>
            <w:tcW w:w="1701" w:type="dxa"/>
            <w:tcBorders>
              <w:left w:val="single" w:sz="12" w:space="0" w:color="auto"/>
              <w:right w:val="single" w:sz="12" w:space="0" w:color="auto"/>
            </w:tcBorders>
            <w:shd w:val="clear" w:color="auto" w:fill="D9D9D9" w:themeFill="background1" w:themeFillShade="D9"/>
          </w:tcPr>
          <w:p w14:paraId="31C8226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139 (27.74)</w:t>
            </w:r>
          </w:p>
        </w:tc>
        <w:tc>
          <w:tcPr>
            <w:tcW w:w="1701" w:type="dxa"/>
            <w:tcBorders>
              <w:left w:val="single" w:sz="12" w:space="0" w:color="auto"/>
            </w:tcBorders>
            <w:noWrap/>
            <w:hideMark/>
          </w:tcPr>
          <w:p w14:paraId="65DC704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52 (29.21)</w:t>
            </w:r>
          </w:p>
        </w:tc>
        <w:tc>
          <w:tcPr>
            <w:tcW w:w="1634" w:type="dxa"/>
            <w:gridSpan w:val="2"/>
            <w:noWrap/>
            <w:hideMark/>
          </w:tcPr>
          <w:p w14:paraId="54CD449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 (24.24)</w:t>
            </w:r>
          </w:p>
        </w:tc>
        <w:tc>
          <w:tcPr>
            <w:tcW w:w="1559" w:type="dxa"/>
            <w:gridSpan w:val="2"/>
            <w:noWrap/>
            <w:hideMark/>
          </w:tcPr>
          <w:p w14:paraId="61CD300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26 (26.80)</w:t>
            </w:r>
          </w:p>
        </w:tc>
        <w:tc>
          <w:tcPr>
            <w:tcW w:w="1701" w:type="dxa"/>
            <w:gridSpan w:val="2"/>
            <w:noWrap/>
            <w:hideMark/>
          </w:tcPr>
          <w:p w14:paraId="17B8F20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29 (30.85)</w:t>
            </w:r>
          </w:p>
        </w:tc>
        <w:tc>
          <w:tcPr>
            <w:tcW w:w="850" w:type="dxa"/>
            <w:vMerge/>
            <w:tcBorders>
              <w:right w:val="single" w:sz="12" w:space="0" w:color="auto"/>
            </w:tcBorders>
            <w:hideMark/>
          </w:tcPr>
          <w:p w14:paraId="2D2912AA"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71A23225" w14:textId="77777777" w:rsidTr="0093416B">
        <w:trPr>
          <w:trHeight w:val="315"/>
        </w:trPr>
        <w:tc>
          <w:tcPr>
            <w:tcW w:w="988" w:type="dxa"/>
            <w:vMerge/>
            <w:tcBorders>
              <w:left w:val="single" w:sz="12" w:space="0" w:color="auto"/>
            </w:tcBorders>
            <w:hideMark/>
          </w:tcPr>
          <w:p w14:paraId="5D3030A9"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1CC79C1D"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Any comorbidities</w:t>
            </w:r>
          </w:p>
        </w:tc>
        <w:tc>
          <w:tcPr>
            <w:tcW w:w="1701" w:type="dxa"/>
            <w:tcBorders>
              <w:left w:val="single" w:sz="12" w:space="0" w:color="auto"/>
              <w:right w:val="single" w:sz="12" w:space="0" w:color="auto"/>
            </w:tcBorders>
            <w:shd w:val="clear" w:color="auto" w:fill="D9D9D9" w:themeFill="background1" w:themeFillShade="D9"/>
          </w:tcPr>
          <w:p w14:paraId="30BCBA69"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5348189F" w14:textId="77777777" w:rsidR="0093416B" w:rsidRPr="00CD6712" w:rsidRDefault="0093416B" w:rsidP="0093416B">
            <w:pPr>
              <w:autoSpaceDE w:val="0"/>
              <w:autoSpaceDN w:val="0"/>
              <w:adjustRightInd w:val="0"/>
              <w:spacing w:line="480" w:lineRule="auto"/>
              <w:rPr>
                <w:rFonts w:cstheme="minorHAnsi"/>
                <w:sz w:val="16"/>
                <w:szCs w:val="16"/>
              </w:rPr>
            </w:pPr>
          </w:p>
        </w:tc>
        <w:tc>
          <w:tcPr>
            <w:tcW w:w="857" w:type="dxa"/>
            <w:gridSpan w:val="2"/>
            <w:tcBorders>
              <w:right w:val="single" w:sz="12" w:space="0" w:color="auto"/>
            </w:tcBorders>
            <w:noWrap/>
            <w:hideMark/>
          </w:tcPr>
          <w:p w14:paraId="0FE57AB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47B5E0B7" w14:textId="77777777" w:rsidTr="0093416B">
        <w:trPr>
          <w:trHeight w:val="315"/>
        </w:trPr>
        <w:tc>
          <w:tcPr>
            <w:tcW w:w="988" w:type="dxa"/>
            <w:vMerge/>
            <w:tcBorders>
              <w:left w:val="single" w:sz="12" w:space="0" w:color="auto"/>
            </w:tcBorders>
            <w:hideMark/>
          </w:tcPr>
          <w:p w14:paraId="766AA9F4"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7506E0D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None</w:t>
            </w:r>
          </w:p>
        </w:tc>
        <w:tc>
          <w:tcPr>
            <w:tcW w:w="1701" w:type="dxa"/>
            <w:tcBorders>
              <w:left w:val="single" w:sz="12" w:space="0" w:color="auto"/>
              <w:right w:val="single" w:sz="12" w:space="0" w:color="auto"/>
            </w:tcBorders>
            <w:shd w:val="clear" w:color="auto" w:fill="D9D9D9" w:themeFill="background1" w:themeFillShade="D9"/>
          </w:tcPr>
          <w:p w14:paraId="23ED556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84 (16.77)</w:t>
            </w:r>
          </w:p>
        </w:tc>
        <w:tc>
          <w:tcPr>
            <w:tcW w:w="1701" w:type="dxa"/>
            <w:tcBorders>
              <w:left w:val="single" w:sz="12" w:space="0" w:color="auto"/>
            </w:tcBorders>
            <w:noWrap/>
            <w:hideMark/>
          </w:tcPr>
          <w:p w14:paraId="62F31A0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34 (19.10)</w:t>
            </w:r>
          </w:p>
        </w:tc>
        <w:tc>
          <w:tcPr>
            <w:tcW w:w="1634" w:type="dxa"/>
            <w:gridSpan w:val="2"/>
            <w:noWrap/>
            <w:hideMark/>
          </w:tcPr>
          <w:p w14:paraId="233A59C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21 (15.91)</w:t>
            </w:r>
          </w:p>
        </w:tc>
        <w:tc>
          <w:tcPr>
            <w:tcW w:w="1559" w:type="dxa"/>
            <w:gridSpan w:val="2"/>
            <w:noWrap/>
            <w:hideMark/>
          </w:tcPr>
          <w:p w14:paraId="109416D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12 (12.37)</w:t>
            </w:r>
          </w:p>
        </w:tc>
        <w:tc>
          <w:tcPr>
            <w:tcW w:w="1701" w:type="dxa"/>
            <w:gridSpan w:val="2"/>
            <w:noWrap/>
            <w:hideMark/>
          </w:tcPr>
          <w:p w14:paraId="1C3C27B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17 (18.09)</w:t>
            </w:r>
          </w:p>
        </w:tc>
        <w:tc>
          <w:tcPr>
            <w:tcW w:w="850" w:type="dxa"/>
            <w:vMerge w:val="restart"/>
            <w:tcBorders>
              <w:right w:val="single" w:sz="12" w:space="0" w:color="auto"/>
            </w:tcBorders>
            <w:noWrap/>
            <w:hideMark/>
          </w:tcPr>
          <w:p w14:paraId="4ACD795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0.420</w:t>
            </w:r>
          </w:p>
        </w:tc>
      </w:tr>
      <w:tr w:rsidR="0093416B" w:rsidRPr="00CD6712" w14:paraId="1F93D51D" w14:textId="77777777" w:rsidTr="0093416B">
        <w:trPr>
          <w:trHeight w:val="315"/>
        </w:trPr>
        <w:tc>
          <w:tcPr>
            <w:tcW w:w="988" w:type="dxa"/>
            <w:vMerge/>
            <w:tcBorders>
              <w:left w:val="single" w:sz="12" w:space="0" w:color="auto"/>
            </w:tcBorders>
            <w:hideMark/>
          </w:tcPr>
          <w:p w14:paraId="277AB6F5"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29C98CC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Yes, non-limiting</w:t>
            </w:r>
          </w:p>
        </w:tc>
        <w:tc>
          <w:tcPr>
            <w:tcW w:w="1701" w:type="dxa"/>
            <w:tcBorders>
              <w:left w:val="single" w:sz="12" w:space="0" w:color="auto"/>
              <w:right w:val="single" w:sz="12" w:space="0" w:color="auto"/>
            </w:tcBorders>
            <w:shd w:val="clear" w:color="auto" w:fill="D9D9D9" w:themeFill="background1" w:themeFillShade="D9"/>
          </w:tcPr>
          <w:p w14:paraId="342980F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142 (28.34)</w:t>
            </w:r>
          </w:p>
        </w:tc>
        <w:tc>
          <w:tcPr>
            <w:tcW w:w="1701" w:type="dxa"/>
            <w:tcBorders>
              <w:left w:val="single" w:sz="12" w:space="0" w:color="auto"/>
            </w:tcBorders>
            <w:noWrap/>
            <w:hideMark/>
          </w:tcPr>
          <w:p w14:paraId="3746183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74 (41.57)</w:t>
            </w:r>
          </w:p>
        </w:tc>
        <w:tc>
          <w:tcPr>
            <w:tcW w:w="1634" w:type="dxa"/>
            <w:gridSpan w:val="2"/>
            <w:noWrap/>
            <w:hideMark/>
          </w:tcPr>
          <w:p w14:paraId="171BD99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51 (38.64)</w:t>
            </w:r>
          </w:p>
        </w:tc>
        <w:tc>
          <w:tcPr>
            <w:tcW w:w="1559" w:type="dxa"/>
            <w:gridSpan w:val="2"/>
            <w:noWrap/>
            <w:hideMark/>
          </w:tcPr>
          <w:p w14:paraId="22762C2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34 (35.05)</w:t>
            </w:r>
          </w:p>
        </w:tc>
        <w:tc>
          <w:tcPr>
            <w:tcW w:w="1701" w:type="dxa"/>
            <w:gridSpan w:val="2"/>
            <w:noWrap/>
            <w:hideMark/>
          </w:tcPr>
          <w:p w14:paraId="2A88888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25 (26.60)</w:t>
            </w:r>
          </w:p>
        </w:tc>
        <w:tc>
          <w:tcPr>
            <w:tcW w:w="850" w:type="dxa"/>
            <w:vMerge/>
            <w:tcBorders>
              <w:right w:val="single" w:sz="12" w:space="0" w:color="auto"/>
            </w:tcBorders>
            <w:hideMark/>
          </w:tcPr>
          <w:p w14:paraId="52EB150F"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31D754A7" w14:textId="77777777" w:rsidTr="0093416B">
        <w:trPr>
          <w:trHeight w:val="315"/>
        </w:trPr>
        <w:tc>
          <w:tcPr>
            <w:tcW w:w="988" w:type="dxa"/>
            <w:vMerge/>
            <w:tcBorders>
              <w:left w:val="single" w:sz="12" w:space="0" w:color="auto"/>
            </w:tcBorders>
            <w:hideMark/>
          </w:tcPr>
          <w:p w14:paraId="05638C43"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570887D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Yes, limiting</w:t>
            </w:r>
          </w:p>
        </w:tc>
        <w:tc>
          <w:tcPr>
            <w:tcW w:w="1701" w:type="dxa"/>
            <w:tcBorders>
              <w:left w:val="single" w:sz="12" w:space="0" w:color="auto"/>
              <w:right w:val="single" w:sz="12" w:space="0" w:color="auto"/>
            </w:tcBorders>
            <w:shd w:val="clear" w:color="auto" w:fill="D9D9D9" w:themeFill="background1" w:themeFillShade="D9"/>
          </w:tcPr>
          <w:p w14:paraId="7D4FD7A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111 (22.16)</w:t>
            </w:r>
          </w:p>
        </w:tc>
        <w:tc>
          <w:tcPr>
            <w:tcW w:w="1701" w:type="dxa"/>
            <w:tcBorders>
              <w:left w:val="single" w:sz="12" w:space="0" w:color="auto"/>
            </w:tcBorders>
            <w:noWrap/>
            <w:hideMark/>
          </w:tcPr>
          <w:p w14:paraId="7B10593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34 (19.10)</w:t>
            </w:r>
          </w:p>
        </w:tc>
        <w:tc>
          <w:tcPr>
            <w:tcW w:w="1634" w:type="dxa"/>
            <w:gridSpan w:val="2"/>
            <w:noWrap/>
            <w:hideMark/>
          </w:tcPr>
          <w:p w14:paraId="3D3B541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30 (22.73)</w:t>
            </w:r>
          </w:p>
        </w:tc>
        <w:tc>
          <w:tcPr>
            <w:tcW w:w="1559" w:type="dxa"/>
            <w:gridSpan w:val="2"/>
            <w:noWrap/>
            <w:hideMark/>
          </w:tcPr>
          <w:p w14:paraId="2815F0B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25 (25.77)</w:t>
            </w:r>
          </w:p>
        </w:tc>
        <w:tc>
          <w:tcPr>
            <w:tcW w:w="1701" w:type="dxa"/>
            <w:gridSpan w:val="2"/>
            <w:noWrap/>
            <w:hideMark/>
          </w:tcPr>
          <w:p w14:paraId="6CC067B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22 (23.40)</w:t>
            </w:r>
          </w:p>
        </w:tc>
        <w:tc>
          <w:tcPr>
            <w:tcW w:w="850" w:type="dxa"/>
            <w:vMerge/>
            <w:tcBorders>
              <w:right w:val="single" w:sz="12" w:space="0" w:color="auto"/>
            </w:tcBorders>
            <w:hideMark/>
          </w:tcPr>
          <w:p w14:paraId="2C5772AE"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5769D62E" w14:textId="77777777" w:rsidTr="0093416B">
        <w:trPr>
          <w:trHeight w:val="315"/>
        </w:trPr>
        <w:tc>
          <w:tcPr>
            <w:tcW w:w="988" w:type="dxa"/>
            <w:vMerge/>
            <w:tcBorders>
              <w:left w:val="single" w:sz="12" w:space="0" w:color="auto"/>
            </w:tcBorders>
            <w:hideMark/>
          </w:tcPr>
          <w:p w14:paraId="2CD76389"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5E12429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Unknown/no-3m</w:t>
            </w:r>
          </w:p>
        </w:tc>
        <w:tc>
          <w:tcPr>
            <w:tcW w:w="1701" w:type="dxa"/>
            <w:tcBorders>
              <w:left w:val="single" w:sz="12" w:space="0" w:color="auto"/>
              <w:right w:val="single" w:sz="12" w:space="0" w:color="auto"/>
            </w:tcBorders>
            <w:shd w:val="clear" w:color="auto" w:fill="D9D9D9" w:themeFill="background1" w:themeFillShade="D9"/>
          </w:tcPr>
          <w:p w14:paraId="7D91105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164 (32.73)</w:t>
            </w:r>
          </w:p>
        </w:tc>
        <w:tc>
          <w:tcPr>
            <w:tcW w:w="1701" w:type="dxa"/>
            <w:tcBorders>
              <w:left w:val="single" w:sz="12" w:space="0" w:color="auto"/>
            </w:tcBorders>
            <w:noWrap/>
            <w:hideMark/>
          </w:tcPr>
          <w:p w14:paraId="412DAF8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29 (16.29)</w:t>
            </w:r>
          </w:p>
        </w:tc>
        <w:tc>
          <w:tcPr>
            <w:tcW w:w="1634" w:type="dxa"/>
            <w:gridSpan w:val="2"/>
            <w:noWrap/>
            <w:hideMark/>
          </w:tcPr>
          <w:p w14:paraId="10B2BB1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26 (19.70)</w:t>
            </w:r>
          </w:p>
        </w:tc>
        <w:tc>
          <w:tcPr>
            <w:tcW w:w="1559" w:type="dxa"/>
            <w:gridSpan w:val="2"/>
            <w:noWrap/>
            <w:hideMark/>
          </w:tcPr>
          <w:p w14:paraId="33C0F37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20 (20.62)</w:t>
            </w:r>
          </w:p>
        </w:tc>
        <w:tc>
          <w:tcPr>
            <w:tcW w:w="1701" w:type="dxa"/>
            <w:gridSpan w:val="2"/>
            <w:noWrap/>
            <w:hideMark/>
          </w:tcPr>
          <w:p w14:paraId="0C4820D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23 (24.47)</w:t>
            </w:r>
          </w:p>
        </w:tc>
        <w:tc>
          <w:tcPr>
            <w:tcW w:w="850" w:type="dxa"/>
            <w:vMerge/>
            <w:tcBorders>
              <w:right w:val="single" w:sz="12" w:space="0" w:color="auto"/>
            </w:tcBorders>
            <w:hideMark/>
          </w:tcPr>
          <w:p w14:paraId="46201246"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190C0120" w14:textId="77777777" w:rsidTr="0093416B">
        <w:trPr>
          <w:trHeight w:val="315"/>
        </w:trPr>
        <w:tc>
          <w:tcPr>
            <w:tcW w:w="988" w:type="dxa"/>
            <w:vMerge w:val="restart"/>
            <w:tcBorders>
              <w:left w:val="single" w:sz="12" w:space="0" w:color="auto"/>
            </w:tcBorders>
            <w:hideMark/>
          </w:tcPr>
          <w:p w14:paraId="124A78E2"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Block 4 - treatment</w:t>
            </w:r>
          </w:p>
        </w:tc>
        <w:tc>
          <w:tcPr>
            <w:tcW w:w="1701" w:type="dxa"/>
            <w:tcBorders>
              <w:right w:val="single" w:sz="12" w:space="0" w:color="auto"/>
            </w:tcBorders>
            <w:noWrap/>
            <w:hideMark/>
          </w:tcPr>
          <w:p w14:paraId="4E0C253B"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Stoma</w:t>
            </w:r>
          </w:p>
        </w:tc>
        <w:tc>
          <w:tcPr>
            <w:tcW w:w="1701" w:type="dxa"/>
            <w:tcBorders>
              <w:left w:val="single" w:sz="12" w:space="0" w:color="auto"/>
              <w:right w:val="single" w:sz="12" w:space="0" w:color="auto"/>
            </w:tcBorders>
            <w:shd w:val="clear" w:color="auto" w:fill="D9D9D9" w:themeFill="background1" w:themeFillShade="D9"/>
          </w:tcPr>
          <w:p w14:paraId="42FD2BF0"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058B786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c>
          <w:tcPr>
            <w:tcW w:w="857" w:type="dxa"/>
            <w:gridSpan w:val="2"/>
            <w:tcBorders>
              <w:right w:val="single" w:sz="12" w:space="0" w:color="auto"/>
            </w:tcBorders>
            <w:noWrap/>
            <w:hideMark/>
          </w:tcPr>
          <w:p w14:paraId="52977FB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47161BCA" w14:textId="77777777" w:rsidTr="0093416B">
        <w:trPr>
          <w:trHeight w:val="315"/>
        </w:trPr>
        <w:tc>
          <w:tcPr>
            <w:tcW w:w="988" w:type="dxa"/>
            <w:vMerge/>
            <w:tcBorders>
              <w:left w:val="single" w:sz="12" w:space="0" w:color="auto"/>
            </w:tcBorders>
            <w:hideMark/>
          </w:tcPr>
          <w:p w14:paraId="7C93FA71"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53FBCEB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Yes</w:t>
            </w:r>
          </w:p>
        </w:tc>
        <w:tc>
          <w:tcPr>
            <w:tcW w:w="1701" w:type="dxa"/>
            <w:tcBorders>
              <w:left w:val="single" w:sz="12" w:space="0" w:color="auto"/>
              <w:right w:val="single" w:sz="12" w:space="0" w:color="auto"/>
            </w:tcBorders>
            <w:shd w:val="clear" w:color="auto" w:fill="D9D9D9" w:themeFill="background1" w:themeFillShade="D9"/>
          </w:tcPr>
          <w:p w14:paraId="7E37151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157 (31.34)</w:t>
            </w:r>
          </w:p>
        </w:tc>
        <w:tc>
          <w:tcPr>
            <w:tcW w:w="1701" w:type="dxa"/>
            <w:tcBorders>
              <w:left w:val="single" w:sz="12" w:space="0" w:color="auto"/>
            </w:tcBorders>
            <w:noWrap/>
            <w:hideMark/>
          </w:tcPr>
          <w:p w14:paraId="22309A1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59 (33.15)</w:t>
            </w:r>
          </w:p>
        </w:tc>
        <w:tc>
          <w:tcPr>
            <w:tcW w:w="1634" w:type="dxa"/>
            <w:gridSpan w:val="2"/>
            <w:noWrap/>
            <w:hideMark/>
          </w:tcPr>
          <w:p w14:paraId="3D94986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38 (28.79)</w:t>
            </w:r>
          </w:p>
        </w:tc>
        <w:tc>
          <w:tcPr>
            <w:tcW w:w="1559" w:type="dxa"/>
            <w:gridSpan w:val="2"/>
            <w:noWrap/>
            <w:hideMark/>
          </w:tcPr>
          <w:p w14:paraId="08A7BA2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 (32.99)</w:t>
            </w:r>
          </w:p>
        </w:tc>
        <w:tc>
          <w:tcPr>
            <w:tcW w:w="1701" w:type="dxa"/>
            <w:gridSpan w:val="2"/>
            <w:noWrap/>
            <w:hideMark/>
          </w:tcPr>
          <w:p w14:paraId="259C507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28 (29.79)</w:t>
            </w:r>
          </w:p>
        </w:tc>
        <w:tc>
          <w:tcPr>
            <w:tcW w:w="850" w:type="dxa"/>
            <w:vMerge w:val="restart"/>
            <w:tcBorders>
              <w:right w:val="single" w:sz="12" w:space="0" w:color="auto"/>
            </w:tcBorders>
            <w:noWrap/>
            <w:hideMark/>
          </w:tcPr>
          <w:p w14:paraId="78C8B6B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0.447</w:t>
            </w:r>
          </w:p>
        </w:tc>
      </w:tr>
      <w:tr w:rsidR="0093416B" w:rsidRPr="00CD6712" w14:paraId="3E54B6C0" w14:textId="77777777" w:rsidTr="0093416B">
        <w:trPr>
          <w:trHeight w:val="315"/>
        </w:trPr>
        <w:tc>
          <w:tcPr>
            <w:tcW w:w="988" w:type="dxa"/>
            <w:vMerge/>
            <w:tcBorders>
              <w:left w:val="single" w:sz="12" w:space="0" w:color="auto"/>
            </w:tcBorders>
            <w:hideMark/>
          </w:tcPr>
          <w:p w14:paraId="3634ECB9"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276A54F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No</w:t>
            </w:r>
          </w:p>
        </w:tc>
        <w:tc>
          <w:tcPr>
            <w:tcW w:w="1701" w:type="dxa"/>
            <w:tcBorders>
              <w:left w:val="single" w:sz="12" w:space="0" w:color="auto"/>
              <w:right w:val="single" w:sz="12" w:space="0" w:color="auto"/>
            </w:tcBorders>
            <w:shd w:val="clear" w:color="auto" w:fill="D9D9D9" w:themeFill="background1" w:themeFillShade="D9"/>
          </w:tcPr>
          <w:p w14:paraId="354A66D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337 (67.27)</w:t>
            </w:r>
          </w:p>
        </w:tc>
        <w:tc>
          <w:tcPr>
            <w:tcW w:w="1701" w:type="dxa"/>
            <w:tcBorders>
              <w:left w:val="single" w:sz="12" w:space="0" w:color="auto"/>
            </w:tcBorders>
            <w:noWrap/>
            <w:hideMark/>
          </w:tcPr>
          <w:p w14:paraId="025726A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118 (66.29)</w:t>
            </w:r>
          </w:p>
        </w:tc>
        <w:tc>
          <w:tcPr>
            <w:tcW w:w="1634" w:type="dxa"/>
            <w:gridSpan w:val="2"/>
            <w:noWrap/>
            <w:hideMark/>
          </w:tcPr>
          <w:p w14:paraId="6472E6D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90 (68.18)</w:t>
            </w:r>
          </w:p>
        </w:tc>
        <w:tc>
          <w:tcPr>
            <w:tcW w:w="1559" w:type="dxa"/>
            <w:gridSpan w:val="2"/>
            <w:noWrap/>
            <w:hideMark/>
          </w:tcPr>
          <w:p w14:paraId="270F21A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65 (67.01)</w:t>
            </w:r>
          </w:p>
        </w:tc>
        <w:tc>
          <w:tcPr>
            <w:tcW w:w="1701" w:type="dxa"/>
            <w:gridSpan w:val="2"/>
            <w:noWrap/>
            <w:hideMark/>
          </w:tcPr>
          <w:p w14:paraId="0A8AAFB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64 (68.09)</w:t>
            </w:r>
          </w:p>
        </w:tc>
        <w:tc>
          <w:tcPr>
            <w:tcW w:w="850" w:type="dxa"/>
            <w:vMerge/>
            <w:tcBorders>
              <w:right w:val="single" w:sz="12" w:space="0" w:color="auto"/>
            </w:tcBorders>
            <w:hideMark/>
          </w:tcPr>
          <w:p w14:paraId="058444EC"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54BF4CC8" w14:textId="77777777" w:rsidTr="0093416B">
        <w:trPr>
          <w:trHeight w:val="315"/>
        </w:trPr>
        <w:tc>
          <w:tcPr>
            <w:tcW w:w="988" w:type="dxa"/>
            <w:vMerge/>
            <w:tcBorders>
              <w:left w:val="single" w:sz="12" w:space="0" w:color="auto"/>
            </w:tcBorders>
            <w:hideMark/>
          </w:tcPr>
          <w:p w14:paraId="52F3B340"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6A306D5F"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Neoadjuvant therapy</w:t>
            </w:r>
          </w:p>
        </w:tc>
        <w:tc>
          <w:tcPr>
            <w:tcW w:w="1701" w:type="dxa"/>
            <w:tcBorders>
              <w:left w:val="single" w:sz="12" w:space="0" w:color="auto"/>
              <w:right w:val="single" w:sz="12" w:space="0" w:color="auto"/>
            </w:tcBorders>
            <w:shd w:val="clear" w:color="auto" w:fill="D9D9D9" w:themeFill="background1" w:themeFillShade="D9"/>
          </w:tcPr>
          <w:p w14:paraId="5EE0CE85"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715FAB9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c>
          <w:tcPr>
            <w:tcW w:w="857" w:type="dxa"/>
            <w:gridSpan w:val="2"/>
            <w:tcBorders>
              <w:right w:val="single" w:sz="12" w:space="0" w:color="auto"/>
            </w:tcBorders>
            <w:noWrap/>
            <w:hideMark/>
          </w:tcPr>
          <w:p w14:paraId="7E45BF0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141C7559" w14:textId="77777777" w:rsidTr="0093416B">
        <w:trPr>
          <w:trHeight w:val="315"/>
        </w:trPr>
        <w:tc>
          <w:tcPr>
            <w:tcW w:w="988" w:type="dxa"/>
            <w:vMerge/>
            <w:tcBorders>
              <w:left w:val="single" w:sz="12" w:space="0" w:color="auto"/>
            </w:tcBorders>
            <w:hideMark/>
          </w:tcPr>
          <w:p w14:paraId="49F1869F"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51C6662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None</w:t>
            </w:r>
          </w:p>
        </w:tc>
        <w:tc>
          <w:tcPr>
            <w:tcW w:w="1701" w:type="dxa"/>
            <w:tcBorders>
              <w:left w:val="single" w:sz="12" w:space="0" w:color="auto"/>
              <w:right w:val="single" w:sz="12" w:space="0" w:color="auto"/>
            </w:tcBorders>
            <w:shd w:val="clear" w:color="auto" w:fill="D9D9D9" w:themeFill="background1" w:themeFillShade="D9"/>
          </w:tcPr>
          <w:p w14:paraId="434A426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413 (82.44)</w:t>
            </w:r>
          </w:p>
        </w:tc>
        <w:tc>
          <w:tcPr>
            <w:tcW w:w="1701" w:type="dxa"/>
            <w:tcBorders>
              <w:left w:val="single" w:sz="12" w:space="0" w:color="auto"/>
            </w:tcBorders>
            <w:noWrap/>
            <w:hideMark/>
          </w:tcPr>
          <w:p w14:paraId="12E17D6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145 (81.46)</w:t>
            </w:r>
          </w:p>
        </w:tc>
        <w:tc>
          <w:tcPr>
            <w:tcW w:w="1634" w:type="dxa"/>
            <w:gridSpan w:val="2"/>
            <w:noWrap/>
            <w:hideMark/>
          </w:tcPr>
          <w:p w14:paraId="6F93823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108 (81.82)</w:t>
            </w:r>
          </w:p>
        </w:tc>
        <w:tc>
          <w:tcPr>
            <w:tcW w:w="1559" w:type="dxa"/>
            <w:gridSpan w:val="2"/>
            <w:noWrap/>
            <w:hideMark/>
          </w:tcPr>
          <w:p w14:paraId="08F6AC7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76 (78.35)</w:t>
            </w:r>
          </w:p>
        </w:tc>
        <w:tc>
          <w:tcPr>
            <w:tcW w:w="1701" w:type="dxa"/>
            <w:gridSpan w:val="2"/>
            <w:noWrap/>
            <w:hideMark/>
          </w:tcPr>
          <w:p w14:paraId="7A42B46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84 (89.36)</w:t>
            </w:r>
          </w:p>
        </w:tc>
        <w:tc>
          <w:tcPr>
            <w:tcW w:w="850" w:type="dxa"/>
            <w:vMerge w:val="restart"/>
            <w:tcBorders>
              <w:right w:val="single" w:sz="12" w:space="0" w:color="auto"/>
            </w:tcBorders>
            <w:noWrap/>
            <w:hideMark/>
          </w:tcPr>
          <w:p w14:paraId="6C0EF01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0.137</w:t>
            </w:r>
          </w:p>
        </w:tc>
      </w:tr>
      <w:tr w:rsidR="0093416B" w:rsidRPr="00CD6712" w14:paraId="20BCDE0E" w14:textId="77777777" w:rsidTr="0093416B">
        <w:trPr>
          <w:trHeight w:val="315"/>
        </w:trPr>
        <w:tc>
          <w:tcPr>
            <w:tcW w:w="988" w:type="dxa"/>
            <w:vMerge/>
            <w:tcBorders>
              <w:left w:val="single" w:sz="12" w:space="0" w:color="auto"/>
            </w:tcBorders>
            <w:hideMark/>
          </w:tcPr>
          <w:p w14:paraId="22CEA197"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6C19D18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Any (CT, RT, both)</w:t>
            </w:r>
          </w:p>
        </w:tc>
        <w:tc>
          <w:tcPr>
            <w:tcW w:w="1701" w:type="dxa"/>
            <w:tcBorders>
              <w:left w:val="single" w:sz="12" w:space="0" w:color="auto"/>
              <w:right w:val="single" w:sz="12" w:space="0" w:color="auto"/>
            </w:tcBorders>
            <w:shd w:val="clear" w:color="auto" w:fill="D9D9D9" w:themeFill="background1" w:themeFillShade="D9"/>
          </w:tcPr>
          <w:p w14:paraId="35891B2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84 (16.77)</w:t>
            </w:r>
          </w:p>
        </w:tc>
        <w:tc>
          <w:tcPr>
            <w:tcW w:w="1701" w:type="dxa"/>
            <w:tcBorders>
              <w:left w:val="single" w:sz="12" w:space="0" w:color="auto"/>
            </w:tcBorders>
            <w:noWrap/>
            <w:hideMark/>
          </w:tcPr>
          <w:p w14:paraId="67E3E75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 (17.98)</w:t>
            </w:r>
          </w:p>
        </w:tc>
        <w:tc>
          <w:tcPr>
            <w:tcW w:w="1634" w:type="dxa"/>
            <w:gridSpan w:val="2"/>
            <w:noWrap/>
            <w:hideMark/>
          </w:tcPr>
          <w:p w14:paraId="2D2F8AB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21 (15.91)</w:t>
            </w:r>
          </w:p>
        </w:tc>
        <w:tc>
          <w:tcPr>
            <w:tcW w:w="1559" w:type="dxa"/>
            <w:gridSpan w:val="2"/>
            <w:noWrap/>
            <w:hideMark/>
          </w:tcPr>
          <w:p w14:paraId="13EA581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21 (21.65)</w:t>
            </w:r>
          </w:p>
        </w:tc>
        <w:tc>
          <w:tcPr>
            <w:tcW w:w="1701" w:type="dxa"/>
            <w:gridSpan w:val="2"/>
            <w:noWrap/>
            <w:hideMark/>
          </w:tcPr>
          <w:p w14:paraId="2042459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10 (10.64)</w:t>
            </w:r>
          </w:p>
        </w:tc>
        <w:tc>
          <w:tcPr>
            <w:tcW w:w="850" w:type="dxa"/>
            <w:vMerge/>
            <w:tcBorders>
              <w:right w:val="single" w:sz="12" w:space="0" w:color="auto"/>
            </w:tcBorders>
            <w:hideMark/>
          </w:tcPr>
          <w:p w14:paraId="2975A161"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21CF4FEC" w14:textId="77777777" w:rsidTr="0093416B">
        <w:trPr>
          <w:trHeight w:val="315"/>
        </w:trPr>
        <w:tc>
          <w:tcPr>
            <w:tcW w:w="988" w:type="dxa"/>
            <w:vMerge/>
            <w:tcBorders>
              <w:left w:val="single" w:sz="12" w:space="0" w:color="auto"/>
            </w:tcBorders>
            <w:hideMark/>
          </w:tcPr>
          <w:p w14:paraId="089F946F"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6D0E1587"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Adjuvant therapy</w:t>
            </w:r>
          </w:p>
        </w:tc>
        <w:tc>
          <w:tcPr>
            <w:tcW w:w="1701" w:type="dxa"/>
            <w:tcBorders>
              <w:left w:val="single" w:sz="12" w:space="0" w:color="auto"/>
              <w:right w:val="single" w:sz="12" w:space="0" w:color="auto"/>
            </w:tcBorders>
            <w:shd w:val="clear" w:color="auto" w:fill="D9D9D9" w:themeFill="background1" w:themeFillShade="D9"/>
          </w:tcPr>
          <w:p w14:paraId="505CC684" w14:textId="77777777" w:rsidR="0093416B" w:rsidRPr="00CD6712" w:rsidRDefault="0093416B" w:rsidP="0093416B">
            <w:pPr>
              <w:autoSpaceDE w:val="0"/>
              <w:autoSpaceDN w:val="0"/>
              <w:adjustRightInd w:val="0"/>
              <w:spacing w:line="480" w:lineRule="auto"/>
              <w:rPr>
                <w:rFonts w:cstheme="minorHAnsi"/>
                <w:sz w:val="16"/>
                <w:szCs w:val="16"/>
              </w:rPr>
            </w:pPr>
          </w:p>
        </w:tc>
        <w:tc>
          <w:tcPr>
            <w:tcW w:w="6588" w:type="dxa"/>
            <w:gridSpan w:val="6"/>
            <w:tcBorders>
              <w:left w:val="single" w:sz="12" w:space="0" w:color="auto"/>
            </w:tcBorders>
            <w:noWrap/>
            <w:hideMark/>
          </w:tcPr>
          <w:p w14:paraId="12389424" w14:textId="77777777" w:rsidR="0093416B" w:rsidRPr="00CD6712" w:rsidRDefault="0093416B" w:rsidP="0093416B">
            <w:pPr>
              <w:autoSpaceDE w:val="0"/>
              <w:autoSpaceDN w:val="0"/>
              <w:adjustRightInd w:val="0"/>
              <w:spacing w:line="480" w:lineRule="auto"/>
              <w:rPr>
                <w:rFonts w:cstheme="minorHAnsi"/>
                <w:sz w:val="16"/>
                <w:szCs w:val="16"/>
              </w:rPr>
            </w:pPr>
          </w:p>
        </w:tc>
        <w:tc>
          <w:tcPr>
            <w:tcW w:w="857" w:type="dxa"/>
            <w:gridSpan w:val="2"/>
            <w:tcBorders>
              <w:right w:val="single" w:sz="12" w:space="0" w:color="auto"/>
            </w:tcBorders>
            <w:noWrap/>
            <w:hideMark/>
          </w:tcPr>
          <w:p w14:paraId="1F97E8E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 </w:t>
            </w:r>
          </w:p>
        </w:tc>
      </w:tr>
      <w:tr w:rsidR="0093416B" w:rsidRPr="00CD6712" w14:paraId="3950C076" w14:textId="77777777" w:rsidTr="0093416B">
        <w:trPr>
          <w:trHeight w:val="315"/>
        </w:trPr>
        <w:tc>
          <w:tcPr>
            <w:tcW w:w="988" w:type="dxa"/>
            <w:vMerge/>
            <w:tcBorders>
              <w:left w:val="single" w:sz="12" w:space="0" w:color="auto"/>
            </w:tcBorders>
            <w:hideMark/>
          </w:tcPr>
          <w:p w14:paraId="2939CE54"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29AD2BD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None</w:t>
            </w:r>
          </w:p>
        </w:tc>
        <w:tc>
          <w:tcPr>
            <w:tcW w:w="1701" w:type="dxa"/>
            <w:tcBorders>
              <w:left w:val="single" w:sz="12" w:space="0" w:color="auto"/>
              <w:right w:val="single" w:sz="12" w:space="0" w:color="auto"/>
            </w:tcBorders>
            <w:shd w:val="clear" w:color="auto" w:fill="D9D9D9" w:themeFill="background1" w:themeFillShade="D9"/>
          </w:tcPr>
          <w:p w14:paraId="7377508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353 (70.46)</w:t>
            </w:r>
          </w:p>
        </w:tc>
        <w:tc>
          <w:tcPr>
            <w:tcW w:w="1701" w:type="dxa"/>
            <w:tcBorders>
              <w:left w:val="single" w:sz="12" w:space="0" w:color="auto"/>
            </w:tcBorders>
            <w:noWrap/>
            <w:hideMark/>
          </w:tcPr>
          <w:p w14:paraId="43588C0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110 (61.80)</w:t>
            </w:r>
          </w:p>
        </w:tc>
        <w:tc>
          <w:tcPr>
            <w:tcW w:w="1634" w:type="dxa"/>
            <w:gridSpan w:val="2"/>
            <w:noWrap/>
            <w:hideMark/>
          </w:tcPr>
          <w:p w14:paraId="3700CBA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86 (65.15)</w:t>
            </w:r>
          </w:p>
        </w:tc>
        <w:tc>
          <w:tcPr>
            <w:tcW w:w="1559" w:type="dxa"/>
            <w:gridSpan w:val="2"/>
            <w:noWrap/>
            <w:hideMark/>
          </w:tcPr>
          <w:p w14:paraId="34926B3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71 (73.20)</w:t>
            </w:r>
          </w:p>
        </w:tc>
        <w:tc>
          <w:tcPr>
            <w:tcW w:w="1701" w:type="dxa"/>
            <w:gridSpan w:val="2"/>
            <w:noWrap/>
            <w:hideMark/>
          </w:tcPr>
          <w:p w14:paraId="7028D04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86 (91.49)</w:t>
            </w:r>
          </w:p>
        </w:tc>
        <w:tc>
          <w:tcPr>
            <w:tcW w:w="850" w:type="dxa"/>
            <w:vMerge w:val="restart"/>
            <w:tcBorders>
              <w:right w:val="single" w:sz="12" w:space="0" w:color="auto"/>
            </w:tcBorders>
            <w:noWrap/>
            <w:hideMark/>
          </w:tcPr>
          <w:p w14:paraId="68CA70A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&lt;0.001 ***</w:t>
            </w:r>
          </w:p>
        </w:tc>
      </w:tr>
      <w:tr w:rsidR="0093416B" w:rsidRPr="00CD6712" w14:paraId="2ED7446B" w14:textId="77777777" w:rsidTr="0093416B">
        <w:trPr>
          <w:trHeight w:val="315"/>
        </w:trPr>
        <w:tc>
          <w:tcPr>
            <w:tcW w:w="988" w:type="dxa"/>
            <w:vMerge/>
            <w:tcBorders>
              <w:left w:val="single" w:sz="12" w:space="0" w:color="auto"/>
            </w:tcBorders>
            <w:hideMark/>
          </w:tcPr>
          <w:p w14:paraId="69F44A21"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5BCCB6F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Any (CT, RT, both)</w:t>
            </w:r>
          </w:p>
        </w:tc>
        <w:tc>
          <w:tcPr>
            <w:tcW w:w="1701" w:type="dxa"/>
            <w:tcBorders>
              <w:left w:val="single" w:sz="12" w:space="0" w:color="auto"/>
              <w:right w:val="single" w:sz="12" w:space="0" w:color="auto"/>
            </w:tcBorders>
            <w:shd w:val="clear" w:color="auto" w:fill="D9D9D9" w:themeFill="background1" w:themeFillShade="D9"/>
          </w:tcPr>
          <w:p w14:paraId="57941FE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146 (29.14)</w:t>
            </w:r>
          </w:p>
        </w:tc>
        <w:tc>
          <w:tcPr>
            <w:tcW w:w="1701" w:type="dxa"/>
            <w:tcBorders>
              <w:left w:val="single" w:sz="12" w:space="0" w:color="auto"/>
            </w:tcBorders>
            <w:noWrap/>
            <w:hideMark/>
          </w:tcPr>
          <w:p w14:paraId="689902F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68 (38.20)</w:t>
            </w:r>
          </w:p>
        </w:tc>
        <w:tc>
          <w:tcPr>
            <w:tcW w:w="1634" w:type="dxa"/>
            <w:gridSpan w:val="2"/>
            <w:noWrap/>
            <w:hideMark/>
          </w:tcPr>
          <w:p w14:paraId="5114797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44 (33.33)</w:t>
            </w:r>
          </w:p>
        </w:tc>
        <w:tc>
          <w:tcPr>
            <w:tcW w:w="1559" w:type="dxa"/>
            <w:gridSpan w:val="2"/>
            <w:noWrap/>
            <w:hideMark/>
          </w:tcPr>
          <w:p w14:paraId="198527C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26 (26.80)</w:t>
            </w:r>
          </w:p>
        </w:tc>
        <w:tc>
          <w:tcPr>
            <w:tcW w:w="1701" w:type="dxa"/>
            <w:gridSpan w:val="2"/>
            <w:noWrap/>
            <w:hideMark/>
          </w:tcPr>
          <w:p w14:paraId="245474D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8 (8.51)</w:t>
            </w:r>
          </w:p>
        </w:tc>
        <w:tc>
          <w:tcPr>
            <w:tcW w:w="850" w:type="dxa"/>
            <w:vMerge/>
            <w:tcBorders>
              <w:right w:val="single" w:sz="12" w:space="0" w:color="auto"/>
            </w:tcBorders>
            <w:hideMark/>
          </w:tcPr>
          <w:p w14:paraId="5713D4CB"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40F94D3D" w14:textId="77777777" w:rsidTr="0093416B">
        <w:trPr>
          <w:trHeight w:val="315"/>
        </w:trPr>
        <w:tc>
          <w:tcPr>
            <w:tcW w:w="988" w:type="dxa"/>
            <w:vMerge w:val="restart"/>
            <w:tcBorders>
              <w:left w:val="single" w:sz="12" w:space="0" w:color="auto"/>
            </w:tcBorders>
            <w:hideMark/>
          </w:tcPr>
          <w:p w14:paraId="13687A17" w14:textId="77777777" w:rsidR="0093416B" w:rsidRPr="00CD6712" w:rsidRDefault="0093416B" w:rsidP="0093416B">
            <w:pPr>
              <w:autoSpaceDE w:val="0"/>
              <w:autoSpaceDN w:val="0"/>
              <w:adjustRightInd w:val="0"/>
              <w:spacing w:line="480" w:lineRule="auto"/>
              <w:rPr>
                <w:rFonts w:cstheme="minorHAnsi"/>
                <w:b/>
                <w:bCs/>
                <w:sz w:val="16"/>
                <w:szCs w:val="16"/>
              </w:rPr>
            </w:pPr>
            <w:r w:rsidRPr="00CD6712">
              <w:rPr>
                <w:rFonts w:cstheme="minorHAnsi"/>
                <w:b/>
                <w:bCs/>
                <w:sz w:val="16"/>
                <w:szCs w:val="16"/>
              </w:rPr>
              <w:t>Block 5 - Personal factors</w:t>
            </w:r>
          </w:p>
        </w:tc>
        <w:tc>
          <w:tcPr>
            <w:tcW w:w="1701" w:type="dxa"/>
            <w:tcBorders>
              <w:right w:val="single" w:sz="12" w:space="0" w:color="auto"/>
            </w:tcBorders>
            <w:noWrap/>
            <w:hideMark/>
          </w:tcPr>
          <w:p w14:paraId="2A208731" w14:textId="77777777" w:rsidR="0093416B" w:rsidRPr="00CD6712" w:rsidRDefault="0093416B" w:rsidP="0093416B">
            <w:pPr>
              <w:autoSpaceDE w:val="0"/>
              <w:autoSpaceDN w:val="0"/>
              <w:adjustRightInd w:val="0"/>
              <w:spacing w:line="480" w:lineRule="auto"/>
              <w:rPr>
                <w:rFonts w:cstheme="minorHAnsi"/>
                <w:b/>
                <w:bCs/>
                <w:iCs/>
                <w:sz w:val="16"/>
                <w:szCs w:val="16"/>
              </w:rPr>
            </w:pPr>
            <w:r w:rsidRPr="00CD6712">
              <w:rPr>
                <w:rFonts w:cstheme="minorHAnsi"/>
                <w:b/>
                <w:bCs/>
                <w:iCs/>
                <w:sz w:val="16"/>
                <w:szCs w:val="16"/>
              </w:rPr>
              <w:t xml:space="preserve">Self-efficacy (LORIG) </w:t>
            </w:r>
          </w:p>
        </w:tc>
        <w:tc>
          <w:tcPr>
            <w:tcW w:w="1701" w:type="dxa"/>
            <w:tcBorders>
              <w:left w:val="single" w:sz="12" w:space="0" w:color="auto"/>
              <w:right w:val="single" w:sz="12" w:space="0" w:color="auto"/>
            </w:tcBorders>
            <w:shd w:val="clear" w:color="auto" w:fill="D9D9D9" w:themeFill="background1" w:themeFillShade="D9"/>
          </w:tcPr>
          <w:p w14:paraId="3CEF3D8A" w14:textId="77777777" w:rsidR="0093416B" w:rsidRPr="00CD6712" w:rsidRDefault="0093416B" w:rsidP="0093416B">
            <w:pPr>
              <w:autoSpaceDE w:val="0"/>
              <w:autoSpaceDN w:val="0"/>
              <w:adjustRightInd w:val="0"/>
              <w:spacing w:line="480" w:lineRule="auto"/>
              <w:rPr>
                <w:rFonts w:cstheme="minorHAnsi"/>
                <w:i/>
                <w:iCs/>
                <w:sz w:val="16"/>
                <w:szCs w:val="16"/>
              </w:rPr>
            </w:pPr>
          </w:p>
        </w:tc>
        <w:tc>
          <w:tcPr>
            <w:tcW w:w="6595" w:type="dxa"/>
            <w:gridSpan w:val="7"/>
            <w:tcBorders>
              <w:left w:val="single" w:sz="12" w:space="0" w:color="auto"/>
            </w:tcBorders>
            <w:noWrap/>
            <w:hideMark/>
          </w:tcPr>
          <w:p w14:paraId="4118AFB3" w14:textId="77777777" w:rsidR="0093416B" w:rsidRPr="00CD6712" w:rsidRDefault="0093416B" w:rsidP="0093416B">
            <w:pPr>
              <w:autoSpaceDE w:val="0"/>
              <w:autoSpaceDN w:val="0"/>
              <w:adjustRightInd w:val="0"/>
              <w:spacing w:line="480" w:lineRule="auto"/>
              <w:rPr>
                <w:rFonts w:cstheme="minorHAnsi"/>
                <w:i/>
                <w:iCs/>
                <w:sz w:val="16"/>
                <w:szCs w:val="16"/>
              </w:rPr>
            </w:pPr>
          </w:p>
        </w:tc>
        <w:tc>
          <w:tcPr>
            <w:tcW w:w="850" w:type="dxa"/>
            <w:tcBorders>
              <w:right w:val="single" w:sz="12" w:space="0" w:color="auto"/>
            </w:tcBorders>
            <w:noWrap/>
            <w:hideMark/>
          </w:tcPr>
          <w:p w14:paraId="6B193453" w14:textId="77777777" w:rsidR="0093416B" w:rsidRPr="00CD6712" w:rsidRDefault="0093416B" w:rsidP="0093416B">
            <w:pPr>
              <w:autoSpaceDE w:val="0"/>
              <w:autoSpaceDN w:val="0"/>
              <w:adjustRightInd w:val="0"/>
              <w:spacing w:line="480" w:lineRule="auto"/>
              <w:rPr>
                <w:rFonts w:cstheme="minorHAnsi"/>
                <w:i/>
                <w:iCs/>
                <w:sz w:val="16"/>
                <w:szCs w:val="16"/>
              </w:rPr>
            </w:pPr>
          </w:p>
        </w:tc>
      </w:tr>
      <w:tr w:rsidR="0093416B" w:rsidRPr="00CD6712" w14:paraId="4A8AABF2" w14:textId="77777777" w:rsidTr="0093416B">
        <w:trPr>
          <w:trHeight w:val="315"/>
        </w:trPr>
        <w:tc>
          <w:tcPr>
            <w:tcW w:w="988" w:type="dxa"/>
            <w:vMerge/>
            <w:tcBorders>
              <w:left w:val="single" w:sz="12" w:space="0" w:color="auto"/>
            </w:tcBorders>
            <w:hideMark/>
          </w:tcPr>
          <w:p w14:paraId="3714E504"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37A2ABB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Low confidence</w:t>
            </w:r>
          </w:p>
        </w:tc>
        <w:tc>
          <w:tcPr>
            <w:tcW w:w="1701" w:type="dxa"/>
            <w:tcBorders>
              <w:left w:val="single" w:sz="12" w:space="0" w:color="auto"/>
              <w:right w:val="single" w:sz="12" w:space="0" w:color="auto"/>
            </w:tcBorders>
            <w:shd w:val="clear" w:color="auto" w:fill="D9D9D9" w:themeFill="background1" w:themeFillShade="D9"/>
          </w:tcPr>
          <w:p w14:paraId="76A2361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56 (11.18)</w:t>
            </w:r>
          </w:p>
        </w:tc>
        <w:tc>
          <w:tcPr>
            <w:tcW w:w="1701" w:type="dxa"/>
            <w:tcBorders>
              <w:left w:val="single" w:sz="12" w:space="0" w:color="auto"/>
            </w:tcBorders>
            <w:noWrap/>
            <w:hideMark/>
          </w:tcPr>
          <w:p w14:paraId="4802DDF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 (7.87)</w:t>
            </w:r>
          </w:p>
        </w:tc>
        <w:tc>
          <w:tcPr>
            <w:tcW w:w="1634" w:type="dxa"/>
            <w:gridSpan w:val="2"/>
            <w:noWrap/>
            <w:hideMark/>
          </w:tcPr>
          <w:p w14:paraId="31090D24"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15 (11.36)</w:t>
            </w:r>
          </w:p>
        </w:tc>
        <w:tc>
          <w:tcPr>
            <w:tcW w:w="1559" w:type="dxa"/>
            <w:gridSpan w:val="2"/>
            <w:noWrap/>
            <w:hideMark/>
          </w:tcPr>
          <w:p w14:paraId="4349E67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12 (12.37)</w:t>
            </w:r>
          </w:p>
        </w:tc>
        <w:tc>
          <w:tcPr>
            <w:tcW w:w="1701" w:type="dxa"/>
            <w:gridSpan w:val="2"/>
            <w:noWrap/>
            <w:hideMark/>
          </w:tcPr>
          <w:p w14:paraId="051B022E"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15 (15.96)</w:t>
            </w:r>
          </w:p>
        </w:tc>
        <w:tc>
          <w:tcPr>
            <w:tcW w:w="850" w:type="dxa"/>
            <w:vMerge w:val="restart"/>
            <w:tcBorders>
              <w:right w:val="single" w:sz="12" w:space="0" w:color="auto"/>
            </w:tcBorders>
            <w:noWrap/>
            <w:hideMark/>
          </w:tcPr>
          <w:p w14:paraId="782F52D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0.038 *</w:t>
            </w:r>
          </w:p>
        </w:tc>
      </w:tr>
      <w:tr w:rsidR="0093416B" w:rsidRPr="00CD6712" w14:paraId="2C06E795" w14:textId="77777777" w:rsidTr="0093416B">
        <w:trPr>
          <w:trHeight w:val="315"/>
        </w:trPr>
        <w:tc>
          <w:tcPr>
            <w:tcW w:w="988" w:type="dxa"/>
            <w:vMerge/>
            <w:tcBorders>
              <w:left w:val="single" w:sz="12" w:space="0" w:color="auto"/>
            </w:tcBorders>
            <w:hideMark/>
          </w:tcPr>
          <w:p w14:paraId="44F33DA7"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4291083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Moderate confidence</w:t>
            </w:r>
          </w:p>
        </w:tc>
        <w:tc>
          <w:tcPr>
            <w:tcW w:w="1701" w:type="dxa"/>
            <w:tcBorders>
              <w:left w:val="single" w:sz="12" w:space="0" w:color="auto"/>
              <w:right w:val="single" w:sz="12" w:space="0" w:color="auto"/>
            </w:tcBorders>
            <w:shd w:val="clear" w:color="auto" w:fill="D9D9D9" w:themeFill="background1" w:themeFillShade="D9"/>
          </w:tcPr>
          <w:p w14:paraId="50F5B41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102 (20.36)</w:t>
            </w:r>
          </w:p>
        </w:tc>
        <w:tc>
          <w:tcPr>
            <w:tcW w:w="1701" w:type="dxa"/>
            <w:tcBorders>
              <w:left w:val="single" w:sz="12" w:space="0" w:color="auto"/>
            </w:tcBorders>
            <w:noWrap/>
            <w:hideMark/>
          </w:tcPr>
          <w:p w14:paraId="7D0AF5CD"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30 (16.85)</w:t>
            </w:r>
          </w:p>
        </w:tc>
        <w:tc>
          <w:tcPr>
            <w:tcW w:w="1634" w:type="dxa"/>
            <w:gridSpan w:val="2"/>
            <w:noWrap/>
            <w:hideMark/>
          </w:tcPr>
          <w:p w14:paraId="2884A7B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27 (20.45)</w:t>
            </w:r>
          </w:p>
        </w:tc>
        <w:tc>
          <w:tcPr>
            <w:tcW w:w="1559" w:type="dxa"/>
            <w:gridSpan w:val="2"/>
            <w:noWrap/>
            <w:hideMark/>
          </w:tcPr>
          <w:p w14:paraId="042212A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20 (20.62)</w:t>
            </w:r>
          </w:p>
        </w:tc>
        <w:tc>
          <w:tcPr>
            <w:tcW w:w="1701" w:type="dxa"/>
            <w:gridSpan w:val="2"/>
            <w:noWrap/>
            <w:hideMark/>
          </w:tcPr>
          <w:p w14:paraId="2A31A8D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25 (26.60)</w:t>
            </w:r>
          </w:p>
        </w:tc>
        <w:tc>
          <w:tcPr>
            <w:tcW w:w="850" w:type="dxa"/>
            <w:vMerge/>
            <w:tcBorders>
              <w:right w:val="single" w:sz="12" w:space="0" w:color="auto"/>
            </w:tcBorders>
            <w:hideMark/>
          </w:tcPr>
          <w:p w14:paraId="4E263D35"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52CF2D37" w14:textId="77777777" w:rsidTr="0093416B">
        <w:trPr>
          <w:trHeight w:val="315"/>
        </w:trPr>
        <w:tc>
          <w:tcPr>
            <w:tcW w:w="988" w:type="dxa"/>
            <w:vMerge/>
            <w:tcBorders>
              <w:left w:val="single" w:sz="12" w:space="0" w:color="auto"/>
            </w:tcBorders>
            <w:hideMark/>
          </w:tcPr>
          <w:p w14:paraId="1FEF03FE"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2F78D7F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Confident</w:t>
            </w:r>
          </w:p>
        </w:tc>
        <w:tc>
          <w:tcPr>
            <w:tcW w:w="1701" w:type="dxa"/>
            <w:tcBorders>
              <w:left w:val="single" w:sz="12" w:space="0" w:color="auto"/>
              <w:right w:val="single" w:sz="12" w:space="0" w:color="auto"/>
            </w:tcBorders>
            <w:shd w:val="clear" w:color="auto" w:fill="D9D9D9" w:themeFill="background1" w:themeFillShade="D9"/>
          </w:tcPr>
          <w:p w14:paraId="4A026E3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214 (42.71)</w:t>
            </w:r>
          </w:p>
        </w:tc>
        <w:tc>
          <w:tcPr>
            <w:tcW w:w="1701" w:type="dxa"/>
            <w:tcBorders>
              <w:left w:val="single" w:sz="12" w:space="0" w:color="auto"/>
            </w:tcBorders>
            <w:noWrap/>
            <w:hideMark/>
          </w:tcPr>
          <w:p w14:paraId="5A4ABFA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91 (51.12)</w:t>
            </w:r>
          </w:p>
        </w:tc>
        <w:tc>
          <w:tcPr>
            <w:tcW w:w="1634" w:type="dxa"/>
            <w:gridSpan w:val="2"/>
            <w:noWrap/>
            <w:hideMark/>
          </w:tcPr>
          <w:p w14:paraId="00A7E9D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49 (37.12)</w:t>
            </w:r>
          </w:p>
        </w:tc>
        <w:tc>
          <w:tcPr>
            <w:tcW w:w="1559" w:type="dxa"/>
            <w:gridSpan w:val="2"/>
            <w:noWrap/>
            <w:hideMark/>
          </w:tcPr>
          <w:p w14:paraId="44C304C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39 (40.21)</w:t>
            </w:r>
          </w:p>
        </w:tc>
        <w:tc>
          <w:tcPr>
            <w:tcW w:w="1701" w:type="dxa"/>
            <w:gridSpan w:val="2"/>
            <w:noWrap/>
            <w:hideMark/>
          </w:tcPr>
          <w:p w14:paraId="089BCD3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35 (37.23)</w:t>
            </w:r>
          </w:p>
        </w:tc>
        <w:tc>
          <w:tcPr>
            <w:tcW w:w="850" w:type="dxa"/>
            <w:vMerge/>
            <w:tcBorders>
              <w:right w:val="single" w:sz="12" w:space="0" w:color="auto"/>
            </w:tcBorders>
            <w:hideMark/>
          </w:tcPr>
          <w:p w14:paraId="5C1CAABE"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5B538224" w14:textId="77777777" w:rsidTr="0093416B">
        <w:trPr>
          <w:trHeight w:val="315"/>
        </w:trPr>
        <w:tc>
          <w:tcPr>
            <w:tcW w:w="988" w:type="dxa"/>
            <w:vMerge/>
            <w:tcBorders>
              <w:left w:val="single" w:sz="12" w:space="0" w:color="auto"/>
            </w:tcBorders>
            <w:hideMark/>
          </w:tcPr>
          <w:p w14:paraId="710669EC"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1E1A85D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Very confident</w:t>
            </w:r>
          </w:p>
        </w:tc>
        <w:tc>
          <w:tcPr>
            <w:tcW w:w="1701" w:type="dxa"/>
            <w:tcBorders>
              <w:left w:val="single" w:sz="12" w:space="0" w:color="auto"/>
              <w:right w:val="single" w:sz="12" w:space="0" w:color="auto"/>
            </w:tcBorders>
            <w:shd w:val="clear" w:color="auto" w:fill="D9D9D9" w:themeFill="background1" w:themeFillShade="D9"/>
          </w:tcPr>
          <w:p w14:paraId="7A8E1DF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118 (23.55)</w:t>
            </w:r>
          </w:p>
        </w:tc>
        <w:tc>
          <w:tcPr>
            <w:tcW w:w="1701" w:type="dxa"/>
            <w:tcBorders>
              <w:left w:val="single" w:sz="12" w:space="0" w:color="auto"/>
            </w:tcBorders>
            <w:noWrap/>
            <w:hideMark/>
          </w:tcPr>
          <w:p w14:paraId="39206CC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40 (22.47)</w:t>
            </w:r>
          </w:p>
        </w:tc>
        <w:tc>
          <w:tcPr>
            <w:tcW w:w="1634" w:type="dxa"/>
            <w:gridSpan w:val="2"/>
            <w:noWrap/>
            <w:hideMark/>
          </w:tcPr>
          <w:p w14:paraId="2BFA562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39 (29.55)</w:t>
            </w:r>
          </w:p>
        </w:tc>
        <w:tc>
          <w:tcPr>
            <w:tcW w:w="1559" w:type="dxa"/>
            <w:gridSpan w:val="2"/>
            <w:noWrap/>
            <w:hideMark/>
          </w:tcPr>
          <w:p w14:paraId="3DC6F42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25 (25.77)</w:t>
            </w:r>
          </w:p>
        </w:tc>
        <w:tc>
          <w:tcPr>
            <w:tcW w:w="1701" w:type="dxa"/>
            <w:gridSpan w:val="2"/>
            <w:noWrap/>
            <w:hideMark/>
          </w:tcPr>
          <w:p w14:paraId="1492211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 (14.89)</w:t>
            </w:r>
          </w:p>
        </w:tc>
        <w:tc>
          <w:tcPr>
            <w:tcW w:w="850" w:type="dxa"/>
            <w:vMerge/>
            <w:tcBorders>
              <w:right w:val="single" w:sz="12" w:space="0" w:color="auto"/>
            </w:tcBorders>
            <w:hideMark/>
          </w:tcPr>
          <w:p w14:paraId="450B3DED"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0BD739FB" w14:textId="77777777" w:rsidTr="0093416B">
        <w:trPr>
          <w:trHeight w:val="181"/>
        </w:trPr>
        <w:tc>
          <w:tcPr>
            <w:tcW w:w="988" w:type="dxa"/>
            <w:vMerge/>
            <w:tcBorders>
              <w:left w:val="single" w:sz="12" w:space="0" w:color="auto"/>
            </w:tcBorders>
            <w:hideMark/>
          </w:tcPr>
          <w:p w14:paraId="2DB47F23"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007E3650" w14:textId="77777777" w:rsidR="0093416B" w:rsidRPr="00CD6712" w:rsidRDefault="0093416B" w:rsidP="0093416B">
            <w:pPr>
              <w:autoSpaceDE w:val="0"/>
              <w:autoSpaceDN w:val="0"/>
              <w:adjustRightInd w:val="0"/>
              <w:spacing w:line="480" w:lineRule="auto"/>
              <w:rPr>
                <w:rFonts w:cstheme="minorHAnsi"/>
                <w:b/>
                <w:bCs/>
                <w:iCs/>
                <w:sz w:val="16"/>
                <w:szCs w:val="16"/>
              </w:rPr>
            </w:pPr>
            <w:r w:rsidRPr="00CD6712">
              <w:rPr>
                <w:rFonts w:cstheme="minorHAnsi"/>
                <w:b/>
                <w:bCs/>
                <w:iCs/>
                <w:sz w:val="16"/>
                <w:szCs w:val="16"/>
              </w:rPr>
              <w:t>Clinical depression (CES-D)</w:t>
            </w:r>
          </w:p>
        </w:tc>
        <w:tc>
          <w:tcPr>
            <w:tcW w:w="1701" w:type="dxa"/>
            <w:tcBorders>
              <w:left w:val="single" w:sz="12" w:space="0" w:color="auto"/>
              <w:right w:val="single" w:sz="12" w:space="0" w:color="auto"/>
            </w:tcBorders>
            <w:shd w:val="clear" w:color="auto" w:fill="D9D9D9" w:themeFill="background1" w:themeFillShade="D9"/>
          </w:tcPr>
          <w:p w14:paraId="04F65151" w14:textId="77777777" w:rsidR="0093416B" w:rsidRPr="00CD6712" w:rsidRDefault="0093416B" w:rsidP="0093416B">
            <w:pPr>
              <w:autoSpaceDE w:val="0"/>
              <w:autoSpaceDN w:val="0"/>
              <w:adjustRightInd w:val="0"/>
              <w:spacing w:line="480" w:lineRule="auto"/>
              <w:rPr>
                <w:rFonts w:cstheme="minorHAnsi"/>
                <w:i/>
                <w:iCs/>
                <w:sz w:val="16"/>
                <w:szCs w:val="16"/>
              </w:rPr>
            </w:pPr>
          </w:p>
        </w:tc>
        <w:tc>
          <w:tcPr>
            <w:tcW w:w="6595" w:type="dxa"/>
            <w:gridSpan w:val="7"/>
            <w:tcBorders>
              <w:left w:val="single" w:sz="12" w:space="0" w:color="auto"/>
            </w:tcBorders>
            <w:noWrap/>
            <w:hideMark/>
          </w:tcPr>
          <w:p w14:paraId="789A3105" w14:textId="77777777" w:rsidR="0093416B" w:rsidRPr="00CD6712" w:rsidRDefault="0093416B" w:rsidP="0093416B">
            <w:pPr>
              <w:autoSpaceDE w:val="0"/>
              <w:autoSpaceDN w:val="0"/>
              <w:adjustRightInd w:val="0"/>
              <w:spacing w:line="480" w:lineRule="auto"/>
              <w:rPr>
                <w:rFonts w:cstheme="minorHAnsi"/>
                <w:i/>
                <w:iCs/>
                <w:sz w:val="16"/>
                <w:szCs w:val="16"/>
              </w:rPr>
            </w:pPr>
          </w:p>
        </w:tc>
        <w:tc>
          <w:tcPr>
            <w:tcW w:w="850" w:type="dxa"/>
            <w:tcBorders>
              <w:right w:val="single" w:sz="12" w:space="0" w:color="auto"/>
            </w:tcBorders>
            <w:noWrap/>
            <w:hideMark/>
          </w:tcPr>
          <w:p w14:paraId="4E5772AD" w14:textId="77777777" w:rsidR="0093416B" w:rsidRPr="00CD6712" w:rsidRDefault="0093416B" w:rsidP="0093416B">
            <w:pPr>
              <w:autoSpaceDE w:val="0"/>
              <w:autoSpaceDN w:val="0"/>
              <w:adjustRightInd w:val="0"/>
              <w:spacing w:line="480" w:lineRule="auto"/>
              <w:rPr>
                <w:rFonts w:cstheme="minorHAnsi"/>
                <w:i/>
                <w:iCs/>
                <w:sz w:val="16"/>
                <w:szCs w:val="16"/>
              </w:rPr>
            </w:pPr>
          </w:p>
        </w:tc>
      </w:tr>
      <w:tr w:rsidR="0093416B" w:rsidRPr="00CD6712" w14:paraId="6520A590" w14:textId="77777777" w:rsidTr="0093416B">
        <w:trPr>
          <w:trHeight w:val="315"/>
        </w:trPr>
        <w:tc>
          <w:tcPr>
            <w:tcW w:w="988" w:type="dxa"/>
            <w:vMerge/>
            <w:tcBorders>
              <w:left w:val="single" w:sz="12" w:space="0" w:color="auto"/>
            </w:tcBorders>
          </w:tcPr>
          <w:p w14:paraId="5AD81192"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tcPr>
          <w:p w14:paraId="2E270181"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No (&lt;20 CES-D)</w:t>
            </w:r>
          </w:p>
        </w:tc>
        <w:tc>
          <w:tcPr>
            <w:tcW w:w="1701" w:type="dxa"/>
            <w:tcBorders>
              <w:left w:val="single" w:sz="12" w:space="0" w:color="auto"/>
              <w:right w:val="single" w:sz="12" w:space="0" w:color="auto"/>
            </w:tcBorders>
            <w:shd w:val="clear" w:color="auto" w:fill="D9D9D9" w:themeFill="background1" w:themeFillShade="D9"/>
          </w:tcPr>
          <w:p w14:paraId="2971882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394 (78.64)</w:t>
            </w:r>
          </w:p>
        </w:tc>
        <w:tc>
          <w:tcPr>
            <w:tcW w:w="1701" w:type="dxa"/>
            <w:tcBorders>
              <w:left w:val="single" w:sz="12" w:space="0" w:color="auto"/>
            </w:tcBorders>
            <w:noWrap/>
          </w:tcPr>
          <w:p w14:paraId="0382302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148 (83.15)</w:t>
            </w:r>
          </w:p>
        </w:tc>
        <w:tc>
          <w:tcPr>
            <w:tcW w:w="1634" w:type="dxa"/>
            <w:gridSpan w:val="2"/>
            <w:noWrap/>
          </w:tcPr>
          <w:p w14:paraId="347DB05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102 (77.27)</w:t>
            </w:r>
          </w:p>
        </w:tc>
        <w:tc>
          <w:tcPr>
            <w:tcW w:w="1559" w:type="dxa"/>
            <w:gridSpan w:val="2"/>
            <w:noWrap/>
          </w:tcPr>
          <w:p w14:paraId="54E2DC9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77 (79.38)</w:t>
            </w:r>
          </w:p>
        </w:tc>
        <w:tc>
          <w:tcPr>
            <w:tcW w:w="1701" w:type="dxa"/>
            <w:gridSpan w:val="2"/>
            <w:noWrap/>
          </w:tcPr>
          <w:p w14:paraId="1E353E4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67 (71.28)</w:t>
            </w:r>
          </w:p>
        </w:tc>
        <w:tc>
          <w:tcPr>
            <w:tcW w:w="850" w:type="dxa"/>
            <w:vMerge w:val="restart"/>
            <w:tcBorders>
              <w:right w:val="single" w:sz="12" w:space="0" w:color="auto"/>
            </w:tcBorders>
            <w:noWrap/>
          </w:tcPr>
          <w:p w14:paraId="7BA4320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0.205</w:t>
            </w:r>
          </w:p>
        </w:tc>
      </w:tr>
      <w:tr w:rsidR="0093416B" w:rsidRPr="00CD6712" w14:paraId="7B6396A9" w14:textId="77777777" w:rsidTr="0093416B">
        <w:trPr>
          <w:trHeight w:val="315"/>
        </w:trPr>
        <w:tc>
          <w:tcPr>
            <w:tcW w:w="988" w:type="dxa"/>
            <w:vMerge/>
            <w:tcBorders>
              <w:left w:val="single" w:sz="12" w:space="0" w:color="auto"/>
            </w:tcBorders>
            <w:hideMark/>
          </w:tcPr>
          <w:p w14:paraId="307C6FF0"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30DF0FDF"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Yes (&gt;=20 CES-D)</w:t>
            </w:r>
          </w:p>
        </w:tc>
        <w:tc>
          <w:tcPr>
            <w:tcW w:w="1701" w:type="dxa"/>
            <w:tcBorders>
              <w:left w:val="single" w:sz="12" w:space="0" w:color="auto"/>
              <w:right w:val="single" w:sz="12" w:space="0" w:color="auto"/>
            </w:tcBorders>
            <w:shd w:val="clear" w:color="auto" w:fill="D9D9D9" w:themeFill="background1" w:themeFillShade="D9"/>
          </w:tcPr>
          <w:p w14:paraId="7870B50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93 (18.56)</w:t>
            </w:r>
          </w:p>
        </w:tc>
        <w:tc>
          <w:tcPr>
            <w:tcW w:w="1701" w:type="dxa"/>
            <w:tcBorders>
              <w:left w:val="single" w:sz="12" w:space="0" w:color="auto"/>
            </w:tcBorders>
            <w:noWrap/>
            <w:hideMark/>
          </w:tcPr>
          <w:p w14:paraId="16DCBCC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27 (15.17)</w:t>
            </w:r>
          </w:p>
        </w:tc>
        <w:tc>
          <w:tcPr>
            <w:tcW w:w="1634" w:type="dxa"/>
            <w:gridSpan w:val="2"/>
            <w:noWrap/>
            <w:hideMark/>
          </w:tcPr>
          <w:p w14:paraId="2D43213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28 (21.21)</w:t>
            </w:r>
          </w:p>
        </w:tc>
        <w:tc>
          <w:tcPr>
            <w:tcW w:w="1559" w:type="dxa"/>
            <w:gridSpan w:val="2"/>
            <w:noWrap/>
            <w:hideMark/>
          </w:tcPr>
          <w:p w14:paraId="035D3B2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16 (16.49)</w:t>
            </w:r>
          </w:p>
        </w:tc>
        <w:tc>
          <w:tcPr>
            <w:tcW w:w="1701" w:type="dxa"/>
            <w:gridSpan w:val="2"/>
            <w:noWrap/>
            <w:hideMark/>
          </w:tcPr>
          <w:p w14:paraId="2AB325A7"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22 (23.40)</w:t>
            </w:r>
          </w:p>
        </w:tc>
        <w:tc>
          <w:tcPr>
            <w:tcW w:w="850" w:type="dxa"/>
            <w:vMerge/>
            <w:tcBorders>
              <w:right w:val="single" w:sz="12" w:space="0" w:color="auto"/>
            </w:tcBorders>
            <w:noWrap/>
            <w:hideMark/>
          </w:tcPr>
          <w:p w14:paraId="35B85362" w14:textId="77777777" w:rsidR="0093416B" w:rsidRPr="00CD6712" w:rsidRDefault="0093416B" w:rsidP="0093416B">
            <w:pPr>
              <w:autoSpaceDE w:val="0"/>
              <w:autoSpaceDN w:val="0"/>
              <w:adjustRightInd w:val="0"/>
              <w:spacing w:line="480" w:lineRule="auto"/>
              <w:rPr>
                <w:rFonts w:cstheme="minorHAnsi"/>
                <w:sz w:val="16"/>
                <w:szCs w:val="16"/>
              </w:rPr>
            </w:pPr>
          </w:p>
        </w:tc>
      </w:tr>
      <w:tr w:rsidR="0093416B" w:rsidRPr="00CD6712" w14:paraId="748F4089" w14:textId="77777777" w:rsidTr="0093416B">
        <w:trPr>
          <w:trHeight w:val="315"/>
        </w:trPr>
        <w:tc>
          <w:tcPr>
            <w:tcW w:w="988" w:type="dxa"/>
            <w:vMerge/>
            <w:tcBorders>
              <w:left w:val="single" w:sz="12" w:space="0" w:color="auto"/>
            </w:tcBorders>
            <w:hideMark/>
          </w:tcPr>
          <w:p w14:paraId="3697DD36"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hideMark/>
          </w:tcPr>
          <w:p w14:paraId="7B0E385B" w14:textId="77777777" w:rsidR="0093416B" w:rsidRPr="00CD6712" w:rsidRDefault="0093416B" w:rsidP="0093416B">
            <w:pPr>
              <w:autoSpaceDE w:val="0"/>
              <w:autoSpaceDN w:val="0"/>
              <w:adjustRightInd w:val="0"/>
              <w:spacing w:line="480" w:lineRule="auto"/>
              <w:rPr>
                <w:rFonts w:cstheme="minorHAnsi"/>
                <w:b/>
                <w:bCs/>
                <w:iCs/>
                <w:sz w:val="16"/>
                <w:szCs w:val="16"/>
              </w:rPr>
            </w:pPr>
            <w:r w:rsidRPr="00CD6712">
              <w:rPr>
                <w:rFonts w:cstheme="minorHAnsi"/>
                <w:b/>
                <w:bCs/>
                <w:iCs/>
                <w:sz w:val="16"/>
                <w:szCs w:val="16"/>
              </w:rPr>
              <w:t>Clinical anxiety (STAI)</w:t>
            </w:r>
          </w:p>
        </w:tc>
        <w:tc>
          <w:tcPr>
            <w:tcW w:w="1701" w:type="dxa"/>
            <w:tcBorders>
              <w:left w:val="single" w:sz="12" w:space="0" w:color="auto"/>
              <w:right w:val="single" w:sz="12" w:space="0" w:color="auto"/>
            </w:tcBorders>
            <w:shd w:val="clear" w:color="auto" w:fill="D9D9D9" w:themeFill="background1" w:themeFillShade="D9"/>
          </w:tcPr>
          <w:p w14:paraId="6B94EFCB" w14:textId="77777777" w:rsidR="0093416B" w:rsidRPr="00CD6712" w:rsidRDefault="0093416B" w:rsidP="0093416B">
            <w:pPr>
              <w:autoSpaceDE w:val="0"/>
              <w:autoSpaceDN w:val="0"/>
              <w:adjustRightInd w:val="0"/>
              <w:spacing w:line="480" w:lineRule="auto"/>
              <w:rPr>
                <w:rFonts w:cstheme="minorHAnsi"/>
                <w:i/>
                <w:iCs/>
                <w:sz w:val="16"/>
                <w:szCs w:val="16"/>
              </w:rPr>
            </w:pPr>
          </w:p>
        </w:tc>
        <w:tc>
          <w:tcPr>
            <w:tcW w:w="6595" w:type="dxa"/>
            <w:gridSpan w:val="7"/>
            <w:tcBorders>
              <w:left w:val="single" w:sz="12" w:space="0" w:color="auto"/>
            </w:tcBorders>
            <w:noWrap/>
            <w:hideMark/>
          </w:tcPr>
          <w:p w14:paraId="4BC03EF3" w14:textId="77777777" w:rsidR="0093416B" w:rsidRPr="00CD6712" w:rsidRDefault="0093416B" w:rsidP="0093416B">
            <w:pPr>
              <w:autoSpaceDE w:val="0"/>
              <w:autoSpaceDN w:val="0"/>
              <w:adjustRightInd w:val="0"/>
              <w:spacing w:line="480" w:lineRule="auto"/>
              <w:rPr>
                <w:rFonts w:cstheme="minorHAnsi"/>
                <w:i/>
                <w:iCs/>
                <w:sz w:val="16"/>
                <w:szCs w:val="16"/>
              </w:rPr>
            </w:pPr>
          </w:p>
        </w:tc>
        <w:tc>
          <w:tcPr>
            <w:tcW w:w="850" w:type="dxa"/>
            <w:tcBorders>
              <w:right w:val="single" w:sz="12" w:space="0" w:color="auto"/>
            </w:tcBorders>
            <w:noWrap/>
            <w:hideMark/>
          </w:tcPr>
          <w:p w14:paraId="293BC207" w14:textId="77777777" w:rsidR="0093416B" w:rsidRPr="00CD6712" w:rsidRDefault="0093416B" w:rsidP="0093416B">
            <w:pPr>
              <w:autoSpaceDE w:val="0"/>
              <w:autoSpaceDN w:val="0"/>
              <w:adjustRightInd w:val="0"/>
              <w:spacing w:line="480" w:lineRule="auto"/>
              <w:rPr>
                <w:rFonts w:cstheme="minorHAnsi"/>
                <w:i/>
                <w:iCs/>
                <w:sz w:val="16"/>
                <w:szCs w:val="16"/>
              </w:rPr>
            </w:pPr>
          </w:p>
        </w:tc>
      </w:tr>
      <w:tr w:rsidR="0093416B" w:rsidRPr="00CD6712" w14:paraId="3C39CB67" w14:textId="77777777" w:rsidTr="0093416B">
        <w:trPr>
          <w:trHeight w:val="315"/>
        </w:trPr>
        <w:tc>
          <w:tcPr>
            <w:tcW w:w="988" w:type="dxa"/>
            <w:vMerge/>
            <w:tcBorders>
              <w:left w:val="single" w:sz="12" w:space="0" w:color="auto"/>
            </w:tcBorders>
          </w:tcPr>
          <w:p w14:paraId="36ABB83D"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right w:val="single" w:sz="12" w:space="0" w:color="auto"/>
            </w:tcBorders>
            <w:noWrap/>
          </w:tcPr>
          <w:p w14:paraId="74C7C85C"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No (&lt;40 STAI)</w:t>
            </w:r>
          </w:p>
        </w:tc>
        <w:tc>
          <w:tcPr>
            <w:tcW w:w="1701" w:type="dxa"/>
            <w:tcBorders>
              <w:left w:val="single" w:sz="12" w:space="0" w:color="auto"/>
              <w:right w:val="single" w:sz="12" w:space="0" w:color="auto"/>
            </w:tcBorders>
            <w:shd w:val="clear" w:color="auto" w:fill="D9D9D9" w:themeFill="background1" w:themeFillShade="D9"/>
          </w:tcPr>
          <w:p w14:paraId="2F5E673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316 (63.07)</w:t>
            </w:r>
          </w:p>
        </w:tc>
        <w:tc>
          <w:tcPr>
            <w:tcW w:w="1701" w:type="dxa"/>
            <w:tcBorders>
              <w:left w:val="single" w:sz="12" w:space="0" w:color="auto"/>
            </w:tcBorders>
            <w:noWrap/>
          </w:tcPr>
          <w:p w14:paraId="53AA4AC6"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119 (66.85)</w:t>
            </w:r>
          </w:p>
        </w:tc>
        <w:tc>
          <w:tcPr>
            <w:tcW w:w="1634" w:type="dxa"/>
            <w:gridSpan w:val="2"/>
            <w:noWrap/>
          </w:tcPr>
          <w:p w14:paraId="470364B2"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77 (58.33)</w:t>
            </w:r>
          </w:p>
        </w:tc>
        <w:tc>
          <w:tcPr>
            <w:tcW w:w="1559" w:type="dxa"/>
            <w:gridSpan w:val="2"/>
            <w:noWrap/>
          </w:tcPr>
          <w:p w14:paraId="683AE78A"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62 (63.92)</w:t>
            </w:r>
          </w:p>
        </w:tc>
        <w:tc>
          <w:tcPr>
            <w:tcW w:w="1701" w:type="dxa"/>
            <w:gridSpan w:val="2"/>
            <w:noWrap/>
          </w:tcPr>
          <w:p w14:paraId="36D1820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58 (61.70)</w:t>
            </w:r>
          </w:p>
        </w:tc>
        <w:tc>
          <w:tcPr>
            <w:tcW w:w="850" w:type="dxa"/>
            <w:vMerge w:val="restart"/>
            <w:tcBorders>
              <w:right w:val="single" w:sz="12" w:space="0" w:color="auto"/>
            </w:tcBorders>
            <w:noWrap/>
          </w:tcPr>
          <w:p w14:paraId="1E765223"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0.663</w:t>
            </w:r>
          </w:p>
        </w:tc>
      </w:tr>
      <w:tr w:rsidR="0093416B" w:rsidRPr="00CD6712" w14:paraId="747EC54F" w14:textId="77777777" w:rsidTr="0093416B">
        <w:trPr>
          <w:trHeight w:val="315"/>
        </w:trPr>
        <w:tc>
          <w:tcPr>
            <w:tcW w:w="988" w:type="dxa"/>
            <w:vMerge/>
            <w:tcBorders>
              <w:left w:val="single" w:sz="12" w:space="0" w:color="auto"/>
              <w:bottom w:val="single" w:sz="12" w:space="0" w:color="auto"/>
            </w:tcBorders>
            <w:hideMark/>
          </w:tcPr>
          <w:p w14:paraId="103CFB39" w14:textId="77777777" w:rsidR="0093416B" w:rsidRPr="00CD6712" w:rsidRDefault="0093416B" w:rsidP="0093416B">
            <w:pPr>
              <w:autoSpaceDE w:val="0"/>
              <w:autoSpaceDN w:val="0"/>
              <w:adjustRightInd w:val="0"/>
              <w:spacing w:line="480" w:lineRule="auto"/>
              <w:rPr>
                <w:rFonts w:cstheme="minorHAnsi"/>
                <w:b/>
                <w:bCs/>
                <w:sz w:val="16"/>
                <w:szCs w:val="16"/>
              </w:rPr>
            </w:pPr>
          </w:p>
        </w:tc>
        <w:tc>
          <w:tcPr>
            <w:tcW w:w="1701" w:type="dxa"/>
            <w:tcBorders>
              <w:bottom w:val="single" w:sz="12" w:space="0" w:color="auto"/>
              <w:right w:val="single" w:sz="12" w:space="0" w:color="auto"/>
            </w:tcBorders>
            <w:noWrap/>
            <w:hideMark/>
          </w:tcPr>
          <w:p w14:paraId="0E7E7428"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Yes (&gt;=40 STAI)</w:t>
            </w:r>
          </w:p>
        </w:tc>
        <w:tc>
          <w:tcPr>
            <w:tcW w:w="1701" w:type="dxa"/>
            <w:tcBorders>
              <w:left w:val="single" w:sz="12" w:space="0" w:color="auto"/>
              <w:bottom w:val="single" w:sz="12" w:space="0" w:color="auto"/>
              <w:right w:val="single" w:sz="12" w:space="0" w:color="auto"/>
            </w:tcBorders>
            <w:shd w:val="clear" w:color="auto" w:fill="D9D9D9" w:themeFill="background1" w:themeFillShade="D9"/>
          </w:tcPr>
          <w:p w14:paraId="243AC9B9"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173 (34.53)</w:t>
            </w:r>
          </w:p>
        </w:tc>
        <w:tc>
          <w:tcPr>
            <w:tcW w:w="1701" w:type="dxa"/>
            <w:tcBorders>
              <w:left w:val="single" w:sz="12" w:space="0" w:color="auto"/>
              <w:bottom w:val="single" w:sz="12" w:space="0" w:color="auto"/>
            </w:tcBorders>
            <w:noWrap/>
            <w:hideMark/>
          </w:tcPr>
          <w:p w14:paraId="7E59719B"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56 (31.46)</w:t>
            </w:r>
          </w:p>
        </w:tc>
        <w:tc>
          <w:tcPr>
            <w:tcW w:w="1634" w:type="dxa"/>
            <w:gridSpan w:val="2"/>
            <w:tcBorders>
              <w:bottom w:val="single" w:sz="12" w:space="0" w:color="auto"/>
            </w:tcBorders>
            <w:noWrap/>
            <w:hideMark/>
          </w:tcPr>
          <w:p w14:paraId="4868386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52 (39.39)</w:t>
            </w:r>
          </w:p>
        </w:tc>
        <w:tc>
          <w:tcPr>
            <w:tcW w:w="1559" w:type="dxa"/>
            <w:gridSpan w:val="2"/>
            <w:tcBorders>
              <w:bottom w:val="single" w:sz="12" w:space="0" w:color="auto"/>
            </w:tcBorders>
            <w:noWrap/>
            <w:hideMark/>
          </w:tcPr>
          <w:p w14:paraId="61479875"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33 (34.02)</w:t>
            </w:r>
          </w:p>
        </w:tc>
        <w:tc>
          <w:tcPr>
            <w:tcW w:w="1701" w:type="dxa"/>
            <w:gridSpan w:val="2"/>
            <w:tcBorders>
              <w:bottom w:val="single" w:sz="12" w:space="0" w:color="auto"/>
            </w:tcBorders>
            <w:noWrap/>
            <w:hideMark/>
          </w:tcPr>
          <w:p w14:paraId="12B0BBB0" w14:textId="77777777" w:rsidR="0093416B" w:rsidRPr="00CD6712" w:rsidRDefault="0093416B" w:rsidP="0093416B">
            <w:pPr>
              <w:autoSpaceDE w:val="0"/>
              <w:autoSpaceDN w:val="0"/>
              <w:adjustRightInd w:val="0"/>
              <w:spacing w:line="480" w:lineRule="auto"/>
              <w:rPr>
                <w:rFonts w:cstheme="minorHAnsi"/>
                <w:sz w:val="16"/>
                <w:szCs w:val="16"/>
              </w:rPr>
            </w:pPr>
            <w:r w:rsidRPr="00CD6712">
              <w:rPr>
                <w:rFonts w:cstheme="minorHAnsi"/>
                <w:sz w:val="16"/>
                <w:szCs w:val="16"/>
              </w:rPr>
              <w:t>32 (34.04)</w:t>
            </w:r>
          </w:p>
        </w:tc>
        <w:tc>
          <w:tcPr>
            <w:tcW w:w="850" w:type="dxa"/>
            <w:vMerge/>
            <w:tcBorders>
              <w:bottom w:val="single" w:sz="12" w:space="0" w:color="auto"/>
              <w:right w:val="single" w:sz="12" w:space="0" w:color="auto"/>
            </w:tcBorders>
            <w:noWrap/>
            <w:hideMark/>
          </w:tcPr>
          <w:p w14:paraId="211D1A18" w14:textId="77777777" w:rsidR="0093416B" w:rsidRPr="00CD6712" w:rsidRDefault="0093416B" w:rsidP="0093416B">
            <w:pPr>
              <w:autoSpaceDE w:val="0"/>
              <w:autoSpaceDN w:val="0"/>
              <w:adjustRightInd w:val="0"/>
              <w:spacing w:line="480" w:lineRule="auto"/>
              <w:rPr>
                <w:rFonts w:cstheme="minorHAnsi"/>
                <w:sz w:val="16"/>
                <w:szCs w:val="16"/>
              </w:rPr>
            </w:pPr>
          </w:p>
        </w:tc>
      </w:tr>
    </w:tbl>
    <w:p w14:paraId="3E64698D" w14:textId="23ACEB02" w:rsidR="0093416B" w:rsidRDefault="0093416B" w:rsidP="0093416B">
      <w:pPr>
        <w:spacing w:line="480" w:lineRule="auto"/>
        <w:rPr>
          <w:rFonts w:cstheme="minorHAnsi"/>
          <w:lang w:val="en"/>
        </w:rPr>
      </w:pPr>
      <w:r w:rsidRPr="00B624F0">
        <w:rPr>
          <w:rFonts w:cstheme="minorHAnsi"/>
          <w:i/>
          <w:iCs/>
          <w:lang w:val="en"/>
        </w:rPr>
        <w:t>N</w:t>
      </w:r>
      <w:r w:rsidRPr="00B4286A">
        <w:rPr>
          <w:rFonts w:cstheme="minorHAnsi"/>
          <w:i/>
          <w:iCs/>
          <w:lang w:val="en"/>
        </w:rPr>
        <w:t>ote:</w:t>
      </w:r>
      <w:r>
        <w:rPr>
          <w:rFonts w:cstheme="minorHAnsi"/>
          <w:lang w:val="en"/>
        </w:rPr>
        <w:t xml:space="preserve"> </w:t>
      </w:r>
      <w:r w:rsidRPr="00B4286A">
        <w:rPr>
          <w:rFonts w:cstheme="minorHAnsi"/>
          <w:lang w:val="en"/>
        </w:rPr>
        <w:t xml:space="preserve">missing values contributed less than 5% in each variable (not presented, but accounted for in the column percentages); </w:t>
      </w:r>
      <w:r w:rsidR="00722851">
        <w:rPr>
          <w:rFonts w:cstheme="minorHAnsi"/>
          <w:lang w:val="en"/>
        </w:rPr>
        <w:t>LQ=lower quartile; UQ=upper quartile</w:t>
      </w:r>
    </w:p>
    <w:p w14:paraId="2D3217D2" w14:textId="77777777" w:rsidR="0093416B" w:rsidRDefault="0093416B" w:rsidP="0093416B">
      <w:pPr>
        <w:spacing w:line="480" w:lineRule="auto"/>
        <w:rPr>
          <w:rFonts w:ascii="Calibri" w:hAnsi="Calibri" w:cs="Calibri"/>
        </w:rPr>
      </w:pPr>
      <w:r>
        <w:rPr>
          <w:rFonts w:cstheme="minorHAnsi"/>
          <w:vertAlign w:val="superscript"/>
          <w:lang w:val="en"/>
        </w:rPr>
        <w:t xml:space="preserve">1 </w:t>
      </w:r>
      <w:r w:rsidRPr="00B4286A">
        <w:rPr>
          <w:rFonts w:cstheme="minorHAnsi"/>
          <w:lang w:val="en"/>
        </w:rPr>
        <w:t>a Kruskal-Wallis rank test for continuous variables (all had a non-parametric distribution per age group confirmed by the Shapiro–Wilk and Shapiro–Francia tests) and a chi-squared test for categorical variables were used to test the equality-of-populations by four age groups of older people.</w:t>
      </w:r>
      <w:r w:rsidRPr="00B4286A">
        <w:rPr>
          <w:rFonts w:ascii="Calibri" w:hAnsi="Calibri" w:cs="Calibri"/>
        </w:rPr>
        <w:t xml:space="preserve"> </w:t>
      </w:r>
    </w:p>
    <w:p w14:paraId="79DB32D4" w14:textId="08BFC49E" w:rsidR="0093416B" w:rsidRPr="00AF1F8A" w:rsidRDefault="0093416B" w:rsidP="00AF1F8A">
      <w:pPr>
        <w:spacing w:line="480" w:lineRule="auto"/>
        <w:rPr>
          <w:rFonts w:ascii="Calibri" w:eastAsia="Times New Roman" w:hAnsi="Calibri" w:cs="Calibri"/>
          <w:lang w:eastAsia="en-GB"/>
        </w:rPr>
      </w:pPr>
      <w:r w:rsidRPr="00B4286A">
        <w:rPr>
          <w:rFonts w:ascii="Calibri" w:eastAsia="Times New Roman" w:hAnsi="Calibri" w:cs="Calibri"/>
          <w:lang w:eastAsia="en-GB"/>
        </w:rPr>
        <w:t>***p&lt;0.001, **p&lt;0.01, * p&lt;0.05</w:t>
      </w:r>
    </w:p>
    <w:p w14:paraId="6E7CD416" w14:textId="77777777" w:rsidR="00323CE3" w:rsidRDefault="00323CE3" w:rsidP="00D276D9">
      <w:pPr>
        <w:spacing w:after="0" w:line="480" w:lineRule="auto"/>
      </w:pPr>
    </w:p>
    <w:p w14:paraId="45E12F60" w14:textId="63EA4C3C" w:rsidR="00323CE3" w:rsidRDefault="00323CE3" w:rsidP="00D276D9">
      <w:pPr>
        <w:spacing w:after="0" w:line="480" w:lineRule="auto"/>
      </w:pPr>
      <w:r>
        <w:t>Comparisons between characteristics of older (</w:t>
      </w:r>
      <w:r w:rsidRPr="00C60A1D">
        <w:rPr>
          <w:u w:val="single"/>
        </w:rPr>
        <w:t>&gt;</w:t>
      </w:r>
      <w:r>
        <w:t xml:space="preserve">65years) and younger (&lt;65years) CREW participants </w:t>
      </w:r>
      <w:r w:rsidR="001378BD">
        <w:t xml:space="preserve">pre-surgery </w:t>
      </w:r>
      <w:r>
        <w:t xml:space="preserve">are shown </w:t>
      </w:r>
      <w:r w:rsidR="00BA1261">
        <w:t>in S2 Appendix</w:t>
      </w:r>
      <w:r>
        <w:t>. In summary, older participants reported better QoL than younger participants but were more likely to experience problems with mobility and self-care.</w:t>
      </w:r>
    </w:p>
    <w:p w14:paraId="6AE3588E" w14:textId="77777777" w:rsidR="00323CE3" w:rsidRDefault="00323CE3" w:rsidP="00D276D9">
      <w:pPr>
        <w:spacing w:after="0" w:line="480" w:lineRule="auto"/>
        <w:rPr>
          <w:b/>
          <w:i/>
        </w:rPr>
      </w:pPr>
    </w:p>
    <w:p w14:paraId="2EC921E5" w14:textId="77777777" w:rsidR="00323CE3" w:rsidRPr="00AF1F8A" w:rsidRDefault="00323CE3" w:rsidP="00D276D9">
      <w:pPr>
        <w:spacing w:after="0" w:line="480" w:lineRule="auto"/>
        <w:rPr>
          <w:b/>
          <w:sz w:val="28"/>
          <w:szCs w:val="28"/>
        </w:rPr>
      </w:pPr>
      <w:r w:rsidRPr="00AF1F8A">
        <w:rPr>
          <w:b/>
          <w:sz w:val="28"/>
          <w:szCs w:val="28"/>
        </w:rPr>
        <w:t xml:space="preserve">Comparisons by older age sub-groups (65-69, 70-74, 75-79 and </w:t>
      </w:r>
      <w:r w:rsidRPr="00AF1F8A">
        <w:rPr>
          <w:b/>
          <w:sz w:val="28"/>
          <w:szCs w:val="28"/>
          <w:u w:val="single"/>
        </w:rPr>
        <w:t>&gt;</w:t>
      </w:r>
      <w:r w:rsidRPr="00AF1F8A">
        <w:rPr>
          <w:b/>
          <w:sz w:val="28"/>
          <w:szCs w:val="28"/>
        </w:rPr>
        <w:t>80 years) at baseline</w:t>
      </w:r>
    </w:p>
    <w:p w14:paraId="75260DA7" w14:textId="1B15EE7D" w:rsidR="00323CE3" w:rsidRDefault="00EA6482" w:rsidP="00D276D9">
      <w:pPr>
        <w:spacing w:after="0" w:line="480" w:lineRule="auto"/>
      </w:pPr>
      <w:bookmarkStart w:id="1" w:name="_Hlk84243862"/>
      <w:r>
        <w:rPr>
          <w:iCs/>
        </w:rPr>
        <w:t xml:space="preserve">The oldest-old, aged </w:t>
      </w:r>
      <w:r w:rsidR="00081BD9" w:rsidRPr="00AF1F8A">
        <w:rPr>
          <w:iCs/>
          <w:u w:val="single"/>
        </w:rPr>
        <w:t>&gt;</w:t>
      </w:r>
      <w:r>
        <w:rPr>
          <w:iCs/>
        </w:rPr>
        <w:t>80</w:t>
      </w:r>
      <w:r w:rsidR="00484362">
        <w:rPr>
          <w:iCs/>
        </w:rPr>
        <w:t>,</w:t>
      </w:r>
      <w:r>
        <w:rPr>
          <w:iCs/>
        </w:rPr>
        <w:t xml:space="preserve"> were found to differ significantly from the those aged 65 to 69 in several respects at baseline</w:t>
      </w:r>
      <w:r w:rsidR="00BD5B4C">
        <w:rPr>
          <w:iCs/>
        </w:rPr>
        <w:t xml:space="preserve"> (pre-surgery)</w:t>
      </w:r>
      <w:r>
        <w:rPr>
          <w:iCs/>
        </w:rPr>
        <w:t xml:space="preserve">.  </w:t>
      </w:r>
      <w:r w:rsidR="00323CE3" w:rsidRPr="00AF1F8A">
        <w:rPr>
          <w:iCs/>
        </w:rPr>
        <w:t>A</w:t>
      </w:r>
      <w:r w:rsidR="00323CE3">
        <w:t xml:space="preserve">mong participants </w:t>
      </w:r>
      <w:r>
        <w:t xml:space="preserve">aged </w:t>
      </w:r>
      <w:r w:rsidR="00081BD9" w:rsidRPr="00AC1690">
        <w:rPr>
          <w:iCs/>
          <w:u w:val="single"/>
        </w:rPr>
        <w:t>&gt;</w:t>
      </w:r>
      <w:r w:rsidR="00081BD9">
        <w:rPr>
          <w:iCs/>
        </w:rPr>
        <w:t>80</w:t>
      </w:r>
      <w:r>
        <w:t>, twice as many</w:t>
      </w:r>
      <w:r w:rsidR="007F72B2">
        <w:t xml:space="preserve"> reported mobility problems (</w:t>
      </w:r>
      <w:r w:rsidR="00323CE3">
        <w:t>EQ-5D mobility</w:t>
      </w:r>
      <w:r w:rsidR="007F72B2">
        <w:t>)</w:t>
      </w:r>
      <w:r w:rsidR="00323CE3">
        <w:t xml:space="preserve">, </w:t>
      </w:r>
      <w:r w:rsidR="007F72B2">
        <w:t xml:space="preserve">compared with those aged 65 to 69 </w:t>
      </w:r>
      <w:r w:rsidR="00323CE3">
        <w:t>(Table 1</w:t>
      </w:r>
      <w:r w:rsidR="007F72B2" w:rsidRPr="0032212C">
        <w:t>, p=</w:t>
      </w:r>
      <w:r w:rsidR="002655A1" w:rsidRPr="00AF1F8A">
        <w:t>0.001</w:t>
      </w:r>
      <w:r w:rsidR="00323CE3" w:rsidRPr="0032212C">
        <w:t>).</w:t>
      </w:r>
      <w:r w:rsidR="00323CE3">
        <w:t xml:space="preserve">  </w:t>
      </w:r>
      <w:r w:rsidR="007F72B2">
        <w:t xml:space="preserve">The </w:t>
      </w:r>
      <w:r w:rsidR="00081BD9" w:rsidRPr="00AC1690">
        <w:rPr>
          <w:iCs/>
          <w:u w:val="single"/>
        </w:rPr>
        <w:t>&gt;</w:t>
      </w:r>
      <w:r w:rsidR="00081BD9">
        <w:rPr>
          <w:iCs/>
        </w:rPr>
        <w:t>80</w:t>
      </w:r>
      <w:r w:rsidR="007F72B2">
        <w:t xml:space="preserve"> age group were also significantly more likely to live </w:t>
      </w:r>
      <w:r w:rsidR="007F72B2" w:rsidRPr="0032212C">
        <w:t>alone (p</w:t>
      </w:r>
      <w:r w:rsidR="002655A1" w:rsidRPr="00AF1F8A">
        <w:t>&lt;0.001</w:t>
      </w:r>
      <w:r w:rsidR="007F72B2" w:rsidRPr="0032212C">
        <w:t>), not</w:t>
      </w:r>
      <w:r w:rsidR="007F72B2">
        <w:t xml:space="preserve"> have adequate social </w:t>
      </w:r>
      <w:r w:rsidR="007F72B2" w:rsidRPr="0032212C">
        <w:t>support (p=</w:t>
      </w:r>
      <w:r w:rsidR="002655A1" w:rsidRPr="00AF1F8A">
        <w:t>0.001</w:t>
      </w:r>
      <w:r w:rsidR="007F72B2" w:rsidRPr="0032212C">
        <w:t>)</w:t>
      </w:r>
      <w:r w:rsidR="007F72B2">
        <w:t xml:space="preserve"> and not report high self-efficacy</w:t>
      </w:r>
      <w:r w:rsidR="00BD5B4C">
        <w:t xml:space="preserve"> (confidence to manage illness-related problems, </w:t>
      </w:r>
      <w:r w:rsidR="007F72B2" w:rsidRPr="0032212C">
        <w:t>p=</w:t>
      </w:r>
      <w:r w:rsidR="002655A1" w:rsidRPr="00AF1F8A">
        <w:t>0.038</w:t>
      </w:r>
      <w:r w:rsidR="007F72B2" w:rsidRPr="0032212C">
        <w:t>)</w:t>
      </w:r>
      <w:r w:rsidR="007F72B2">
        <w:t xml:space="preserve"> at baseline.</w:t>
      </w:r>
      <w:r>
        <w:t xml:space="preserve">  In addition, clinical and treatment data analysis revealed that receipt of any adjuvant therapy was almost five times lower among the oldest-old in comparison to the youngest-</w:t>
      </w:r>
      <w:r w:rsidRPr="0032212C">
        <w:t>old (p</w:t>
      </w:r>
      <w:r w:rsidR="002655A1" w:rsidRPr="00AF1F8A">
        <w:t>&lt;0.001</w:t>
      </w:r>
      <w:r w:rsidRPr="0032212C">
        <w:t>)</w:t>
      </w:r>
      <w:r w:rsidR="005140B4" w:rsidRPr="0032212C">
        <w:t>.</w:t>
      </w:r>
    </w:p>
    <w:bookmarkEnd w:id="1"/>
    <w:p w14:paraId="0E8185C1" w14:textId="77777777" w:rsidR="00323CE3" w:rsidRDefault="00323CE3" w:rsidP="00D276D9">
      <w:pPr>
        <w:spacing w:after="0" w:line="480" w:lineRule="auto"/>
      </w:pPr>
    </w:p>
    <w:p w14:paraId="19F4E966" w14:textId="77777777" w:rsidR="00323CE3" w:rsidRPr="00AF1F8A" w:rsidRDefault="00323CE3" w:rsidP="00D276D9">
      <w:pPr>
        <w:spacing w:line="480" w:lineRule="auto"/>
        <w:rPr>
          <w:rFonts w:cstheme="minorHAnsi"/>
          <w:b/>
          <w:iCs/>
          <w:sz w:val="32"/>
          <w:szCs w:val="32"/>
          <w:lang w:val="en"/>
        </w:rPr>
      </w:pPr>
      <w:r w:rsidRPr="00AF1F8A">
        <w:rPr>
          <w:rFonts w:cstheme="minorHAnsi"/>
          <w:b/>
          <w:iCs/>
          <w:sz w:val="32"/>
          <w:szCs w:val="32"/>
          <w:lang w:val="en"/>
        </w:rPr>
        <w:lastRenderedPageBreak/>
        <w:t>Quality of life (QLACS-GSS) over time</w:t>
      </w:r>
    </w:p>
    <w:p w14:paraId="63AAAEF1" w14:textId="0856715C" w:rsidR="00323CE3" w:rsidRPr="00E57F32" w:rsidRDefault="00323CE3" w:rsidP="00D276D9">
      <w:pPr>
        <w:spacing w:line="480" w:lineRule="auto"/>
        <w:rPr>
          <w:bCs/>
        </w:rPr>
      </w:pPr>
      <w:r>
        <w:rPr>
          <w:bCs/>
        </w:rPr>
        <w:t xml:space="preserve">QoL </w:t>
      </w:r>
      <w:r w:rsidR="007C0440">
        <w:rPr>
          <w:bCs/>
        </w:rPr>
        <w:t xml:space="preserve">in those aged </w:t>
      </w:r>
      <w:r w:rsidR="00611A0F" w:rsidRPr="00EF136D">
        <w:rPr>
          <w:rFonts w:cstheme="minorHAnsi"/>
          <w:u w:val="single"/>
        </w:rPr>
        <w:t>&gt;</w:t>
      </w:r>
      <w:proofErr w:type="gramStart"/>
      <w:r w:rsidR="00611A0F">
        <w:rPr>
          <w:rFonts w:cstheme="minorHAnsi"/>
        </w:rPr>
        <w:t xml:space="preserve">65 </w:t>
      </w:r>
      <w:r w:rsidR="007C0440">
        <w:rPr>
          <w:bCs/>
        </w:rPr>
        <w:t xml:space="preserve"> </w:t>
      </w:r>
      <w:r>
        <w:rPr>
          <w:bCs/>
        </w:rPr>
        <w:t>worsened</w:t>
      </w:r>
      <w:proofErr w:type="gramEnd"/>
      <w:r>
        <w:rPr>
          <w:bCs/>
        </w:rPr>
        <w:t xml:space="preserve"> </w:t>
      </w:r>
      <w:r w:rsidR="007C0440">
        <w:rPr>
          <w:bCs/>
        </w:rPr>
        <w:t xml:space="preserve">over the </w:t>
      </w:r>
      <w:r>
        <w:rPr>
          <w:bCs/>
        </w:rPr>
        <w:t xml:space="preserve">9 months </w:t>
      </w:r>
      <w:r w:rsidR="007C0440">
        <w:rPr>
          <w:bCs/>
        </w:rPr>
        <w:t xml:space="preserve">following </w:t>
      </w:r>
      <w:r w:rsidR="001378BD">
        <w:rPr>
          <w:bCs/>
        </w:rPr>
        <w:t>surgery</w:t>
      </w:r>
      <w:r w:rsidR="007C0440">
        <w:rPr>
          <w:bCs/>
        </w:rPr>
        <w:t xml:space="preserve"> </w:t>
      </w:r>
      <w:r>
        <w:rPr>
          <w:bCs/>
        </w:rPr>
        <w:t xml:space="preserve">and </w:t>
      </w:r>
      <w:r w:rsidRPr="00E80543">
        <w:t xml:space="preserve">then improved to better than </w:t>
      </w:r>
      <w:r w:rsidR="007C0440">
        <w:t>pre-treatment</w:t>
      </w:r>
      <w:r w:rsidR="007C0440" w:rsidRPr="00E80543">
        <w:t xml:space="preserve"> </w:t>
      </w:r>
      <w:r w:rsidRPr="00E80543">
        <w:t>levels at 15 months</w:t>
      </w:r>
      <w:r w:rsidR="007C0440">
        <w:t>,</w:t>
      </w:r>
      <w:r w:rsidRPr="00E80543">
        <w:t xml:space="preserve"> before levelling off</w:t>
      </w:r>
      <w:r>
        <w:t xml:space="preserve"> </w:t>
      </w:r>
      <w:r>
        <w:rPr>
          <w:bCs/>
        </w:rPr>
        <w:t>(</w:t>
      </w:r>
      <w:r w:rsidR="00BA1261">
        <w:rPr>
          <w:bCs/>
        </w:rPr>
        <w:t>S3 Appendix</w:t>
      </w:r>
      <w:r>
        <w:rPr>
          <w:bCs/>
        </w:rPr>
        <w:t>)</w:t>
      </w:r>
      <w:r>
        <w:t>.</w:t>
      </w:r>
      <w:r>
        <w:rPr>
          <w:bCs/>
        </w:rPr>
        <w:t xml:space="preserve"> The </w:t>
      </w:r>
      <w:r w:rsidR="007C0440">
        <w:rPr>
          <w:bCs/>
        </w:rPr>
        <w:t>best</w:t>
      </w:r>
      <w:r>
        <w:rPr>
          <w:bCs/>
        </w:rPr>
        <w:t xml:space="preserve"> QoL</w:t>
      </w:r>
      <w:r w:rsidR="005140B4">
        <w:rPr>
          <w:bCs/>
        </w:rPr>
        <w:t xml:space="preserve"> for older people</w:t>
      </w:r>
      <w:r>
        <w:rPr>
          <w:bCs/>
        </w:rPr>
        <w:t xml:space="preserve"> </w:t>
      </w:r>
      <w:r w:rsidR="007C0440">
        <w:rPr>
          <w:bCs/>
        </w:rPr>
        <w:t>was experienced</w:t>
      </w:r>
      <w:r>
        <w:rPr>
          <w:bCs/>
        </w:rPr>
        <w:t xml:space="preserve"> </w:t>
      </w:r>
      <w:r w:rsidR="007C0440">
        <w:rPr>
          <w:bCs/>
        </w:rPr>
        <w:t>between 15 and 24 months</w:t>
      </w:r>
      <w:r w:rsidRPr="00E57F32">
        <w:rPr>
          <w:bCs/>
        </w:rPr>
        <w:t xml:space="preserve">.  </w:t>
      </w:r>
    </w:p>
    <w:p w14:paraId="19D5D51E" w14:textId="77777777" w:rsidR="00954984" w:rsidRDefault="00954984" w:rsidP="00D276D9">
      <w:pPr>
        <w:spacing w:after="0" w:line="480" w:lineRule="auto"/>
      </w:pPr>
      <w:bookmarkStart w:id="2" w:name="_Hlk50708792"/>
    </w:p>
    <w:p w14:paraId="260638EE" w14:textId="756E1CA5" w:rsidR="00323CE3" w:rsidRDefault="002419C9" w:rsidP="00D276D9">
      <w:pPr>
        <w:spacing w:after="0" w:line="480" w:lineRule="auto"/>
      </w:pPr>
      <w:r>
        <w:t xml:space="preserve">We identified, using a log-linear regression model, several </w:t>
      </w:r>
      <w:r w:rsidR="001378BD">
        <w:t>pre-surgery</w:t>
      </w:r>
      <w:r w:rsidR="00A63AB9">
        <w:t xml:space="preserve"> characteristics of participants aged </w:t>
      </w:r>
      <w:r w:rsidR="00611A0F" w:rsidRPr="00EF136D">
        <w:rPr>
          <w:rFonts w:cstheme="minorHAnsi"/>
          <w:u w:val="single"/>
        </w:rPr>
        <w:t>&gt;</w:t>
      </w:r>
      <w:r w:rsidR="00611A0F">
        <w:rPr>
          <w:rFonts w:cstheme="minorHAnsi"/>
        </w:rPr>
        <w:t xml:space="preserve">65 </w:t>
      </w:r>
      <w:r w:rsidR="00611A0F">
        <w:t>which</w:t>
      </w:r>
      <w:r w:rsidR="00A63AB9">
        <w:t xml:space="preserve"> </w:t>
      </w:r>
      <w:r w:rsidR="005823FE">
        <w:t>predic</w:t>
      </w:r>
      <w:r w:rsidR="00A63AB9">
        <w:t>ted</w:t>
      </w:r>
      <w:r w:rsidR="005823FE">
        <w:t xml:space="preserve"> </w:t>
      </w:r>
      <w:r w:rsidR="006843A6">
        <w:t>QoL</w:t>
      </w:r>
      <w:r w:rsidR="005823FE">
        <w:t xml:space="preserve"> scores</w:t>
      </w:r>
      <w:r w:rsidR="00A63AB9">
        <w:t xml:space="preserve"> </w:t>
      </w:r>
      <w:r>
        <w:t>in the 5 years following surgery.</w:t>
      </w:r>
      <w:r w:rsidR="005823FE">
        <w:t xml:space="preserve">  </w:t>
      </w:r>
      <w:r>
        <w:t>As shown in Table 2, p</w:t>
      </w:r>
      <w:r w:rsidR="005823FE">
        <w:t xml:space="preserve">redictors of lower </w:t>
      </w:r>
      <w:r w:rsidR="006843A6">
        <w:t>QoL</w:t>
      </w:r>
      <w:r w:rsidR="00A63AB9">
        <w:t xml:space="preserve">, </w:t>
      </w:r>
      <w:r w:rsidR="005823FE">
        <w:t>included</w:t>
      </w:r>
      <w:r>
        <w:t>:</w:t>
      </w:r>
      <w:r w:rsidR="005823FE">
        <w:t xml:space="preserve"> </w:t>
      </w:r>
      <w:r w:rsidR="00FC6884">
        <w:t xml:space="preserve">being </w:t>
      </w:r>
      <w:r w:rsidR="005823FE">
        <w:t>age</w:t>
      </w:r>
      <w:r w:rsidR="00FC6884">
        <w:t xml:space="preserve">d </w:t>
      </w:r>
      <w:r w:rsidR="00081BD9" w:rsidRPr="00AC1690">
        <w:rPr>
          <w:iCs/>
          <w:u w:val="single"/>
        </w:rPr>
        <w:t>&gt;</w:t>
      </w:r>
      <w:r w:rsidR="00081BD9">
        <w:rPr>
          <w:iCs/>
        </w:rPr>
        <w:t>80</w:t>
      </w:r>
      <w:r w:rsidR="005823FE">
        <w:t>,</w:t>
      </w:r>
      <w:r w:rsidR="00A63AB9">
        <w:t xml:space="preserve"> having at least one comorbidity which the participant </w:t>
      </w:r>
      <w:proofErr w:type="gramStart"/>
      <w:r w:rsidR="00A63AB9">
        <w:t xml:space="preserve">felt </w:t>
      </w:r>
      <w:r w:rsidR="005823FE">
        <w:t xml:space="preserve"> </w:t>
      </w:r>
      <w:r w:rsidR="00A63AB9" w:rsidRPr="009325B6">
        <w:t>‘</w:t>
      </w:r>
      <w:proofErr w:type="gramEnd"/>
      <w:r w:rsidR="00A63AB9" w:rsidRPr="009325B6">
        <w:t>limited their typical daily activities’</w:t>
      </w:r>
      <w:r w:rsidR="00A63AB9">
        <w:t xml:space="preserve">, not having adequate social </w:t>
      </w:r>
      <w:r w:rsidR="00FC6884">
        <w:t xml:space="preserve">support, having low self-efficacy (confidence </w:t>
      </w:r>
      <w:r w:rsidR="00BD5B4C">
        <w:t>to manage illness-related problems</w:t>
      </w:r>
      <w:r w:rsidR="00FC6884">
        <w:t xml:space="preserve">) and having a clinically significant level of anxiety or depression.  </w:t>
      </w:r>
      <w:r w:rsidR="00A02C53">
        <w:t xml:space="preserve">Further details of the associations which emerged are as follows.  </w:t>
      </w:r>
      <w:r w:rsidR="00FC6884">
        <w:t>T</w:t>
      </w:r>
      <w:r w:rsidR="00AE41DA">
        <w:t xml:space="preserve">he </w:t>
      </w:r>
      <w:r w:rsidR="00323CE3" w:rsidRPr="00E57F32">
        <w:t xml:space="preserve">oldest-old </w:t>
      </w:r>
      <w:r w:rsidR="00AE41DA">
        <w:t xml:space="preserve">(aged </w:t>
      </w:r>
      <w:r w:rsidR="00081BD9" w:rsidRPr="00AC1690">
        <w:rPr>
          <w:iCs/>
          <w:u w:val="single"/>
        </w:rPr>
        <w:t>&gt;</w:t>
      </w:r>
      <w:r w:rsidR="00081BD9">
        <w:rPr>
          <w:iCs/>
        </w:rPr>
        <w:t>80</w:t>
      </w:r>
      <w:r w:rsidR="00AE41DA">
        <w:t>)</w:t>
      </w:r>
      <w:r w:rsidR="00323CE3" w:rsidRPr="00E57F32">
        <w:t xml:space="preserve"> reported </w:t>
      </w:r>
      <w:r w:rsidR="00FC6884" w:rsidRPr="00E57F32">
        <w:t xml:space="preserve">on average 18% </w:t>
      </w:r>
      <w:r w:rsidR="00FC6884" w:rsidRPr="00E57F32">
        <w:rPr>
          <w:rFonts w:eastAsia="Times New Roman" w:cstheme="minorHAnsi"/>
          <w:color w:val="000000"/>
          <w:lang w:eastAsia="en-GB"/>
        </w:rPr>
        <w:t>(95%CI</w:t>
      </w:r>
      <w:r w:rsidR="00FC6884">
        <w:rPr>
          <w:rFonts w:eastAsia="Times New Roman" w:cstheme="minorHAnsi"/>
          <w:color w:val="000000"/>
          <w:lang w:eastAsia="en-GB"/>
        </w:rPr>
        <w:t xml:space="preserve">: </w:t>
      </w:r>
      <w:r w:rsidR="00FC6884" w:rsidRPr="00E57F32">
        <w:rPr>
          <w:rFonts w:eastAsia="Times New Roman" w:cstheme="minorHAnsi"/>
          <w:color w:val="000000"/>
          <w:lang w:eastAsia="en-GB"/>
        </w:rPr>
        <w:t>9.05</w:t>
      </w:r>
      <w:r w:rsidR="00FC6884">
        <w:rPr>
          <w:rFonts w:eastAsia="Times New Roman" w:cstheme="minorHAnsi"/>
          <w:color w:val="000000"/>
          <w:lang w:eastAsia="en-GB"/>
        </w:rPr>
        <w:t xml:space="preserve"> to</w:t>
      </w:r>
      <w:r w:rsidR="00FC6884" w:rsidRPr="00E57F32">
        <w:rPr>
          <w:rFonts w:eastAsia="Times New Roman" w:cstheme="minorHAnsi"/>
          <w:color w:val="000000"/>
          <w:lang w:eastAsia="en-GB"/>
        </w:rPr>
        <w:t xml:space="preserve"> 28.58) </w:t>
      </w:r>
      <w:r w:rsidR="00323CE3" w:rsidRPr="00E57F32">
        <w:t>worse QLACS-GSS scores compared to youngest-old</w:t>
      </w:r>
      <w:r w:rsidR="00AE41DA">
        <w:t xml:space="preserve"> (aged 65 to 69)</w:t>
      </w:r>
      <w:r w:rsidR="00323CE3" w:rsidRPr="00E57F32">
        <w:t xml:space="preserve">.  </w:t>
      </w:r>
      <w:bookmarkStart w:id="3" w:name="_Hlk50709941"/>
      <w:bookmarkEnd w:id="2"/>
      <w:r w:rsidR="00323CE3" w:rsidRPr="00E57F32">
        <w:t xml:space="preserve">Participants with at least one </w:t>
      </w:r>
      <w:r w:rsidR="001378BD">
        <w:t xml:space="preserve">limiting </w:t>
      </w:r>
      <w:r w:rsidR="00323CE3" w:rsidRPr="005140B4">
        <w:t>comorbidity</w:t>
      </w:r>
      <w:r w:rsidR="005140B4">
        <w:t>,</w:t>
      </w:r>
      <w:r w:rsidR="00323CE3" w:rsidRPr="005140B4">
        <w:t xml:space="preserve"> reported on average 16% </w:t>
      </w:r>
      <w:r w:rsidR="00323CE3" w:rsidRPr="005140B4">
        <w:rPr>
          <w:rFonts w:eastAsia="Times New Roman" w:cstheme="minorHAnsi"/>
          <w:color w:val="000000"/>
          <w:lang w:eastAsia="en-GB"/>
        </w:rPr>
        <w:t>(</w:t>
      </w:r>
      <w:r w:rsidR="009B34EB" w:rsidRPr="005140B4">
        <w:rPr>
          <w:rFonts w:eastAsia="Times New Roman" w:cstheme="minorHAnsi"/>
          <w:color w:val="000000"/>
          <w:lang w:eastAsia="en-GB"/>
        </w:rPr>
        <w:t>95%</w:t>
      </w:r>
      <w:r w:rsidR="00323CE3" w:rsidRPr="005140B4">
        <w:rPr>
          <w:rFonts w:eastAsia="Times New Roman" w:cstheme="minorHAnsi"/>
          <w:color w:val="000000"/>
          <w:lang w:eastAsia="en-GB"/>
        </w:rPr>
        <w:t>CI</w:t>
      </w:r>
      <w:r w:rsidR="009B34EB" w:rsidRPr="005140B4">
        <w:rPr>
          <w:rFonts w:eastAsia="Times New Roman" w:cstheme="minorHAnsi"/>
          <w:color w:val="000000"/>
          <w:lang w:eastAsia="en-GB"/>
        </w:rPr>
        <w:t>:</w:t>
      </w:r>
      <w:r w:rsidR="00323CE3" w:rsidRPr="005140B4">
        <w:rPr>
          <w:rFonts w:eastAsia="Times New Roman" w:cstheme="minorHAnsi"/>
          <w:color w:val="000000"/>
          <w:lang w:eastAsia="en-GB"/>
        </w:rPr>
        <w:t xml:space="preserve"> 5.97</w:t>
      </w:r>
      <w:r w:rsidR="00323CE3" w:rsidRPr="00E57F32">
        <w:rPr>
          <w:rFonts w:eastAsia="Times New Roman" w:cstheme="minorHAnsi"/>
          <w:color w:val="000000"/>
          <w:lang w:eastAsia="en-GB"/>
        </w:rPr>
        <w:t xml:space="preserve"> </w:t>
      </w:r>
      <w:r w:rsidR="009B34EB">
        <w:rPr>
          <w:rFonts w:eastAsia="Times New Roman" w:cstheme="minorHAnsi"/>
          <w:color w:val="000000"/>
          <w:lang w:eastAsia="en-GB"/>
        </w:rPr>
        <w:t>to</w:t>
      </w:r>
      <w:r w:rsidR="009B34EB" w:rsidRPr="00E57F32">
        <w:rPr>
          <w:rFonts w:eastAsia="Times New Roman" w:cstheme="minorHAnsi"/>
          <w:color w:val="000000"/>
          <w:lang w:eastAsia="en-GB"/>
        </w:rPr>
        <w:t xml:space="preserve"> </w:t>
      </w:r>
      <w:r w:rsidR="00323CE3" w:rsidRPr="00E57F32">
        <w:rPr>
          <w:rFonts w:eastAsia="Times New Roman" w:cstheme="minorHAnsi"/>
          <w:color w:val="000000"/>
          <w:lang w:eastAsia="en-GB"/>
        </w:rPr>
        <w:t>26.47)</w:t>
      </w:r>
      <w:r w:rsidR="00323CE3" w:rsidRPr="00E57F32">
        <w:t xml:space="preserve"> worse QoL scores.  Adequate social support </w:t>
      </w:r>
      <w:r w:rsidR="00AD6945">
        <w:t>pre-surgery</w:t>
      </w:r>
      <w:r w:rsidR="00323CE3" w:rsidRPr="00E57F32">
        <w:t xml:space="preserve"> was significantly associated with better QoL (</w:t>
      </w:r>
      <w:bookmarkStart w:id="4" w:name="_Hlk50720483"/>
      <w:r w:rsidR="00323CE3" w:rsidRPr="00E57F32">
        <w:t xml:space="preserve">8% </w:t>
      </w:r>
      <w:r w:rsidR="00FC6884">
        <w:t>better</w:t>
      </w:r>
      <w:r w:rsidR="00FC6884" w:rsidRPr="00E57F32">
        <w:t xml:space="preserve"> </w:t>
      </w:r>
      <w:r w:rsidR="00323CE3" w:rsidRPr="00E57F32">
        <w:t>score</w:t>
      </w:r>
      <w:bookmarkEnd w:id="4"/>
      <w:r w:rsidR="00323CE3" w:rsidRPr="00E57F32">
        <w:t xml:space="preserve">) over follow-up </w:t>
      </w:r>
      <w:r w:rsidR="00323CE3" w:rsidRPr="00E57F32">
        <w:rPr>
          <w:rFonts w:eastAsia="Times New Roman" w:cstheme="minorHAnsi"/>
          <w:color w:val="000000"/>
          <w:lang w:eastAsia="en-GB"/>
        </w:rPr>
        <w:t>(</w:t>
      </w:r>
      <w:r w:rsidR="009B34EB">
        <w:rPr>
          <w:rFonts w:eastAsia="Times New Roman" w:cstheme="minorHAnsi"/>
          <w:color w:val="000000"/>
          <w:lang w:eastAsia="en-GB"/>
        </w:rPr>
        <w:t>95%</w:t>
      </w:r>
      <w:r w:rsidR="00323CE3" w:rsidRPr="00E57F32">
        <w:rPr>
          <w:rFonts w:eastAsia="Times New Roman" w:cstheme="minorHAnsi"/>
          <w:color w:val="000000"/>
          <w:lang w:eastAsia="en-GB"/>
        </w:rPr>
        <w:t>CI</w:t>
      </w:r>
      <w:r w:rsidR="009B34EB">
        <w:rPr>
          <w:rFonts w:eastAsia="Times New Roman" w:cstheme="minorHAnsi"/>
          <w:color w:val="000000"/>
          <w:lang w:eastAsia="en-GB"/>
        </w:rPr>
        <w:t xml:space="preserve">: </w:t>
      </w:r>
      <w:r w:rsidR="00323CE3" w:rsidRPr="00E57F32">
        <w:rPr>
          <w:rFonts w:eastAsia="Times New Roman" w:cstheme="minorHAnsi"/>
          <w:color w:val="000000"/>
          <w:lang w:eastAsia="en-GB"/>
        </w:rPr>
        <w:t xml:space="preserve">13.59 </w:t>
      </w:r>
      <w:r w:rsidR="009B34EB">
        <w:rPr>
          <w:rFonts w:eastAsia="Times New Roman" w:cstheme="minorHAnsi"/>
          <w:color w:val="000000"/>
          <w:lang w:eastAsia="en-GB"/>
        </w:rPr>
        <w:t>to</w:t>
      </w:r>
      <w:r w:rsidR="009B34EB" w:rsidRPr="00E57F32">
        <w:rPr>
          <w:rFonts w:eastAsia="Times New Roman" w:cstheme="minorHAnsi"/>
          <w:color w:val="000000"/>
          <w:lang w:eastAsia="en-GB"/>
        </w:rPr>
        <w:t xml:space="preserve"> </w:t>
      </w:r>
      <w:r w:rsidR="00323CE3" w:rsidRPr="00E57F32">
        <w:rPr>
          <w:rFonts w:eastAsia="Times New Roman" w:cstheme="minorHAnsi"/>
          <w:color w:val="000000"/>
          <w:lang w:eastAsia="en-GB"/>
        </w:rPr>
        <w:t>-2.24)</w:t>
      </w:r>
      <w:r w:rsidR="00323CE3" w:rsidRPr="00E57F32">
        <w:t xml:space="preserve">.  </w:t>
      </w:r>
      <w:r w:rsidR="00AD6945">
        <w:t>P</w:t>
      </w:r>
      <w:r w:rsidR="00323CE3" w:rsidRPr="00E57F32">
        <w:t xml:space="preserve">re-surgery self-efficacy showed the greatest association with QoL over follow-up.  </w:t>
      </w:r>
      <w:bookmarkStart w:id="5" w:name="_Hlk50720697"/>
      <w:r w:rsidR="00323CE3" w:rsidRPr="00E57F32">
        <w:t>Compared to those with low confidence, each group of participants with higher levels of self-efficacy (moderately confident, confident, and very confident) reported significantly better QoL over five years</w:t>
      </w:r>
      <w:r w:rsidR="00AD6945">
        <w:t xml:space="preserve"> post-surgery</w:t>
      </w:r>
      <w:r w:rsidR="00323CE3" w:rsidRPr="00E57F32">
        <w:t xml:space="preserve">: on average 10% </w:t>
      </w:r>
      <w:r w:rsidR="00323CE3" w:rsidRPr="00E57F32">
        <w:rPr>
          <w:rFonts w:eastAsia="Times New Roman" w:cstheme="minorHAnsi"/>
          <w:color w:val="000000"/>
          <w:lang w:eastAsia="en-GB"/>
        </w:rPr>
        <w:t>(95%</w:t>
      </w:r>
      <w:r w:rsidR="009B34EB" w:rsidRPr="00E57F32">
        <w:rPr>
          <w:rFonts w:eastAsia="Times New Roman" w:cstheme="minorHAnsi"/>
          <w:color w:val="000000"/>
          <w:lang w:eastAsia="en-GB"/>
        </w:rPr>
        <w:t>CI</w:t>
      </w:r>
      <w:r w:rsidR="009B34EB">
        <w:rPr>
          <w:rFonts w:eastAsia="Times New Roman" w:cstheme="minorHAnsi"/>
          <w:color w:val="000000"/>
          <w:lang w:eastAsia="en-GB"/>
        </w:rPr>
        <w:t xml:space="preserve">: </w:t>
      </w:r>
      <w:r w:rsidR="00323CE3" w:rsidRPr="00E57F32">
        <w:rPr>
          <w:rFonts w:eastAsia="Times New Roman" w:cstheme="minorHAnsi"/>
          <w:color w:val="000000"/>
          <w:lang w:eastAsia="en-GB"/>
        </w:rPr>
        <w:t xml:space="preserve">18.77 </w:t>
      </w:r>
      <w:r w:rsidR="009B34EB">
        <w:rPr>
          <w:rFonts w:eastAsia="Times New Roman" w:cstheme="minorHAnsi"/>
          <w:color w:val="000000"/>
          <w:lang w:eastAsia="en-GB"/>
        </w:rPr>
        <w:t>to</w:t>
      </w:r>
      <w:r w:rsidR="00323CE3" w:rsidRPr="00E57F32">
        <w:rPr>
          <w:rFonts w:eastAsia="Times New Roman" w:cstheme="minorHAnsi"/>
          <w:color w:val="000000"/>
          <w:lang w:eastAsia="en-GB"/>
        </w:rPr>
        <w:t xml:space="preserve"> -0.58)</w:t>
      </w:r>
      <w:r w:rsidR="00323CE3" w:rsidRPr="00E57F32">
        <w:t xml:space="preserve">, 16% </w:t>
      </w:r>
      <w:r w:rsidR="00323CE3" w:rsidRPr="00E57F32">
        <w:rPr>
          <w:rFonts w:eastAsia="Times New Roman" w:cstheme="minorHAnsi"/>
          <w:color w:val="000000"/>
          <w:lang w:eastAsia="en-GB"/>
        </w:rPr>
        <w:t>(95%</w:t>
      </w:r>
      <w:r w:rsidR="009B34EB">
        <w:rPr>
          <w:rFonts w:eastAsia="Times New Roman" w:cstheme="minorHAnsi"/>
          <w:color w:val="000000"/>
          <w:lang w:eastAsia="en-GB"/>
        </w:rPr>
        <w:t>CI:</w:t>
      </w:r>
      <w:r w:rsidR="00323CE3" w:rsidRPr="00E57F32">
        <w:rPr>
          <w:rFonts w:eastAsia="Times New Roman" w:cstheme="minorHAnsi"/>
          <w:color w:val="000000"/>
          <w:lang w:eastAsia="en-GB"/>
        </w:rPr>
        <w:t xml:space="preserve"> 24.26 to -7.65)</w:t>
      </w:r>
      <w:r w:rsidR="00323CE3" w:rsidRPr="00E57F32">
        <w:t xml:space="preserve"> and 30% </w:t>
      </w:r>
      <w:r w:rsidR="00323CE3" w:rsidRPr="00E57F32">
        <w:rPr>
          <w:rFonts w:eastAsia="Times New Roman" w:cstheme="minorHAnsi"/>
          <w:color w:val="000000"/>
          <w:lang w:eastAsia="en-GB"/>
        </w:rPr>
        <w:t>(95%</w:t>
      </w:r>
      <w:r w:rsidR="00924AA1">
        <w:rPr>
          <w:rFonts w:eastAsia="Times New Roman" w:cstheme="minorHAnsi"/>
          <w:color w:val="000000"/>
          <w:lang w:eastAsia="en-GB"/>
        </w:rPr>
        <w:t xml:space="preserve">CI: </w:t>
      </w:r>
      <w:r w:rsidR="00323CE3" w:rsidRPr="00E57F32">
        <w:rPr>
          <w:rFonts w:eastAsia="Times New Roman" w:cstheme="minorHAnsi"/>
          <w:color w:val="000000"/>
          <w:lang w:eastAsia="en-GB"/>
        </w:rPr>
        <w:t xml:space="preserve">37.51 to -22.52) </w:t>
      </w:r>
      <w:r w:rsidR="00323CE3" w:rsidRPr="00E57F32">
        <w:t>lower QoL scores, respectively.</w:t>
      </w:r>
      <w:bookmarkEnd w:id="5"/>
      <w:r w:rsidR="00323CE3" w:rsidRPr="00E57F32">
        <w:t xml:space="preserve">  </w:t>
      </w:r>
      <w:bookmarkEnd w:id="3"/>
      <w:r w:rsidR="00323CE3" w:rsidRPr="00E57F32">
        <w:t xml:space="preserve">Clinically significant levels of both depression and anxiety </w:t>
      </w:r>
      <w:r w:rsidR="00AD6945">
        <w:t>pre-surgery</w:t>
      </w:r>
      <w:r w:rsidR="00323CE3" w:rsidRPr="00E57F32">
        <w:t xml:space="preserve"> were significantly associated with poorer QoL over time: on average 20% </w:t>
      </w:r>
      <w:r w:rsidR="00323CE3" w:rsidRPr="00E57F32">
        <w:rPr>
          <w:rFonts w:eastAsia="Times New Roman" w:cstheme="minorHAnsi"/>
          <w:color w:val="000000"/>
          <w:lang w:eastAsia="en-GB"/>
        </w:rPr>
        <w:t>(95%</w:t>
      </w:r>
      <w:r w:rsidR="00924AA1">
        <w:rPr>
          <w:rFonts w:eastAsia="Times New Roman" w:cstheme="minorHAnsi"/>
          <w:color w:val="000000"/>
          <w:lang w:eastAsia="en-GB"/>
        </w:rPr>
        <w:t>CI:</w:t>
      </w:r>
      <w:r w:rsidR="00323CE3" w:rsidRPr="00E57F32">
        <w:rPr>
          <w:rFonts w:eastAsia="Times New Roman" w:cstheme="minorHAnsi"/>
          <w:color w:val="000000"/>
          <w:lang w:eastAsia="en-GB"/>
        </w:rPr>
        <w:t xml:space="preserve"> 9.97 to 30.42) </w:t>
      </w:r>
      <w:r w:rsidR="00323CE3" w:rsidRPr="00E57F32">
        <w:t xml:space="preserve">and 11% </w:t>
      </w:r>
      <w:r w:rsidR="00323CE3" w:rsidRPr="00E57F32">
        <w:rPr>
          <w:rFonts w:eastAsia="Times New Roman" w:cstheme="minorHAnsi"/>
          <w:color w:val="000000"/>
          <w:lang w:eastAsia="en-GB"/>
        </w:rPr>
        <w:t>(95%</w:t>
      </w:r>
      <w:r w:rsidR="00924AA1">
        <w:rPr>
          <w:rFonts w:eastAsia="Times New Roman" w:cstheme="minorHAnsi"/>
          <w:color w:val="000000"/>
          <w:lang w:eastAsia="en-GB"/>
        </w:rPr>
        <w:t xml:space="preserve">CI: </w:t>
      </w:r>
      <w:r w:rsidR="00323CE3" w:rsidRPr="00E57F32">
        <w:rPr>
          <w:rFonts w:eastAsia="Times New Roman" w:cstheme="minorHAnsi"/>
          <w:color w:val="000000"/>
          <w:lang w:eastAsia="en-GB"/>
        </w:rPr>
        <w:t>2.76 to 19.82)</w:t>
      </w:r>
      <w:r w:rsidR="00323CE3" w:rsidRPr="00E57F32">
        <w:t xml:space="preserve"> lower QoL scores, respectively.</w:t>
      </w:r>
    </w:p>
    <w:p w14:paraId="57C2D315" w14:textId="77777777" w:rsidR="00323CE3" w:rsidRDefault="00323CE3" w:rsidP="00D276D9">
      <w:pPr>
        <w:spacing w:after="0" w:line="480" w:lineRule="auto"/>
      </w:pPr>
    </w:p>
    <w:p w14:paraId="3FF24D4B" w14:textId="30412218" w:rsidR="00C161A8" w:rsidRPr="00AF1F8A" w:rsidRDefault="00C161A8" w:rsidP="00C161A8">
      <w:pPr>
        <w:spacing w:after="0" w:line="480" w:lineRule="auto"/>
        <w:rPr>
          <w:b/>
          <w:bCs/>
        </w:rPr>
      </w:pPr>
      <w:r w:rsidRPr="00AF1F8A">
        <w:rPr>
          <w:b/>
          <w:bCs/>
        </w:rPr>
        <w:lastRenderedPageBreak/>
        <w:t>Table 2</w:t>
      </w:r>
      <w:r w:rsidR="00765419">
        <w:rPr>
          <w:b/>
          <w:bCs/>
        </w:rPr>
        <w:t>.</w:t>
      </w:r>
      <w:r w:rsidRPr="001D3C84">
        <w:t xml:space="preserve">  </w:t>
      </w:r>
      <w:r w:rsidRPr="00AF1F8A">
        <w:rPr>
          <w:b/>
          <w:bCs/>
        </w:rPr>
        <w:t xml:space="preserve">Log-linear regression model predicting the QLACS-GSS score over the </w:t>
      </w:r>
      <w:r w:rsidR="00AC1CF7">
        <w:rPr>
          <w:b/>
          <w:bCs/>
        </w:rPr>
        <w:t>five</w:t>
      </w:r>
      <w:r w:rsidRPr="00AF1F8A">
        <w:rPr>
          <w:b/>
          <w:bCs/>
        </w:rPr>
        <w:t xml:space="preserve">-year follow-up post-surgery, predictors collected at baseline (pre-surgery), presented coefficients </w:t>
      </w:r>
      <w:r w:rsidR="00AC1CF7">
        <w:rPr>
          <w:b/>
          <w:bCs/>
        </w:rPr>
        <w:t xml:space="preserve">converted </w:t>
      </w:r>
      <w:r w:rsidRPr="00AF1F8A">
        <w:rPr>
          <w:b/>
          <w:bCs/>
        </w:rPr>
        <w:t>to percentage</w:t>
      </w:r>
      <w:r w:rsidR="00AC1CF7">
        <w:rPr>
          <w:b/>
          <w:bCs/>
        </w:rPr>
        <w:t xml:space="preserve"> change</w:t>
      </w:r>
      <w:r w:rsidRPr="00AF1F8A">
        <w:rPr>
          <w:b/>
          <w:bCs/>
        </w:rPr>
        <w:t xml:space="preserve"> and 95% confidence intervals (CI)</w:t>
      </w:r>
    </w:p>
    <w:tbl>
      <w:tblPr>
        <w:tblW w:w="8065" w:type="dxa"/>
        <w:tblLook w:val="04A0" w:firstRow="1" w:lastRow="0" w:firstColumn="1" w:lastColumn="0" w:noHBand="0" w:noVBand="1"/>
      </w:tblPr>
      <w:tblGrid>
        <w:gridCol w:w="4521"/>
        <w:gridCol w:w="3544"/>
      </w:tblGrid>
      <w:tr w:rsidR="005744C9" w:rsidRPr="00B87718" w14:paraId="3490998A" w14:textId="77777777" w:rsidTr="00446CBB">
        <w:trPr>
          <w:trHeight w:val="489"/>
        </w:trPr>
        <w:tc>
          <w:tcPr>
            <w:tcW w:w="4521"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noWrap/>
            <w:vAlign w:val="center"/>
          </w:tcPr>
          <w:p w14:paraId="4D8C0DC3" w14:textId="77777777" w:rsidR="005744C9" w:rsidRPr="00B87718" w:rsidRDefault="005744C9" w:rsidP="001A0EA2">
            <w:pPr>
              <w:spacing w:after="0" w:line="480" w:lineRule="auto"/>
              <w:jc w:val="center"/>
              <w:rPr>
                <w:rFonts w:eastAsia="Times New Roman" w:cstheme="minorHAnsi"/>
                <w:b/>
                <w:bCs/>
                <w:color w:val="000000"/>
                <w:sz w:val="18"/>
                <w:szCs w:val="18"/>
                <w:lang w:eastAsia="en-GB"/>
              </w:rPr>
            </w:pPr>
            <w:r w:rsidRPr="00B87718">
              <w:rPr>
                <w:rFonts w:eastAsia="Times New Roman" w:cstheme="minorHAnsi"/>
                <w:b/>
                <w:bCs/>
                <w:color w:val="000000"/>
                <w:sz w:val="18"/>
                <w:szCs w:val="18"/>
                <w:lang w:eastAsia="en-GB"/>
              </w:rPr>
              <w:t>Predictors at Baseline</w:t>
            </w:r>
          </w:p>
        </w:tc>
        <w:tc>
          <w:tcPr>
            <w:tcW w:w="3544" w:type="dxa"/>
            <w:tcBorders>
              <w:top w:val="single" w:sz="12" w:space="0" w:color="auto"/>
              <w:left w:val="nil"/>
              <w:right w:val="single" w:sz="12" w:space="0" w:color="auto"/>
            </w:tcBorders>
            <w:shd w:val="clear" w:color="auto" w:fill="BFBFBF" w:themeFill="background1" w:themeFillShade="BF"/>
            <w:noWrap/>
            <w:vAlign w:val="bottom"/>
          </w:tcPr>
          <w:p w14:paraId="10F8D1AD" w14:textId="01123F89" w:rsidR="005744C9" w:rsidRPr="00B87718" w:rsidRDefault="00AC1CF7" w:rsidP="001A0EA2">
            <w:pPr>
              <w:spacing w:after="0" w:line="480" w:lineRule="auto"/>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Percentage</w:t>
            </w:r>
            <w:r w:rsidR="005744C9" w:rsidRPr="00B87718">
              <w:rPr>
                <w:rFonts w:eastAsia="Times New Roman" w:cstheme="minorHAnsi"/>
                <w:b/>
                <w:bCs/>
                <w:color w:val="000000"/>
                <w:sz w:val="18"/>
                <w:szCs w:val="18"/>
                <w:lang w:eastAsia="en-GB"/>
              </w:rPr>
              <w:t xml:space="preserve"> Change</w:t>
            </w:r>
            <w:r w:rsidR="005744C9">
              <w:rPr>
                <w:rFonts w:eastAsia="Times New Roman" w:cstheme="minorHAnsi"/>
                <w:b/>
                <w:bCs/>
                <w:color w:val="000000"/>
                <w:sz w:val="18"/>
                <w:szCs w:val="18"/>
                <w:lang w:eastAsia="en-GB"/>
              </w:rPr>
              <w:t xml:space="preserve"> </w:t>
            </w:r>
            <w:r w:rsidR="005744C9" w:rsidRPr="00B87718">
              <w:rPr>
                <w:rFonts w:eastAsia="Times New Roman" w:cstheme="minorHAnsi"/>
                <w:b/>
                <w:bCs/>
                <w:color w:val="000000"/>
                <w:sz w:val="18"/>
                <w:szCs w:val="18"/>
                <w:lang w:eastAsia="en-GB"/>
              </w:rPr>
              <w:t>(95% CI)</w:t>
            </w:r>
          </w:p>
        </w:tc>
      </w:tr>
      <w:tr w:rsidR="00C161A8" w:rsidRPr="00B87718" w14:paraId="2F199E87" w14:textId="77777777" w:rsidTr="001A0EA2">
        <w:trPr>
          <w:trHeight w:val="20"/>
        </w:trPr>
        <w:tc>
          <w:tcPr>
            <w:tcW w:w="4521" w:type="dxa"/>
            <w:tcBorders>
              <w:top w:val="single" w:sz="12" w:space="0" w:color="auto"/>
              <w:left w:val="single" w:sz="12" w:space="0" w:color="auto"/>
              <w:bottom w:val="single" w:sz="4" w:space="0" w:color="auto"/>
              <w:right w:val="single" w:sz="4" w:space="0" w:color="auto"/>
            </w:tcBorders>
            <w:shd w:val="clear" w:color="auto" w:fill="auto"/>
            <w:noWrap/>
            <w:hideMark/>
          </w:tcPr>
          <w:p w14:paraId="077D359C" w14:textId="77777777" w:rsidR="00C161A8" w:rsidRPr="00B87718" w:rsidRDefault="00C161A8"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Age (ref: 65-69 years)</w:t>
            </w:r>
          </w:p>
        </w:tc>
        <w:tc>
          <w:tcPr>
            <w:tcW w:w="3544" w:type="dxa"/>
            <w:tcBorders>
              <w:top w:val="single" w:sz="12" w:space="0" w:color="auto"/>
              <w:left w:val="nil"/>
              <w:bottom w:val="single" w:sz="4" w:space="0" w:color="auto"/>
              <w:right w:val="single" w:sz="12" w:space="0" w:color="auto"/>
            </w:tcBorders>
            <w:shd w:val="clear" w:color="auto" w:fill="auto"/>
            <w:noWrap/>
            <w:vAlign w:val="bottom"/>
            <w:hideMark/>
          </w:tcPr>
          <w:p w14:paraId="697E5898" w14:textId="77777777" w:rsidR="00C161A8" w:rsidRPr="00B87718" w:rsidRDefault="00C161A8" w:rsidP="001A0EA2">
            <w:pPr>
              <w:spacing w:after="0" w:line="480" w:lineRule="auto"/>
              <w:jc w:val="center"/>
              <w:rPr>
                <w:rFonts w:eastAsia="Times New Roman" w:cstheme="minorHAnsi"/>
                <w:b/>
                <w:bCs/>
                <w:color w:val="000000"/>
                <w:sz w:val="18"/>
                <w:szCs w:val="18"/>
                <w:lang w:eastAsia="en-GB"/>
              </w:rPr>
            </w:pPr>
          </w:p>
        </w:tc>
      </w:tr>
      <w:tr w:rsidR="00C161A8" w:rsidRPr="00B87718" w14:paraId="0D60CFB3" w14:textId="77777777" w:rsidTr="001A0EA2">
        <w:trPr>
          <w:trHeight w:val="20"/>
        </w:trPr>
        <w:tc>
          <w:tcPr>
            <w:tcW w:w="4521" w:type="dxa"/>
            <w:tcBorders>
              <w:top w:val="nil"/>
              <w:left w:val="single" w:sz="12" w:space="0" w:color="auto"/>
              <w:bottom w:val="single" w:sz="4" w:space="0" w:color="auto"/>
              <w:right w:val="single" w:sz="4" w:space="0" w:color="auto"/>
            </w:tcBorders>
            <w:shd w:val="clear" w:color="auto" w:fill="auto"/>
            <w:noWrap/>
            <w:hideMark/>
          </w:tcPr>
          <w:p w14:paraId="04E37CAF" w14:textId="77777777" w:rsidR="00C161A8" w:rsidRPr="00B87718" w:rsidRDefault="00C161A8"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70-74 years</w:t>
            </w:r>
          </w:p>
        </w:tc>
        <w:tc>
          <w:tcPr>
            <w:tcW w:w="3544" w:type="dxa"/>
            <w:tcBorders>
              <w:top w:val="nil"/>
              <w:left w:val="nil"/>
              <w:bottom w:val="single" w:sz="4" w:space="0" w:color="auto"/>
              <w:right w:val="single" w:sz="12" w:space="0" w:color="auto"/>
            </w:tcBorders>
            <w:shd w:val="clear" w:color="auto" w:fill="auto"/>
            <w:noWrap/>
            <w:vAlign w:val="bottom"/>
            <w:hideMark/>
          </w:tcPr>
          <w:p w14:paraId="2632FEAC"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1.17</w:t>
            </w:r>
            <w:r>
              <w:rPr>
                <w:rFonts w:eastAsia="Times New Roman" w:cstheme="minorHAnsi"/>
                <w:color w:val="000000"/>
                <w:sz w:val="18"/>
                <w:szCs w:val="18"/>
                <w:lang w:eastAsia="en-GB"/>
              </w:rPr>
              <w:t xml:space="preserve"> (-5.80 to 8.65)</w:t>
            </w:r>
          </w:p>
        </w:tc>
      </w:tr>
      <w:tr w:rsidR="00C161A8" w:rsidRPr="00B87718" w14:paraId="2364F5FD" w14:textId="77777777" w:rsidTr="001A0EA2">
        <w:trPr>
          <w:trHeight w:val="20"/>
        </w:trPr>
        <w:tc>
          <w:tcPr>
            <w:tcW w:w="4521" w:type="dxa"/>
            <w:tcBorders>
              <w:top w:val="nil"/>
              <w:left w:val="single" w:sz="12" w:space="0" w:color="auto"/>
              <w:bottom w:val="single" w:sz="4" w:space="0" w:color="auto"/>
              <w:right w:val="single" w:sz="4" w:space="0" w:color="auto"/>
            </w:tcBorders>
            <w:shd w:val="clear" w:color="auto" w:fill="auto"/>
            <w:noWrap/>
            <w:hideMark/>
          </w:tcPr>
          <w:p w14:paraId="560CB6E1" w14:textId="77777777" w:rsidR="00C161A8" w:rsidRPr="00B87718" w:rsidRDefault="00C161A8"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75-79 years</w:t>
            </w:r>
          </w:p>
        </w:tc>
        <w:tc>
          <w:tcPr>
            <w:tcW w:w="3544" w:type="dxa"/>
            <w:tcBorders>
              <w:top w:val="nil"/>
              <w:left w:val="nil"/>
              <w:bottom w:val="single" w:sz="4" w:space="0" w:color="auto"/>
              <w:right w:val="single" w:sz="12" w:space="0" w:color="auto"/>
            </w:tcBorders>
            <w:shd w:val="clear" w:color="auto" w:fill="auto"/>
            <w:noWrap/>
            <w:vAlign w:val="bottom"/>
            <w:hideMark/>
          </w:tcPr>
          <w:p w14:paraId="40D0C010"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2.43</w:t>
            </w:r>
            <w:r>
              <w:rPr>
                <w:rFonts w:eastAsia="Times New Roman" w:cstheme="minorHAnsi"/>
                <w:color w:val="000000"/>
                <w:sz w:val="18"/>
                <w:szCs w:val="18"/>
                <w:lang w:eastAsia="en-GB"/>
              </w:rPr>
              <w:t xml:space="preserve"> (-5.54 to 11.07)</w:t>
            </w:r>
          </w:p>
        </w:tc>
      </w:tr>
      <w:tr w:rsidR="00C161A8" w:rsidRPr="00B87718" w14:paraId="501147B4" w14:textId="77777777" w:rsidTr="001A0EA2">
        <w:trPr>
          <w:trHeight w:val="20"/>
        </w:trPr>
        <w:tc>
          <w:tcPr>
            <w:tcW w:w="4521" w:type="dxa"/>
            <w:tcBorders>
              <w:top w:val="nil"/>
              <w:left w:val="single" w:sz="12" w:space="0" w:color="auto"/>
              <w:bottom w:val="single" w:sz="12" w:space="0" w:color="auto"/>
              <w:right w:val="single" w:sz="4" w:space="0" w:color="auto"/>
            </w:tcBorders>
            <w:shd w:val="clear" w:color="auto" w:fill="auto"/>
            <w:noWrap/>
            <w:hideMark/>
          </w:tcPr>
          <w:p w14:paraId="733DAC05" w14:textId="77777777" w:rsidR="00C161A8" w:rsidRPr="00B87718" w:rsidRDefault="00C161A8"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u w:val="single"/>
                <w:lang w:eastAsia="en-GB"/>
              </w:rPr>
              <w:t>&gt;</w:t>
            </w:r>
            <w:r w:rsidRPr="00B87718">
              <w:rPr>
                <w:rFonts w:eastAsia="Times New Roman" w:cstheme="minorHAnsi"/>
                <w:i/>
                <w:iCs/>
                <w:color w:val="000000"/>
                <w:sz w:val="18"/>
                <w:szCs w:val="18"/>
                <w:lang w:eastAsia="en-GB"/>
              </w:rPr>
              <w:t>80 years</w:t>
            </w:r>
          </w:p>
        </w:tc>
        <w:tc>
          <w:tcPr>
            <w:tcW w:w="3544" w:type="dxa"/>
            <w:tcBorders>
              <w:top w:val="nil"/>
              <w:left w:val="nil"/>
              <w:bottom w:val="single" w:sz="12" w:space="0" w:color="auto"/>
              <w:right w:val="single" w:sz="12" w:space="0" w:color="auto"/>
            </w:tcBorders>
            <w:shd w:val="clear" w:color="auto" w:fill="auto"/>
            <w:noWrap/>
            <w:vAlign w:val="bottom"/>
            <w:hideMark/>
          </w:tcPr>
          <w:p w14:paraId="1FFD361A"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18.41***</w:t>
            </w:r>
            <w:r>
              <w:rPr>
                <w:rFonts w:eastAsia="Times New Roman" w:cstheme="minorHAnsi"/>
                <w:color w:val="000000"/>
                <w:sz w:val="18"/>
                <w:szCs w:val="18"/>
                <w:lang w:eastAsia="en-GB"/>
              </w:rPr>
              <w:t xml:space="preserve"> (9.05 to 28.58)</w:t>
            </w:r>
          </w:p>
        </w:tc>
      </w:tr>
      <w:tr w:rsidR="00C161A8" w:rsidRPr="00B87718" w14:paraId="10B5DBA2" w14:textId="77777777" w:rsidTr="001A0EA2">
        <w:trPr>
          <w:trHeight w:val="20"/>
        </w:trPr>
        <w:tc>
          <w:tcPr>
            <w:tcW w:w="4521" w:type="dxa"/>
            <w:tcBorders>
              <w:top w:val="single" w:sz="12" w:space="0" w:color="auto"/>
              <w:left w:val="single" w:sz="12" w:space="0" w:color="auto"/>
              <w:bottom w:val="single" w:sz="4" w:space="0" w:color="auto"/>
              <w:right w:val="single" w:sz="4" w:space="0" w:color="auto"/>
            </w:tcBorders>
            <w:shd w:val="clear" w:color="auto" w:fill="auto"/>
            <w:noWrap/>
            <w:hideMark/>
          </w:tcPr>
          <w:p w14:paraId="41F8B070" w14:textId="77777777" w:rsidR="00C161A8" w:rsidRPr="00B87718" w:rsidRDefault="00C161A8"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Comorbidities (ref: none)</w:t>
            </w:r>
          </w:p>
        </w:tc>
        <w:tc>
          <w:tcPr>
            <w:tcW w:w="3544" w:type="dxa"/>
            <w:tcBorders>
              <w:top w:val="single" w:sz="12" w:space="0" w:color="auto"/>
              <w:left w:val="nil"/>
              <w:bottom w:val="single" w:sz="4" w:space="0" w:color="auto"/>
              <w:right w:val="single" w:sz="12" w:space="0" w:color="auto"/>
            </w:tcBorders>
            <w:shd w:val="clear" w:color="auto" w:fill="auto"/>
            <w:noWrap/>
            <w:vAlign w:val="bottom"/>
            <w:hideMark/>
          </w:tcPr>
          <w:p w14:paraId="7C958FAD" w14:textId="77777777" w:rsidR="00C161A8" w:rsidRPr="00B87718" w:rsidRDefault="00C161A8" w:rsidP="001A0EA2">
            <w:pPr>
              <w:spacing w:after="0" w:line="480" w:lineRule="auto"/>
              <w:jc w:val="center"/>
              <w:rPr>
                <w:rFonts w:eastAsia="Times New Roman" w:cstheme="minorHAnsi"/>
                <w:color w:val="000000"/>
                <w:sz w:val="18"/>
                <w:szCs w:val="18"/>
                <w:lang w:eastAsia="en-GB"/>
              </w:rPr>
            </w:pPr>
          </w:p>
        </w:tc>
      </w:tr>
      <w:tr w:rsidR="00C161A8" w:rsidRPr="00B87718" w14:paraId="44E547E4" w14:textId="77777777" w:rsidTr="001A0EA2">
        <w:trPr>
          <w:trHeight w:val="20"/>
        </w:trPr>
        <w:tc>
          <w:tcPr>
            <w:tcW w:w="4521" w:type="dxa"/>
            <w:tcBorders>
              <w:top w:val="nil"/>
              <w:left w:val="single" w:sz="12" w:space="0" w:color="auto"/>
              <w:bottom w:val="single" w:sz="4" w:space="0" w:color="auto"/>
              <w:right w:val="single" w:sz="4" w:space="0" w:color="auto"/>
            </w:tcBorders>
            <w:shd w:val="clear" w:color="auto" w:fill="auto"/>
            <w:noWrap/>
            <w:hideMark/>
          </w:tcPr>
          <w:p w14:paraId="2BB78C07" w14:textId="77777777" w:rsidR="00C161A8" w:rsidRPr="00B87718" w:rsidRDefault="00C161A8"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u w:val="single"/>
                <w:lang w:eastAsia="en-GB"/>
              </w:rPr>
              <w:t>&gt;</w:t>
            </w:r>
            <w:r w:rsidRPr="00B87718">
              <w:rPr>
                <w:rFonts w:eastAsia="Times New Roman" w:cstheme="minorHAnsi"/>
                <w:i/>
                <w:iCs/>
                <w:color w:val="000000"/>
                <w:sz w:val="18"/>
                <w:szCs w:val="18"/>
                <w:lang w:eastAsia="en-GB"/>
              </w:rPr>
              <w:t>1 non-limiting comorbidity</w:t>
            </w:r>
          </w:p>
        </w:tc>
        <w:tc>
          <w:tcPr>
            <w:tcW w:w="3544" w:type="dxa"/>
            <w:tcBorders>
              <w:top w:val="nil"/>
              <w:left w:val="nil"/>
              <w:bottom w:val="single" w:sz="4" w:space="0" w:color="auto"/>
              <w:right w:val="single" w:sz="12" w:space="0" w:color="auto"/>
            </w:tcBorders>
            <w:shd w:val="clear" w:color="auto" w:fill="auto"/>
            <w:noWrap/>
            <w:vAlign w:val="bottom"/>
            <w:hideMark/>
          </w:tcPr>
          <w:p w14:paraId="3B83A888"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-0.03</w:t>
            </w:r>
            <w:r>
              <w:rPr>
                <w:rFonts w:eastAsia="Times New Roman" w:cstheme="minorHAnsi"/>
                <w:color w:val="000000"/>
                <w:sz w:val="18"/>
                <w:szCs w:val="18"/>
                <w:lang w:eastAsia="en-GB"/>
              </w:rPr>
              <w:t xml:space="preserve"> (-8.07 to 8.71)</w:t>
            </w:r>
          </w:p>
        </w:tc>
      </w:tr>
      <w:tr w:rsidR="00C161A8" w:rsidRPr="00B87718" w14:paraId="78993066" w14:textId="77777777" w:rsidTr="001A0EA2">
        <w:trPr>
          <w:trHeight w:val="20"/>
        </w:trPr>
        <w:tc>
          <w:tcPr>
            <w:tcW w:w="4521" w:type="dxa"/>
            <w:tcBorders>
              <w:top w:val="nil"/>
              <w:left w:val="single" w:sz="12" w:space="0" w:color="auto"/>
              <w:bottom w:val="single" w:sz="4" w:space="0" w:color="auto"/>
              <w:right w:val="single" w:sz="4" w:space="0" w:color="auto"/>
            </w:tcBorders>
            <w:shd w:val="clear" w:color="auto" w:fill="auto"/>
            <w:noWrap/>
            <w:hideMark/>
          </w:tcPr>
          <w:p w14:paraId="2B03D18B" w14:textId="77777777" w:rsidR="00C161A8" w:rsidRPr="00B87718" w:rsidRDefault="00C161A8"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u w:val="single"/>
                <w:lang w:eastAsia="en-GB"/>
              </w:rPr>
              <w:t>&gt;</w:t>
            </w:r>
            <w:r w:rsidRPr="00B87718">
              <w:rPr>
                <w:rFonts w:eastAsia="Times New Roman" w:cstheme="minorHAnsi"/>
                <w:i/>
                <w:iCs/>
                <w:color w:val="000000"/>
                <w:sz w:val="18"/>
                <w:szCs w:val="18"/>
                <w:lang w:eastAsia="en-GB"/>
              </w:rPr>
              <w:t>1 limiting comorbidity</w:t>
            </w:r>
          </w:p>
        </w:tc>
        <w:tc>
          <w:tcPr>
            <w:tcW w:w="3544" w:type="dxa"/>
            <w:tcBorders>
              <w:top w:val="nil"/>
              <w:left w:val="nil"/>
              <w:bottom w:val="single" w:sz="4" w:space="0" w:color="auto"/>
              <w:right w:val="single" w:sz="12" w:space="0" w:color="auto"/>
            </w:tcBorders>
            <w:shd w:val="clear" w:color="auto" w:fill="auto"/>
            <w:noWrap/>
            <w:vAlign w:val="bottom"/>
            <w:hideMark/>
          </w:tcPr>
          <w:p w14:paraId="4C8A818F"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15.77**</w:t>
            </w:r>
            <w:r>
              <w:rPr>
                <w:rFonts w:eastAsia="Times New Roman" w:cstheme="minorHAnsi"/>
                <w:color w:val="000000"/>
                <w:sz w:val="18"/>
                <w:szCs w:val="18"/>
                <w:lang w:eastAsia="en-GB"/>
              </w:rPr>
              <w:t xml:space="preserve"> (5.97 to 26.47)</w:t>
            </w:r>
          </w:p>
        </w:tc>
      </w:tr>
      <w:tr w:rsidR="00C161A8" w:rsidRPr="00B87718" w14:paraId="1F9E32D9" w14:textId="77777777" w:rsidTr="001A0EA2">
        <w:trPr>
          <w:trHeight w:val="20"/>
        </w:trPr>
        <w:tc>
          <w:tcPr>
            <w:tcW w:w="4521" w:type="dxa"/>
            <w:tcBorders>
              <w:top w:val="nil"/>
              <w:left w:val="single" w:sz="12" w:space="0" w:color="auto"/>
              <w:bottom w:val="single" w:sz="12" w:space="0" w:color="auto"/>
              <w:right w:val="single" w:sz="4" w:space="0" w:color="auto"/>
            </w:tcBorders>
            <w:shd w:val="clear" w:color="auto" w:fill="auto"/>
            <w:noWrap/>
            <w:hideMark/>
          </w:tcPr>
          <w:p w14:paraId="27E2B703" w14:textId="77777777" w:rsidR="00C161A8" w:rsidRPr="00B87718" w:rsidRDefault="00C161A8"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Not known</w:t>
            </w:r>
          </w:p>
        </w:tc>
        <w:tc>
          <w:tcPr>
            <w:tcW w:w="3544" w:type="dxa"/>
            <w:tcBorders>
              <w:top w:val="single" w:sz="4" w:space="0" w:color="auto"/>
              <w:left w:val="nil"/>
              <w:bottom w:val="single" w:sz="12" w:space="0" w:color="auto"/>
              <w:right w:val="single" w:sz="12" w:space="0" w:color="auto"/>
            </w:tcBorders>
            <w:shd w:val="clear" w:color="auto" w:fill="auto"/>
            <w:noWrap/>
            <w:vAlign w:val="bottom"/>
            <w:hideMark/>
          </w:tcPr>
          <w:p w14:paraId="3F93AE9A"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4.50</w:t>
            </w:r>
            <w:r>
              <w:rPr>
                <w:rFonts w:eastAsia="Times New Roman" w:cstheme="minorHAnsi"/>
                <w:color w:val="000000"/>
                <w:sz w:val="18"/>
                <w:szCs w:val="18"/>
                <w:lang w:eastAsia="en-GB"/>
              </w:rPr>
              <w:t xml:space="preserve"> (-4.17 to 13.95)</w:t>
            </w:r>
          </w:p>
        </w:tc>
      </w:tr>
      <w:tr w:rsidR="00C161A8" w:rsidRPr="00B87718" w14:paraId="01CEEF49" w14:textId="77777777" w:rsidTr="001A0EA2">
        <w:trPr>
          <w:trHeight w:val="20"/>
        </w:trPr>
        <w:tc>
          <w:tcPr>
            <w:tcW w:w="4521" w:type="dxa"/>
            <w:tcBorders>
              <w:top w:val="nil"/>
              <w:left w:val="single" w:sz="12" w:space="0" w:color="auto"/>
              <w:bottom w:val="single" w:sz="12" w:space="0" w:color="auto"/>
              <w:right w:val="single" w:sz="4" w:space="0" w:color="auto"/>
            </w:tcBorders>
            <w:shd w:val="clear" w:color="auto" w:fill="auto"/>
            <w:noWrap/>
          </w:tcPr>
          <w:p w14:paraId="13116DB3" w14:textId="77777777" w:rsidR="00C161A8" w:rsidRPr="00B87718" w:rsidRDefault="00C161A8" w:rsidP="001A0EA2">
            <w:pPr>
              <w:spacing w:after="0" w:line="480" w:lineRule="auto"/>
              <w:rPr>
                <w:rFonts w:eastAsia="Times New Roman" w:cstheme="minorHAnsi"/>
                <w:iCs/>
                <w:color w:val="000000"/>
                <w:sz w:val="18"/>
                <w:szCs w:val="18"/>
                <w:lang w:eastAsia="en-GB"/>
              </w:rPr>
            </w:pPr>
            <w:r w:rsidRPr="00B87718">
              <w:rPr>
                <w:rFonts w:eastAsia="Times New Roman" w:cstheme="minorHAnsi"/>
                <w:iCs/>
                <w:color w:val="000000"/>
                <w:sz w:val="18"/>
                <w:szCs w:val="18"/>
                <w:lang w:eastAsia="en-GB"/>
              </w:rPr>
              <w:t>Adequate social support (ref: MOS</w:t>
            </w:r>
            <w:r w:rsidRPr="00B87718">
              <w:rPr>
                <w:rFonts w:cstheme="minorHAnsi"/>
                <w:sz w:val="18"/>
                <w:szCs w:val="18"/>
              </w:rPr>
              <w:t>&lt;</w:t>
            </w:r>
            <w:r w:rsidRPr="00B87718">
              <w:rPr>
                <w:rFonts w:eastAsia="Times New Roman" w:cstheme="minorHAnsi"/>
                <w:iCs/>
                <w:color w:val="000000"/>
                <w:sz w:val="18"/>
                <w:szCs w:val="18"/>
                <w:lang w:eastAsia="en-GB"/>
              </w:rPr>
              <w:t>80)</w:t>
            </w:r>
          </w:p>
        </w:tc>
        <w:tc>
          <w:tcPr>
            <w:tcW w:w="3544" w:type="dxa"/>
            <w:tcBorders>
              <w:top w:val="single" w:sz="12" w:space="0" w:color="auto"/>
              <w:left w:val="nil"/>
              <w:bottom w:val="single" w:sz="12" w:space="0" w:color="auto"/>
              <w:right w:val="single" w:sz="12" w:space="0" w:color="auto"/>
            </w:tcBorders>
            <w:shd w:val="clear" w:color="auto" w:fill="auto"/>
            <w:noWrap/>
            <w:vAlign w:val="bottom"/>
          </w:tcPr>
          <w:p w14:paraId="1EAA2EB7"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-8.09**</w:t>
            </w:r>
            <w:r>
              <w:rPr>
                <w:rFonts w:eastAsia="Times New Roman" w:cstheme="minorHAnsi"/>
                <w:color w:val="000000"/>
                <w:sz w:val="18"/>
                <w:szCs w:val="18"/>
                <w:lang w:eastAsia="en-GB"/>
              </w:rPr>
              <w:t xml:space="preserve"> (-13.59 to -2.24)</w:t>
            </w:r>
          </w:p>
        </w:tc>
      </w:tr>
      <w:tr w:rsidR="00C161A8" w:rsidRPr="00B87718" w14:paraId="260FCCED" w14:textId="77777777" w:rsidTr="001A0EA2">
        <w:trPr>
          <w:trHeight w:val="20"/>
        </w:trPr>
        <w:tc>
          <w:tcPr>
            <w:tcW w:w="4521" w:type="dxa"/>
            <w:tcBorders>
              <w:top w:val="nil"/>
              <w:left w:val="single" w:sz="12" w:space="0" w:color="auto"/>
              <w:bottom w:val="single" w:sz="4" w:space="0" w:color="auto"/>
              <w:right w:val="single" w:sz="4" w:space="0" w:color="auto"/>
            </w:tcBorders>
            <w:shd w:val="clear" w:color="auto" w:fill="auto"/>
            <w:noWrap/>
            <w:hideMark/>
          </w:tcPr>
          <w:p w14:paraId="7ABE7DF6" w14:textId="77777777" w:rsidR="00C161A8" w:rsidRPr="00B87718" w:rsidRDefault="00C161A8"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Self-efficacy (ref: low confidence)</w:t>
            </w:r>
          </w:p>
        </w:tc>
        <w:tc>
          <w:tcPr>
            <w:tcW w:w="3544" w:type="dxa"/>
            <w:tcBorders>
              <w:top w:val="nil"/>
              <w:left w:val="nil"/>
              <w:bottom w:val="single" w:sz="4" w:space="0" w:color="auto"/>
              <w:right w:val="single" w:sz="12" w:space="0" w:color="auto"/>
            </w:tcBorders>
            <w:shd w:val="clear" w:color="auto" w:fill="auto"/>
            <w:noWrap/>
            <w:vAlign w:val="bottom"/>
            <w:hideMark/>
          </w:tcPr>
          <w:p w14:paraId="78F33A48" w14:textId="77777777" w:rsidR="00C161A8" w:rsidRPr="00B87718" w:rsidRDefault="00C161A8" w:rsidP="001A0EA2">
            <w:pPr>
              <w:spacing w:after="0" w:line="480" w:lineRule="auto"/>
              <w:jc w:val="center"/>
              <w:rPr>
                <w:rFonts w:eastAsia="Times New Roman" w:cstheme="minorHAnsi"/>
                <w:b/>
                <w:bCs/>
                <w:color w:val="000000"/>
                <w:sz w:val="18"/>
                <w:szCs w:val="18"/>
                <w:lang w:eastAsia="en-GB"/>
              </w:rPr>
            </w:pPr>
          </w:p>
        </w:tc>
      </w:tr>
      <w:tr w:rsidR="00C161A8" w:rsidRPr="00B87718" w14:paraId="2F564985" w14:textId="77777777" w:rsidTr="001A0EA2">
        <w:trPr>
          <w:trHeight w:val="20"/>
        </w:trPr>
        <w:tc>
          <w:tcPr>
            <w:tcW w:w="4521" w:type="dxa"/>
            <w:tcBorders>
              <w:top w:val="nil"/>
              <w:left w:val="single" w:sz="12" w:space="0" w:color="auto"/>
              <w:bottom w:val="single" w:sz="4" w:space="0" w:color="auto"/>
              <w:right w:val="single" w:sz="4" w:space="0" w:color="auto"/>
            </w:tcBorders>
            <w:shd w:val="clear" w:color="auto" w:fill="auto"/>
            <w:noWrap/>
            <w:hideMark/>
          </w:tcPr>
          <w:p w14:paraId="473561CF" w14:textId="77777777" w:rsidR="00C161A8" w:rsidRPr="00B87718" w:rsidRDefault="00C161A8"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Moderately confident</w:t>
            </w:r>
          </w:p>
        </w:tc>
        <w:tc>
          <w:tcPr>
            <w:tcW w:w="3544" w:type="dxa"/>
            <w:tcBorders>
              <w:top w:val="nil"/>
              <w:left w:val="nil"/>
              <w:bottom w:val="single" w:sz="4" w:space="0" w:color="auto"/>
              <w:right w:val="single" w:sz="12" w:space="0" w:color="auto"/>
            </w:tcBorders>
            <w:shd w:val="clear" w:color="auto" w:fill="auto"/>
            <w:noWrap/>
            <w:vAlign w:val="bottom"/>
            <w:hideMark/>
          </w:tcPr>
          <w:p w14:paraId="65F62780"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-10.14*</w:t>
            </w:r>
            <w:r>
              <w:rPr>
                <w:rFonts w:eastAsia="Times New Roman" w:cstheme="minorHAnsi"/>
                <w:color w:val="000000"/>
                <w:sz w:val="18"/>
                <w:szCs w:val="18"/>
                <w:lang w:eastAsia="en-GB"/>
              </w:rPr>
              <w:t xml:space="preserve"> (-18.77 to -0.58)</w:t>
            </w:r>
          </w:p>
        </w:tc>
      </w:tr>
      <w:tr w:rsidR="00C161A8" w:rsidRPr="00B87718" w14:paraId="4FE9F051" w14:textId="77777777" w:rsidTr="001A0EA2">
        <w:trPr>
          <w:trHeight w:val="20"/>
        </w:trPr>
        <w:tc>
          <w:tcPr>
            <w:tcW w:w="4521" w:type="dxa"/>
            <w:tcBorders>
              <w:top w:val="nil"/>
              <w:left w:val="single" w:sz="12" w:space="0" w:color="auto"/>
              <w:bottom w:val="single" w:sz="4" w:space="0" w:color="auto"/>
              <w:right w:val="single" w:sz="4" w:space="0" w:color="auto"/>
            </w:tcBorders>
            <w:shd w:val="clear" w:color="auto" w:fill="auto"/>
            <w:noWrap/>
            <w:hideMark/>
          </w:tcPr>
          <w:p w14:paraId="1C4F3C00" w14:textId="77777777" w:rsidR="00C161A8" w:rsidRPr="00B87718" w:rsidRDefault="00C161A8"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Confident</w:t>
            </w:r>
          </w:p>
        </w:tc>
        <w:tc>
          <w:tcPr>
            <w:tcW w:w="3544" w:type="dxa"/>
            <w:tcBorders>
              <w:top w:val="nil"/>
              <w:left w:val="nil"/>
              <w:bottom w:val="single" w:sz="4" w:space="0" w:color="auto"/>
              <w:right w:val="single" w:sz="12" w:space="0" w:color="auto"/>
            </w:tcBorders>
            <w:shd w:val="clear" w:color="auto" w:fill="auto"/>
            <w:noWrap/>
            <w:vAlign w:val="bottom"/>
            <w:hideMark/>
          </w:tcPr>
          <w:p w14:paraId="26BD86D2"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-16.37***</w:t>
            </w:r>
            <w:r>
              <w:rPr>
                <w:rFonts w:eastAsia="Times New Roman" w:cstheme="minorHAnsi"/>
                <w:color w:val="000000"/>
                <w:sz w:val="18"/>
                <w:szCs w:val="18"/>
                <w:lang w:eastAsia="en-GB"/>
              </w:rPr>
              <w:t xml:space="preserve"> (-24.26 to -7.65)</w:t>
            </w:r>
          </w:p>
        </w:tc>
      </w:tr>
      <w:tr w:rsidR="00C161A8" w:rsidRPr="00B87718" w14:paraId="2525E977" w14:textId="77777777" w:rsidTr="001A0EA2">
        <w:trPr>
          <w:trHeight w:val="20"/>
        </w:trPr>
        <w:tc>
          <w:tcPr>
            <w:tcW w:w="4521" w:type="dxa"/>
            <w:tcBorders>
              <w:top w:val="nil"/>
              <w:left w:val="single" w:sz="12" w:space="0" w:color="auto"/>
              <w:bottom w:val="single" w:sz="12" w:space="0" w:color="auto"/>
              <w:right w:val="single" w:sz="4" w:space="0" w:color="auto"/>
            </w:tcBorders>
            <w:shd w:val="clear" w:color="auto" w:fill="auto"/>
            <w:noWrap/>
            <w:hideMark/>
          </w:tcPr>
          <w:p w14:paraId="5CB53EF2" w14:textId="77777777" w:rsidR="00C161A8" w:rsidRPr="00B87718" w:rsidRDefault="00C161A8"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Very confident</w:t>
            </w:r>
          </w:p>
        </w:tc>
        <w:tc>
          <w:tcPr>
            <w:tcW w:w="3544" w:type="dxa"/>
            <w:tcBorders>
              <w:top w:val="nil"/>
              <w:left w:val="nil"/>
              <w:bottom w:val="single" w:sz="12" w:space="0" w:color="auto"/>
              <w:right w:val="single" w:sz="12" w:space="0" w:color="auto"/>
            </w:tcBorders>
            <w:shd w:val="clear" w:color="auto" w:fill="auto"/>
            <w:noWrap/>
            <w:vAlign w:val="bottom"/>
            <w:hideMark/>
          </w:tcPr>
          <w:p w14:paraId="303CBCDB"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-30.42***</w:t>
            </w:r>
            <w:r>
              <w:rPr>
                <w:rFonts w:eastAsia="Times New Roman" w:cstheme="minorHAnsi"/>
                <w:color w:val="000000"/>
                <w:sz w:val="18"/>
                <w:szCs w:val="18"/>
                <w:lang w:eastAsia="en-GB"/>
              </w:rPr>
              <w:t xml:space="preserve"> (-37.51 to -22.52)</w:t>
            </w:r>
          </w:p>
        </w:tc>
      </w:tr>
      <w:tr w:rsidR="00C161A8" w:rsidRPr="00B87718" w14:paraId="04D27AE2" w14:textId="77777777" w:rsidTr="001A0EA2">
        <w:trPr>
          <w:trHeight w:val="20"/>
        </w:trPr>
        <w:tc>
          <w:tcPr>
            <w:tcW w:w="4521" w:type="dxa"/>
            <w:tcBorders>
              <w:top w:val="single" w:sz="12" w:space="0" w:color="auto"/>
              <w:left w:val="single" w:sz="12" w:space="0" w:color="auto"/>
              <w:bottom w:val="single" w:sz="12" w:space="0" w:color="auto"/>
              <w:right w:val="single" w:sz="4" w:space="0" w:color="auto"/>
            </w:tcBorders>
            <w:shd w:val="clear" w:color="auto" w:fill="auto"/>
            <w:noWrap/>
            <w:hideMark/>
          </w:tcPr>
          <w:p w14:paraId="3A7A2DC8" w14:textId="77777777" w:rsidR="00C161A8" w:rsidRPr="00B87718" w:rsidRDefault="00C161A8"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Clinically significant depression (ref: CES-D</w:t>
            </w:r>
            <w:r w:rsidRPr="00B87718">
              <w:rPr>
                <w:rFonts w:cstheme="minorHAnsi"/>
                <w:sz w:val="18"/>
                <w:szCs w:val="18"/>
              </w:rPr>
              <w:t>&lt;</w:t>
            </w:r>
            <w:r w:rsidRPr="00B87718">
              <w:rPr>
                <w:rFonts w:eastAsia="Times New Roman" w:cstheme="minorHAnsi"/>
                <w:color w:val="000000"/>
                <w:sz w:val="18"/>
                <w:szCs w:val="18"/>
                <w:lang w:eastAsia="en-GB"/>
              </w:rPr>
              <w:t>20)</w:t>
            </w:r>
          </w:p>
        </w:tc>
        <w:tc>
          <w:tcPr>
            <w:tcW w:w="3544" w:type="dxa"/>
            <w:tcBorders>
              <w:top w:val="single" w:sz="12" w:space="0" w:color="auto"/>
              <w:left w:val="nil"/>
              <w:bottom w:val="single" w:sz="12" w:space="0" w:color="auto"/>
              <w:right w:val="single" w:sz="12" w:space="0" w:color="auto"/>
            </w:tcBorders>
            <w:shd w:val="clear" w:color="auto" w:fill="auto"/>
            <w:noWrap/>
            <w:vAlign w:val="bottom"/>
            <w:hideMark/>
          </w:tcPr>
          <w:p w14:paraId="7C3B2A4B"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19.76***</w:t>
            </w:r>
            <w:r>
              <w:rPr>
                <w:rFonts w:eastAsia="Times New Roman" w:cstheme="minorHAnsi"/>
                <w:color w:val="000000"/>
                <w:sz w:val="18"/>
                <w:szCs w:val="18"/>
                <w:lang w:eastAsia="en-GB"/>
              </w:rPr>
              <w:t xml:space="preserve"> (9.97 to 30.42)</w:t>
            </w:r>
          </w:p>
        </w:tc>
      </w:tr>
      <w:tr w:rsidR="00C161A8" w:rsidRPr="00B87718" w14:paraId="65024842" w14:textId="77777777" w:rsidTr="001A0EA2">
        <w:trPr>
          <w:trHeight w:val="20"/>
        </w:trPr>
        <w:tc>
          <w:tcPr>
            <w:tcW w:w="4521" w:type="dxa"/>
            <w:tcBorders>
              <w:top w:val="single" w:sz="12" w:space="0" w:color="auto"/>
              <w:left w:val="single" w:sz="12" w:space="0" w:color="auto"/>
              <w:bottom w:val="single" w:sz="12" w:space="0" w:color="auto"/>
              <w:right w:val="single" w:sz="4" w:space="0" w:color="auto"/>
            </w:tcBorders>
            <w:shd w:val="clear" w:color="auto" w:fill="auto"/>
            <w:noWrap/>
            <w:hideMark/>
          </w:tcPr>
          <w:p w14:paraId="19C0D87E" w14:textId="77777777" w:rsidR="00C161A8" w:rsidRPr="00B87718" w:rsidRDefault="00C161A8"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Clinically high anxiety (ref: STAI</w:t>
            </w:r>
            <w:r w:rsidRPr="00B87718">
              <w:rPr>
                <w:rFonts w:cstheme="minorHAnsi"/>
                <w:sz w:val="18"/>
                <w:szCs w:val="18"/>
              </w:rPr>
              <w:t>&lt;</w:t>
            </w:r>
            <w:r w:rsidRPr="00B87718">
              <w:rPr>
                <w:rFonts w:eastAsia="Times New Roman" w:cstheme="minorHAnsi"/>
                <w:color w:val="000000"/>
                <w:sz w:val="18"/>
                <w:szCs w:val="18"/>
                <w:lang w:eastAsia="en-GB"/>
              </w:rPr>
              <w:t>40)</w:t>
            </w:r>
          </w:p>
        </w:tc>
        <w:tc>
          <w:tcPr>
            <w:tcW w:w="3544" w:type="dxa"/>
            <w:tcBorders>
              <w:top w:val="single" w:sz="12" w:space="0" w:color="auto"/>
              <w:left w:val="nil"/>
              <w:bottom w:val="single" w:sz="12" w:space="0" w:color="auto"/>
              <w:right w:val="single" w:sz="12" w:space="0" w:color="auto"/>
            </w:tcBorders>
            <w:shd w:val="clear" w:color="auto" w:fill="auto"/>
            <w:noWrap/>
            <w:vAlign w:val="bottom"/>
            <w:hideMark/>
          </w:tcPr>
          <w:p w14:paraId="163E0995" w14:textId="77777777" w:rsidR="00C161A8" w:rsidRPr="00B87718" w:rsidRDefault="00C161A8"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10.96**</w:t>
            </w:r>
            <w:r>
              <w:rPr>
                <w:rFonts w:eastAsia="Times New Roman" w:cstheme="minorHAnsi"/>
                <w:color w:val="000000"/>
                <w:sz w:val="18"/>
                <w:szCs w:val="18"/>
                <w:lang w:eastAsia="en-GB"/>
              </w:rPr>
              <w:t xml:space="preserve"> (2.76 to 19.82)</w:t>
            </w:r>
          </w:p>
        </w:tc>
      </w:tr>
    </w:tbl>
    <w:p w14:paraId="239AEF7C" w14:textId="77777777" w:rsidR="00C161A8" w:rsidRDefault="00C161A8" w:rsidP="00C161A8">
      <w:pPr>
        <w:spacing w:after="0" w:line="480" w:lineRule="auto"/>
      </w:pPr>
      <w:r>
        <w:t xml:space="preserve">Note: *p&lt;0.05, **p&lt;0.01, ***p&lt;0.001.  Adjusted for the </w:t>
      </w:r>
      <w:r w:rsidRPr="00D55C30">
        <w:t>wave</w:t>
      </w:r>
      <w:r>
        <w:t>s</w:t>
      </w:r>
      <w:r w:rsidRPr="00D55C30">
        <w:t xml:space="preserve"> of </w:t>
      </w:r>
      <w:r>
        <w:t>participation after baseline (at least one wave between 3m and 60m)</w:t>
      </w:r>
      <w:r w:rsidRPr="00D55C30">
        <w:t>.</w:t>
      </w:r>
      <w:r>
        <w:t xml:space="preserve"> </w:t>
      </w:r>
    </w:p>
    <w:p w14:paraId="09E223EB" w14:textId="77777777" w:rsidR="00C161A8" w:rsidRDefault="00C161A8" w:rsidP="00C161A8"/>
    <w:p w14:paraId="7D167DC7" w14:textId="77777777" w:rsidR="00323CE3" w:rsidRPr="00341DF9" w:rsidRDefault="00323CE3" w:rsidP="00D276D9">
      <w:pPr>
        <w:spacing w:after="0" w:line="480" w:lineRule="auto"/>
      </w:pPr>
    </w:p>
    <w:p w14:paraId="62E42829"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t>Health status (EQ-5D) outcomes over time</w:t>
      </w:r>
    </w:p>
    <w:p w14:paraId="36C12EAB" w14:textId="374089E0" w:rsidR="00323CE3" w:rsidRDefault="00B9509C">
      <w:pPr>
        <w:spacing w:after="0" w:line="480" w:lineRule="auto"/>
        <w:rPr>
          <w:bCs/>
        </w:rPr>
      </w:pPr>
      <w:bookmarkStart w:id="6" w:name="_Hlk50708849"/>
      <w:r>
        <w:rPr>
          <w:bCs/>
        </w:rPr>
        <w:t>Problems with</w:t>
      </w:r>
      <w:r w:rsidR="00323CE3">
        <w:rPr>
          <w:bCs/>
        </w:rPr>
        <w:t xml:space="preserve"> pain</w:t>
      </w:r>
      <w:r>
        <w:rPr>
          <w:bCs/>
        </w:rPr>
        <w:t xml:space="preserve"> or </w:t>
      </w:r>
      <w:r w:rsidR="00323CE3">
        <w:rPr>
          <w:bCs/>
        </w:rPr>
        <w:t>discomfort and anxiety</w:t>
      </w:r>
      <w:r>
        <w:rPr>
          <w:bCs/>
        </w:rPr>
        <w:t xml:space="preserve"> or </w:t>
      </w:r>
      <w:r w:rsidR="00323CE3">
        <w:rPr>
          <w:bCs/>
        </w:rPr>
        <w:t xml:space="preserve">depression significantly decreased </w:t>
      </w:r>
      <w:r>
        <w:rPr>
          <w:bCs/>
        </w:rPr>
        <w:t>over follow-up</w:t>
      </w:r>
      <w:r w:rsidR="00323CE3">
        <w:rPr>
          <w:bCs/>
        </w:rPr>
        <w:t xml:space="preserve"> (</w:t>
      </w:r>
      <w:r w:rsidR="00BA1261">
        <w:rPr>
          <w:bCs/>
        </w:rPr>
        <w:t xml:space="preserve">S4 </w:t>
      </w:r>
      <w:r w:rsidR="00323CE3">
        <w:rPr>
          <w:bCs/>
        </w:rPr>
        <w:t xml:space="preserve">Appendix), with a decrease of around 40% at five years for both domains in comparison to </w:t>
      </w:r>
      <w:r>
        <w:rPr>
          <w:bCs/>
        </w:rPr>
        <w:t>pre-surgery</w:t>
      </w:r>
      <w:r w:rsidR="00323CE3">
        <w:rPr>
          <w:bCs/>
        </w:rPr>
        <w:t xml:space="preserve"> levels.  </w:t>
      </w:r>
      <w:r w:rsidR="005456B8">
        <w:rPr>
          <w:bCs/>
        </w:rPr>
        <w:t>P</w:t>
      </w:r>
      <w:r w:rsidR="00323CE3">
        <w:rPr>
          <w:bCs/>
        </w:rPr>
        <w:t xml:space="preserve">roblems in the other three EQ-5D domains (mobility, self-care and usual activities) </w:t>
      </w:r>
      <w:r w:rsidR="005456B8">
        <w:rPr>
          <w:bCs/>
        </w:rPr>
        <w:lastRenderedPageBreak/>
        <w:t xml:space="preserve">increased </w:t>
      </w:r>
      <w:r w:rsidR="00323CE3">
        <w:rPr>
          <w:bCs/>
        </w:rPr>
        <w:t xml:space="preserve">significantly </w:t>
      </w:r>
      <w:r w:rsidR="005456B8">
        <w:rPr>
          <w:bCs/>
        </w:rPr>
        <w:t xml:space="preserve">in the </w:t>
      </w:r>
      <w:r w:rsidR="00323CE3">
        <w:rPr>
          <w:bCs/>
        </w:rPr>
        <w:t xml:space="preserve">three months post-surgery </w:t>
      </w:r>
      <w:r w:rsidR="005456B8">
        <w:rPr>
          <w:bCs/>
        </w:rPr>
        <w:t>then improved (</w:t>
      </w:r>
      <w:r w:rsidR="00323CE3">
        <w:rPr>
          <w:bCs/>
        </w:rPr>
        <w:t>self-care and usual activities</w:t>
      </w:r>
      <w:r w:rsidR="005456B8">
        <w:rPr>
          <w:bCs/>
        </w:rPr>
        <w:t xml:space="preserve">) or </w:t>
      </w:r>
      <w:r w:rsidR="00323CE3">
        <w:rPr>
          <w:bCs/>
        </w:rPr>
        <w:t xml:space="preserve">remained higher than baseline </w:t>
      </w:r>
      <w:r w:rsidR="005456B8">
        <w:rPr>
          <w:bCs/>
        </w:rPr>
        <w:t>(mobility)</w:t>
      </w:r>
      <w:r w:rsidR="00323CE3">
        <w:rPr>
          <w:bCs/>
        </w:rPr>
        <w:t>.</w:t>
      </w:r>
    </w:p>
    <w:p w14:paraId="05EF075D" w14:textId="77777777" w:rsidR="002419C9" w:rsidRDefault="002419C9" w:rsidP="00AF1F8A">
      <w:pPr>
        <w:spacing w:after="0" w:line="480" w:lineRule="auto"/>
        <w:rPr>
          <w:bCs/>
        </w:rPr>
      </w:pPr>
    </w:p>
    <w:p w14:paraId="2C2832A9" w14:textId="44F9C220" w:rsidR="00323CE3" w:rsidRPr="00B46EF3" w:rsidRDefault="002419C9" w:rsidP="00D276D9">
      <w:pPr>
        <w:spacing w:after="0" w:line="480" w:lineRule="auto"/>
        <w:rPr>
          <w:rFonts w:cstheme="minorHAnsi"/>
        </w:rPr>
      </w:pPr>
      <w:r>
        <w:t>P</w:t>
      </w:r>
      <w:r w:rsidR="005456B8">
        <w:t xml:space="preserve">re-surgery characteristics of participants aged </w:t>
      </w:r>
      <w:r w:rsidR="00611A0F" w:rsidRPr="00EF136D">
        <w:rPr>
          <w:rFonts w:cstheme="minorHAnsi"/>
          <w:u w:val="single"/>
        </w:rPr>
        <w:t>&gt;</w:t>
      </w:r>
      <w:r w:rsidR="00611A0F">
        <w:rPr>
          <w:rFonts w:cstheme="minorHAnsi"/>
        </w:rPr>
        <w:t xml:space="preserve">65 </w:t>
      </w:r>
      <w:r w:rsidR="00611A0F">
        <w:t>which</w:t>
      </w:r>
      <w:r w:rsidR="005456B8">
        <w:t xml:space="preserve"> predicted </w:t>
      </w:r>
      <w:r w:rsidR="00175218">
        <w:t xml:space="preserve">health related </w:t>
      </w:r>
      <w:r w:rsidR="005456B8">
        <w:t xml:space="preserve">problems </w:t>
      </w:r>
      <w:r w:rsidR="00175218">
        <w:t>in</w:t>
      </w:r>
      <w:r>
        <w:t xml:space="preserve"> the five years </w:t>
      </w:r>
      <w:r w:rsidR="00175218">
        <w:t xml:space="preserve">following surgery for CRC </w:t>
      </w:r>
      <w:r>
        <w:t>were identified us</w:t>
      </w:r>
      <w:r w:rsidR="00175218">
        <w:t>ing</w:t>
      </w:r>
      <w:r w:rsidR="005456B8">
        <w:t xml:space="preserve"> a logistic regression model</w:t>
      </w:r>
      <w:r w:rsidR="00175218">
        <w:t xml:space="preserve"> (Table 3)</w:t>
      </w:r>
      <w:r w:rsidR="005456B8">
        <w:t xml:space="preserve">.  </w:t>
      </w:r>
      <w:r w:rsidR="00A02C53">
        <w:t xml:space="preserve">Predictors included being older, living in a deprived geographical area, having at least one comorbidity which the participant felt </w:t>
      </w:r>
      <w:r w:rsidR="00A02C53" w:rsidRPr="009325B6">
        <w:t>‘limited their typical daily activities’</w:t>
      </w:r>
      <w:r w:rsidR="00A02C53">
        <w:t xml:space="preserve">, receiving adjuvant chemo and/or radiotherapy, </w:t>
      </w:r>
      <w:r w:rsidR="00E30744">
        <w:t xml:space="preserve">having a stoma, not having adequate social support and having low self-efficacy (confidence to manage illness-related problems).  Further details of the associations which emerged are as follows.  </w:t>
      </w:r>
      <w:r w:rsidR="00A02C53">
        <w:t xml:space="preserve">Being older </w:t>
      </w:r>
      <w:r w:rsidR="00323CE3">
        <w:t xml:space="preserve">predicted greater problems with mobility and usual activities over follow-up.  This was most significant for oldest-old participants (p&lt;0.001) whose odds of reporting a problem with mobility or usual activities were four and two times higher respectively, in comparison with the youngest-old.  </w:t>
      </w:r>
      <w:bookmarkEnd w:id="6"/>
      <w:r w:rsidR="00323CE3">
        <w:t xml:space="preserve">Participants in the most deprived quintile had between two- and three-times higher odds of reporting problems with mobility, self-care and usual activities, in comparison with the least deprived quintile.  Participants with </w:t>
      </w:r>
      <w:r w:rsidR="00323CE3" w:rsidRPr="00507040">
        <w:t>at least one limit</w:t>
      </w:r>
      <w:r w:rsidR="00323CE3">
        <w:t>ing</w:t>
      </w:r>
      <w:r w:rsidR="00323CE3" w:rsidRPr="00507040">
        <w:t xml:space="preserve"> comorbidity </w:t>
      </w:r>
      <w:r w:rsidR="00AD6945">
        <w:t xml:space="preserve">pre-surgery </w:t>
      </w:r>
      <w:r w:rsidR="00323CE3">
        <w:t>had</w:t>
      </w:r>
      <w:r w:rsidR="00323CE3" w:rsidRPr="00507040">
        <w:t xml:space="preserve"> </w:t>
      </w:r>
      <w:r w:rsidR="00323CE3">
        <w:t>five</w:t>
      </w:r>
      <w:r w:rsidR="00323CE3" w:rsidRPr="00507040">
        <w:t xml:space="preserve"> times </w:t>
      </w:r>
      <w:r w:rsidR="00323CE3">
        <w:t>higher odds of reporting</w:t>
      </w:r>
      <w:r w:rsidR="00323CE3" w:rsidRPr="00507040">
        <w:t xml:space="preserve"> at least some problem with mobility over follow-up, </w:t>
      </w:r>
      <w:r w:rsidR="00323CE3">
        <w:t>and 3-4 times higher odds of</w:t>
      </w:r>
      <w:r w:rsidR="00323CE3" w:rsidRPr="007E4CE6">
        <w:rPr>
          <w:rFonts w:cstheme="minorHAnsi"/>
        </w:rPr>
        <w:t xml:space="preserve"> hav</w:t>
      </w:r>
      <w:r w:rsidR="00323CE3">
        <w:rPr>
          <w:rFonts w:cstheme="minorHAnsi"/>
        </w:rPr>
        <w:t>ing</w:t>
      </w:r>
      <w:r w:rsidR="00323CE3" w:rsidRPr="007E4CE6">
        <w:rPr>
          <w:rFonts w:cstheme="minorHAnsi"/>
        </w:rPr>
        <w:t xml:space="preserve"> problems </w:t>
      </w:r>
      <w:r w:rsidR="00323CE3" w:rsidRPr="002B7119">
        <w:rPr>
          <w:rFonts w:cstheme="minorHAnsi"/>
        </w:rPr>
        <w:t xml:space="preserve">with usual activities and pain/discomfort.  Participants who received adjuvant therapy (chemo- and/or radiotherapy) had nearly twice higher odds of reporting problems with self-care over five years post-surgery.  Participants without a stoma had significantly lower odds of reporting problems with usual activities </w:t>
      </w:r>
      <w:r w:rsidR="00323CE3" w:rsidRPr="002B7119">
        <w:t>(OR=0.50, 95%</w:t>
      </w:r>
      <w:r w:rsidR="00924AA1">
        <w:t>CI:</w:t>
      </w:r>
      <w:r w:rsidR="00323CE3" w:rsidRPr="002B7119">
        <w:t xml:space="preserve"> </w:t>
      </w:r>
      <w:r w:rsidR="00323CE3" w:rsidRPr="002B7119">
        <w:rPr>
          <w:rFonts w:eastAsia="Times New Roman" w:cstheme="minorHAnsi"/>
          <w:color w:val="000000"/>
          <w:lang w:eastAsia="en-GB"/>
        </w:rPr>
        <w:t>0.34</w:t>
      </w:r>
      <w:r w:rsidR="00323CE3">
        <w:rPr>
          <w:rFonts w:eastAsia="Times New Roman" w:cstheme="minorHAnsi"/>
          <w:color w:val="000000"/>
          <w:lang w:eastAsia="en-GB"/>
        </w:rPr>
        <w:t xml:space="preserve"> to </w:t>
      </w:r>
      <w:r w:rsidR="00323CE3" w:rsidRPr="002B7119">
        <w:rPr>
          <w:rFonts w:eastAsia="Times New Roman" w:cstheme="minorHAnsi"/>
          <w:color w:val="000000"/>
          <w:lang w:eastAsia="en-GB"/>
        </w:rPr>
        <w:t>0.74</w:t>
      </w:r>
      <w:r w:rsidR="00323CE3" w:rsidRPr="002B7119">
        <w:t xml:space="preserve">) </w:t>
      </w:r>
      <w:r w:rsidR="00323CE3" w:rsidRPr="002B7119">
        <w:rPr>
          <w:rFonts w:cstheme="minorHAnsi"/>
        </w:rPr>
        <w:t xml:space="preserve">and pain/discomfort </w:t>
      </w:r>
      <w:r w:rsidR="00323CE3" w:rsidRPr="002B7119">
        <w:t>(OR=0.64, 95%</w:t>
      </w:r>
      <w:r w:rsidR="00924AA1">
        <w:t>CI:</w:t>
      </w:r>
      <w:r w:rsidR="00323CE3" w:rsidRPr="002B7119">
        <w:t xml:space="preserve"> </w:t>
      </w:r>
      <w:r w:rsidR="00323CE3" w:rsidRPr="002B7119">
        <w:rPr>
          <w:rFonts w:eastAsia="Times New Roman" w:cstheme="minorHAnsi"/>
          <w:color w:val="000000"/>
          <w:lang w:eastAsia="en-GB"/>
        </w:rPr>
        <w:t>0.44</w:t>
      </w:r>
      <w:r w:rsidR="00323CE3">
        <w:rPr>
          <w:rFonts w:eastAsia="Times New Roman" w:cstheme="minorHAnsi"/>
          <w:color w:val="000000"/>
          <w:lang w:eastAsia="en-GB"/>
        </w:rPr>
        <w:t xml:space="preserve"> to </w:t>
      </w:r>
      <w:r w:rsidR="00323CE3" w:rsidRPr="002B7119">
        <w:rPr>
          <w:rFonts w:eastAsia="Times New Roman" w:cstheme="minorHAnsi"/>
          <w:color w:val="000000"/>
          <w:lang w:eastAsia="en-GB"/>
        </w:rPr>
        <w:t>0.92</w:t>
      </w:r>
      <w:r w:rsidR="00323CE3" w:rsidRPr="002B7119">
        <w:t>)</w:t>
      </w:r>
      <w:r w:rsidR="00323CE3" w:rsidRPr="002B7119">
        <w:rPr>
          <w:rFonts w:cstheme="minorHAnsi"/>
        </w:rPr>
        <w:t xml:space="preserve">.  </w:t>
      </w:r>
      <w:bookmarkStart w:id="7" w:name="_Hlk50710137"/>
      <w:r w:rsidR="00323CE3" w:rsidRPr="002B7119">
        <w:rPr>
          <w:rFonts w:cstheme="minorHAnsi"/>
          <w:lang w:val="en-US"/>
        </w:rPr>
        <w:t xml:space="preserve">Adequate social support </w:t>
      </w:r>
      <w:r w:rsidR="00AD6945">
        <w:rPr>
          <w:rFonts w:cstheme="minorHAnsi"/>
          <w:lang w:val="en-US"/>
        </w:rPr>
        <w:t xml:space="preserve">pre-surgery </w:t>
      </w:r>
      <w:r w:rsidR="00323CE3" w:rsidRPr="002B7119">
        <w:rPr>
          <w:rFonts w:cstheme="minorHAnsi"/>
          <w:lang w:val="en-US"/>
        </w:rPr>
        <w:t xml:space="preserve">was predictive of less problems with </w:t>
      </w:r>
      <w:bookmarkStart w:id="8" w:name="_Hlk50720580"/>
      <w:r w:rsidR="00323CE3" w:rsidRPr="002B7119">
        <w:rPr>
          <w:rFonts w:cstheme="minorHAnsi"/>
          <w:lang w:val="en-US"/>
        </w:rPr>
        <w:t>usual activities (OR=0.62, 95%</w:t>
      </w:r>
      <w:r w:rsidR="00924AA1">
        <w:rPr>
          <w:rFonts w:cstheme="minorHAnsi"/>
          <w:lang w:val="en-US"/>
        </w:rPr>
        <w:t>CI:</w:t>
      </w:r>
      <w:r w:rsidR="00323CE3" w:rsidRPr="002B7119">
        <w:rPr>
          <w:rFonts w:cstheme="minorHAnsi"/>
          <w:lang w:val="en-US"/>
        </w:rPr>
        <w:t xml:space="preserve"> </w:t>
      </w:r>
      <w:r w:rsidR="00323CE3" w:rsidRPr="002B7119">
        <w:rPr>
          <w:rFonts w:eastAsia="Times New Roman" w:cstheme="minorHAnsi"/>
          <w:color w:val="000000"/>
          <w:lang w:eastAsia="en-GB"/>
        </w:rPr>
        <w:t>0.42</w:t>
      </w:r>
      <w:r w:rsidR="00323CE3">
        <w:rPr>
          <w:rFonts w:eastAsia="Times New Roman" w:cstheme="minorHAnsi"/>
          <w:color w:val="000000"/>
          <w:lang w:eastAsia="en-GB"/>
        </w:rPr>
        <w:t xml:space="preserve"> to </w:t>
      </w:r>
      <w:r w:rsidR="00323CE3" w:rsidRPr="002B7119">
        <w:rPr>
          <w:rFonts w:eastAsia="Times New Roman" w:cstheme="minorHAnsi"/>
          <w:color w:val="000000"/>
          <w:lang w:eastAsia="en-GB"/>
        </w:rPr>
        <w:t>0.91</w:t>
      </w:r>
      <w:r w:rsidR="00323CE3" w:rsidRPr="002B7119">
        <w:rPr>
          <w:rFonts w:cstheme="minorHAnsi"/>
          <w:lang w:val="en-US"/>
        </w:rPr>
        <w:t xml:space="preserve">) and anxiety/depression (OR=0.56 </w:t>
      </w:r>
      <w:r w:rsidR="00323CE3" w:rsidRPr="002B7119">
        <w:rPr>
          <w:rFonts w:eastAsia="Times New Roman" w:cstheme="minorHAnsi"/>
          <w:color w:val="000000"/>
          <w:lang w:eastAsia="en-GB"/>
        </w:rPr>
        <w:t>95%</w:t>
      </w:r>
      <w:r w:rsidR="00924AA1">
        <w:rPr>
          <w:rFonts w:eastAsia="Times New Roman" w:cstheme="minorHAnsi"/>
          <w:color w:val="000000"/>
          <w:lang w:eastAsia="en-GB"/>
        </w:rPr>
        <w:t>CI:</w:t>
      </w:r>
      <w:r w:rsidR="00323CE3" w:rsidRPr="002B7119">
        <w:rPr>
          <w:rFonts w:eastAsia="Times New Roman" w:cstheme="minorHAnsi"/>
          <w:color w:val="000000"/>
          <w:lang w:eastAsia="en-GB"/>
        </w:rPr>
        <w:t xml:space="preserve"> 0.37</w:t>
      </w:r>
      <w:r w:rsidR="00323CE3">
        <w:rPr>
          <w:rFonts w:eastAsia="Times New Roman" w:cstheme="minorHAnsi"/>
          <w:color w:val="000000"/>
          <w:lang w:eastAsia="en-GB"/>
        </w:rPr>
        <w:t xml:space="preserve"> to </w:t>
      </w:r>
      <w:r w:rsidR="00323CE3" w:rsidRPr="002B7119">
        <w:rPr>
          <w:rFonts w:eastAsia="Times New Roman" w:cstheme="minorHAnsi"/>
          <w:color w:val="000000"/>
          <w:lang w:eastAsia="en-GB"/>
        </w:rPr>
        <w:t>0.84)</w:t>
      </w:r>
      <w:r w:rsidR="00323CE3" w:rsidRPr="002B7119">
        <w:rPr>
          <w:rFonts w:cstheme="minorHAnsi"/>
          <w:lang w:val="en-US"/>
        </w:rPr>
        <w:t xml:space="preserve">.  </w:t>
      </w:r>
      <w:r w:rsidR="00323CE3" w:rsidRPr="002B7119">
        <w:rPr>
          <w:rFonts w:cstheme="minorHAnsi"/>
        </w:rPr>
        <w:t>Self</w:t>
      </w:r>
      <w:bookmarkEnd w:id="8"/>
      <w:r w:rsidR="00323CE3" w:rsidRPr="002B7119">
        <w:rPr>
          <w:rFonts w:cstheme="minorHAnsi"/>
        </w:rPr>
        <w:t xml:space="preserve">-efficacy demonstrated significant associations with each of the EQ-5D domains.  Compared to those with low confidence </w:t>
      </w:r>
      <w:r w:rsidR="00AD6945">
        <w:rPr>
          <w:rFonts w:cstheme="minorHAnsi"/>
        </w:rPr>
        <w:t>pre-surgery</w:t>
      </w:r>
      <w:r w:rsidR="00323CE3" w:rsidRPr="002B7119">
        <w:rPr>
          <w:rFonts w:cstheme="minorHAnsi"/>
        </w:rPr>
        <w:t>, very confident</w:t>
      </w:r>
      <w:r w:rsidR="00323CE3" w:rsidRPr="004C2074">
        <w:rPr>
          <w:rFonts w:cstheme="minorHAnsi"/>
        </w:rPr>
        <w:t xml:space="preserve"> participants had between 70% and 90% lower odds</w:t>
      </w:r>
      <w:r w:rsidR="00323CE3">
        <w:rPr>
          <w:rFonts w:cstheme="minorHAnsi"/>
        </w:rPr>
        <w:t xml:space="preserve"> of reporting any post-surgery </w:t>
      </w:r>
      <w:r w:rsidR="00323CE3">
        <w:rPr>
          <w:rFonts w:cstheme="minorHAnsi"/>
        </w:rPr>
        <w:lastRenderedPageBreak/>
        <w:t>problems with mobility, self-care, usual activities, pain/discomfort and anxiety/depression over the five-year follow-up.</w:t>
      </w:r>
    </w:p>
    <w:bookmarkEnd w:id="7"/>
    <w:p w14:paraId="1D2C3D63" w14:textId="77777777" w:rsidR="00323CE3" w:rsidRDefault="00323CE3" w:rsidP="00D276D9">
      <w:pPr>
        <w:spacing w:after="0" w:line="480" w:lineRule="auto"/>
        <w:rPr>
          <w:rFonts w:cstheme="minorHAnsi"/>
          <w:b/>
          <w:color w:val="385623" w:themeColor="accent6" w:themeShade="80"/>
          <w:u w:val="single"/>
        </w:rPr>
      </w:pPr>
    </w:p>
    <w:p w14:paraId="0CF69E9B" w14:textId="24745173" w:rsidR="003765AF" w:rsidRPr="00AF1F8A" w:rsidRDefault="003765AF" w:rsidP="003765AF">
      <w:pPr>
        <w:spacing w:after="0" w:line="480" w:lineRule="auto"/>
        <w:rPr>
          <w:b/>
          <w:bCs/>
        </w:rPr>
      </w:pPr>
      <w:r w:rsidRPr="00AF1F8A">
        <w:rPr>
          <w:b/>
          <w:bCs/>
        </w:rPr>
        <w:t>Table 3</w:t>
      </w:r>
      <w:r w:rsidR="00765419">
        <w:rPr>
          <w:b/>
          <w:bCs/>
        </w:rPr>
        <w:t xml:space="preserve">. </w:t>
      </w:r>
      <w:r w:rsidRPr="00AF1F8A">
        <w:rPr>
          <w:b/>
          <w:bCs/>
        </w:rPr>
        <w:t>Logistic regression models predicting health problems separately in five EQ-5D domains over the five-year follow-up post-surgery</w:t>
      </w:r>
      <w:r w:rsidR="00AC1CF7">
        <w:rPr>
          <w:b/>
          <w:bCs/>
        </w:rPr>
        <w:t>, p</w:t>
      </w:r>
      <w:r w:rsidRPr="00AF1F8A">
        <w:rPr>
          <w:b/>
          <w:bCs/>
        </w:rPr>
        <w:t>redictors collected at baseline (pre-surgery), presented coefficients converted to odds ratios (ORs) and 95% confidence intervals (CI)</w:t>
      </w:r>
    </w:p>
    <w:tbl>
      <w:tblPr>
        <w:tblW w:w="10011" w:type="dxa"/>
        <w:tblInd w:w="-5" w:type="dxa"/>
        <w:tblLayout w:type="fixed"/>
        <w:tblLook w:val="04A0" w:firstRow="1" w:lastRow="0" w:firstColumn="1" w:lastColumn="0" w:noHBand="0" w:noVBand="1"/>
      </w:tblPr>
      <w:tblGrid>
        <w:gridCol w:w="3534"/>
        <w:gridCol w:w="1295"/>
        <w:gridCol w:w="1295"/>
        <w:gridCol w:w="1296"/>
        <w:gridCol w:w="1295"/>
        <w:gridCol w:w="1296"/>
      </w:tblGrid>
      <w:tr w:rsidR="003765AF" w:rsidRPr="00B87718" w14:paraId="1318FB3B" w14:textId="77777777" w:rsidTr="001A0EA2">
        <w:trPr>
          <w:trHeight w:val="20"/>
        </w:trPr>
        <w:tc>
          <w:tcPr>
            <w:tcW w:w="3534" w:type="dxa"/>
            <w:vMerge w:val="restart"/>
            <w:tcBorders>
              <w:top w:val="single" w:sz="12" w:space="0" w:color="auto"/>
              <w:left w:val="single" w:sz="12" w:space="0" w:color="auto"/>
              <w:right w:val="single" w:sz="4" w:space="0" w:color="auto"/>
            </w:tcBorders>
            <w:shd w:val="clear" w:color="auto" w:fill="A6A6A6" w:themeFill="background1" w:themeFillShade="A6"/>
            <w:noWrap/>
            <w:vAlign w:val="center"/>
          </w:tcPr>
          <w:p w14:paraId="76220AF9" w14:textId="77777777" w:rsidR="003765AF" w:rsidRPr="00B87718" w:rsidRDefault="003765AF" w:rsidP="001A0EA2">
            <w:pPr>
              <w:spacing w:after="0" w:line="480" w:lineRule="auto"/>
              <w:rPr>
                <w:rFonts w:eastAsia="Times New Roman" w:cstheme="minorHAnsi"/>
                <w:b/>
                <w:bCs/>
                <w:color w:val="000000"/>
                <w:sz w:val="18"/>
                <w:szCs w:val="18"/>
                <w:lang w:eastAsia="en-GB"/>
              </w:rPr>
            </w:pPr>
            <w:r w:rsidRPr="00B87718">
              <w:rPr>
                <w:rFonts w:eastAsia="Times New Roman" w:cstheme="minorHAnsi"/>
                <w:b/>
                <w:bCs/>
                <w:color w:val="000000"/>
                <w:sz w:val="18"/>
                <w:szCs w:val="18"/>
                <w:lang w:eastAsia="en-GB"/>
              </w:rPr>
              <w:t>Predictors at Baseline</w:t>
            </w:r>
          </w:p>
        </w:tc>
        <w:tc>
          <w:tcPr>
            <w:tcW w:w="6477" w:type="dxa"/>
            <w:gridSpan w:val="5"/>
            <w:tcBorders>
              <w:top w:val="single" w:sz="12" w:space="0" w:color="auto"/>
              <w:left w:val="nil"/>
              <w:bottom w:val="nil"/>
              <w:right w:val="single" w:sz="12" w:space="0" w:color="auto"/>
            </w:tcBorders>
            <w:shd w:val="clear" w:color="auto" w:fill="A6A6A6" w:themeFill="background1" w:themeFillShade="A6"/>
            <w:vAlign w:val="bottom"/>
          </w:tcPr>
          <w:p w14:paraId="130BEF4A" w14:textId="77777777" w:rsidR="003765AF" w:rsidRPr="00B87718" w:rsidRDefault="003765AF" w:rsidP="001A0EA2">
            <w:pPr>
              <w:spacing w:after="0" w:line="480" w:lineRule="auto"/>
              <w:jc w:val="center"/>
              <w:rPr>
                <w:rFonts w:eastAsia="Times New Roman" w:cstheme="minorHAnsi"/>
                <w:b/>
                <w:bCs/>
                <w:color w:val="000000"/>
                <w:sz w:val="18"/>
                <w:szCs w:val="18"/>
                <w:lang w:eastAsia="en-GB"/>
              </w:rPr>
            </w:pPr>
            <w:r w:rsidRPr="00B87718">
              <w:rPr>
                <w:rFonts w:eastAsia="Times New Roman" w:cstheme="minorHAnsi"/>
                <w:b/>
                <w:bCs/>
                <w:color w:val="000000"/>
                <w:sz w:val="18"/>
                <w:szCs w:val="18"/>
                <w:lang w:eastAsia="en-GB"/>
              </w:rPr>
              <w:t>Health Status (EQ-5D) Outcomes</w:t>
            </w:r>
          </w:p>
          <w:p w14:paraId="4BE7B509" w14:textId="77777777" w:rsidR="003765AF" w:rsidRPr="00B87718" w:rsidRDefault="003765AF" w:rsidP="001A0EA2">
            <w:pPr>
              <w:spacing w:after="0" w:line="480" w:lineRule="auto"/>
              <w:jc w:val="center"/>
              <w:rPr>
                <w:rFonts w:eastAsia="Times New Roman" w:cstheme="minorHAnsi"/>
                <w:b/>
                <w:bCs/>
                <w:color w:val="000000"/>
                <w:sz w:val="18"/>
                <w:szCs w:val="18"/>
                <w:lang w:eastAsia="en-GB"/>
              </w:rPr>
            </w:pPr>
            <w:r w:rsidRPr="00B87718">
              <w:rPr>
                <w:rFonts w:eastAsia="Times New Roman" w:cstheme="minorHAnsi"/>
                <w:b/>
                <w:bCs/>
                <w:color w:val="000000"/>
                <w:sz w:val="18"/>
                <w:szCs w:val="18"/>
                <w:lang w:eastAsia="en-GB"/>
              </w:rPr>
              <w:t>OR (95% CI)</w:t>
            </w:r>
          </w:p>
        </w:tc>
      </w:tr>
      <w:tr w:rsidR="003765AF" w:rsidRPr="00B87718" w14:paraId="5FAED72D" w14:textId="77777777" w:rsidTr="001A0EA2">
        <w:trPr>
          <w:trHeight w:val="20"/>
        </w:trPr>
        <w:tc>
          <w:tcPr>
            <w:tcW w:w="3534" w:type="dxa"/>
            <w:vMerge/>
            <w:tcBorders>
              <w:left w:val="single" w:sz="12" w:space="0" w:color="auto"/>
              <w:bottom w:val="single" w:sz="12" w:space="0" w:color="auto"/>
              <w:right w:val="single" w:sz="4" w:space="0" w:color="auto"/>
            </w:tcBorders>
            <w:shd w:val="clear" w:color="auto" w:fill="A6A6A6" w:themeFill="background1" w:themeFillShade="A6"/>
            <w:noWrap/>
            <w:vAlign w:val="center"/>
            <w:hideMark/>
          </w:tcPr>
          <w:p w14:paraId="406ABB8F" w14:textId="77777777" w:rsidR="003765AF" w:rsidRPr="00B87718" w:rsidRDefault="003765AF" w:rsidP="001A0EA2">
            <w:pPr>
              <w:spacing w:after="0" w:line="480" w:lineRule="auto"/>
              <w:rPr>
                <w:rFonts w:eastAsia="Times New Roman" w:cstheme="minorHAnsi"/>
                <w:b/>
                <w:bCs/>
                <w:color w:val="000000"/>
                <w:sz w:val="18"/>
                <w:szCs w:val="18"/>
                <w:lang w:eastAsia="en-GB"/>
              </w:rPr>
            </w:pPr>
          </w:p>
        </w:tc>
        <w:tc>
          <w:tcPr>
            <w:tcW w:w="1295" w:type="dxa"/>
            <w:tcBorders>
              <w:top w:val="single" w:sz="4" w:space="0" w:color="auto"/>
              <w:left w:val="nil"/>
              <w:bottom w:val="single" w:sz="12" w:space="0" w:color="auto"/>
              <w:right w:val="single" w:sz="4" w:space="0" w:color="auto"/>
            </w:tcBorders>
            <w:shd w:val="clear" w:color="auto" w:fill="A6A6A6" w:themeFill="background1" w:themeFillShade="A6"/>
            <w:hideMark/>
          </w:tcPr>
          <w:p w14:paraId="59AA2E78" w14:textId="77777777" w:rsidR="003765AF" w:rsidRPr="00B87718" w:rsidRDefault="003765AF" w:rsidP="001A0EA2">
            <w:pPr>
              <w:spacing w:after="0" w:line="480" w:lineRule="auto"/>
              <w:jc w:val="center"/>
              <w:rPr>
                <w:rFonts w:eastAsia="Times New Roman" w:cstheme="minorHAnsi"/>
                <w:b/>
                <w:bCs/>
                <w:color w:val="000000"/>
                <w:sz w:val="18"/>
                <w:szCs w:val="18"/>
                <w:lang w:eastAsia="en-GB"/>
              </w:rPr>
            </w:pPr>
            <w:r w:rsidRPr="00B87718">
              <w:rPr>
                <w:rFonts w:eastAsia="Times New Roman" w:cstheme="minorHAnsi"/>
                <w:b/>
                <w:bCs/>
                <w:color w:val="000000"/>
                <w:sz w:val="18"/>
                <w:szCs w:val="18"/>
                <w:lang w:eastAsia="en-GB"/>
              </w:rPr>
              <w:t>Mobility</w:t>
            </w:r>
          </w:p>
        </w:tc>
        <w:tc>
          <w:tcPr>
            <w:tcW w:w="1295" w:type="dxa"/>
            <w:tcBorders>
              <w:top w:val="single" w:sz="4" w:space="0" w:color="auto"/>
              <w:left w:val="nil"/>
              <w:bottom w:val="single" w:sz="12" w:space="0" w:color="auto"/>
              <w:right w:val="single" w:sz="4" w:space="0" w:color="auto"/>
            </w:tcBorders>
            <w:shd w:val="clear" w:color="auto" w:fill="A6A6A6" w:themeFill="background1" w:themeFillShade="A6"/>
            <w:hideMark/>
          </w:tcPr>
          <w:p w14:paraId="70C5A368" w14:textId="77777777" w:rsidR="003765AF" w:rsidRPr="00B87718" w:rsidRDefault="003765AF" w:rsidP="001A0EA2">
            <w:pPr>
              <w:spacing w:after="0" w:line="480" w:lineRule="auto"/>
              <w:jc w:val="center"/>
              <w:rPr>
                <w:rFonts w:eastAsia="Times New Roman" w:cstheme="minorHAnsi"/>
                <w:b/>
                <w:bCs/>
                <w:color w:val="000000"/>
                <w:sz w:val="18"/>
                <w:szCs w:val="18"/>
                <w:lang w:eastAsia="en-GB"/>
              </w:rPr>
            </w:pPr>
            <w:r w:rsidRPr="00B87718">
              <w:rPr>
                <w:rFonts w:eastAsia="Times New Roman" w:cstheme="minorHAnsi"/>
                <w:b/>
                <w:bCs/>
                <w:color w:val="000000"/>
                <w:sz w:val="18"/>
                <w:szCs w:val="18"/>
                <w:lang w:eastAsia="en-GB"/>
              </w:rPr>
              <w:t>Self-care</w:t>
            </w:r>
          </w:p>
        </w:tc>
        <w:tc>
          <w:tcPr>
            <w:tcW w:w="1296" w:type="dxa"/>
            <w:tcBorders>
              <w:top w:val="single" w:sz="4" w:space="0" w:color="auto"/>
              <w:left w:val="nil"/>
              <w:bottom w:val="single" w:sz="12" w:space="0" w:color="auto"/>
              <w:right w:val="single" w:sz="4" w:space="0" w:color="auto"/>
            </w:tcBorders>
            <w:shd w:val="clear" w:color="auto" w:fill="A6A6A6" w:themeFill="background1" w:themeFillShade="A6"/>
            <w:vAlign w:val="bottom"/>
            <w:hideMark/>
          </w:tcPr>
          <w:p w14:paraId="691AC99C" w14:textId="77777777" w:rsidR="003765AF" w:rsidRPr="00B87718" w:rsidRDefault="003765AF" w:rsidP="001A0EA2">
            <w:pPr>
              <w:spacing w:after="0" w:line="480" w:lineRule="auto"/>
              <w:jc w:val="center"/>
              <w:rPr>
                <w:rFonts w:eastAsia="Times New Roman" w:cstheme="minorHAnsi"/>
                <w:b/>
                <w:bCs/>
                <w:color w:val="000000"/>
                <w:sz w:val="18"/>
                <w:szCs w:val="18"/>
                <w:lang w:eastAsia="en-GB"/>
              </w:rPr>
            </w:pPr>
            <w:r w:rsidRPr="00B87718">
              <w:rPr>
                <w:rFonts w:eastAsia="Times New Roman" w:cstheme="minorHAnsi"/>
                <w:b/>
                <w:bCs/>
                <w:color w:val="000000"/>
                <w:sz w:val="18"/>
                <w:szCs w:val="18"/>
                <w:lang w:eastAsia="en-GB"/>
              </w:rPr>
              <w:t>Usual activities</w:t>
            </w:r>
          </w:p>
        </w:tc>
        <w:tc>
          <w:tcPr>
            <w:tcW w:w="1295" w:type="dxa"/>
            <w:tcBorders>
              <w:top w:val="single" w:sz="4" w:space="0" w:color="auto"/>
              <w:left w:val="nil"/>
              <w:bottom w:val="single" w:sz="12" w:space="0" w:color="auto"/>
              <w:right w:val="single" w:sz="4" w:space="0" w:color="auto"/>
            </w:tcBorders>
            <w:shd w:val="clear" w:color="auto" w:fill="A6A6A6" w:themeFill="background1" w:themeFillShade="A6"/>
            <w:vAlign w:val="bottom"/>
            <w:hideMark/>
          </w:tcPr>
          <w:p w14:paraId="43B55730" w14:textId="77777777" w:rsidR="003765AF" w:rsidRPr="00B87718" w:rsidRDefault="003765AF" w:rsidP="001A0EA2">
            <w:pPr>
              <w:spacing w:after="0" w:line="480" w:lineRule="auto"/>
              <w:jc w:val="center"/>
              <w:rPr>
                <w:rFonts w:eastAsia="Times New Roman" w:cstheme="minorHAnsi"/>
                <w:b/>
                <w:bCs/>
                <w:color w:val="000000"/>
                <w:sz w:val="18"/>
                <w:szCs w:val="18"/>
                <w:lang w:eastAsia="en-GB"/>
              </w:rPr>
            </w:pPr>
            <w:r w:rsidRPr="00B87718">
              <w:rPr>
                <w:rFonts w:eastAsia="Times New Roman" w:cstheme="minorHAnsi"/>
                <w:b/>
                <w:bCs/>
                <w:color w:val="000000"/>
                <w:sz w:val="18"/>
                <w:szCs w:val="18"/>
                <w:lang w:eastAsia="en-GB"/>
              </w:rPr>
              <w:t>Pain/ discomfort</w:t>
            </w:r>
          </w:p>
        </w:tc>
        <w:tc>
          <w:tcPr>
            <w:tcW w:w="1296" w:type="dxa"/>
            <w:tcBorders>
              <w:top w:val="single" w:sz="4" w:space="0" w:color="auto"/>
              <w:left w:val="nil"/>
              <w:bottom w:val="single" w:sz="12" w:space="0" w:color="auto"/>
              <w:right w:val="single" w:sz="12" w:space="0" w:color="auto"/>
            </w:tcBorders>
            <w:shd w:val="clear" w:color="auto" w:fill="A6A6A6" w:themeFill="background1" w:themeFillShade="A6"/>
            <w:vAlign w:val="bottom"/>
            <w:hideMark/>
          </w:tcPr>
          <w:p w14:paraId="1EDEAD66" w14:textId="77777777" w:rsidR="003765AF" w:rsidRPr="00B87718" w:rsidRDefault="003765AF" w:rsidP="001A0EA2">
            <w:pPr>
              <w:spacing w:after="0" w:line="480" w:lineRule="auto"/>
              <w:jc w:val="center"/>
              <w:rPr>
                <w:rFonts w:eastAsia="Times New Roman" w:cstheme="minorHAnsi"/>
                <w:b/>
                <w:bCs/>
                <w:color w:val="000000"/>
                <w:sz w:val="18"/>
                <w:szCs w:val="18"/>
                <w:lang w:eastAsia="en-GB"/>
              </w:rPr>
            </w:pPr>
            <w:r w:rsidRPr="00B87718">
              <w:rPr>
                <w:rFonts w:eastAsia="Times New Roman" w:cstheme="minorHAnsi"/>
                <w:b/>
                <w:bCs/>
                <w:color w:val="000000"/>
                <w:sz w:val="18"/>
                <w:szCs w:val="18"/>
                <w:lang w:eastAsia="en-GB"/>
              </w:rPr>
              <w:t>Anxiety/ depression</w:t>
            </w:r>
          </w:p>
        </w:tc>
      </w:tr>
      <w:tr w:rsidR="003765AF" w:rsidRPr="00B87718" w14:paraId="1B64902B" w14:textId="77777777" w:rsidTr="001A0EA2">
        <w:trPr>
          <w:trHeight w:val="20"/>
        </w:trPr>
        <w:tc>
          <w:tcPr>
            <w:tcW w:w="353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181D13B"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Age (ref: 65-69 years)</w:t>
            </w:r>
          </w:p>
        </w:tc>
        <w:tc>
          <w:tcPr>
            <w:tcW w:w="1295" w:type="dxa"/>
            <w:tcBorders>
              <w:top w:val="single" w:sz="12" w:space="0" w:color="auto"/>
              <w:left w:val="nil"/>
              <w:bottom w:val="single" w:sz="4" w:space="0" w:color="auto"/>
              <w:right w:val="single" w:sz="4" w:space="0" w:color="auto"/>
            </w:tcBorders>
            <w:shd w:val="clear" w:color="auto" w:fill="auto"/>
            <w:noWrap/>
            <w:vAlign w:val="bottom"/>
            <w:hideMark/>
          </w:tcPr>
          <w:p w14:paraId="7C44B63F"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 </w:t>
            </w:r>
          </w:p>
        </w:tc>
        <w:tc>
          <w:tcPr>
            <w:tcW w:w="1295" w:type="dxa"/>
            <w:tcBorders>
              <w:top w:val="single" w:sz="12" w:space="0" w:color="auto"/>
              <w:left w:val="nil"/>
              <w:bottom w:val="single" w:sz="4" w:space="0" w:color="auto"/>
              <w:right w:val="single" w:sz="4" w:space="0" w:color="auto"/>
            </w:tcBorders>
            <w:shd w:val="clear" w:color="auto" w:fill="auto"/>
            <w:noWrap/>
            <w:vAlign w:val="bottom"/>
            <w:hideMark/>
          </w:tcPr>
          <w:p w14:paraId="73108BB7"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 </w:t>
            </w:r>
          </w:p>
        </w:tc>
        <w:tc>
          <w:tcPr>
            <w:tcW w:w="1296" w:type="dxa"/>
            <w:tcBorders>
              <w:top w:val="single" w:sz="12" w:space="0" w:color="auto"/>
              <w:left w:val="nil"/>
              <w:bottom w:val="single" w:sz="4" w:space="0" w:color="auto"/>
              <w:right w:val="single" w:sz="4" w:space="0" w:color="auto"/>
            </w:tcBorders>
            <w:shd w:val="clear" w:color="auto" w:fill="auto"/>
            <w:noWrap/>
            <w:vAlign w:val="bottom"/>
            <w:hideMark/>
          </w:tcPr>
          <w:p w14:paraId="5CCCDCFF"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 </w:t>
            </w:r>
          </w:p>
        </w:tc>
        <w:tc>
          <w:tcPr>
            <w:tcW w:w="1295" w:type="dxa"/>
            <w:tcBorders>
              <w:top w:val="single" w:sz="12" w:space="0" w:color="auto"/>
              <w:left w:val="nil"/>
              <w:bottom w:val="single" w:sz="4" w:space="0" w:color="auto"/>
              <w:right w:val="single" w:sz="4" w:space="0" w:color="auto"/>
            </w:tcBorders>
            <w:shd w:val="clear" w:color="auto" w:fill="auto"/>
            <w:noWrap/>
            <w:vAlign w:val="bottom"/>
            <w:hideMark/>
          </w:tcPr>
          <w:p w14:paraId="3A4703AB"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 </w:t>
            </w:r>
          </w:p>
        </w:tc>
        <w:tc>
          <w:tcPr>
            <w:tcW w:w="1296" w:type="dxa"/>
            <w:tcBorders>
              <w:top w:val="single" w:sz="12" w:space="0" w:color="auto"/>
              <w:left w:val="nil"/>
              <w:bottom w:val="single" w:sz="4" w:space="0" w:color="auto"/>
              <w:right w:val="single" w:sz="12" w:space="0" w:color="auto"/>
            </w:tcBorders>
            <w:shd w:val="clear" w:color="auto" w:fill="auto"/>
            <w:noWrap/>
            <w:vAlign w:val="bottom"/>
            <w:hideMark/>
          </w:tcPr>
          <w:p w14:paraId="51649993"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 </w:t>
            </w:r>
          </w:p>
        </w:tc>
      </w:tr>
      <w:tr w:rsidR="003765AF" w:rsidRPr="00B87718" w14:paraId="00184082" w14:textId="77777777" w:rsidTr="001A0EA2">
        <w:trPr>
          <w:trHeight w:val="20"/>
        </w:trPr>
        <w:tc>
          <w:tcPr>
            <w:tcW w:w="3534" w:type="dxa"/>
            <w:tcBorders>
              <w:top w:val="nil"/>
              <w:left w:val="single" w:sz="12" w:space="0" w:color="auto"/>
              <w:bottom w:val="single" w:sz="4" w:space="0" w:color="auto"/>
              <w:right w:val="single" w:sz="4" w:space="0" w:color="auto"/>
            </w:tcBorders>
            <w:shd w:val="clear" w:color="auto" w:fill="auto"/>
            <w:noWrap/>
            <w:hideMark/>
          </w:tcPr>
          <w:p w14:paraId="7BFB8D72"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70-74 years</w:t>
            </w:r>
          </w:p>
        </w:tc>
        <w:tc>
          <w:tcPr>
            <w:tcW w:w="1295" w:type="dxa"/>
            <w:tcBorders>
              <w:top w:val="nil"/>
              <w:left w:val="nil"/>
              <w:bottom w:val="single" w:sz="4" w:space="0" w:color="auto"/>
              <w:right w:val="single" w:sz="4" w:space="0" w:color="auto"/>
            </w:tcBorders>
            <w:shd w:val="clear" w:color="auto" w:fill="auto"/>
            <w:noWrap/>
            <w:vAlign w:val="bottom"/>
            <w:hideMark/>
          </w:tcPr>
          <w:p w14:paraId="7C6E47B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1.60</w:t>
            </w:r>
          </w:p>
          <w:p w14:paraId="2DC2610B"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(0.93</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2.76)</w:t>
            </w:r>
          </w:p>
        </w:tc>
        <w:tc>
          <w:tcPr>
            <w:tcW w:w="1295" w:type="dxa"/>
            <w:tcBorders>
              <w:top w:val="nil"/>
              <w:left w:val="nil"/>
              <w:bottom w:val="single" w:sz="4" w:space="0" w:color="auto"/>
              <w:right w:val="single" w:sz="4" w:space="0" w:color="auto"/>
            </w:tcBorders>
            <w:shd w:val="clear" w:color="auto" w:fill="auto"/>
            <w:noWrap/>
            <w:vAlign w:val="bottom"/>
            <w:hideMark/>
          </w:tcPr>
          <w:p w14:paraId="1511BEF0"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4" w:space="0" w:color="auto"/>
            </w:tcBorders>
            <w:shd w:val="clear" w:color="auto" w:fill="auto"/>
            <w:noWrap/>
            <w:vAlign w:val="bottom"/>
            <w:hideMark/>
          </w:tcPr>
          <w:p w14:paraId="64D6ABCA"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1.08</w:t>
            </w:r>
          </w:p>
          <w:p w14:paraId="1A8963D7"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(0.68</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1.69)</w:t>
            </w:r>
          </w:p>
        </w:tc>
        <w:tc>
          <w:tcPr>
            <w:tcW w:w="1295" w:type="dxa"/>
            <w:tcBorders>
              <w:top w:val="nil"/>
              <w:left w:val="nil"/>
              <w:bottom w:val="single" w:sz="4" w:space="0" w:color="auto"/>
              <w:right w:val="single" w:sz="4" w:space="0" w:color="auto"/>
            </w:tcBorders>
            <w:shd w:val="clear" w:color="auto" w:fill="auto"/>
            <w:noWrap/>
            <w:vAlign w:val="bottom"/>
            <w:hideMark/>
          </w:tcPr>
          <w:p w14:paraId="23C7E176"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12" w:space="0" w:color="auto"/>
            </w:tcBorders>
            <w:shd w:val="clear" w:color="auto" w:fill="auto"/>
            <w:noWrap/>
            <w:vAlign w:val="bottom"/>
            <w:hideMark/>
          </w:tcPr>
          <w:p w14:paraId="462121BE"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44CBAD25" w14:textId="77777777" w:rsidTr="001A0EA2">
        <w:trPr>
          <w:trHeight w:val="20"/>
        </w:trPr>
        <w:tc>
          <w:tcPr>
            <w:tcW w:w="3534" w:type="dxa"/>
            <w:tcBorders>
              <w:top w:val="nil"/>
              <w:left w:val="single" w:sz="12" w:space="0" w:color="auto"/>
              <w:bottom w:val="single" w:sz="4" w:space="0" w:color="auto"/>
              <w:right w:val="single" w:sz="4" w:space="0" w:color="auto"/>
            </w:tcBorders>
            <w:shd w:val="clear" w:color="auto" w:fill="auto"/>
            <w:noWrap/>
            <w:hideMark/>
          </w:tcPr>
          <w:p w14:paraId="3D6F5D78"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75-79 years</w:t>
            </w:r>
          </w:p>
        </w:tc>
        <w:tc>
          <w:tcPr>
            <w:tcW w:w="1295" w:type="dxa"/>
            <w:tcBorders>
              <w:top w:val="nil"/>
              <w:left w:val="nil"/>
              <w:bottom w:val="single" w:sz="4" w:space="0" w:color="auto"/>
              <w:right w:val="single" w:sz="4" w:space="0" w:color="auto"/>
            </w:tcBorders>
            <w:shd w:val="clear" w:color="auto" w:fill="auto"/>
            <w:noWrap/>
            <w:vAlign w:val="bottom"/>
            <w:hideMark/>
          </w:tcPr>
          <w:p w14:paraId="74619ECE"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1.92*</w:t>
            </w:r>
          </w:p>
          <w:p w14:paraId="601646FC"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(1.12</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3.30)</w:t>
            </w:r>
          </w:p>
        </w:tc>
        <w:tc>
          <w:tcPr>
            <w:tcW w:w="1295" w:type="dxa"/>
            <w:tcBorders>
              <w:top w:val="nil"/>
              <w:left w:val="nil"/>
              <w:bottom w:val="single" w:sz="4" w:space="0" w:color="auto"/>
              <w:right w:val="single" w:sz="4" w:space="0" w:color="auto"/>
            </w:tcBorders>
            <w:shd w:val="clear" w:color="auto" w:fill="auto"/>
            <w:noWrap/>
            <w:vAlign w:val="bottom"/>
            <w:hideMark/>
          </w:tcPr>
          <w:p w14:paraId="51AE1F04"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4" w:space="0" w:color="auto"/>
            </w:tcBorders>
            <w:shd w:val="clear" w:color="auto" w:fill="auto"/>
            <w:noWrap/>
            <w:vAlign w:val="bottom"/>
            <w:hideMark/>
          </w:tcPr>
          <w:p w14:paraId="1FE8C4C1"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1.71*</w:t>
            </w:r>
          </w:p>
          <w:p w14:paraId="3FD0F3F5"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(1.02</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2.89)</w:t>
            </w:r>
          </w:p>
        </w:tc>
        <w:tc>
          <w:tcPr>
            <w:tcW w:w="1295" w:type="dxa"/>
            <w:tcBorders>
              <w:top w:val="nil"/>
              <w:left w:val="nil"/>
              <w:bottom w:val="single" w:sz="4" w:space="0" w:color="auto"/>
              <w:right w:val="single" w:sz="4" w:space="0" w:color="auto"/>
            </w:tcBorders>
            <w:shd w:val="clear" w:color="auto" w:fill="auto"/>
            <w:noWrap/>
            <w:vAlign w:val="bottom"/>
            <w:hideMark/>
          </w:tcPr>
          <w:p w14:paraId="4E2BE1A8"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12" w:space="0" w:color="auto"/>
            </w:tcBorders>
            <w:shd w:val="clear" w:color="auto" w:fill="auto"/>
            <w:noWrap/>
            <w:vAlign w:val="bottom"/>
            <w:hideMark/>
          </w:tcPr>
          <w:p w14:paraId="047CDA34"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78E9EA21" w14:textId="77777777" w:rsidTr="001A0EA2">
        <w:trPr>
          <w:trHeight w:val="20"/>
        </w:trPr>
        <w:tc>
          <w:tcPr>
            <w:tcW w:w="3534" w:type="dxa"/>
            <w:tcBorders>
              <w:top w:val="nil"/>
              <w:left w:val="single" w:sz="12" w:space="0" w:color="auto"/>
              <w:bottom w:val="single" w:sz="12" w:space="0" w:color="auto"/>
              <w:right w:val="single" w:sz="4" w:space="0" w:color="auto"/>
            </w:tcBorders>
            <w:shd w:val="clear" w:color="auto" w:fill="auto"/>
            <w:noWrap/>
            <w:hideMark/>
          </w:tcPr>
          <w:p w14:paraId="54BE3D61"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u w:val="single"/>
                <w:lang w:eastAsia="en-GB"/>
              </w:rPr>
              <w:t>&gt;</w:t>
            </w:r>
            <w:r w:rsidRPr="00B87718">
              <w:rPr>
                <w:rFonts w:eastAsia="Times New Roman" w:cstheme="minorHAnsi"/>
                <w:i/>
                <w:iCs/>
                <w:color w:val="000000"/>
                <w:sz w:val="18"/>
                <w:szCs w:val="18"/>
                <w:lang w:eastAsia="en-GB"/>
              </w:rPr>
              <w:t>80 years</w:t>
            </w:r>
          </w:p>
        </w:tc>
        <w:tc>
          <w:tcPr>
            <w:tcW w:w="1295" w:type="dxa"/>
            <w:tcBorders>
              <w:top w:val="nil"/>
              <w:left w:val="nil"/>
              <w:bottom w:val="single" w:sz="12" w:space="0" w:color="auto"/>
              <w:right w:val="single" w:sz="4" w:space="0" w:color="auto"/>
            </w:tcBorders>
            <w:shd w:val="clear" w:color="auto" w:fill="auto"/>
            <w:noWrap/>
            <w:vAlign w:val="bottom"/>
            <w:hideMark/>
          </w:tcPr>
          <w:p w14:paraId="2145A36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4.34***</w:t>
            </w:r>
          </w:p>
          <w:p w14:paraId="0799A4B9"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(2.36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7.98)</w:t>
            </w:r>
          </w:p>
        </w:tc>
        <w:tc>
          <w:tcPr>
            <w:tcW w:w="1295" w:type="dxa"/>
            <w:tcBorders>
              <w:top w:val="nil"/>
              <w:left w:val="nil"/>
              <w:bottom w:val="single" w:sz="12" w:space="0" w:color="auto"/>
              <w:right w:val="single" w:sz="4" w:space="0" w:color="auto"/>
            </w:tcBorders>
            <w:shd w:val="clear" w:color="auto" w:fill="auto"/>
            <w:noWrap/>
            <w:vAlign w:val="bottom"/>
            <w:hideMark/>
          </w:tcPr>
          <w:p w14:paraId="2C50F093"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12" w:space="0" w:color="auto"/>
              <w:right w:val="single" w:sz="4" w:space="0" w:color="auto"/>
            </w:tcBorders>
            <w:shd w:val="clear" w:color="auto" w:fill="auto"/>
            <w:noWrap/>
            <w:vAlign w:val="bottom"/>
            <w:hideMark/>
          </w:tcPr>
          <w:p w14:paraId="382A070D"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2.49**</w:t>
            </w:r>
          </w:p>
          <w:p w14:paraId="3F5D5AC9"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(1.38</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4.49)</w:t>
            </w:r>
          </w:p>
        </w:tc>
        <w:tc>
          <w:tcPr>
            <w:tcW w:w="1295" w:type="dxa"/>
            <w:tcBorders>
              <w:top w:val="nil"/>
              <w:left w:val="nil"/>
              <w:bottom w:val="single" w:sz="12" w:space="0" w:color="auto"/>
              <w:right w:val="single" w:sz="4" w:space="0" w:color="auto"/>
            </w:tcBorders>
            <w:shd w:val="clear" w:color="auto" w:fill="auto"/>
            <w:noWrap/>
            <w:vAlign w:val="bottom"/>
            <w:hideMark/>
          </w:tcPr>
          <w:p w14:paraId="7B709B6C"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12" w:space="0" w:color="auto"/>
              <w:right w:val="single" w:sz="12" w:space="0" w:color="auto"/>
            </w:tcBorders>
            <w:shd w:val="clear" w:color="auto" w:fill="auto"/>
            <w:noWrap/>
            <w:vAlign w:val="bottom"/>
            <w:hideMark/>
          </w:tcPr>
          <w:p w14:paraId="2A07663D"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07F65DFB" w14:textId="77777777" w:rsidTr="001A0EA2">
        <w:trPr>
          <w:trHeight w:val="20"/>
        </w:trPr>
        <w:tc>
          <w:tcPr>
            <w:tcW w:w="3534" w:type="dxa"/>
            <w:tcBorders>
              <w:top w:val="single" w:sz="12" w:space="0" w:color="auto"/>
              <w:left w:val="single" w:sz="12" w:space="0" w:color="auto"/>
              <w:bottom w:val="single" w:sz="4" w:space="0" w:color="auto"/>
              <w:right w:val="single" w:sz="4" w:space="0" w:color="auto"/>
            </w:tcBorders>
            <w:shd w:val="clear" w:color="auto" w:fill="auto"/>
            <w:noWrap/>
            <w:hideMark/>
          </w:tcPr>
          <w:p w14:paraId="40C7E821"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Deprivation (ref: 1st quintile - least deprived)</w:t>
            </w:r>
          </w:p>
        </w:tc>
        <w:tc>
          <w:tcPr>
            <w:tcW w:w="1295" w:type="dxa"/>
            <w:tcBorders>
              <w:top w:val="single" w:sz="12" w:space="0" w:color="auto"/>
              <w:left w:val="nil"/>
              <w:bottom w:val="single" w:sz="4" w:space="0" w:color="auto"/>
              <w:right w:val="single" w:sz="4" w:space="0" w:color="auto"/>
            </w:tcBorders>
            <w:shd w:val="clear" w:color="auto" w:fill="auto"/>
            <w:noWrap/>
            <w:vAlign w:val="bottom"/>
            <w:hideMark/>
          </w:tcPr>
          <w:p w14:paraId="50210271"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single" w:sz="12" w:space="0" w:color="auto"/>
              <w:left w:val="nil"/>
              <w:bottom w:val="single" w:sz="4" w:space="0" w:color="auto"/>
              <w:right w:val="single" w:sz="4" w:space="0" w:color="auto"/>
            </w:tcBorders>
            <w:shd w:val="clear" w:color="auto" w:fill="auto"/>
            <w:noWrap/>
            <w:vAlign w:val="bottom"/>
            <w:hideMark/>
          </w:tcPr>
          <w:p w14:paraId="1D679BB2"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single" w:sz="12" w:space="0" w:color="auto"/>
              <w:left w:val="nil"/>
              <w:bottom w:val="single" w:sz="4" w:space="0" w:color="auto"/>
              <w:right w:val="single" w:sz="4" w:space="0" w:color="auto"/>
            </w:tcBorders>
            <w:shd w:val="clear" w:color="auto" w:fill="auto"/>
            <w:noWrap/>
            <w:vAlign w:val="bottom"/>
            <w:hideMark/>
          </w:tcPr>
          <w:p w14:paraId="2ACCABB2"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single" w:sz="12" w:space="0" w:color="auto"/>
              <w:left w:val="nil"/>
              <w:bottom w:val="single" w:sz="4" w:space="0" w:color="auto"/>
              <w:right w:val="single" w:sz="4" w:space="0" w:color="auto"/>
            </w:tcBorders>
            <w:shd w:val="clear" w:color="auto" w:fill="auto"/>
            <w:noWrap/>
            <w:vAlign w:val="bottom"/>
            <w:hideMark/>
          </w:tcPr>
          <w:p w14:paraId="08E38FB4"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single" w:sz="12" w:space="0" w:color="auto"/>
              <w:left w:val="nil"/>
              <w:bottom w:val="single" w:sz="4" w:space="0" w:color="auto"/>
              <w:right w:val="single" w:sz="12" w:space="0" w:color="auto"/>
            </w:tcBorders>
            <w:shd w:val="clear" w:color="auto" w:fill="auto"/>
            <w:noWrap/>
            <w:vAlign w:val="bottom"/>
            <w:hideMark/>
          </w:tcPr>
          <w:p w14:paraId="1D0C9D2C"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52089343" w14:textId="77777777" w:rsidTr="001A0EA2">
        <w:trPr>
          <w:trHeight w:val="20"/>
        </w:trPr>
        <w:tc>
          <w:tcPr>
            <w:tcW w:w="3534" w:type="dxa"/>
            <w:tcBorders>
              <w:top w:val="nil"/>
              <w:left w:val="single" w:sz="12" w:space="0" w:color="auto"/>
              <w:bottom w:val="single" w:sz="4" w:space="0" w:color="auto"/>
              <w:right w:val="single" w:sz="4" w:space="0" w:color="auto"/>
            </w:tcBorders>
            <w:shd w:val="clear" w:color="auto" w:fill="auto"/>
            <w:noWrap/>
            <w:hideMark/>
          </w:tcPr>
          <w:p w14:paraId="1180141E"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2nd quintile</w:t>
            </w:r>
          </w:p>
        </w:tc>
        <w:tc>
          <w:tcPr>
            <w:tcW w:w="1295" w:type="dxa"/>
            <w:tcBorders>
              <w:top w:val="nil"/>
              <w:left w:val="nil"/>
              <w:bottom w:val="single" w:sz="4" w:space="0" w:color="auto"/>
              <w:right w:val="single" w:sz="4" w:space="0" w:color="auto"/>
            </w:tcBorders>
            <w:shd w:val="clear" w:color="auto" w:fill="auto"/>
            <w:noWrap/>
            <w:vAlign w:val="bottom"/>
            <w:hideMark/>
          </w:tcPr>
          <w:p w14:paraId="799083A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1.44</w:t>
            </w:r>
          </w:p>
          <w:p w14:paraId="3816DBA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(0.76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2.75)</w:t>
            </w:r>
          </w:p>
        </w:tc>
        <w:tc>
          <w:tcPr>
            <w:tcW w:w="1295" w:type="dxa"/>
            <w:tcBorders>
              <w:top w:val="nil"/>
              <w:left w:val="nil"/>
              <w:bottom w:val="single" w:sz="4" w:space="0" w:color="auto"/>
              <w:right w:val="single" w:sz="4" w:space="0" w:color="auto"/>
            </w:tcBorders>
            <w:shd w:val="clear" w:color="auto" w:fill="auto"/>
            <w:noWrap/>
            <w:vAlign w:val="bottom"/>
            <w:hideMark/>
          </w:tcPr>
          <w:p w14:paraId="5FF594F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1.34</w:t>
            </w:r>
          </w:p>
          <w:p w14:paraId="6B60DF3C"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(0.56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3.20)</w:t>
            </w:r>
          </w:p>
        </w:tc>
        <w:tc>
          <w:tcPr>
            <w:tcW w:w="1296" w:type="dxa"/>
            <w:tcBorders>
              <w:top w:val="nil"/>
              <w:left w:val="nil"/>
              <w:bottom w:val="single" w:sz="4" w:space="0" w:color="auto"/>
              <w:right w:val="single" w:sz="4" w:space="0" w:color="auto"/>
            </w:tcBorders>
            <w:shd w:val="clear" w:color="auto" w:fill="auto"/>
            <w:noWrap/>
            <w:vAlign w:val="bottom"/>
            <w:hideMark/>
          </w:tcPr>
          <w:p w14:paraId="7E60E546"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2.07*</w:t>
            </w:r>
          </w:p>
          <w:p w14:paraId="66489E9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(1.11</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3.83)</w:t>
            </w:r>
          </w:p>
        </w:tc>
        <w:tc>
          <w:tcPr>
            <w:tcW w:w="1295" w:type="dxa"/>
            <w:tcBorders>
              <w:top w:val="nil"/>
              <w:left w:val="nil"/>
              <w:bottom w:val="single" w:sz="4" w:space="0" w:color="auto"/>
              <w:right w:val="single" w:sz="4" w:space="0" w:color="auto"/>
            </w:tcBorders>
            <w:shd w:val="clear" w:color="auto" w:fill="auto"/>
            <w:noWrap/>
            <w:vAlign w:val="bottom"/>
            <w:hideMark/>
          </w:tcPr>
          <w:p w14:paraId="0AF92A47"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12" w:space="0" w:color="auto"/>
            </w:tcBorders>
            <w:shd w:val="clear" w:color="auto" w:fill="auto"/>
            <w:noWrap/>
            <w:vAlign w:val="bottom"/>
            <w:hideMark/>
          </w:tcPr>
          <w:p w14:paraId="13D79F57"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0D3170D3" w14:textId="77777777" w:rsidTr="001A0EA2">
        <w:trPr>
          <w:trHeight w:val="20"/>
        </w:trPr>
        <w:tc>
          <w:tcPr>
            <w:tcW w:w="3534" w:type="dxa"/>
            <w:tcBorders>
              <w:top w:val="nil"/>
              <w:left w:val="single" w:sz="12" w:space="0" w:color="auto"/>
              <w:bottom w:val="single" w:sz="4" w:space="0" w:color="auto"/>
              <w:right w:val="single" w:sz="4" w:space="0" w:color="auto"/>
            </w:tcBorders>
            <w:shd w:val="clear" w:color="auto" w:fill="auto"/>
            <w:noWrap/>
            <w:hideMark/>
          </w:tcPr>
          <w:p w14:paraId="2E065632"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3rd quintile</w:t>
            </w:r>
          </w:p>
        </w:tc>
        <w:tc>
          <w:tcPr>
            <w:tcW w:w="1295" w:type="dxa"/>
            <w:tcBorders>
              <w:top w:val="nil"/>
              <w:left w:val="nil"/>
              <w:bottom w:val="single" w:sz="4" w:space="0" w:color="auto"/>
              <w:right w:val="single" w:sz="4" w:space="0" w:color="auto"/>
            </w:tcBorders>
            <w:shd w:val="clear" w:color="auto" w:fill="auto"/>
            <w:noWrap/>
            <w:vAlign w:val="bottom"/>
            <w:hideMark/>
          </w:tcPr>
          <w:p w14:paraId="4425825F"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1.74</w:t>
            </w:r>
          </w:p>
          <w:p w14:paraId="6E0757EA"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(0.93</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3.24)</w:t>
            </w:r>
          </w:p>
        </w:tc>
        <w:tc>
          <w:tcPr>
            <w:tcW w:w="1295" w:type="dxa"/>
            <w:tcBorders>
              <w:top w:val="nil"/>
              <w:left w:val="nil"/>
              <w:bottom w:val="single" w:sz="4" w:space="0" w:color="auto"/>
              <w:right w:val="single" w:sz="4" w:space="0" w:color="auto"/>
            </w:tcBorders>
            <w:shd w:val="clear" w:color="auto" w:fill="auto"/>
            <w:noWrap/>
            <w:vAlign w:val="bottom"/>
            <w:hideMark/>
          </w:tcPr>
          <w:p w14:paraId="2AC4B14F"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1.81</w:t>
            </w:r>
          </w:p>
          <w:p w14:paraId="56D2DC9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(0.68</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4.85)</w:t>
            </w:r>
          </w:p>
        </w:tc>
        <w:tc>
          <w:tcPr>
            <w:tcW w:w="1296" w:type="dxa"/>
            <w:tcBorders>
              <w:top w:val="nil"/>
              <w:left w:val="nil"/>
              <w:bottom w:val="single" w:sz="4" w:space="0" w:color="auto"/>
              <w:right w:val="single" w:sz="4" w:space="0" w:color="auto"/>
            </w:tcBorders>
            <w:shd w:val="clear" w:color="auto" w:fill="auto"/>
            <w:noWrap/>
            <w:vAlign w:val="bottom"/>
            <w:hideMark/>
          </w:tcPr>
          <w:p w14:paraId="7264A1B5"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3.10***</w:t>
            </w:r>
          </w:p>
          <w:p w14:paraId="199C8056"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(1.75</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5.50)</w:t>
            </w:r>
          </w:p>
        </w:tc>
        <w:tc>
          <w:tcPr>
            <w:tcW w:w="1295" w:type="dxa"/>
            <w:tcBorders>
              <w:top w:val="nil"/>
              <w:left w:val="nil"/>
              <w:bottom w:val="single" w:sz="4" w:space="0" w:color="auto"/>
              <w:right w:val="single" w:sz="4" w:space="0" w:color="auto"/>
            </w:tcBorders>
            <w:shd w:val="clear" w:color="auto" w:fill="auto"/>
            <w:noWrap/>
            <w:vAlign w:val="bottom"/>
            <w:hideMark/>
          </w:tcPr>
          <w:p w14:paraId="23F42628"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12" w:space="0" w:color="auto"/>
            </w:tcBorders>
            <w:shd w:val="clear" w:color="auto" w:fill="auto"/>
            <w:noWrap/>
            <w:vAlign w:val="bottom"/>
            <w:hideMark/>
          </w:tcPr>
          <w:p w14:paraId="686887DF"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419BAE28" w14:textId="77777777" w:rsidTr="001A0EA2">
        <w:trPr>
          <w:trHeight w:val="20"/>
        </w:trPr>
        <w:tc>
          <w:tcPr>
            <w:tcW w:w="3534" w:type="dxa"/>
            <w:tcBorders>
              <w:top w:val="nil"/>
              <w:left w:val="single" w:sz="12" w:space="0" w:color="auto"/>
              <w:bottom w:val="single" w:sz="4" w:space="0" w:color="auto"/>
              <w:right w:val="single" w:sz="4" w:space="0" w:color="auto"/>
            </w:tcBorders>
            <w:shd w:val="clear" w:color="auto" w:fill="auto"/>
            <w:noWrap/>
            <w:hideMark/>
          </w:tcPr>
          <w:p w14:paraId="3CC1F6F7"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4th quintile</w:t>
            </w:r>
          </w:p>
        </w:tc>
        <w:tc>
          <w:tcPr>
            <w:tcW w:w="1295" w:type="dxa"/>
            <w:tcBorders>
              <w:top w:val="nil"/>
              <w:left w:val="nil"/>
              <w:bottom w:val="single" w:sz="4" w:space="0" w:color="auto"/>
              <w:right w:val="single" w:sz="4" w:space="0" w:color="auto"/>
            </w:tcBorders>
            <w:shd w:val="clear" w:color="auto" w:fill="auto"/>
            <w:noWrap/>
            <w:vAlign w:val="bottom"/>
            <w:hideMark/>
          </w:tcPr>
          <w:p w14:paraId="782C30ED"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1.35</w:t>
            </w:r>
          </w:p>
          <w:p w14:paraId="525DF413"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(0.68</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2.66)</w:t>
            </w:r>
          </w:p>
        </w:tc>
        <w:tc>
          <w:tcPr>
            <w:tcW w:w="1295" w:type="dxa"/>
            <w:tcBorders>
              <w:top w:val="nil"/>
              <w:left w:val="nil"/>
              <w:bottom w:val="single" w:sz="4" w:space="0" w:color="auto"/>
              <w:right w:val="single" w:sz="4" w:space="0" w:color="auto"/>
            </w:tcBorders>
            <w:shd w:val="clear" w:color="auto" w:fill="auto"/>
            <w:noWrap/>
            <w:vAlign w:val="bottom"/>
            <w:hideMark/>
          </w:tcPr>
          <w:p w14:paraId="79696007"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2.09</w:t>
            </w:r>
          </w:p>
          <w:p w14:paraId="5A95F8A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(0.86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5.07)</w:t>
            </w:r>
          </w:p>
        </w:tc>
        <w:tc>
          <w:tcPr>
            <w:tcW w:w="1296" w:type="dxa"/>
            <w:tcBorders>
              <w:top w:val="nil"/>
              <w:left w:val="nil"/>
              <w:bottom w:val="single" w:sz="4" w:space="0" w:color="auto"/>
              <w:right w:val="single" w:sz="4" w:space="0" w:color="auto"/>
            </w:tcBorders>
            <w:shd w:val="clear" w:color="auto" w:fill="auto"/>
            <w:noWrap/>
            <w:vAlign w:val="bottom"/>
            <w:hideMark/>
          </w:tcPr>
          <w:p w14:paraId="467138A5"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2.73**</w:t>
            </w:r>
          </w:p>
          <w:p w14:paraId="0096F633"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(1.49</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5.01)</w:t>
            </w:r>
          </w:p>
        </w:tc>
        <w:tc>
          <w:tcPr>
            <w:tcW w:w="1295" w:type="dxa"/>
            <w:tcBorders>
              <w:top w:val="nil"/>
              <w:left w:val="nil"/>
              <w:bottom w:val="single" w:sz="4" w:space="0" w:color="auto"/>
              <w:right w:val="single" w:sz="4" w:space="0" w:color="auto"/>
            </w:tcBorders>
            <w:shd w:val="clear" w:color="auto" w:fill="auto"/>
            <w:noWrap/>
            <w:vAlign w:val="bottom"/>
            <w:hideMark/>
          </w:tcPr>
          <w:p w14:paraId="3A6FB75A"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12" w:space="0" w:color="auto"/>
            </w:tcBorders>
            <w:shd w:val="clear" w:color="auto" w:fill="auto"/>
            <w:noWrap/>
            <w:vAlign w:val="bottom"/>
            <w:hideMark/>
          </w:tcPr>
          <w:p w14:paraId="6AD9D3B5"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338DFF65" w14:textId="77777777" w:rsidTr="001A0EA2">
        <w:trPr>
          <w:trHeight w:val="20"/>
        </w:trPr>
        <w:tc>
          <w:tcPr>
            <w:tcW w:w="3534" w:type="dxa"/>
            <w:tcBorders>
              <w:top w:val="nil"/>
              <w:left w:val="single" w:sz="12" w:space="0" w:color="auto"/>
              <w:bottom w:val="single" w:sz="12" w:space="0" w:color="auto"/>
              <w:right w:val="single" w:sz="4" w:space="0" w:color="auto"/>
            </w:tcBorders>
            <w:shd w:val="clear" w:color="auto" w:fill="auto"/>
            <w:noWrap/>
            <w:hideMark/>
          </w:tcPr>
          <w:p w14:paraId="0C75017C"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5th quintile - most deprived</w:t>
            </w:r>
          </w:p>
        </w:tc>
        <w:tc>
          <w:tcPr>
            <w:tcW w:w="1295" w:type="dxa"/>
            <w:tcBorders>
              <w:top w:val="nil"/>
              <w:left w:val="nil"/>
              <w:bottom w:val="single" w:sz="12" w:space="0" w:color="auto"/>
              <w:right w:val="single" w:sz="4" w:space="0" w:color="auto"/>
            </w:tcBorders>
            <w:shd w:val="clear" w:color="auto" w:fill="auto"/>
            <w:noWrap/>
            <w:vAlign w:val="bottom"/>
            <w:hideMark/>
          </w:tcPr>
          <w:p w14:paraId="7FC6BA6D"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2.42**</w:t>
            </w:r>
          </w:p>
          <w:p w14:paraId="05EAD346"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(1.28</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4.59)</w:t>
            </w:r>
          </w:p>
        </w:tc>
        <w:tc>
          <w:tcPr>
            <w:tcW w:w="1295" w:type="dxa"/>
            <w:tcBorders>
              <w:top w:val="nil"/>
              <w:left w:val="nil"/>
              <w:bottom w:val="single" w:sz="12" w:space="0" w:color="auto"/>
              <w:right w:val="single" w:sz="4" w:space="0" w:color="auto"/>
            </w:tcBorders>
            <w:shd w:val="clear" w:color="auto" w:fill="auto"/>
            <w:noWrap/>
            <w:vAlign w:val="bottom"/>
            <w:hideMark/>
          </w:tcPr>
          <w:p w14:paraId="1CB7D8A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2.72*</w:t>
            </w:r>
          </w:p>
          <w:p w14:paraId="53FF6FA9"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(1.16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6.40)</w:t>
            </w:r>
          </w:p>
        </w:tc>
        <w:tc>
          <w:tcPr>
            <w:tcW w:w="1296" w:type="dxa"/>
            <w:tcBorders>
              <w:top w:val="nil"/>
              <w:left w:val="nil"/>
              <w:bottom w:val="single" w:sz="12" w:space="0" w:color="auto"/>
              <w:right w:val="single" w:sz="4" w:space="0" w:color="auto"/>
            </w:tcBorders>
            <w:shd w:val="clear" w:color="auto" w:fill="auto"/>
            <w:noWrap/>
            <w:vAlign w:val="bottom"/>
            <w:hideMark/>
          </w:tcPr>
          <w:p w14:paraId="096B7CF1"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2.58**</w:t>
            </w:r>
          </w:p>
          <w:p w14:paraId="7BA4D52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(1.42</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4.69)</w:t>
            </w:r>
          </w:p>
        </w:tc>
        <w:tc>
          <w:tcPr>
            <w:tcW w:w="1295" w:type="dxa"/>
            <w:tcBorders>
              <w:top w:val="nil"/>
              <w:left w:val="nil"/>
              <w:bottom w:val="single" w:sz="12" w:space="0" w:color="auto"/>
              <w:right w:val="single" w:sz="4" w:space="0" w:color="auto"/>
            </w:tcBorders>
            <w:shd w:val="clear" w:color="auto" w:fill="auto"/>
            <w:noWrap/>
            <w:vAlign w:val="bottom"/>
            <w:hideMark/>
          </w:tcPr>
          <w:p w14:paraId="7D9254CA"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12" w:space="0" w:color="auto"/>
              <w:right w:val="single" w:sz="12" w:space="0" w:color="auto"/>
            </w:tcBorders>
            <w:shd w:val="clear" w:color="auto" w:fill="auto"/>
            <w:noWrap/>
            <w:vAlign w:val="bottom"/>
            <w:hideMark/>
          </w:tcPr>
          <w:p w14:paraId="71CBD3EC"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18A968F1" w14:textId="77777777" w:rsidTr="001A0EA2">
        <w:trPr>
          <w:trHeight w:val="20"/>
        </w:trPr>
        <w:tc>
          <w:tcPr>
            <w:tcW w:w="3534" w:type="dxa"/>
            <w:tcBorders>
              <w:top w:val="nil"/>
              <w:left w:val="single" w:sz="12" w:space="0" w:color="auto"/>
              <w:bottom w:val="single" w:sz="4" w:space="0" w:color="auto"/>
              <w:right w:val="single" w:sz="4" w:space="0" w:color="auto"/>
            </w:tcBorders>
            <w:shd w:val="clear" w:color="auto" w:fill="auto"/>
            <w:noWrap/>
            <w:vAlign w:val="bottom"/>
            <w:hideMark/>
          </w:tcPr>
          <w:p w14:paraId="698B8681"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Comorbidities (ref: none)</w:t>
            </w:r>
          </w:p>
        </w:tc>
        <w:tc>
          <w:tcPr>
            <w:tcW w:w="1295" w:type="dxa"/>
            <w:tcBorders>
              <w:top w:val="nil"/>
              <w:left w:val="nil"/>
              <w:bottom w:val="single" w:sz="4" w:space="0" w:color="auto"/>
              <w:right w:val="single" w:sz="4" w:space="0" w:color="auto"/>
            </w:tcBorders>
            <w:shd w:val="clear" w:color="auto" w:fill="auto"/>
            <w:noWrap/>
            <w:vAlign w:val="bottom"/>
            <w:hideMark/>
          </w:tcPr>
          <w:p w14:paraId="28B3E146"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nil"/>
              <w:left w:val="nil"/>
              <w:bottom w:val="single" w:sz="4" w:space="0" w:color="auto"/>
              <w:right w:val="single" w:sz="4" w:space="0" w:color="auto"/>
            </w:tcBorders>
            <w:shd w:val="clear" w:color="auto" w:fill="auto"/>
            <w:noWrap/>
            <w:vAlign w:val="bottom"/>
            <w:hideMark/>
          </w:tcPr>
          <w:p w14:paraId="17D60F2D"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4" w:space="0" w:color="auto"/>
            </w:tcBorders>
            <w:shd w:val="clear" w:color="auto" w:fill="auto"/>
            <w:noWrap/>
            <w:vAlign w:val="bottom"/>
            <w:hideMark/>
          </w:tcPr>
          <w:p w14:paraId="0A10F589"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nil"/>
              <w:left w:val="nil"/>
              <w:bottom w:val="single" w:sz="4" w:space="0" w:color="auto"/>
              <w:right w:val="single" w:sz="4" w:space="0" w:color="auto"/>
            </w:tcBorders>
            <w:shd w:val="clear" w:color="auto" w:fill="auto"/>
            <w:noWrap/>
            <w:vAlign w:val="bottom"/>
            <w:hideMark/>
          </w:tcPr>
          <w:p w14:paraId="47A8477C"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12" w:space="0" w:color="auto"/>
            </w:tcBorders>
            <w:shd w:val="clear" w:color="auto" w:fill="auto"/>
            <w:noWrap/>
            <w:vAlign w:val="bottom"/>
            <w:hideMark/>
          </w:tcPr>
          <w:p w14:paraId="1DCB3B29"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19562F4B" w14:textId="77777777" w:rsidTr="001A0EA2">
        <w:trPr>
          <w:trHeight w:val="20"/>
        </w:trPr>
        <w:tc>
          <w:tcPr>
            <w:tcW w:w="3534" w:type="dxa"/>
            <w:tcBorders>
              <w:top w:val="nil"/>
              <w:left w:val="single" w:sz="12" w:space="0" w:color="auto"/>
              <w:bottom w:val="single" w:sz="4" w:space="0" w:color="auto"/>
              <w:right w:val="single" w:sz="4" w:space="0" w:color="auto"/>
            </w:tcBorders>
            <w:shd w:val="clear" w:color="auto" w:fill="auto"/>
            <w:noWrap/>
            <w:hideMark/>
          </w:tcPr>
          <w:p w14:paraId="362B9F3F"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u w:val="single"/>
                <w:lang w:eastAsia="en-GB"/>
              </w:rPr>
              <w:t>&gt;</w:t>
            </w:r>
            <w:r w:rsidRPr="00B87718">
              <w:rPr>
                <w:rFonts w:eastAsia="Times New Roman" w:cstheme="minorHAnsi"/>
                <w:i/>
                <w:iCs/>
                <w:color w:val="000000"/>
                <w:sz w:val="18"/>
                <w:szCs w:val="18"/>
                <w:lang w:eastAsia="en-GB"/>
              </w:rPr>
              <w:t>1 non-limiting comorbidity</w:t>
            </w:r>
          </w:p>
        </w:tc>
        <w:tc>
          <w:tcPr>
            <w:tcW w:w="1295" w:type="dxa"/>
            <w:tcBorders>
              <w:top w:val="nil"/>
              <w:left w:val="nil"/>
              <w:bottom w:val="single" w:sz="4" w:space="0" w:color="auto"/>
              <w:right w:val="single" w:sz="4" w:space="0" w:color="auto"/>
            </w:tcBorders>
            <w:shd w:val="clear" w:color="auto" w:fill="auto"/>
            <w:noWrap/>
            <w:vAlign w:val="bottom"/>
            <w:hideMark/>
          </w:tcPr>
          <w:p w14:paraId="4289087B"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1.34</w:t>
            </w:r>
          </w:p>
          <w:p w14:paraId="1E17334C"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(0.71</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2.52)</w:t>
            </w:r>
          </w:p>
        </w:tc>
        <w:tc>
          <w:tcPr>
            <w:tcW w:w="1295" w:type="dxa"/>
            <w:tcBorders>
              <w:top w:val="nil"/>
              <w:left w:val="nil"/>
              <w:bottom w:val="single" w:sz="4" w:space="0" w:color="auto"/>
              <w:right w:val="single" w:sz="4" w:space="0" w:color="auto"/>
            </w:tcBorders>
            <w:shd w:val="clear" w:color="auto" w:fill="auto"/>
            <w:noWrap/>
            <w:vAlign w:val="bottom"/>
            <w:hideMark/>
          </w:tcPr>
          <w:p w14:paraId="7B17B190"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4" w:space="0" w:color="auto"/>
            </w:tcBorders>
            <w:shd w:val="clear" w:color="auto" w:fill="auto"/>
            <w:noWrap/>
            <w:vAlign w:val="bottom"/>
            <w:hideMark/>
          </w:tcPr>
          <w:p w14:paraId="5703E20A"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1.16</w:t>
            </w:r>
          </w:p>
          <w:p w14:paraId="4B0375DF"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(0.66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2.05)</w:t>
            </w:r>
          </w:p>
        </w:tc>
        <w:tc>
          <w:tcPr>
            <w:tcW w:w="1295" w:type="dxa"/>
            <w:tcBorders>
              <w:top w:val="nil"/>
              <w:left w:val="nil"/>
              <w:bottom w:val="single" w:sz="4" w:space="0" w:color="auto"/>
              <w:right w:val="single" w:sz="4" w:space="0" w:color="auto"/>
            </w:tcBorders>
            <w:shd w:val="clear" w:color="auto" w:fill="auto"/>
            <w:noWrap/>
            <w:vAlign w:val="bottom"/>
            <w:hideMark/>
          </w:tcPr>
          <w:p w14:paraId="5ECDB67D"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1.10</w:t>
            </w:r>
          </w:p>
          <w:p w14:paraId="14DEC86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(0.65</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1.84)</w:t>
            </w:r>
          </w:p>
        </w:tc>
        <w:tc>
          <w:tcPr>
            <w:tcW w:w="1296" w:type="dxa"/>
            <w:tcBorders>
              <w:top w:val="nil"/>
              <w:left w:val="nil"/>
              <w:bottom w:val="single" w:sz="4" w:space="0" w:color="auto"/>
              <w:right w:val="single" w:sz="12" w:space="0" w:color="auto"/>
            </w:tcBorders>
            <w:shd w:val="clear" w:color="auto" w:fill="auto"/>
            <w:noWrap/>
            <w:vAlign w:val="bottom"/>
            <w:hideMark/>
          </w:tcPr>
          <w:p w14:paraId="41BA0B74"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29BE5FB3" w14:textId="77777777" w:rsidTr="001A0EA2">
        <w:trPr>
          <w:trHeight w:val="20"/>
        </w:trPr>
        <w:tc>
          <w:tcPr>
            <w:tcW w:w="3534" w:type="dxa"/>
            <w:tcBorders>
              <w:top w:val="nil"/>
              <w:left w:val="single" w:sz="12" w:space="0" w:color="auto"/>
              <w:bottom w:val="single" w:sz="4" w:space="0" w:color="auto"/>
              <w:right w:val="single" w:sz="4" w:space="0" w:color="auto"/>
            </w:tcBorders>
            <w:shd w:val="clear" w:color="auto" w:fill="auto"/>
            <w:noWrap/>
            <w:hideMark/>
          </w:tcPr>
          <w:p w14:paraId="1A611508"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u w:val="single"/>
                <w:lang w:eastAsia="en-GB"/>
              </w:rPr>
              <w:lastRenderedPageBreak/>
              <w:t>&gt;</w:t>
            </w:r>
            <w:r w:rsidRPr="00B87718">
              <w:rPr>
                <w:rFonts w:eastAsia="Times New Roman" w:cstheme="minorHAnsi"/>
                <w:i/>
                <w:iCs/>
                <w:color w:val="000000"/>
                <w:sz w:val="18"/>
                <w:szCs w:val="18"/>
                <w:lang w:eastAsia="en-GB"/>
              </w:rPr>
              <w:t>1 limiting comorbidity</w:t>
            </w:r>
          </w:p>
        </w:tc>
        <w:tc>
          <w:tcPr>
            <w:tcW w:w="1295" w:type="dxa"/>
            <w:tcBorders>
              <w:top w:val="nil"/>
              <w:left w:val="nil"/>
              <w:bottom w:val="single" w:sz="4" w:space="0" w:color="auto"/>
              <w:right w:val="single" w:sz="4" w:space="0" w:color="auto"/>
            </w:tcBorders>
            <w:shd w:val="clear" w:color="auto" w:fill="auto"/>
            <w:noWrap/>
            <w:vAlign w:val="bottom"/>
            <w:hideMark/>
          </w:tcPr>
          <w:p w14:paraId="1970A40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5.04***</w:t>
            </w:r>
          </w:p>
          <w:p w14:paraId="11509AE0"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(2.66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9.54)</w:t>
            </w:r>
          </w:p>
        </w:tc>
        <w:tc>
          <w:tcPr>
            <w:tcW w:w="1295" w:type="dxa"/>
            <w:tcBorders>
              <w:top w:val="nil"/>
              <w:left w:val="nil"/>
              <w:bottom w:val="single" w:sz="4" w:space="0" w:color="auto"/>
              <w:right w:val="single" w:sz="4" w:space="0" w:color="auto"/>
            </w:tcBorders>
            <w:shd w:val="clear" w:color="auto" w:fill="auto"/>
            <w:noWrap/>
            <w:vAlign w:val="bottom"/>
            <w:hideMark/>
          </w:tcPr>
          <w:p w14:paraId="5C52350D"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4" w:space="0" w:color="auto"/>
              <w:right w:val="single" w:sz="4" w:space="0" w:color="auto"/>
            </w:tcBorders>
            <w:shd w:val="clear" w:color="auto" w:fill="auto"/>
            <w:noWrap/>
            <w:vAlign w:val="bottom"/>
            <w:hideMark/>
          </w:tcPr>
          <w:p w14:paraId="58CA1DF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3.92***</w:t>
            </w:r>
          </w:p>
          <w:p w14:paraId="5CECA2A9"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(2.20</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7.01)</w:t>
            </w:r>
          </w:p>
        </w:tc>
        <w:tc>
          <w:tcPr>
            <w:tcW w:w="1295" w:type="dxa"/>
            <w:tcBorders>
              <w:top w:val="nil"/>
              <w:left w:val="nil"/>
              <w:bottom w:val="single" w:sz="4" w:space="0" w:color="auto"/>
              <w:right w:val="single" w:sz="4" w:space="0" w:color="auto"/>
            </w:tcBorders>
            <w:shd w:val="clear" w:color="auto" w:fill="auto"/>
            <w:noWrap/>
            <w:vAlign w:val="bottom"/>
            <w:hideMark/>
          </w:tcPr>
          <w:p w14:paraId="7D2918FD"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3.45***</w:t>
            </w:r>
          </w:p>
          <w:p w14:paraId="2CB09BD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(2.02</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5.88)</w:t>
            </w:r>
          </w:p>
        </w:tc>
        <w:tc>
          <w:tcPr>
            <w:tcW w:w="1296" w:type="dxa"/>
            <w:tcBorders>
              <w:top w:val="nil"/>
              <w:left w:val="nil"/>
              <w:bottom w:val="single" w:sz="4" w:space="0" w:color="auto"/>
              <w:right w:val="single" w:sz="12" w:space="0" w:color="auto"/>
            </w:tcBorders>
            <w:shd w:val="clear" w:color="auto" w:fill="auto"/>
            <w:noWrap/>
            <w:vAlign w:val="bottom"/>
            <w:hideMark/>
          </w:tcPr>
          <w:p w14:paraId="0E568F26"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351D43FA" w14:textId="77777777" w:rsidTr="001A0EA2">
        <w:trPr>
          <w:trHeight w:val="20"/>
        </w:trPr>
        <w:tc>
          <w:tcPr>
            <w:tcW w:w="3534" w:type="dxa"/>
            <w:tcBorders>
              <w:top w:val="nil"/>
              <w:left w:val="single" w:sz="12" w:space="0" w:color="auto"/>
              <w:bottom w:val="single" w:sz="12" w:space="0" w:color="auto"/>
              <w:right w:val="single" w:sz="4" w:space="0" w:color="auto"/>
            </w:tcBorders>
            <w:shd w:val="clear" w:color="auto" w:fill="auto"/>
            <w:noWrap/>
            <w:hideMark/>
          </w:tcPr>
          <w:p w14:paraId="076A2707"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Not known</w:t>
            </w:r>
          </w:p>
        </w:tc>
        <w:tc>
          <w:tcPr>
            <w:tcW w:w="1295" w:type="dxa"/>
            <w:tcBorders>
              <w:top w:val="nil"/>
              <w:left w:val="nil"/>
              <w:bottom w:val="single" w:sz="12" w:space="0" w:color="auto"/>
              <w:right w:val="single" w:sz="4" w:space="0" w:color="auto"/>
            </w:tcBorders>
            <w:shd w:val="clear" w:color="auto" w:fill="auto"/>
            <w:noWrap/>
            <w:vAlign w:val="bottom"/>
            <w:hideMark/>
          </w:tcPr>
          <w:p w14:paraId="0E67F896"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1.15</w:t>
            </w:r>
          </w:p>
          <w:p w14:paraId="45B83915"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(0.58</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2.28)</w:t>
            </w:r>
          </w:p>
        </w:tc>
        <w:tc>
          <w:tcPr>
            <w:tcW w:w="1295" w:type="dxa"/>
            <w:tcBorders>
              <w:top w:val="nil"/>
              <w:left w:val="nil"/>
              <w:bottom w:val="single" w:sz="12" w:space="0" w:color="auto"/>
              <w:right w:val="single" w:sz="4" w:space="0" w:color="auto"/>
            </w:tcBorders>
            <w:shd w:val="clear" w:color="auto" w:fill="auto"/>
            <w:noWrap/>
            <w:vAlign w:val="bottom"/>
            <w:hideMark/>
          </w:tcPr>
          <w:p w14:paraId="4772A302"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12" w:space="0" w:color="auto"/>
              <w:right w:val="single" w:sz="4" w:space="0" w:color="auto"/>
            </w:tcBorders>
            <w:shd w:val="clear" w:color="auto" w:fill="auto"/>
            <w:noWrap/>
            <w:vAlign w:val="bottom"/>
            <w:hideMark/>
          </w:tcPr>
          <w:p w14:paraId="13E46F67"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1.03</w:t>
            </w:r>
          </w:p>
          <w:p w14:paraId="3D92769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(0.56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1.90)</w:t>
            </w:r>
          </w:p>
        </w:tc>
        <w:tc>
          <w:tcPr>
            <w:tcW w:w="1295" w:type="dxa"/>
            <w:tcBorders>
              <w:top w:val="nil"/>
              <w:left w:val="nil"/>
              <w:bottom w:val="single" w:sz="12" w:space="0" w:color="auto"/>
              <w:right w:val="single" w:sz="4" w:space="0" w:color="auto"/>
            </w:tcBorders>
            <w:shd w:val="clear" w:color="auto" w:fill="auto"/>
            <w:noWrap/>
            <w:vAlign w:val="bottom"/>
            <w:hideMark/>
          </w:tcPr>
          <w:p w14:paraId="36DB82B3"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1.21</w:t>
            </w:r>
          </w:p>
          <w:p w14:paraId="1E31E7B1"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(0.70</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2.09)</w:t>
            </w:r>
          </w:p>
        </w:tc>
        <w:tc>
          <w:tcPr>
            <w:tcW w:w="1296" w:type="dxa"/>
            <w:tcBorders>
              <w:top w:val="nil"/>
              <w:left w:val="nil"/>
              <w:bottom w:val="single" w:sz="12" w:space="0" w:color="auto"/>
              <w:right w:val="single" w:sz="12" w:space="0" w:color="auto"/>
            </w:tcBorders>
            <w:shd w:val="clear" w:color="auto" w:fill="auto"/>
            <w:noWrap/>
            <w:vAlign w:val="bottom"/>
            <w:hideMark/>
          </w:tcPr>
          <w:p w14:paraId="7B9242E5"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46D3DDB5" w14:textId="77777777" w:rsidTr="001A0EA2">
        <w:trPr>
          <w:trHeight w:val="20"/>
        </w:trPr>
        <w:tc>
          <w:tcPr>
            <w:tcW w:w="3534" w:type="dxa"/>
            <w:tcBorders>
              <w:top w:val="nil"/>
              <w:left w:val="single" w:sz="12" w:space="0" w:color="auto"/>
              <w:bottom w:val="single" w:sz="12" w:space="0" w:color="auto"/>
              <w:right w:val="single" w:sz="4" w:space="0" w:color="auto"/>
            </w:tcBorders>
            <w:shd w:val="clear" w:color="auto" w:fill="auto"/>
            <w:noWrap/>
            <w:hideMark/>
          </w:tcPr>
          <w:p w14:paraId="3EC5A02B"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No stoma (ref: presence of stoma)</w:t>
            </w:r>
          </w:p>
        </w:tc>
        <w:tc>
          <w:tcPr>
            <w:tcW w:w="1295" w:type="dxa"/>
            <w:tcBorders>
              <w:top w:val="nil"/>
              <w:left w:val="nil"/>
              <w:bottom w:val="single" w:sz="12" w:space="0" w:color="auto"/>
              <w:right w:val="single" w:sz="4" w:space="0" w:color="auto"/>
            </w:tcBorders>
            <w:shd w:val="clear" w:color="auto" w:fill="auto"/>
            <w:noWrap/>
            <w:vAlign w:val="bottom"/>
            <w:hideMark/>
          </w:tcPr>
          <w:p w14:paraId="3E9E5D00"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nil"/>
              <w:left w:val="nil"/>
              <w:bottom w:val="single" w:sz="12" w:space="0" w:color="auto"/>
              <w:right w:val="single" w:sz="4" w:space="0" w:color="auto"/>
            </w:tcBorders>
            <w:shd w:val="clear" w:color="auto" w:fill="auto"/>
            <w:noWrap/>
            <w:vAlign w:val="bottom"/>
            <w:hideMark/>
          </w:tcPr>
          <w:p w14:paraId="5C62987F"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nil"/>
              <w:left w:val="nil"/>
              <w:bottom w:val="single" w:sz="12" w:space="0" w:color="auto"/>
              <w:right w:val="single" w:sz="4" w:space="0" w:color="auto"/>
            </w:tcBorders>
            <w:shd w:val="clear" w:color="auto" w:fill="auto"/>
            <w:noWrap/>
            <w:vAlign w:val="bottom"/>
            <w:hideMark/>
          </w:tcPr>
          <w:p w14:paraId="4D8135A0"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0.50***</w:t>
            </w:r>
          </w:p>
          <w:p w14:paraId="70F30DC5"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(0.34</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0.74)</w:t>
            </w:r>
          </w:p>
        </w:tc>
        <w:tc>
          <w:tcPr>
            <w:tcW w:w="1295" w:type="dxa"/>
            <w:tcBorders>
              <w:top w:val="nil"/>
              <w:left w:val="nil"/>
              <w:bottom w:val="single" w:sz="12" w:space="0" w:color="auto"/>
              <w:right w:val="single" w:sz="4" w:space="0" w:color="auto"/>
            </w:tcBorders>
            <w:shd w:val="clear" w:color="auto" w:fill="auto"/>
            <w:noWrap/>
            <w:vAlign w:val="bottom"/>
            <w:hideMark/>
          </w:tcPr>
          <w:p w14:paraId="376425D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0.64*</w:t>
            </w:r>
          </w:p>
          <w:p w14:paraId="180BA875"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(0.44</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0.92)</w:t>
            </w:r>
          </w:p>
        </w:tc>
        <w:tc>
          <w:tcPr>
            <w:tcW w:w="1296" w:type="dxa"/>
            <w:tcBorders>
              <w:top w:val="nil"/>
              <w:left w:val="nil"/>
              <w:bottom w:val="single" w:sz="12" w:space="0" w:color="auto"/>
              <w:right w:val="single" w:sz="12" w:space="0" w:color="auto"/>
            </w:tcBorders>
            <w:shd w:val="clear" w:color="auto" w:fill="auto"/>
            <w:noWrap/>
            <w:vAlign w:val="bottom"/>
            <w:hideMark/>
          </w:tcPr>
          <w:p w14:paraId="124A48B4"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52E1C021" w14:textId="77777777" w:rsidTr="001A0EA2">
        <w:trPr>
          <w:trHeight w:val="20"/>
        </w:trPr>
        <w:tc>
          <w:tcPr>
            <w:tcW w:w="3534" w:type="dxa"/>
            <w:tcBorders>
              <w:top w:val="single" w:sz="12" w:space="0" w:color="auto"/>
              <w:left w:val="single" w:sz="12" w:space="0" w:color="auto"/>
              <w:bottom w:val="single" w:sz="12" w:space="0" w:color="auto"/>
              <w:right w:val="single" w:sz="4" w:space="0" w:color="auto"/>
            </w:tcBorders>
            <w:shd w:val="clear" w:color="auto" w:fill="auto"/>
            <w:noWrap/>
            <w:hideMark/>
          </w:tcPr>
          <w:p w14:paraId="48ED4B0F"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Adjuvant therapy (ref: none)</w:t>
            </w:r>
          </w:p>
        </w:tc>
        <w:tc>
          <w:tcPr>
            <w:tcW w:w="1295" w:type="dxa"/>
            <w:tcBorders>
              <w:top w:val="single" w:sz="12" w:space="0" w:color="auto"/>
              <w:left w:val="nil"/>
              <w:bottom w:val="single" w:sz="12" w:space="0" w:color="auto"/>
              <w:right w:val="single" w:sz="4" w:space="0" w:color="auto"/>
            </w:tcBorders>
            <w:shd w:val="clear" w:color="auto" w:fill="auto"/>
            <w:noWrap/>
            <w:vAlign w:val="bottom"/>
            <w:hideMark/>
          </w:tcPr>
          <w:p w14:paraId="52656447"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single" w:sz="12" w:space="0" w:color="auto"/>
              <w:left w:val="nil"/>
              <w:bottom w:val="single" w:sz="12" w:space="0" w:color="auto"/>
              <w:right w:val="single" w:sz="4" w:space="0" w:color="auto"/>
            </w:tcBorders>
            <w:shd w:val="clear" w:color="auto" w:fill="auto"/>
            <w:noWrap/>
            <w:vAlign w:val="bottom"/>
            <w:hideMark/>
          </w:tcPr>
          <w:p w14:paraId="16C4CBDE"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1.95*</w:t>
            </w:r>
          </w:p>
          <w:p w14:paraId="16CDAF7C"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(1.08</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3.54)</w:t>
            </w:r>
          </w:p>
        </w:tc>
        <w:tc>
          <w:tcPr>
            <w:tcW w:w="1296" w:type="dxa"/>
            <w:tcBorders>
              <w:top w:val="single" w:sz="12" w:space="0" w:color="auto"/>
              <w:left w:val="nil"/>
              <w:bottom w:val="single" w:sz="12" w:space="0" w:color="auto"/>
              <w:right w:val="single" w:sz="4" w:space="0" w:color="auto"/>
            </w:tcBorders>
            <w:shd w:val="clear" w:color="auto" w:fill="auto"/>
            <w:noWrap/>
            <w:vAlign w:val="bottom"/>
            <w:hideMark/>
          </w:tcPr>
          <w:p w14:paraId="6BD1E57C"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single" w:sz="12" w:space="0" w:color="auto"/>
              <w:left w:val="nil"/>
              <w:bottom w:val="single" w:sz="12" w:space="0" w:color="auto"/>
              <w:right w:val="single" w:sz="4" w:space="0" w:color="auto"/>
            </w:tcBorders>
            <w:shd w:val="clear" w:color="auto" w:fill="auto"/>
            <w:noWrap/>
            <w:vAlign w:val="bottom"/>
            <w:hideMark/>
          </w:tcPr>
          <w:p w14:paraId="6E5DC426"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single" w:sz="12" w:space="0" w:color="auto"/>
              <w:left w:val="nil"/>
              <w:bottom w:val="single" w:sz="12" w:space="0" w:color="auto"/>
              <w:right w:val="single" w:sz="12" w:space="0" w:color="auto"/>
            </w:tcBorders>
            <w:shd w:val="clear" w:color="auto" w:fill="auto"/>
            <w:noWrap/>
            <w:vAlign w:val="bottom"/>
            <w:hideMark/>
          </w:tcPr>
          <w:p w14:paraId="1E3ADA9F"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0E471B9C" w14:textId="77777777" w:rsidTr="001A0EA2">
        <w:trPr>
          <w:trHeight w:val="27"/>
        </w:trPr>
        <w:tc>
          <w:tcPr>
            <w:tcW w:w="3534" w:type="dxa"/>
            <w:tcBorders>
              <w:top w:val="single" w:sz="12" w:space="0" w:color="auto"/>
              <w:left w:val="single" w:sz="12" w:space="0" w:color="auto"/>
              <w:bottom w:val="single" w:sz="12" w:space="0" w:color="auto"/>
              <w:right w:val="single" w:sz="4" w:space="0" w:color="auto"/>
            </w:tcBorders>
            <w:shd w:val="clear" w:color="auto" w:fill="auto"/>
            <w:noWrap/>
            <w:hideMark/>
          </w:tcPr>
          <w:p w14:paraId="39949EEF" w14:textId="77777777" w:rsidR="003765AF" w:rsidRPr="00B87718" w:rsidRDefault="003765AF" w:rsidP="001A0EA2">
            <w:pPr>
              <w:spacing w:after="0" w:line="480" w:lineRule="auto"/>
              <w:rPr>
                <w:rFonts w:cstheme="minorHAnsi"/>
                <w:sz w:val="18"/>
                <w:szCs w:val="18"/>
              </w:rPr>
            </w:pPr>
            <w:r w:rsidRPr="00B87718">
              <w:rPr>
                <w:rFonts w:eastAsia="Times New Roman" w:cstheme="minorHAnsi"/>
                <w:color w:val="000000"/>
                <w:sz w:val="18"/>
                <w:szCs w:val="18"/>
                <w:lang w:eastAsia="en-GB"/>
              </w:rPr>
              <w:t>Adequate social support (ref: MOS</w:t>
            </w:r>
            <w:r w:rsidRPr="00B87718">
              <w:rPr>
                <w:rFonts w:cstheme="minorHAnsi"/>
                <w:sz w:val="18"/>
                <w:szCs w:val="18"/>
              </w:rPr>
              <w:t>&lt;</w:t>
            </w:r>
            <w:r w:rsidRPr="00B87718">
              <w:rPr>
                <w:rFonts w:eastAsia="Times New Roman" w:cstheme="minorHAnsi"/>
                <w:color w:val="000000"/>
                <w:sz w:val="18"/>
                <w:szCs w:val="18"/>
                <w:lang w:eastAsia="en-GB"/>
              </w:rPr>
              <w:t>80)</w:t>
            </w:r>
          </w:p>
        </w:tc>
        <w:tc>
          <w:tcPr>
            <w:tcW w:w="1295" w:type="dxa"/>
            <w:tcBorders>
              <w:top w:val="single" w:sz="12" w:space="0" w:color="auto"/>
              <w:left w:val="nil"/>
              <w:bottom w:val="single" w:sz="12" w:space="0" w:color="auto"/>
              <w:right w:val="single" w:sz="4" w:space="0" w:color="auto"/>
            </w:tcBorders>
            <w:shd w:val="clear" w:color="auto" w:fill="auto"/>
            <w:noWrap/>
            <w:vAlign w:val="bottom"/>
            <w:hideMark/>
          </w:tcPr>
          <w:p w14:paraId="15A214B6"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single" w:sz="12" w:space="0" w:color="auto"/>
              <w:left w:val="nil"/>
              <w:bottom w:val="single" w:sz="12" w:space="0" w:color="auto"/>
              <w:right w:val="single" w:sz="4" w:space="0" w:color="auto"/>
            </w:tcBorders>
            <w:shd w:val="clear" w:color="auto" w:fill="auto"/>
            <w:noWrap/>
            <w:vAlign w:val="bottom"/>
            <w:hideMark/>
          </w:tcPr>
          <w:p w14:paraId="06015473"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single" w:sz="12" w:space="0" w:color="auto"/>
              <w:left w:val="nil"/>
              <w:bottom w:val="single" w:sz="12" w:space="0" w:color="auto"/>
              <w:right w:val="single" w:sz="4" w:space="0" w:color="auto"/>
            </w:tcBorders>
            <w:shd w:val="clear" w:color="auto" w:fill="auto"/>
            <w:noWrap/>
            <w:vAlign w:val="bottom"/>
            <w:hideMark/>
          </w:tcPr>
          <w:p w14:paraId="7C117A71"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0.62*</w:t>
            </w:r>
          </w:p>
          <w:p w14:paraId="459349DF"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(0.42</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0.91)</w:t>
            </w:r>
          </w:p>
        </w:tc>
        <w:tc>
          <w:tcPr>
            <w:tcW w:w="1295" w:type="dxa"/>
            <w:tcBorders>
              <w:top w:val="single" w:sz="12" w:space="0" w:color="auto"/>
              <w:left w:val="nil"/>
              <w:bottom w:val="single" w:sz="12" w:space="0" w:color="auto"/>
              <w:right w:val="single" w:sz="4" w:space="0" w:color="auto"/>
            </w:tcBorders>
            <w:shd w:val="clear" w:color="auto" w:fill="auto"/>
            <w:noWrap/>
            <w:vAlign w:val="bottom"/>
            <w:hideMark/>
          </w:tcPr>
          <w:p w14:paraId="3E85BD90"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single" w:sz="12" w:space="0" w:color="auto"/>
              <w:left w:val="nil"/>
              <w:bottom w:val="single" w:sz="12" w:space="0" w:color="auto"/>
              <w:right w:val="single" w:sz="12" w:space="0" w:color="auto"/>
            </w:tcBorders>
            <w:shd w:val="clear" w:color="auto" w:fill="auto"/>
            <w:noWrap/>
            <w:vAlign w:val="bottom"/>
            <w:hideMark/>
          </w:tcPr>
          <w:p w14:paraId="2BC61714"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0.56**</w:t>
            </w:r>
          </w:p>
          <w:p w14:paraId="697024F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(0.37</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0.84)</w:t>
            </w:r>
          </w:p>
        </w:tc>
      </w:tr>
      <w:tr w:rsidR="003765AF" w:rsidRPr="00B87718" w14:paraId="12A7FE3F" w14:textId="77777777" w:rsidTr="001A0EA2">
        <w:trPr>
          <w:trHeight w:val="20"/>
        </w:trPr>
        <w:tc>
          <w:tcPr>
            <w:tcW w:w="3534" w:type="dxa"/>
            <w:tcBorders>
              <w:top w:val="single" w:sz="12" w:space="0" w:color="auto"/>
              <w:left w:val="single" w:sz="12" w:space="0" w:color="auto"/>
              <w:bottom w:val="single" w:sz="4" w:space="0" w:color="auto"/>
              <w:right w:val="single" w:sz="4" w:space="0" w:color="auto"/>
            </w:tcBorders>
            <w:shd w:val="clear" w:color="auto" w:fill="auto"/>
            <w:noWrap/>
            <w:hideMark/>
          </w:tcPr>
          <w:p w14:paraId="58FAD728" w14:textId="77777777" w:rsidR="003765AF" w:rsidRPr="00B87718" w:rsidRDefault="003765AF" w:rsidP="001A0EA2">
            <w:pPr>
              <w:spacing w:after="0" w:line="480" w:lineRule="auto"/>
              <w:rPr>
                <w:rFonts w:eastAsia="Times New Roman" w:cstheme="minorHAnsi"/>
                <w:color w:val="000000"/>
                <w:sz w:val="18"/>
                <w:szCs w:val="18"/>
                <w:lang w:eastAsia="en-GB"/>
              </w:rPr>
            </w:pPr>
            <w:r w:rsidRPr="00B87718">
              <w:rPr>
                <w:rFonts w:eastAsia="Times New Roman" w:cstheme="minorHAnsi"/>
                <w:color w:val="000000"/>
                <w:sz w:val="18"/>
                <w:szCs w:val="18"/>
                <w:lang w:eastAsia="en-GB"/>
              </w:rPr>
              <w:t>LORIG (ref: low confidence)</w:t>
            </w:r>
          </w:p>
        </w:tc>
        <w:tc>
          <w:tcPr>
            <w:tcW w:w="1295" w:type="dxa"/>
            <w:tcBorders>
              <w:top w:val="single" w:sz="12" w:space="0" w:color="auto"/>
              <w:left w:val="nil"/>
              <w:bottom w:val="single" w:sz="4" w:space="0" w:color="auto"/>
              <w:right w:val="single" w:sz="4" w:space="0" w:color="auto"/>
            </w:tcBorders>
            <w:shd w:val="clear" w:color="auto" w:fill="auto"/>
            <w:noWrap/>
            <w:vAlign w:val="bottom"/>
            <w:hideMark/>
          </w:tcPr>
          <w:p w14:paraId="2A1D0F2C"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single" w:sz="12" w:space="0" w:color="auto"/>
              <w:left w:val="nil"/>
              <w:bottom w:val="single" w:sz="4" w:space="0" w:color="auto"/>
              <w:right w:val="single" w:sz="4" w:space="0" w:color="auto"/>
            </w:tcBorders>
            <w:shd w:val="clear" w:color="auto" w:fill="auto"/>
            <w:noWrap/>
            <w:vAlign w:val="bottom"/>
            <w:hideMark/>
          </w:tcPr>
          <w:p w14:paraId="37DBC534"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single" w:sz="12" w:space="0" w:color="auto"/>
              <w:left w:val="nil"/>
              <w:bottom w:val="single" w:sz="4" w:space="0" w:color="auto"/>
              <w:right w:val="single" w:sz="4" w:space="0" w:color="auto"/>
            </w:tcBorders>
            <w:shd w:val="clear" w:color="auto" w:fill="auto"/>
            <w:noWrap/>
            <w:vAlign w:val="bottom"/>
            <w:hideMark/>
          </w:tcPr>
          <w:p w14:paraId="05293AE7"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5" w:type="dxa"/>
            <w:tcBorders>
              <w:top w:val="single" w:sz="12" w:space="0" w:color="auto"/>
              <w:left w:val="nil"/>
              <w:bottom w:val="single" w:sz="4" w:space="0" w:color="auto"/>
              <w:right w:val="single" w:sz="4" w:space="0" w:color="auto"/>
            </w:tcBorders>
            <w:shd w:val="clear" w:color="auto" w:fill="auto"/>
            <w:noWrap/>
            <w:vAlign w:val="bottom"/>
            <w:hideMark/>
          </w:tcPr>
          <w:p w14:paraId="19C56FAF"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c>
          <w:tcPr>
            <w:tcW w:w="1296" w:type="dxa"/>
            <w:tcBorders>
              <w:top w:val="single" w:sz="12" w:space="0" w:color="auto"/>
              <w:left w:val="nil"/>
              <w:bottom w:val="single" w:sz="4" w:space="0" w:color="auto"/>
              <w:right w:val="single" w:sz="12" w:space="0" w:color="auto"/>
            </w:tcBorders>
            <w:shd w:val="clear" w:color="auto" w:fill="auto"/>
            <w:noWrap/>
            <w:vAlign w:val="bottom"/>
            <w:hideMark/>
          </w:tcPr>
          <w:p w14:paraId="465A5627" w14:textId="77777777" w:rsidR="003765AF" w:rsidRPr="00B87718" w:rsidRDefault="003765AF" w:rsidP="001A0EA2">
            <w:pPr>
              <w:spacing w:after="0" w:line="480" w:lineRule="auto"/>
              <w:jc w:val="center"/>
              <w:rPr>
                <w:rFonts w:eastAsia="Times New Roman" w:cstheme="minorHAnsi"/>
                <w:color w:val="000000"/>
                <w:sz w:val="18"/>
                <w:szCs w:val="18"/>
                <w:lang w:eastAsia="en-GB"/>
              </w:rPr>
            </w:pPr>
          </w:p>
        </w:tc>
      </w:tr>
      <w:tr w:rsidR="003765AF" w:rsidRPr="00B87718" w14:paraId="7AD0CECC" w14:textId="77777777" w:rsidTr="001A0EA2">
        <w:trPr>
          <w:trHeight w:val="20"/>
        </w:trPr>
        <w:tc>
          <w:tcPr>
            <w:tcW w:w="3534" w:type="dxa"/>
            <w:tcBorders>
              <w:top w:val="nil"/>
              <w:left w:val="single" w:sz="12" w:space="0" w:color="auto"/>
              <w:bottom w:val="single" w:sz="4" w:space="0" w:color="auto"/>
              <w:right w:val="single" w:sz="4" w:space="0" w:color="auto"/>
            </w:tcBorders>
            <w:shd w:val="clear" w:color="auto" w:fill="auto"/>
            <w:noWrap/>
            <w:hideMark/>
          </w:tcPr>
          <w:p w14:paraId="51D175D3"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Moderately confident</w:t>
            </w:r>
          </w:p>
        </w:tc>
        <w:tc>
          <w:tcPr>
            <w:tcW w:w="1295" w:type="dxa"/>
            <w:tcBorders>
              <w:top w:val="nil"/>
              <w:left w:val="nil"/>
              <w:bottom w:val="single" w:sz="4" w:space="0" w:color="auto"/>
              <w:right w:val="single" w:sz="4" w:space="0" w:color="auto"/>
            </w:tcBorders>
            <w:shd w:val="clear" w:color="auto" w:fill="auto"/>
            <w:noWrap/>
            <w:vAlign w:val="bottom"/>
            <w:hideMark/>
          </w:tcPr>
          <w:p w14:paraId="6BA20FAB"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0.47*</w:t>
            </w:r>
          </w:p>
          <w:p w14:paraId="4340022A"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(0.26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0.97)</w:t>
            </w:r>
          </w:p>
        </w:tc>
        <w:tc>
          <w:tcPr>
            <w:tcW w:w="1295" w:type="dxa"/>
            <w:tcBorders>
              <w:top w:val="nil"/>
              <w:left w:val="nil"/>
              <w:bottom w:val="single" w:sz="4" w:space="0" w:color="auto"/>
              <w:right w:val="single" w:sz="4" w:space="0" w:color="auto"/>
            </w:tcBorders>
            <w:shd w:val="clear" w:color="auto" w:fill="auto"/>
            <w:noWrap/>
            <w:vAlign w:val="bottom"/>
            <w:hideMark/>
          </w:tcPr>
          <w:p w14:paraId="099FE69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0.64</w:t>
            </w:r>
          </w:p>
          <w:p w14:paraId="565E06D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(0.27</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1.50)</w:t>
            </w:r>
          </w:p>
        </w:tc>
        <w:tc>
          <w:tcPr>
            <w:tcW w:w="1296" w:type="dxa"/>
            <w:tcBorders>
              <w:top w:val="nil"/>
              <w:left w:val="nil"/>
              <w:bottom w:val="single" w:sz="4" w:space="0" w:color="auto"/>
              <w:right w:val="single" w:sz="4" w:space="0" w:color="auto"/>
            </w:tcBorders>
            <w:shd w:val="clear" w:color="auto" w:fill="auto"/>
            <w:noWrap/>
            <w:vAlign w:val="bottom"/>
            <w:hideMark/>
          </w:tcPr>
          <w:p w14:paraId="70388991"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0.83</w:t>
            </w:r>
          </w:p>
          <w:p w14:paraId="4402735D"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(0.43</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1.62)</w:t>
            </w:r>
          </w:p>
        </w:tc>
        <w:tc>
          <w:tcPr>
            <w:tcW w:w="1295" w:type="dxa"/>
            <w:tcBorders>
              <w:top w:val="nil"/>
              <w:left w:val="nil"/>
              <w:bottom w:val="single" w:sz="4" w:space="0" w:color="auto"/>
              <w:right w:val="single" w:sz="4" w:space="0" w:color="auto"/>
            </w:tcBorders>
            <w:shd w:val="clear" w:color="auto" w:fill="auto"/>
            <w:noWrap/>
            <w:vAlign w:val="bottom"/>
            <w:hideMark/>
          </w:tcPr>
          <w:p w14:paraId="2D10A20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0.52*</w:t>
            </w:r>
          </w:p>
          <w:p w14:paraId="7223FDCA"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(0.27</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0.10)</w:t>
            </w:r>
          </w:p>
        </w:tc>
        <w:tc>
          <w:tcPr>
            <w:tcW w:w="1296" w:type="dxa"/>
            <w:tcBorders>
              <w:top w:val="nil"/>
              <w:left w:val="nil"/>
              <w:bottom w:val="single" w:sz="4" w:space="0" w:color="auto"/>
              <w:right w:val="single" w:sz="12" w:space="0" w:color="auto"/>
            </w:tcBorders>
            <w:shd w:val="clear" w:color="auto" w:fill="auto"/>
            <w:noWrap/>
            <w:vAlign w:val="bottom"/>
            <w:hideMark/>
          </w:tcPr>
          <w:p w14:paraId="69CC3121"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0.67</w:t>
            </w:r>
          </w:p>
          <w:p w14:paraId="5985BDD7"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(0.35</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1.27)</w:t>
            </w:r>
          </w:p>
        </w:tc>
      </w:tr>
      <w:tr w:rsidR="003765AF" w:rsidRPr="00B87718" w14:paraId="64397B3A" w14:textId="77777777" w:rsidTr="001A0EA2">
        <w:trPr>
          <w:trHeight w:val="20"/>
        </w:trPr>
        <w:tc>
          <w:tcPr>
            <w:tcW w:w="3534" w:type="dxa"/>
            <w:tcBorders>
              <w:top w:val="nil"/>
              <w:left w:val="single" w:sz="12" w:space="0" w:color="auto"/>
              <w:bottom w:val="nil"/>
              <w:right w:val="nil"/>
            </w:tcBorders>
            <w:shd w:val="clear" w:color="auto" w:fill="auto"/>
            <w:noWrap/>
            <w:hideMark/>
          </w:tcPr>
          <w:p w14:paraId="379A6551"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Confident</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92D9BFC"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0.30***</w:t>
            </w:r>
          </w:p>
          <w:p w14:paraId="25C5D7EF"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(0.16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0.58)</w:t>
            </w:r>
          </w:p>
        </w:tc>
        <w:tc>
          <w:tcPr>
            <w:tcW w:w="1295" w:type="dxa"/>
            <w:tcBorders>
              <w:top w:val="nil"/>
              <w:left w:val="nil"/>
              <w:bottom w:val="single" w:sz="4" w:space="0" w:color="auto"/>
              <w:right w:val="single" w:sz="4" w:space="0" w:color="auto"/>
            </w:tcBorders>
            <w:shd w:val="clear" w:color="auto" w:fill="auto"/>
            <w:noWrap/>
            <w:vAlign w:val="bottom"/>
            <w:hideMark/>
          </w:tcPr>
          <w:p w14:paraId="31F9A6F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0.30**</w:t>
            </w:r>
          </w:p>
          <w:p w14:paraId="51865174"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(0.14</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0.63)</w:t>
            </w:r>
          </w:p>
        </w:tc>
        <w:tc>
          <w:tcPr>
            <w:tcW w:w="1296" w:type="dxa"/>
            <w:tcBorders>
              <w:top w:val="nil"/>
              <w:left w:val="nil"/>
              <w:bottom w:val="single" w:sz="4" w:space="0" w:color="auto"/>
              <w:right w:val="single" w:sz="4" w:space="0" w:color="auto"/>
            </w:tcBorders>
            <w:shd w:val="clear" w:color="auto" w:fill="auto"/>
            <w:noWrap/>
            <w:vAlign w:val="bottom"/>
            <w:hideMark/>
          </w:tcPr>
          <w:p w14:paraId="28EFAA2E"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0.49*</w:t>
            </w:r>
          </w:p>
          <w:p w14:paraId="0D6074CA"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(0.26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0.93)</w:t>
            </w:r>
          </w:p>
        </w:tc>
        <w:tc>
          <w:tcPr>
            <w:tcW w:w="1295" w:type="dxa"/>
            <w:tcBorders>
              <w:top w:val="nil"/>
              <w:left w:val="nil"/>
              <w:bottom w:val="single" w:sz="4" w:space="0" w:color="auto"/>
              <w:right w:val="single" w:sz="4" w:space="0" w:color="auto"/>
            </w:tcBorders>
            <w:shd w:val="clear" w:color="auto" w:fill="auto"/>
            <w:noWrap/>
            <w:vAlign w:val="bottom"/>
            <w:hideMark/>
          </w:tcPr>
          <w:p w14:paraId="486D2733"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0.38**</w:t>
            </w:r>
          </w:p>
          <w:p w14:paraId="1E85A3C0"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(0.21</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0.68)</w:t>
            </w:r>
          </w:p>
        </w:tc>
        <w:tc>
          <w:tcPr>
            <w:tcW w:w="1296" w:type="dxa"/>
            <w:tcBorders>
              <w:top w:val="nil"/>
              <w:left w:val="nil"/>
              <w:bottom w:val="single" w:sz="4" w:space="0" w:color="auto"/>
              <w:right w:val="single" w:sz="12" w:space="0" w:color="auto"/>
            </w:tcBorders>
            <w:shd w:val="clear" w:color="auto" w:fill="auto"/>
            <w:noWrap/>
            <w:vAlign w:val="bottom"/>
            <w:hideMark/>
          </w:tcPr>
          <w:p w14:paraId="07E7B686"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0.29***</w:t>
            </w:r>
          </w:p>
          <w:p w14:paraId="5F51E7E1"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(0.16</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0.53)</w:t>
            </w:r>
          </w:p>
        </w:tc>
      </w:tr>
      <w:tr w:rsidR="003765AF" w:rsidRPr="00B87718" w14:paraId="2ACE39FA" w14:textId="77777777" w:rsidTr="001A0EA2">
        <w:trPr>
          <w:trHeight w:val="20"/>
        </w:trPr>
        <w:tc>
          <w:tcPr>
            <w:tcW w:w="3534" w:type="dxa"/>
            <w:tcBorders>
              <w:top w:val="single" w:sz="4" w:space="0" w:color="auto"/>
              <w:left w:val="single" w:sz="12" w:space="0" w:color="auto"/>
              <w:bottom w:val="single" w:sz="12" w:space="0" w:color="auto"/>
              <w:right w:val="single" w:sz="4" w:space="0" w:color="auto"/>
            </w:tcBorders>
            <w:shd w:val="clear" w:color="auto" w:fill="auto"/>
            <w:noWrap/>
            <w:hideMark/>
          </w:tcPr>
          <w:p w14:paraId="0C394DC5" w14:textId="77777777" w:rsidR="003765AF" w:rsidRPr="00B87718" w:rsidRDefault="003765AF" w:rsidP="001A0EA2">
            <w:pPr>
              <w:spacing w:after="0" w:line="480" w:lineRule="auto"/>
              <w:rPr>
                <w:rFonts w:eastAsia="Times New Roman" w:cstheme="minorHAnsi"/>
                <w:i/>
                <w:iCs/>
                <w:color w:val="000000"/>
                <w:sz w:val="18"/>
                <w:szCs w:val="18"/>
                <w:lang w:eastAsia="en-GB"/>
              </w:rPr>
            </w:pPr>
            <w:r w:rsidRPr="00B87718">
              <w:rPr>
                <w:rFonts w:eastAsia="Times New Roman" w:cstheme="minorHAnsi"/>
                <w:i/>
                <w:iCs/>
                <w:color w:val="000000"/>
                <w:sz w:val="18"/>
                <w:szCs w:val="18"/>
                <w:lang w:eastAsia="en-GB"/>
              </w:rPr>
              <w:t>Very confident</w:t>
            </w:r>
          </w:p>
        </w:tc>
        <w:tc>
          <w:tcPr>
            <w:tcW w:w="1295" w:type="dxa"/>
            <w:tcBorders>
              <w:top w:val="nil"/>
              <w:left w:val="nil"/>
              <w:bottom w:val="single" w:sz="12" w:space="0" w:color="auto"/>
              <w:right w:val="single" w:sz="4" w:space="0" w:color="auto"/>
            </w:tcBorders>
            <w:shd w:val="clear" w:color="auto" w:fill="auto"/>
            <w:noWrap/>
            <w:vAlign w:val="bottom"/>
            <w:hideMark/>
          </w:tcPr>
          <w:p w14:paraId="0D692F0C"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0.18***</w:t>
            </w:r>
          </w:p>
          <w:p w14:paraId="173EA6D8"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(0.09</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0.39)</w:t>
            </w:r>
          </w:p>
        </w:tc>
        <w:tc>
          <w:tcPr>
            <w:tcW w:w="1295" w:type="dxa"/>
            <w:tcBorders>
              <w:top w:val="nil"/>
              <w:left w:val="nil"/>
              <w:bottom w:val="single" w:sz="12" w:space="0" w:color="auto"/>
              <w:right w:val="single" w:sz="4" w:space="0" w:color="auto"/>
            </w:tcBorders>
            <w:shd w:val="clear" w:color="auto" w:fill="auto"/>
            <w:noWrap/>
            <w:vAlign w:val="bottom"/>
            <w:hideMark/>
          </w:tcPr>
          <w:p w14:paraId="59936AE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0.11***</w:t>
            </w:r>
          </w:p>
          <w:p w14:paraId="077845B5"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(0.05</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0.26)</w:t>
            </w:r>
          </w:p>
        </w:tc>
        <w:tc>
          <w:tcPr>
            <w:tcW w:w="1296" w:type="dxa"/>
            <w:tcBorders>
              <w:top w:val="nil"/>
              <w:left w:val="nil"/>
              <w:bottom w:val="single" w:sz="12" w:space="0" w:color="auto"/>
              <w:right w:val="single" w:sz="4" w:space="0" w:color="auto"/>
            </w:tcBorders>
            <w:shd w:val="clear" w:color="auto" w:fill="auto"/>
            <w:noWrap/>
            <w:vAlign w:val="bottom"/>
            <w:hideMark/>
          </w:tcPr>
          <w:p w14:paraId="2C16EFEC"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0.22***</w:t>
            </w:r>
          </w:p>
          <w:p w14:paraId="06FEE8EF"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w:t>
            </w:r>
            <w:r w:rsidRPr="00B87718">
              <w:rPr>
                <w:rFonts w:eastAsia="Times New Roman" w:cstheme="minorHAnsi"/>
                <w:color w:val="000000"/>
                <w:sz w:val="18"/>
                <w:szCs w:val="18"/>
                <w:lang w:eastAsia="en-GB"/>
              </w:rPr>
              <w:t>0.11</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0.44)</w:t>
            </w:r>
          </w:p>
        </w:tc>
        <w:tc>
          <w:tcPr>
            <w:tcW w:w="1295" w:type="dxa"/>
            <w:tcBorders>
              <w:top w:val="nil"/>
              <w:left w:val="nil"/>
              <w:bottom w:val="single" w:sz="12" w:space="0" w:color="auto"/>
              <w:right w:val="single" w:sz="4" w:space="0" w:color="auto"/>
            </w:tcBorders>
            <w:shd w:val="clear" w:color="auto" w:fill="auto"/>
            <w:noWrap/>
            <w:vAlign w:val="bottom"/>
            <w:hideMark/>
          </w:tcPr>
          <w:p w14:paraId="7C3AD523"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0.28***</w:t>
            </w:r>
          </w:p>
          <w:p w14:paraId="780FA862"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(0.15</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0.54)</w:t>
            </w:r>
          </w:p>
        </w:tc>
        <w:tc>
          <w:tcPr>
            <w:tcW w:w="1296" w:type="dxa"/>
            <w:tcBorders>
              <w:top w:val="nil"/>
              <w:left w:val="nil"/>
              <w:bottom w:val="single" w:sz="12" w:space="0" w:color="auto"/>
              <w:right w:val="single" w:sz="12" w:space="0" w:color="auto"/>
            </w:tcBorders>
            <w:shd w:val="clear" w:color="auto" w:fill="auto"/>
            <w:noWrap/>
            <w:vAlign w:val="bottom"/>
            <w:hideMark/>
          </w:tcPr>
          <w:p w14:paraId="0BBB9D6F"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0.18***</w:t>
            </w:r>
          </w:p>
          <w:p w14:paraId="3793591B" w14:textId="77777777" w:rsidR="003765AF" w:rsidRPr="00B87718" w:rsidRDefault="003765AF" w:rsidP="001A0EA2">
            <w:pPr>
              <w:spacing w:after="0" w:line="480" w:lineRule="auto"/>
              <w:jc w:val="center"/>
              <w:rPr>
                <w:rFonts w:eastAsia="Times New Roman" w:cstheme="minorHAnsi"/>
                <w:color w:val="000000"/>
                <w:sz w:val="18"/>
                <w:szCs w:val="18"/>
                <w:lang w:eastAsia="en-GB"/>
              </w:rPr>
            </w:pPr>
            <w:r w:rsidRPr="00B87718">
              <w:rPr>
                <w:rFonts w:eastAsia="Times New Roman" w:cstheme="minorHAnsi"/>
                <w:color w:val="000000"/>
                <w:sz w:val="18"/>
                <w:szCs w:val="18"/>
                <w:lang w:eastAsia="en-GB"/>
              </w:rPr>
              <w:t>(0.09</w:t>
            </w:r>
            <w:r>
              <w:rPr>
                <w:rFonts w:eastAsia="Times New Roman" w:cstheme="minorHAnsi"/>
                <w:color w:val="000000"/>
                <w:sz w:val="18"/>
                <w:szCs w:val="18"/>
                <w:lang w:eastAsia="en-GB"/>
              </w:rPr>
              <w:t xml:space="preserve"> to </w:t>
            </w:r>
            <w:r w:rsidRPr="00B87718">
              <w:rPr>
                <w:rFonts w:eastAsia="Times New Roman" w:cstheme="minorHAnsi"/>
                <w:color w:val="000000"/>
                <w:sz w:val="18"/>
                <w:szCs w:val="18"/>
                <w:lang w:eastAsia="en-GB"/>
              </w:rPr>
              <w:t>0.36)</w:t>
            </w:r>
          </w:p>
        </w:tc>
      </w:tr>
    </w:tbl>
    <w:p w14:paraId="4492E524" w14:textId="26DED721" w:rsidR="003765AF" w:rsidRPr="0053308E" w:rsidRDefault="003765AF" w:rsidP="003765AF">
      <w:pPr>
        <w:spacing w:after="0" w:line="480" w:lineRule="auto"/>
        <w:rPr>
          <w:rFonts w:cstheme="minorHAnsi"/>
          <w:lang w:val="en"/>
        </w:rPr>
      </w:pPr>
      <w:r>
        <w:t xml:space="preserve"> *p&lt;0.05, **p&lt;0.01, ***p&lt;0.001. Each model was adjusted for the </w:t>
      </w:r>
      <w:r w:rsidRPr="00D55C30">
        <w:t>wave</w:t>
      </w:r>
      <w:r>
        <w:t>s</w:t>
      </w:r>
      <w:r w:rsidRPr="00D55C30">
        <w:t xml:space="preserve"> of </w:t>
      </w:r>
      <w:r>
        <w:t>participation after baseline (at least one wave between 3m and 60m)</w:t>
      </w:r>
      <w:r>
        <w:rPr>
          <w:rFonts w:cstheme="minorHAnsi"/>
          <w:color w:val="385623" w:themeColor="accent6" w:themeShade="80"/>
          <w:lang w:val="en"/>
        </w:rPr>
        <w:t xml:space="preserve">. </w:t>
      </w:r>
      <w:r w:rsidRPr="0053308E">
        <w:rPr>
          <w:rFonts w:cstheme="minorHAnsi"/>
          <w:lang w:val="en"/>
        </w:rPr>
        <w:t xml:space="preserve">The Anxiety/Depression </w:t>
      </w:r>
      <w:r>
        <w:rPr>
          <w:rFonts w:cstheme="minorHAnsi"/>
          <w:lang w:val="en"/>
        </w:rPr>
        <w:t>outcome</w:t>
      </w:r>
      <w:r w:rsidRPr="0053308E">
        <w:rPr>
          <w:rFonts w:cstheme="minorHAnsi"/>
          <w:lang w:val="en"/>
        </w:rPr>
        <w:t xml:space="preserve"> excluded CES-D and STAI from its list of </w:t>
      </w:r>
      <w:r>
        <w:rPr>
          <w:rFonts w:cstheme="minorHAnsi"/>
          <w:lang w:val="en"/>
        </w:rPr>
        <w:t>predictor</w:t>
      </w:r>
      <w:r w:rsidRPr="0053308E">
        <w:rPr>
          <w:rFonts w:cstheme="minorHAnsi"/>
          <w:lang w:val="en"/>
        </w:rPr>
        <w:t>s due to collinearity.</w:t>
      </w:r>
    </w:p>
    <w:p w14:paraId="4B293F04" w14:textId="77777777" w:rsidR="003765AF" w:rsidRDefault="003765AF" w:rsidP="003765AF"/>
    <w:p w14:paraId="1EEBA2B5" w14:textId="77777777" w:rsidR="00323CE3" w:rsidRDefault="00323CE3" w:rsidP="00D276D9">
      <w:pPr>
        <w:spacing w:after="0" w:line="480" w:lineRule="auto"/>
        <w:rPr>
          <w:rFonts w:cstheme="minorHAnsi"/>
          <w:color w:val="385623" w:themeColor="accent6" w:themeShade="80"/>
          <w:lang w:val="en"/>
        </w:rPr>
      </w:pPr>
    </w:p>
    <w:p w14:paraId="50CDB9D1" w14:textId="77777777" w:rsidR="00323CE3" w:rsidRPr="00AF1F8A" w:rsidRDefault="00323CE3" w:rsidP="00AF1F8A">
      <w:pPr>
        <w:spacing w:line="480" w:lineRule="auto"/>
        <w:rPr>
          <w:rFonts w:cstheme="minorHAnsi"/>
          <w:b/>
          <w:bCs/>
          <w:sz w:val="36"/>
          <w:szCs w:val="36"/>
        </w:rPr>
      </w:pPr>
      <w:r w:rsidRPr="00AF1F8A">
        <w:rPr>
          <w:rFonts w:cstheme="minorHAnsi"/>
          <w:b/>
          <w:bCs/>
          <w:sz w:val="36"/>
          <w:szCs w:val="36"/>
        </w:rPr>
        <w:t>Discussion</w:t>
      </w:r>
    </w:p>
    <w:p w14:paraId="64709CD4" w14:textId="3EB36D47" w:rsidR="00323CE3" w:rsidRDefault="00323CE3" w:rsidP="00D276D9">
      <w:pPr>
        <w:pStyle w:val="CommentText"/>
        <w:spacing w:after="0" w:line="480" w:lineRule="auto"/>
        <w:rPr>
          <w:sz w:val="22"/>
          <w:szCs w:val="22"/>
        </w:rPr>
      </w:pPr>
      <w:r>
        <w:rPr>
          <w:sz w:val="22"/>
          <w:szCs w:val="22"/>
        </w:rPr>
        <w:t>Our findings support the existing e</w:t>
      </w:r>
      <w:r w:rsidRPr="008D5FBE">
        <w:rPr>
          <w:sz w:val="22"/>
          <w:szCs w:val="22"/>
        </w:rPr>
        <w:t>vidence that older people</w:t>
      </w:r>
      <w:r>
        <w:rPr>
          <w:sz w:val="22"/>
          <w:szCs w:val="22"/>
        </w:rPr>
        <w:t xml:space="preserve"> report</w:t>
      </w:r>
      <w:r w:rsidRPr="008D5FBE">
        <w:rPr>
          <w:sz w:val="22"/>
          <w:szCs w:val="22"/>
        </w:rPr>
        <w:t xml:space="preserve"> better QoL compared with younger people following CRC</w:t>
      </w:r>
      <w:r w:rsidR="005600ED">
        <w:rPr>
          <w:sz w:val="22"/>
          <w:szCs w:val="22"/>
        </w:rPr>
        <w:t xml:space="preserve"> </w:t>
      </w:r>
      <w:r w:rsidR="005600ED">
        <w:rPr>
          <w:rFonts w:eastAsia="SimSun" w:cstheme="minorHAnsi"/>
          <w:noProof/>
          <w:sz w:val="22"/>
          <w:szCs w:val="22"/>
        </w:rPr>
        <w:t>[</w:t>
      </w:r>
      <w:r>
        <w:rPr>
          <w:rFonts w:eastAsia="SimSun" w:cstheme="minorHAnsi"/>
          <w:noProof/>
          <w:sz w:val="22"/>
          <w:szCs w:val="22"/>
        </w:rPr>
        <w:t>31-33</w:t>
      </w:r>
      <w:r w:rsidR="005600ED">
        <w:rPr>
          <w:rFonts w:eastAsia="SimSun" w:cstheme="minorHAnsi"/>
          <w:noProof/>
          <w:sz w:val="22"/>
          <w:szCs w:val="22"/>
        </w:rPr>
        <w:t>]</w:t>
      </w:r>
      <w:r w:rsidRPr="008D5FBE">
        <w:rPr>
          <w:sz w:val="22"/>
          <w:szCs w:val="22"/>
        </w:rPr>
        <w:t xml:space="preserve">. However, </w:t>
      </w:r>
      <w:r>
        <w:rPr>
          <w:sz w:val="22"/>
          <w:szCs w:val="22"/>
        </w:rPr>
        <w:t>our results also indicate that these broad comparisons</w:t>
      </w:r>
      <w:r w:rsidRPr="008D5FBE">
        <w:rPr>
          <w:sz w:val="22"/>
          <w:szCs w:val="22"/>
        </w:rPr>
        <w:t xml:space="preserve"> mask important differences in QoL and health status </w:t>
      </w:r>
      <w:r>
        <w:rPr>
          <w:sz w:val="22"/>
          <w:szCs w:val="22"/>
        </w:rPr>
        <w:t xml:space="preserve">within the </w:t>
      </w:r>
      <w:r w:rsidR="00611A0F" w:rsidRPr="00EF136D">
        <w:rPr>
          <w:rFonts w:cstheme="minorHAnsi"/>
          <w:u w:val="single"/>
        </w:rPr>
        <w:t>&gt;</w:t>
      </w:r>
      <w:r w:rsidR="00611A0F" w:rsidRPr="00AF1F8A">
        <w:rPr>
          <w:rFonts w:cstheme="minorHAnsi"/>
          <w:sz w:val="22"/>
          <w:szCs w:val="22"/>
        </w:rPr>
        <w:t>65</w:t>
      </w:r>
      <w:proofErr w:type="gramStart"/>
      <w:r w:rsidR="00611A0F">
        <w:rPr>
          <w:rFonts w:cstheme="minorHAnsi"/>
        </w:rPr>
        <w:t xml:space="preserve">s </w:t>
      </w:r>
      <w:r>
        <w:rPr>
          <w:sz w:val="22"/>
          <w:szCs w:val="22"/>
        </w:rPr>
        <w:t>.</w:t>
      </w:r>
      <w:proofErr w:type="gramEnd"/>
      <w:r w:rsidRPr="008D5FBE">
        <w:rPr>
          <w:sz w:val="22"/>
          <w:szCs w:val="22"/>
        </w:rPr>
        <w:t xml:space="preserve">  The CREW study reveals that</w:t>
      </w:r>
      <w:r>
        <w:rPr>
          <w:sz w:val="22"/>
          <w:szCs w:val="22"/>
        </w:rPr>
        <w:t xml:space="preserve"> of those aged</w:t>
      </w:r>
      <w:r w:rsidR="00611A0F">
        <w:rPr>
          <w:sz w:val="22"/>
          <w:szCs w:val="22"/>
        </w:rPr>
        <w:t xml:space="preserve"> </w:t>
      </w:r>
      <w:r w:rsidR="00611A0F" w:rsidRPr="00EF136D">
        <w:rPr>
          <w:rFonts w:cstheme="minorHAnsi"/>
          <w:u w:val="single"/>
        </w:rPr>
        <w:t>&gt;</w:t>
      </w:r>
      <w:r w:rsidR="00611A0F" w:rsidRPr="00AF1F8A">
        <w:rPr>
          <w:rFonts w:cstheme="minorHAnsi"/>
          <w:sz w:val="22"/>
          <w:szCs w:val="22"/>
        </w:rPr>
        <w:t>65</w:t>
      </w:r>
      <w:r>
        <w:rPr>
          <w:sz w:val="22"/>
          <w:szCs w:val="22"/>
        </w:rPr>
        <w:t>,</w:t>
      </w:r>
      <w:r w:rsidRPr="008D5FBE">
        <w:rPr>
          <w:sz w:val="22"/>
          <w:szCs w:val="22"/>
        </w:rPr>
        <w:t xml:space="preserve"> the oldest individuals</w:t>
      </w:r>
      <w:r>
        <w:rPr>
          <w:sz w:val="22"/>
          <w:szCs w:val="22"/>
        </w:rPr>
        <w:t xml:space="preserve">, who </w:t>
      </w:r>
      <w:r w:rsidRPr="008D5FBE">
        <w:rPr>
          <w:sz w:val="22"/>
          <w:szCs w:val="22"/>
        </w:rPr>
        <w:t>have typically been excluded from research studies</w:t>
      </w:r>
      <w:r w:rsidR="005600ED">
        <w:rPr>
          <w:sz w:val="22"/>
          <w:szCs w:val="22"/>
        </w:rPr>
        <w:t xml:space="preserve"> </w:t>
      </w:r>
      <w:r w:rsidR="005600ED">
        <w:rPr>
          <w:noProof/>
          <w:sz w:val="22"/>
          <w:szCs w:val="22"/>
        </w:rPr>
        <w:t>[</w:t>
      </w:r>
      <w:r>
        <w:rPr>
          <w:noProof/>
          <w:sz w:val="22"/>
          <w:szCs w:val="22"/>
        </w:rPr>
        <w:t>34</w:t>
      </w:r>
      <w:r w:rsidR="005600ED">
        <w:rPr>
          <w:noProof/>
          <w:sz w:val="22"/>
          <w:szCs w:val="22"/>
        </w:rPr>
        <w:t>]</w:t>
      </w:r>
      <w:r>
        <w:rPr>
          <w:sz w:val="22"/>
          <w:szCs w:val="22"/>
        </w:rPr>
        <w:t>,</w:t>
      </w:r>
      <w:r w:rsidRPr="008D5FBE">
        <w:rPr>
          <w:sz w:val="22"/>
          <w:szCs w:val="22"/>
        </w:rPr>
        <w:t xml:space="preserve"> are the most vulnerable to poorer recovery outcomes</w:t>
      </w:r>
      <w:r w:rsidRPr="009A0D46">
        <w:rPr>
          <w:sz w:val="22"/>
          <w:szCs w:val="22"/>
        </w:rPr>
        <w:t xml:space="preserve">.  We reveal several </w:t>
      </w:r>
      <w:r w:rsidRPr="009A0D46">
        <w:rPr>
          <w:sz w:val="22"/>
          <w:szCs w:val="22"/>
        </w:rPr>
        <w:lastRenderedPageBreak/>
        <w:t xml:space="preserve">areas that are amenable to intervention that if addressed appropriately could significantly improve recovery experiences for the oldest people living with </w:t>
      </w:r>
      <w:r>
        <w:rPr>
          <w:sz w:val="22"/>
          <w:szCs w:val="22"/>
        </w:rPr>
        <w:t xml:space="preserve">and beyond </w:t>
      </w:r>
      <w:r w:rsidRPr="009A0D46">
        <w:rPr>
          <w:sz w:val="22"/>
          <w:szCs w:val="22"/>
        </w:rPr>
        <w:t xml:space="preserve">CRC.  </w:t>
      </w:r>
    </w:p>
    <w:p w14:paraId="4F3D57E4" w14:textId="77777777" w:rsidR="00323CE3" w:rsidRPr="009A0D46" w:rsidRDefault="00323CE3" w:rsidP="00D276D9">
      <w:pPr>
        <w:pStyle w:val="CommentText"/>
        <w:spacing w:after="0" w:line="480" w:lineRule="auto"/>
        <w:rPr>
          <w:color w:val="70AD47" w:themeColor="accent6"/>
        </w:rPr>
      </w:pPr>
      <w:r>
        <w:rPr>
          <w:rFonts w:cstheme="minorHAnsi"/>
          <w:color w:val="385623" w:themeColor="accent6" w:themeShade="80"/>
        </w:rPr>
        <w:t xml:space="preserve"> </w:t>
      </w:r>
      <w:r>
        <w:t xml:space="preserve"> </w:t>
      </w:r>
    </w:p>
    <w:p w14:paraId="7F61AEB9"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t xml:space="preserve">Oldest Old </w:t>
      </w:r>
    </w:p>
    <w:p w14:paraId="793A4D3B" w14:textId="4ADD0717" w:rsidR="00323CE3" w:rsidRPr="007122AC" w:rsidRDefault="00323CE3" w:rsidP="00D276D9">
      <w:pPr>
        <w:spacing w:after="0" w:line="480" w:lineRule="auto"/>
        <w:rPr>
          <w:rFonts w:cstheme="minorHAnsi"/>
        </w:rPr>
      </w:pPr>
      <w:r>
        <w:t>Improved</w:t>
      </w:r>
      <w:r w:rsidRPr="00DC25ED">
        <w:t xml:space="preserve"> psychosocial adaptation </w:t>
      </w:r>
      <w:r>
        <w:t xml:space="preserve">and </w:t>
      </w:r>
      <w:r w:rsidRPr="00DC25ED">
        <w:t xml:space="preserve">differences in </w:t>
      </w:r>
      <w:r>
        <w:t xml:space="preserve">the </w:t>
      </w:r>
      <w:r w:rsidRPr="00DC25ED">
        <w:t xml:space="preserve">appraisal of stressful life events </w:t>
      </w:r>
      <w:r>
        <w:t xml:space="preserve">with age offer a possible explanation for individuals </w:t>
      </w:r>
      <w:r w:rsidR="00175218">
        <w:t xml:space="preserve">aged </w:t>
      </w:r>
      <w:r w:rsidR="00611A0F" w:rsidRPr="00EF136D">
        <w:rPr>
          <w:rFonts w:cstheme="minorHAnsi"/>
          <w:u w:val="single"/>
        </w:rPr>
        <w:t>&gt;</w:t>
      </w:r>
      <w:r w:rsidR="00611A0F">
        <w:rPr>
          <w:rFonts w:cstheme="minorHAnsi"/>
        </w:rPr>
        <w:t>65</w:t>
      </w:r>
      <w:r w:rsidR="00175218">
        <w:t xml:space="preserve">, as a whole, </w:t>
      </w:r>
      <w:r>
        <w:t>experiencing better QoL</w:t>
      </w:r>
      <w:r w:rsidR="00175218">
        <w:t xml:space="preserve"> than</w:t>
      </w:r>
      <w:r>
        <w:t xml:space="preserve"> those aged &lt;65 years</w:t>
      </w:r>
      <w:r w:rsidR="005600ED">
        <w:t xml:space="preserve"> </w:t>
      </w:r>
      <w:r w:rsidR="005600ED">
        <w:rPr>
          <w:rFonts w:eastAsia="SimSun" w:cstheme="minorHAnsi"/>
          <w:noProof/>
        </w:rPr>
        <w:t>[</w:t>
      </w:r>
      <w:r>
        <w:rPr>
          <w:rFonts w:eastAsia="SimSun" w:cstheme="minorHAnsi"/>
          <w:noProof/>
        </w:rPr>
        <w:t>31-34</w:t>
      </w:r>
      <w:r w:rsidR="005600ED">
        <w:rPr>
          <w:rFonts w:eastAsia="SimSun" w:cstheme="minorHAnsi"/>
          <w:noProof/>
        </w:rPr>
        <w:t>]</w:t>
      </w:r>
      <w:r w:rsidRPr="00D93A8E">
        <w:t>.</w:t>
      </w:r>
      <w:r>
        <w:rPr>
          <w:rFonts w:cstheme="minorHAnsi"/>
          <w:lang w:val="en"/>
        </w:rPr>
        <w:t xml:space="preserve">  </w:t>
      </w:r>
      <w:r>
        <w:rPr>
          <w:rFonts w:cstheme="minorHAnsi"/>
        </w:rPr>
        <w:t>Existing literature highlights the</w:t>
      </w:r>
      <w:r w:rsidRPr="008205F6">
        <w:rPr>
          <w:rFonts w:cstheme="minorHAnsi"/>
          <w:lang w:val="en"/>
        </w:rPr>
        <w:t xml:space="preserve"> health, functioning, and psychosocial differences </w:t>
      </w:r>
      <w:r>
        <w:rPr>
          <w:rFonts w:cstheme="minorHAnsi"/>
          <w:lang w:val="en"/>
        </w:rPr>
        <w:t xml:space="preserve">between age groupings </w:t>
      </w:r>
      <w:r w:rsidRPr="008205F6">
        <w:rPr>
          <w:rFonts w:cstheme="minorHAnsi"/>
          <w:lang w:val="en"/>
        </w:rPr>
        <w:t>of older</w:t>
      </w:r>
      <w:r>
        <w:rPr>
          <w:rFonts w:cstheme="minorHAnsi"/>
          <w:lang w:val="en"/>
        </w:rPr>
        <w:t xml:space="preserve"> adults, but is </w:t>
      </w:r>
      <w:r w:rsidRPr="00D93A8E">
        <w:rPr>
          <w:rFonts w:cstheme="minorHAnsi"/>
          <w:lang w:val="en"/>
        </w:rPr>
        <w:t>limited by</w:t>
      </w:r>
      <w:r w:rsidRPr="00D93A8E">
        <w:rPr>
          <w:rFonts w:cstheme="minorHAnsi"/>
        </w:rPr>
        <w:t xml:space="preserve"> inclu</w:t>
      </w:r>
      <w:r>
        <w:rPr>
          <w:rFonts w:cstheme="minorHAnsi"/>
        </w:rPr>
        <w:t>sion of only the youngest-old</w:t>
      </w:r>
      <w:r w:rsidR="005600ED">
        <w:rPr>
          <w:rFonts w:cstheme="minorHAnsi"/>
        </w:rPr>
        <w:t xml:space="preserve"> </w:t>
      </w:r>
      <w:r w:rsidR="005600ED">
        <w:rPr>
          <w:rFonts w:cstheme="minorHAnsi"/>
          <w:noProof/>
        </w:rPr>
        <w:t>[</w:t>
      </w:r>
      <w:r>
        <w:rPr>
          <w:rFonts w:cstheme="minorHAnsi"/>
          <w:noProof/>
        </w:rPr>
        <w:t>6, 35</w:t>
      </w:r>
      <w:r w:rsidR="005600ED">
        <w:rPr>
          <w:rFonts w:cstheme="minorHAnsi"/>
          <w:noProof/>
        </w:rPr>
        <w:t>]</w:t>
      </w:r>
      <w:r>
        <w:rPr>
          <w:rFonts w:cstheme="minorHAnsi"/>
          <w:lang w:val="en"/>
        </w:rPr>
        <w:t xml:space="preserve">.  The inclusion of oldest-old participants in CREW allows us to </w:t>
      </w:r>
      <w:r>
        <w:rPr>
          <w:rFonts w:cstheme="minorHAnsi"/>
        </w:rPr>
        <w:t xml:space="preserve">add to this current knowledge.  </w:t>
      </w:r>
      <w:r>
        <w:rPr>
          <w:rFonts w:cstheme="minorHAnsi"/>
          <w:lang w:val="en"/>
        </w:rPr>
        <w:t>W</w:t>
      </w:r>
      <w:r>
        <w:rPr>
          <w:rFonts w:cstheme="minorHAnsi"/>
        </w:rPr>
        <w:t xml:space="preserve">e reveal that the oldest-old individuals are at significantly greater risk of poor </w:t>
      </w:r>
      <w:r w:rsidRPr="00611543">
        <w:rPr>
          <w:rFonts w:cstheme="minorHAnsi"/>
        </w:rPr>
        <w:t>QoL</w:t>
      </w:r>
      <w:r>
        <w:rPr>
          <w:rFonts w:cstheme="minorHAnsi"/>
        </w:rPr>
        <w:t xml:space="preserve"> </w:t>
      </w:r>
      <w:r w:rsidRPr="00611543">
        <w:rPr>
          <w:rFonts w:cstheme="minorHAnsi"/>
        </w:rPr>
        <w:t xml:space="preserve">compared to </w:t>
      </w:r>
      <w:r>
        <w:rPr>
          <w:rFonts w:cstheme="minorHAnsi"/>
        </w:rPr>
        <w:t xml:space="preserve">the </w:t>
      </w:r>
      <w:r w:rsidRPr="00611543">
        <w:rPr>
          <w:rFonts w:cstheme="minorHAnsi"/>
        </w:rPr>
        <w:t>youngest-old</w:t>
      </w:r>
      <w:r>
        <w:rPr>
          <w:rFonts w:cstheme="minorHAnsi"/>
        </w:rPr>
        <w:t>,</w:t>
      </w:r>
      <w:r w:rsidRPr="00611543">
        <w:rPr>
          <w:rFonts w:cstheme="minorHAnsi"/>
        </w:rPr>
        <w:t xml:space="preserve"> </w:t>
      </w:r>
      <w:r>
        <w:rPr>
          <w:rFonts w:cstheme="minorHAnsi"/>
        </w:rPr>
        <w:t>for up to five years following their CRC diagnosis</w:t>
      </w:r>
      <w:r w:rsidRPr="00611543">
        <w:rPr>
          <w:rFonts w:cstheme="minorHAnsi"/>
        </w:rPr>
        <w:t>.</w:t>
      </w:r>
      <w:r>
        <w:rPr>
          <w:rFonts w:cstheme="minorHAnsi"/>
        </w:rPr>
        <w:t xml:space="preserve">  </w:t>
      </w:r>
      <w:r>
        <w:t xml:space="preserve">Our findings also demonstrate </w:t>
      </w:r>
      <w:r>
        <w:rPr>
          <w:rFonts w:cstheme="minorHAnsi"/>
        </w:rPr>
        <w:t xml:space="preserve">associations between increasing age and an increased likelihood of reporting problems with mobility and usual activities across five years, which again, is most pertinent for the oldest old.  </w:t>
      </w:r>
      <w:r>
        <w:t xml:space="preserve">The influence of biological ageing likely underlies these findings.  </w:t>
      </w:r>
      <w:r>
        <w:rPr>
          <w:rFonts w:cstheme="minorHAnsi"/>
        </w:rPr>
        <w:t>I</w:t>
      </w:r>
      <w:r>
        <w:t>ndeed, th</w:t>
      </w:r>
      <w:r w:rsidRPr="00291D3A">
        <w:t>e potential</w:t>
      </w:r>
      <w:r>
        <w:t>ly</w:t>
      </w:r>
      <w:r w:rsidRPr="00291D3A">
        <w:t xml:space="preserve"> </w:t>
      </w:r>
      <w:r w:rsidRPr="00291D3A">
        <w:rPr>
          <w:rFonts w:cstheme="minorHAnsi"/>
          <w:lang w:val="en"/>
        </w:rPr>
        <w:t>additive effects of cancer and ag</w:t>
      </w:r>
      <w:r>
        <w:rPr>
          <w:rFonts w:cstheme="minorHAnsi"/>
          <w:lang w:val="en"/>
        </w:rPr>
        <w:t>e</w:t>
      </w:r>
      <w:r w:rsidRPr="00291D3A">
        <w:rPr>
          <w:rFonts w:cstheme="minorHAnsi"/>
          <w:lang w:val="en"/>
        </w:rPr>
        <w:t>ing on physical functioning have previously been described</w:t>
      </w:r>
      <w:r w:rsidR="005600ED">
        <w:rPr>
          <w:rFonts w:cstheme="minorHAnsi"/>
          <w:lang w:val="en"/>
        </w:rPr>
        <w:t xml:space="preserve"> </w:t>
      </w:r>
      <w:r w:rsidR="005600ED">
        <w:rPr>
          <w:rFonts w:cstheme="minorHAnsi"/>
          <w:noProof/>
          <w:lang w:val="en"/>
        </w:rPr>
        <w:t>[</w:t>
      </w:r>
      <w:r>
        <w:rPr>
          <w:rFonts w:cstheme="minorHAnsi"/>
          <w:noProof/>
          <w:lang w:val="en"/>
        </w:rPr>
        <w:t>36</w:t>
      </w:r>
      <w:r w:rsidR="005600ED">
        <w:rPr>
          <w:rFonts w:cstheme="minorHAnsi"/>
          <w:noProof/>
          <w:lang w:val="en"/>
        </w:rPr>
        <w:t>]</w:t>
      </w:r>
      <w:r w:rsidRPr="00291D3A">
        <w:rPr>
          <w:rFonts w:cstheme="minorHAnsi"/>
          <w:lang w:val="en"/>
        </w:rPr>
        <w:t>.</w:t>
      </w:r>
      <w:r>
        <w:rPr>
          <w:rFonts w:cstheme="minorHAnsi"/>
          <w:lang w:val="en"/>
        </w:rPr>
        <w:t xml:space="preserve">  In relation to multiple cancer types, </w:t>
      </w:r>
      <w:proofErr w:type="spellStart"/>
      <w:r>
        <w:rPr>
          <w:rFonts w:cstheme="minorHAnsi"/>
          <w:lang w:val="en"/>
        </w:rPr>
        <w:t>Pergolotti</w:t>
      </w:r>
      <w:proofErr w:type="spellEnd"/>
      <w:r>
        <w:rPr>
          <w:rFonts w:cstheme="minorHAnsi"/>
          <w:lang w:val="en"/>
        </w:rPr>
        <w:t xml:space="preserve"> </w:t>
      </w:r>
      <w:r w:rsidRPr="00705FB1">
        <w:rPr>
          <w:rFonts w:cstheme="minorHAnsi"/>
          <w:i/>
          <w:iCs/>
          <w:lang w:val="en"/>
        </w:rPr>
        <w:t>et al</w:t>
      </w:r>
      <w:r>
        <w:rPr>
          <w:rFonts w:cstheme="minorHAnsi"/>
          <w:lang w:val="en"/>
        </w:rPr>
        <w:t xml:space="preserve"> previously described poorer QoL in older adults reporting lower levels of activities and functioning</w:t>
      </w:r>
      <w:r w:rsidR="005600ED">
        <w:rPr>
          <w:rFonts w:cstheme="minorHAnsi"/>
          <w:lang w:val="en"/>
        </w:rPr>
        <w:t xml:space="preserve"> </w:t>
      </w:r>
      <w:r w:rsidR="005600ED">
        <w:rPr>
          <w:rFonts w:cstheme="minorHAnsi"/>
          <w:noProof/>
        </w:rPr>
        <w:t>[</w:t>
      </w:r>
      <w:r>
        <w:rPr>
          <w:rFonts w:cstheme="minorHAnsi"/>
          <w:noProof/>
        </w:rPr>
        <w:t>35</w:t>
      </w:r>
      <w:r w:rsidR="005600ED">
        <w:rPr>
          <w:rFonts w:cstheme="minorHAnsi"/>
          <w:noProof/>
        </w:rPr>
        <w:t>]</w:t>
      </w:r>
      <w:r>
        <w:rPr>
          <w:rFonts w:cstheme="minorHAnsi"/>
        </w:rPr>
        <w:t xml:space="preserve">.  These </w:t>
      </w:r>
      <w:r>
        <w:rPr>
          <w:rFonts w:cstheme="minorHAnsi"/>
          <w:lang w:val="en"/>
        </w:rPr>
        <w:t xml:space="preserve">associations may therefore help to explain why the oldest-old experience poorer QoL.  </w:t>
      </w:r>
      <w:proofErr w:type="gramStart"/>
      <w:r>
        <w:rPr>
          <w:rFonts w:cstheme="minorHAnsi"/>
          <w:lang w:val="en"/>
        </w:rPr>
        <w:t>Indeed</w:t>
      </w:r>
      <w:proofErr w:type="gramEnd"/>
      <w:r>
        <w:rPr>
          <w:rFonts w:cstheme="minorHAnsi"/>
          <w:lang w:val="en"/>
        </w:rPr>
        <w:t xml:space="preserve"> it is likely that t</w:t>
      </w:r>
      <w:r>
        <w:rPr>
          <w:rFonts w:cstheme="minorHAnsi"/>
        </w:rPr>
        <w:t xml:space="preserve">his </w:t>
      </w:r>
      <w:r w:rsidRPr="005F2182">
        <w:t xml:space="preserve">relationship between </w:t>
      </w:r>
      <w:r>
        <w:t>reduced mobility, daily activities</w:t>
      </w:r>
      <w:r w:rsidRPr="005F2182">
        <w:t xml:space="preserve"> </w:t>
      </w:r>
      <w:r>
        <w:t xml:space="preserve">and </w:t>
      </w:r>
      <w:r w:rsidRPr="005F2182">
        <w:t>QoL</w:t>
      </w:r>
      <w:r>
        <w:t xml:space="preserve"> is likely to reflect the desire of older individuals </w:t>
      </w:r>
      <w:r w:rsidRPr="005F2182">
        <w:t xml:space="preserve">to maintain </w:t>
      </w:r>
      <w:r>
        <w:t xml:space="preserve">their </w:t>
      </w:r>
      <w:r w:rsidRPr="005F2182">
        <w:t xml:space="preserve">independence </w:t>
      </w:r>
      <w:r w:rsidRPr="005F2182">
        <w:rPr>
          <w:rFonts w:cstheme="minorHAnsi"/>
        </w:rPr>
        <w:t>and participat</w:t>
      </w:r>
      <w:r>
        <w:rPr>
          <w:rFonts w:cstheme="minorHAnsi"/>
        </w:rPr>
        <w:t>ion</w:t>
      </w:r>
      <w:r w:rsidRPr="005F2182">
        <w:rPr>
          <w:rFonts w:cstheme="minorHAnsi"/>
        </w:rPr>
        <w:t xml:space="preserve"> in </w:t>
      </w:r>
      <w:r>
        <w:rPr>
          <w:rFonts w:cstheme="minorHAnsi"/>
        </w:rPr>
        <w:t xml:space="preserve">valued </w:t>
      </w:r>
      <w:r w:rsidRPr="005F2182">
        <w:rPr>
          <w:rFonts w:cstheme="minorHAnsi"/>
        </w:rPr>
        <w:t>recreational activities</w:t>
      </w:r>
      <w:r w:rsidR="005600ED">
        <w:rPr>
          <w:rFonts w:cstheme="minorHAnsi"/>
        </w:rPr>
        <w:t xml:space="preserve"> </w:t>
      </w:r>
      <w:r w:rsidR="005600ED">
        <w:rPr>
          <w:rFonts w:cstheme="minorHAnsi"/>
          <w:noProof/>
        </w:rPr>
        <w:t>[</w:t>
      </w:r>
      <w:r>
        <w:rPr>
          <w:rFonts w:cstheme="minorHAnsi"/>
          <w:noProof/>
        </w:rPr>
        <w:t>37</w:t>
      </w:r>
      <w:r w:rsidR="005600ED">
        <w:rPr>
          <w:rFonts w:cstheme="minorHAnsi"/>
          <w:noProof/>
        </w:rPr>
        <w:t>]</w:t>
      </w:r>
      <w:r>
        <w:rPr>
          <w:rFonts w:cstheme="minorHAnsi"/>
        </w:rPr>
        <w:t>.</w:t>
      </w:r>
    </w:p>
    <w:p w14:paraId="4CB1CA91" w14:textId="77777777" w:rsidR="00323CE3" w:rsidRDefault="00323CE3" w:rsidP="00D276D9">
      <w:pPr>
        <w:spacing w:after="0" w:line="480" w:lineRule="auto"/>
      </w:pPr>
    </w:p>
    <w:p w14:paraId="5BB4F983" w14:textId="233D9287" w:rsidR="00323CE3" w:rsidRDefault="00323CE3" w:rsidP="00D276D9">
      <w:pPr>
        <w:autoSpaceDE w:val="0"/>
        <w:autoSpaceDN w:val="0"/>
        <w:adjustRightInd w:val="0"/>
        <w:spacing w:after="0" w:line="480" w:lineRule="auto"/>
        <w:rPr>
          <w:rFonts w:cstheme="minorHAnsi"/>
          <w:lang w:val="en"/>
        </w:rPr>
      </w:pPr>
      <w:r w:rsidRPr="003F61F0">
        <w:t xml:space="preserve">With CRC </w:t>
      </w:r>
      <w:r w:rsidRPr="003F61F0">
        <w:rPr>
          <w:rFonts w:cstheme="minorHAnsi"/>
        </w:rPr>
        <w:t xml:space="preserve">incidence rates highest in the </w:t>
      </w:r>
      <w:proofErr w:type="gramStart"/>
      <w:r w:rsidRPr="003F61F0">
        <w:rPr>
          <w:rFonts w:cstheme="minorHAnsi"/>
        </w:rPr>
        <w:t>85-89 year</w:t>
      </w:r>
      <w:proofErr w:type="gramEnd"/>
      <w:r w:rsidRPr="003F61F0">
        <w:rPr>
          <w:rFonts w:cstheme="minorHAnsi"/>
        </w:rPr>
        <w:t xml:space="preserve"> age group</w:t>
      </w:r>
      <w:r>
        <w:rPr>
          <w:rFonts w:cstheme="minorHAnsi"/>
        </w:rPr>
        <w:t xml:space="preserve">, </w:t>
      </w:r>
      <w:r w:rsidRPr="003F61F0">
        <w:rPr>
          <w:rFonts w:cstheme="minorHAnsi"/>
        </w:rPr>
        <w:t xml:space="preserve">our findings </w:t>
      </w:r>
      <w:r w:rsidRPr="003F61F0">
        <w:t>hold importance</w:t>
      </w:r>
      <w:r>
        <w:t xml:space="preserve"> and relate</w:t>
      </w:r>
      <w:r w:rsidRPr="003F61F0">
        <w:rPr>
          <w:rFonts w:cstheme="minorHAnsi"/>
          <w:lang w:val="en"/>
        </w:rPr>
        <w:t xml:space="preserve"> to </w:t>
      </w:r>
      <w:r>
        <w:rPr>
          <w:lang w:val="en"/>
        </w:rPr>
        <w:t xml:space="preserve">the </w:t>
      </w:r>
      <w:r w:rsidRPr="003F61F0">
        <w:rPr>
          <w:lang w:val="en"/>
        </w:rPr>
        <w:t>need for</w:t>
      </w:r>
      <w:r>
        <w:rPr>
          <w:lang w:val="en"/>
        </w:rPr>
        <w:t xml:space="preserve"> development of </w:t>
      </w:r>
      <w:r w:rsidRPr="003F61F0">
        <w:rPr>
          <w:lang w:val="en"/>
        </w:rPr>
        <w:t>intervention</w:t>
      </w:r>
      <w:r>
        <w:rPr>
          <w:lang w:val="en"/>
        </w:rPr>
        <w:t xml:space="preserve">s tailored to the </w:t>
      </w:r>
      <w:r w:rsidRPr="003F61F0">
        <w:rPr>
          <w:lang w:val="en"/>
        </w:rPr>
        <w:t>oldest</w:t>
      </w:r>
      <w:r>
        <w:rPr>
          <w:lang w:val="en"/>
        </w:rPr>
        <w:t>-old</w:t>
      </w:r>
      <w:r w:rsidR="005600ED">
        <w:rPr>
          <w:lang w:val="en"/>
        </w:rPr>
        <w:t xml:space="preserve"> </w:t>
      </w:r>
      <w:r w:rsidR="005600ED">
        <w:rPr>
          <w:noProof/>
          <w:lang w:val="en"/>
        </w:rPr>
        <w:t>[</w:t>
      </w:r>
      <w:r>
        <w:rPr>
          <w:noProof/>
          <w:lang w:val="en"/>
        </w:rPr>
        <w:t>12, 38</w:t>
      </w:r>
      <w:r w:rsidR="005600ED">
        <w:rPr>
          <w:noProof/>
          <w:lang w:val="en"/>
        </w:rPr>
        <w:t>]</w:t>
      </w:r>
      <w:r w:rsidRPr="003F61F0">
        <w:t>.</w:t>
      </w:r>
      <w:r>
        <w:t xml:space="preserve">  </w:t>
      </w:r>
      <w:r>
        <w:rPr>
          <w:rFonts w:cstheme="minorHAnsi"/>
          <w:lang w:val="en"/>
        </w:rPr>
        <w:t>Holistic</w:t>
      </w:r>
      <w:r w:rsidRPr="005F2182">
        <w:rPr>
          <w:rFonts w:cstheme="minorHAnsi"/>
          <w:lang w:val="en"/>
        </w:rPr>
        <w:t xml:space="preserve"> approaches to </w:t>
      </w:r>
      <w:proofErr w:type="spellStart"/>
      <w:r>
        <w:rPr>
          <w:rFonts w:cstheme="minorHAnsi"/>
          <w:lang w:val="en"/>
        </w:rPr>
        <w:t>personalised</w:t>
      </w:r>
      <w:proofErr w:type="spellEnd"/>
      <w:r>
        <w:rPr>
          <w:rFonts w:cstheme="minorHAnsi"/>
          <w:lang w:val="en"/>
        </w:rPr>
        <w:t xml:space="preserve"> cancer care</w:t>
      </w:r>
      <w:r w:rsidRPr="005F2182">
        <w:rPr>
          <w:rFonts w:cstheme="minorHAnsi"/>
          <w:lang w:val="en"/>
        </w:rPr>
        <w:t xml:space="preserve"> which consider</w:t>
      </w:r>
      <w:r>
        <w:rPr>
          <w:rFonts w:cstheme="minorHAnsi"/>
          <w:lang w:val="en"/>
        </w:rPr>
        <w:t xml:space="preserve"> the</w:t>
      </w:r>
      <w:r w:rsidRPr="005F2182">
        <w:rPr>
          <w:rFonts w:cstheme="minorHAnsi"/>
          <w:lang w:val="en"/>
        </w:rPr>
        <w:t xml:space="preserve"> impact </w:t>
      </w:r>
      <w:r>
        <w:rPr>
          <w:rFonts w:cstheme="minorHAnsi"/>
          <w:lang w:val="en"/>
        </w:rPr>
        <w:t xml:space="preserve">of CRC on mobility and daily activities are key.  </w:t>
      </w:r>
      <w:bookmarkStart w:id="9" w:name="_Hlk50709398"/>
      <w:r>
        <w:rPr>
          <w:rFonts w:cstheme="minorHAnsi"/>
          <w:lang w:val="en"/>
        </w:rPr>
        <w:t xml:space="preserve">Supported self-management strategies which are aligned with an individual’s </w:t>
      </w:r>
      <w:r>
        <w:rPr>
          <w:rFonts w:cstheme="minorHAnsi"/>
          <w:lang w:val="en"/>
        </w:rPr>
        <w:lastRenderedPageBreak/>
        <w:t>wider needs (</w:t>
      </w:r>
      <w:proofErr w:type="gramStart"/>
      <w:r>
        <w:rPr>
          <w:rFonts w:cstheme="minorHAnsi"/>
          <w:lang w:val="en"/>
        </w:rPr>
        <w:t>e.g.</w:t>
      </w:r>
      <w:proofErr w:type="gramEnd"/>
      <w:r>
        <w:rPr>
          <w:rFonts w:cstheme="minorHAnsi"/>
          <w:lang w:val="en"/>
        </w:rPr>
        <w:t xml:space="preserve"> mobility) and goals (e.g. independence) may help to address this deficit in QoL for the oldest-old</w:t>
      </w:r>
      <w:r w:rsidR="005600ED">
        <w:rPr>
          <w:rFonts w:cstheme="minorHAnsi"/>
          <w:lang w:val="en"/>
        </w:rPr>
        <w:t xml:space="preserve"> </w:t>
      </w:r>
      <w:r w:rsidR="005600ED">
        <w:rPr>
          <w:rFonts w:cstheme="minorHAnsi"/>
          <w:noProof/>
          <w:lang w:val="en"/>
        </w:rPr>
        <w:t>[</w:t>
      </w:r>
      <w:r>
        <w:rPr>
          <w:rFonts w:cstheme="minorHAnsi"/>
          <w:noProof/>
          <w:lang w:val="en"/>
        </w:rPr>
        <w:t>39</w:t>
      </w:r>
      <w:r w:rsidR="005600ED">
        <w:rPr>
          <w:rFonts w:cstheme="minorHAnsi"/>
          <w:noProof/>
          <w:lang w:val="en"/>
        </w:rPr>
        <w:t>]</w:t>
      </w:r>
      <w:r>
        <w:rPr>
          <w:rFonts w:cstheme="minorHAnsi"/>
          <w:lang w:val="en"/>
        </w:rPr>
        <w:t>.</w:t>
      </w:r>
      <w:bookmarkEnd w:id="9"/>
      <w:r>
        <w:rPr>
          <w:rFonts w:cstheme="minorHAnsi"/>
          <w:lang w:val="en"/>
        </w:rPr>
        <w:t xml:space="preserve">  </w:t>
      </w:r>
    </w:p>
    <w:p w14:paraId="48D4F274" w14:textId="77777777" w:rsidR="00323CE3" w:rsidRDefault="00323CE3" w:rsidP="00D276D9">
      <w:pPr>
        <w:autoSpaceDE w:val="0"/>
        <w:autoSpaceDN w:val="0"/>
        <w:adjustRightInd w:val="0"/>
        <w:spacing w:after="0" w:line="480" w:lineRule="auto"/>
        <w:rPr>
          <w:rFonts w:cstheme="minorHAnsi"/>
          <w:lang w:val="en"/>
        </w:rPr>
      </w:pPr>
    </w:p>
    <w:p w14:paraId="2C661A24" w14:textId="77777777" w:rsidR="00323CE3" w:rsidRPr="00AF1F8A" w:rsidRDefault="00323CE3" w:rsidP="00D276D9">
      <w:pPr>
        <w:spacing w:line="480" w:lineRule="auto"/>
        <w:rPr>
          <w:rFonts w:cstheme="minorHAnsi"/>
          <w:b/>
          <w:iCs/>
          <w:sz w:val="32"/>
          <w:szCs w:val="32"/>
          <w:lang w:val="en"/>
        </w:rPr>
      </w:pPr>
      <w:r w:rsidRPr="00AF1F8A">
        <w:rPr>
          <w:rFonts w:cstheme="minorHAnsi"/>
          <w:b/>
          <w:iCs/>
          <w:sz w:val="32"/>
          <w:szCs w:val="32"/>
          <w:lang w:val="en"/>
        </w:rPr>
        <w:t>Self-efficacy</w:t>
      </w:r>
    </w:p>
    <w:p w14:paraId="6405B449" w14:textId="2ED18313" w:rsidR="00323CE3" w:rsidRDefault="00323CE3" w:rsidP="00D276D9">
      <w:pPr>
        <w:autoSpaceDE w:val="0"/>
        <w:autoSpaceDN w:val="0"/>
        <w:adjustRightInd w:val="0"/>
        <w:spacing w:after="0" w:line="480" w:lineRule="auto"/>
      </w:pPr>
      <w:r>
        <w:rPr>
          <w:rFonts w:cstheme="minorHAnsi"/>
        </w:rPr>
        <w:t xml:space="preserve">For older individuals, levels of confidence </w:t>
      </w:r>
      <w:r w:rsidR="002E62DF">
        <w:rPr>
          <w:rFonts w:cstheme="minorHAnsi"/>
        </w:rPr>
        <w:t xml:space="preserve">to manage illness-related problems (self-efficacy) </w:t>
      </w:r>
      <w:r>
        <w:rPr>
          <w:rFonts w:cstheme="minorHAnsi"/>
        </w:rPr>
        <w:t>reduce with increasing age, with the oldest-old reporting significantly lower levels of self-efficacy.  This is important, because lower s</w:t>
      </w:r>
      <w:r w:rsidRPr="00CA64D1">
        <w:rPr>
          <w:rFonts w:cstheme="minorHAnsi"/>
        </w:rPr>
        <w:t>elf-</w:t>
      </w:r>
      <w:r w:rsidRPr="00936B3E">
        <w:rPr>
          <w:rFonts w:cstheme="minorHAnsi"/>
        </w:rPr>
        <w:t xml:space="preserve">efficacy </w:t>
      </w:r>
      <w:r>
        <w:rPr>
          <w:rFonts w:cstheme="minorHAnsi"/>
        </w:rPr>
        <w:t xml:space="preserve">demonstrated significant </w:t>
      </w:r>
      <w:r w:rsidRPr="00936B3E">
        <w:t>association</w:t>
      </w:r>
      <w:r>
        <w:t>s</w:t>
      </w:r>
      <w:r w:rsidRPr="00936B3E">
        <w:t xml:space="preserve"> with poor</w:t>
      </w:r>
      <w:r>
        <w:t>er</w:t>
      </w:r>
      <w:r w:rsidRPr="00936B3E">
        <w:t xml:space="preserve"> QoL and </w:t>
      </w:r>
      <w:r>
        <w:t xml:space="preserve">worse problems across </w:t>
      </w:r>
      <w:r w:rsidRPr="00936B3E">
        <w:t>all</w:t>
      </w:r>
      <w:r>
        <w:t xml:space="preserve"> five</w:t>
      </w:r>
      <w:r w:rsidRPr="00936B3E">
        <w:t xml:space="preserve"> health status domains </w:t>
      </w:r>
      <w:r>
        <w:t>(</w:t>
      </w:r>
      <w:r>
        <w:rPr>
          <w:rFonts w:cstheme="minorHAnsi"/>
        </w:rPr>
        <w:t xml:space="preserve">mobility, self-care, usual activities, pain/discomfort, anxiety/depression) </w:t>
      </w:r>
      <w:r w:rsidRPr="00936B3E">
        <w:t xml:space="preserve">throughout the </w:t>
      </w:r>
      <w:r>
        <w:t xml:space="preserve">5-year </w:t>
      </w:r>
      <w:r w:rsidRPr="00936B3E">
        <w:t xml:space="preserve">follow-up period.  </w:t>
      </w:r>
      <w:bookmarkStart w:id="10" w:name="_Hlk60829484"/>
      <w:r>
        <w:t xml:space="preserve">In support of our findings, higher self-efficacy has previously been associated with reduced frailty in older adults and better QoL </w:t>
      </w:r>
      <w:r w:rsidR="005600ED">
        <w:rPr>
          <w:noProof/>
        </w:rPr>
        <w:t>[</w:t>
      </w:r>
      <w:r>
        <w:rPr>
          <w:noProof/>
        </w:rPr>
        <w:t>40</w:t>
      </w:r>
      <w:r w:rsidR="005600ED">
        <w:rPr>
          <w:noProof/>
        </w:rPr>
        <w:t>]</w:t>
      </w:r>
      <w:r>
        <w:t xml:space="preserve">.  </w:t>
      </w:r>
      <w:bookmarkEnd w:id="10"/>
      <w:r>
        <w:t>In addition to the reasons detailed above, lo</w:t>
      </w:r>
      <w:r w:rsidRPr="00936B3E">
        <w:t>wer levels of self-efficacy</w:t>
      </w:r>
      <w:r>
        <w:t xml:space="preserve"> in the oldest-old may also</w:t>
      </w:r>
      <w:r w:rsidRPr="00936B3E">
        <w:t xml:space="preserve"> help to explain why </w:t>
      </w:r>
      <w:r>
        <w:t>they exp</w:t>
      </w:r>
      <w:r w:rsidRPr="00936B3E">
        <w:t xml:space="preserve">erience poorer QoL. </w:t>
      </w:r>
    </w:p>
    <w:p w14:paraId="49E25339" w14:textId="77777777" w:rsidR="00323CE3" w:rsidRDefault="00323CE3" w:rsidP="00D276D9">
      <w:pPr>
        <w:autoSpaceDE w:val="0"/>
        <w:autoSpaceDN w:val="0"/>
        <w:adjustRightInd w:val="0"/>
        <w:spacing w:after="0" w:line="480" w:lineRule="auto"/>
      </w:pPr>
    </w:p>
    <w:p w14:paraId="0A9F9178" w14:textId="64350BAC" w:rsidR="00323CE3" w:rsidRDefault="00323CE3" w:rsidP="00D276D9">
      <w:pPr>
        <w:autoSpaceDE w:val="0"/>
        <w:autoSpaceDN w:val="0"/>
        <w:adjustRightInd w:val="0"/>
        <w:spacing w:after="0" w:line="480" w:lineRule="auto"/>
      </w:pPr>
      <w:r>
        <w:t>Whilst previous research into the self-efficacy of the total CREW cohort demonstrated improvements in self-efficacy over time</w:t>
      </w:r>
      <w:r w:rsidR="005600ED">
        <w:t xml:space="preserve"> </w:t>
      </w:r>
      <w:r w:rsidR="005600ED">
        <w:rPr>
          <w:rFonts w:cstheme="minorHAnsi"/>
          <w:noProof/>
        </w:rPr>
        <w:t>[</w:t>
      </w:r>
      <w:r>
        <w:rPr>
          <w:rFonts w:cstheme="minorHAnsi"/>
          <w:noProof/>
        </w:rPr>
        <w:t>29</w:t>
      </w:r>
      <w:r w:rsidR="005600ED">
        <w:rPr>
          <w:rFonts w:cstheme="minorHAnsi"/>
          <w:noProof/>
        </w:rPr>
        <w:t>]</w:t>
      </w:r>
      <w:r>
        <w:rPr>
          <w:rFonts w:cstheme="minorHAnsi"/>
        </w:rPr>
        <w:t>, o</w:t>
      </w:r>
      <w:r>
        <w:t xml:space="preserve">ur findings here suggest that </w:t>
      </w:r>
      <w:r w:rsidRPr="00AE3E55">
        <w:t>an individual’s self-efficacy at th</w:t>
      </w:r>
      <w:r>
        <w:t>e</w:t>
      </w:r>
      <w:r w:rsidRPr="00AE3E55">
        <w:t xml:space="preserve"> time of diagnosis is of specific importance in determining future health and wellbeing outcomes.</w:t>
      </w:r>
      <w:r>
        <w:t xml:space="preserve">  </w:t>
      </w:r>
      <w:r w:rsidRPr="00AE3E55">
        <w:t>The modifiable nature of self-efficacy makes this a particularly</w:t>
      </w:r>
      <w:r w:rsidRPr="00936B3E">
        <w:t xml:space="preserve"> pertinent finding, drawing attention to self-efficacy as a potential future target</w:t>
      </w:r>
      <w:r>
        <w:t xml:space="preserve"> for intervention</w:t>
      </w:r>
      <w:r w:rsidRPr="00936B3E">
        <w:t xml:space="preserve">.  </w:t>
      </w:r>
      <w:r>
        <w:t>Such i</w:t>
      </w:r>
      <w:r w:rsidRPr="00936B3E">
        <w:t xml:space="preserve">nterventions </w:t>
      </w:r>
      <w:r>
        <w:t xml:space="preserve">directed at the point of </w:t>
      </w:r>
      <w:r w:rsidRPr="00936B3E">
        <w:t>diagnosis</w:t>
      </w:r>
      <w:r>
        <w:t xml:space="preserve">, </w:t>
      </w:r>
      <w:r w:rsidRPr="00936B3E">
        <w:t>particularly in the oldest-old</w:t>
      </w:r>
      <w:r>
        <w:t xml:space="preserve">, </w:t>
      </w:r>
      <w:r w:rsidRPr="00936B3E">
        <w:t>are likely to improve patient experiences, long into</w:t>
      </w:r>
      <w:r>
        <w:t xml:space="preserve"> CRC</w:t>
      </w:r>
      <w:r w:rsidRPr="00936B3E">
        <w:t xml:space="preserve"> recovery.  </w:t>
      </w:r>
      <w:r>
        <w:t xml:space="preserve">  </w:t>
      </w:r>
    </w:p>
    <w:p w14:paraId="269C6151" w14:textId="77777777" w:rsidR="00323CE3" w:rsidRPr="001D2E3B" w:rsidRDefault="00323CE3" w:rsidP="00D276D9">
      <w:pPr>
        <w:autoSpaceDE w:val="0"/>
        <w:autoSpaceDN w:val="0"/>
        <w:adjustRightInd w:val="0"/>
        <w:spacing w:after="0" w:line="480" w:lineRule="auto"/>
        <w:rPr>
          <w:rFonts w:cstheme="minorHAnsi"/>
        </w:rPr>
      </w:pPr>
    </w:p>
    <w:p w14:paraId="584E2728" w14:textId="77777777" w:rsidR="00323CE3" w:rsidRPr="00AF1F8A" w:rsidRDefault="00323CE3" w:rsidP="00D276D9">
      <w:pPr>
        <w:spacing w:line="480" w:lineRule="auto"/>
        <w:rPr>
          <w:rFonts w:cstheme="minorHAnsi"/>
          <w:b/>
          <w:iCs/>
          <w:sz w:val="32"/>
          <w:szCs w:val="32"/>
          <w:lang w:val="en"/>
        </w:rPr>
      </w:pPr>
      <w:r w:rsidRPr="00AF1F8A">
        <w:rPr>
          <w:rFonts w:cstheme="minorHAnsi"/>
          <w:b/>
          <w:iCs/>
          <w:sz w:val="32"/>
          <w:szCs w:val="32"/>
          <w:lang w:val="en"/>
        </w:rPr>
        <w:t>Social Support</w:t>
      </w:r>
    </w:p>
    <w:p w14:paraId="4941155A" w14:textId="3F9D6536" w:rsidR="00323CE3" w:rsidRDefault="00323CE3" w:rsidP="00D276D9">
      <w:pPr>
        <w:spacing w:after="0" w:line="480" w:lineRule="auto"/>
      </w:pPr>
      <w:r w:rsidRPr="008C1661">
        <w:rPr>
          <w:color w:val="000000" w:themeColor="text1"/>
        </w:rPr>
        <w:t>The prevalence of living alone increased with each age sub-group at baseline</w:t>
      </w:r>
      <w:r>
        <w:rPr>
          <w:color w:val="000000" w:themeColor="text1"/>
        </w:rPr>
        <w:t xml:space="preserve">, being twice as </w:t>
      </w:r>
      <w:r>
        <w:t xml:space="preserve">high among the oldest-old compared with the youngest-old.  The </w:t>
      </w:r>
      <w:r w:rsidRPr="00330069">
        <w:rPr>
          <w:color w:val="000000" w:themeColor="text1"/>
        </w:rPr>
        <w:t>oldest-old</w:t>
      </w:r>
      <w:r>
        <w:rPr>
          <w:color w:val="000000" w:themeColor="text1"/>
        </w:rPr>
        <w:t xml:space="preserve"> also </w:t>
      </w:r>
      <w:r w:rsidRPr="00330069">
        <w:rPr>
          <w:color w:val="000000" w:themeColor="text1"/>
        </w:rPr>
        <w:t>report</w:t>
      </w:r>
      <w:r>
        <w:rPr>
          <w:color w:val="000000" w:themeColor="text1"/>
        </w:rPr>
        <w:t xml:space="preserve">ed </w:t>
      </w:r>
      <w:r w:rsidRPr="00330069">
        <w:rPr>
          <w:color w:val="000000" w:themeColor="text1"/>
        </w:rPr>
        <w:t xml:space="preserve">significantly </w:t>
      </w:r>
      <w:r w:rsidRPr="00330069">
        <w:rPr>
          <w:color w:val="000000" w:themeColor="text1"/>
        </w:rPr>
        <w:lastRenderedPageBreak/>
        <w:t>lower levels of social support than the you</w:t>
      </w:r>
      <w:r w:rsidRPr="00F610A3">
        <w:rPr>
          <w:color w:val="000000" w:themeColor="text1"/>
        </w:rPr>
        <w:t>ngest-old</w:t>
      </w:r>
      <w:r>
        <w:rPr>
          <w:color w:val="000000" w:themeColor="text1"/>
        </w:rPr>
        <w:t>, highlighting this as a particular vulnerability for this group</w:t>
      </w:r>
      <w:r w:rsidR="005600ED">
        <w:rPr>
          <w:color w:val="000000" w:themeColor="text1"/>
        </w:rPr>
        <w:t xml:space="preserve"> </w:t>
      </w:r>
      <w:r w:rsidR="005600ED">
        <w:rPr>
          <w:noProof/>
        </w:rPr>
        <w:t>[</w:t>
      </w:r>
      <w:r>
        <w:rPr>
          <w:noProof/>
        </w:rPr>
        <w:t>12</w:t>
      </w:r>
      <w:r w:rsidR="005600ED">
        <w:rPr>
          <w:noProof/>
        </w:rPr>
        <w:t>]</w:t>
      </w:r>
      <w:r>
        <w:t xml:space="preserve">.  </w:t>
      </w:r>
    </w:p>
    <w:p w14:paraId="60DD0625" w14:textId="77777777" w:rsidR="00323CE3" w:rsidRDefault="00323CE3" w:rsidP="00D276D9">
      <w:pPr>
        <w:spacing w:after="0" w:line="480" w:lineRule="auto"/>
        <w:rPr>
          <w:color w:val="000000" w:themeColor="text1"/>
        </w:rPr>
      </w:pPr>
    </w:p>
    <w:p w14:paraId="1A419B3A" w14:textId="106E3F9E" w:rsidR="00323CE3" w:rsidRDefault="00323CE3" w:rsidP="00D276D9">
      <w:pPr>
        <w:spacing w:after="0" w:line="480" w:lineRule="auto"/>
        <w:rPr>
          <w:color w:val="000000" w:themeColor="text1"/>
        </w:rPr>
      </w:pPr>
      <w:r w:rsidRPr="00686C04">
        <w:rPr>
          <w:color w:val="000000" w:themeColor="text1"/>
        </w:rPr>
        <w:t xml:space="preserve">Interestingly, </w:t>
      </w:r>
      <w:r>
        <w:rPr>
          <w:color w:val="000000" w:themeColor="text1"/>
        </w:rPr>
        <w:t xml:space="preserve">only </w:t>
      </w:r>
      <w:r w:rsidRPr="00686C04">
        <w:rPr>
          <w:color w:val="000000" w:themeColor="text1"/>
        </w:rPr>
        <w:t xml:space="preserve">perceived social support at baseline, </w:t>
      </w:r>
      <w:r>
        <w:rPr>
          <w:color w:val="000000" w:themeColor="text1"/>
        </w:rPr>
        <w:t xml:space="preserve">and not </w:t>
      </w:r>
      <w:r w:rsidRPr="00686C04">
        <w:rPr>
          <w:color w:val="000000" w:themeColor="text1"/>
        </w:rPr>
        <w:t>living alone status, was significantly associated with better QoL, anxiety/depression and usual activities over time.</w:t>
      </w:r>
      <w:r>
        <w:rPr>
          <w:color w:val="000000" w:themeColor="text1"/>
        </w:rPr>
        <w:t xml:space="preserve">  Whilst statistically, social support may have accounted for living alone status, our findings sup</w:t>
      </w:r>
      <w:r>
        <w:t xml:space="preserve">port the call to strengthen the efficacy of healthcare practices in addressing the </w:t>
      </w:r>
      <w:r w:rsidRPr="0063024C">
        <w:t xml:space="preserve">social support </w:t>
      </w:r>
      <w:r>
        <w:t>needs</w:t>
      </w:r>
      <w:r w:rsidRPr="0063024C">
        <w:t xml:space="preserve"> of older p</w:t>
      </w:r>
      <w:r>
        <w:t>eople living</w:t>
      </w:r>
      <w:r w:rsidRPr="0063024C">
        <w:t xml:space="preserve"> with cance</w:t>
      </w:r>
      <w:r>
        <w:t>r</w:t>
      </w:r>
      <w:r w:rsidR="005600ED">
        <w:t xml:space="preserve"> </w:t>
      </w:r>
      <w:r w:rsidR="005600ED">
        <w:rPr>
          <w:noProof/>
        </w:rPr>
        <w:t>[</w:t>
      </w:r>
      <w:r>
        <w:rPr>
          <w:noProof/>
        </w:rPr>
        <w:t>12</w:t>
      </w:r>
      <w:r w:rsidR="005600ED">
        <w:rPr>
          <w:noProof/>
        </w:rPr>
        <w:t>]</w:t>
      </w:r>
      <w:r>
        <w:t xml:space="preserve">.  We go one step further, and with levels of social support lowest among the oldest old, highlight this as a particularly pertinent issue for this age group.  </w:t>
      </w:r>
      <w:r>
        <w:rPr>
          <w:color w:val="000000" w:themeColor="text1"/>
        </w:rPr>
        <w:t>With perceived social support of significance to outcomes, it is important for health and social care professionals to signpost all older people living with CRC, not just those living alone, to support networks and connections.</w:t>
      </w:r>
    </w:p>
    <w:p w14:paraId="61ECB51E" w14:textId="77777777" w:rsidR="00323CE3" w:rsidRDefault="00323CE3" w:rsidP="00D276D9">
      <w:pPr>
        <w:spacing w:after="0" w:line="480" w:lineRule="auto"/>
      </w:pPr>
    </w:p>
    <w:p w14:paraId="50ED30D1"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t>Comorbidities</w:t>
      </w:r>
    </w:p>
    <w:p w14:paraId="7DB8B197" w14:textId="2C8CB551" w:rsidR="00323CE3" w:rsidRPr="00F401CE" w:rsidRDefault="00323CE3" w:rsidP="00D276D9">
      <w:pPr>
        <w:spacing w:after="0" w:line="480" w:lineRule="auto"/>
        <w:rPr>
          <w:b/>
          <w:color w:val="000000" w:themeColor="text1"/>
        </w:rPr>
      </w:pPr>
      <w:r>
        <w:t xml:space="preserve">The significance of limiting comorbidities </w:t>
      </w:r>
      <w:r w:rsidR="002E62DF">
        <w:t xml:space="preserve">(comorbidities which participants </w:t>
      </w:r>
      <w:r w:rsidR="002B175B">
        <w:t>reported</w:t>
      </w:r>
      <w:r w:rsidR="002E62DF">
        <w:t xml:space="preserve"> ‘</w:t>
      </w:r>
      <w:r w:rsidR="002E62DF" w:rsidRPr="009325B6">
        <w:t>limited their typical daily activities’</w:t>
      </w:r>
      <w:r w:rsidR="005C3B65">
        <w:t xml:space="preserve">, most commonly </w:t>
      </w:r>
      <w:r w:rsidR="003E38B1">
        <w:t>‘</w:t>
      </w:r>
      <w:r w:rsidR="005C3B65">
        <w:t>arthritis or rheumatism</w:t>
      </w:r>
      <w:r w:rsidR="003E38B1">
        <w:t>’</w:t>
      </w:r>
      <w:r w:rsidR="005C3B65">
        <w:t xml:space="preserve"> and </w:t>
      </w:r>
      <w:r w:rsidR="003E38B1">
        <w:t>‘</w:t>
      </w:r>
      <w:r w:rsidR="005C3B65">
        <w:t>depression or anxiety</w:t>
      </w:r>
      <w:r w:rsidR="003E38B1">
        <w:t>’</w:t>
      </w:r>
      <w:r w:rsidR="002E62DF">
        <w:t xml:space="preserve">) </w:t>
      </w:r>
      <w:r>
        <w:t>has previously been described in the total CREW cohort in relation to QoL, symptom and functioning outcomes</w:t>
      </w:r>
      <w:r w:rsidR="00C22EF4">
        <w:t xml:space="preserve"> </w:t>
      </w:r>
      <w:r w:rsidR="00C22EF4">
        <w:rPr>
          <w:noProof/>
        </w:rPr>
        <w:t>[</w:t>
      </w:r>
      <w:r>
        <w:rPr>
          <w:noProof/>
        </w:rPr>
        <w:t>23</w:t>
      </w:r>
      <w:r w:rsidR="00C22EF4">
        <w:rPr>
          <w:noProof/>
        </w:rPr>
        <w:t>]</w:t>
      </w:r>
      <w:r>
        <w:t xml:space="preserve">.  We add to these findings by revealing the significant burden of limiting comorbidities not just on QoL, but also self-rated </w:t>
      </w:r>
      <w:r w:rsidRPr="00691C1C">
        <w:t>health status</w:t>
      </w:r>
      <w:r>
        <w:t xml:space="preserve"> domains, particularly among older CREW participants</w:t>
      </w:r>
      <w:r w:rsidRPr="00691C1C">
        <w:t xml:space="preserve">.  </w:t>
      </w:r>
      <w:r>
        <w:t>Specifically, t</w:t>
      </w:r>
      <w:r w:rsidRPr="00691C1C">
        <w:t xml:space="preserve">he presence of limiting comorbidities </w:t>
      </w:r>
      <w:r>
        <w:t xml:space="preserve">was negatively associated </w:t>
      </w:r>
      <w:r w:rsidRPr="00020206">
        <w:t xml:space="preserve">with problems with mobility, </w:t>
      </w:r>
      <w:r w:rsidRPr="00020206">
        <w:rPr>
          <w:rFonts w:cstheme="minorHAnsi"/>
        </w:rPr>
        <w:t xml:space="preserve">usual activities, and pain/discomfort over </w:t>
      </w:r>
      <w:r>
        <w:rPr>
          <w:rFonts w:cstheme="minorHAnsi"/>
        </w:rPr>
        <w:t>time</w:t>
      </w:r>
      <w:r w:rsidRPr="00020206">
        <w:rPr>
          <w:rFonts w:cstheme="minorHAnsi"/>
        </w:rPr>
        <w:t xml:space="preserve">.  </w:t>
      </w:r>
      <w:r w:rsidRPr="00691C1C">
        <w:rPr>
          <w:rFonts w:cstheme="minorHAnsi"/>
          <w:lang w:val="en"/>
        </w:rPr>
        <w:t xml:space="preserve">Our findings support the </w:t>
      </w:r>
      <w:r>
        <w:rPr>
          <w:rFonts w:cstheme="minorHAnsi"/>
          <w:lang w:val="en"/>
        </w:rPr>
        <w:t xml:space="preserve">assessment of comorbidities as part of </w:t>
      </w:r>
      <w:proofErr w:type="spellStart"/>
      <w:r>
        <w:rPr>
          <w:rFonts w:cstheme="minorHAnsi"/>
          <w:lang w:val="en"/>
        </w:rPr>
        <w:t>personalised</w:t>
      </w:r>
      <w:proofErr w:type="spellEnd"/>
      <w:r>
        <w:rPr>
          <w:rFonts w:cstheme="minorHAnsi"/>
          <w:lang w:val="en"/>
        </w:rPr>
        <w:t xml:space="preserve"> </w:t>
      </w:r>
      <w:r w:rsidRPr="00691C1C">
        <w:rPr>
          <w:rFonts w:cstheme="minorHAnsi"/>
          <w:lang w:val="en"/>
        </w:rPr>
        <w:t>care plans for older people with cancer</w:t>
      </w:r>
      <w:r w:rsidR="00C22EF4">
        <w:rPr>
          <w:rFonts w:cstheme="minorHAnsi"/>
          <w:lang w:val="en"/>
        </w:rPr>
        <w:t xml:space="preserve"> </w:t>
      </w:r>
      <w:r w:rsidR="00C22EF4">
        <w:rPr>
          <w:rFonts w:cstheme="minorHAnsi"/>
          <w:noProof/>
          <w:lang w:val="en"/>
        </w:rPr>
        <w:t>[</w:t>
      </w:r>
      <w:r>
        <w:rPr>
          <w:rFonts w:cstheme="minorHAnsi"/>
          <w:noProof/>
          <w:lang w:val="en"/>
        </w:rPr>
        <w:t>12, 39</w:t>
      </w:r>
      <w:r w:rsidR="00C22EF4">
        <w:rPr>
          <w:rFonts w:cstheme="minorHAnsi"/>
          <w:noProof/>
          <w:lang w:val="en"/>
        </w:rPr>
        <w:t>]</w:t>
      </w:r>
      <w:r w:rsidRPr="00691C1C">
        <w:rPr>
          <w:rFonts w:cstheme="minorHAnsi"/>
          <w:lang w:val="en"/>
        </w:rPr>
        <w:t xml:space="preserve">.  </w:t>
      </w:r>
      <w:r>
        <w:rPr>
          <w:rFonts w:cstheme="minorHAnsi"/>
          <w:lang w:val="en"/>
        </w:rPr>
        <w:t>Moreover</w:t>
      </w:r>
      <w:r w:rsidRPr="00691C1C">
        <w:rPr>
          <w:rFonts w:cstheme="minorHAnsi"/>
          <w:lang w:val="en"/>
        </w:rPr>
        <w:t xml:space="preserve">, we propose the </w:t>
      </w:r>
      <w:r>
        <w:rPr>
          <w:rFonts w:cstheme="minorHAnsi"/>
          <w:lang w:val="en"/>
        </w:rPr>
        <w:t xml:space="preserve">assessment of </w:t>
      </w:r>
      <w:r w:rsidRPr="00691C1C">
        <w:rPr>
          <w:rFonts w:cstheme="minorHAnsi"/>
          <w:lang w:val="en"/>
        </w:rPr>
        <w:t xml:space="preserve">whether comorbidities limit someone’s typical daily activities, as an important predictor of health and wellbeing outcomes. </w:t>
      </w:r>
    </w:p>
    <w:p w14:paraId="3181E2BF" w14:textId="77777777" w:rsidR="00323CE3" w:rsidRDefault="00323CE3" w:rsidP="00D276D9">
      <w:pPr>
        <w:spacing w:after="0" w:line="480" w:lineRule="auto"/>
        <w:rPr>
          <w:rFonts w:cstheme="minorHAnsi"/>
          <w:lang w:val="en"/>
        </w:rPr>
      </w:pPr>
    </w:p>
    <w:p w14:paraId="5EE47AA6" w14:textId="77777777" w:rsidR="00323CE3" w:rsidRPr="00AF1F8A" w:rsidRDefault="00323CE3" w:rsidP="00AF1F8A">
      <w:pPr>
        <w:spacing w:line="480" w:lineRule="auto"/>
        <w:rPr>
          <w:rFonts w:cstheme="minorHAnsi"/>
          <w:b/>
          <w:iCs/>
          <w:sz w:val="32"/>
          <w:szCs w:val="32"/>
          <w:lang w:val="en"/>
        </w:rPr>
      </w:pPr>
      <w:r w:rsidRPr="00AF1F8A">
        <w:rPr>
          <w:rFonts w:cstheme="minorHAnsi"/>
          <w:b/>
          <w:iCs/>
          <w:sz w:val="32"/>
          <w:szCs w:val="32"/>
          <w:lang w:val="en"/>
        </w:rPr>
        <w:t>Strengths and limitations of the study</w:t>
      </w:r>
    </w:p>
    <w:p w14:paraId="480C4B46" w14:textId="77777777" w:rsidR="00323CE3" w:rsidRPr="001A7512" w:rsidRDefault="00323CE3" w:rsidP="00D276D9">
      <w:pPr>
        <w:spacing w:after="0" w:line="480" w:lineRule="auto"/>
        <w:rPr>
          <w:rFonts w:cstheme="minorHAnsi"/>
          <w:lang w:val="en"/>
        </w:rPr>
      </w:pPr>
      <w:r w:rsidRPr="001A7512">
        <w:rPr>
          <w:rFonts w:cstheme="minorHAnsi"/>
          <w:lang w:val="en"/>
        </w:rPr>
        <w:lastRenderedPageBreak/>
        <w:t xml:space="preserve">Strengths of our study include its longitudinal design and inclusion of pre-treatment baseline assessments, enabling repeated measures to be assessed before colorectal cancer treatment and across a five-year follow-up period.  Further value is in the representativeness of the CREW sample and our inclusion of the oldest old individuals.  Whilst loss to follow-up is inevitable in large cohort studies, </w:t>
      </w:r>
      <w:r w:rsidRPr="001A7512">
        <w:rPr>
          <w:rFonts w:eastAsia="Times New Roman" w:cstheme="minorHAnsi"/>
          <w:lang w:eastAsia="en-GB"/>
        </w:rPr>
        <w:t>72% of older participants still eligible for follow-up, returned questionnaires at five years.  The self-report nature of questionnaires excluded non-English speakers from participation.</w:t>
      </w:r>
    </w:p>
    <w:p w14:paraId="1AB0A94E" w14:textId="77777777" w:rsidR="00323CE3" w:rsidRPr="001A7512" w:rsidRDefault="00323CE3" w:rsidP="00D276D9">
      <w:pPr>
        <w:spacing w:after="0" w:line="480" w:lineRule="auto"/>
        <w:rPr>
          <w:rFonts w:cstheme="minorHAnsi"/>
          <w:lang w:val="en"/>
        </w:rPr>
      </w:pPr>
    </w:p>
    <w:p w14:paraId="065BC5E5" w14:textId="0419DBEA" w:rsidR="00323CE3" w:rsidRPr="00AF1F8A" w:rsidRDefault="00323CE3" w:rsidP="00AF1F8A">
      <w:pPr>
        <w:spacing w:line="480" w:lineRule="auto"/>
        <w:rPr>
          <w:rFonts w:cstheme="minorHAnsi"/>
          <w:b/>
          <w:bCs/>
          <w:sz w:val="36"/>
          <w:szCs w:val="36"/>
        </w:rPr>
      </w:pPr>
      <w:r w:rsidRPr="00AF1F8A">
        <w:rPr>
          <w:rFonts w:cstheme="minorHAnsi"/>
          <w:b/>
          <w:bCs/>
          <w:sz w:val="36"/>
          <w:szCs w:val="36"/>
        </w:rPr>
        <w:t>Conclusion</w:t>
      </w:r>
      <w:r w:rsidR="00D276D9" w:rsidRPr="00AF1F8A">
        <w:rPr>
          <w:rFonts w:cstheme="minorHAnsi"/>
          <w:b/>
          <w:bCs/>
          <w:sz w:val="36"/>
          <w:szCs w:val="36"/>
        </w:rPr>
        <w:t>s</w:t>
      </w:r>
    </w:p>
    <w:p w14:paraId="2D9CA674" w14:textId="01C4393C" w:rsidR="00323CE3" w:rsidRDefault="00323CE3" w:rsidP="00D276D9">
      <w:pPr>
        <w:spacing w:after="0" w:line="480" w:lineRule="auto"/>
        <w:rPr>
          <w:rFonts w:cstheme="minorHAnsi"/>
          <w:lang w:val="en"/>
        </w:rPr>
      </w:pPr>
      <w:r w:rsidRPr="001A7512">
        <w:rPr>
          <w:rFonts w:cstheme="minorHAnsi"/>
        </w:rPr>
        <w:t xml:space="preserve">This paper reports </w:t>
      </w:r>
      <w:bookmarkStart w:id="11" w:name="_Hlk58570974"/>
      <w:r w:rsidRPr="001A7512">
        <w:rPr>
          <w:rFonts w:cstheme="minorHAnsi"/>
        </w:rPr>
        <w:t xml:space="preserve">QoL and self-reported health status in older people living with CRC.  Our results indicate the pre-surgery characteristics of individuals which predict poorer outcomes over time: </w:t>
      </w:r>
      <w:r w:rsidRPr="001A7512">
        <w:rPr>
          <w:rFonts w:cstheme="minorHAnsi"/>
          <w:lang w:val="en"/>
        </w:rPr>
        <w:t>the oldest-old are at risk of poorer health and wellbeing</w:t>
      </w:r>
      <w:r w:rsidRPr="001A7512">
        <w:t xml:space="preserve"> in the five years following CRC surgery, as are those with poor self-efficacy, low levels of social support and limiting comorbidities.    </w:t>
      </w:r>
      <w:bookmarkEnd w:id="11"/>
      <w:r w:rsidRPr="001A7512">
        <w:t xml:space="preserve">Importantly, </w:t>
      </w:r>
      <w:bookmarkStart w:id="12" w:name="_Hlk58511928"/>
      <w:r w:rsidRPr="001A7512">
        <w:t>several of these predictors, self-efficacy, social support and limiting comorbidities, are amenable to intervention and improvement</w:t>
      </w:r>
      <w:bookmarkEnd w:id="12"/>
      <w:r w:rsidRPr="001A7512">
        <w:t xml:space="preserve">.  Further research is recommended to design and evaluate interventions aimed at supporting </w:t>
      </w:r>
      <w:r w:rsidR="003E38B1">
        <w:t xml:space="preserve">older people living with CRC whose pre-surgery </w:t>
      </w:r>
      <w:r w:rsidR="002B175B">
        <w:t>characteristics</w:t>
      </w:r>
      <w:r w:rsidRPr="001A7512">
        <w:t xml:space="preserve"> predict</w:t>
      </w:r>
      <w:r w:rsidR="003E38B1">
        <w:t xml:space="preserve"> poorer outcomes</w:t>
      </w:r>
      <w:r w:rsidRPr="001A7512">
        <w:t>.  If the</w:t>
      </w:r>
      <w:r w:rsidR="003E38B1">
        <w:t>y</w:t>
      </w:r>
      <w:r w:rsidRPr="001A7512">
        <w:t xml:space="preserve"> are supported and managed, through tailored personalised care planning and appropriate interventions from the time of diagnosis, significant improvements could be made to the quality of survivorship </w:t>
      </w:r>
      <w:r w:rsidRPr="001A7512">
        <w:rPr>
          <w:rFonts w:cstheme="minorHAnsi"/>
          <w:lang w:val="en"/>
        </w:rPr>
        <w:t>for older adults living with CRC globally.   It is especially important</w:t>
      </w:r>
      <w:r w:rsidRPr="00342E6D">
        <w:rPr>
          <w:rFonts w:cstheme="minorHAnsi"/>
          <w:lang w:val="en"/>
        </w:rPr>
        <w:t xml:space="preserve"> to provide health care that is responsive to the needs and experiences of older people living with cancer, as the incidence rises in an ageing population.   </w:t>
      </w:r>
    </w:p>
    <w:p w14:paraId="1EC8F9BC" w14:textId="35400C74" w:rsidR="00BC7C93" w:rsidRDefault="00BC7C93" w:rsidP="00D276D9">
      <w:pPr>
        <w:spacing w:after="0" w:line="480" w:lineRule="auto"/>
        <w:rPr>
          <w:rFonts w:cstheme="minorHAnsi"/>
          <w:lang w:val="en"/>
        </w:rPr>
      </w:pPr>
    </w:p>
    <w:p w14:paraId="1D9F693C" w14:textId="77777777" w:rsidR="00BC7C93" w:rsidRPr="00AF1F8A" w:rsidRDefault="00BC7C93" w:rsidP="00AF1F8A">
      <w:pPr>
        <w:spacing w:line="480" w:lineRule="auto"/>
        <w:rPr>
          <w:rFonts w:cstheme="minorHAnsi"/>
          <w:b/>
          <w:bCs/>
          <w:sz w:val="36"/>
          <w:szCs w:val="36"/>
        </w:rPr>
      </w:pPr>
      <w:r w:rsidRPr="00AF1F8A">
        <w:rPr>
          <w:rFonts w:cstheme="minorHAnsi"/>
          <w:b/>
          <w:bCs/>
          <w:sz w:val="36"/>
          <w:szCs w:val="36"/>
        </w:rPr>
        <w:t>Acknowledgments</w:t>
      </w:r>
    </w:p>
    <w:p w14:paraId="73AAF013" w14:textId="77777777" w:rsidR="00BC7C93" w:rsidRPr="00D577E7" w:rsidRDefault="00BC7C93" w:rsidP="00BC7C93">
      <w:pPr>
        <w:autoSpaceDE w:val="0"/>
        <w:autoSpaceDN w:val="0"/>
        <w:adjustRightInd w:val="0"/>
        <w:spacing w:after="0" w:line="480" w:lineRule="auto"/>
        <w:rPr>
          <w:rFonts w:cstheme="minorHAnsi"/>
        </w:rPr>
      </w:pPr>
      <w:r w:rsidRPr="00D577E7">
        <w:rPr>
          <w:rFonts w:cstheme="minorHAnsi"/>
        </w:rPr>
        <w:t>We thank all CREW study participants and recruiting NHS Trusts; Carol Hill, Kerry Coleman,</w:t>
      </w:r>
    </w:p>
    <w:p w14:paraId="7FC8F459" w14:textId="77777777" w:rsidR="00BC7C93" w:rsidRPr="00D577E7" w:rsidRDefault="00BC7C93" w:rsidP="00BC7C93">
      <w:pPr>
        <w:autoSpaceDE w:val="0"/>
        <w:autoSpaceDN w:val="0"/>
        <w:adjustRightInd w:val="0"/>
        <w:spacing w:after="0" w:line="480" w:lineRule="auto"/>
        <w:rPr>
          <w:rFonts w:cstheme="minorHAnsi"/>
        </w:rPr>
      </w:pPr>
      <w:r w:rsidRPr="00D577E7">
        <w:rPr>
          <w:rFonts w:cstheme="minorHAnsi"/>
        </w:rPr>
        <w:t xml:space="preserve">Bjoern Schukowsky, Christine May (study support); Matthew </w:t>
      </w:r>
      <w:proofErr w:type="spellStart"/>
      <w:r w:rsidRPr="00D577E7">
        <w:rPr>
          <w:rFonts w:cstheme="minorHAnsi"/>
        </w:rPr>
        <w:t>Breckons</w:t>
      </w:r>
      <w:proofErr w:type="spellEnd"/>
      <w:r w:rsidRPr="00D577E7">
        <w:rPr>
          <w:rFonts w:cstheme="minorHAnsi"/>
        </w:rPr>
        <w:t>, Cassandra Powers,</w:t>
      </w:r>
    </w:p>
    <w:p w14:paraId="5B52E674" w14:textId="77777777" w:rsidR="00BC7C93" w:rsidRPr="00D577E7" w:rsidRDefault="00BC7C93" w:rsidP="00BC7C93">
      <w:pPr>
        <w:autoSpaceDE w:val="0"/>
        <w:autoSpaceDN w:val="0"/>
        <w:adjustRightInd w:val="0"/>
        <w:spacing w:after="0" w:line="480" w:lineRule="auto"/>
        <w:rPr>
          <w:rFonts w:cstheme="minorHAnsi"/>
        </w:rPr>
      </w:pPr>
      <w:r w:rsidRPr="00D577E7">
        <w:rPr>
          <w:rFonts w:cstheme="minorHAnsi"/>
        </w:rPr>
        <w:lastRenderedPageBreak/>
        <w:t xml:space="preserve">Alex </w:t>
      </w:r>
      <w:proofErr w:type="spellStart"/>
      <w:r w:rsidRPr="00D577E7">
        <w:rPr>
          <w:rFonts w:cstheme="minorHAnsi"/>
        </w:rPr>
        <w:t>Recio</w:t>
      </w:r>
      <w:proofErr w:type="spellEnd"/>
      <w:r w:rsidRPr="00D577E7">
        <w:rPr>
          <w:rFonts w:cstheme="minorHAnsi"/>
        </w:rPr>
        <w:t xml:space="preserve">-Saucedo, Bina </w:t>
      </w:r>
      <w:proofErr w:type="spellStart"/>
      <w:r w:rsidRPr="00D577E7">
        <w:rPr>
          <w:rFonts w:cstheme="minorHAnsi"/>
        </w:rPr>
        <w:t>Nausheen</w:t>
      </w:r>
      <w:proofErr w:type="spellEnd"/>
      <w:r w:rsidRPr="00D577E7">
        <w:rPr>
          <w:rFonts w:cstheme="minorHAnsi"/>
        </w:rPr>
        <w:t>, Ikumi Okamoto, Kim-</w:t>
      </w:r>
      <w:proofErr w:type="spellStart"/>
      <w:r w:rsidRPr="00D577E7">
        <w:rPr>
          <w:rFonts w:cstheme="minorHAnsi"/>
        </w:rPr>
        <w:t>Chivers</w:t>
      </w:r>
      <w:proofErr w:type="spellEnd"/>
      <w:r w:rsidRPr="00D577E7">
        <w:rPr>
          <w:rFonts w:cstheme="minorHAnsi"/>
        </w:rPr>
        <w:t xml:space="preserve"> Seymour, Joanne Haviland</w:t>
      </w:r>
    </w:p>
    <w:p w14:paraId="165FCE2E" w14:textId="77777777" w:rsidR="00BC7C93" w:rsidRPr="00D577E7" w:rsidRDefault="00BC7C93" w:rsidP="00BC7C93">
      <w:pPr>
        <w:autoSpaceDE w:val="0"/>
        <w:autoSpaceDN w:val="0"/>
        <w:adjustRightInd w:val="0"/>
        <w:spacing w:after="0" w:line="480" w:lineRule="auto"/>
        <w:rPr>
          <w:rFonts w:cstheme="minorHAnsi"/>
        </w:rPr>
      </w:pPr>
      <w:r w:rsidRPr="00D577E7">
        <w:rPr>
          <w:rFonts w:cstheme="minorHAnsi"/>
        </w:rPr>
        <w:t>(researchers); Jo Clough, Alison Farmer (research partners). Members of the Study Advisory</w:t>
      </w:r>
    </w:p>
    <w:p w14:paraId="74756C9C" w14:textId="77777777" w:rsidR="00BC7C93" w:rsidRPr="00D577E7" w:rsidRDefault="00BC7C93" w:rsidP="00BC7C93">
      <w:pPr>
        <w:autoSpaceDE w:val="0"/>
        <w:autoSpaceDN w:val="0"/>
        <w:adjustRightInd w:val="0"/>
        <w:spacing w:after="0" w:line="480" w:lineRule="auto"/>
        <w:rPr>
          <w:rFonts w:cstheme="minorHAnsi"/>
        </w:rPr>
      </w:pPr>
      <w:r w:rsidRPr="00D577E7">
        <w:rPr>
          <w:rFonts w:cstheme="minorHAnsi"/>
        </w:rPr>
        <w:t>Committee: Jo Armes, Janis Baird, Andrew Bateman, Nick Beck, Graham Moon, Claire</w:t>
      </w:r>
    </w:p>
    <w:p w14:paraId="57D49BD3" w14:textId="77777777" w:rsidR="00BC7C93" w:rsidRPr="00D577E7" w:rsidRDefault="00BC7C93" w:rsidP="00BC7C93">
      <w:pPr>
        <w:autoSpaceDE w:val="0"/>
        <w:autoSpaceDN w:val="0"/>
        <w:adjustRightInd w:val="0"/>
        <w:spacing w:after="0" w:line="480" w:lineRule="auto"/>
        <w:rPr>
          <w:rFonts w:cstheme="minorHAnsi"/>
        </w:rPr>
      </w:pPr>
      <w:r w:rsidRPr="00D577E7">
        <w:rPr>
          <w:rFonts w:cstheme="minorHAnsi"/>
        </w:rPr>
        <w:t>Hulme, Peter Hall, Karen Poole, Susan Restorick-Banks, Paul Roderick, Claire Taylor, Jocelyn</w:t>
      </w:r>
    </w:p>
    <w:p w14:paraId="126AD0EF" w14:textId="77777777" w:rsidR="00BC7C93" w:rsidRDefault="00BC7C93" w:rsidP="00BC7C93">
      <w:pPr>
        <w:spacing w:after="0" w:line="480" w:lineRule="auto"/>
        <w:rPr>
          <w:rFonts w:cstheme="minorHAnsi"/>
        </w:rPr>
      </w:pPr>
      <w:r w:rsidRPr="00D577E7">
        <w:rPr>
          <w:rFonts w:cstheme="minorHAnsi"/>
        </w:rPr>
        <w:t xml:space="preserve">Walters, Fran Williams, Lynn </w:t>
      </w:r>
      <w:proofErr w:type="spellStart"/>
      <w:r w:rsidRPr="00D577E7">
        <w:rPr>
          <w:rFonts w:cstheme="minorHAnsi"/>
        </w:rPr>
        <w:t>Batehup</w:t>
      </w:r>
      <w:proofErr w:type="spellEnd"/>
      <w:r w:rsidRPr="00D577E7">
        <w:rPr>
          <w:rFonts w:cstheme="minorHAnsi"/>
        </w:rPr>
        <w:t>, Jessica Corner, and Deborah Fenlon.</w:t>
      </w:r>
    </w:p>
    <w:p w14:paraId="349D5307" w14:textId="77777777" w:rsidR="00BC7C93" w:rsidRDefault="00BC7C93" w:rsidP="00BC7C93">
      <w:pPr>
        <w:spacing w:line="480" w:lineRule="auto"/>
      </w:pPr>
    </w:p>
    <w:p w14:paraId="12870A9D" w14:textId="77777777" w:rsidR="00BC7C93" w:rsidRDefault="00BC7C93" w:rsidP="00BC7C93">
      <w:pPr>
        <w:autoSpaceDE w:val="0"/>
        <w:autoSpaceDN w:val="0"/>
        <w:adjustRightInd w:val="0"/>
        <w:spacing w:after="0" w:line="480" w:lineRule="auto"/>
        <w:rPr>
          <w:rFonts w:cstheme="minorHAnsi"/>
          <w:b/>
          <w:bCs/>
          <w:color w:val="000000" w:themeColor="text1"/>
          <w:u w:val="single"/>
          <w:lang w:val="en"/>
        </w:rPr>
      </w:pPr>
    </w:p>
    <w:p w14:paraId="61AEDF0F" w14:textId="77777777" w:rsidR="00BC7C93" w:rsidRPr="00AF1F8A" w:rsidRDefault="00BC7C93" w:rsidP="00AF1F8A">
      <w:pPr>
        <w:spacing w:line="480" w:lineRule="auto"/>
        <w:rPr>
          <w:rFonts w:cstheme="minorHAnsi"/>
          <w:b/>
          <w:bCs/>
          <w:sz w:val="36"/>
          <w:szCs w:val="36"/>
        </w:rPr>
      </w:pPr>
      <w:r w:rsidRPr="00AF1F8A">
        <w:rPr>
          <w:rFonts w:cstheme="minorHAnsi"/>
          <w:b/>
          <w:bCs/>
          <w:sz w:val="36"/>
          <w:szCs w:val="36"/>
        </w:rPr>
        <w:t>References</w:t>
      </w:r>
    </w:p>
    <w:p w14:paraId="0CB01ADE" w14:textId="77777777" w:rsidR="00BC7C93" w:rsidRPr="00C60A1D" w:rsidRDefault="00BC7C93" w:rsidP="00BC7C93">
      <w:pPr>
        <w:pStyle w:val="EndNoteBibliography"/>
        <w:spacing w:after="0" w:line="480" w:lineRule="auto"/>
      </w:pPr>
      <w:r w:rsidRPr="00C60A1D">
        <w:t>1.</w:t>
      </w:r>
      <w:r>
        <w:t xml:space="preserve"> </w:t>
      </w:r>
      <w:r w:rsidRPr="003C62FC">
        <w:t>I</w:t>
      </w:r>
      <w:r>
        <w:t xml:space="preserve">nternational Agency for Research on Cancer.  </w:t>
      </w:r>
      <w:r w:rsidRPr="003C62FC">
        <w:t>GLOBOCAN 20</w:t>
      </w:r>
      <w:r>
        <w:t xml:space="preserve">20: All Cancers, </w:t>
      </w:r>
      <w:hyperlink r:id="rId9" w:history="1">
        <w:r w:rsidRPr="00995791">
          <w:rPr>
            <w:rStyle w:val="Hyperlink"/>
          </w:rPr>
          <w:t>https://gco.iarc.fr/today/data/factsheets/cancers/39-All-cancers-fact-sheet.pdf</w:t>
        </w:r>
      </w:hyperlink>
      <w:r>
        <w:t xml:space="preserve"> [accessed 6th January 2021].</w:t>
      </w:r>
    </w:p>
    <w:p w14:paraId="5B037703" w14:textId="77777777" w:rsidR="00BC7C93" w:rsidRDefault="00BC7C93" w:rsidP="00BC7C93">
      <w:pPr>
        <w:pStyle w:val="EndNoteBibliography"/>
        <w:spacing w:after="0" w:line="480" w:lineRule="auto"/>
      </w:pPr>
      <w:r w:rsidRPr="00C60A1D">
        <w:t>2.</w:t>
      </w:r>
      <w:r>
        <w:t xml:space="preserve"> </w:t>
      </w:r>
      <w:r w:rsidRPr="003C62FC">
        <w:t>Ugolini G, Ghignone F, Zattoni D, Veronese G, Montroni I. Personalized surgical management of colorectal cancer in elderly population. World journal of gastroenterology: WJG. 2014;20(14):3762.</w:t>
      </w:r>
    </w:p>
    <w:p w14:paraId="2EF9890E" w14:textId="77777777" w:rsidR="00BC7C93" w:rsidRPr="00C60A1D" w:rsidRDefault="00BC7C93" w:rsidP="00BC7C93">
      <w:pPr>
        <w:pStyle w:val="EndNoteBibliography"/>
        <w:spacing w:after="0" w:line="480" w:lineRule="auto"/>
      </w:pPr>
      <w:r>
        <w:t xml:space="preserve">3. </w:t>
      </w:r>
      <w:r w:rsidRPr="003C62FC">
        <w:t>C</w:t>
      </w:r>
      <w:r>
        <w:t>ancer Research UK</w:t>
      </w:r>
      <w:r w:rsidRPr="003C62FC">
        <w:t>. Bowel Cancer: Risks and Causes</w:t>
      </w:r>
      <w:r>
        <w:t xml:space="preserve">, </w:t>
      </w:r>
      <w:hyperlink r:id="rId10" w:history="1">
        <w:r w:rsidRPr="00995791">
          <w:rPr>
            <w:rStyle w:val="Hyperlink"/>
          </w:rPr>
          <w:t>http://www.cancerresearchuk.org/about-cancer/bowel-cancer/risks-causes</w:t>
        </w:r>
      </w:hyperlink>
      <w:r>
        <w:t xml:space="preserve"> [accessed 6th Januray 2021].</w:t>
      </w:r>
    </w:p>
    <w:p w14:paraId="360BA532" w14:textId="77777777" w:rsidR="00BC7C93" w:rsidRPr="003C62FC" w:rsidRDefault="00BC7C93" w:rsidP="00BC7C93">
      <w:pPr>
        <w:pStyle w:val="EndNoteBibliography"/>
        <w:spacing w:after="0" w:line="480" w:lineRule="auto"/>
      </w:pPr>
      <w:r w:rsidRPr="003C62FC">
        <w:t>4.</w:t>
      </w:r>
      <w:r>
        <w:t xml:space="preserve"> </w:t>
      </w:r>
      <w:r w:rsidRPr="003C62FC">
        <w:t>Parry C, Kent EE, Mariotto AB, Alfano CM, Rowland JH. Cancer survivors: a booming population. Cancer Epidemiology and Prevention Biomarkers. 2011;20(10):1996-2005.</w:t>
      </w:r>
    </w:p>
    <w:p w14:paraId="77CD3119" w14:textId="3F4CC9E9" w:rsidR="00BC7C93" w:rsidRPr="003C62FC" w:rsidRDefault="00BC7C93" w:rsidP="00BC7C93">
      <w:pPr>
        <w:pStyle w:val="EndNoteBibliography"/>
        <w:spacing w:after="0" w:line="480" w:lineRule="auto"/>
      </w:pPr>
      <w:r w:rsidRPr="003C62FC">
        <w:t>5.</w:t>
      </w:r>
      <w:r>
        <w:t xml:space="preserve"> Cancer Research UK</w:t>
      </w:r>
      <w:r w:rsidRPr="003C62FC">
        <w:t xml:space="preserve">. Bowel cancer </w:t>
      </w:r>
      <w:r w:rsidR="001B499B">
        <w:t>incidence</w:t>
      </w:r>
      <w:r w:rsidR="001B499B" w:rsidRPr="003C62FC">
        <w:t xml:space="preserve"> </w:t>
      </w:r>
      <w:r w:rsidRPr="003C62FC">
        <w:t>statistics</w:t>
      </w:r>
      <w:r>
        <w:t xml:space="preserve">, </w:t>
      </w:r>
      <w:r w:rsidR="001B499B">
        <w:t xml:space="preserve">  </w:t>
      </w:r>
      <w:hyperlink r:id="rId11" w:anchor="heading-One" w:history="1">
        <w:r w:rsidR="001B499B">
          <w:rPr>
            <w:rStyle w:val="Hyperlink"/>
          </w:rPr>
          <w:t>Bowel cancer incidence statistics | Cancer Research UK</w:t>
        </w:r>
      </w:hyperlink>
      <w:r w:rsidR="001B499B">
        <w:t xml:space="preserve"> </w:t>
      </w:r>
      <w:r>
        <w:t xml:space="preserve">[accessed </w:t>
      </w:r>
      <w:r w:rsidR="001B499B">
        <w:t>12</w:t>
      </w:r>
      <w:r w:rsidR="001B499B" w:rsidRPr="00AF1F8A">
        <w:rPr>
          <w:vertAlign w:val="superscript"/>
        </w:rPr>
        <w:t>th</w:t>
      </w:r>
      <w:r w:rsidR="001B499B">
        <w:t xml:space="preserve"> October</w:t>
      </w:r>
      <w:r>
        <w:t xml:space="preserve"> 2021].</w:t>
      </w:r>
    </w:p>
    <w:p w14:paraId="15E1864B" w14:textId="77777777" w:rsidR="00BC7C93" w:rsidRPr="003C62FC" w:rsidRDefault="00BC7C93" w:rsidP="00BC7C93">
      <w:pPr>
        <w:pStyle w:val="EndNoteBibliography"/>
        <w:spacing w:after="0" w:line="480" w:lineRule="auto"/>
      </w:pPr>
      <w:r>
        <w:t xml:space="preserve">6. </w:t>
      </w:r>
      <w:r w:rsidRPr="003C62FC">
        <w:t>Avis NE, Deimling GT. Cancer survivorship and aging. Cancer. 2008;113(S12):3519-29.</w:t>
      </w:r>
    </w:p>
    <w:p w14:paraId="07E9A89E" w14:textId="77777777" w:rsidR="00BC7C93" w:rsidRPr="00513AC0" w:rsidRDefault="00BC7C93" w:rsidP="00BC7C93">
      <w:pPr>
        <w:pStyle w:val="EndNoteBibliography"/>
        <w:spacing w:after="0" w:line="480" w:lineRule="auto"/>
        <w:rPr>
          <w:b/>
          <w:bCs/>
        </w:rPr>
      </w:pPr>
      <w:r w:rsidRPr="00513AC0">
        <w:t xml:space="preserve">7. </w:t>
      </w:r>
      <w:r w:rsidRPr="003C62FC">
        <w:t>Keating NL, Nørredam M, Landrum MB, Huskamp HA, Meara E. Physical and mental health status of older long‐term cancer survivors. Journal of the American Geriatrics Society. 2005;53(12):2145-52.</w:t>
      </w:r>
    </w:p>
    <w:p w14:paraId="29F65FCF" w14:textId="77777777" w:rsidR="00BC7C93" w:rsidRPr="003C62FC" w:rsidRDefault="00BC7C93" w:rsidP="00BC7C93">
      <w:pPr>
        <w:pStyle w:val="EndNoteBibliography"/>
        <w:spacing w:after="0" w:line="480" w:lineRule="auto"/>
      </w:pPr>
      <w:r>
        <w:t>8</w:t>
      </w:r>
      <w:r w:rsidRPr="003C62FC">
        <w:t>.</w:t>
      </w:r>
      <w:r>
        <w:t xml:space="preserve"> </w:t>
      </w:r>
      <w:r w:rsidRPr="003C62FC">
        <w:t>Mohile SG, Xian Y, Dale W, Fisher SG, Rodin M, Morrow GR, et al. Association of a cancer diagnosis with vulnerability and frailty in older Medicare beneficiaries. Journal of the National Cancer Institute. 2009;101(17):1206-15.</w:t>
      </w:r>
    </w:p>
    <w:p w14:paraId="6BC65AB1" w14:textId="56CBBB6E" w:rsidR="00BC7C93" w:rsidRPr="003C62FC" w:rsidRDefault="00BC7C93" w:rsidP="00BC7C93">
      <w:pPr>
        <w:pStyle w:val="EndNoteBibliography"/>
        <w:spacing w:after="0" w:line="480" w:lineRule="auto"/>
      </w:pPr>
      <w:r w:rsidRPr="003C62FC">
        <w:lastRenderedPageBreak/>
        <w:t>9.</w:t>
      </w:r>
      <w:r>
        <w:t xml:space="preserve"> </w:t>
      </w:r>
      <w:r w:rsidRPr="003C62FC">
        <w:t>Sedrak MS, Hurria A. Cancer in the older adult: Implications for therapy and future research. Cancer. 2018</w:t>
      </w:r>
      <w:r w:rsidR="00E320C5">
        <w:t>; 124(6):1108-1110</w:t>
      </w:r>
      <w:r w:rsidRPr="003C62FC">
        <w:t>.</w:t>
      </w:r>
    </w:p>
    <w:p w14:paraId="339237FB" w14:textId="77777777" w:rsidR="00BC7C93" w:rsidRDefault="00BC7C93" w:rsidP="00BC7C93">
      <w:pPr>
        <w:pStyle w:val="EndNoteBibliography"/>
        <w:spacing w:after="0" w:line="480" w:lineRule="auto"/>
      </w:pPr>
      <w:r>
        <w:t xml:space="preserve">10. </w:t>
      </w:r>
      <w:r w:rsidRPr="003C62FC">
        <w:t>Warner DF, Schiltz NK, Stange KC, Given CW, Owusu C, Berger NA, et al. Complex multimorbidity and health outcomes in older adult cancer survivorsa. Family Medicine and Community Health. 2017;5(2):129-38.</w:t>
      </w:r>
    </w:p>
    <w:p w14:paraId="0B7A5F72" w14:textId="77777777" w:rsidR="00BC7C93" w:rsidRDefault="00BC7C93" w:rsidP="00BC7C93">
      <w:pPr>
        <w:pStyle w:val="EndNoteBibliography"/>
        <w:spacing w:after="0" w:line="480" w:lineRule="auto"/>
      </w:pPr>
      <w:r>
        <w:t xml:space="preserve">11. </w:t>
      </w:r>
      <w:r w:rsidRPr="003C62FC">
        <w:t>Bellury LM, Ellington L, Beck SL, Stein K, Pett M, Clark J. Elderly cancer survivorship: an integrative review and conceptual framework. European Journal of Oncology Nursing. 2011;15(3):233-42.</w:t>
      </w:r>
    </w:p>
    <w:p w14:paraId="70AC41EC" w14:textId="77777777" w:rsidR="00BC7C93" w:rsidRPr="003C62FC" w:rsidRDefault="00BC7C93" w:rsidP="00BC7C93">
      <w:pPr>
        <w:pStyle w:val="EndNoteBibliography"/>
        <w:spacing w:after="0" w:line="480" w:lineRule="auto"/>
      </w:pPr>
      <w:r>
        <w:t xml:space="preserve">12. </w:t>
      </w:r>
      <w:r w:rsidRPr="003C62FC">
        <w:t>Mohile SG, Hurria A, Cohen HJ, Rowland JH, Leach CR, Arora NK, et al. Improving the quality of survivorship for older adults with cancer. Cancer. 2016;122(16):2459-568.</w:t>
      </w:r>
    </w:p>
    <w:p w14:paraId="1B69ECB4" w14:textId="77777777" w:rsidR="00BC7C93" w:rsidRDefault="00BC7C93" w:rsidP="00BC7C93">
      <w:pPr>
        <w:pStyle w:val="EndNoteBibliography"/>
        <w:spacing w:after="0" w:line="480" w:lineRule="auto"/>
      </w:pPr>
      <w:r>
        <w:t xml:space="preserve">13. </w:t>
      </w:r>
      <w:r w:rsidRPr="003C62FC">
        <w:t>McCabe MS, Bhatia S, Oeffinger KC, Reaman GH, Tyne C, Wollins DS, et al. American Society of Clinical Oncology statement: achieving high-quality cancer survivorship care. Journal of Clinical Oncology. 2013;31(5):631-40.</w:t>
      </w:r>
    </w:p>
    <w:p w14:paraId="49AA7382" w14:textId="77777777" w:rsidR="00BC7C93" w:rsidRDefault="00BC7C93" w:rsidP="00BC7C93">
      <w:pPr>
        <w:pStyle w:val="EndNoteBibliography"/>
        <w:spacing w:after="0" w:line="480" w:lineRule="auto"/>
      </w:pPr>
      <w:r>
        <w:t xml:space="preserve">14. </w:t>
      </w:r>
      <w:r w:rsidRPr="003C62FC">
        <w:t>Brearley S, Stamataki Z, Addington-Hall J, Foster C, Hodges L, Jarrett N, et al. The physical and practical problems experienced by cancer survivors: a rapid review and synthesis of the literature. European Journal of Oncology Nursing. 2011;15(3):204-12.</w:t>
      </w:r>
    </w:p>
    <w:p w14:paraId="2B1E0BF5" w14:textId="77777777" w:rsidR="00BC7C93" w:rsidRDefault="00BC7C93" w:rsidP="00BC7C93">
      <w:pPr>
        <w:pStyle w:val="EndNoteBibliography"/>
        <w:spacing w:after="0" w:line="480" w:lineRule="auto"/>
      </w:pPr>
      <w:r>
        <w:t xml:space="preserve">15. </w:t>
      </w:r>
      <w:r w:rsidRPr="003C62FC">
        <w:t>Rønning B, Wyller T, Nesbakken A, Skovlund E, Jordhøy M, Bakka A, et al. Quality of life in older and frail patients after surgery for colorectal cancer-A follow-up study. Journal of geriatric oncology. 2016;7(3):195.</w:t>
      </w:r>
    </w:p>
    <w:p w14:paraId="3ABD85A7" w14:textId="77777777" w:rsidR="00BC7C93" w:rsidRDefault="00BC7C93" w:rsidP="00BC7C93">
      <w:pPr>
        <w:pStyle w:val="EndNoteBibliography"/>
        <w:spacing w:after="0" w:line="480" w:lineRule="auto"/>
      </w:pPr>
      <w:r>
        <w:t xml:space="preserve">16. </w:t>
      </w:r>
      <w:r w:rsidRPr="003C62FC">
        <w:t>Fried TR, Bradley EH, Towle VR, Allore H. Understanding the treatment preferences of seriously ill patients. New England Journal of Medicine. 2002;346(14):1061-6.</w:t>
      </w:r>
    </w:p>
    <w:p w14:paraId="13BD34BB" w14:textId="77777777" w:rsidR="00BC7C93" w:rsidRDefault="00BC7C93" w:rsidP="00BC7C93">
      <w:pPr>
        <w:pStyle w:val="EndNoteBibliography"/>
        <w:spacing w:after="0" w:line="480" w:lineRule="auto"/>
      </w:pPr>
      <w:r>
        <w:t xml:space="preserve">17. </w:t>
      </w:r>
      <w:r w:rsidRPr="003C62FC">
        <w:t>Levit LA, Balogh E, Nass SJ, Ganz P. Delivering high-quality cancer care: charting a new course for a system in crisis: National Academies Press Washington, DC; 2013.</w:t>
      </w:r>
    </w:p>
    <w:p w14:paraId="5C9CB456" w14:textId="77777777" w:rsidR="00BC7C93" w:rsidRDefault="00BC7C93" w:rsidP="00BC7C93">
      <w:pPr>
        <w:pStyle w:val="EndNoteBibliography"/>
        <w:spacing w:after="0" w:line="480" w:lineRule="auto"/>
      </w:pPr>
      <w:r>
        <w:t xml:space="preserve">18. </w:t>
      </w:r>
      <w:r w:rsidRPr="003C62FC">
        <w:t>Fenlon D, Richardson A, Addington-Hall J, Smith P, Corner J, Winter J, et al. A cohort study of the recovery of health and wellbeing following colorectal cancer (CREW study): protocol paper. BMC health services research. 2012;12(1):90.</w:t>
      </w:r>
    </w:p>
    <w:p w14:paraId="02BF2F3F" w14:textId="77777777" w:rsidR="00BC7C93" w:rsidRDefault="00BC7C93" w:rsidP="00BC7C93">
      <w:pPr>
        <w:pStyle w:val="EndNoteBibliography"/>
        <w:spacing w:after="0" w:line="480" w:lineRule="auto"/>
      </w:pPr>
      <w:r>
        <w:lastRenderedPageBreak/>
        <w:t xml:space="preserve">19. </w:t>
      </w:r>
      <w:r w:rsidRPr="003C62FC">
        <w:t>Foster C, Fenlon D. Recovery and self-management support following primary cancer treatment. British Journal of Cancer. 2011;105(S1):S21.</w:t>
      </w:r>
    </w:p>
    <w:p w14:paraId="7B843BDB" w14:textId="77777777" w:rsidR="00BC7C93" w:rsidRDefault="00BC7C93" w:rsidP="00BC7C93">
      <w:pPr>
        <w:pStyle w:val="EndNoteBibliography"/>
        <w:spacing w:after="0" w:line="480" w:lineRule="auto"/>
      </w:pPr>
      <w:r>
        <w:t xml:space="preserve">20. </w:t>
      </w:r>
      <w:r w:rsidRPr="003C62FC">
        <w:t>Avis NE, Smith KW, McGraw S, Smith RG, Petronis VM, Carver CS. Assessing quality of life in adult cancer survivors (QLACS). Quality of life research. 2005;14(4):1007-23.</w:t>
      </w:r>
    </w:p>
    <w:p w14:paraId="0F1371AF" w14:textId="77777777" w:rsidR="00BC7C93" w:rsidRDefault="00BC7C93" w:rsidP="00BC7C93">
      <w:pPr>
        <w:pStyle w:val="EndNoteBibliography"/>
        <w:spacing w:after="0" w:line="480" w:lineRule="auto"/>
      </w:pPr>
      <w:r>
        <w:t xml:space="preserve">21. </w:t>
      </w:r>
      <w:r w:rsidRPr="003C62FC">
        <w:t>Pickard AS, Wilke CT, Lin H-W, Lloyd A. Health utilities using the EQ-5D in studies of cancer. Pharmacoeconomics. 2007;25(5):365-84.</w:t>
      </w:r>
    </w:p>
    <w:p w14:paraId="77FCF939" w14:textId="77777777" w:rsidR="00BC7C93" w:rsidRDefault="00BC7C93" w:rsidP="00BC7C93">
      <w:pPr>
        <w:pStyle w:val="EndNoteBibliography"/>
        <w:spacing w:after="0" w:line="480" w:lineRule="auto"/>
      </w:pPr>
      <w:r>
        <w:t xml:space="preserve">22. Department for Communities ad Local Government. </w:t>
      </w:r>
      <w:r w:rsidRPr="003C62FC">
        <w:t>The English index of multiple deprivation (IMD) 2015—guidance</w:t>
      </w:r>
      <w:r>
        <w:t xml:space="preserve">, </w:t>
      </w:r>
      <w:hyperlink r:id="rId12" w:history="1">
        <w:r w:rsidRPr="00995791">
          <w:rPr>
            <w:rStyle w:val="Hyperlink"/>
          </w:rPr>
          <w:t>https://assets.publishing.service.gov.uk/government/uploads/system/uploads/attachment_data/file/464430/English_Index_of_Multiple_Deprivation_2015_-_Guidance.pdf</w:t>
        </w:r>
      </w:hyperlink>
      <w:r>
        <w:t xml:space="preserve"> [accessed 6th January 2021].</w:t>
      </w:r>
    </w:p>
    <w:p w14:paraId="3EF1F7D1" w14:textId="77777777" w:rsidR="00BC7C93" w:rsidRDefault="00BC7C93" w:rsidP="00BC7C93">
      <w:pPr>
        <w:pStyle w:val="EndNoteBibliography"/>
        <w:spacing w:after="0" w:line="480" w:lineRule="auto"/>
      </w:pPr>
      <w:r>
        <w:t xml:space="preserve">23. </w:t>
      </w:r>
      <w:r w:rsidRPr="003C62FC">
        <w:t>Cummings A, Grimmett C, Calman L, Patel M, Permyakova NV, Winter J, et al. Comorbidities are associated with poorer quality of life and functioning and worse symptoms in the 5 years following colorectal cancer surgery: Results from the ColoREctal Well‐being (CREW) cohort study. Psycho‐oncology. 2018;27(10):2427-35.</w:t>
      </w:r>
    </w:p>
    <w:p w14:paraId="63BCED5B" w14:textId="77777777" w:rsidR="00BC7C93" w:rsidRPr="003C62FC" w:rsidRDefault="00BC7C93" w:rsidP="00BC7C93">
      <w:pPr>
        <w:pStyle w:val="EndNoteBibliography"/>
        <w:spacing w:after="0" w:line="480" w:lineRule="auto"/>
      </w:pPr>
      <w:r w:rsidRPr="003C62FC">
        <w:t>2</w:t>
      </w:r>
      <w:r>
        <w:t>4</w:t>
      </w:r>
      <w:r w:rsidRPr="003C62FC">
        <w:t>.</w:t>
      </w:r>
      <w:r>
        <w:t xml:space="preserve"> </w:t>
      </w:r>
      <w:r w:rsidRPr="003C62FC">
        <w:t>Sherbourne CD, Stewart AL. The MOS social support survey. Social science &amp; medicine. 1991;32(6):705-14.</w:t>
      </w:r>
    </w:p>
    <w:p w14:paraId="61EAB37E" w14:textId="77777777" w:rsidR="00BC7C93" w:rsidRPr="003C62FC" w:rsidRDefault="00BC7C93" w:rsidP="00BC7C93">
      <w:pPr>
        <w:pStyle w:val="EndNoteBibliography"/>
        <w:spacing w:after="0" w:line="480" w:lineRule="auto"/>
      </w:pPr>
      <w:r w:rsidRPr="003C62FC">
        <w:t>2</w:t>
      </w:r>
      <w:r>
        <w:t>5</w:t>
      </w:r>
      <w:r w:rsidRPr="003C62FC">
        <w:t>.</w:t>
      </w:r>
      <w:r>
        <w:t xml:space="preserve"> </w:t>
      </w:r>
      <w:r w:rsidRPr="003C62FC">
        <w:t>Clough-Gorr KM, Stuck AE, Thwin SS, Silliman RA. Older breast cancer survivors: geriatric assessment domains are associated with poor tolerance of treatment adverse effects and predict mortality over 7 years of follow-up. Journal of clinical oncology. 2010;28(3):380.</w:t>
      </w:r>
    </w:p>
    <w:p w14:paraId="03F4D726" w14:textId="77777777" w:rsidR="00BC7C93" w:rsidRDefault="00BC7C93" w:rsidP="00BC7C93">
      <w:pPr>
        <w:pStyle w:val="EndNoteBibliography"/>
        <w:spacing w:after="0" w:line="480" w:lineRule="auto"/>
      </w:pPr>
      <w:r w:rsidRPr="003C62FC">
        <w:t>2</w:t>
      </w:r>
      <w:r>
        <w:t>6</w:t>
      </w:r>
      <w:r w:rsidRPr="003C62FC">
        <w:t>.</w:t>
      </w:r>
      <w:r>
        <w:t xml:space="preserve"> </w:t>
      </w:r>
      <w:r w:rsidRPr="003C62FC">
        <w:t>Radloff LS. The CES-D scale: A self-report depression scale for research in the general population. Applied psychological measurement. 1977;1(3):385-401.</w:t>
      </w:r>
    </w:p>
    <w:p w14:paraId="62EE6F45" w14:textId="77777777" w:rsidR="00BC7C93" w:rsidRPr="003C62FC" w:rsidRDefault="00BC7C93" w:rsidP="00BC7C93">
      <w:pPr>
        <w:pStyle w:val="EndNoteBibliography"/>
        <w:spacing w:after="0" w:line="480" w:lineRule="auto"/>
      </w:pPr>
      <w:r>
        <w:t>27</w:t>
      </w:r>
      <w:r w:rsidRPr="003C62FC">
        <w:t>.</w:t>
      </w:r>
      <w:r>
        <w:t xml:space="preserve"> </w:t>
      </w:r>
      <w:r w:rsidRPr="003C62FC">
        <w:t>Spielberger CD. Manual for the State-Trait Anxiety Inventory STAI (form Y)(" self-evaluation questionnaire"). 1983.</w:t>
      </w:r>
    </w:p>
    <w:p w14:paraId="702F992F" w14:textId="77777777" w:rsidR="00BC7C93" w:rsidRPr="003C62FC" w:rsidRDefault="00BC7C93" w:rsidP="00BC7C93">
      <w:pPr>
        <w:pStyle w:val="EndNoteBibliography"/>
        <w:spacing w:after="0" w:line="480" w:lineRule="auto"/>
      </w:pPr>
      <w:r>
        <w:lastRenderedPageBreak/>
        <w:t>28</w:t>
      </w:r>
      <w:r w:rsidRPr="003C62FC">
        <w:t>.</w:t>
      </w:r>
      <w:r>
        <w:t xml:space="preserve"> </w:t>
      </w:r>
      <w:r w:rsidRPr="003C62FC">
        <w:t>Lorig KR, Ritter P, Stewart AL, Sobel DS, Brown Jr BW, Bandura A, et al. Chronic disease self-management program: 2-year health status and health care utilization outcomes. Medical care. 2001:1217-23.</w:t>
      </w:r>
    </w:p>
    <w:p w14:paraId="6D148839" w14:textId="77777777" w:rsidR="00BC7C93" w:rsidRPr="003C62FC" w:rsidRDefault="00BC7C93" w:rsidP="00BC7C93">
      <w:pPr>
        <w:pStyle w:val="EndNoteBibliography"/>
        <w:spacing w:after="0" w:line="480" w:lineRule="auto"/>
      </w:pPr>
      <w:r>
        <w:t>29</w:t>
      </w:r>
      <w:r w:rsidRPr="003C62FC">
        <w:t>.</w:t>
      </w:r>
      <w:r>
        <w:t xml:space="preserve"> </w:t>
      </w:r>
      <w:r w:rsidRPr="003C62FC">
        <w:t>Grimmett C, Haviland J, Winter J, Calman L, Din A, Richardson A, et al. Colorectal cancer patient’s self-efficacy for managing illness-related problems in the first 2 years after diagnosis, results from the ColoREctal Well-being (CREW) study. Journal of Cancer Survivorship. 2017;11(5):634-42.</w:t>
      </w:r>
    </w:p>
    <w:p w14:paraId="47BADF21" w14:textId="77777777" w:rsidR="00BC7C93" w:rsidRPr="003C62FC" w:rsidRDefault="00BC7C93" w:rsidP="00BC7C93">
      <w:pPr>
        <w:pStyle w:val="EndNoteBibliography"/>
        <w:spacing w:after="0" w:line="480" w:lineRule="auto"/>
      </w:pPr>
      <w:r w:rsidRPr="003C62FC">
        <w:t>3</w:t>
      </w:r>
      <w:r>
        <w:t>0</w:t>
      </w:r>
      <w:r w:rsidRPr="003C62FC">
        <w:t>.</w:t>
      </w:r>
      <w:r>
        <w:t xml:space="preserve"> </w:t>
      </w:r>
      <w:r w:rsidRPr="003C62FC">
        <w:t>Wheelwright S, Permyakova NV, Calman L, Din A, Fenlon D, Richardson A, et al. Does quality of life return to pre-treatment levels five years after curative intent surgery for colorectal cancer? Evidence from the ColoREctal Wellbeing (CREW) study. PloS one. 2020;15(4):e0231332.</w:t>
      </w:r>
    </w:p>
    <w:p w14:paraId="670EC888" w14:textId="77777777" w:rsidR="00BC7C93" w:rsidRDefault="00BC7C93" w:rsidP="00BC7C93">
      <w:pPr>
        <w:pStyle w:val="EndNoteBibliography"/>
        <w:spacing w:after="0" w:line="480" w:lineRule="auto"/>
      </w:pPr>
      <w:r w:rsidRPr="003C62FC">
        <w:t>3</w:t>
      </w:r>
      <w:r>
        <w:t>1</w:t>
      </w:r>
      <w:r w:rsidRPr="003C62FC">
        <w:t>.</w:t>
      </w:r>
      <w:r>
        <w:t xml:space="preserve"> </w:t>
      </w:r>
      <w:r w:rsidRPr="003C62FC">
        <w:t>Dunn J, Ng SK, Breitbart W, Aitken J, Youl P, Baade PD, et al. Health-related quality of life and life satisfaction in colorectal cancer survivors: trajectories of adjustment. Health and quality of life outcomes. 2013;11(1):46.</w:t>
      </w:r>
    </w:p>
    <w:p w14:paraId="3D2FF78D" w14:textId="77777777" w:rsidR="00BC7C93" w:rsidRPr="003C62FC" w:rsidRDefault="00BC7C93" w:rsidP="00BC7C93">
      <w:pPr>
        <w:pStyle w:val="EndNoteBibliography"/>
        <w:spacing w:after="0" w:line="480" w:lineRule="auto"/>
      </w:pPr>
      <w:r w:rsidRPr="003C62FC">
        <w:t>3</w:t>
      </w:r>
      <w:r>
        <w:t>2</w:t>
      </w:r>
      <w:r w:rsidRPr="003C62FC">
        <w:t>.</w:t>
      </w:r>
      <w:r>
        <w:t xml:space="preserve"> </w:t>
      </w:r>
      <w:r w:rsidRPr="003C62FC">
        <w:t>Jansen L, Herrmann A, Stegmaier C, Singer S, Brenner H, Arndt V. Health-related quality of life during the 10 years after diagnosis of colorectal cancer: a population-based study. Journal of Clinical Oncology. 2011;29(24):3263-9.</w:t>
      </w:r>
    </w:p>
    <w:p w14:paraId="7438B682" w14:textId="77777777" w:rsidR="00BC7C93" w:rsidRPr="003C62FC" w:rsidRDefault="00BC7C93" w:rsidP="00BC7C93">
      <w:pPr>
        <w:pStyle w:val="EndNoteBibliography"/>
        <w:spacing w:after="0" w:line="480" w:lineRule="auto"/>
      </w:pPr>
      <w:r>
        <w:t>33</w:t>
      </w:r>
      <w:r w:rsidRPr="003C62FC">
        <w:t>.</w:t>
      </w:r>
      <w:r>
        <w:t xml:space="preserve"> </w:t>
      </w:r>
      <w:r w:rsidRPr="003C62FC">
        <w:t>Hart SL, Charles ST. Age-related patterns in negative affect and appraisals about colorectal cancer over time. Health Psychol. 2013;32(3):302-10.</w:t>
      </w:r>
    </w:p>
    <w:p w14:paraId="3EBE94B5" w14:textId="77777777" w:rsidR="00BC7C93" w:rsidRPr="003C62FC" w:rsidRDefault="00BC7C93" w:rsidP="00BC7C93">
      <w:pPr>
        <w:pStyle w:val="EndNoteBibliography"/>
        <w:spacing w:after="0" w:line="480" w:lineRule="auto"/>
      </w:pPr>
      <w:r w:rsidRPr="003C62FC">
        <w:t>3</w:t>
      </w:r>
      <w:r>
        <w:t>4</w:t>
      </w:r>
      <w:r w:rsidRPr="003C62FC">
        <w:t>.</w:t>
      </w:r>
      <w:r>
        <w:t xml:space="preserve"> </w:t>
      </w:r>
      <w:r w:rsidRPr="003C62FC">
        <w:t>Rowland JH, Bellizzi KM. Cancer survivorship issues: life after treatment and implications for an aging population. Journal of Clinical Oncology. 2014;32(24):2662-8.</w:t>
      </w:r>
    </w:p>
    <w:p w14:paraId="305BCAC8" w14:textId="77777777" w:rsidR="00BC7C93" w:rsidRDefault="00BC7C93" w:rsidP="00BC7C93">
      <w:pPr>
        <w:pStyle w:val="EndNoteBibliography"/>
        <w:spacing w:after="0" w:line="480" w:lineRule="auto"/>
      </w:pPr>
      <w:r>
        <w:t xml:space="preserve">35. </w:t>
      </w:r>
      <w:r w:rsidRPr="003C62FC">
        <w:t>Pergolotti M, Deal AM, Williams GR, Bryant AL, Bensen JT, Muss HB, et al. Activities, function, and health-related quality of life (HRQOL) of older adults with cancer. Journal of geriatric oncology. 2017;8(4):249-54.</w:t>
      </w:r>
    </w:p>
    <w:p w14:paraId="4C7F2B21" w14:textId="7934A6E9" w:rsidR="00BC7C93" w:rsidRPr="003C62FC" w:rsidRDefault="00BC7C93" w:rsidP="00BC7C93">
      <w:pPr>
        <w:pStyle w:val="EndNoteBibliography"/>
        <w:spacing w:after="0" w:line="480" w:lineRule="auto"/>
      </w:pPr>
      <w:r w:rsidRPr="003C62FC">
        <w:t>3</w:t>
      </w:r>
      <w:r>
        <w:t>6</w:t>
      </w:r>
      <w:r w:rsidRPr="003C62FC">
        <w:t>.</w:t>
      </w:r>
      <w:r>
        <w:t xml:space="preserve"> </w:t>
      </w:r>
      <w:r w:rsidRPr="003C62FC">
        <w:t>Gresham G, Dy SM, Zipunnikov V, Browner IS, Studenski SA, Simonsick EM, et al. Fatigability and endurance performance in cancer survivors: Analyses from the Baltimore Longitudinal Study of Aging. Cancer. 2018</w:t>
      </w:r>
      <w:r w:rsidR="00B30E47">
        <w:t>;124(6):1279-1287</w:t>
      </w:r>
      <w:r w:rsidRPr="003C62FC">
        <w:t>.</w:t>
      </w:r>
    </w:p>
    <w:p w14:paraId="1CD5D342" w14:textId="791EAB58" w:rsidR="00BC7C93" w:rsidRDefault="00BC7C93" w:rsidP="00BC7C93">
      <w:pPr>
        <w:pStyle w:val="EndNoteBibliography"/>
        <w:spacing w:after="0" w:line="480" w:lineRule="auto"/>
      </w:pPr>
      <w:r>
        <w:lastRenderedPageBreak/>
        <w:t>37</w:t>
      </w:r>
      <w:r w:rsidRPr="003C62FC">
        <w:t>.</w:t>
      </w:r>
      <w:r>
        <w:t xml:space="preserve"> </w:t>
      </w:r>
      <w:r w:rsidRPr="003C62FC">
        <w:t>Deimling GT, Sterns S, Bowman KF, Kahana B. Functioning and activity participation restrictions among older adult, long-term cancer survivors. Cancer investigation. 2007;25(2):106-16.</w:t>
      </w:r>
    </w:p>
    <w:p w14:paraId="521650BC" w14:textId="77777777" w:rsidR="00BC7C93" w:rsidRDefault="00BC7C93" w:rsidP="00BC7C93">
      <w:pPr>
        <w:pStyle w:val="EndNoteBibliography"/>
        <w:spacing w:after="0" w:line="480" w:lineRule="auto"/>
      </w:pPr>
      <w:r>
        <w:t>38. Cancer Research U</w:t>
      </w:r>
      <w:r w:rsidRPr="003C62FC">
        <w:t>K. Bowel cancer incidence statistics</w:t>
      </w:r>
      <w:r>
        <w:t xml:space="preserve">, </w:t>
      </w:r>
      <w:hyperlink r:id="rId13" w:anchor="heading-One" w:history="1">
        <w:r w:rsidRPr="00995791">
          <w:rPr>
            <w:rStyle w:val="Hyperlink"/>
          </w:rPr>
          <w:t>https://www.cancerresearchuk.org/health-professional/cancer-statistics/statistics-by-cancer-type/bowel-cancer/incidence#heading-One</w:t>
        </w:r>
      </w:hyperlink>
      <w:r>
        <w:t xml:space="preserve"> [accessed 6</w:t>
      </w:r>
      <w:r w:rsidRPr="00515389">
        <w:rPr>
          <w:vertAlign w:val="superscript"/>
        </w:rPr>
        <w:t>th</w:t>
      </w:r>
      <w:r>
        <w:t xml:space="preserve"> January 2021].</w:t>
      </w:r>
    </w:p>
    <w:p w14:paraId="3D241A42" w14:textId="77777777" w:rsidR="00BC7C93" w:rsidRDefault="00BC7C93" w:rsidP="00BC7C93">
      <w:pPr>
        <w:pStyle w:val="EndNoteBibliography"/>
        <w:spacing w:after="0" w:line="480" w:lineRule="auto"/>
      </w:pPr>
      <w:r>
        <w:t xml:space="preserve">39. </w:t>
      </w:r>
      <w:r w:rsidRPr="003C62FC">
        <w:t>Corbett TK, Cummings A, Lee K, Calman L, Fenerty V, Farrington N, et al. Planning and optimising CHAT&amp;PLAN: A conversation-based intervention to promote person-centred care for older people living with multimorbidity. PloS one. 2020;15(10):e024051</w:t>
      </w:r>
    </w:p>
    <w:p w14:paraId="2D102746" w14:textId="77777777" w:rsidR="00BC7C93" w:rsidRPr="003C62FC" w:rsidRDefault="00BC7C93" w:rsidP="00BC7C93">
      <w:pPr>
        <w:pStyle w:val="EndNoteBibliography"/>
        <w:spacing w:after="0" w:line="480" w:lineRule="auto"/>
      </w:pPr>
      <w:r>
        <w:t xml:space="preserve">40.  </w:t>
      </w:r>
      <w:r w:rsidRPr="00DB1832">
        <w:t>Hladek MD, Gill J, Bandeen-Roche K, Walston J, Allen J, Hinkle JL, et al. High coping self-efficacy associated with lower odds of pre-frailty/frailty in older adults with chronic disease. Aging &amp; mental health. 2020;24(12):1956-62.</w:t>
      </w:r>
    </w:p>
    <w:p w14:paraId="752A8D69" w14:textId="7E1EECC2" w:rsidR="00BC7C93" w:rsidRDefault="00BC7C93" w:rsidP="00D276D9">
      <w:pPr>
        <w:spacing w:after="0" w:line="480" w:lineRule="auto"/>
        <w:rPr>
          <w:rFonts w:cstheme="minorHAnsi"/>
        </w:rPr>
      </w:pPr>
    </w:p>
    <w:p w14:paraId="036DC4DE" w14:textId="7FEAB360" w:rsidR="00296EBE" w:rsidRPr="00AF1F8A" w:rsidRDefault="003978C0" w:rsidP="00D276D9">
      <w:pPr>
        <w:spacing w:after="0" w:line="480" w:lineRule="auto"/>
        <w:rPr>
          <w:rFonts w:cstheme="minorHAnsi"/>
          <w:b/>
          <w:bCs/>
          <w:sz w:val="36"/>
          <w:szCs w:val="36"/>
        </w:rPr>
      </w:pPr>
      <w:r>
        <w:rPr>
          <w:rFonts w:cstheme="minorHAnsi"/>
          <w:b/>
          <w:bCs/>
          <w:sz w:val="36"/>
          <w:szCs w:val="36"/>
        </w:rPr>
        <w:t>Supporting Information</w:t>
      </w:r>
      <w:r w:rsidRPr="00AF1F8A">
        <w:rPr>
          <w:rFonts w:cstheme="minorHAnsi"/>
          <w:b/>
          <w:bCs/>
          <w:sz w:val="36"/>
          <w:szCs w:val="36"/>
        </w:rPr>
        <w:t xml:space="preserve"> </w:t>
      </w:r>
    </w:p>
    <w:p w14:paraId="1712356E" w14:textId="69F071DE" w:rsidR="00296EBE" w:rsidRDefault="00F6032F" w:rsidP="00D276D9">
      <w:pPr>
        <w:spacing w:after="0" w:line="480" w:lineRule="auto"/>
        <w:rPr>
          <w:rFonts w:cstheme="minorHAnsi"/>
        </w:rPr>
      </w:pPr>
      <w:r w:rsidRPr="00AF1F8A">
        <w:rPr>
          <w:rFonts w:cstheme="minorHAnsi"/>
          <w:b/>
          <w:bCs/>
        </w:rPr>
        <w:t>S1 Appendix.</w:t>
      </w:r>
      <w:r w:rsidRPr="00791F53">
        <w:rPr>
          <w:rFonts w:cstheme="minorHAnsi"/>
          <w:b/>
          <w:bCs/>
          <w:color w:val="000000" w:themeColor="text1"/>
          <w:lang w:val="en"/>
        </w:rPr>
        <w:t xml:space="preserve"> </w:t>
      </w:r>
      <w:r w:rsidRPr="00B33BCB">
        <w:rPr>
          <w:rFonts w:cstheme="minorHAnsi"/>
          <w:b/>
          <w:bCs/>
          <w:color w:val="000000" w:themeColor="text1"/>
          <w:lang w:val="en"/>
        </w:rPr>
        <w:t xml:space="preserve">Significant predictors (p&lt;0.05) in the first regression model for each </w:t>
      </w:r>
      <w:r w:rsidRPr="00B33BCB">
        <w:rPr>
          <w:b/>
          <w:bCs/>
        </w:rPr>
        <w:t xml:space="preserve">outcome separately by domain. </w:t>
      </w:r>
      <w:r>
        <w:t xml:space="preserve"> </w:t>
      </w:r>
    </w:p>
    <w:p w14:paraId="08ECD3DC" w14:textId="3684EDEA" w:rsidR="00F6032F" w:rsidRDefault="00F6032F" w:rsidP="00D276D9">
      <w:pPr>
        <w:spacing w:after="0" w:line="480" w:lineRule="auto"/>
        <w:rPr>
          <w:rFonts w:cstheme="minorHAnsi"/>
        </w:rPr>
      </w:pPr>
      <w:r w:rsidRPr="00AF1F8A">
        <w:rPr>
          <w:rFonts w:cstheme="minorHAnsi"/>
          <w:b/>
          <w:bCs/>
        </w:rPr>
        <w:t>S2 Appendix.</w:t>
      </w:r>
      <w:r>
        <w:rPr>
          <w:rFonts w:cstheme="minorHAnsi"/>
        </w:rPr>
        <w:t xml:space="preserve"> </w:t>
      </w:r>
      <w:r w:rsidRPr="009367E6">
        <w:rPr>
          <w:b/>
          <w:bCs/>
        </w:rPr>
        <w:t>Distribution of baseline characteristics for older (</w:t>
      </w:r>
      <w:r w:rsidRPr="009367E6">
        <w:rPr>
          <w:b/>
          <w:bCs/>
          <w:u w:val="single"/>
        </w:rPr>
        <w:t>&gt;</w:t>
      </w:r>
      <w:r w:rsidRPr="009367E6">
        <w:rPr>
          <w:b/>
          <w:bCs/>
        </w:rPr>
        <w:t>65 years) and younger (&lt;65 years) CREW participants</w:t>
      </w:r>
    </w:p>
    <w:p w14:paraId="190350CB" w14:textId="740FF376" w:rsidR="00F6032F" w:rsidRDefault="00F6032F" w:rsidP="00D276D9">
      <w:pPr>
        <w:spacing w:after="0" w:line="480" w:lineRule="auto"/>
        <w:rPr>
          <w:rFonts w:cstheme="minorHAnsi"/>
        </w:rPr>
      </w:pPr>
      <w:r w:rsidRPr="00AF1F8A">
        <w:rPr>
          <w:rFonts w:cstheme="minorHAnsi"/>
          <w:b/>
          <w:bCs/>
        </w:rPr>
        <w:t>S3 Appendix.</w:t>
      </w:r>
      <w:r w:rsidR="006D0767">
        <w:rPr>
          <w:rFonts w:cstheme="minorHAnsi"/>
        </w:rPr>
        <w:t xml:space="preserve"> </w:t>
      </w:r>
      <w:r w:rsidR="006D0767" w:rsidRPr="004320EF">
        <w:rPr>
          <w:b/>
          <w:bCs/>
        </w:rPr>
        <w:t>The distribution of QLACS-GSS for older participants at each timepoint in CREW</w:t>
      </w:r>
    </w:p>
    <w:p w14:paraId="27EB9355" w14:textId="667E51FC" w:rsidR="00533AD6" w:rsidRPr="00BD0AA8" w:rsidRDefault="00F6032F" w:rsidP="00533AD6">
      <w:pPr>
        <w:spacing w:after="0" w:line="480" w:lineRule="auto"/>
        <w:rPr>
          <w:b/>
          <w:bCs/>
        </w:rPr>
      </w:pPr>
      <w:r w:rsidRPr="00AF1F8A">
        <w:rPr>
          <w:rFonts w:cstheme="minorHAnsi"/>
          <w:b/>
          <w:bCs/>
        </w:rPr>
        <w:t>S4 Appendix.</w:t>
      </w:r>
      <w:r w:rsidR="00533AD6">
        <w:rPr>
          <w:rFonts w:cstheme="minorHAnsi"/>
        </w:rPr>
        <w:t xml:space="preserve"> </w:t>
      </w:r>
      <w:r w:rsidR="00533AD6" w:rsidRPr="00BD0AA8">
        <w:rPr>
          <w:b/>
          <w:bCs/>
        </w:rPr>
        <w:t>The distribution of older participants reporting any health problems by five EQ-5D domains at each timepoint in CREW</w:t>
      </w:r>
    </w:p>
    <w:p w14:paraId="47F50C44" w14:textId="137FDB54" w:rsidR="00F6032F" w:rsidRDefault="00F6032F" w:rsidP="00D276D9">
      <w:pPr>
        <w:spacing w:after="0" w:line="480" w:lineRule="auto"/>
        <w:rPr>
          <w:rFonts w:cstheme="minorHAnsi"/>
        </w:rPr>
      </w:pPr>
    </w:p>
    <w:p w14:paraId="328EE3B4" w14:textId="77777777" w:rsidR="00BE305F" w:rsidRDefault="00BE305F">
      <w:pPr>
        <w:spacing w:line="480" w:lineRule="auto"/>
      </w:pPr>
    </w:p>
    <w:sectPr w:rsidR="00BE305F" w:rsidSect="00296EBE">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4275" w14:textId="77777777" w:rsidR="009A1A67" w:rsidRDefault="009A1A67" w:rsidP="00D276D9">
      <w:pPr>
        <w:spacing w:after="0" w:line="240" w:lineRule="auto"/>
      </w:pPr>
      <w:r>
        <w:separator/>
      </w:r>
    </w:p>
  </w:endnote>
  <w:endnote w:type="continuationSeparator" w:id="0">
    <w:p w14:paraId="25D5E6CE" w14:textId="77777777" w:rsidR="009A1A67" w:rsidRDefault="009A1A67" w:rsidP="00D2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Bold">
    <w:altName w:val="Segoe U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95725"/>
      <w:docPartObj>
        <w:docPartGallery w:val="Page Numbers (Bottom of Page)"/>
        <w:docPartUnique/>
      </w:docPartObj>
    </w:sdtPr>
    <w:sdtEndPr>
      <w:rPr>
        <w:noProof/>
      </w:rPr>
    </w:sdtEndPr>
    <w:sdtContent>
      <w:p w14:paraId="672F32C8" w14:textId="602A433F" w:rsidR="006843A6" w:rsidRDefault="006843A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685FF37" w14:textId="77777777" w:rsidR="006843A6" w:rsidRDefault="0068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DFE2" w14:textId="77777777" w:rsidR="009A1A67" w:rsidRDefault="009A1A67" w:rsidP="00D276D9">
      <w:pPr>
        <w:spacing w:after="0" w:line="240" w:lineRule="auto"/>
      </w:pPr>
      <w:r>
        <w:separator/>
      </w:r>
    </w:p>
  </w:footnote>
  <w:footnote w:type="continuationSeparator" w:id="0">
    <w:p w14:paraId="129397E0" w14:textId="77777777" w:rsidR="009A1A67" w:rsidRDefault="009A1A67" w:rsidP="00D27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D9"/>
    <w:multiLevelType w:val="hybridMultilevel"/>
    <w:tmpl w:val="409ABB50"/>
    <w:lvl w:ilvl="0" w:tplc="432C4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E452EE"/>
    <w:multiLevelType w:val="hybridMultilevel"/>
    <w:tmpl w:val="A6D01E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E29DD"/>
    <w:multiLevelType w:val="hybridMultilevel"/>
    <w:tmpl w:val="84A4024C"/>
    <w:lvl w:ilvl="0" w:tplc="1B8AC81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F66EEC"/>
    <w:multiLevelType w:val="hybridMultilevel"/>
    <w:tmpl w:val="5A20E23A"/>
    <w:lvl w:ilvl="0" w:tplc="242AD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2767B"/>
    <w:multiLevelType w:val="hybridMultilevel"/>
    <w:tmpl w:val="DDCC67A4"/>
    <w:lvl w:ilvl="0" w:tplc="0D88800C">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04E3"/>
    <w:multiLevelType w:val="hybridMultilevel"/>
    <w:tmpl w:val="35AEE56E"/>
    <w:lvl w:ilvl="0" w:tplc="653C2A08">
      <w:start w:val="1"/>
      <w:numFmt w:val="bullet"/>
      <w:lvlText w:val="•"/>
      <w:lvlJc w:val="left"/>
      <w:pPr>
        <w:tabs>
          <w:tab w:val="num" w:pos="720"/>
        </w:tabs>
        <w:ind w:left="720" w:hanging="360"/>
      </w:pPr>
      <w:rPr>
        <w:rFonts w:ascii="Times New Roman" w:hAnsi="Times New Roman" w:hint="default"/>
      </w:rPr>
    </w:lvl>
    <w:lvl w:ilvl="1" w:tplc="DCD0A6A4" w:tentative="1">
      <w:start w:val="1"/>
      <w:numFmt w:val="bullet"/>
      <w:lvlText w:val="•"/>
      <w:lvlJc w:val="left"/>
      <w:pPr>
        <w:tabs>
          <w:tab w:val="num" w:pos="1440"/>
        </w:tabs>
        <w:ind w:left="1440" w:hanging="360"/>
      </w:pPr>
      <w:rPr>
        <w:rFonts w:ascii="Times New Roman" w:hAnsi="Times New Roman" w:hint="default"/>
      </w:rPr>
    </w:lvl>
    <w:lvl w:ilvl="2" w:tplc="65A0410C" w:tentative="1">
      <w:start w:val="1"/>
      <w:numFmt w:val="bullet"/>
      <w:lvlText w:val="•"/>
      <w:lvlJc w:val="left"/>
      <w:pPr>
        <w:tabs>
          <w:tab w:val="num" w:pos="2160"/>
        </w:tabs>
        <w:ind w:left="2160" w:hanging="360"/>
      </w:pPr>
      <w:rPr>
        <w:rFonts w:ascii="Times New Roman" w:hAnsi="Times New Roman" w:hint="default"/>
      </w:rPr>
    </w:lvl>
    <w:lvl w:ilvl="3" w:tplc="C22231F6" w:tentative="1">
      <w:start w:val="1"/>
      <w:numFmt w:val="bullet"/>
      <w:lvlText w:val="•"/>
      <w:lvlJc w:val="left"/>
      <w:pPr>
        <w:tabs>
          <w:tab w:val="num" w:pos="2880"/>
        </w:tabs>
        <w:ind w:left="2880" w:hanging="360"/>
      </w:pPr>
      <w:rPr>
        <w:rFonts w:ascii="Times New Roman" w:hAnsi="Times New Roman" w:hint="default"/>
      </w:rPr>
    </w:lvl>
    <w:lvl w:ilvl="4" w:tplc="F558C33C" w:tentative="1">
      <w:start w:val="1"/>
      <w:numFmt w:val="bullet"/>
      <w:lvlText w:val="•"/>
      <w:lvlJc w:val="left"/>
      <w:pPr>
        <w:tabs>
          <w:tab w:val="num" w:pos="3600"/>
        </w:tabs>
        <w:ind w:left="3600" w:hanging="360"/>
      </w:pPr>
      <w:rPr>
        <w:rFonts w:ascii="Times New Roman" w:hAnsi="Times New Roman" w:hint="default"/>
      </w:rPr>
    </w:lvl>
    <w:lvl w:ilvl="5" w:tplc="789A2B2C" w:tentative="1">
      <w:start w:val="1"/>
      <w:numFmt w:val="bullet"/>
      <w:lvlText w:val="•"/>
      <w:lvlJc w:val="left"/>
      <w:pPr>
        <w:tabs>
          <w:tab w:val="num" w:pos="4320"/>
        </w:tabs>
        <w:ind w:left="4320" w:hanging="360"/>
      </w:pPr>
      <w:rPr>
        <w:rFonts w:ascii="Times New Roman" w:hAnsi="Times New Roman" w:hint="default"/>
      </w:rPr>
    </w:lvl>
    <w:lvl w:ilvl="6" w:tplc="BCFCC240" w:tentative="1">
      <w:start w:val="1"/>
      <w:numFmt w:val="bullet"/>
      <w:lvlText w:val="•"/>
      <w:lvlJc w:val="left"/>
      <w:pPr>
        <w:tabs>
          <w:tab w:val="num" w:pos="5040"/>
        </w:tabs>
        <w:ind w:left="5040" w:hanging="360"/>
      </w:pPr>
      <w:rPr>
        <w:rFonts w:ascii="Times New Roman" w:hAnsi="Times New Roman" w:hint="default"/>
      </w:rPr>
    </w:lvl>
    <w:lvl w:ilvl="7" w:tplc="AB84837C" w:tentative="1">
      <w:start w:val="1"/>
      <w:numFmt w:val="bullet"/>
      <w:lvlText w:val="•"/>
      <w:lvlJc w:val="left"/>
      <w:pPr>
        <w:tabs>
          <w:tab w:val="num" w:pos="5760"/>
        </w:tabs>
        <w:ind w:left="5760" w:hanging="360"/>
      </w:pPr>
      <w:rPr>
        <w:rFonts w:ascii="Times New Roman" w:hAnsi="Times New Roman" w:hint="default"/>
      </w:rPr>
    </w:lvl>
    <w:lvl w:ilvl="8" w:tplc="C79C4F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5361DB"/>
    <w:multiLevelType w:val="hybridMultilevel"/>
    <w:tmpl w:val="11F2E1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F3DFD"/>
    <w:multiLevelType w:val="hybridMultilevel"/>
    <w:tmpl w:val="6C427C6C"/>
    <w:lvl w:ilvl="0" w:tplc="079C62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C0281"/>
    <w:multiLevelType w:val="hybridMultilevel"/>
    <w:tmpl w:val="960A91DC"/>
    <w:lvl w:ilvl="0" w:tplc="2C5ADB68">
      <w:start w:val="1"/>
      <w:numFmt w:val="bullet"/>
      <w:lvlText w:val="•"/>
      <w:lvlJc w:val="left"/>
      <w:pPr>
        <w:tabs>
          <w:tab w:val="num" w:pos="720"/>
        </w:tabs>
        <w:ind w:left="720" w:hanging="360"/>
      </w:pPr>
      <w:rPr>
        <w:rFonts w:ascii="Arial" w:hAnsi="Arial" w:hint="default"/>
      </w:rPr>
    </w:lvl>
    <w:lvl w:ilvl="1" w:tplc="E0FA82E8" w:tentative="1">
      <w:start w:val="1"/>
      <w:numFmt w:val="bullet"/>
      <w:lvlText w:val="•"/>
      <w:lvlJc w:val="left"/>
      <w:pPr>
        <w:tabs>
          <w:tab w:val="num" w:pos="1440"/>
        </w:tabs>
        <w:ind w:left="1440" w:hanging="360"/>
      </w:pPr>
      <w:rPr>
        <w:rFonts w:ascii="Arial" w:hAnsi="Arial" w:hint="default"/>
      </w:rPr>
    </w:lvl>
    <w:lvl w:ilvl="2" w:tplc="A5900EB6" w:tentative="1">
      <w:start w:val="1"/>
      <w:numFmt w:val="bullet"/>
      <w:lvlText w:val="•"/>
      <w:lvlJc w:val="left"/>
      <w:pPr>
        <w:tabs>
          <w:tab w:val="num" w:pos="2160"/>
        </w:tabs>
        <w:ind w:left="2160" w:hanging="360"/>
      </w:pPr>
      <w:rPr>
        <w:rFonts w:ascii="Arial" w:hAnsi="Arial" w:hint="default"/>
      </w:rPr>
    </w:lvl>
    <w:lvl w:ilvl="3" w:tplc="CB5C02D4" w:tentative="1">
      <w:start w:val="1"/>
      <w:numFmt w:val="bullet"/>
      <w:lvlText w:val="•"/>
      <w:lvlJc w:val="left"/>
      <w:pPr>
        <w:tabs>
          <w:tab w:val="num" w:pos="2880"/>
        </w:tabs>
        <w:ind w:left="2880" w:hanging="360"/>
      </w:pPr>
      <w:rPr>
        <w:rFonts w:ascii="Arial" w:hAnsi="Arial" w:hint="default"/>
      </w:rPr>
    </w:lvl>
    <w:lvl w:ilvl="4" w:tplc="D388ABF2" w:tentative="1">
      <w:start w:val="1"/>
      <w:numFmt w:val="bullet"/>
      <w:lvlText w:val="•"/>
      <w:lvlJc w:val="left"/>
      <w:pPr>
        <w:tabs>
          <w:tab w:val="num" w:pos="3600"/>
        </w:tabs>
        <w:ind w:left="3600" w:hanging="360"/>
      </w:pPr>
      <w:rPr>
        <w:rFonts w:ascii="Arial" w:hAnsi="Arial" w:hint="default"/>
      </w:rPr>
    </w:lvl>
    <w:lvl w:ilvl="5" w:tplc="DA50B758" w:tentative="1">
      <w:start w:val="1"/>
      <w:numFmt w:val="bullet"/>
      <w:lvlText w:val="•"/>
      <w:lvlJc w:val="left"/>
      <w:pPr>
        <w:tabs>
          <w:tab w:val="num" w:pos="4320"/>
        </w:tabs>
        <w:ind w:left="4320" w:hanging="360"/>
      </w:pPr>
      <w:rPr>
        <w:rFonts w:ascii="Arial" w:hAnsi="Arial" w:hint="default"/>
      </w:rPr>
    </w:lvl>
    <w:lvl w:ilvl="6" w:tplc="55B21016" w:tentative="1">
      <w:start w:val="1"/>
      <w:numFmt w:val="bullet"/>
      <w:lvlText w:val="•"/>
      <w:lvlJc w:val="left"/>
      <w:pPr>
        <w:tabs>
          <w:tab w:val="num" w:pos="5040"/>
        </w:tabs>
        <w:ind w:left="5040" w:hanging="360"/>
      </w:pPr>
      <w:rPr>
        <w:rFonts w:ascii="Arial" w:hAnsi="Arial" w:hint="default"/>
      </w:rPr>
    </w:lvl>
    <w:lvl w:ilvl="7" w:tplc="7784A448" w:tentative="1">
      <w:start w:val="1"/>
      <w:numFmt w:val="bullet"/>
      <w:lvlText w:val="•"/>
      <w:lvlJc w:val="left"/>
      <w:pPr>
        <w:tabs>
          <w:tab w:val="num" w:pos="5760"/>
        </w:tabs>
        <w:ind w:left="5760" w:hanging="360"/>
      </w:pPr>
      <w:rPr>
        <w:rFonts w:ascii="Arial" w:hAnsi="Arial" w:hint="default"/>
      </w:rPr>
    </w:lvl>
    <w:lvl w:ilvl="8" w:tplc="C8A893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B81674"/>
    <w:multiLevelType w:val="hybridMultilevel"/>
    <w:tmpl w:val="241478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161E02"/>
    <w:multiLevelType w:val="hybridMultilevel"/>
    <w:tmpl w:val="C1A6B870"/>
    <w:lvl w:ilvl="0" w:tplc="4D16B10E">
      <w:start w:val="1"/>
      <w:numFmt w:val="bullet"/>
      <w:lvlText w:val="•"/>
      <w:lvlJc w:val="left"/>
      <w:pPr>
        <w:tabs>
          <w:tab w:val="num" w:pos="720"/>
        </w:tabs>
        <w:ind w:left="720" w:hanging="360"/>
      </w:pPr>
      <w:rPr>
        <w:rFonts w:ascii="Arial" w:hAnsi="Arial" w:hint="default"/>
      </w:rPr>
    </w:lvl>
    <w:lvl w:ilvl="1" w:tplc="E91EB4B8">
      <w:start w:val="53"/>
      <w:numFmt w:val="bullet"/>
      <w:lvlText w:val="•"/>
      <w:lvlJc w:val="left"/>
      <w:pPr>
        <w:tabs>
          <w:tab w:val="num" w:pos="1440"/>
        </w:tabs>
        <w:ind w:left="1440" w:hanging="360"/>
      </w:pPr>
      <w:rPr>
        <w:rFonts w:ascii="Arial" w:hAnsi="Arial" w:hint="default"/>
      </w:rPr>
    </w:lvl>
    <w:lvl w:ilvl="2" w:tplc="7F1E2540" w:tentative="1">
      <w:start w:val="1"/>
      <w:numFmt w:val="bullet"/>
      <w:lvlText w:val="•"/>
      <w:lvlJc w:val="left"/>
      <w:pPr>
        <w:tabs>
          <w:tab w:val="num" w:pos="2160"/>
        </w:tabs>
        <w:ind w:left="2160" w:hanging="360"/>
      </w:pPr>
      <w:rPr>
        <w:rFonts w:ascii="Arial" w:hAnsi="Arial" w:hint="default"/>
      </w:rPr>
    </w:lvl>
    <w:lvl w:ilvl="3" w:tplc="800A8B88" w:tentative="1">
      <w:start w:val="1"/>
      <w:numFmt w:val="bullet"/>
      <w:lvlText w:val="•"/>
      <w:lvlJc w:val="left"/>
      <w:pPr>
        <w:tabs>
          <w:tab w:val="num" w:pos="2880"/>
        </w:tabs>
        <w:ind w:left="2880" w:hanging="360"/>
      </w:pPr>
      <w:rPr>
        <w:rFonts w:ascii="Arial" w:hAnsi="Arial" w:hint="default"/>
      </w:rPr>
    </w:lvl>
    <w:lvl w:ilvl="4" w:tplc="777C4D2A" w:tentative="1">
      <w:start w:val="1"/>
      <w:numFmt w:val="bullet"/>
      <w:lvlText w:val="•"/>
      <w:lvlJc w:val="left"/>
      <w:pPr>
        <w:tabs>
          <w:tab w:val="num" w:pos="3600"/>
        </w:tabs>
        <w:ind w:left="3600" w:hanging="360"/>
      </w:pPr>
      <w:rPr>
        <w:rFonts w:ascii="Arial" w:hAnsi="Arial" w:hint="default"/>
      </w:rPr>
    </w:lvl>
    <w:lvl w:ilvl="5" w:tplc="B2C6E5E2" w:tentative="1">
      <w:start w:val="1"/>
      <w:numFmt w:val="bullet"/>
      <w:lvlText w:val="•"/>
      <w:lvlJc w:val="left"/>
      <w:pPr>
        <w:tabs>
          <w:tab w:val="num" w:pos="4320"/>
        </w:tabs>
        <w:ind w:left="4320" w:hanging="360"/>
      </w:pPr>
      <w:rPr>
        <w:rFonts w:ascii="Arial" w:hAnsi="Arial" w:hint="default"/>
      </w:rPr>
    </w:lvl>
    <w:lvl w:ilvl="6" w:tplc="B2DAF2C8" w:tentative="1">
      <w:start w:val="1"/>
      <w:numFmt w:val="bullet"/>
      <w:lvlText w:val="•"/>
      <w:lvlJc w:val="left"/>
      <w:pPr>
        <w:tabs>
          <w:tab w:val="num" w:pos="5040"/>
        </w:tabs>
        <w:ind w:left="5040" w:hanging="360"/>
      </w:pPr>
      <w:rPr>
        <w:rFonts w:ascii="Arial" w:hAnsi="Arial" w:hint="default"/>
      </w:rPr>
    </w:lvl>
    <w:lvl w:ilvl="7" w:tplc="ADA64DBA" w:tentative="1">
      <w:start w:val="1"/>
      <w:numFmt w:val="bullet"/>
      <w:lvlText w:val="•"/>
      <w:lvlJc w:val="left"/>
      <w:pPr>
        <w:tabs>
          <w:tab w:val="num" w:pos="5760"/>
        </w:tabs>
        <w:ind w:left="5760" w:hanging="360"/>
      </w:pPr>
      <w:rPr>
        <w:rFonts w:ascii="Arial" w:hAnsi="Arial" w:hint="default"/>
      </w:rPr>
    </w:lvl>
    <w:lvl w:ilvl="8" w:tplc="3C8AE1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800CB9"/>
    <w:multiLevelType w:val="hybridMultilevel"/>
    <w:tmpl w:val="7B30767E"/>
    <w:lvl w:ilvl="0" w:tplc="CA12A0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E0AE0"/>
    <w:multiLevelType w:val="hybridMultilevel"/>
    <w:tmpl w:val="FDFE8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55F77"/>
    <w:multiLevelType w:val="hybridMultilevel"/>
    <w:tmpl w:val="09DC78E0"/>
    <w:lvl w:ilvl="0" w:tplc="92DEDAA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E35C5"/>
    <w:multiLevelType w:val="hybridMultilevel"/>
    <w:tmpl w:val="4DE012DC"/>
    <w:lvl w:ilvl="0" w:tplc="ED3A541C">
      <w:start w:val="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56369"/>
    <w:multiLevelType w:val="hybridMultilevel"/>
    <w:tmpl w:val="7660B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9A52BA"/>
    <w:multiLevelType w:val="hybridMultilevel"/>
    <w:tmpl w:val="05B4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6125E"/>
    <w:multiLevelType w:val="hybridMultilevel"/>
    <w:tmpl w:val="8D06A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204571"/>
    <w:multiLevelType w:val="hybridMultilevel"/>
    <w:tmpl w:val="88767D4E"/>
    <w:lvl w:ilvl="0" w:tplc="80FA7AD0">
      <w:start w:val="1"/>
      <w:numFmt w:val="bullet"/>
      <w:lvlText w:val="•"/>
      <w:lvlJc w:val="left"/>
      <w:pPr>
        <w:tabs>
          <w:tab w:val="num" w:pos="720"/>
        </w:tabs>
        <w:ind w:left="720" w:hanging="360"/>
      </w:pPr>
      <w:rPr>
        <w:rFonts w:ascii="Arial" w:hAnsi="Arial" w:hint="default"/>
      </w:rPr>
    </w:lvl>
    <w:lvl w:ilvl="1" w:tplc="0FAC8BF4">
      <w:start w:val="53"/>
      <w:numFmt w:val="bullet"/>
      <w:lvlText w:val="•"/>
      <w:lvlJc w:val="left"/>
      <w:pPr>
        <w:tabs>
          <w:tab w:val="num" w:pos="1440"/>
        </w:tabs>
        <w:ind w:left="1440" w:hanging="360"/>
      </w:pPr>
      <w:rPr>
        <w:rFonts w:ascii="Arial" w:hAnsi="Arial" w:hint="default"/>
      </w:rPr>
    </w:lvl>
    <w:lvl w:ilvl="2" w:tplc="7026FD28" w:tentative="1">
      <w:start w:val="1"/>
      <w:numFmt w:val="bullet"/>
      <w:lvlText w:val="•"/>
      <w:lvlJc w:val="left"/>
      <w:pPr>
        <w:tabs>
          <w:tab w:val="num" w:pos="2160"/>
        </w:tabs>
        <w:ind w:left="2160" w:hanging="360"/>
      </w:pPr>
      <w:rPr>
        <w:rFonts w:ascii="Arial" w:hAnsi="Arial" w:hint="default"/>
      </w:rPr>
    </w:lvl>
    <w:lvl w:ilvl="3" w:tplc="6AEE86FA" w:tentative="1">
      <w:start w:val="1"/>
      <w:numFmt w:val="bullet"/>
      <w:lvlText w:val="•"/>
      <w:lvlJc w:val="left"/>
      <w:pPr>
        <w:tabs>
          <w:tab w:val="num" w:pos="2880"/>
        </w:tabs>
        <w:ind w:left="2880" w:hanging="360"/>
      </w:pPr>
      <w:rPr>
        <w:rFonts w:ascii="Arial" w:hAnsi="Arial" w:hint="default"/>
      </w:rPr>
    </w:lvl>
    <w:lvl w:ilvl="4" w:tplc="A19EB95A" w:tentative="1">
      <w:start w:val="1"/>
      <w:numFmt w:val="bullet"/>
      <w:lvlText w:val="•"/>
      <w:lvlJc w:val="left"/>
      <w:pPr>
        <w:tabs>
          <w:tab w:val="num" w:pos="3600"/>
        </w:tabs>
        <w:ind w:left="3600" w:hanging="360"/>
      </w:pPr>
      <w:rPr>
        <w:rFonts w:ascii="Arial" w:hAnsi="Arial" w:hint="default"/>
      </w:rPr>
    </w:lvl>
    <w:lvl w:ilvl="5" w:tplc="6AC8E444" w:tentative="1">
      <w:start w:val="1"/>
      <w:numFmt w:val="bullet"/>
      <w:lvlText w:val="•"/>
      <w:lvlJc w:val="left"/>
      <w:pPr>
        <w:tabs>
          <w:tab w:val="num" w:pos="4320"/>
        </w:tabs>
        <w:ind w:left="4320" w:hanging="360"/>
      </w:pPr>
      <w:rPr>
        <w:rFonts w:ascii="Arial" w:hAnsi="Arial" w:hint="default"/>
      </w:rPr>
    </w:lvl>
    <w:lvl w:ilvl="6" w:tplc="C43E2A4E" w:tentative="1">
      <w:start w:val="1"/>
      <w:numFmt w:val="bullet"/>
      <w:lvlText w:val="•"/>
      <w:lvlJc w:val="left"/>
      <w:pPr>
        <w:tabs>
          <w:tab w:val="num" w:pos="5040"/>
        </w:tabs>
        <w:ind w:left="5040" w:hanging="360"/>
      </w:pPr>
      <w:rPr>
        <w:rFonts w:ascii="Arial" w:hAnsi="Arial" w:hint="default"/>
      </w:rPr>
    </w:lvl>
    <w:lvl w:ilvl="7" w:tplc="45B6A338" w:tentative="1">
      <w:start w:val="1"/>
      <w:numFmt w:val="bullet"/>
      <w:lvlText w:val="•"/>
      <w:lvlJc w:val="left"/>
      <w:pPr>
        <w:tabs>
          <w:tab w:val="num" w:pos="5760"/>
        </w:tabs>
        <w:ind w:left="5760" w:hanging="360"/>
      </w:pPr>
      <w:rPr>
        <w:rFonts w:ascii="Arial" w:hAnsi="Arial" w:hint="default"/>
      </w:rPr>
    </w:lvl>
    <w:lvl w:ilvl="8" w:tplc="3FCCCF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7D60D0"/>
    <w:multiLevelType w:val="hybridMultilevel"/>
    <w:tmpl w:val="97C4B7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691C9E"/>
    <w:multiLevelType w:val="hybridMultilevel"/>
    <w:tmpl w:val="36804E2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285B66E6"/>
    <w:multiLevelType w:val="hybridMultilevel"/>
    <w:tmpl w:val="97C4B7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1F617B"/>
    <w:multiLevelType w:val="hybridMultilevel"/>
    <w:tmpl w:val="D3F02EFA"/>
    <w:lvl w:ilvl="0" w:tplc="9A286172">
      <w:start w:val="1"/>
      <w:numFmt w:val="bullet"/>
      <w:lvlText w:val="•"/>
      <w:lvlJc w:val="left"/>
      <w:pPr>
        <w:tabs>
          <w:tab w:val="num" w:pos="720"/>
        </w:tabs>
        <w:ind w:left="720" w:hanging="360"/>
      </w:pPr>
      <w:rPr>
        <w:rFonts w:ascii="Arial" w:hAnsi="Arial" w:hint="default"/>
      </w:rPr>
    </w:lvl>
    <w:lvl w:ilvl="1" w:tplc="CBDC5126">
      <w:start w:val="1"/>
      <w:numFmt w:val="bullet"/>
      <w:lvlText w:val="•"/>
      <w:lvlJc w:val="left"/>
      <w:pPr>
        <w:tabs>
          <w:tab w:val="num" w:pos="1440"/>
        </w:tabs>
        <w:ind w:left="1440" w:hanging="360"/>
      </w:pPr>
      <w:rPr>
        <w:rFonts w:ascii="Arial" w:hAnsi="Arial" w:hint="default"/>
      </w:rPr>
    </w:lvl>
    <w:lvl w:ilvl="2" w:tplc="740A179A" w:tentative="1">
      <w:start w:val="1"/>
      <w:numFmt w:val="bullet"/>
      <w:lvlText w:val="•"/>
      <w:lvlJc w:val="left"/>
      <w:pPr>
        <w:tabs>
          <w:tab w:val="num" w:pos="2160"/>
        </w:tabs>
        <w:ind w:left="2160" w:hanging="360"/>
      </w:pPr>
      <w:rPr>
        <w:rFonts w:ascii="Arial" w:hAnsi="Arial" w:hint="default"/>
      </w:rPr>
    </w:lvl>
    <w:lvl w:ilvl="3" w:tplc="F21E231E" w:tentative="1">
      <w:start w:val="1"/>
      <w:numFmt w:val="bullet"/>
      <w:lvlText w:val="•"/>
      <w:lvlJc w:val="left"/>
      <w:pPr>
        <w:tabs>
          <w:tab w:val="num" w:pos="2880"/>
        </w:tabs>
        <w:ind w:left="2880" w:hanging="360"/>
      </w:pPr>
      <w:rPr>
        <w:rFonts w:ascii="Arial" w:hAnsi="Arial" w:hint="default"/>
      </w:rPr>
    </w:lvl>
    <w:lvl w:ilvl="4" w:tplc="84B249E6" w:tentative="1">
      <w:start w:val="1"/>
      <w:numFmt w:val="bullet"/>
      <w:lvlText w:val="•"/>
      <w:lvlJc w:val="left"/>
      <w:pPr>
        <w:tabs>
          <w:tab w:val="num" w:pos="3600"/>
        </w:tabs>
        <w:ind w:left="3600" w:hanging="360"/>
      </w:pPr>
      <w:rPr>
        <w:rFonts w:ascii="Arial" w:hAnsi="Arial" w:hint="default"/>
      </w:rPr>
    </w:lvl>
    <w:lvl w:ilvl="5" w:tplc="5178DC32" w:tentative="1">
      <w:start w:val="1"/>
      <w:numFmt w:val="bullet"/>
      <w:lvlText w:val="•"/>
      <w:lvlJc w:val="left"/>
      <w:pPr>
        <w:tabs>
          <w:tab w:val="num" w:pos="4320"/>
        </w:tabs>
        <w:ind w:left="4320" w:hanging="360"/>
      </w:pPr>
      <w:rPr>
        <w:rFonts w:ascii="Arial" w:hAnsi="Arial" w:hint="default"/>
      </w:rPr>
    </w:lvl>
    <w:lvl w:ilvl="6" w:tplc="E598AC5E" w:tentative="1">
      <w:start w:val="1"/>
      <w:numFmt w:val="bullet"/>
      <w:lvlText w:val="•"/>
      <w:lvlJc w:val="left"/>
      <w:pPr>
        <w:tabs>
          <w:tab w:val="num" w:pos="5040"/>
        </w:tabs>
        <w:ind w:left="5040" w:hanging="360"/>
      </w:pPr>
      <w:rPr>
        <w:rFonts w:ascii="Arial" w:hAnsi="Arial" w:hint="default"/>
      </w:rPr>
    </w:lvl>
    <w:lvl w:ilvl="7" w:tplc="186EAB58" w:tentative="1">
      <w:start w:val="1"/>
      <w:numFmt w:val="bullet"/>
      <w:lvlText w:val="•"/>
      <w:lvlJc w:val="left"/>
      <w:pPr>
        <w:tabs>
          <w:tab w:val="num" w:pos="5760"/>
        </w:tabs>
        <w:ind w:left="5760" w:hanging="360"/>
      </w:pPr>
      <w:rPr>
        <w:rFonts w:ascii="Arial" w:hAnsi="Arial" w:hint="default"/>
      </w:rPr>
    </w:lvl>
    <w:lvl w:ilvl="8" w:tplc="D21E3F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F80CEE"/>
    <w:multiLevelType w:val="hybridMultilevel"/>
    <w:tmpl w:val="71426DA0"/>
    <w:lvl w:ilvl="0" w:tplc="4FF4BA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75D7C"/>
    <w:multiLevelType w:val="hybridMultilevel"/>
    <w:tmpl w:val="BC5EFF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CD1420"/>
    <w:multiLevelType w:val="hybridMultilevel"/>
    <w:tmpl w:val="DC52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5F650A"/>
    <w:multiLevelType w:val="hybridMultilevel"/>
    <w:tmpl w:val="F8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D44B1"/>
    <w:multiLevelType w:val="hybridMultilevel"/>
    <w:tmpl w:val="F768038E"/>
    <w:lvl w:ilvl="0" w:tplc="434052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50039"/>
    <w:multiLevelType w:val="hybridMultilevel"/>
    <w:tmpl w:val="DC5AEB40"/>
    <w:lvl w:ilvl="0" w:tplc="2E7EE5D6">
      <w:start w:val="1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D2CEA"/>
    <w:multiLevelType w:val="hybridMultilevel"/>
    <w:tmpl w:val="7B606EB4"/>
    <w:lvl w:ilvl="0" w:tplc="38D23D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CE67BF"/>
    <w:multiLevelType w:val="hybridMultilevel"/>
    <w:tmpl w:val="409ABB50"/>
    <w:lvl w:ilvl="0" w:tplc="432C4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454B5E"/>
    <w:multiLevelType w:val="hybridMultilevel"/>
    <w:tmpl w:val="E02472F6"/>
    <w:lvl w:ilvl="0" w:tplc="A440CC2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D1D3E"/>
    <w:multiLevelType w:val="hybridMultilevel"/>
    <w:tmpl w:val="2AB27856"/>
    <w:lvl w:ilvl="0" w:tplc="EB220ABC">
      <w:start w:val="1"/>
      <w:numFmt w:val="bullet"/>
      <w:lvlText w:val="•"/>
      <w:lvlJc w:val="left"/>
      <w:pPr>
        <w:tabs>
          <w:tab w:val="num" w:pos="720"/>
        </w:tabs>
        <w:ind w:left="720" w:hanging="360"/>
      </w:pPr>
      <w:rPr>
        <w:rFonts w:ascii="Times New Roman" w:hAnsi="Times New Roman" w:hint="default"/>
      </w:rPr>
    </w:lvl>
    <w:lvl w:ilvl="1" w:tplc="1D7EB71C">
      <w:start w:val="53"/>
      <w:numFmt w:val="bullet"/>
      <w:lvlText w:val="•"/>
      <w:lvlJc w:val="left"/>
      <w:pPr>
        <w:tabs>
          <w:tab w:val="num" w:pos="1440"/>
        </w:tabs>
        <w:ind w:left="1440" w:hanging="360"/>
      </w:pPr>
      <w:rPr>
        <w:rFonts w:ascii="Times New Roman" w:hAnsi="Times New Roman" w:hint="default"/>
      </w:rPr>
    </w:lvl>
    <w:lvl w:ilvl="2" w:tplc="1A2EA55C" w:tentative="1">
      <w:start w:val="1"/>
      <w:numFmt w:val="bullet"/>
      <w:lvlText w:val="•"/>
      <w:lvlJc w:val="left"/>
      <w:pPr>
        <w:tabs>
          <w:tab w:val="num" w:pos="2160"/>
        </w:tabs>
        <w:ind w:left="2160" w:hanging="360"/>
      </w:pPr>
      <w:rPr>
        <w:rFonts w:ascii="Times New Roman" w:hAnsi="Times New Roman" w:hint="default"/>
      </w:rPr>
    </w:lvl>
    <w:lvl w:ilvl="3" w:tplc="3E6E6A8A" w:tentative="1">
      <w:start w:val="1"/>
      <w:numFmt w:val="bullet"/>
      <w:lvlText w:val="•"/>
      <w:lvlJc w:val="left"/>
      <w:pPr>
        <w:tabs>
          <w:tab w:val="num" w:pos="2880"/>
        </w:tabs>
        <w:ind w:left="2880" w:hanging="360"/>
      </w:pPr>
      <w:rPr>
        <w:rFonts w:ascii="Times New Roman" w:hAnsi="Times New Roman" w:hint="default"/>
      </w:rPr>
    </w:lvl>
    <w:lvl w:ilvl="4" w:tplc="A798FD9A" w:tentative="1">
      <w:start w:val="1"/>
      <w:numFmt w:val="bullet"/>
      <w:lvlText w:val="•"/>
      <w:lvlJc w:val="left"/>
      <w:pPr>
        <w:tabs>
          <w:tab w:val="num" w:pos="3600"/>
        </w:tabs>
        <w:ind w:left="3600" w:hanging="360"/>
      </w:pPr>
      <w:rPr>
        <w:rFonts w:ascii="Times New Roman" w:hAnsi="Times New Roman" w:hint="default"/>
      </w:rPr>
    </w:lvl>
    <w:lvl w:ilvl="5" w:tplc="BAA4A64C" w:tentative="1">
      <w:start w:val="1"/>
      <w:numFmt w:val="bullet"/>
      <w:lvlText w:val="•"/>
      <w:lvlJc w:val="left"/>
      <w:pPr>
        <w:tabs>
          <w:tab w:val="num" w:pos="4320"/>
        </w:tabs>
        <w:ind w:left="4320" w:hanging="360"/>
      </w:pPr>
      <w:rPr>
        <w:rFonts w:ascii="Times New Roman" w:hAnsi="Times New Roman" w:hint="default"/>
      </w:rPr>
    </w:lvl>
    <w:lvl w:ilvl="6" w:tplc="3904C21E" w:tentative="1">
      <w:start w:val="1"/>
      <w:numFmt w:val="bullet"/>
      <w:lvlText w:val="•"/>
      <w:lvlJc w:val="left"/>
      <w:pPr>
        <w:tabs>
          <w:tab w:val="num" w:pos="5040"/>
        </w:tabs>
        <w:ind w:left="5040" w:hanging="360"/>
      </w:pPr>
      <w:rPr>
        <w:rFonts w:ascii="Times New Roman" w:hAnsi="Times New Roman" w:hint="default"/>
      </w:rPr>
    </w:lvl>
    <w:lvl w:ilvl="7" w:tplc="9BE89B74" w:tentative="1">
      <w:start w:val="1"/>
      <w:numFmt w:val="bullet"/>
      <w:lvlText w:val="•"/>
      <w:lvlJc w:val="left"/>
      <w:pPr>
        <w:tabs>
          <w:tab w:val="num" w:pos="5760"/>
        </w:tabs>
        <w:ind w:left="5760" w:hanging="360"/>
      </w:pPr>
      <w:rPr>
        <w:rFonts w:ascii="Times New Roman" w:hAnsi="Times New Roman" w:hint="default"/>
      </w:rPr>
    </w:lvl>
    <w:lvl w:ilvl="8" w:tplc="22149F5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EC4740"/>
    <w:multiLevelType w:val="hybridMultilevel"/>
    <w:tmpl w:val="F4CCCD20"/>
    <w:lvl w:ilvl="0" w:tplc="F058250E">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34F79"/>
    <w:multiLevelType w:val="hybridMultilevel"/>
    <w:tmpl w:val="7C0A01D4"/>
    <w:lvl w:ilvl="0" w:tplc="3D8C90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F1604"/>
    <w:multiLevelType w:val="hybridMultilevel"/>
    <w:tmpl w:val="6D282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9A52D3"/>
    <w:multiLevelType w:val="hybridMultilevel"/>
    <w:tmpl w:val="EF345BBC"/>
    <w:lvl w:ilvl="0" w:tplc="B99E983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B03CA"/>
    <w:multiLevelType w:val="hybridMultilevel"/>
    <w:tmpl w:val="97C4B7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0D0980"/>
    <w:multiLevelType w:val="hybridMultilevel"/>
    <w:tmpl w:val="9FC4C142"/>
    <w:lvl w:ilvl="0" w:tplc="EE0AA5C2">
      <w:start w:val="8"/>
      <w:numFmt w:val="bullet"/>
      <w:lvlText w:val="-"/>
      <w:lvlJc w:val="left"/>
      <w:pPr>
        <w:ind w:left="720" w:hanging="360"/>
      </w:pPr>
      <w:rPr>
        <w:rFonts w:ascii="Calibri" w:eastAsiaTheme="minorHAnsi"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83134"/>
    <w:multiLevelType w:val="hybridMultilevel"/>
    <w:tmpl w:val="C7C2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9606C"/>
    <w:multiLevelType w:val="hybridMultilevel"/>
    <w:tmpl w:val="CA36060E"/>
    <w:lvl w:ilvl="0" w:tplc="269A6F2E">
      <w:start w:val="1"/>
      <w:numFmt w:val="lowerLetter"/>
      <w:lvlText w:val="%1."/>
      <w:lvlJc w:val="left"/>
      <w:pPr>
        <w:tabs>
          <w:tab w:val="num" w:pos="720"/>
        </w:tabs>
        <w:ind w:left="720" w:hanging="360"/>
      </w:pPr>
    </w:lvl>
    <w:lvl w:ilvl="1" w:tplc="AE8CC49A">
      <w:start w:val="1"/>
      <w:numFmt w:val="lowerLetter"/>
      <w:lvlText w:val="%2."/>
      <w:lvlJc w:val="left"/>
      <w:pPr>
        <w:tabs>
          <w:tab w:val="num" w:pos="1440"/>
        </w:tabs>
        <w:ind w:left="1440" w:hanging="360"/>
      </w:pPr>
    </w:lvl>
    <w:lvl w:ilvl="2" w:tplc="D6F6547A">
      <w:start w:val="1"/>
      <w:numFmt w:val="lowerLetter"/>
      <w:lvlText w:val="%3."/>
      <w:lvlJc w:val="left"/>
      <w:pPr>
        <w:tabs>
          <w:tab w:val="num" w:pos="2160"/>
        </w:tabs>
        <w:ind w:left="2160" w:hanging="360"/>
      </w:pPr>
    </w:lvl>
    <w:lvl w:ilvl="3" w:tplc="57CE047E">
      <w:start w:val="1"/>
      <w:numFmt w:val="lowerLetter"/>
      <w:lvlText w:val="%4."/>
      <w:lvlJc w:val="left"/>
      <w:pPr>
        <w:tabs>
          <w:tab w:val="num" w:pos="2880"/>
        </w:tabs>
        <w:ind w:left="2880" w:hanging="360"/>
      </w:pPr>
    </w:lvl>
    <w:lvl w:ilvl="4" w:tplc="C9DA2B0E">
      <w:start w:val="1"/>
      <w:numFmt w:val="lowerLetter"/>
      <w:lvlText w:val="%5."/>
      <w:lvlJc w:val="left"/>
      <w:pPr>
        <w:tabs>
          <w:tab w:val="num" w:pos="3600"/>
        </w:tabs>
        <w:ind w:left="3600" w:hanging="360"/>
      </w:pPr>
    </w:lvl>
    <w:lvl w:ilvl="5" w:tplc="3A8A1308">
      <w:start w:val="1"/>
      <w:numFmt w:val="lowerLetter"/>
      <w:lvlText w:val="%6."/>
      <w:lvlJc w:val="left"/>
      <w:pPr>
        <w:tabs>
          <w:tab w:val="num" w:pos="4320"/>
        </w:tabs>
        <w:ind w:left="4320" w:hanging="360"/>
      </w:pPr>
    </w:lvl>
    <w:lvl w:ilvl="6" w:tplc="71983778">
      <w:start w:val="1"/>
      <w:numFmt w:val="lowerLetter"/>
      <w:lvlText w:val="%7."/>
      <w:lvlJc w:val="left"/>
      <w:pPr>
        <w:tabs>
          <w:tab w:val="num" w:pos="5040"/>
        </w:tabs>
        <w:ind w:left="5040" w:hanging="360"/>
      </w:pPr>
    </w:lvl>
    <w:lvl w:ilvl="7" w:tplc="7324AEFC">
      <w:start w:val="1"/>
      <w:numFmt w:val="lowerLetter"/>
      <w:lvlText w:val="%8."/>
      <w:lvlJc w:val="left"/>
      <w:pPr>
        <w:tabs>
          <w:tab w:val="num" w:pos="5760"/>
        </w:tabs>
        <w:ind w:left="5760" w:hanging="360"/>
      </w:pPr>
    </w:lvl>
    <w:lvl w:ilvl="8" w:tplc="6622C61A">
      <w:start w:val="1"/>
      <w:numFmt w:val="lowerLetter"/>
      <w:lvlText w:val="%9."/>
      <w:lvlJc w:val="left"/>
      <w:pPr>
        <w:tabs>
          <w:tab w:val="num" w:pos="6480"/>
        </w:tabs>
        <w:ind w:left="6480" w:hanging="360"/>
      </w:pPr>
    </w:lvl>
  </w:abstractNum>
  <w:abstractNum w:abstractNumId="41" w15:restartNumberingAfterBreak="0">
    <w:nsid w:val="75977690"/>
    <w:multiLevelType w:val="hybridMultilevel"/>
    <w:tmpl w:val="6D282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E31715"/>
    <w:multiLevelType w:val="hybridMultilevel"/>
    <w:tmpl w:val="40E27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7A4C92"/>
    <w:multiLevelType w:val="hybridMultilevel"/>
    <w:tmpl w:val="A1BC2184"/>
    <w:lvl w:ilvl="0" w:tplc="A552C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922EA"/>
    <w:multiLevelType w:val="hybridMultilevel"/>
    <w:tmpl w:val="855802D6"/>
    <w:lvl w:ilvl="0" w:tplc="8AA671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164109">
    <w:abstractNumId w:val="9"/>
  </w:num>
  <w:num w:numId="2" w16cid:durableId="20894964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227272">
    <w:abstractNumId w:val="34"/>
  </w:num>
  <w:num w:numId="4" w16cid:durableId="1630356458">
    <w:abstractNumId w:val="7"/>
  </w:num>
  <w:num w:numId="5" w16cid:durableId="376860358">
    <w:abstractNumId w:val="14"/>
  </w:num>
  <w:num w:numId="6" w16cid:durableId="1326666245">
    <w:abstractNumId w:val="38"/>
  </w:num>
  <w:num w:numId="7" w16cid:durableId="1615213729">
    <w:abstractNumId w:val="13"/>
  </w:num>
  <w:num w:numId="8" w16cid:durableId="1351297029">
    <w:abstractNumId w:val="31"/>
  </w:num>
  <w:num w:numId="9" w16cid:durableId="1044672343">
    <w:abstractNumId w:val="12"/>
  </w:num>
  <w:num w:numId="10" w16cid:durableId="2143690361">
    <w:abstractNumId w:val="16"/>
  </w:num>
  <w:num w:numId="11" w16cid:durableId="1560554131">
    <w:abstractNumId w:val="26"/>
  </w:num>
  <w:num w:numId="12" w16cid:durableId="763308791">
    <w:abstractNumId w:val="6"/>
  </w:num>
  <w:num w:numId="13" w16cid:durableId="2093044854">
    <w:abstractNumId w:val="21"/>
  </w:num>
  <w:num w:numId="14" w16cid:durableId="1911230495">
    <w:abstractNumId w:val="37"/>
  </w:num>
  <w:num w:numId="15" w16cid:durableId="276646964">
    <w:abstractNumId w:val="19"/>
  </w:num>
  <w:num w:numId="16" w16cid:durableId="2120367426">
    <w:abstractNumId w:val="0"/>
  </w:num>
  <w:num w:numId="17" w16cid:durableId="1462653796">
    <w:abstractNumId w:val="30"/>
  </w:num>
  <w:num w:numId="18" w16cid:durableId="1650403648">
    <w:abstractNumId w:val="29"/>
  </w:num>
  <w:num w:numId="19" w16cid:durableId="1144270842">
    <w:abstractNumId w:val="10"/>
  </w:num>
  <w:num w:numId="20" w16cid:durableId="757294640">
    <w:abstractNumId w:val="5"/>
  </w:num>
  <w:num w:numId="21" w16cid:durableId="451215521">
    <w:abstractNumId w:val="8"/>
  </w:num>
  <w:num w:numId="22" w16cid:durableId="414981318">
    <w:abstractNumId w:val="32"/>
  </w:num>
  <w:num w:numId="23" w16cid:durableId="202795041">
    <w:abstractNumId w:val="22"/>
  </w:num>
  <w:num w:numId="24" w16cid:durableId="225183645">
    <w:abstractNumId w:val="18"/>
  </w:num>
  <w:num w:numId="25" w16cid:durableId="1176650646">
    <w:abstractNumId w:val="17"/>
  </w:num>
  <w:num w:numId="26" w16cid:durableId="1831480746">
    <w:abstractNumId w:val="43"/>
  </w:num>
  <w:num w:numId="27" w16cid:durableId="345138981">
    <w:abstractNumId w:val="2"/>
  </w:num>
  <w:num w:numId="28" w16cid:durableId="2052880997">
    <w:abstractNumId w:val="28"/>
  </w:num>
  <w:num w:numId="29" w16cid:durableId="365954408">
    <w:abstractNumId w:val="33"/>
  </w:num>
  <w:num w:numId="30" w16cid:durableId="1451584662">
    <w:abstractNumId w:val="3"/>
  </w:num>
  <w:num w:numId="31" w16cid:durableId="707605358">
    <w:abstractNumId w:val="27"/>
  </w:num>
  <w:num w:numId="32" w16cid:durableId="1342977365">
    <w:abstractNumId w:val="35"/>
  </w:num>
  <w:num w:numId="33" w16cid:durableId="1307972544">
    <w:abstractNumId w:val="42"/>
  </w:num>
  <w:num w:numId="34" w16cid:durableId="2076775167">
    <w:abstractNumId w:val="1"/>
  </w:num>
  <w:num w:numId="35" w16cid:durableId="1874222720">
    <w:abstractNumId w:val="39"/>
  </w:num>
  <w:num w:numId="36" w16cid:durableId="168715879">
    <w:abstractNumId w:val="25"/>
  </w:num>
  <w:num w:numId="37" w16cid:durableId="152992149">
    <w:abstractNumId w:val="23"/>
  </w:num>
  <w:num w:numId="38" w16cid:durableId="2102755252">
    <w:abstractNumId w:val="41"/>
  </w:num>
  <w:num w:numId="39" w16cid:durableId="825049121">
    <w:abstractNumId w:val="11"/>
  </w:num>
  <w:num w:numId="40" w16cid:durableId="904292567">
    <w:abstractNumId w:val="44"/>
  </w:num>
  <w:num w:numId="41" w16cid:durableId="9763709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2489139">
    <w:abstractNumId w:val="36"/>
  </w:num>
  <w:num w:numId="43" w16cid:durableId="1835754411">
    <w:abstractNumId w:val="15"/>
  </w:num>
  <w:num w:numId="44" w16cid:durableId="332421109">
    <w:abstractNumId w:val="24"/>
  </w:num>
  <w:num w:numId="45" w16cid:durableId="565726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Ybx5jYkN2/DdYjz2MmuMvsseLvh1ltM61bQ43caN/SDrpOboIcGJkTPUWNp8zeKkjEA0sW1A8W7Hj+LNTioRXA==" w:salt="5w1zb8GnYE5iu5uehqtV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23CE3"/>
    <w:rsid w:val="0001177A"/>
    <w:rsid w:val="0003001D"/>
    <w:rsid w:val="00075E76"/>
    <w:rsid w:val="00081BD9"/>
    <w:rsid w:val="000D4495"/>
    <w:rsid w:val="001378BD"/>
    <w:rsid w:val="00140A35"/>
    <w:rsid w:val="00175218"/>
    <w:rsid w:val="00176E53"/>
    <w:rsid w:val="001A0EA2"/>
    <w:rsid w:val="001B3A4E"/>
    <w:rsid w:val="001B499B"/>
    <w:rsid w:val="001D2B07"/>
    <w:rsid w:val="001E01A6"/>
    <w:rsid w:val="00205D28"/>
    <w:rsid w:val="002419C9"/>
    <w:rsid w:val="00257B32"/>
    <w:rsid w:val="002655A1"/>
    <w:rsid w:val="00274C75"/>
    <w:rsid w:val="00291539"/>
    <w:rsid w:val="00296EBE"/>
    <w:rsid w:val="002A162A"/>
    <w:rsid w:val="002B175B"/>
    <w:rsid w:val="002B2717"/>
    <w:rsid w:val="002E62DF"/>
    <w:rsid w:val="0032212C"/>
    <w:rsid w:val="00323023"/>
    <w:rsid w:val="00323CE3"/>
    <w:rsid w:val="00340FED"/>
    <w:rsid w:val="003416F8"/>
    <w:rsid w:val="0034247F"/>
    <w:rsid w:val="00365258"/>
    <w:rsid w:val="003765AF"/>
    <w:rsid w:val="003978C0"/>
    <w:rsid w:val="003A3C66"/>
    <w:rsid w:val="003D46AA"/>
    <w:rsid w:val="003E38B1"/>
    <w:rsid w:val="003E7C41"/>
    <w:rsid w:val="00446CBB"/>
    <w:rsid w:val="00483F0E"/>
    <w:rsid w:val="00484362"/>
    <w:rsid w:val="004D78F7"/>
    <w:rsid w:val="004E5129"/>
    <w:rsid w:val="00513AC0"/>
    <w:rsid w:val="00513FE4"/>
    <w:rsid w:val="005140B4"/>
    <w:rsid w:val="00533AD6"/>
    <w:rsid w:val="005456B8"/>
    <w:rsid w:val="005460BA"/>
    <w:rsid w:val="005600ED"/>
    <w:rsid w:val="00560C76"/>
    <w:rsid w:val="00570084"/>
    <w:rsid w:val="005744C9"/>
    <w:rsid w:val="005823FE"/>
    <w:rsid w:val="005C3B65"/>
    <w:rsid w:val="005D06F5"/>
    <w:rsid w:val="005E0499"/>
    <w:rsid w:val="005E565C"/>
    <w:rsid w:val="00601F41"/>
    <w:rsid w:val="00611A0F"/>
    <w:rsid w:val="0061283F"/>
    <w:rsid w:val="00634D08"/>
    <w:rsid w:val="00660906"/>
    <w:rsid w:val="006843A6"/>
    <w:rsid w:val="006A75ED"/>
    <w:rsid w:val="006D0767"/>
    <w:rsid w:val="00722851"/>
    <w:rsid w:val="00762F90"/>
    <w:rsid w:val="00765419"/>
    <w:rsid w:val="007C0440"/>
    <w:rsid w:val="007F72B2"/>
    <w:rsid w:val="008112B6"/>
    <w:rsid w:val="00924AA1"/>
    <w:rsid w:val="0093416B"/>
    <w:rsid w:val="00954984"/>
    <w:rsid w:val="009551E4"/>
    <w:rsid w:val="009A1A67"/>
    <w:rsid w:val="009B34EB"/>
    <w:rsid w:val="009B5D74"/>
    <w:rsid w:val="009F7268"/>
    <w:rsid w:val="00A02C53"/>
    <w:rsid w:val="00A45021"/>
    <w:rsid w:val="00A63AB9"/>
    <w:rsid w:val="00A77489"/>
    <w:rsid w:val="00AA07F5"/>
    <w:rsid w:val="00AB4D21"/>
    <w:rsid w:val="00AC1CF7"/>
    <w:rsid w:val="00AD6945"/>
    <w:rsid w:val="00AE41DA"/>
    <w:rsid w:val="00AF1F8A"/>
    <w:rsid w:val="00B16147"/>
    <w:rsid w:val="00B23894"/>
    <w:rsid w:val="00B30E47"/>
    <w:rsid w:val="00B57E52"/>
    <w:rsid w:val="00B64F75"/>
    <w:rsid w:val="00B9509C"/>
    <w:rsid w:val="00BA1261"/>
    <w:rsid w:val="00BC7C93"/>
    <w:rsid w:val="00BD5B4C"/>
    <w:rsid w:val="00BE0E00"/>
    <w:rsid w:val="00BE305F"/>
    <w:rsid w:val="00C161A8"/>
    <w:rsid w:val="00C22EF4"/>
    <w:rsid w:val="00C450CF"/>
    <w:rsid w:val="00C51BDD"/>
    <w:rsid w:val="00C61A60"/>
    <w:rsid w:val="00CC4772"/>
    <w:rsid w:val="00CD7A50"/>
    <w:rsid w:val="00D276D9"/>
    <w:rsid w:val="00DA12EC"/>
    <w:rsid w:val="00DB2D79"/>
    <w:rsid w:val="00DB4E0D"/>
    <w:rsid w:val="00DE72AE"/>
    <w:rsid w:val="00DF28D7"/>
    <w:rsid w:val="00E255B4"/>
    <w:rsid w:val="00E30744"/>
    <w:rsid w:val="00E320C5"/>
    <w:rsid w:val="00E520FF"/>
    <w:rsid w:val="00EA6482"/>
    <w:rsid w:val="00EC7FD8"/>
    <w:rsid w:val="00EF0929"/>
    <w:rsid w:val="00F42644"/>
    <w:rsid w:val="00F6032F"/>
    <w:rsid w:val="00F93EA0"/>
    <w:rsid w:val="00FC6884"/>
    <w:rsid w:val="00FE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9AC4"/>
  <w15:chartTrackingRefBased/>
  <w15:docId w15:val="{3D22EEA6-4C3E-46A6-9394-8E76B8B4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E3"/>
  </w:style>
  <w:style w:type="paragraph" w:styleId="Heading3">
    <w:name w:val="heading 3"/>
    <w:basedOn w:val="Normal"/>
    <w:link w:val="Heading3Char"/>
    <w:uiPriority w:val="9"/>
    <w:qFormat/>
    <w:rsid w:val="00323C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CE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23CE3"/>
    <w:rPr>
      <w:color w:val="0563C1" w:themeColor="hyperlink"/>
      <w:u w:val="single"/>
    </w:rPr>
  </w:style>
  <w:style w:type="paragraph" w:styleId="FootnoteText">
    <w:name w:val="footnote text"/>
    <w:basedOn w:val="Normal"/>
    <w:link w:val="FootnoteTextChar"/>
    <w:uiPriority w:val="99"/>
    <w:unhideWhenUsed/>
    <w:rsid w:val="00323CE3"/>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323CE3"/>
    <w:rPr>
      <w:rFonts w:eastAsiaTheme="minorEastAsia"/>
      <w:sz w:val="20"/>
      <w:szCs w:val="20"/>
      <w:lang w:eastAsia="zh-CN"/>
    </w:rPr>
  </w:style>
  <w:style w:type="character" w:styleId="FootnoteReference">
    <w:name w:val="footnote reference"/>
    <w:basedOn w:val="DefaultParagraphFont"/>
    <w:uiPriority w:val="99"/>
    <w:semiHidden/>
    <w:unhideWhenUsed/>
    <w:rsid w:val="00323CE3"/>
    <w:rPr>
      <w:vertAlign w:val="superscript"/>
    </w:rPr>
  </w:style>
  <w:style w:type="paragraph" w:styleId="ListParagraph">
    <w:name w:val="List Paragraph"/>
    <w:basedOn w:val="Normal"/>
    <w:uiPriority w:val="34"/>
    <w:qFormat/>
    <w:rsid w:val="00323CE3"/>
    <w:pPr>
      <w:ind w:left="720"/>
      <w:contextualSpacing/>
    </w:pPr>
  </w:style>
  <w:style w:type="paragraph" w:styleId="NormalWeb">
    <w:name w:val="Normal (Web)"/>
    <w:basedOn w:val="Normal"/>
    <w:uiPriority w:val="99"/>
    <w:semiHidden/>
    <w:unhideWhenUsed/>
    <w:rsid w:val="00323CE3"/>
    <w:pPr>
      <w:spacing w:after="240"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323CE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23CE3"/>
    <w:rPr>
      <w:rFonts w:ascii="Calibri" w:hAnsi="Calibri" w:cs="Calibri"/>
      <w:noProof/>
      <w:lang w:val="en-US"/>
    </w:rPr>
  </w:style>
  <w:style w:type="paragraph" w:customStyle="1" w:styleId="EndNoteBibliography">
    <w:name w:val="EndNote Bibliography"/>
    <w:basedOn w:val="Normal"/>
    <w:link w:val="EndNoteBibliographyChar"/>
    <w:rsid w:val="00323CE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23CE3"/>
    <w:rPr>
      <w:rFonts w:ascii="Calibri" w:hAnsi="Calibri" w:cs="Calibri"/>
      <w:noProof/>
      <w:lang w:val="en-US"/>
    </w:rPr>
  </w:style>
  <w:style w:type="table" w:styleId="TableGrid">
    <w:name w:val="Table Grid"/>
    <w:basedOn w:val="TableNormal"/>
    <w:uiPriority w:val="39"/>
    <w:rsid w:val="0032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3CE3"/>
    <w:rPr>
      <w:i/>
      <w:iCs/>
    </w:rPr>
  </w:style>
  <w:style w:type="character" w:styleId="CommentReference">
    <w:name w:val="annotation reference"/>
    <w:basedOn w:val="DefaultParagraphFont"/>
    <w:uiPriority w:val="99"/>
    <w:semiHidden/>
    <w:unhideWhenUsed/>
    <w:rsid w:val="00323CE3"/>
    <w:rPr>
      <w:sz w:val="16"/>
      <w:szCs w:val="16"/>
    </w:rPr>
  </w:style>
  <w:style w:type="paragraph" w:styleId="CommentText">
    <w:name w:val="annotation text"/>
    <w:basedOn w:val="Normal"/>
    <w:link w:val="CommentTextChar"/>
    <w:uiPriority w:val="99"/>
    <w:unhideWhenUsed/>
    <w:rsid w:val="00323CE3"/>
    <w:pPr>
      <w:spacing w:line="240" w:lineRule="auto"/>
    </w:pPr>
    <w:rPr>
      <w:sz w:val="20"/>
      <w:szCs w:val="20"/>
    </w:rPr>
  </w:style>
  <w:style w:type="character" w:customStyle="1" w:styleId="CommentTextChar">
    <w:name w:val="Comment Text Char"/>
    <w:basedOn w:val="DefaultParagraphFont"/>
    <w:link w:val="CommentText"/>
    <w:uiPriority w:val="99"/>
    <w:rsid w:val="00323CE3"/>
    <w:rPr>
      <w:sz w:val="20"/>
      <w:szCs w:val="20"/>
    </w:rPr>
  </w:style>
  <w:style w:type="paragraph" w:styleId="CommentSubject">
    <w:name w:val="annotation subject"/>
    <w:basedOn w:val="CommentText"/>
    <w:next w:val="CommentText"/>
    <w:link w:val="CommentSubjectChar"/>
    <w:uiPriority w:val="99"/>
    <w:semiHidden/>
    <w:unhideWhenUsed/>
    <w:rsid w:val="00323CE3"/>
    <w:rPr>
      <w:b/>
      <w:bCs/>
    </w:rPr>
  </w:style>
  <w:style w:type="character" w:customStyle="1" w:styleId="CommentSubjectChar">
    <w:name w:val="Comment Subject Char"/>
    <w:basedOn w:val="CommentTextChar"/>
    <w:link w:val="CommentSubject"/>
    <w:uiPriority w:val="99"/>
    <w:semiHidden/>
    <w:rsid w:val="00323CE3"/>
    <w:rPr>
      <w:b/>
      <w:bCs/>
      <w:sz w:val="20"/>
      <w:szCs w:val="20"/>
    </w:rPr>
  </w:style>
  <w:style w:type="paragraph" w:styleId="BalloonText">
    <w:name w:val="Balloon Text"/>
    <w:basedOn w:val="Normal"/>
    <w:link w:val="BalloonTextChar"/>
    <w:uiPriority w:val="99"/>
    <w:semiHidden/>
    <w:unhideWhenUsed/>
    <w:rsid w:val="00323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E3"/>
    <w:rPr>
      <w:rFonts w:ascii="Segoe UI" w:hAnsi="Segoe UI" w:cs="Segoe UI"/>
      <w:sz w:val="18"/>
      <w:szCs w:val="18"/>
    </w:rPr>
  </w:style>
  <w:style w:type="character" w:styleId="FollowedHyperlink">
    <w:name w:val="FollowedHyperlink"/>
    <w:basedOn w:val="DefaultParagraphFont"/>
    <w:uiPriority w:val="99"/>
    <w:semiHidden/>
    <w:unhideWhenUsed/>
    <w:rsid w:val="00323CE3"/>
    <w:rPr>
      <w:color w:val="954F72" w:themeColor="followedHyperlink"/>
      <w:u w:val="single"/>
    </w:rPr>
  </w:style>
  <w:style w:type="character" w:customStyle="1" w:styleId="citationref">
    <w:name w:val="citationref"/>
    <w:basedOn w:val="DefaultParagraphFont"/>
    <w:rsid w:val="00323CE3"/>
  </w:style>
  <w:style w:type="character" w:customStyle="1" w:styleId="internalref">
    <w:name w:val="internalref"/>
    <w:basedOn w:val="DefaultParagraphFont"/>
    <w:rsid w:val="00323CE3"/>
  </w:style>
  <w:style w:type="table" w:customStyle="1" w:styleId="TableGrid1">
    <w:name w:val="Table Grid1"/>
    <w:basedOn w:val="TableNormal"/>
    <w:next w:val="TableGrid"/>
    <w:uiPriority w:val="39"/>
    <w:rsid w:val="0032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3CE3"/>
    <w:pPr>
      <w:spacing w:after="0" w:line="240" w:lineRule="auto"/>
    </w:pPr>
  </w:style>
  <w:style w:type="character" w:customStyle="1" w:styleId="UnresolvedMention1">
    <w:name w:val="Unresolved Mention1"/>
    <w:basedOn w:val="DefaultParagraphFont"/>
    <w:uiPriority w:val="99"/>
    <w:semiHidden/>
    <w:unhideWhenUsed/>
    <w:rsid w:val="00323CE3"/>
    <w:rPr>
      <w:color w:val="605E5C"/>
      <w:shd w:val="clear" w:color="auto" w:fill="E1DFDD"/>
    </w:rPr>
  </w:style>
  <w:style w:type="character" w:customStyle="1" w:styleId="UnresolvedMention2">
    <w:name w:val="Unresolved Mention2"/>
    <w:basedOn w:val="DefaultParagraphFont"/>
    <w:uiPriority w:val="99"/>
    <w:semiHidden/>
    <w:unhideWhenUsed/>
    <w:rsid w:val="00323CE3"/>
    <w:rPr>
      <w:color w:val="605E5C"/>
      <w:shd w:val="clear" w:color="auto" w:fill="E1DFDD"/>
    </w:rPr>
  </w:style>
  <w:style w:type="character" w:customStyle="1" w:styleId="UnresolvedMention3">
    <w:name w:val="Unresolved Mention3"/>
    <w:basedOn w:val="DefaultParagraphFont"/>
    <w:uiPriority w:val="99"/>
    <w:semiHidden/>
    <w:unhideWhenUsed/>
    <w:rsid w:val="00323CE3"/>
    <w:rPr>
      <w:color w:val="605E5C"/>
      <w:shd w:val="clear" w:color="auto" w:fill="E1DFDD"/>
    </w:rPr>
  </w:style>
  <w:style w:type="character" w:customStyle="1" w:styleId="UnresolvedMention4">
    <w:name w:val="Unresolved Mention4"/>
    <w:basedOn w:val="DefaultParagraphFont"/>
    <w:uiPriority w:val="99"/>
    <w:semiHidden/>
    <w:unhideWhenUsed/>
    <w:rsid w:val="00323CE3"/>
    <w:rPr>
      <w:color w:val="605E5C"/>
      <w:shd w:val="clear" w:color="auto" w:fill="E1DFDD"/>
    </w:rPr>
  </w:style>
  <w:style w:type="character" w:customStyle="1" w:styleId="UnresolvedMention5">
    <w:name w:val="Unresolved Mention5"/>
    <w:basedOn w:val="DefaultParagraphFont"/>
    <w:uiPriority w:val="99"/>
    <w:semiHidden/>
    <w:unhideWhenUsed/>
    <w:rsid w:val="00323CE3"/>
    <w:rPr>
      <w:color w:val="605E5C"/>
      <w:shd w:val="clear" w:color="auto" w:fill="E1DFDD"/>
    </w:rPr>
  </w:style>
  <w:style w:type="character" w:customStyle="1" w:styleId="UnresolvedMention6">
    <w:name w:val="Unresolved Mention6"/>
    <w:basedOn w:val="DefaultParagraphFont"/>
    <w:uiPriority w:val="99"/>
    <w:semiHidden/>
    <w:unhideWhenUsed/>
    <w:rsid w:val="00323CE3"/>
    <w:rPr>
      <w:color w:val="605E5C"/>
      <w:shd w:val="clear" w:color="auto" w:fill="E1DFDD"/>
    </w:rPr>
  </w:style>
  <w:style w:type="paragraph" w:customStyle="1" w:styleId="xmsolistparagraph">
    <w:name w:val="x_msolistparagraph"/>
    <w:basedOn w:val="Normal"/>
    <w:rsid w:val="00323CE3"/>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323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CE3"/>
  </w:style>
  <w:style w:type="paragraph" w:styleId="Footer">
    <w:name w:val="footer"/>
    <w:basedOn w:val="Normal"/>
    <w:link w:val="FooterChar"/>
    <w:uiPriority w:val="99"/>
    <w:unhideWhenUsed/>
    <w:rsid w:val="00323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CE3"/>
  </w:style>
  <w:style w:type="character" w:customStyle="1" w:styleId="UnresolvedMention7">
    <w:name w:val="Unresolved Mention7"/>
    <w:basedOn w:val="DefaultParagraphFont"/>
    <w:uiPriority w:val="99"/>
    <w:semiHidden/>
    <w:unhideWhenUsed/>
    <w:rsid w:val="00323CE3"/>
    <w:rPr>
      <w:color w:val="605E5C"/>
      <w:shd w:val="clear" w:color="auto" w:fill="E1DFDD"/>
    </w:rPr>
  </w:style>
  <w:style w:type="paragraph" w:styleId="PlainText">
    <w:name w:val="Plain Text"/>
    <w:basedOn w:val="Normal"/>
    <w:link w:val="PlainTextChar"/>
    <w:uiPriority w:val="99"/>
    <w:unhideWhenUsed/>
    <w:rsid w:val="00323CE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3CE3"/>
    <w:rPr>
      <w:rFonts w:ascii="Calibri" w:hAnsi="Calibri"/>
      <w:szCs w:val="21"/>
    </w:rPr>
  </w:style>
  <w:style w:type="character" w:styleId="LineNumber">
    <w:name w:val="line number"/>
    <w:basedOn w:val="DefaultParagraphFont"/>
    <w:uiPriority w:val="99"/>
    <w:semiHidden/>
    <w:unhideWhenUsed/>
    <w:rsid w:val="00323CE3"/>
  </w:style>
  <w:style w:type="character" w:customStyle="1" w:styleId="UnresolvedMention8">
    <w:name w:val="Unresolved Mention8"/>
    <w:basedOn w:val="DefaultParagraphFont"/>
    <w:uiPriority w:val="99"/>
    <w:semiHidden/>
    <w:unhideWhenUsed/>
    <w:rsid w:val="00323CE3"/>
    <w:rPr>
      <w:color w:val="605E5C"/>
      <w:shd w:val="clear" w:color="auto" w:fill="E1DFDD"/>
    </w:rPr>
  </w:style>
  <w:style w:type="character" w:customStyle="1" w:styleId="UnresolvedMention9">
    <w:name w:val="Unresolved Mention9"/>
    <w:basedOn w:val="DefaultParagraphFont"/>
    <w:uiPriority w:val="99"/>
    <w:semiHidden/>
    <w:unhideWhenUsed/>
    <w:rsid w:val="00323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11068">
      <w:bodyDiv w:val="1"/>
      <w:marLeft w:val="0"/>
      <w:marRight w:val="0"/>
      <w:marTop w:val="0"/>
      <w:marBottom w:val="0"/>
      <w:divBdr>
        <w:top w:val="none" w:sz="0" w:space="0" w:color="auto"/>
        <w:left w:val="none" w:sz="0" w:space="0" w:color="auto"/>
        <w:bottom w:val="none" w:sz="0" w:space="0" w:color="auto"/>
        <w:right w:val="none" w:sz="0" w:space="0" w:color="auto"/>
      </w:divBdr>
      <w:divsChild>
        <w:div w:id="452598598">
          <w:marLeft w:val="0"/>
          <w:marRight w:val="0"/>
          <w:marTop w:val="0"/>
          <w:marBottom w:val="0"/>
          <w:divBdr>
            <w:top w:val="none" w:sz="0" w:space="0" w:color="auto"/>
            <w:left w:val="none" w:sz="0" w:space="0" w:color="auto"/>
            <w:bottom w:val="none" w:sz="0" w:space="0" w:color="auto"/>
            <w:right w:val="none" w:sz="0" w:space="0" w:color="auto"/>
          </w:divBdr>
          <w:divsChild>
            <w:div w:id="1060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ww.cancerresearchuk.org/health-professional/cancer-statistics/statistics-by-cancer-type/bowel-cancer/incidenc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64430/English_Index_of_Multiple_Deprivation_2015_-_Guidance.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researchuk.org/health-professional/cancer-statistics/statistics-by-cancer-type/bowel-cancer/incid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cerresearchuk.org/about-cancer/bowel-cancer/risks-causes" TargetMode="External"/><Relationship Id="rId4" Type="http://schemas.openxmlformats.org/officeDocument/2006/relationships/settings" Target="settings.xml"/><Relationship Id="rId9" Type="http://schemas.openxmlformats.org/officeDocument/2006/relationships/hyperlink" Target="https://gco.iarc.fr/today/data/factsheets/cancers/39-All-cancers-fact-shee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EDDC5-9AFF-43E6-92ED-32E144BA8D10}">
  <ds:schemaRefs>
    <ds:schemaRef ds:uri="http://schemas.openxmlformats.org/officeDocument/2006/bibliography"/>
  </ds:schemaRefs>
</ds:datastoreItem>
</file>

<file path=customXml/itemProps2.xml><?xml version="1.0" encoding="utf-8"?>
<ds:datastoreItem xmlns:ds="http://schemas.openxmlformats.org/officeDocument/2006/customXml" ds:itemID="{0D09FAB5-D67C-4D3A-99C3-DD59C4ACD59B}"/>
</file>

<file path=customXml/itemProps3.xml><?xml version="1.0" encoding="utf-8"?>
<ds:datastoreItem xmlns:ds="http://schemas.openxmlformats.org/officeDocument/2006/customXml" ds:itemID="{61088743-C646-4F0D-A9D9-6ECE23BA3F0B}"/>
</file>

<file path=docProps/app.xml><?xml version="1.0" encoding="utf-8"?>
<Properties xmlns="http://schemas.openxmlformats.org/officeDocument/2006/extended-properties" xmlns:vt="http://schemas.openxmlformats.org/officeDocument/2006/docPropsVTypes">
  <Template>Normal</Template>
  <TotalTime>0</TotalTime>
  <Pages>27</Pages>
  <Words>7241</Words>
  <Characters>41278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Cummings</dc:creator>
  <cp:keywords/>
  <dc:description/>
  <cp:lastModifiedBy>Jozald Nepomuceno</cp:lastModifiedBy>
  <cp:revision>2</cp:revision>
  <dcterms:created xsi:type="dcterms:W3CDTF">2022-06-06T20:12:00Z</dcterms:created>
  <dcterms:modified xsi:type="dcterms:W3CDTF">2022-06-06T20:12:00Z</dcterms:modified>
</cp:coreProperties>
</file>