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82C8" w14:textId="642EC42C" w:rsidR="001B4079" w:rsidRDefault="009760B4" w:rsidP="00601AC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Electronic </w:t>
      </w:r>
      <w:r w:rsidR="00BD5DD8" w:rsidRPr="00601AC0">
        <w:rPr>
          <w:b/>
          <w:bCs/>
          <w:lang w:val="en-US"/>
        </w:rPr>
        <w:t>Supplementary Information</w:t>
      </w:r>
    </w:p>
    <w:p w14:paraId="0606A2D0" w14:textId="77777777" w:rsidR="009760B4" w:rsidRPr="00601AC0" w:rsidRDefault="009760B4" w:rsidP="00601AC0">
      <w:pPr>
        <w:rPr>
          <w:b/>
          <w:bCs/>
          <w:lang w:val="en-US"/>
        </w:rPr>
      </w:pPr>
    </w:p>
    <w:p w14:paraId="50887551" w14:textId="77777777" w:rsidR="003F7EFF" w:rsidRPr="0028120F" w:rsidRDefault="003F7EFF" w:rsidP="003F7EFF">
      <w:pPr>
        <w:pStyle w:val="Heading1"/>
      </w:pPr>
      <w:bookmarkStart w:id="0" w:name="_Hlk90054888"/>
      <w:bookmarkEnd w:id="0"/>
      <w:r>
        <w:t>E</w:t>
      </w:r>
      <w:r w:rsidRPr="0028120F">
        <w:t xml:space="preserve">lectrokinetic </w:t>
      </w:r>
      <w:r>
        <w:t>D</w:t>
      </w:r>
      <w:r w:rsidRPr="0028120F">
        <w:t xml:space="preserve">eterministic </w:t>
      </w:r>
      <w:r>
        <w:t>L</w:t>
      </w:r>
      <w:r w:rsidRPr="0028120F">
        <w:t xml:space="preserve">ateral </w:t>
      </w:r>
      <w:r>
        <w:t>D</w:t>
      </w:r>
      <w:r w:rsidRPr="0028120F">
        <w:t>isplacement</w:t>
      </w:r>
      <w:r>
        <w:t xml:space="preserve"> for fractionation of vesicles and </w:t>
      </w:r>
      <w:proofErr w:type="gramStart"/>
      <w:r>
        <w:t>nano-particles</w:t>
      </w:r>
      <w:proofErr w:type="gramEnd"/>
      <w:r>
        <w:t xml:space="preserve"> </w:t>
      </w:r>
    </w:p>
    <w:p w14:paraId="43ABDA3E" w14:textId="17B49984" w:rsidR="00BD5DD8" w:rsidRPr="00601AC0" w:rsidRDefault="00BD5DD8" w:rsidP="00BD5DD8">
      <w:pPr>
        <w:rPr>
          <w:lang w:val="en-US" w:eastAsia="zh-CN"/>
        </w:rPr>
      </w:pPr>
    </w:p>
    <w:p w14:paraId="0733A8CE" w14:textId="496C3205" w:rsidR="00BD5DD8" w:rsidRDefault="00BD5DD8" w:rsidP="00BD5DD8">
      <w:pPr>
        <w:rPr>
          <w:i/>
          <w:iCs/>
          <w:vertAlign w:val="superscript"/>
        </w:rPr>
      </w:pPr>
      <w:r w:rsidRPr="00BD5DD8">
        <w:rPr>
          <w:i/>
          <w:iCs/>
        </w:rPr>
        <w:t xml:space="preserve">Richard J Gillams </w:t>
      </w:r>
      <w:r w:rsidRPr="00BD5DD8">
        <w:rPr>
          <w:i/>
          <w:iCs/>
          <w:vertAlign w:val="superscript"/>
        </w:rPr>
        <w:t>a,b</w:t>
      </w:r>
      <w:r w:rsidRPr="00BD5DD8">
        <w:rPr>
          <w:i/>
          <w:iCs/>
        </w:rPr>
        <w:t xml:space="preserve">, Victor Calero </w:t>
      </w:r>
      <w:r w:rsidRPr="00BD5DD8">
        <w:rPr>
          <w:i/>
          <w:iCs/>
          <w:vertAlign w:val="superscript"/>
        </w:rPr>
        <w:t>a,c</w:t>
      </w:r>
      <w:r w:rsidRPr="00BD5DD8">
        <w:rPr>
          <w:i/>
          <w:iCs/>
        </w:rPr>
        <w:t>, Raul Fernandez-Mateo</w:t>
      </w:r>
      <w:r w:rsidRPr="00BD5DD8">
        <w:rPr>
          <w:i/>
          <w:iCs/>
          <w:vertAlign w:val="superscript"/>
        </w:rPr>
        <w:t xml:space="preserve"> a</w:t>
      </w:r>
      <w:r w:rsidRPr="00BD5DD8">
        <w:rPr>
          <w:i/>
          <w:iCs/>
        </w:rPr>
        <w:t xml:space="preserve">, and Hywel Morgan </w:t>
      </w:r>
      <w:r w:rsidRPr="00BD5DD8">
        <w:rPr>
          <w:i/>
          <w:iCs/>
          <w:vertAlign w:val="superscript"/>
        </w:rPr>
        <w:t>a,b</w:t>
      </w:r>
    </w:p>
    <w:p w14:paraId="3BBE7C11" w14:textId="42A7701F" w:rsidR="00BD5DD8" w:rsidRPr="00BD5DD8" w:rsidRDefault="00BD5DD8" w:rsidP="00BD5DD8">
      <w:pPr>
        <w:rPr>
          <w:i/>
          <w:iCs/>
        </w:rPr>
      </w:pPr>
    </w:p>
    <w:p w14:paraId="63DF92BE" w14:textId="2068CCD9" w:rsidR="00BD5DD8" w:rsidRPr="001537E6" w:rsidRDefault="00BD5DD8" w:rsidP="00BD5DD8">
      <w:pPr>
        <w:rPr>
          <w:rFonts w:cstheme="minorHAnsi"/>
          <w:szCs w:val="44"/>
        </w:rPr>
      </w:pPr>
      <w:r w:rsidRPr="561DBC9C">
        <w:rPr>
          <w:vertAlign w:val="superscript"/>
        </w:rPr>
        <w:t xml:space="preserve">a </w:t>
      </w:r>
      <w:r w:rsidRPr="561DBC9C">
        <w:t>School of Electronics and Computer Science, University of Southampton, United Kingdom.</w:t>
      </w:r>
    </w:p>
    <w:p w14:paraId="130D6DCD" w14:textId="53C89E52" w:rsidR="00BD5DD8" w:rsidRDefault="00BD5DD8" w:rsidP="00BD5DD8">
      <w:r>
        <w:rPr>
          <w:vertAlign w:val="superscript"/>
        </w:rPr>
        <w:t>b</w:t>
      </w:r>
      <w:r w:rsidRPr="561DBC9C">
        <w:rPr>
          <w:vertAlign w:val="superscript"/>
        </w:rPr>
        <w:t xml:space="preserve"> </w:t>
      </w:r>
      <w:r>
        <w:t>Institute for Life Sciences</w:t>
      </w:r>
      <w:r w:rsidRPr="561DBC9C">
        <w:t>, University of Southampton, United Kingdom.</w:t>
      </w:r>
    </w:p>
    <w:p w14:paraId="0539FEBC" w14:textId="5FE25246" w:rsidR="00BD5DD8" w:rsidRPr="006C41C2" w:rsidRDefault="00BD5DD8" w:rsidP="00BD5DD8">
      <w:r>
        <w:rPr>
          <w:vertAlign w:val="superscript"/>
        </w:rPr>
        <w:t>c</w:t>
      </w:r>
      <w:r>
        <w:t xml:space="preserve"> International Iberian Nanotechnology Laboratory (INL), Braga, Portugal.</w:t>
      </w:r>
    </w:p>
    <w:p w14:paraId="5E36FEC6" w14:textId="3D110612" w:rsidR="00BD5DD8" w:rsidRDefault="00BD5DD8" w:rsidP="00BD5DD8"/>
    <w:p w14:paraId="6EBDF1EC" w14:textId="63300E26" w:rsidR="00F53AB1" w:rsidRDefault="00F53AB1" w:rsidP="00F53AB1">
      <w:pPr>
        <w:pStyle w:val="Caption"/>
        <w:keepNext/>
      </w:pPr>
    </w:p>
    <w:p w14:paraId="41108A11" w14:textId="75E77FF7" w:rsidR="002C150B" w:rsidRPr="00854041" w:rsidRDefault="00854041" w:rsidP="00854041">
      <w:pPr>
        <w:jc w:val="both"/>
        <w:rPr>
          <w:sz w:val="32"/>
          <w:szCs w:val="32"/>
          <w:lang w:val="en-GB"/>
        </w:rPr>
      </w:pPr>
      <w:bookmarkStart w:id="1" w:name="_Ref9032807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57994" wp14:editId="30BD4644">
                <wp:simplePos x="0" y="0"/>
                <wp:positionH relativeFrom="column">
                  <wp:posOffset>425450</wp:posOffset>
                </wp:positionH>
                <wp:positionV relativeFrom="page">
                  <wp:posOffset>4009566</wp:posOffset>
                </wp:positionV>
                <wp:extent cx="5829935" cy="171450"/>
                <wp:effectExtent l="0" t="0" r="0" b="635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4499E3" w14:textId="011218F0" w:rsidR="00385E2B" w:rsidRPr="00326C53" w:rsidRDefault="00385E2B" w:rsidP="00385E2B">
                            <w:pPr>
                              <w:pStyle w:val="Caption"/>
                              <w:jc w:val="both"/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lang w:val="en-US"/>
                              </w:rPr>
                              <w:t>Parameters used for the calculations of the Clausius-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Mossotti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factor</w:t>
                            </w:r>
                            <w:r w:rsidR="00C855F8">
                              <w:rPr>
                                <w:lang w:val="en-US"/>
                              </w:rPr>
                              <w:t xml:space="preserve"> calculations</w:t>
                            </w:r>
                            <w:r w:rsidR="00122EA9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579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.5pt;margin-top:315.7pt;width:459.0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" stroked="f">
                <v:textbox inset="0,0,0,0">
                  <w:txbxContent>
                    <w:p w14:paraId="0C4499E3" w14:textId="011218F0" w:rsidR="00385E2B" w:rsidRPr="00326C53" w:rsidRDefault="00385E2B" w:rsidP="00385E2B">
                      <w:pPr>
                        <w:pStyle w:val="Caption"/>
                        <w:jc w:val="both"/>
                        <w:rPr>
                          <w:noProof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Table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S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  <w:r>
                        <w:rPr>
                          <w:lang w:val="en-US"/>
                        </w:rPr>
                        <w:t>Parameters used for the calculations of the Clausius-</w:t>
                      </w:r>
                      <w:proofErr w:type="spellStart"/>
                      <w:r>
                        <w:rPr>
                          <w:lang w:val="en-US"/>
                        </w:rPr>
                        <w:t>Mossotti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factor</w:t>
                      </w:r>
                      <w:r w:rsidR="00C855F8">
                        <w:rPr>
                          <w:lang w:val="en-US"/>
                        </w:rPr>
                        <w:t xml:space="preserve"> calculations</w:t>
                      </w:r>
                      <w:r w:rsidR="00122EA9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A452AD" w:rsidRPr="006D3310">
        <w:rPr>
          <w:rFonts w:ascii="Calibri" w:hAnsi="Calibri" w:cs="Calibri"/>
          <w:sz w:val="32"/>
          <w:szCs w:val="32"/>
          <w:lang w:val="en-GB"/>
        </w:rPr>
        <w:t>Parameters</w:t>
      </w:r>
      <w:r w:rsidR="00A452AD" w:rsidRPr="00A452AD">
        <w:rPr>
          <w:sz w:val="32"/>
          <w:szCs w:val="32"/>
          <w:lang w:val="en-GB"/>
        </w:rPr>
        <w:t xml:space="preserve"> for the Clausius-</w:t>
      </w:r>
      <w:proofErr w:type="spellStart"/>
      <w:r w:rsidR="00A452AD" w:rsidRPr="00A452AD">
        <w:rPr>
          <w:sz w:val="32"/>
          <w:szCs w:val="32"/>
          <w:lang w:val="en-GB"/>
        </w:rPr>
        <w:t>Mossotti</w:t>
      </w:r>
      <w:proofErr w:type="spellEnd"/>
      <w:r w:rsidR="00A452AD" w:rsidRPr="00A452AD">
        <w:rPr>
          <w:sz w:val="32"/>
          <w:szCs w:val="32"/>
          <w:lang w:val="en-GB"/>
        </w:rPr>
        <w:t xml:space="preserve"> factor</w:t>
      </w:r>
    </w:p>
    <w:tbl>
      <w:tblPr>
        <w:tblStyle w:val="TableGrid"/>
        <w:tblpPr w:leftFromText="180" w:rightFromText="180" w:vertAnchor="text" w:horzAnchor="margin" w:tblpXSpec="center" w:tblpY="521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847"/>
      </w:tblGrid>
      <w:tr w:rsidR="00854041" w14:paraId="123F6C6E" w14:textId="77777777" w:rsidTr="00854041">
        <w:trPr>
          <w:trHeight w:hRule="exact" w:val="284"/>
        </w:trPr>
        <w:tc>
          <w:tcPr>
            <w:tcW w:w="7662" w:type="dxa"/>
            <w:gridSpan w:val="3"/>
            <w:shd w:val="clear" w:color="auto" w:fill="E7E6E6" w:themeFill="background2"/>
          </w:tcPr>
          <w:p w14:paraId="15F27A02" w14:textId="105C10FF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b/>
                <w:bCs/>
                <w:color w:val="000000"/>
                <w:sz w:val="18"/>
                <w:szCs w:val="18"/>
                <w:lang w:val="en-GB" w:eastAsia="zh-CN"/>
              </w:rPr>
              <w:t>Extruded Lipid Vesicles</w:t>
            </w:r>
          </w:p>
        </w:tc>
      </w:tr>
      <w:tr w:rsidR="00854041" w14:paraId="507FCA4C" w14:textId="77777777" w:rsidTr="00854041">
        <w:trPr>
          <w:trHeight w:hRule="exact" w:val="284"/>
        </w:trPr>
        <w:tc>
          <w:tcPr>
            <w:tcW w:w="2405" w:type="dxa"/>
            <w:shd w:val="clear" w:color="auto" w:fill="E7E6E6" w:themeFill="background2"/>
          </w:tcPr>
          <w:p w14:paraId="262F794D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Parameter</w:t>
            </w:r>
          </w:p>
        </w:tc>
        <w:tc>
          <w:tcPr>
            <w:tcW w:w="2410" w:type="dxa"/>
            <w:shd w:val="clear" w:color="auto" w:fill="E7E6E6" w:themeFill="background2"/>
          </w:tcPr>
          <w:p w14:paraId="064D4170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Symbol</w:t>
            </w:r>
          </w:p>
        </w:tc>
        <w:tc>
          <w:tcPr>
            <w:tcW w:w="2847" w:type="dxa"/>
            <w:shd w:val="clear" w:color="auto" w:fill="E7E6E6" w:themeFill="background2"/>
          </w:tcPr>
          <w:p w14:paraId="5CD41D95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Value</w:t>
            </w:r>
          </w:p>
        </w:tc>
      </w:tr>
      <w:tr w:rsidR="00854041" w14:paraId="044F845F" w14:textId="77777777" w:rsidTr="00854041">
        <w:trPr>
          <w:trHeight w:hRule="exact" w:val="284"/>
        </w:trPr>
        <w:tc>
          <w:tcPr>
            <w:tcW w:w="2405" w:type="dxa"/>
          </w:tcPr>
          <w:p w14:paraId="5180B866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Lipid membrane permittivity</w:t>
            </w:r>
          </w:p>
        </w:tc>
        <w:tc>
          <w:tcPr>
            <w:tcW w:w="2410" w:type="dxa"/>
          </w:tcPr>
          <w:p w14:paraId="522F0562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ε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mem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70EE62C1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10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color w:val="000000"/>
                      <w:sz w:val="18"/>
                      <w:szCs w:val="18"/>
                      <w:lang w:val="en-GB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ε</m:t>
                  </m:r>
                </m:e>
                <m:sub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0</m:t>
                  </m:r>
                </m:sub>
              </m:sSub>
            </m:oMath>
          </w:p>
        </w:tc>
      </w:tr>
      <w:tr w:rsidR="00854041" w14:paraId="05E1FE71" w14:textId="77777777" w:rsidTr="00854041">
        <w:trPr>
          <w:trHeight w:hRule="exact" w:val="284"/>
        </w:trPr>
        <w:tc>
          <w:tcPr>
            <w:tcW w:w="2405" w:type="dxa"/>
          </w:tcPr>
          <w:p w14:paraId="7995E688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Medium permittivity</w:t>
            </w:r>
          </w:p>
        </w:tc>
        <w:tc>
          <w:tcPr>
            <w:tcW w:w="2410" w:type="dxa"/>
          </w:tcPr>
          <w:p w14:paraId="06B9EE30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ε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25F367CE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80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color w:val="000000"/>
                      <w:sz w:val="18"/>
                      <w:szCs w:val="18"/>
                      <w:lang w:val="en-GB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ε</m:t>
                  </m:r>
                </m:e>
                <m:sub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0</m:t>
                  </m:r>
                </m:sub>
              </m:sSub>
            </m:oMath>
          </w:p>
        </w:tc>
      </w:tr>
      <w:tr w:rsidR="00854041" w14:paraId="102BEB8C" w14:textId="77777777" w:rsidTr="00854041">
        <w:trPr>
          <w:trHeight w:hRule="exact" w:val="284"/>
        </w:trPr>
        <w:tc>
          <w:tcPr>
            <w:tcW w:w="2405" w:type="dxa"/>
          </w:tcPr>
          <w:p w14:paraId="49EAD5CB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Internal diameter</w:t>
            </w:r>
          </w:p>
        </w:tc>
        <w:tc>
          <w:tcPr>
            <w:tcW w:w="2410" w:type="dxa"/>
          </w:tcPr>
          <w:p w14:paraId="5118B50C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d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3BE66134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160 nm</w:t>
            </w:r>
          </w:p>
        </w:tc>
      </w:tr>
      <w:tr w:rsidR="00854041" w14:paraId="7D280AC7" w14:textId="77777777" w:rsidTr="00854041">
        <w:trPr>
          <w:trHeight w:hRule="exact" w:val="284"/>
        </w:trPr>
        <w:tc>
          <w:tcPr>
            <w:tcW w:w="2405" w:type="dxa"/>
          </w:tcPr>
          <w:p w14:paraId="7FF823A9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External diameter</w:t>
            </w:r>
          </w:p>
        </w:tc>
        <w:tc>
          <w:tcPr>
            <w:tcW w:w="2410" w:type="dxa"/>
          </w:tcPr>
          <w:p w14:paraId="6D7D075F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d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7090C6D0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164 nm</w:t>
            </w:r>
          </w:p>
        </w:tc>
      </w:tr>
      <w:tr w:rsidR="00854041" w14:paraId="2ED9AC02" w14:textId="77777777" w:rsidTr="00854041">
        <w:trPr>
          <w:trHeight w:hRule="exact" w:val="284"/>
        </w:trPr>
        <w:tc>
          <w:tcPr>
            <w:tcW w:w="2405" w:type="dxa"/>
          </w:tcPr>
          <w:p w14:paraId="04325FD2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Medium conductivity</w:t>
            </w:r>
          </w:p>
        </w:tc>
        <w:tc>
          <w:tcPr>
            <w:tcW w:w="2410" w:type="dxa"/>
          </w:tcPr>
          <w:p w14:paraId="1B92A194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σ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634D7DA2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105 mS/m || 690 mS/m</w:t>
            </w:r>
          </w:p>
        </w:tc>
      </w:tr>
      <w:tr w:rsidR="00854041" w14:paraId="68B81E12" w14:textId="77777777" w:rsidTr="00854041">
        <w:trPr>
          <w:trHeight w:hRule="exact" w:val="284"/>
        </w:trPr>
        <w:tc>
          <w:tcPr>
            <w:tcW w:w="2405" w:type="dxa"/>
          </w:tcPr>
          <w:p w14:paraId="6FA8A1BD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Internal conductivity</w:t>
            </w:r>
          </w:p>
        </w:tc>
        <w:tc>
          <w:tcPr>
            <w:tcW w:w="2410" w:type="dxa"/>
          </w:tcPr>
          <w:p w14:paraId="3351C7C5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σ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int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6369B0FF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105 mS/m || 690 mS/m</w:t>
            </w:r>
          </w:p>
        </w:tc>
      </w:tr>
      <w:tr w:rsidR="00854041" w14:paraId="1D2A170E" w14:textId="77777777" w:rsidTr="00854041">
        <w:trPr>
          <w:trHeight w:hRule="exact" w:val="284"/>
        </w:trPr>
        <w:tc>
          <w:tcPr>
            <w:tcW w:w="2405" w:type="dxa"/>
          </w:tcPr>
          <w:p w14:paraId="7A6686E8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Membrane conductance</w:t>
            </w:r>
          </w:p>
        </w:tc>
        <w:tc>
          <w:tcPr>
            <w:tcW w:w="2410" w:type="dxa"/>
          </w:tcPr>
          <w:p w14:paraId="4A526179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K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55724E13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 xml:space="preserve">1 </w:t>
            </w:r>
            <w:proofErr w:type="spellStart"/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nS</w:t>
            </w:r>
            <w:proofErr w:type="spellEnd"/>
          </w:p>
        </w:tc>
      </w:tr>
      <w:tr w:rsidR="00854041" w14:paraId="4694B12C" w14:textId="77777777" w:rsidTr="00854041">
        <w:trPr>
          <w:trHeight w:hRule="exact" w:val="284"/>
        </w:trPr>
        <w:tc>
          <w:tcPr>
            <w:tcW w:w="7662" w:type="dxa"/>
            <w:gridSpan w:val="3"/>
            <w:shd w:val="clear" w:color="auto" w:fill="E7E6E6" w:themeFill="background2"/>
          </w:tcPr>
          <w:p w14:paraId="72C339FE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b/>
                <w:bCs/>
                <w:color w:val="000000"/>
                <w:sz w:val="18"/>
                <w:szCs w:val="18"/>
                <w:lang w:val="en-GB" w:eastAsia="zh-CN"/>
              </w:rPr>
              <w:t>Polystyrene Particles</w:t>
            </w:r>
          </w:p>
        </w:tc>
      </w:tr>
      <w:tr w:rsidR="00854041" w14:paraId="7339A04C" w14:textId="77777777" w:rsidTr="00854041">
        <w:trPr>
          <w:trHeight w:hRule="exact" w:val="284"/>
        </w:trPr>
        <w:tc>
          <w:tcPr>
            <w:tcW w:w="2405" w:type="dxa"/>
            <w:shd w:val="clear" w:color="auto" w:fill="E7E6E6" w:themeFill="background2"/>
          </w:tcPr>
          <w:p w14:paraId="515DAE0A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Parameter</w:t>
            </w:r>
          </w:p>
        </w:tc>
        <w:tc>
          <w:tcPr>
            <w:tcW w:w="2410" w:type="dxa"/>
            <w:shd w:val="clear" w:color="auto" w:fill="E7E6E6" w:themeFill="background2"/>
          </w:tcPr>
          <w:p w14:paraId="11EA934C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Symbol</w:t>
            </w:r>
          </w:p>
        </w:tc>
        <w:tc>
          <w:tcPr>
            <w:tcW w:w="2847" w:type="dxa"/>
            <w:shd w:val="clear" w:color="auto" w:fill="E7E6E6" w:themeFill="background2"/>
          </w:tcPr>
          <w:p w14:paraId="6F218008" w14:textId="77777777" w:rsidR="00854041" w:rsidRPr="003C3C8E" w:rsidRDefault="00854041" w:rsidP="00854041">
            <w:pPr>
              <w:keepNext/>
              <w:keepLines/>
              <w:spacing w:after="120" w:line="720" w:lineRule="auto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Value</w:t>
            </w:r>
          </w:p>
        </w:tc>
      </w:tr>
      <w:tr w:rsidR="00854041" w14:paraId="69930CFA" w14:textId="77777777" w:rsidTr="00854041">
        <w:trPr>
          <w:trHeight w:hRule="exact" w:val="284"/>
        </w:trPr>
        <w:tc>
          <w:tcPr>
            <w:tcW w:w="2405" w:type="dxa"/>
          </w:tcPr>
          <w:p w14:paraId="04C78B4F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Medium permittivity</w:t>
            </w:r>
          </w:p>
        </w:tc>
        <w:tc>
          <w:tcPr>
            <w:tcW w:w="2410" w:type="dxa"/>
          </w:tcPr>
          <w:p w14:paraId="76380760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ε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5E7FD81F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80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color w:val="000000"/>
                      <w:sz w:val="18"/>
                      <w:szCs w:val="18"/>
                      <w:lang w:val="en-GB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ε</m:t>
                  </m:r>
                </m:e>
                <m:sub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0</m:t>
                  </m:r>
                </m:sub>
              </m:sSub>
            </m:oMath>
          </w:p>
        </w:tc>
      </w:tr>
      <w:tr w:rsidR="00854041" w14:paraId="627128AB" w14:textId="77777777" w:rsidTr="00854041">
        <w:trPr>
          <w:trHeight w:hRule="exact" w:val="284"/>
        </w:trPr>
        <w:tc>
          <w:tcPr>
            <w:tcW w:w="2405" w:type="dxa"/>
          </w:tcPr>
          <w:p w14:paraId="4965CC5B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Medium conductivity</w:t>
            </w:r>
          </w:p>
        </w:tc>
        <w:tc>
          <w:tcPr>
            <w:tcW w:w="2410" w:type="dxa"/>
          </w:tcPr>
          <w:p w14:paraId="615D8A5C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σ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5C91DA50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105 mS/m || 690 mS/m</w:t>
            </w:r>
          </w:p>
        </w:tc>
      </w:tr>
      <w:tr w:rsidR="00854041" w14:paraId="2BF638BE" w14:textId="77777777" w:rsidTr="00854041">
        <w:trPr>
          <w:trHeight w:hRule="exact" w:val="284"/>
        </w:trPr>
        <w:tc>
          <w:tcPr>
            <w:tcW w:w="2405" w:type="dxa"/>
          </w:tcPr>
          <w:p w14:paraId="2A3220C2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Particle permittivity</w:t>
            </w:r>
          </w:p>
        </w:tc>
        <w:tc>
          <w:tcPr>
            <w:tcW w:w="2410" w:type="dxa"/>
          </w:tcPr>
          <w:p w14:paraId="601F76E2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ε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3220B616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2.5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color w:val="000000"/>
                      <w:sz w:val="18"/>
                      <w:szCs w:val="18"/>
                      <w:lang w:val="en-GB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ε</m:t>
                  </m:r>
                </m:e>
                <m:sub>
                  <m:r>
                    <w:rPr>
                      <w:rFonts w:ascii="Cambria Math" w:eastAsia="SimSun" w:hAnsi="Cambria Math" w:cs="Calibri"/>
                      <w:color w:val="000000"/>
                      <w:sz w:val="18"/>
                      <w:szCs w:val="18"/>
                      <w:lang w:val="en-GB" w:eastAsia="zh-CN"/>
                    </w:rPr>
                    <m:t>0</m:t>
                  </m:r>
                </m:sub>
              </m:sSub>
            </m:oMath>
          </w:p>
        </w:tc>
      </w:tr>
      <w:tr w:rsidR="00854041" w14:paraId="21CFDFFC" w14:textId="77777777" w:rsidTr="00854041">
        <w:trPr>
          <w:trHeight w:hRule="exact" w:val="284"/>
        </w:trPr>
        <w:tc>
          <w:tcPr>
            <w:tcW w:w="2405" w:type="dxa"/>
          </w:tcPr>
          <w:p w14:paraId="1FEBA731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Particle conductance</w:t>
            </w:r>
          </w:p>
        </w:tc>
        <w:tc>
          <w:tcPr>
            <w:tcW w:w="2410" w:type="dxa"/>
          </w:tcPr>
          <w:p w14:paraId="2E79D84C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color w:val="000000"/>
                        <w:sz w:val="18"/>
                        <w:szCs w:val="18"/>
                        <w:lang w:val="en-GB"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K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color w:val="000000"/>
                        <w:sz w:val="18"/>
                        <w:szCs w:val="18"/>
                        <w:lang w:val="en-GB" w:eastAsia="zh-CN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2847" w:type="dxa"/>
          </w:tcPr>
          <w:p w14:paraId="136B98C1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 xml:space="preserve">1 </w:t>
            </w:r>
            <w:proofErr w:type="spellStart"/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nS</w:t>
            </w:r>
            <w:proofErr w:type="spellEnd"/>
          </w:p>
        </w:tc>
      </w:tr>
      <w:tr w:rsidR="00854041" w14:paraId="277F4B4E" w14:textId="77777777" w:rsidTr="00854041">
        <w:trPr>
          <w:trHeight w:hRule="exact" w:val="284"/>
        </w:trPr>
        <w:tc>
          <w:tcPr>
            <w:tcW w:w="2405" w:type="dxa"/>
          </w:tcPr>
          <w:p w14:paraId="3ED07F0B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Particle radius</w:t>
            </w:r>
          </w:p>
        </w:tc>
        <w:tc>
          <w:tcPr>
            <w:tcW w:w="2410" w:type="dxa"/>
          </w:tcPr>
          <w:p w14:paraId="5FA6A12F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both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color w:val="000000"/>
                    <w:sz w:val="18"/>
                    <w:szCs w:val="18"/>
                    <w:lang w:val="en-GB" w:eastAsia="zh-CN"/>
                  </w:rPr>
                  <m:t>a</m:t>
                </m:r>
              </m:oMath>
            </m:oMathPara>
          </w:p>
        </w:tc>
        <w:tc>
          <w:tcPr>
            <w:tcW w:w="2847" w:type="dxa"/>
          </w:tcPr>
          <w:p w14:paraId="16828043" w14:textId="77777777" w:rsidR="00854041" w:rsidRPr="003C3C8E" w:rsidRDefault="00854041" w:rsidP="00854041">
            <w:pPr>
              <w:keepNext/>
              <w:keepLines/>
              <w:spacing w:after="120" w:line="720" w:lineRule="auto"/>
              <w:jc w:val="center"/>
              <w:outlineLvl w:val="1"/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3C3C8E">
              <w:rPr>
                <w:rFonts w:ascii="Calibri" w:eastAsia="SimSun" w:hAnsi="Calibri" w:cs="Calibri"/>
                <w:color w:val="000000"/>
                <w:sz w:val="18"/>
                <w:szCs w:val="18"/>
                <w:lang w:val="en-GB" w:eastAsia="zh-CN"/>
              </w:rPr>
              <w:t>100 nm || 200 nm || 500 nm</w:t>
            </w:r>
          </w:p>
        </w:tc>
      </w:tr>
    </w:tbl>
    <w:p w14:paraId="7495128D" w14:textId="15F59DF1" w:rsidR="00122EA9" w:rsidRDefault="00122EA9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lang w:val="en-GB" w:eastAsia="zh-CN"/>
        </w:rPr>
      </w:pPr>
    </w:p>
    <w:p w14:paraId="0AB8DDA0" w14:textId="77777777" w:rsidR="00122EA9" w:rsidRPr="006D3310" w:rsidRDefault="00122EA9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lang w:val="en-GB" w:eastAsia="zh-CN"/>
        </w:rPr>
      </w:pPr>
    </w:p>
    <w:p w14:paraId="7BA1E7DF" w14:textId="77777777" w:rsidR="002C150B" w:rsidRDefault="002C150B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</w:pPr>
    </w:p>
    <w:p w14:paraId="16B87388" w14:textId="77777777" w:rsidR="00122EA9" w:rsidRDefault="00122EA9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</w:pPr>
    </w:p>
    <w:p w14:paraId="3328B924" w14:textId="77777777" w:rsidR="00122EA9" w:rsidRDefault="00122EA9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</w:pPr>
    </w:p>
    <w:p w14:paraId="03089096" w14:textId="77777777" w:rsidR="00122EA9" w:rsidRDefault="00122EA9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</w:pPr>
    </w:p>
    <w:p w14:paraId="55A48E44" w14:textId="77777777" w:rsidR="00122EA9" w:rsidRDefault="00122EA9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</w:pPr>
    </w:p>
    <w:p w14:paraId="0A704CE5" w14:textId="77777777" w:rsidR="00122EA9" w:rsidRDefault="00122EA9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</w:pPr>
    </w:p>
    <w:p w14:paraId="4767ABC5" w14:textId="22D9B7EC" w:rsidR="00122EA9" w:rsidRPr="00122EA9" w:rsidRDefault="002B7497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lang w:val="en-GB" w:eastAsia="zh-CN"/>
        </w:rPr>
      </w:pPr>
      <w:r>
        <w:rPr>
          <w:rFonts w:ascii="Calibri" w:eastAsia="SimSun" w:hAnsi="Calibri" w:cs="Calibri"/>
          <w:color w:val="000000"/>
          <w:lang w:val="en-GB" w:eastAsia="zh-CN"/>
        </w:rPr>
        <w:t xml:space="preserve">Using the values </w:t>
      </w:r>
      <w:r w:rsidR="00DF0F62">
        <w:rPr>
          <w:rFonts w:ascii="Calibri" w:eastAsia="SimSun" w:hAnsi="Calibri" w:cs="Calibri"/>
          <w:color w:val="000000"/>
          <w:lang w:val="en-GB" w:eastAsia="zh-CN"/>
        </w:rPr>
        <w:t xml:space="preserve">shown in </w:t>
      </w:r>
      <w:r w:rsidR="008C0FE6">
        <w:rPr>
          <w:rFonts w:ascii="Calibri" w:eastAsia="SimSun" w:hAnsi="Calibri" w:cs="Calibri"/>
          <w:color w:val="000000"/>
          <w:lang w:val="en-GB" w:eastAsia="zh-CN"/>
        </w:rPr>
        <w:t>T</w:t>
      </w:r>
      <w:r w:rsidR="00DF0F62">
        <w:rPr>
          <w:rFonts w:ascii="Calibri" w:eastAsia="SimSun" w:hAnsi="Calibri" w:cs="Calibri"/>
          <w:color w:val="000000"/>
          <w:lang w:val="en-GB" w:eastAsia="zh-CN"/>
        </w:rPr>
        <w:t xml:space="preserve">able S1, we computed </w:t>
      </w:r>
      <w:r w:rsidR="00975661">
        <w:rPr>
          <w:rFonts w:ascii="Calibri" w:eastAsia="SimSun" w:hAnsi="Calibri" w:cs="Calibri"/>
          <w:color w:val="000000"/>
          <w:lang w:val="en-GB" w:eastAsia="zh-CN"/>
        </w:rPr>
        <w:t>the CM factor</w:t>
      </w:r>
      <w:r w:rsidR="008C0FE6">
        <w:rPr>
          <w:rFonts w:ascii="Calibri" w:eastAsia="SimSun" w:hAnsi="Calibri" w:cs="Calibri"/>
          <w:color w:val="000000"/>
          <w:lang w:val="en-GB" w:eastAsia="zh-CN"/>
        </w:rPr>
        <w:t xml:space="preserve"> using </w:t>
      </w:r>
      <w:r w:rsidR="00D26115">
        <w:rPr>
          <w:rFonts w:ascii="Calibri" w:eastAsia="SimSun" w:hAnsi="Calibri" w:cs="Calibri"/>
          <w:color w:val="000000"/>
          <w:lang w:val="en-GB" w:eastAsia="zh-CN"/>
        </w:rPr>
        <w:t>a</w:t>
      </w:r>
      <w:r w:rsidR="008C0FE6">
        <w:rPr>
          <w:rFonts w:ascii="Calibri" w:eastAsia="SimSun" w:hAnsi="Calibri" w:cs="Calibri"/>
          <w:color w:val="000000"/>
          <w:lang w:val="en-GB" w:eastAsia="zh-CN"/>
        </w:rPr>
        <w:t xml:space="preserve"> model for solid </w:t>
      </w:r>
      <w:r w:rsidR="00D26115">
        <w:rPr>
          <w:rFonts w:ascii="Calibri" w:eastAsia="SimSun" w:hAnsi="Calibri" w:cs="Calibri"/>
          <w:color w:val="000000"/>
          <w:lang w:val="en-GB" w:eastAsia="zh-CN"/>
        </w:rPr>
        <w:t xml:space="preserve">dielectric </w:t>
      </w:r>
      <w:r w:rsidR="008C0FE6">
        <w:rPr>
          <w:rFonts w:ascii="Calibri" w:eastAsia="SimSun" w:hAnsi="Calibri" w:cs="Calibri"/>
          <w:color w:val="000000"/>
          <w:lang w:val="en-GB" w:eastAsia="zh-CN"/>
        </w:rPr>
        <w:t>spheres</w:t>
      </w:r>
      <w:r w:rsidR="00D26115">
        <w:rPr>
          <w:rFonts w:ascii="Calibri" w:eastAsia="SimSun" w:hAnsi="Calibri" w:cs="Calibri"/>
          <w:color w:val="000000"/>
          <w:lang w:val="en-GB" w:eastAsia="zh-CN"/>
        </w:rPr>
        <w:t xml:space="preserve"> for the case of the polystyrene particles and a single shell model for the vesicles.</w:t>
      </w:r>
    </w:p>
    <w:p w14:paraId="344D9731" w14:textId="1142B6B3" w:rsidR="00BD5DD8" w:rsidRPr="00BD5DD8" w:rsidRDefault="00BD5DD8" w:rsidP="00BD5DD8">
      <w:pPr>
        <w:keepNext/>
        <w:keepLines/>
        <w:spacing w:before="240" w:after="120"/>
        <w:jc w:val="both"/>
        <w:outlineLvl w:val="1"/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</w:pPr>
      <w:r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  <w:t xml:space="preserve">Lateral displacement as a function of </w:t>
      </w:r>
      <w:bookmarkEnd w:id="1"/>
      <w:r>
        <w:rPr>
          <w:rFonts w:ascii="Calibri" w:eastAsia="SimSun" w:hAnsi="Calibri" w:cs="Calibri"/>
          <w:color w:val="000000"/>
          <w:sz w:val="32"/>
          <w:szCs w:val="26"/>
          <w:lang w:val="en-GB" w:eastAsia="zh-CN"/>
        </w:rPr>
        <w:t>fluorescent intensity</w:t>
      </w:r>
    </w:p>
    <w:p w14:paraId="611BF30F" w14:textId="5AC171B7" w:rsidR="00BD5DD8" w:rsidRDefault="000268C4" w:rsidP="00773743">
      <w:pPr>
        <w:jc w:val="both"/>
        <w:rPr>
          <w:lang w:val="en-GB"/>
        </w:rPr>
      </w:pPr>
      <w:r>
        <w:rPr>
          <w:lang w:val="en-GB"/>
        </w:rPr>
        <w:t xml:space="preserve">The large polydispersity in the population of </w:t>
      </w:r>
      <w:r w:rsidR="005C241A">
        <w:rPr>
          <w:lang w:val="en-GB"/>
        </w:rPr>
        <w:t>extruded lipid vesicles shown in Figure 3 explain</w:t>
      </w:r>
      <w:r w:rsidR="00F342EB">
        <w:rPr>
          <w:lang w:val="en-GB"/>
        </w:rPr>
        <w:t>s</w:t>
      </w:r>
      <w:r w:rsidR="005C241A">
        <w:rPr>
          <w:lang w:val="en-GB"/>
        </w:rPr>
        <w:t xml:space="preserve"> the large </w:t>
      </w:r>
      <w:r w:rsidR="00773743">
        <w:rPr>
          <w:lang w:val="en-GB"/>
        </w:rPr>
        <w:t xml:space="preserve">particle distribution </w:t>
      </w:r>
      <w:r w:rsidR="00F342EB">
        <w:rPr>
          <w:lang w:val="en-GB"/>
        </w:rPr>
        <w:t xml:space="preserve">observed </w:t>
      </w:r>
      <w:r w:rsidR="00773743">
        <w:rPr>
          <w:lang w:val="en-GB"/>
        </w:rPr>
        <w:t xml:space="preserve">at the end of the channel </w:t>
      </w:r>
      <w:r w:rsidR="00F342EB">
        <w:rPr>
          <w:lang w:val="en-GB"/>
        </w:rPr>
        <w:t xml:space="preserve">as shown </w:t>
      </w:r>
      <w:r w:rsidR="00773743">
        <w:rPr>
          <w:lang w:val="en-GB"/>
        </w:rPr>
        <w:t>in Figure 7.</w:t>
      </w:r>
    </w:p>
    <w:p w14:paraId="0B6D097C" w14:textId="52123F8E" w:rsidR="00773743" w:rsidRDefault="00773743" w:rsidP="00773743">
      <w:pPr>
        <w:jc w:val="both"/>
        <w:rPr>
          <w:lang w:val="en-GB"/>
        </w:rPr>
      </w:pPr>
    </w:p>
    <w:p w14:paraId="55C7FF64" w14:textId="032ECE1F" w:rsidR="00926F16" w:rsidRDefault="00F342EB" w:rsidP="00773743">
      <w:pPr>
        <w:jc w:val="both"/>
        <w:rPr>
          <w:lang w:val="en-GB"/>
        </w:rPr>
      </w:pPr>
      <w:r>
        <w:rPr>
          <w:lang w:val="en-GB"/>
        </w:rPr>
        <w:t>In order to c</w:t>
      </w:r>
      <w:r w:rsidR="00773743">
        <w:rPr>
          <w:lang w:val="en-GB"/>
        </w:rPr>
        <w:t>orrelat</w:t>
      </w:r>
      <w:r>
        <w:rPr>
          <w:lang w:val="en-GB"/>
        </w:rPr>
        <w:t>e</w:t>
      </w:r>
      <w:r w:rsidR="00773743">
        <w:rPr>
          <w:lang w:val="en-GB"/>
        </w:rPr>
        <w:t xml:space="preserve"> the degree of deflection </w:t>
      </w:r>
      <w:r w:rsidR="00501EC5">
        <w:rPr>
          <w:lang w:val="en-GB"/>
        </w:rPr>
        <w:t xml:space="preserve">at the end of the channel </w:t>
      </w:r>
      <w:r w:rsidR="00773743">
        <w:rPr>
          <w:lang w:val="en-GB"/>
        </w:rPr>
        <w:t xml:space="preserve">with the </w:t>
      </w:r>
      <w:r w:rsidR="00501EC5">
        <w:rPr>
          <w:lang w:val="en-GB"/>
        </w:rPr>
        <w:t xml:space="preserve">relative </w:t>
      </w:r>
      <w:r w:rsidR="00773743">
        <w:rPr>
          <w:lang w:val="en-GB"/>
        </w:rPr>
        <w:t>size of the vesicle</w:t>
      </w:r>
      <w:r w:rsidR="00501EC5">
        <w:rPr>
          <w:lang w:val="en-GB"/>
        </w:rPr>
        <w:t>s</w:t>
      </w:r>
      <w:r>
        <w:rPr>
          <w:lang w:val="en-GB"/>
        </w:rPr>
        <w:t>, the</w:t>
      </w:r>
      <w:r w:rsidR="00926F16">
        <w:rPr>
          <w:lang w:val="en-GB"/>
        </w:rPr>
        <w:t xml:space="preserve"> </w:t>
      </w:r>
      <w:r>
        <w:rPr>
          <w:lang w:val="en-GB"/>
        </w:rPr>
        <w:t>normalised fluorescent intensity</w:t>
      </w:r>
      <w:r w:rsidR="00926F16">
        <w:rPr>
          <w:lang w:val="en-GB"/>
        </w:rPr>
        <w:t xml:space="preserve"> </w:t>
      </w:r>
      <w:r>
        <w:rPr>
          <w:lang w:val="en-GB"/>
        </w:rPr>
        <w:t>of</w:t>
      </w:r>
      <w:r w:rsidR="00926F16">
        <w:rPr>
          <w:lang w:val="en-GB"/>
        </w:rPr>
        <w:t xml:space="preserve"> </w:t>
      </w:r>
      <w:r>
        <w:rPr>
          <w:lang w:val="en-GB"/>
        </w:rPr>
        <w:t>each</w:t>
      </w:r>
      <w:r w:rsidR="00926F16">
        <w:rPr>
          <w:lang w:val="en-GB"/>
        </w:rPr>
        <w:t xml:space="preserve"> particle </w:t>
      </w:r>
      <w:r w:rsidR="00AF3C4A">
        <w:rPr>
          <w:lang w:val="en-GB"/>
        </w:rPr>
        <w:t>w</w:t>
      </w:r>
      <w:r>
        <w:rPr>
          <w:lang w:val="en-GB"/>
        </w:rPr>
        <w:t>as assigned to one of four different bins.</w:t>
      </w:r>
      <w:r w:rsidR="00AF3C4A">
        <w:rPr>
          <w:lang w:val="en-GB"/>
        </w:rPr>
        <w:t xml:space="preserve"> </w:t>
      </w:r>
      <w:r>
        <w:rPr>
          <w:lang w:val="en-GB"/>
        </w:rPr>
        <w:t xml:space="preserve">This assumes that the </w:t>
      </w:r>
      <w:r w:rsidR="00926F16">
        <w:rPr>
          <w:lang w:val="en-GB"/>
        </w:rPr>
        <w:t xml:space="preserve">brighter particles </w:t>
      </w:r>
      <w:r>
        <w:rPr>
          <w:lang w:val="en-GB"/>
        </w:rPr>
        <w:t>have</w:t>
      </w:r>
      <w:r w:rsidR="00926F16">
        <w:rPr>
          <w:lang w:val="en-GB"/>
        </w:rPr>
        <w:t xml:space="preserve"> a larger diameter as </w:t>
      </w:r>
      <w:r w:rsidR="00926F16">
        <w:rPr>
          <w:lang w:val="en-GB"/>
        </w:rPr>
        <w:lastRenderedPageBreak/>
        <w:t xml:space="preserve">explained </w:t>
      </w:r>
      <w:r w:rsidR="00BC0A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07129" wp14:editId="74ED3E41">
                <wp:simplePos x="0" y="0"/>
                <wp:positionH relativeFrom="column">
                  <wp:posOffset>45085</wp:posOffset>
                </wp:positionH>
                <wp:positionV relativeFrom="page">
                  <wp:posOffset>3258820</wp:posOffset>
                </wp:positionV>
                <wp:extent cx="5631180" cy="67627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676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8D7E4D" w14:textId="0256DA52" w:rsidR="005C35E5" w:rsidRPr="00326C53" w:rsidRDefault="005C35E5" w:rsidP="009825DD">
                            <w:pPr>
                              <w:pStyle w:val="Caption"/>
                              <w:jc w:val="both"/>
                              <w:rPr>
                                <w:noProof/>
                                <w:lang w:val="en-GB"/>
                              </w:rPr>
                            </w:pPr>
                            <w:r>
                              <w:t xml:space="preserve">Figure </w:t>
                            </w:r>
                            <w:r w:rsidR="00CE5EF3">
                              <w:rPr>
                                <w:lang w:val="en-US"/>
                              </w:rPr>
                              <w:t>S</w:t>
                            </w:r>
                            <w:fldSimple w:instr=" SEQ Figure \* ARABIC ">
                              <w:r w:rsidR="00BD45BD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r w:rsidR="00BD45BD">
                              <w:rPr>
                                <w:lang w:val="en-US"/>
                              </w:rPr>
                              <w:t xml:space="preserve">Median particle </w:t>
                            </w:r>
                            <w:r w:rsidR="007C5A6D">
                              <w:rPr>
                                <w:lang w:val="en-US"/>
                              </w:rPr>
                              <w:t xml:space="preserve">deflection </w:t>
                            </w:r>
                            <w:r w:rsidR="00A11505">
                              <w:rPr>
                                <w:lang w:val="en-US"/>
                              </w:rPr>
                              <w:t xml:space="preserve">as a function of the applied voltage when dividing the sample of 400 nm extruded lipid vesicles in four </w:t>
                            </w:r>
                            <w:r w:rsidR="00A4504F">
                              <w:rPr>
                                <w:lang w:val="en-US"/>
                              </w:rPr>
                              <w:t>groups depending on their relative brightness</w:t>
                            </w:r>
                            <w:r w:rsidR="0017331B">
                              <w:rPr>
                                <w:lang w:val="en-US"/>
                              </w:rPr>
                              <w:t>. Each group contains the same population. As discussed in the main text, the</w:t>
                            </w:r>
                            <w:r w:rsidR="005509D0">
                              <w:rPr>
                                <w:lang w:val="en-US"/>
                              </w:rPr>
                              <w:t xml:space="preserve"> fluorescent</w:t>
                            </w:r>
                            <w:r w:rsidR="0017331B">
                              <w:rPr>
                                <w:lang w:val="en-US"/>
                              </w:rPr>
                              <w:t xml:space="preserve"> brightness of the </w:t>
                            </w:r>
                            <w:r w:rsidR="005509D0">
                              <w:rPr>
                                <w:lang w:val="en-US"/>
                              </w:rPr>
                              <w:t xml:space="preserve">particles should correlate with the </w:t>
                            </w:r>
                            <w:r w:rsidR="002E4C0E">
                              <w:rPr>
                                <w:lang w:val="en-US"/>
                              </w:rPr>
                              <w:t>actual particle size</w:t>
                            </w:r>
                            <w:r w:rsidR="00B901E1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7129" id="Text Box 1" o:spid="_x0000_s1027" type="#_x0000_t202" style="position:absolute;left:0;text-align:left;margin-left:3.55pt;margin-top:256.6pt;width:443.4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" stroked="f">
                <v:textbox inset="0,0,0,0">
                  <w:txbxContent>
                    <w:p w14:paraId="5C8D7E4D" w14:textId="0256DA52" w:rsidR="005C35E5" w:rsidRPr="00326C53" w:rsidRDefault="005C35E5" w:rsidP="009825DD">
                      <w:pPr>
                        <w:pStyle w:val="Caption"/>
                        <w:jc w:val="both"/>
                        <w:rPr>
                          <w:noProof/>
                          <w:lang w:val="en-GB"/>
                        </w:rPr>
                      </w:pPr>
                      <w:r>
                        <w:t xml:space="preserve">Figure </w:t>
                      </w:r>
                      <w:r w:rsidR="00CE5EF3">
                        <w:rPr>
                          <w:lang w:val="en-US"/>
                        </w:rPr>
                        <w:t>S</w:t>
                      </w:r>
                      <w:fldSimple w:instr=" SEQ Figure \* ARABIC ">
                        <w:r w:rsidR="00BD45BD">
                          <w:rPr>
                            <w:noProof/>
                          </w:rPr>
                          <w:t>1</w:t>
                        </w:r>
                      </w:fldSimple>
                      <w:r>
                        <w:rPr>
                          <w:lang w:val="en-US"/>
                        </w:rPr>
                        <w:t xml:space="preserve">. </w:t>
                      </w:r>
                      <w:r w:rsidR="00BD45BD">
                        <w:rPr>
                          <w:lang w:val="en-US"/>
                        </w:rPr>
                        <w:t xml:space="preserve">Median particle </w:t>
                      </w:r>
                      <w:r w:rsidR="007C5A6D">
                        <w:rPr>
                          <w:lang w:val="en-US"/>
                        </w:rPr>
                        <w:t xml:space="preserve">deflection </w:t>
                      </w:r>
                      <w:r w:rsidR="00A11505">
                        <w:rPr>
                          <w:lang w:val="en-US"/>
                        </w:rPr>
                        <w:t xml:space="preserve">as a function of the applied voltage when dividing the sample of 400 nm extruded lipid vesicles in four </w:t>
                      </w:r>
                      <w:r w:rsidR="00A4504F">
                        <w:rPr>
                          <w:lang w:val="en-US"/>
                        </w:rPr>
                        <w:t>groups depending on their relative brightness</w:t>
                      </w:r>
                      <w:r w:rsidR="0017331B">
                        <w:rPr>
                          <w:lang w:val="en-US"/>
                        </w:rPr>
                        <w:t>. Each group contains the same population. As discussed in the main text, the</w:t>
                      </w:r>
                      <w:r w:rsidR="005509D0">
                        <w:rPr>
                          <w:lang w:val="en-US"/>
                        </w:rPr>
                        <w:t xml:space="preserve"> fluorescent</w:t>
                      </w:r>
                      <w:r w:rsidR="0017331B">
                        <w:rPr>
                          <w:lang w:val="en-US"/>
                        </w:rPr>
                        <w:t xml:space="preserve"> brightness of the </w:t>
                      </w:r>
                      <w:r w:rsidR="005509D0">
                        <w:rPr>
                          <w:lang w:val="en-US"/>
                        </w:rPr>
                        <w:t xml:space="preserve">particles should correlate with the </w:t>
                      </w:r>
                      <w:r w:rsidR="002E4C0E">
                        <w:rPr>
                          <w:lang w:val="en-US"/>
                        </w:rPr>
                        <w:t>actual particle size</w:t>
                      </w:r>
                      <w:r w:rsidR="00B901E1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26F16">
        <w:rPr>
          <w:lang w:val="en-GB"/>
        </w:rPr>
        <w:t>in the main text.</w:t>
      </w:r>
      <w:r>
        <w:rPr>
          <w:lang w:val="en-GB"/>
        </w:rPr>
        <w:t xml:space="preserve"> Each bin has </w:t>
      </w:r>
      <w:r w:rsidR="00993F1C">
        <w:rPr>
          <w:lang w:val="en-GB"/>
        </w:rPr>
        <w:t>the same number of particles</w:t>
      </w:r>
      <w:r w:rsidR="00780296">
        <w:rPr>
          <w:lang w:val="en-GB"/>
        </w:rPr>
        <w:t xml:space="preserve">. </w:t>
      </w:r>
      <w:r w:rsidR="00F56087">
        <w:rPr>
          <w:lang w:val="en-GB"/>
        </w:rPr>
        <w:t xml:space="preserve">The result of the median particle deflection </w:t>
      </w:r>
      <w:r>
        <w:rPr>
          <w:lang w:val="en-GB"/>
        </w:rPr>
        <w:t>for the 400nm vesicles</w:t>
      </w:r>
      <w:r w:rsidR="00F56087">
        <w:rPr>
          <w:lang w:val="en-GB"/>
        </w:rPr>
        <w:t xml:space="preserve"> as a function of the applied voltage is shown in Figure </w:t>
      </w:r>
      <w:r w:rsidR="00CE5EF3">
        <w:rPr>
          <w:lang w:val="en-GB"/>
        </w:rPr>
        <w:t>S</w:t>
      </w:r>
      <w:r w:rsidR="00F56087">
        <w:rPr>
          <w:lang w:val="en-GB"/>
        </w:rPr>
        <w:t>1.</w:t>
      </w:r>
    </w:p>
    <w:p w14:paraId="5995E1E5" w14:textId="2976E48F" w:rsidR="00A851EC" w:rsidRDefault="00A851EC" w:rsidP="00773743">
      <w:pPr>
        <w:jc w:val="both"/>
        <w:rPr>
          <w:lang w:val="en-GB"/>
        </w:rPr>
      </w:pPr>
    </w:p>
    <w:p w14:paraId="39CA14CF" w14:textId="0A45FE33" w:rsidR="00A851EC" w:rsidRDefault="00F342EB" w:rsidP="00773743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A851EC">
        <w:rPr>
          <w:lang w:val="en-GB"/>
        </w:rPr>
        <w:t>figure</w:t>
      </w:r>
      <w:r>
        <w:rPr>
          <w:lang w:val="en-GB"/>
        </w:rPr>
        <w:t xml:space="preserve"> shows that</w:t>
      </w:r>
      <w:r w:rsidR="00A851EC">
        <w:rPr>
          <w:lang w:val="en-GB"/>
        </w:rPr>
        <w:t xml:space="preserve"> </w:t>
      </w:r>
      <w:r w:rsidR="009D6068">
        <w:rPr>
          <w:lang w:val="en-GB"/>
        </w:rPr>
        <w:t>the brightest groups</w:t>
      </w:r>
      <w:r w:rsidR="00CA2E47">
        <w:rPr>
          <w:lang w:val="en-GB"/>
        </w:rPr>
        <w:t xml:space="preserve"> </w:t>
      </w:r>
      <w:r>
        <w:rPr>
          <w:lang w:val="en-GB"/>
        </w:rPr>
        <w:t>ha</w:t>
      </w:r>
      <w:r w:rsidR="00D10DE0">
        <w:rPr>
          <w:lang w:val="en-GB"/>
        </w:rPr>
        <w:t>ve</w:t>
      </w:r>
      <w:r>
        <w:rPr>
          <w:lang w:val="en-GB"/>
        </w:rPr>
        <w:t xml:space="preserve"> the</w:t>
      </w:r>
      <w:r w:rsidR="00CA2E47">
        <w:rPr>
          <w:lang w:val="en-GB"/>
        </w:rPr>
        <w:t xml:space="preserve"> greater deflection for the same voltage</w:t>
      </w:r>
      <w:r>
        <w:rPr>
          <w:lang w:val="en-GB"/>
        </w:rPr>
        <w:t xml:space="preserve">. They also </w:t>
      </w:r>
      <w:r w:rsidR="0080513B">
        <w:rPr>
          <w:lang w:val="en-GB"/>
        </w:rPr>
        <w:t>start deflecting for lower applied voltages</w:t>
      </w:r>
      <w:r w:rsidR="004967CD">
        <w:rPr>
          <w:lang w:val="en-GB"/>
        </w:rPr>
        <w:t xml:space="preserve">. </w:t>
      </w:r>
      <w:r w:rsidR="00072F53">
        <w:rPr>
          <w:lang w:val="en-GB"/>
        </w:rPr>
        <w:t>Th</w:t>
      </w:r>
      <w:r w:rsidR="00B527A9">
        <w:rPr>
          <w:lang w:val="en-GB"/>
        </w:rPr>
        <w:t xml:space="preserve">is </w:t>
      </w:r>
      <w:r w:rsidR="00874DB1">
        <w:rPr>
          <w:lang w:val="en-GB"/>
        </w:rPr>
        <w:t xml:space="preserve">distribution in particles is </w:t>
      </w:r>
      <w:r w:rsidR="00B527A9">
        <w:rPr>
          <w:lang w:val="en-GB"/>
        </w:rPr>
        <w:t xml:space="preserve">in agreement with </w:t>
      </w:r>
      <w:r w:rsidR="00C511B9">
        <w:rPr>
          <w:lang w:val="en-GB"/>
        </w:rPr>
        <w:t xml:space="preserve">the size distribution </w:t>
      </w:r>
      <w:r w:rsidR="00874DB1">
        <w:rPr>
          <w:lang w:val="en-GB"/>
        </w:rPr>
        <w:t>shown</w:t>
      </w:r>
      <w:r w:rsidR="00C511B9">
        <w:rPr>
          <w:lang w:val="en-GB"/>
        </w:rPr>
        <w:t xml:space="preserve"> in Figure 3 (main text)</w:t>
      </w:r>
      <w:r w:rsidR="007E26D1">
        <w:rPr>
          <w:lang w:val="en-GB"/>
        </w:rPr>
        <w:t>, where the median of the distribution is around 400 nm.</w:t>
      </w:r>
    </w:p>
    <w:p w14:paraId="387A8B0C" w14:textId="50350CB2" w:rsidR="00874DB1" w:rsidRDefault="00874DB1" w:rsidP="00773743">
      <w:pPr>
        <w:jc w:val="both"/>
        <w:rPr>
          <w:lang w:val="en-GB"/>
        </w:rPr>
      </w:pPr>
    </w:p>
    <w:p w14:paraId="1E34F17E" w14:textId="702126AB" w:rsidR="00874DB1" w:rsidRDefault="00874DB1" w:rsidP="00773743">
      <w:pPr>
        <w:jc w:val="both"/>
        <w:rPr>
          <w:lang w:val="en-GB"/>
        </w:rPr>
      </w:pPr>
    </w:p>
    <w:p w14:paraId="4656821B" w14:textId="2FD7A26F" w:rsidR="00A47991" w:rsidRPr="00BD5DD8" w:rsidRDefault="005C4BF0" w:rsidP="00A47991">
      <w:pPr>
        <w:jc w:val="both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6B1954F" wp14:editId="2F69CD29">
            <wp:simplePos x="0" y="0"/>
            <wp:positionH relativeFrom="column">
              <wp:posOffset>1044756</wp:posOffset>
            </wp:positionH>
            <wp:positionV relativeFrom="page">
              <wp:posOffset>652780</wp:posOffset>
            </wp:positionV>
            <wp:extent cx="3673475" cy="257492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26EA0" w14:textId="4378ABF2" w:rsidR="009825DD" w:rsidRPr="00BD5DD8" w:rsidRDefault="009825DD" w:rsidP="00773743">
      <w:pPr>
        <w:jc w:val="both"/>
        <w:rPr>
          <w:lang w:val="en-GB"/>
        </w:rPr>
      </w:pPr>
    </w:p>
    <w:sectPr w:rsidR="009825DD" w:rsidRPr="00BD5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D8"/>
    <w:rsid w:val="000268C4"/>
    <w:rsid w:val="00043170"/>
    <w:rsid w:val="00072F53"/>
    <w:rsid w:val="000800D4"/>
    <w:rsid w:val="000A2CA2"/>
    <w:rsid w:val="000A4F9A"/>
    <w:rsid w:val="000D6F4B"/>
    <w:rsid w:val="000F7325"/>
    <w:rsid w:val="00122EA9"/>
    <w:rsid w:val="0017331B"/>
    <w:rsid w:val="0019439B"/>
    <w:rsid w:val="001970E0"/>
    <w:rsid w:val="001B4079"/>
    <w:rsid w:val="001C6A19"/>
    <w:rsid w:val="001F272E"/>
    <w:rsid w:val="001F2DB6"/>
    <w:rsid w:val="00291362"/>
    <w:rsid w:val="002A3636"/>
    <w:rsid w:val="002B7497"/>
    <w:rsid w:val="002C150B"/>
    <w:rsid w:val="002E4C0E"/>
    <w:rsid w:val="002E614B"/>
    <w:rsid w:val="002E6DD4"/>
    <w:rsid w:val="002F4F6B"/>
    <w:rsid w:val="00385E2B"/>
    <w:rsid w:val="003A16DA"/>
    <w:rsid w:val="003C3C8E"/>
    <w:rsid w:val="003F7EFF"/>
    <w:rsid w:val="004967CD"/>
    <w:rsid w:val="00501EC5"/>
    <w:rsid w:val="00545F78"/>
    <w:rsid w:val="005509D0"/>
    <w:rsid w:val="00596E61"/>
    <w:rsid w:val="005C09EA"/>
    <w:rsid w:val="005C241A"/>
    <w:rsid w:val="005C35E5"/>
    <w:rsid w:val="005C4BF0"/>
    <w:rsid w:val="005F16C3"/>
    <w:rsid w:val="0060044E"/>
    <w:rsid w:val="00601AC0"/>
    <w:rsid w:val="006302EB"/>
    <w:rsid w:val="00632B81"/>
    <w:rsid w:val="006768AD"/>
    <w:rsid w:val="006D3310"/>
    <w:rsid w:val="0074261E"/>
    <w:rsid w:val="00773743"/>
    <w:rsid w:val="00780296"/>
    <w:rsid w:val="007C5A6D"/>
    <w:rsid w:val="007E26D1"/>
    <w:rsid w:val="0080513B"/>
    <w:rsid w:val="00854041"/>
    <w:rsid w:val="00874DB1"/>
    <w:rsid w:val="0088329A"/>
    <w:rsid w:val="008B3399"/>
    <w:rsid w:val="008C0FE6"/>
    <w:rsid w:val="008E082E"/>
    <w:rsid w:val="008F001F"/>
    <w:rsid w:val="009114D7"/>
    <w:rsid w:val="00926F16"/>
    <w:rsid w:val="00957A3B"/>
    <w:rsid w:val="00975661"/>
    <w:rsid w:val="009760B4"/>
    <w:rsid w:val="009825DD"/>
    <w:rsid w:val="00993F1C"/>
    <w:rsid w:val="009D6068"/>
    <w:rsid w:val="009E04A3"/>
    <w:rsid w:val="009E6C19"/>
    <w:rsid w:val="00A03E90"/>
    <w:rsid w:val="00A11505"/>
    <w:rsid w:val="00A40B41"/>
    <w:rsid w:val="00A4504F"/>
    <w:rsid w:val="00A452AD"/>
    <w:rsid w:val="00A47991"/>
    <w:rsid w:val="00A851EC"/>
    <w:rsid w:val="00AF3C4A"/>
    <w:rsid w:val="00B079AF"/>
    <w:rsid w:val="00B527A9"/>
    <w:rsid w:val="00B901E1"/>
    <w:rsid w:val="00BC0A06"/>
    <w:rsid w:val="00BD45BD"/>
    <w:rsid w:val="00BD5DD8"/>
    <w:rsid w:val="00C312D7"/>
    <w:rsid w:val="00C511B9"/>
    <w:rsid w:val="00C5366E"/>
    <w:rsid w:val="00C855F8"/>
    <w:rsid w:val="00CA2E47"/>
    <w:rsid w:val="00CE5EF3"/>
    <w:rsid w:val="00CE64A6"/>
    <w:rsid w:val="00D10DE0"/>
    <w:rsid w:val="00D13CEC"/>
    <w:rsid w:val="00D26115"/>
    <w:rsid w:val="00D52128"/>
    <w:rsid w:val="00D66807"/>
    <w:rsid w:val="00D67EBA"/>
    <w:rsid w:val="00DE052C"/>
    <w:rsid w:val="00DF0F62"/>
    <w:rsid w:val="00EA3331"/>
    <w:rsid w:val="00ED1F2E"/>
    <w:rsid w:val="00F342EB"/>
    <w:rsid w:val="00F53AB1"/>
    <w:rsid w:val="00F56087"/>
    <w:rsid w:val="00F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14791"/>
  <w15:chartTrackingRefBased/>
  <w15:docId w15:val="{D5D670EF-2A72-9249-BBFF-C8E2606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DD8"/>
    <w:pPr>
      <w:spacing w:before="120"/>
      <w:jc w:val="both"/>
      <w:outlineLvl w:val="0"/>
    </w:pPr>
    <w:rPr>
      <w:rFonts w:eastAsiaTheme="minorEastAsia" w:cstheme="minorHAnsi"/>
      <w:b/>
      <w:sz w:val="44"/>
      <w:szCs w:val="44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5D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D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5DD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5DD8"/>
    <w:rPr>
      <w:rFonts w:eastAsiaTheme="minorEastAsia" w:cstheme="minorHAnsi"/>
      <w:b/>
      <w:sz w:val="44"/>
      <w:szCs w:val="44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D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5C35E5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D1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3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Fernandez-Mateo</dc:creator>
  <cp:keywords/>
  <dc:description/>
  <cp:lastModifiedBy>Raul Fernandez-Mateo</cp:lastModifiedBy>
  <cp:revision>82</cp:revision>
  <dcterms:created xsi:type="dcterms:W3CDTF">2022-08-08T12:44:00Z</dcterms:created>
  <dcterms:modified xsi:type="dcterms:W3CDTF">2022-08-12T16:56:00Z</dcterms:modified>
</cp:coreProperties>
</file>