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AD0AA" w14:textId="16AADBFF" w:rsidR="008E69D6" w:rsidRPr="00167A19" w:rsidRDefault="00E20216" w:rsidP="008D0444">
      <w:pPr>
        <w:pStyle w:val="Heading1"/>
        <w:spacing w:before="0"/>
        <w:jc w:val="center"/>
        <w:rPr>
          <w:caps w:val="0"/>
        </w:rPr>
      </w:pPr>
      <w:r>
        <w:rPr>
          <w:caps w:val="0"/>
        </w:rPr>
        <w:t xml:space="preserve">Patient perspectives of </w:t>
      </w:r>
      <w:r w:rsidR="00477C3D">
        <w:rPr>
          <w:caps w:val="0"/>
        </w:rPr>
        <w:t>s</w:t>
      </w:r>
      <w:r w:rsidR="008D0444">
        <w:rPr>
          <w:caps w:val="0"/>
        </w:rPr>
        <w:t>uccessful</w:t>
      </w:r>
      <w:r w:rsidR="008E69D6" w:rsidRPr="00167A19">
        <w:rPr>
          <w:caps w:val="0"/>
        </w:rPr>
        <w:t xml:space="preserve"> adalimumab</w:t>
      </w:r>
      <w:r w:rsidR="00EC0DA0">
        <w:rPr>
          <w:caps w:val="0"/>
        </w:rPr>
        <w:t xml:space="preserve"> </w:t>
      </w:r>
      <w:r w:rsidR="008D0444">
        <w:rPr>
          <w:caps w:val="0"/>
        </w:rPr>
        <w:t>biosimilar transitioning in Crohn’s disease</w:t>
      </w:r>
      <w:r w:rsidR="00477C3D">
        <w:rPr>
          <w:caps w:val="0"/>
        </w:rPr>
        <w:t xml:space="preserve"> </w:t>
      </w:r>
      <w:r w:rsidR="00EC0DA0">
        <w:rPr>
          <w:caps w:val="0"/>
        </w:rPr>
        <w:t xml:space="preserve">– </w:t>
      </w:r>
      <w:r>
        <w:rPr>
          <w:caps w:val="0"/>
        </w:rPr>
        <w:t>an interview study</w:t>
      </w:r>
      <w:r w:rsidR="00EC0DA0">
        <w:rPr>
          <w:caps w:val="0"/>
        </w:rPr>
        <w:t>.</w:t>
      </w:r>
    </w:p>
    <w:p w14:paraId="76D7ACCB" w14:textId="24D4E5A5" w:rsidR="004F376D" w:rsidRPr="00167A19" w:rsidRDefault="004F376D" w:rsidP="00BB00AC">
      <w:pPr>
        <w:pStyle w:val="NoSpacing"/>
        <w:rPr>
          <w:b/>
        </w:rPr>
      </w:pPr>
      <w:r w:rsidRPr="00167A19">
        <w:rPr>
          <w:b/>
        </w:rPr>
        <w:t>Corresponding author:</w:t>
      </w:r>
    </w:p>
    <w:p w14:paraId="7246E53A" w14:textId="57202A34" w:rsidR="004F376D" w:rsidRDefault="004F376D" w:rsidP="00BB00AC">
      <w:pPr>
        <w:pStyle w:val="NoSpacing"/>
      </w:pPr>
      <w:r>
        <w:t>David Young</w:t>
      </w:r>
    </w:p>
    <w:p w14:paraId="167AC349" w14:textId="33C68627" w:rsidR="004F376D" w:rsidRDefault="004F376D" w:rsidP="00BB00AC">
      <w:pPr>
        <w:pStyle w:val="NoSpacing"/>
      </w:pPr>
      <w:r>
        <w:t xml:space="preserve">Pharmacy department, Southampton General Hospital, </w:t>
      </w:r>
      <w:proofErr w:type="spellStart"/>
      <w:r>
        <w:t>Tremona</w:t>
      </w:r>
      <w:proofErr w:type="spellEnd"/>
      <w:r>
        <w:t xml:space="preserve"> Road, Southampton, Ha</w:t>
      </w:r>
      <w:r w:rsidR="008167E7">
        <w:t>mpshire</w:t>
      </w:r>
      <w:r>
        <w:t>. SO16 6YD.</w:t>
      </w:r>
    </w:p>
    <w:p w14:paraId="6893620C" w14:textId="0FDA496C" w:rsidR="004F376D" w:rsidRDefault="00B0112C" w:rsidP="00BB00AC">
      <w:pPr>
        <w:pStyle w:val="NoSpacing"/>
      </w:pPr>
      <w:r w:rsidRPr="008601B2">
        <w:t>david.young@uhs.nhs.uk</w:t>
      </w:r>
    </w:p>
    <w:p w14:paraId="51F9698E" w14:textId="77777777" w:rsidR="009D38AE" w:rsidRDefault="009D38AE" w:rsidP="00BB00AC">
      <w:pPr>
        <w:pStyle w:val="NoSpacing"/>
      </w:pPr>
    </w:p>
    <w:p w14:paraId="73E5C785" w14:textId="77777777" w:rsidR="009D38AE" w:rsidRPr="00BD39E4" w:rsidRDefault="009D38AE" w:rsidP="009D38AE">
      <w:pPr>
        <w:pStyle w:val="NoSpacing"/>
        <w:rPr>
          <w:b/>
        </w:rPr>
      </w:pPr>
      <w:r>
        <w:rPr>
          <w:b/>
        </w:rPr>
        <w:t>Co-</w:t>
      </w:r>
      <w:r w:rsidRPr="00BD39E4">
        <w:rPr>
          <w:b/>
        </w:rPr>
        <w:t>author:</w:t>
      </w:r>
    </w:p>
    <w:p w14:paraId="51241E05" w14:textId="77777777" w:rsidR="009D38AE" w:rsidRDefault="009D38AE" w:rsidP="009D38AE">
      <w:pPr>
        <w:pStyle w:val="NoSpacing"/>
      </w:pPr>
      <w:proofErr w:type="spellStart"/>
      <w:r>
        <w:t>Dr.</w:t>
      </w:r>
      <w:proofErr w:type="spellEnd"/>
      <w:r>
        <w:t xml:space="preserve"> Fraser Cummings</w:t>
      </w:r>
    </w:p>
    <w:p w14:paraId="71A092D6" w14:textId="77777777" w:rsidR="009D38AE" w:rsidRDefault="009D38AE" w:rsidP="009D38AE">
      <w:pPr>
        <w:pStyle w:val="NoSpacing"/>
      </w:pPr>
      <w:r>
        <w:t xml:space="preserve">Department of Gastroenterology, </w:t>
      </w:r>
      <w:r w:rsidRPr="004F376D">
        <w:t>University Hospital Southampton NHS Foundation Trust</w:t>
      </w:r>
      <w:r>
        <w:t>, Southampton, UK.</w:t>
      </w:r>
    </w:p>
    <w:p w14:paraId="382E0099" w14:textId="77777777" w:rsidR="009D38AE" w:rsidRDefault="009D38AE" w:rsidP="009D38AE">
      <w:pPr>
        <w:pStyle w:val="NoSpacing"/>
      </w:pPr>
      <w:r>
        <w:t>fraser.cummings@uhs.nhs.uk</w:t>
      </w:r>
    </w:p>
    <w:p w14:paraId="7A2BE5E4" w14:textId="77777777" w:rsidR="00434B29" w:rsidRDefault="00434B29" w:rsidP="00BB00AC">
      <w:pPr>
        <w:pStyle w:val="NoSpacing"/>
        <w:rPr>
          <w:b/>
        </w:rPr>
      </w:pPr>
    </w:p>
    <w:p w14:paraId="3924A87B" w14:textId="7300A0F6" w:rsidR="004F376D" w:rsidRPr="00BD39E4" w:rsidRDefault="004F376D" w:rsidP="00BB00AC">
      <w:pPr>
        <w:pStyle w:val="NoSpacing"/>
        <w:rPr>
          <w:b/>
        </w:rPr>
      </w:pPr>
      <w:r>
        <w:rPr>
          <w:b/>
        </w:rPr>
        <w:t>Co-</w:t>
      </w:r>
      <w:r w:rsidRPr="00BD39E4">
        <w:rPr>
          <w:b/>
        </w:rPr>
        <w:t>author:</w:t>
      </w:r>
    </w:p>
    <w:p w14:paraId="3DCA5201" w14:textId="5D8CD0CA" w:rsidR="004F376D" w:rsidRDefault="004F376D" w:rsidP="00BB00AC">
      <w:pPr>
        <w:pStyle w:val="NoSpacing"/>
      </w:pPr>
      <w:r>
        <w:t>Professor Sue Latter</w:t>
      </w:r>
    </w:p>
    <w:p w14:paraId="59BD1C7A" w14:textId="1B3133EC" w:rsidR="004F376D" w:rsidRDefault="004F376D" w:rsidP="00BB00AC">
      <w:pPr>
        <w:pStyle w:val="NoSpacing"/>
      </w:pPr>
      <w:r>
        <w:t>School of Health Sciences, University of Southampton, Southampton, UK.</w:t>
      </w:r>
    </w:p>
    <w:p w14:paraId="0AAF56EB" w14:textId="4F7A6579" w:rsidR="004F376D" w:rsidRDefault="00434B29" w:rsidP="00BB00AC">
      <w:pPr>
        <w:pStyle w:val="NoSpacing"/>
      </w:pPr>
      <w:r w:rsidRPr="00434B29">
        <w:t>S.M.Latter@soton.ac.uk</w:t>
      </w:r>
    </w:p>
    <w:p w14:paraId="1AB39AA4" w14:textId="77777777" w:rsidR="004F376D" w:rsidRDefault="004F376D" w:rsidP="00BB00AC">
      <w:pPr>
        <w:pStyle w:val="NoSpacing"/>
      </w:pPr>
    </w:p>
    <w:p w14:paraId="44FE860E" w14:textId="4DF94B64" w:rsidR="004F376D" w:rsidRDefault="004F376D" w:rsidP="00BB00AC">
      <w:pPr>
        <w:pStyle w:val="NoSpacing"/>
        <w:rPr>
          <w:b/>
        </w:rPr>
      </w:pPr>
      <w:r w:rsidRPr="00167A19">
        <w:rPr>
          <w:b/>
        </w:rPr>
        <w:t xml:space="preserve">Word count (excluding title page, abstract, references, figures and tables): </w:t>
      </w:r>
    </w:p>
    <w:p w14:paraId="30FF25D4" w14:textId="35F4030A" w:rsidR="005C158B" w:rsidRDefault="002145D2" w:rsidP="00502D0A">
      <w:pPr>
        <w:pStyle w:val="NoSpacing"/>
        <w:rPr>
          <w:bCs/>
        </w:rPr>
      </w:pPr>
      <w:r>
        <w:rPr>
          <w:bCs/>
        </w:rPr>
        <w:t>3,</w:t>
      </w:r>
      <w:r w:rsidR="00AC7CB8">
        <w:rPr>
          <w:bCs/>
        </w:rPr>
        <w:t>701</w:t>
      </w:r>
      <w:r w:rsidR="00404DC8">
        <w:rPr>
          <w:bCs/>
        </w:rPr>
        <w:t xml:space="preserve"> (</w:t>
      </w:r>
      <w:r w:rsidR="00724F68">
        <w:rPr>
          <w:bCs/>
        </w:rPr>
        <w:t xml:space="preserve">562 words in quotes (included in </w:t>
      </w:r>
      <w:r w:rsidR="0069537B">
        <w:rPr>
          <w:bCs/>
        </w:rPr>
        <w:t>word count)</w:t>
      </w:r>
      <w:r w:rsidR="00404DC8">
        <w:rPr>
          <w:bCs/>
        </w:rPr>
        <w:t>)</w:t>
      </w:r>
      <w:r w:rsidR="005C158B">
        <w:rPr>
          <w:bCs/>
        </w:rPr>
        <w:br w:type="page"/>
      </w:r>
    </w:p>
    <w:p w14:paraId="28F0D44F" w14:textId="10BF987C" w:rsidR="004F376D" w:rsidRDefault="00F041E0" w:rsidP="00BB00AC">
      <w:pPr>
        <w:pStyle w:val="NoSpacing"/>
      </w:pPr>
      <w:r w:rsidRPr="00F041E0">
        <w:rPr>
          <w:b/>
        </w:rPr>
        <w:lastRenderedPageBreak/>
        <w:t xml:space="preserve">Structured </w:t>
      </w:r>
      <w:r w:rsidR="004F376D" w:rsidRPr="00F041E0">
        <w:rPr>
          <w:b/>
        </w:rPr>
        <w:t>Abstract</w:t>
      </w:r>
      <w:r>
        <w:t xml:space="preserve"> (</w:t>
      </w:r>
      <w:r w:rsidR="00302194">
        <w:t>296</w:t>
      </w:r>
      <w:r>
        <w:t xml:space="preserve"> words)</w:t>
      </w:r>
    </w:p>
    <w:p w14:paraId="08AB06AC" w14:textId="187E0148" w:rsidR="00F041E0" w:rsidRDefault="00F041E0" w:rsidP="00BB00AC">
      <w:pPr>
        <w:rPr>
          <w:u w:val="single"/>
        </w:rPr>
      </w:pPr>
      <w:r w:rsidRPr="00F041E0">
        <w:rPr>
          <w:u w:val="single"/>
        </w:rPr>
        <w:t>Objective</w:t>
      </w:r>
      <w:r w:rsidR="006478A7">
        <w:rPr>
          <w:u w:val="single"/>
        </w:rPr>
        <w:t>s</w:t>
      </w:r>
    </w:p>
    <w:p w14:paraId="62709050" w14:textId="4A6C4E01" w:rsidR="00F041E0" w:rsidRPr="00F041E0" w:rsidRDefault="005C4BAE" w:rsidP="00BB00AC">
      <w:r>
        <w:t xml:space="preserve">Transition from originator biological medicines to their biosimilar equivalents is </w:t>
      </w:r>
      <w:r w:rsidR="009D38AE">
        <w:t xml:space="preserve">now </w:t>
      </w:r>
      <w:r>
        <w:t xml:space="preserve">part of routine clinical practice but </w:t>
      </w:r>
      <w:r w:rsidR="009D38AE">
        <w:t>there is</w:t>
      </w:r>
      <w:r>
        <w:t xml:space="preserve"> little understanding of patient </w:t>
      </w:r>
      <w:r w:rsidR="00477C3D">
        <w:t>experiences, which influence adherence and overall satisfaction with care</w:t>
      </w:r>
      <w:r>
        <w:t>. Understanding th</w:t>
      </w:r>
      <w:r w:rsidR="00477C3D">
        <w:t>is</w:t>
      </w:r>
      <w:r>
        <w:t xml:space="preserve"> will help ensure future switches </w:t>
      </w:r>
      <w:r w:rsidR="004510E7">
        <w:t xml:space="preserve">adequately </w:t>
      </w:r>
      <w:r>
        <w:t xml:space="preserve">address </w:t>
      </w:r>
      <w:r w:rsidR="00274D17">
        <w:t>patients’</w:t>
      </w:r>
      <w:r>
        <w:t xml:space="preserve"> </w:t>
      </w:r>
      <w:r w:rsidR="00274D17">
        <w:t>concerns</w:t>
      </w:r>
      <w:r>
        <w:t xml:space="preserve"> and </w:t>
      </w:r>
      <w:r w:rsidR="00274D17">
        <w:t>expectations</w:t>
      </w:r>
      <w:r w:rsidR="009D38AE">
        <w:t xml:space="preserve"> leading to better outcomes for all stakeholders</w:t>
      </w:r>
      <w:r w:rsidR="004510E7">
        <w:t>.</w:t>
      </w:r>
    </w:p>
    <w:p w14:paraId="2DF0502E" w14:textId="7314071C" w:rsidR="00F041E0" w:rsidRPr="00F041E0" w:rsidRDefault="006478A7" w:rsidP="00BB00AC">
      <w:pPr>
        <w:rPr>
          <w:u w:val="single"/>
        </w:rPr>
      </w:pPr>
      <w:r>
        <w:rPr>
          <w:u w:val="single"/>
        </w:rPr>
        <w:t>Method</w:t>
      </w:r>
    </w:p>
    <w:p w14:paraId="135D3C09" w14:textId="090818D1" w:rsidR="00F041E0" w:rsidRDefault="005C4BAE" w:rsidP="00BB00AC">
      <w:r>
        <w:t xml:space="preserve">35 patients participating in a clinical trial </w:t>
      </w:r>
      <w:r w:rsidR="00BE3FFB">
        <w:t>includ</w:t>
      </w:r>
      <w:r w:rsidR="00EB38D9">
        <w:t>ing</w:t>
      </w:r>
      <w:r w:rsidR="003C49FA">
        <w:t xml:space="preserve"> an </w:t>
      </w:r>
      <w:r w:rsidR="00BE3FFB" w:rsidRPr="00BE3FFB">
        <w:t>open-label transition event</w:t>
      </w:r>
      <w:r>
        <w:t xml:space="preserve"> from originator to biosimilar adalimumab</w:t>
      </w:r>
      <w:r w:rsidR="003C49FA">
        <w:t>,</w:t>
      </w:r>
      <w:r>
        <w:t xml:space="preserve"> </w:t>
      </w:r>
      <w:r w:rsidR="00BE3FFB">
        <w:t>mimicking what would be encountered in a real</w:t>
      </w:r>
      <w:r w:rsidR="00706B2C">
        <w:t>-</w:t>
      </w:r>
      <w:r w:rsidR="00BE3FFB">
        <w:t>world setting</w:t>
      </w:r>
      <w:r w:rsidR="003C49FA">
        <w:t>,</w:t>
      </w:r>
      <w:r w:rsidR="00BE3FFB">
        <w:t xml:space="preserve"> </w:t>
      </w:r>
      <w:r>
        <w:t xml:space="preserve">took </w:t>
      </w:r>
      <w:r w:rsidR="00A47510">
        <w:t xml:space="preserve">part in </w:t>
      </w:r>
      <w:r>
        <w:t>semi-structured interviews exploring their experience of biosimilar transition.</w:t>
      </w:r>
    </w:p>
    <w:p w14:paraId="1B4D39A9" w14:textId="77777777" w:rsidR="00F041E0" w:rsidRPr="00F041E0" w:rsidRDefault="00F041E0" w:rsidP="00BB00AC">
      <w:pPr>
        <w:rPr>
          <w:u w:val="single"/>
        </w:rPr>
      </w:pPr>
      <w:r w:rsidRPr="00F041E0">
        <w:rPr>
          <w:u w:val="single"/>
        </w:rPr>
        <w:t>Results</w:t>
      </w:r>
    </w:p>
    <w:p w14:paraId="5849F8E0" w14:textId="77777777" w:rsidR="00FC7EBF" w:rsidRDefault="00FC7EBF" w:rsidP="00BB00AC">
      <w:bookmarkStart w:id="0" w:name="_Hlk88474758"/>
      <w:r>
        <w:t xml:space="preserve">Opinions expressed were often </w:t>
      </w:r>
      <w:r w:rsidRPr="00BA682D">
        <w:t>heterogeneous</w:t>
      </w:r>
      <w:r>
        <w:t xml:space="preserve">, but common experiences and themes were identified. </w:t>
      </w:r>
      <w:r w:rsidR="00274D17">
        <w:t>Five themes were identified</w:t>
      </w:r>
      <w:r w:rsidR="00D06F11">
        <w:t xml:space="preserve"> following thematic analysis</w:t>
      </w:r>
      <w:r w:rsidR="00274D17">
        <w:t>:</w:t>
      </w:r>
      <w:r w:rsidR="00D95846">
        <w:t xml:space="preserve"> </w:t>
      </w:r>
    </w:p>
    <w:p w14:paraId="3667CE0F" w14:textId="4A35A492" w:rsidR="00FC7EBF" w:rsidRDefault="00274D17" w:rsidP="00BB00AC">
      <w:r>
        <w:t xml:space="preserve">(1) </w:t>
      </w:r>
      <w:r w:rsidR="009C209B">
        <w:t>U</w:t>
      </w:r>
      <w:r>
        <w:t>nderstanding and awareness of biosimilars</w:t>
      </w:r>
      <w:r w:rsidR="00FC7EBF">
        <w:t>:</w:t>
      </w:r>
      <w:r>
        <w:t xml:space="preserve"> </w:t>
      </w:r>
      <w:r w:rsidR="00FC7EBF">
        <w:t xml:space="preserve">prior awareness of biosimilars and knowledge of the biosimilar concept was low indicating a disparity between healthcare professionals and patients. </w:t>
      </w:r>
    </w:p>
    <w:p w14:paraId="369DEA52" w14:textId="381C257F" w:rsidR="00FC7EBF" w:rsidRDefault="00274D17" w:rsidP="00BB00AC">
      <w:r>
        <w:t xml:space="preserve">(2) </w:t>
      </w:r>
      <w:r w:rsidR="00FC7EBF">
        <w:t>M</w:t>
      </w:r>
      <w:r>
        <w:t>otivation to undertake transition</w:t>
      </w:r>
      <w:r w:rsidR="00FC7EBF">
        <w:t xml:space="preserve">: </w:t>
      </w:r>
      <w:r w:rsidR="0033798C">
        <w:t>p</w:t>
      </w:r>
      <w:r w:rsidR="00FC7EBF">
        <w:t>atients accept a biosimilar transition to minimise drug expenditure.</w:t>
      </w:r>
    </w:p>
    <w:p w14:paraId="3295E8D2" w14:textId="2AC76E73" w:rsidR="00FC7EBF" w:rsidRDefault="00274D17" w:rsidP="00BB00AC">
      <w:r>
        <w:t xml:space="preserve">(3) </w:t>
      </w:r>
      <w:r w:rsidR="00FC7EBF">
        <w:t>I</w:t>
      </w:r>
      <w:r>
        <w:t>nitial concerns</w:t>
      </w:r>
      <w:r w:rsidR="00FC7EBF">
        <w:t xml:space="preserve">: </w:t>
      </w:r>
      <w:r w:rsidR="00186180">
        <w:t>p</w:t>
      </w:r>
      <w:r w:rsidR="00FC7EBF">
        <w:t>rior to undertaking biosimilar transition away from the brand they had experienced, anticipated loss of efficacy and adverse effects from the biosimilar were common concerns for patients.</w:t>
      </w:r>
    </w:p>
    <w:p w14:paraId="16841C3A" w14:textId="4EF61559" w:rsidR="00FC7EBF" w:rsidRDefault="00274D17" w:rsidP="00BB00AC">
      <w:r>
        <w:t xml:space="preserve">(4) </w:t>
      </w:r>
      <w:r w:rsidR="00FC7EBF">
        <w:t>R</w:t>
      </w:r>
      <w:r>
        <w:t>eassuring factors</w:t>
      </w:r>
      <w:r w:rsidR="00FC7EBF">
        <w:t>:</w:t>
      </w:r>
      <w:r>
        <w:t xml:space="preserve"> </w:t>
      </w:r>
      <w:r w:rsidR="00FC7EBF">
        <w:t>trust in the healthcare team is critical to patient acceptance of biosimilars. Important reassurances include a point of contact, education about biosimilars and monitoring.</w:t>
      </w:r>
    </w:p>
    <w:p w14:paraId="7D6446E7" w14:textId="546CB31E" w:rsidR="00274D17" w:rsidRDefault="00274D17" w:rsidP="00BB00AC">
      <w:r>
        <w:lastRenderedPageBreak/>
        <w:t>(5)</w:t>
      </w:r>
      <w:r w:rsidR="009C209B">
        <w:t xml:space="preserve"> E</w:t>
      </w:r>
      <w:r w:rsidR="007B1B0D" w:rsidRPr="007B1B0D">
        <w:t>xperiences during the transition</w:t>
      </w:r>
      <w:r w:rsidR="00FC7EBF">
        <w:t>:</w:t>
      </w:r>
      <w:r>
        <w:t xml:space="preserve"> </w:t>
      </w:r>
      <w:r w:rsidR="00FC7EBF">
        <w:t>on reflection, participants described consistent efficacy and tolerability (although 22 participants specifically mentioned injection pain) following brand transition</w:t>
      </w:r>
      <w:r w:rsidR="008E0054">
        <w:t>. T</w:t>
      </w:r>
      <w:r w:rsidR="00FC7EBF">
        <w:t>he majority feel comfortable with future transition to another adalimumab biosimilar.</w:t>
      </w:r>
      <w:r w:rsidR="00FC7EBF" w:rsidRPr="00561F06">
        <w:t xml:space="preserve"> </w:t>
      </w:r>
      <w:r w:rsidR="00FC7EBF">
        <w:t>Injection experience was an important component of patient satisfaction.</w:t>
      </w:r>
    </w:p>
    <w:bookmarkEnd w:id="0"/>
    <w:p w14:paraId="7A18BA5D" w14:textId="6261BB93" w:rsidR="00F041E0" w:rsidRPr="00F041E0" w:rsidRDefault="00F041E0" w:rsidP="00BB00AC">
      <w:pPr>
        <w:rPr>
          <w:u w:val="single"/>
        </w:rPr>
      </w:pPr>
      <w:r w:rsidRPr="00F041E0">
        <w:rPr>
          <w:u w:val="single"/>
        </w:rPr>
        <w:t>Conclusion</w:t>
      </w:r>
      <w:r w:rsidR="006478A7">
        <w:rPr>
          <w:u w:val="single"/>
        </w:rPr>
        <w:t>s</w:t>
      </w:r>
    </w:p>
    <w:p w14:paraId="57FAFB0A" w14:textId="48E72FEE" w:rsidR="00F041E0" w:rsidRDefault="00274D17" w:rsidP="00BB00AC">
      <w:r w:rsidRPr="00274D17">
        <w:t>While biosimilars have driven a reduction in drug acquisition costs, the majority of patients have little knowledge and some concerns about transitioning to a biosimilar but</w:t>
      </w:r>
      <w:r w:rsidR="00A654BA">
        <w:t>,</w:t>
      </w:r>
      <w:r w:rsidRPr="00274D17">
        <w:t xml:space="preserve"> </w:t>
      </w:r>
      <w:r w:rsidR="00FE21CD">
        <w:t xml:space="preserve">if supported by a trusted clinical team, </w:t>
      </w:r>
      <w:r w:rsidRPr="00274D17">
        <w:t>accept the principles and can be reassured. The wide-ranging views elucidated suggest that a tailored, patient-centred approach is key to successful implementation.</w:t>
      </w:r>
    </w:p>
    <w:p w14:paraId="4A03056A" w14:textId="56211E34" w:rsidR="00F041E0" w:rsidRPr="00AC7CB8" w:rsidRDefault="00F579DB" w:rsidP="00BB00AC">
      <w:pPr>
        <w:rPr>
          <w:b/>
          <w:bCs/>
        </w:rPr>
      </w:pPr>
      <w:r w:rsidRPr="00AC7CB8">
        <w:rPr>
          <w:b/>
          <w:bCs/>
        </w:rPr>
        <w:t>Key messages:</w:t>
      </w:r>
    </w:p>
    <w:p w14:paraId="4C62DB68" w14:textId="03C35EC9" w:rsidR="00F579DB" w:rsidRPr="00AC7CB8" w:rsidRDefault="00F579DB" w:rsidP="00F579DB">
      <w:pPr>
        <w:rPr>
          <w:u w:val="single"/>
        </w:rPr>
      </w:pPr>
      <w:r w:rsidRPr="00AC7CB8">
        <w:rPr>
          <w:u w:val="single"/>
        </w:rPr>
        <w:t>What is already known on this topic:</w:t>
      </w:r>
    </w:p>
    <w:p w14:paraId="710928F0" w14:textId="77777777" w:rsidR="00EC185A" w:rsidRDefault="00EC185A" w:rsidP="00EC185A">
      <w:r>
        <w:t xml:space="preserve">Biosimilars of adalimumab are now part of routine clinical practice and are expected to be as effective as the originator medicine. </w:t>
      </w:r>
    </w:p>
    <w:p w14:paraId="07747D98" w14:textId="77777777" w:rsidR="00EC185A" w:rsidRDefault="00EC185A" w:rsidP="00EC185A">
      <w:r>
        <w:t>Patient experience may influence adherence to medication and is essential for optimising outcomes.</w:t>
      </w:r>
    </w:p>
    <w:p w14:paraId="41BDD70D" w14:textId="13BEE337" w:rsidR="00AB1E7C" w:rsidRDefault="00EC185A" w:rsidP="00EC185A">
      <w:r>
        <w:t>Current understanding of the patient perspective of biosimilar transition is limited.</w:t>
      </w:r>
      <w:r w:rsidR="00AB1E7C">
        <w:t xml:space="preserve"> </w:t>
      </w:r>
    </w:p>
    <w:p w14:paraId="099E7026" w14:textId="1C1EE725" w:rsidR="00F579DB" w:rsidRPr="00AC7CB8" w:rsidRDefault="00F579DB" w:rsidP="00F579DB">
      <w:pPr>
        <w:rPr>
          <w:u w:val="single"/>
        </w:rPr>
      </w:pPr>
      <w:r w:rsidRPr="00AC7CB8">
        <w:rPr>
          <w:u w:val="single"/>
        </w:rPr>
        <w:t>What this study adds:</w:t>
      </w:r>
    </w:p>
    <w:p w14:paraId="69744F6B" w14:textId="77777777" w:rsidR="00EC185A" w:rsidRDefault="00EC185A" w:rsidP="00F579DB">
      <w:r w:rsidRPr="00EC185A">
        <w:t>This paper describes the patient experience of transition from originator to biosimilar adalimumab, including identification of the features that are important and reassuring to patients.</w:t>
      </w:r>
    </w:p>
    <w:p w14:paraId="4F909979" w14:textId="00C039C1" w:rsidR="00F579DB" w:rsidRPr="00AC7CB8" w:rsidRDefault="00F579DB" w:rsidP="00F579DB">
      <w:pPr>
        <w:rPr>
          <w:u w:val="single"/>
        </w:rPr>
      </w:pPr>
      <w:r w:rsidRPr="00AC7CB8">
        <w:rPr>
          <w:u w:val="single"/>
        </w:rPr>
        <w:t>How this study might affect research, practice or policy:</w:t>
      </w:r>
    </w:p>
    <w:p w14:paraId="4AFC79F9" w14:textId="778A335C" w:rsidR="00F579DB" w:rsidRDefault="00EC185A" w:rsidP="00F579DB">
      <w:r w:rsidRPr="00EC185A">
        <w:t>A carefully planned, individualised and supported approach to biosimilar transition is key to success.</w:t>
      </w:r>
    </w:p>
    <w:p w14:paraId="207F4198" w14:textId="77777777" w:rsidR="006478A7" w:rsidRPr="00896CB5" w:rsidRDefault="006478A7" w:rsidP="00BB00AC">
      <w:pPr>
        <w:pStyle w:val="NoSpacing"/>
        <w:rPr>
          <w:b/>
        </w:rPr>
      </w:pPr>
      <w:r w:rsidRPr="00896CB5">
        <w:rPr>
          <w:b/>
        </w:rPr>
        <w:t>Keywords:</w:t>
      </w:r>
    </w:p>
    <w:p w14:paraId="4D041BE4" w14:textId="77777777" w:rsidR="006478A7" w:rsidRDefault="006478A7" w:rsidP="00BB00AC">
      <w:pPr>
        <w:pStyle w:val="NoSpacing"/>
      </w:pPr>
      <w:r>
        <w:t>CROHN'S DISEASE</w:t>
      </w:r>
    </w:p>
    <w:p w14:paraId="31AED218" w14:textId="77777777" w:rsidR="006478A7" w:rsidRDefault="006478A7" w:rsidP="00BB00AC">
      <w:pPr>
        <w:pStyle w:val="NoSpacing"/>
      </w:pPr>
      <w:r>
        <w:lastRenderedPageBreak/>
        <w:t>INFLAMMATORY BOWEL DISEASE</w:t>
      </w:r>
    </w:p>
    <w:p w14:paraId="1ABEBB83" w14:textId="77777777" w:rsidR="006478A7" w:rsidRDefault="006478A7" w:rsidP="00BB00AC">
      <w:pPr>
        <w:pStyle w:val="NoSpacing"/>
      </w:pPr>
      <w:r>
        <w:t>BIOSIMILARS</w:t>
      </w:r>
    </w:p>
    <w:p w14:paraId="3E599B64" w14:textId="77777777" w:rsidR="005C158B" w:rsidRDefault="005C158B" w:rsidP="00BB00AC">
      <w:pPr>
        <w:pStyle w:val="NoSpacing"/>
      </w:pPr>
      <w:r>
        <w:t>ADALIMUMAB</w:t>
      </w:r>
    </w:p>
    <w:p w14:paraId="2C812A77" w14:textId="319A19C0" w:rsidR="004F376D" w:rsidRDefault="006478A7" w:rsidP="00502D0A">
      <w:pPr>
        <w:pStyle w:val="NoSpacing"/>
        <w:rPr>
          <w:rFonts w:ascii="Calibri" w:eastAsiaTheme="majorEastAsia" w:hAnsi="Calibri" w:cs="Calibri"/>
          <w:b/>
          <w:bCs/>
          <w:i/>
          <w:color w:val="000000"/>
          <w:sz w:val="28"/>
          <w:szCs w:val="26"/>
        </w:rPr>
      </w:pPr>
      <w:r>
        <w:t>PATIENT PERSPECTIVE</w:t>
      </w:r>
      <w:r w:rsidR="004F376D">
        <w:br w:type="page"/>
      </w:r>
    </w:p>
    <w:p w14:paraId="24707711" w14:textId="7C5A3A72" w:rsidR="000F50DA" w:rsidRPr="004F376D" w:rsidRDefault="000F50DA" w:rsidP="00BB00AC">
      <w:pPr>
        <w:pStyle w:val="Heading1"/>
      </w:pPr>
      <w:r w:rsidRPr="004F376D">
        <w:lastRenderedPageBreak/>
        <w:t>Introduction</w:t>
      </w:r>
    </w:p>
    <w:p w14:paraId="09948AC4" w14:textId="6CBC60EA" w:rsidR="00B14D94" w:rsidRDefault="00FE0306" w:rsidP="00BB00AC">
      <w:r>
        <w:t xml:space="preserve">Crohn’s disease (CD) is a chronic, relapsing and disabling inflammatory disorder </w:t>
      </w:r>
      <w:r w:rsidR="00C912C1">
        <w:t xml:space="preserve">associated with progressive damage </w:t>
      </w:r>
      <w:r w:rsidR="009D38AE">
        <w:t xml:space="preserve">to </w:t>
      </w:r>
      <w:r>
        <w:t>the g</w:t>
      </w:r>
      <w:r w:rsidR="00C912C1">
        <w:t xml:space="preserve">astrointestinal tract. </w:t>
      </w:r>
      <w:r w:rsidR="00B14D94">
        <w:t xml:space="preserve">Therapeutic monoclonal antibodies have </w:t>
      </w:r>
      <w:r w:rsidR="009D38AE">
        <w:t xml:space="preserve">significantly </w:t>
      </w:r>
      <w:r w:rsidR="00B14D94">
        <w:t>improved outcomes for patients</w:t>
      </w:r>
      <w:r>
        <w:t xml:space="preserve"> with </w:t>
      </w:r>
      <w:r w:rsidR="00C912C1">
        <w:t>CD</w:t>
      </w:r>
      <w:r w:rsidR="00B14D94">
        <w:t xml:space="preserve"> but </w:t>
      </w:r>
      <w:r>
        <w:t xml:space="preserve">represent </w:t>
      </w:r>
      <w:r w:rsidR="00B14D94">
        <w:t>a significant financial burden for health systems</w:t>
      </w:r>
      <w:r w:rsidR="006A5299">
        <w:t>.</w:t>
      </w:r>
      <w:r>
        <w:fldChar w:fldCharType="begin"/>
      </w:r>
      <w:r w:rsidR="0023455F">
        <w:instrText xml:space="preserve"> ADDIN ZOTERO_ITEM CSL_CITATION {"citationID":"5HYno4FY","properties":{"formattedCitation":"[1]","plainCitation":"[1]","noteIndex":0},"citationItems":[{"id":463,"uris":["http://zotero.org/users/5054817/items/A3MTJ2IR"],"uri":["http://zotero.org/users/5054817/items/A3MTJ2IR"],"itemData":{"id":463,"type":"article-journal","container-title":"The Lancet Gastroenterology &amp; Hepatology","DOI":"10.1016/S2468-1253(20)30012-1","ISSN":"24681253","issue":"5","journalAbbreviation":"The Lancet Gastroenterology &amp; Hepatology","language":"en","page":"454-464","source":"DOI.org (Crossref)","title":"Health-care costs of inflammatory bowel disease in a pan-European, community-based, inception cohort during 5 years of follow-up: a population-based study","title-short":"Health-care costs of inflammatory bowel disease in a pan-European, community-based, inception cohort during 5 years of follow-up","volume":"5","author":[{"family":"Burisch","given":"Johan"},{"family":"Vardi","given":"Hillel"},{"family":"Schwartz","given":"Doron"},{"family":"Friger","given":"Michael"},{"family":"Kiudelis","given":"Gediminas"},{"family":"Kupčinskas","given":"Juozas"},{"family":"Fumery","given":"Mathurin"},{"family":"Gower-Rousseau","given":"Corinne"},{"family":"Lakatos","given":"Laszlo"},{"family":"Lakatos","given":"Peter L"},{"family":"D'Incà","given":"Renata"},{"family":"Sartini","given":"Alessandro"},{"family":"Valpiani","given":"Daniela"},{"family":"Giannotta","given":"Martina"},{"family":"Arebi","given":"Naila"},{"family":"Duricova","given":"Dana"},{"family":"Bortlik","given":"Martin"},{"family":"Chetcuti Zammit","given":"Stefania"},{"family":"Ellul","given":"Pierre"},{"family":"Pedersen","given":"Natalia"},{"family":"Kjeldsen","given":"Jens"},{"family":"Midjord","given":"Jóngerð Maria Miné"},{"family":"Nielsen","given":"Kári Rubek"},{"family":"Winther Andersen","given":"Karina"},{"family":"Andersen","given":"Vibeke"},{"family":"Katsanos","given":"Konstantinos H"},{"family":"Christodoulou","given":"Dimitrios K"},{"family":"Domislovic","given":"Viktor"},{"family":"Krznaric","given":"Zeljko"},{"family":"Sebastian","given":"Shaji"},{"family":"Oksanen","given":"Pia"},{"family":"Collin","given":"Pekka"},{"family":"Barros","given":"Luisa"},{"family":"Magro","given":"Fernando"},{"family":"Salupere","given":"Riina"},{"family":"Kievit","given":"Hendrika Adriana Linda"},{"family":"Goldis","given":"Adrian"},{"family":"Kaimakliotis","given":"Ioannis P"},{"family":"Dahlerup","given":"Jens F"},{"family":"Eriksson","given":"Carl"},{"family":"Halfvarson","given":"Jonas"},{"family":"Fernandez","given":"Alberto"},{"family":"Hernandez","given":"Vicent"},{"family":"Turcan","given":"Svetlana"},{"family":"Belousova","given":"Elena"},{"family":"Langholz","given":"Ebbe"},{"family":"Munkholm","given":"Pia"},{"family":"Odes","given":"Selwyn"},{"family":"Turk","given":"Niksa"},{"family":"Cukovic-Cavka","given":"Silvija"},{"family":"Nicolaou","given":"Anastasia"},{"family":"Lukas","given":"Milan"},{"family":"Shonová","given":"Olga"},{"family":"Blichfeldt","given":"Birgitte"},{"family":"Marker","given":"Dorte"},{"family":"Carlsen","given":"Katrine"},{"family":"Weimers","given":"Petra"},{"family":"Aalykke","given":"Clays"},{"family":"Kudsk","given":"Karen"},{"family":"Vind","given":"Ida"},{"family":"Thorsgaard","given":"Niels"},{"family":"Skamnelos","given":"Alexandros"},{"family":"Politis","given":"Dimitrios"},{"family":"Vegh","given":"Zsuzsanna"},{"family":"Demenyi","given":"Peterne"},{"family":"Nemethne Kramli","given":"Szabina"},{"family":"Dal Piaz","given":"Giualia"},{"family":"Santini","given":"Alessia"},{"family":"Girardin","given":"Giulia"},{"family":"Kupcinskas","given":"Limas"},{"family":"Jonaitis","given":"Laimas"},{"family":"Valantiene","given":"Irena"},{"family":"Zykus","given":"Romanas"},{"family":"Kucinskiene","given":"Ruta"},{"family":"Lazar","given":"Daniela"},{"family":"Nikulina","given":"Inna"},{"family":"Castro","given":"Luisa","non-dropping-particle":"de"},{"family":"Pineda","given":"Juan-Ramon"},{"family":"Pereira","given":"Santos"},{"family":"Martinez-Cadilla","given":"Jesus"},{"family":"Sanroman","given":"Luciano"},{"family":"Figueira","given":"Montserrat"},{"family":"Ares","given":"David Martinez"},{"family":"Rodriguez-Prada","given":"Jose-Ignacio"},{"family":"Carmona","given":"Amalia"},{"family":"Gonzalez-Portela","given":"Carlos"},{"family":"Widen","given":"Ulla-Britt"},{"family":"Myers","given":"Sally"},{"family":"Ashton","given":"Katherine"},{"family":"Whitehead","given":"Emma"}],"issued":{"date-parts":[["2020",5]]}}}],"schema":"https://github.com/citation-style-language/schema/raw/master/csl-citation.json"} </w:instrText>
      </w:r>
      <w:r>
        <w:fldChar w:fldCharType="separate"/>
      </w:r>
      <w:r w:rsidR="0023455F" w:rsidRPr="0023455F">
        <w:rPr>
          <w:rFonts w:ascii="Calibri" w:hAnsi="Calibri" w:cs="Calibri"/>
        </w:rPr>
        <w:t>[1]</w:t>
      </w:r>
      <w:r>
        <w:fldChar w:fldCharType="end"/>
      </w:r>
      <w:r w:rsidR="00B14D94">
        <w:t xml:space="preserve"> The complex nature of these medicines and microheterogeneity inherent in products of biological systems </w:t>
      </w:r>
      <w:r w:rsidR="00ED352E">
        <w:t>makes</w:t>
      </w:r>
      <w:r w:rsidR="00B14D94">
        <w:t xml:space="preserve"> an “identical” copy</w:t>
      </w:r>
      <w:r w:rsidR="00F709CC">
        <w:t xml:space="preserve"> </w:t>
      </w:r>
      <w:r w:rsidR="005303BA">
        <w:t xml:space="preserve">of an originator molecule </w:t>
      </w:r>
      <w:r w:rsidR="00B14D94">
        <w:t>impossible to achieve</w:t>
      </w:r>
      <w:r w:rsidR="006A5299">
        <w:t>.</w:t>
      </w:r>
      <w:r w:rsidR="009331DD">
        <w:fldChar w:fldCharType="begin"/>
      </w:r>
      <w:r w:rsidR="0023455F">
        <w:instrText xml:space="preserve"> ADDIN ZOTERO_ITEM CSL_CITATION {"citationID":"2tFiC8WX","properties":{"formattedCitation":"[2]","plainCitation":"[2]","noteIndex":0},"citationItems":[{"id":471,"uris":["http://zotero.org/users/5054817/items/S76RDVIR"],"uri":["http://zotero.org/users/5054817/items/S76RDVIR"],"itemData":{"id":471,"type":"article-journal","container-title":"Considerations in Medicine","DOI":"10.1136/conmed-2017-100003","ISSN":"2515-3919, 2515-3927","issue":"1","journalAbbreviation":"Considerations Med","language":"en","page":"3-6","source":"DOI.org (Crossref)","title":"The biosimilar approval process: how different is it?","title-short":"The biosimilar approval process","volume":"1","author":[{"family":"Isaacs","given":"John"},{"family":"Gonçalves","given":"João"},{"family":"Strohal","given":"Robert"},{"family":"Castañeda-Hernández","given":"Gilberto"},{"family":"Azevedo","given":"Valderilio"},{"family":"Dörner","given":"Thomas"},{"family":"McInnes","given":"Iain"}],"issued":{"date-parts":[["2017",11]]}}}],"schema":"https://github.com/citation-style-language/schema/raw/master/csl-citation.json"} </w:instrText>
      </w:r>
      <w:r w:rsidR="009331DD">
        <w:fldChar w:fldCharType="separate"/>
      </w:r>
      <w:r w:rsidR="0023455F" w:rsidRPr="0023455F">
        <w:rPr>
          <w:rFonts w:ascii="Calibri" w:hAnsi="Calibri" w:cs="Calibri"/>
        </w:rPr>
        <w:t>[2]</w:t>
      </w:r>
      <w:r w:rsidR="009331DD">
        <w:fldChar w:fldCharType="end"/>
      </w:r>
      <w:r w:rsidR="00B14D94">
        <w:t xml:space="preserve"> Biosimilar medicines are those that have passed an extensive comparability exercise to demonstrate no clinically meaningful difference in</w:t>
      </w:r>
      <w:r w:rsidR="00762F3D">
        <w:t xml:space="preserve"> terms of purity, safety and potency as well as equivalent efficacy and similar safety and immunogenicity</w:t>
      </w:r>
      <w:r w:rsidR="00B14D94">
        <w:t xml:space="preserve"> to a reference</w:t>
      </w:r>
      <w:r w:rsidR="00AC7150">
        <w:t xml:space="preserve"> biological</w:t>
      </w:r>
      <w:r w:rsidR="00B14D94">
        <w:t xml:space="preserve"> medicinal product that is already approved</w:t>
      </w:r>
      <w:r w:rsidR="00B14D94">
        <w:fldChar w:fldCharType="begin"/>
      </w:r>
      <w:r w:rsidR="0023455F">
        <w:instrText xml:space="preserve"> ADDIN ZOTERO_ITEM CSL_CITATION {"citationID":"QCYmZ8OE","properties":{"formattedCitation":"[3]","plainCitation":"[3]","noteIndex":0},"citationItems":[{"id":462,"uris":["http://zotero.org/users/5054817/items/7WVD9Q2W"],"uri":["http://zotero.org/users/5054817/items/7WVD9Q2W"],"itemData":{"id":462,"type":"report","event-place":"London","publisher":"European Medicines Agency","publisher-place":"London","title":"Guideline on similar biological medicinal products containing biotechnology-derived proteins as active substance: quality issues (revision 1)","URL":"https://www.ema.europa.eu/en/documents/scientific-guideline/guideline-similar-biological-medicinal-products-containing-biotechnology-derived-proteins-active_en-0.pdf","author":[{"literal":"Committee for Medicinal Products for Human Use (CHMP)"}],"accessed":{"date-parts":[["2021",3,16]]},"issued":{"date-parts":[["2014",5,22]]}}}],"schema":"https://github.com/citation-style-language/schema/raw/master/csl-citation.json"} </w:instrText>
      </w:r>
      <w:r w:rsidR="00B14D94">
        <w:fldChar w:fldCharType="separate"/>
      </w:r>
      <w:r w:rsidR="0023455F" w:rsidRPr="0023455F">
        <w:rPr>
          <w:rFonts w:ascii="Calibri" w:hAnsi="Calibri" w:cs="Calibri"/>
        </w:rPr>
        <w:t>[3]</w:t>
      </w:r>
      <w:r w:rsidR="00B14D94">
        <w:fldChar w:fldCharType="end"/>
      </w:r>
      <w:r w:rsidR="00B14D94" w:rsidRPr="00B14D94">
        <w:t xml:space="preserve"> </w:t>
      </w:r>
      <w:r w:rsidR="00B14D94">
        <w:t>(the ‘originator</w:t>
      </w:r>
      <w:r w:rsidR="00ED352E">
        <w:t>’</w:t>
      </w:r>
      <w:r w:rsidR="00B14D94">
        <w:t xml:space="preserve">). </w:t>
      </w:r>
      <w:r w:rsidR="00ED352E">
        <w:t xml:space="preserve">Biosimilar medicines </w:t>
      </w:r>
      <w:r>
        <w:t xml:space="preserve">have the potential </w:t>
      </w:r>
      <w:r w:rsidR="00ED352E">
        <w:t>to reduce treatment costs</w:t>
      </w:r>
      <w:r w:rsidR="004B2003">
        <w:t xml:space="preserve"> as they are often less expensive than the originator and introduction of competition often reduces the acquisition cost of the originator medicine</w:t>
      </w:r>
      <w:r w:rsidR="00ED352E">
        <w:t>.</w:t>
      </w:r>
    </w:p>
    <w:p w14:paraId="6986B58B" w14:textId="092ED33B" w:rsidR="008109DE" w:rsidRPr="00AC7CB8" w:rsidRDefault="00BA575D" w:rsidP="00AC7CB8">
      <w:r>
        <w:t>Adalimumab</w:t>
      </w:r>
      <w:r w:rsidR="00E82564">
        <w:t>,</w:t>
      </w:r>
      <w:r w:rsidR="00813720">
        <w:t xml:space="preserve"> </w:t>
      </w:r>
      <w:r w:rsidR="00E82564">
        <w:t>a monoclonal antibody</w:t>
      </w:r>
      <w:r w:rsidR="00AF7F8C">
        <w:t xml:space="preserve"> </w:t>
      </w:r>
      <w:r w:rsidR="00882D7C">
        <w:t xml:space="preserve">targeting </w:t>
      </w:r>
      <w:r w:rsidR="00AF7F8C">
        <w:t xml:space="preserve">the pro-inflammatory cytokine tumour necrosis factor </w:t>
      </w:r>
      <w:r w:rsidR="006B6D1E">
        <w:t xml:space="preserve">alpha </w:t>
      </w:r>
      <w:r w:rsidR="00AF7F8C">
        <w:t>(TNF</w:t>
      </w:r>
      <w:r w:rsidR="006B6D1E">
        <w:t>-</w:t>
      </w:r>
      <w:r w:rsidR="006B6D1E">
        <w:rPr>
          <w:rFonts w:cstheme="minorHAnsi"/>
        </w:rPr>
        <w:t>α</w:t>
      </w:r>
      <w:r w:rsidR="00AF7F8C">
        <w:t>)</w:t>
      </w:r>
      <w:r w:rsidR="00E82564">
        <w:t xml:space="preserve">, is </w:t>
      </w:r>
      <w:r w:rsidR="00813720">
        <w:t xml:space="preserve">an established </w:t>
      </w:r>
      <w:r w:rsidR="009469FA">
        <w:t>and widely</w:t>
      </w:r>
      <w:r w:rsidR="005C158B">
        <w:t xml:space="preserve"> </w:t>
      </w:r>
      <w:r w:rsidR="00FE0306">
        <w:t xml:space="preserve">used </w:t>
      </w:r>
      <w:r w:rsidR="00813720">
        <w:t xml:space="preserve">treatment for </w:t>
      </w:r>
      <w:r w:rsidR="00C912C1">
        <w:t>C</w:t>
      </w:r>
      <w:r w:rsidR="00813720">
        <w:t>D.</w:t>
      </w:r>
      <w:r w:rsidR="00C912C1">
        <w:t xml:space="preserve"> </w:t>
      </w:r>
      <w:r w:rsidR="00AD5B06">
        <w:t xml:space="preserve">This is supplied as a pre-filled injection device that patients administer in their own homes reducing </w:t>
      </w:r>
      <w:r w:rsidR="00855B41">
        <w:t xml:space="preserve">the impact of treatment on their </w:t>
      </w:r>
      <w:r w:rsidR="00376AE1">
        <w:t>lives and promoting independent management of their condition</w:t>
      </w:r>
      <w:r w:rsidR="00855B41">
        <w:t>.</w:t>
      </w:r>
      <w:r w:rsidR="00AD5B06">
        <w:t xml:space="preserve"> </w:t>
      </w:r>
      <w:r w:rsidR="009469FA">
        <w:t xml:space="preserve">The patent for the originator adalimumab medicine </w:t>
      </w:r>
      <w:r w:rsidR="00882D7C">
        <w:t xml:space="preserve">(brand name Humira®) </w:t>
      </w:r>
      <w:r w:rsidR="009469FA">
        <w:t>in Europe expir</w:t>
      </w:r>
      <w:r w:rsidR="00C56C9A">
        <w:t>ed in October</w:t>
      </w:r>
      <w:r w:rsidR="004D3995">
        <w:t xml:space="preserve"> 2018.</w:t>
      </w:r>
      <w:r w:rsidR="00E82564">
        <w:t xml:space="preserve"> </w:t>
      </w:r>
      <w:r w:rsidR="0004729C">
        <w:t>As C</w:t>
      </w:r>
      <w:r w:rsidR="00882D7C">
        <w:t>D</w:t>
      </w:r>
      <w:r w:rsidR="0004729C">
        <w:t xml:space="preserve"> is not deemed</w:t>
      </w:r>
      <w:r w:rsidR="00882D7C">
        <w:t xml:space="preserve"> </w:t>
      </w:r>
      <w:r w:rsidR="0004729C">
        <w:t xml:space="preserve">to be a </w:t>
      </w:r>
      <w:r w:rsidR="00B75E89">
        <w:t>“</w:t>
      </w:r>
      <w:r w:rsidR="0004729C">
        <w:t>sensitive</w:t>
      </w:r>
      <w:r w:rsidR="00B75E89">
        <w:t>”</w:t>
      </w:r>
      <w:r w:rsidR="0004729C">
        <w:t xml:space="preserve"> indication </w:t>
      </w:r>
      <w:r w:rsidR="005303BA">
        <w:t xml:space="preserve">in the biosimilar approval pathway, </w:t>
      </w:r>
      <w:r w:rsidR="009F26BF">
        <w:t xml:space="preserve">authorisation </w:t>
      </w:r>
      <w:r w:rsidR="005303BA">
        <w:t xml:space="preserve">for this indication was given via extrapolation with </w:t>
      </w:r>
      <w:r w:rsidR="006662F1">
        <w:t>evidence for the efficacy in this indication be</w:t>
      </w:r>
      <w:r w:rsidR="005303BA">
        <w:t>ing</w:t>
      </w:r>
      <w:r w:rsidR="006662F1">
        <w:t xml:space="preserve"> obtained</w:t>
      </w:r>
      <w:r w:rsidR="008E0054">
        <w:t xml:space="preserve"> in</w:t>
      </w:r>
      <w:r w:rsidR="006662F1">
        <w:t xml:space="preserve"> post-approval</w:t>
      </w:r>
      <w:r w:rsidR="005303BA">
        <w:t xml:space="preserve"> studies</w:t>
      </w:r>
      <w:r w:rsidR="00176D3A">
        <w:t xml:space="preserve">. </w:t>
      </w:r>
      <w:r w:rsidR="007E4F6F">
        <w:t>Nine</w:t>
      </w:r>
      <w:r w:rsidR="008109DE">
        <w:t xml:space="preserve"> </w:t>
      </w:r>
      <w:r w:rsidR="007E4F6F">
        <w:t xml:space="preserve">adalimumab </w:t>
      </w:r>
      <w:r w:rsidR="008109DE">
        <w:t>biosimilar</w:t>
      </w:r>
      <w:r w:rsidR="007E4F6F">
        <w:t>s</w:t>
      </w:r>
      <w:r w:rsidR="008109DE">
        <w:t xml:space="preserve"> products are currently authorised for use by the </w:t>
      </w:r>
      <w:r w:rsidR="008109DE" w:rsidRPr="008109DE">
        <w:t>European Medicines Agency</w:t>
      </w:r>
      <w:r w:rsidR="008109DE">
        <w:t xml:space="preserve"> (table 1). </w:t>
      </w:r>
      <w:r w:rsidR="000F50DA">
        <w:t xml:space="preserve">Various groups have now </w:t>
      </w:r>
      <w:r w:rsidR="00BC12C6">
        <w:t xml:space="preserve">reported </w:t>
      </w:r>
      <w:r w:rsidR="00C25274">
        <w:t xml:space="preserve">the </w:t>
      </w:r>
      <w:r w:rsidR="0013351C">
        <w:t xml:space="preserve">clinical </w:t>
      </w:r>
      <w:r w:rsidR="00C25274">
        <w:t>outcome</w:t>
      </w:r>
      <w:r w:rsidR="001B388F">
        <w:t xml:space="preserve"> of </w:t>
      </w:r>
      <w:r w:rsidR="00C25274">
        <w:t xml:space="preserve">switching to </w:t>
      </w:r>
      <w:r w:rsidR="001B388F">
        <w:t xml:space="preserve">adalimumab </w:t>
      </w:r>
      <w:r w:rsidR="00B75E89">
        <w:t>biosimilars</w:t>
      </w:r>
      <w:r w:rsidR="00C25274">
        <w:t xml:space="preserve">, including </w:t>
      </w:r>
      <w:r w:rsidR="00BC12C6">
        <w:t>in patients with C</w:t>
      </w:r>
      <w:r w:rsidR="0033770A">
        <w:t>D</w:t>
      </w:r>
      <w:r w:rsidR="00C25274">
        <w:t>,</w:t>
      </w:r>
      <w:r w:rsidR="00BC12C6">
        <w:t xml:space="preserve"> </w:t>
      </w:r>
      <w:r w:rsidR="000C53E3">
        <w:t xml:space="preserve">with </w:t>
      </w:r>
      <w:r w:rsidR="00C25274">
        <w:t xml:space="preserve">no </w:t>
      </w:r>
      <w:r w:rsidR="005303BA">
        <w:t>differences in</w:t>
      </w:r>
      <w:r w:rsidR="00C25274">
        <w:t xml:space="preserve"> efficacy, safety or immunogenicity.</w:t>
      </w:r>
      <w:r w:rsidR="00A8021A">
        <w:fldChar w:fldCharType="begin"/>
      </w:r>
      <w:r w:rsidR="00A8021A">
        <w:instrText xml:space="preserve"> ADDIN ZOTERO_ITEM CSL_CITATION {"citationID":"X80yDHqW","properties":{"formattedCitation":"[4]","plainCitation":"[4]","noteIndex":0},"citationItems":[{"id":627,"uris":["http://zotero.org/users/5054817/items/ULD4XHMB"],"uri":["http://zotero.org/users/5054817/items/ULD4XHMB"],"itemData":{"id":627,"type":"article-journal","container-title":"British Journal of Clinical Pharmacology","DOI":"10.1111/bcp.15101","ISSN":"0306-5251, 1365-2125","journalAbbreviation":"Br J Clin Pharmacol","language":"en","page":"bcp.15101","source":"DOI.org (Crossref)","title":"SWITCHING BETWEEN REFERENCE ADALIMUMAB AND BIOSIMILARS IN CHRONIC IMMUNE‐MEDIATED INFLAMMATORY DISEASES: A SYSTEMATIC LITERATURE REVIEW","title-short":"SWITCHING BETWEEN REFERENCE ADALIMUMAB AND BIOSIMILARS IN CHRONIC IMMUNE‐MEDIATED INFLAMMATORY DISEASES","author":[{"family":"Pego Reigosa","given":"Jose María"},{"family":"García Beloso","given":"Nerea"},{"family":"Altabás González","given":"Irene"},{"family":"Samartín Ucha","given":"Marisol"},{"family":"Gayoso Rey","given":"Mónica"},{"family":"De Castro Parga","given":"María Luísa"},{"family":"Salgado Barreira","given":"Ángel"},{"family":"Cibeira Badia","given":"Amelia"},{"family":"Piñeiro Corrales","given":"María Guadalupe"},{"family":"González Vilas","given":"Daniel"},{"family":"Pego Reigosa","given":"Jose María"},{"family":"Martínez López de Castro","given":"Noemí"}],"issued":{"date-parts":[["2021",10,8]]}}}],"schema":"https://github.com/citation-style-language/schema/raw/master/csl-citation.json"} </w:instrText>
      </w:r>
      <w:r w:rsidR="00A8021A">
        <w:fldChar w:fldCharType="separate"/>
      </w:r>
      <w:r w:rsidR="00A8021A" w:rsidRPr="00A8021A">
        <w:rPr>
          <w:rFonts w:ascii="Calibri" w:hAnsi="Calibri" w:cs="Calibri"/>
        </w:rPr>
        <w:t>[4]</w:t>
      </w:r>
      <w:r w:rsidR="00A8021A">
        <w:fldChar w:fldCharType="end"/>
      </w:r>
    </w:p>
    <w:p w14:paraId="231A562B" w14:textId="77777777" w:rsidR="008109DE" w:rsidRDefault="008109DE">
      <w:pPr>
        <w:spacing w:line="276" w:lineRule="auto"/>
        <w:rPr>
          <w:i/>
          <w:iCs/>
          <w:color w:val="1F497D" w:themeColor="text2"/>
          <w:sz w:val="18"/>
          <w:szCs w:val="18"/>
        </w:rPr>
      </w:pPr>
      <w:r>
        <w:br w:type="page"/>
      </w:r>
    </w:p>
    <w:p w14:paraId="125A4004" w14:textId="56FF8190" w:rsidR="008109DE" w:rsidRPr="0066166D" w:rsidRDefault="008109DE" w:rsidP="008109DE">
      <w:pPr>
        <w:pStyle w:val="Caption"/>
      </w:pPr>
      <w:r>
        <w:lastRenderedPageBreak/>
        <w:t>Table 1 | Adalimumab biosimilars currently authorised for use in the European Union.</w:t>
      </w:r>
    </w:p>
    <w:tbl>
      <w:tblPr>
        <w:tblW w:w="897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0"/>
        <w:gridCol w:w="1843"/>
        <w:gridCol w:w="2551"/>
        <w:gridCol w:w="3260"/>
      </w:tblGrid>
      <w:tr w:rsidR="008109DE" w:rsidRPr="008015BF" w14:paraId="19EF5F3C" w14:textId="0EABB531" w:rsidTr="00AC7CB8">
        <w:tc>
          <w:tcPr>
            <w:tcW w:w="1320" w:type="dxa"/>
            <w:shd w:val="clear" w:color="auto" w:fill="auto"/>
            <w:noWrap/>
            <w:vAlign w:val="bottom"/>
            <w:hideMark/>
          </w:tcPr>
          <w:p w14:paraId="265C3C9A" w14:textId="67774F0B" w:rsidR="008109DE" w:rsidRPr="008109DE" w:rsidRDefault="008109DE" w:rsidP="00AC7CB8">
            <w:pPr>
              <w:spacing w:after="0" w:line="240" w:lineRule="auto"/>
              <w:rPr>
                <w:rFonts w:eastAsia="Times New Roman" w:cstheme="minorHAnsi"/>
                <w:b/>
                <w:color w:val="000000"/>
                <w:sz w:val="16"/>
                <w:szCs w:val="16"/>
                <w:lang w:eastAsia="en-GB"/>
              </w:rPr>
            </w:pPr>
            <w:r w:rsidRPr="008109DE">
              <w:rPr>
                <w:rFonts w:eastAsia="Times New Roman" w:cstheme="minorHAnsi"/>
                <w:b/>
                <w:color w:val="000000"/>
                <w:sz w:val="16"/>
                <w:szCs w:val="16"/>
                <w:lang w:eastAsia="en-GB"/>
              </w:rPr>
              <w:t>Brand name</w:t>
            </w:r>
            <w:r w:rsidR="007E4F6F">
              <w:rPr>
                <w:rFonts w:eastAsia="Times New Roman" w:cstheme="minorHAnsi"/>
                <w:b/>
                <w:color w:val="000000"/>
                <w:sz w:val="16"/>
                <w:szCs w:val="16"/>
                <w:lang w:eastAsia="en-GB"/>
              </w:rPr>
              <w:t>(s)</w:t>
            </w:r>
          </w:p>
          <w:p w14:paraId="2B56983F" w14:textId="1C6ACEB0" w:rsidR="008109DE" w:rsidRPr="00C6052B" w:rsidRDefault="008109DE" w:rsidP="00AC7CB8">
            <w:pPr>
              <w:spacing w:after="0" w:line="240" w:lineRule="auto"/>
              <w:rPr>
                <w:rFonts w:eastAsia="Times New Roman" w:cstheme="minorHAnsi"/>
                <w:b/>
                <w:color w:val="000000"/>
                <w:sz w:val="16"/>
                <w:szCs w:val="16"/>
                <w:lang w:eastAsia="en-GB"/>
              </w:rPr>
            </w:pPr>
          </w:p>
        </w:tc>
        <w:tc>
          <w:tcPr>
            <w:tcW w:w="1843" w:type="dxa"/>
            <w:shd w:val="clear" w:color="auto" w:fill="auto"/>
            <w:noWrap/>
            <w:vAlign w:val="bottom"/>
            <w:hideMark/>
          </w:tcPr>
          <w:p w14:paraId="341B649B" w14:textId="3881AD63" w:rsidR="008109DE" w:rsidRPr="008109DE" w:rsidRDefault="008109DE" w:rsidP="00AC7CB8">
            <w:pPr>
              <w:spacing w:after="0" w:line="240" w:lineRule="auto"/>
              <w:rPr>
                <w:rFonts w:eastAsia="Times New Roman" w:cstheme="minorHAnsi"/>
                <w:b/>
                <w:color w:val="000000"/>
                <w:sz w:val="16"/>
                <w:szCs w:val="16"/>
                <w:lang w:eastAsia="en-GB"/>
              </w:rPr>
            </w:pPr>
            <w:r w:rsidRPr="00AC7CB8">
              <w:rPr>
                <w:b/>
                <w:sz w:val="16"/>
                <w:szCs w:val="16"/>
              </w:rPr>
              <w:t>Company product code</w:t>
            </w:r>
          </w:p>
        </w:tc>
        <w:tc>
          <w:tcPr>
            <w:tcW w:w="2551" w:type="dxa"/>
            <w:vAlign w:val="bottom"/>
          </w:tcPr>
          <w:p w14:paraId="251D2B84" w14:textId="10164D3F" w:rsidR="008109DE" w:rsidRPr="008109DE" w:rsidRDefault="008109DE" w:rsidP="00AC7CB8">
            <w:pPr>
              <w:spacing w:after="0" w:line="240" w:lineRule="auto"/>
              <w:rPr>
                <w:b/>
                <w:sz w:val="16"/>
                <w:szCs w:val="16"/>
              </w:rPr>
            </w:pPr>
            <w:r w:rsidRPr="00AC7CB8">
              <w:rPr>
                <w:b/>
                <w:sz w:val="16"/>
                <w:szCs w:val="16"/>
              </w:rPr>
              <w:t>Marketing</w:t>
            </w:r>
            <w:r w:rsidR="00344EC3">
              <w:rPr>
                <w:b/>
                <w:sz w:val="16"/>
                <w:szCs w:val="16"/>
              </w:rPr>
              <w:t xml:space="preserve"> </w:t>
            </w:r>
            <w:r w:rsidRPr="00AC7CB8">
              <w:rPr>
                <w:b/>
                <w:sz w:val="16"/>
                <w:szCs w:val="16"/>
              </w:rPr>
              <w:t>authorisation holder</w:t>
            </w:r>
          </w:p>
        </w:tc>
        <w:tc>
          <w:tcPr>
            <w:tcW w:w="3260" w:type="dxa"/>
            <w:vAlign w:val="bottom"/>
          </w:tcPr>
          <w:p w14:paraId="6C52D5A4" w14:textId="61AD5BBE" w:rsidR="008109DE" w:rsidRPr="00AC7CB8" w:rsidRDefault="00344EC3" w:rsidP="00AC7CB8">
            <w:pPr>
              <w:spacing w:after="0" w:line="240" w:lineRule="auto"/>
              <w:rPr>
                <w:b/>
                <w:sz w:val="16"/>
                <w:szCs w:val="16"/>
              </w:rPr>
            </w:pPr>
            <w:r>
              <w:rPr>
                <w:b/>
                <w:sz w:val="16"/>
                <w:szCs w:val="16"/>
              </w:rPr>
              <w:t>Issue d</w:t>
            </w:r>
            <w:r w:rsidR="008109DE" w:rsidRPr="00AC7CB8">
              <w:rPr>
                <w:b/>
                <w:sz w:val="16"/>
                <w:szCs w:val="16"/>
              </w:rPr>
              <w:t>ate of EMA marketing authorisatio</w:t>
            </w:r>
            <w:r>
              <w:rPr>
                <w:b/>
                <w:sz w:val="16"/>
                <w:szCs w:val="16"/>
              </w:rPr>
              <w:t>n</w:t>
            </w:r>
          </w:p>
        </w:tc>
      </w:tr>
      <w:tr w:rsidR="008109DE" w:rsidRPr="008015BF" w14:paraId="7810AC36" w14:textId="40DAE14D" w:rsidTr="00AC7CB8">
        <w:tc>
          <w:tcPr>
            <w:tcW w:w="1320" w:type="dxa"/>
            <w:shd w:val="clear" w:color="auto" w:fill="auto"/>
            <w:noWrap/>
            <w:vAlign w:val="bottom"/>
            <w:hideMark/>
          </w:tcPr>
          <w:p w14:paraId="0F253ADF" w14:textId="03C1FC37" w:rsidR="008109DE" w:rsidRPr="008109DE" w:rsidRDefault="008109DE" w:rsidP="00AC7CB8">
            <w:pPr>
              <w:spacing w:after="0" w:line="240" w:lineRule="auto"/>
              <w:rPr>
                <w:rFonts w:eastAsia="Times New Roman" w:cstheme="minorHAnsi"/>
                <w:bCs/>
                <w:color w:val="000000"/>
                <w:sz w:val="16"/>
                <w:szCs w:val="16"/>
                <w:lang w:eastAsia="en-GB"/>
              </w:rPr>
            </w:pPr>
            <w:r w:rsidRPr="00AC7CB8">
              <w:rPr>
                <w:rFonts w:eastAsia="Times New Roman" w:cstheme="minorHAnsi"/>
                <w:bCs/>
                <w:color w:val="000000"/>
                <w:sz w:val="16"/>
                <w:szCs w:val="16"/>
                <w:lang w:eastAsia="en-GB"/>
              </w:rPr>
              <w:t>Amgevita</w:t>
            </w:r>
          </w:p>
        </w:tc>
        <w:tc>
          <w:tcPr>
            <w:tcW w:w="1843" w:type="dxa"/>
            <w:shd w:val="clear" w:color="auto" w:fill="auto"/>
            <w:noWrap/>
            <w:vAlign w:val="bottom"/>
            <w:hideMark/>
          </w:tcPr>
          <w:p w14:paraId="225027B9" w14:textId="3BD84E5D" w:rsidR="008109DE" w:rsidRPr="008109DE" w:rsidRDefault="008109DE" w:rsidP="00AC7CB8">
            <w:pPr>
              <w:spacing w:after="0" w:line="240" w:lineRule="auto"/>
              <w:rPr>
                <w:rFonts w:eastAsia="Times New Roman" w:cstheme="minorHAnsi"/>
                <w:bCs/>
                <w:color w:val="000000"/>
                <w:sz w:val="16"/>
                <w:szCs w:val="16"/>
                <w:lang w:eastAsia="en-GB"/>
              </w:rPr>
            </w:pPr>
            <w:r w:rsidRPr="00AC7CB8">
              <w:rPr>
                <w:bCs/>
                <w:sz w:val="16"/>
                <w:szCs w:val="16"/>
              </w:rPr>
              <w:t>ABP 501</w:t>
            </w:r>
          </w:p>
        </w:tc>
        <w:tc>
          <w:tcPr>
            <w:tcW w:w="2551" w:type="dxa"/>
            <w:vAlign w:val="bottom"/>
          </w:tcPr>
          <w:p w14:paraId="0F4F6065" w14:textId="2EB3442D" w:rsidR="008109DE" w:rsidRPr="008109DE" w:rsidRDefault="008109DE" w:rsidP="00AC7CB8">
            <w:pPr>
              <w:spacing w:after="0" w:line="240" w:lineRule="auto"/>
              <w:rPr>
                <w:bCs/>
                <w:sz w:val="16"/>
                <w:szCs w:val="16"/>
              </w:rPr>
            </w:pPr>
            <w:r w:rsidRPr="00AC7CB8">
              <w:rPr>
                <w:bCs/>
                <w:sz w:val="16"/>
                <w:szCs w:val="16"/>
              </w:rPr>
              <w:t>Amgen Europe B.V.</w:t>
            </w:r>
          </w:p>
        </w:tc>
        <w:tc>
          <w:tcPr>
            <w:tcW w:w="3260" w:type="dxa"/>
            <w:vAlign w:val="bottom"/>
          </w:tcPr>
          <w:p w14:paraId="28021008" w14:textId="01EB7B83" w:rsidR="008109DE" w:rsidRPr="00AC7CB8" w:rsidRDefault="008109DE" w:rsidP="00AC7CB8">
            <w:pPr>
              <w:spacing w:after="0" w:line="240" w:lineRule="auto"/>
              <w:rPr>
                <w:bCs/>
                <w:sz w:val="16"/>
                <w:szCs w:val="16"/>
              </w:rPr>
            </w:pPr>
            <w:r w:rsidRPr="00AC7CB8">
              <w:rPr>
                <w:bCs/>
                <w:sz w:val="16"/>
                <w:szCs w:val="16"/>
              </w:rPr>
              <w:t>21/3/2017</w:t>
            </w:r>
          </w:p>
        </w:tc>
      </w:tr>
      <w:tr w:rsidR="008109DE" w:rsidRPr="008015BF" w14:paraId="65EBC193" w14:textId="722DBA33" w:rsidTr="00AC7CB8">
        <w:tc>
          <w:tcPr>
            <w:tcW w:w="1320" w:type="dxa"/>
            <w:shd w:val="clear" w:color="auto" w:fill="auto"/>
            <w:noWrap/>
            <w:vAlign w:val="bottom"/>
            <w:hideMark/>
          </w:tcPr>
          <w:p w14:paraId="32AB82D0" w14:textId="6AB4AC2F" w:rsidR="008109DE" w:rsidRPr="008109DE" w:rsidRDefault="008109DE" w:rsidP="00AC7CB8">
            <w:pPr>
              <w:spacing w:after="0" w:line="240" w:lineRule="auto"/>
              <w:rPr>
                <w:rFonts w:eastAsia="Times New Roman" w:cstheme="minorHAnsi"/>
                <w:bCs/>
                <w:color w:val="000000"/>
                <w:sz w:val="16"/>
                <w:szCs w:val="16"/>
                <w:lang w:eastAsia="en-GB"/>
              </w:rPr>
            </w:pPr>
            <w:proofErr w:type="spellStart"/>
            <w:r w:rsidRPr="00AC7CB8">
              <w:rPr>
                <w:rFonts w:eastAsia="Times New Roman" w:cstheme="minorHAnsi"/>
                <w:bCs/>
                <w:color w:val="000000"/>
                <w:sz w:val="16"/>
                <w:szCs w:val="16"/>
                <w:lang w:eastAsia="en-GB"/>
              </w:rPr>
              <w:t>Amsparity</w:t>
            </w:r>
            <w:proofErr w:type="spellEnd"/>
          </w:p>
        </w:tc>
        <w:tc>
          <w:tcPr>
            <w:tcW w:w="1843" w:type="dxa"/>
            <w:shd w:val="clear" w:color="auto" w:fill="auto"/>
            <w:noWrap/>
            <w:vAlign w:val="bottom"/>
            <w:hideMark/>
          </w:tcPr>
          <w:p w14:paraId="78C62E51" w14:textId="4EF2E55B" w:rsidR="008109DE" w:rsidRPr="008109DE" w:rsidRDefault="008109DE" w:rsidP="00AC7CB8">
            <w:pPr>
              <w:spacing w:after="0" w:line="240" w:lineRule="auto"/>
              <w:rPr>
                <w:rFonts w:eastAsia="Times New Roman" w:cstheme="minorHAnsi"/>
                <w:bCs/>
                <w:color w:val="000000"/>
                <w:sz w:val="16"/>
                <w:szCs w:val="16"/>
                <w:lang w:eastAsia="en-GB"/>
              </w:rPr>
            </w:pPr>
            <w:r w:rsidRPr="00AC7CB8">
              <w:rPr>
                <w:bCs/>
                <w:sz w:val="16"/>
                <w:szCs w:val="16"/>
              </w:rPr>
              <w:t>PF-06410293</w:t>
            </w:r>
          </w:p>
        </w:tc>
        <w:tc>
          <w:tcPr>
            <w:tcW w:w="2551" w:type="dxa"/>
            <w:vAlign w:val="bottom"/>
          </w:tcPr>
          <w:p w14:paraId="57CCC2C5" w14:textId="2E4B41A0" w:rsidR="008109DE" w:rsidRPr="008109DE" w:rsidRDefault="008109DE" w:rsidP="00AC7CB8">
            <w:pPr>
              <w:spacing w:after="0" w:line="240" w:lineRule="auto"/>
              <w:rPr>
                <w:bCs/>
                <w:sz w:val="16"/>
                <w:szCs w:val="16"/>
              </w:rPr>
            </w:pPr>
            <w:r w:rsidRPr="00AC7CB8">
              <w:rPr>
                <w:bCs/>
                <w:sz w:val="16"/>
                <w:szCs w:val="16"/>
              </w:rPr>
              <w:t>Pfizer Europe MA EEIG </w:t>
            </w:r>
          </w:p>
        </w:tc>
        <w:tc>
          <w:tcPr>
            <w:tcW w:w="3260" w:type="dxa"/>
            <w:vAlign w:val="bottom"/>
          </w:tcPr>
          <w:p w14:paraId="5F4D38AD" w14:textId="1E5F8306" w:rsidR="008109DE" w:rsidRPr="00AC7CB8" w:rsidRDefault="008109DE" w:rsidP="00AC7CB8">
            <w:pPr>
              <w:spacing w:after="0" w:line="240" w:lineRule="auto"/>
              <w:rPr>
                <w:bCs/>
                <w:sz w:val="16"/>
                <w:szCs w:val="16"/>
              </w:rPr>
            </w:pPr>
            <w:r w:rsidRPr="00AC7CB8">
              <w:rPr>
                <w:bCs/>
                <w:sz w:val="16"/>
                <w:szCs w:val="16"/>
              </w:rPr>
              <w:t>13/2/2020</w:t>
            </w:r>
          </w:p>
        </w:tc>
      </w:tr>
      <w:tr w:rsidR="008109DE" w:rsidRPr="008015BF" w14:paraId="591AAD33" w14:textId="2998F46B" w:rsidTr="00AC7CB8">
        <w:tc>
          <w:tcPr>
            <w:tcW w:w="1320" w:type="dxa"/>
            <w:shd w:val="clear" w:color="auto" w:fill="auto"/>
            <w:noWrap/>
            <w:vAlign w:val="bottom"/>
          </w:tcPr>
          <w:p w14:paraId="0DFB551A" w14:textId="3A5EC390" w:rsidR="008109DE" w:rsidRPr="008109DE" w:rsidRDefault="008109DE" w:rsidP="00AC7CB8">
            <w:pPr>
              <w:spacing w:after="0" w:line="240" w:lineRule="auto"/>
              <w:rPr>
                <w:rFonts w:eastAsia="Times New Roman" w:cstheme="minorHAnsi"/>
                <w:bCs/>
                <w:color w:val="000000"/>
                <w:sz w:val="16"/>
                <w:szCs w:val="16"/>
                <w:lang w:eastAsia="en-GB"/>
              </w:rPr>
            </w:pPr>
            <w:proofErr w:type="spellStart"/>
            <w:r w:rsidRPr="00AC7CB8">
              <w:rPr>
                <w:rFonts w:eastAsia="Times New Roman" w:cstheme="minorHAnsi"/>
                <w:bCs/>
                <w:color w:val="000000"/>
                <w:sz w:val="16"/>
                <w:szCs w:val="16"/>
                <w:lang w:eastAsia="en-GB"/>
              </w:rPr>
              <w:t>Hukyndra</w:t>
            </w:r>
            <w:proofErr w:type="spellEnd"/>
          </w:p>
        </w:tc>
        <w:tc>
          <w:tcPr>
            <w:tcW w:w="1843" w:type="dxa"/>
            <w:shd w:val="clear" w:color="auto" w:fill="auto"/>
            <w:noWrap/>
            <w:vAlign w:val="bottom"/>
          </w:tcPr>
          <w:p w14:paraId="7DFC74D3" w14:textId="11EF2081" w:rsidR="008109DE" w:rsidRPr="008109DE" w:rsidRDefault="008109DE" w:rsidP="00AC7CB8">
            <w:pPr>
              <w:spacing w:after="0" w:line="240" w:lineRule="auto"/>
              <w:rPr>
                <w:rFonts w:eastAsia="Times New Roman" w:cstheme="minorHAnsi"/>
                <w:bCs/>
                <w:color w:val="000000"/>
                <w:sz w:val="16"/>
                <w:szCs w:val="16"/>
                <w:lang w:eastAsia="en-GB"/>
              </w:rPr>
            </w:pPr>
            <w:r w:rsidRPr="00AC7CB8">
              <w:rPr>
                <w:bCs/>
                <w:sz w:val="16"/>
                <w:szCs w:val="16"/>
              </w:rPr>
              <w:t>AVT02</w:t>
            </w:r>
          </w:p>
        </w:tc>
        <w:tc>
          <w:tcPr>
            <w:tcW w:w="2551" w:type="dxa"/>
            <w:vAlign w:val="bottom"/>
          </w:tcPr>
          <w:p w14:paraId="05417D25" w14:textId="513A7BFA" w:rsidR="008109DE" w:rsidRPr="008109DE" w:rsidRDefault="008109DE" w:rsidP="00AC7CB8">
            <w:pPr>
              <w:spacing w:after="0" w:line="240" w:lineRule="auto"/>
              <w:rPr>
                <w:bCs/>
                <w:sz w:val="16"/>
                <w:szCs w:val="16"/>
              </w:rPr>
            </w:pPr>
            <w:proofErr w:type="spellStart"/>
            <w:r w:rsidRPr="00AC7CB8">
              <w:rPr>
                <w:bCs/>
                <w:sz w:val="16"/>
                <w:szCs w:val="16"/>
              </w:rPr>
              <w:t>Stada</w:t>
            </w:r>
            <w:proofErr w:type="spellEnd"/>
            <w:r w:rsidRPr="00AC7CB8">
              <w:rPr>
                <w:bCs/>
                <w:sz w:val="16"/>
                <w:szCs w:val="16"/>
              </w:rPr>
              <w:t xml:space="preserve"> </w:t>
            </w:r>
            <w:proofErr w:type="spellStart"/>
            <w:r w:rsidRPr="00AC7CB8">
              <w:rPr>
                <w:bCs/>
                <w:sz w:val="16"/>
                <w:szCs w:val="16"/>
              </w:rPr>
              <w:t>Arzneimittel</w:t>
            </w:r>
            <w:proofErr w:type="spellEnd"/>
            <w:r w:rsidRPr="00AC7CB8">
              <w:rPr>
                <w:bCs/>
                <w:sz w:val="16"/>
                <w:szCs w:val="16"/>
              </w:rPr>
              <w:t xml:space="preserve"> AG</w:t>
            </w:r>
          </w:p>
        </w:tc>
        <w:tc>
          <w:tcPr>
            <w:tcW w:w="3260" w:type="dxa"/>
            <w:vAlign w:val="bottom"/>
          </w:tcPr>
          <w:p w14:paraId="6BE56A29" w14:textId="12B7F7D9" w:rsidR="008109DE" w:rsidRPr="00AC7CB8" w:rsidRDefault="008109DE" w:rsidP="00AC7CB8">
            <w:pPr>
              <w:spacing w:after="0" w:line="240" w:lineRule="auto"/>
              <w:rPr>
                <w:bCs/>
                <w:sz w:val="16"/>
                <w:szCs w:val="16"/>
              </w:rPr>
            </w:pPr>
            <w:r w:rsidRPr="00AC7CB8">
              <w:rPr>
                <w:bCs/>
                <w:sz w:val="16"/>
                <w:szCs w:val="16"/>
              </w:rPr>
              <w:t>15/11/2021</w:t>
            </w:r>
          </w:p>
        </w:tc>
      </w:tr>
      <w:tr w:rsidR="008109DE" w:rsidRPr="008015BF" w14:paraId="7DD56B35" w14:textId="5B269710" w:rsidTr="00AC7CB8">
        <w:tc>
          <w:tcPr>
            <w:tcW w:w="1320" w:type="dxa"/>
            <w:shd w:val="clear" w:color="auto" w:fill="auto"/>
            <w:noWrap/>
            <w:vAlign w:val="bottom"/>
          </w:tcPr>
          <w:p w14:paraId="6F7362C1" w14:textId="4B21CCE0" w:rsidR="008109DE" w:rsidRPr="008109DE" w:rsidRDefault="008109DE" w:rsidP="00AC7CB8">
            <w:pPr>
              <w:spacing w:after="0" w:line="240" w:lineRule="auto"/>
              <w:rPr>
                <w:rFonts w:eastAsia="Times New Roman" w:cstheme="minorHAnsi"/>
                <w:bCs/>
                <w:color w:val="000000"/>
                <w:sz w:val="16"/>
                <w:szCs w:val="16"/>
                <w:lang w:eastAsia="en-GB"/>
              </w:rPr>
            </w:pPr>
            <w:proofErr w:type="spellStart"/>
            <w:r w:rsidRPr="00AC7CB8">
              <w:rPr>
                <w:rFonts w:eastAsia="Times New Roman" w:cstheme="minorHAnsi"/>
                <w:bCs/>
                <w:color w:val="000000"/>
                <w:sz w:val="16"/>
                <w:szCs w:val="16"/>
                <w:lang w:eastAsia="en-GB"/>
              </w:rPr>
              <w:t>Hulio</w:t>
            </w:r>
            <w:proofErr w:type="spellEnd"/>
          </w:p>
        </w:tc>
        <w:tc>
          <w:tcPr>
            <w:tcW w:w="1843" w:type="dxa"/>
            <w:shd w:val="clear" w:color="auto" w:fill="auto"/>
            <w:noWrap/>
            <w:vAlign w:val="bottom"/>
          </w:tcPr>
          <w:p w14:paraId="38A06F2A" w14:textId="3A12B7D3" w:rsidR="008109DE" w:rsidRPr="008109DE" w:rsidRDefault="008109DE" w:rsidP="00AC7CB8">
            <w:pPr>
              <w:spacing w:after="0" w:line="240" w:lineRule="auto"/>
              <w:rPr>
                <w:rFonts w:eastAsia="Times New Roman" w:cstheme="minorHAnsi"/>
                <w:bCs/>
                <w:color w:val="000000"/>
                <w:sz w:val="16"/>
                <w:szCs w:val="16"/>
                <w:lang w:eastAsia="en-GB"/>
              </w:rPr>
            </w:pPr>
            <w:r w:rsidRPr="00AC7CB8">
              <w:rPr>
                <w:bCs/>
                <w:sz w:val="16"/>
                <w:szCs w:val="16"/>
              </w:rPr>
              <w:t>FKB327</w:t>
            </w:r>
          </w:p>
        </w:tc>
        <w:tc>
          <w:tcPr>
            <w:tcW w:w="2551" w:type="dxa"/>
            <w:vAlign w:val="bottom"/>
          </w:tcPr>
          <w:p w14:paraId="5FFB5399" w14:textId="4BB30BF2" w:rsidR="008109DE" w:rsidRPr="008109DE" w:rsidRDefault="008109DE" w:rsidP="00AC7CB8">
            <w:pPr>
              <w:spacing w:after="0" w:line="240" w:lineRule="auto"/>
              <w:rPr>
                <w:bCs/>
                <w:sz w:val="16"/>
                <w:szCs w:val="16"/>
              </w:rPr>
            </w:pPr>
            <w:proofErr w:type="spellStart"/>
            <w:r w:rsidRPr="00AC7CB8">
              <w:rPr>
                <w:bCs/>
                <w:sz w:val="16"/>
                <w:szCs w:val="16"/>
              </w:rPr>
              <w:t>Viatris</w:t>
            </w:r>
            <w:proofErr w:type="spellEnd"/>
            <w:r w:rsidRPr="00AC7CB8">
              <w:rPr>
                <w:bCs/>
                <w:sz w:val="16"/>
                <w:szCs w:val="16"/>
              </w:rPr>
              <w:t xml:space="preserve"> Limited</w:t>
            </w:r>
          </w:p>
        </w:tc>
        <w:tc>
          <w:tcPr>
            <w:tcW w:w="3260" w:type="dxa"/>
            <w:vAlign w:val="bottom"/>
          </w:tcPr>
          <w:p w14:paraId="727E1780" w14:textId="75D4ED69" w:rsidR="008109DE" w:rsidRPr="00AC7CB8" w:rsidRDefault="008109DE" w:rsidP="00AC7CB8">
            <w:pPr>
              <w:spacing w:after="0" w:line="240" w:lineRule="auto"/>
              <w:rPr>
                <w:bCs/>
                <w:sz w:val="16"/>
                <w:szCs w:val="16"/>
              </w:rPr>
            </w:pPr>
            <w:r w:rsidRPr="00AC7CB8">
              <w:rPr>
                <w:bCs/>
                <w:sz w:val="16"/>
                <w:szCs w:val="16"/>
              </w:rPr>
              <w:t>17/9/2018</w:t>
            </w:r>
          </w:p>
        </w:tc>
      </w:tr>
      <w:tr w:rsidR="008109DE" w:rsidRPr="008015BF" w14:paraId="6C007F38" w14:textId="6A588FC5" w:rsidTr="00AC7CB8">
        <w:tc>
          <w:tcPr>
            <w:tcW w:w="1320" w:type="dxa"/>
            <w:shd w:val="clear" w:color="auto" w:fill="auto"/>
            <w:noWrap/>
            <w:vAlign w:val="bottom"/>
          </w:tcPr>
          <w:p w14:paraId="370F41CD" w14:textId="713CD46E" w:rsidR="008109DE" w:rsidRPr="00AC7CB8" w:rsidRDefault="007E4F6F" w:rsidP="00AC7CB8">
            <w:pPr>
              <w:spacing w:after="0" w:line="240" w:lineRule="auto"/>
              <w:rPr>
                <w:rFonts w:eastAsia="Times New Roman" w:cstheme="minorHAnsi"/>
                <w:bCs/>
                <w:color w:val="000000"/>
                <w:sz w:val="16"/>
                <w:szCs w:val="16"/>
                <w:lang w:eastAsia="en-GB"/>
              </w:rPr>
            </w:pPr>
            <w:proofErr w:type="spellStart"/>
            <w:r w:rsidRPr="007E4F6F">
              <w:rPr>
                <w:rFonts w:eastAsia="Times New Roman" w:cstheme="minorHAnsi"/>
                <w:bCs/>
                <w:color w:val="000000"/>
                <w:sz w:val="16"/>
                <w:szCs w:val="16"/>
                <w:lang w:eastAsia="en-GB"/>
              </w:rPr>
              <w:t>Hefiya</w:t>
            </w:r>
            <w:proofErr w:type="spellEnd"/>
            <w:r>
              <w:rPr>
                <w:rFonts w:eastAsia="Times New Roman" w:cstheme="minorHAnsi"/>
                <w:bCs/>
                <w:color w:val="000000"/>
                <w:sz w:val="16"/>
                <w:szCs w:val="16"/>
                <w:lang w:eastAsia="en-GB"/>
              </w:rPr>
              <w:t>,</w:t>
            </w:r>
            <w:r w:rsidRPr="007E4F6F">
              <w:rPr>
                <w:rFonts w:eastAsia="Times New Roman" w:cstheme="minorHAnsi"/>
                <w:bCs/>
                <w:color w:val="000000"/>
                <w:sz w:val="16"/>
                <w:szCs w:val="16"/>
                <w:lang w:eastAsia="en-GB"/>
              </w:rPr>
              <w:t xml:space="preserve"> </w:t>
            </w:r>
            <w:proofErr w:type="spellStart"/>
            <w:r w:rsidR="008109DE" w:rsidRPr="00AC7CB8">
              <w:rPr>
                <w:rFonts w:eastAsia="Times New Roman" w:cstheme="minorHAnsi"/>
                <w:bCs/>
                <w:color w:val="000000"/>
                <w:sz w:val="16"/>
                <w:szCs w:val="16"/>
                <w:lang w:eastAsia="en-GB"/>
              </w:rPr>
              <w:t>Hyrimoz</w:t>
            </w:r>
            <w:proofErr w:type="spellEnd"/>
          </w:p>
        </w:tc>
        <w:tc>
          <w:tcPr>
            <w:tcW w:w="1843" w:type="dxa"/>
            <w:shd w:val="clear" w:color="auto" w:fill="auto"/>
            <w:noWrap/>
            <w:vAlign w:val="bottom"/>
          </w:tcPr>
          <w:p w14:paraId="5F5C1E3A" w14:textId="7B22EF71" w:rsidR="008109DE" w:rsidRPr="008109DE" w:rsidRDefault="008109DE" w:rsidP="00AC7CB8">
            <w:pPr>
              <w:spacing w:after="0" w:line="240" w:lineRule="auto"/>
              <w:rPr>
                <w:rFonts w:eastAsia="Times New Roman" w:cstheme="minorHAnsi"/>
                <w:bCs/>
                <w:color w:val="000000"/>
                <w:sz w:val="16"/>
                <w:szCs w:val="16"/>
                <w:lang w:eastAsia="en-GB"/>
              </w:rPr>
            </w:pPr>
            <w:r w:rsidRPr="00AC7CB8">
              <w:rPr>
                <w:bCs/>
                <w:sz w:val="16"/>
                <w:szCs w:val="16"/>
              </w:rPr>
              <w:t>GP2017</w:t>
            </w:r>
          </w:p>
        </w:tc>
        <w:tc>
          <w:tcPr>
            <w:tcW w:w="2551" w:type="dxa"/>
            <w:vAlign w:val="bottom"/>
          </w:tcPr>
          <w:p w14:paraId="1D66A9B8" w14:textId="2EDE32DC" w:rsidR="008109DE" w:rsidRPr="008109DE" w:rsidRDefault="008109DE" w:rsidP="00AC7CB8">
            <w:pPr>
              <w:spacing w:after="0" w:line="240" w:lineRule="auto"/>
              <w:rPr>
                <w:bCs/>
                <w:sz w:val="16"/>
                <w:szCs w:val="16"/>
              </w:rPr>
            </w:pPr>
            <w:r w:rsidRPr="00AC7CB8">
              <w:rPr>
                <w:bCs/>
                <w:sz w:val="16"/>
                <w:szCs w:val="16"/>
              </w:rPr>
              <w:t>Sandoz GmbH</w:t>
            </w:r>
          </w:p>
        </w:tc>
        <w:tc>
          <w:tcPr>
            <w:tcW w:w="3260" w:type="dxa"/>
            <w:vAlign w:val="bottom"/>
          </w:tcPr>
          <w:p w14:paraId="62906596" w14:textId="7B2BA2C6" w:rsidR="008109DE" w:rsidRPr="00AC7CB8" w:rsidRDefault="008109DE" w:rsidP="00AC7CB8">
            <w:pPr>
              <w:spacing w:after="0" w:line="240" w:lineRule="auto"/>
              <w:rPr>
                <w:bCs/>
                <w:sz w:val="16"/>
                <w:szCs w:val="16"/>
              </w:rPr>
            </w:pPr>
            <w:r w:rsidRPr="00AC7CB8">
              <w:rPr>
                <w:bCs/>
                <w:sz w:val="16"/>
                <w:szCs w:val="16"/>
              </w:rPr>
              <w:t>26/7/2018</w:t>
            </w:r>
          </w:p>
        </w:tc>
      </w:tr>
      <w:tr w:rsidR="008109DE" w:rsidRPr="008015BF" w14:paraId="4A3435AB" w14:textId="58961058" w:rsidTr="00AC7CB8">
        <w:tc>
          <w:tcPr>
            <w:tcW w:w="1320" w:type="dxa"/>
            <w:shd w:val="clear" w:color="auto" w:fill="auto"/>
            <w:noWrap/>
            <w:vAlign w:val="bottom"/>
          </w:tcPr>
          <w:p w14:paraId="7FF065CF" w14:textId="5D806393" w:rsidR="008109DE" w:rsidRPr="00AC7CB8" w:rsidRDefault="008109DE" w:rsidP="00AC7CB8">
            <w:pPr>
              <w:spacing w:after="0" w:line="240" w:lineRule="auto"/>
              <w:rPr>
                <w:rFonts w:eastAsia="Times New Roman" w:cstheme="minorHAnsi"/>
                <w:bCs/>
                <w:color w:val="000000"/>
                <w:sz w:val="16"/>
                <w:szCs w:val="16"/>
                <w:lang w:eastAsia="en-GB"/>
              </w:rPr>
            </w:pPr>
            <w:proofErr w:type="spellStart"/>
            <w:r w:rsidRPr="00AC7CB8">
              <w:rPr>
                <w:rFonts w:eastAsia="Times New Roman" w:cstheme="minorHAnsi"/>
                <w:bCs/>
                <w:color w:val="000000"/>
                <w:sz w:val="16"/>
                <w:szCs w:val="16"/>
                <w:lang w:eastAsia="en-GB"/>
              </w:rPr>
              <w:t>Idacio</w:t>
            </w:r>
            <w:proofErr w:type="spellEnd"/>
          </w:p>
        </w:tc>
        <w:tc>
          <w:tcPr>
            <w:tcW w:w="1843" w:type="dxa"/>
            <w:shd w:val="clear" w:color="auto" w:fill="auto"/>
            <w:noWrap/>
            <w:vAlign w:val="bottom"/>
          </w:tcPr>
          <w:p w14:paraId="447EA95D" w14:textId="0648C16F" w:rsidR="008109DE" w:rsidRPr="008109DE" w:rsidRDefault="008109DE" w:rsidP="00AC7CB8">
            <w:pPr>
              <w:spacing w:after="0" w:line="240" w:lineRule="auto"/>
              <w:rPr>
                <w:rFonts w:eastAsia="Times New Roman" w:cstheme="minorHAnsi"/>
                <w:bCs/>
                <w:color w:val="000000"/>
                <w:sz w:val="16"/>
                <w:szCs w:val="16"/>
                <w:lang w:eastAsia="en-GB"/>
              </w:rPr>
            </w:pPr>
            <w:r w:rsidRPr="00AC7CB8">
              <w:rPr>
                <w:bCs/>
                <w:sz w:val="16"/>
                <w:szCs w:val="16"/>
              </w:rPr>
              <w:t>MSB11022</w:t>
            </w:r>
          </w:p>
        </w:tc>
        <w:tc>
          <w:tcPr>
            <w:tcW w:w="2551" w:type="dxa"/>
            <w:vAlign w:val="bottom"/>
          </w:tcPr>
          <w:p w14:paraId="6AAC3864" w14:textId="1D51E3A3" w:rsidR="008109DE" w:rsidRPr="008109DE" w:rsidRDefault="008109DE" w:rsidP="00AC7CB8">
            <w:pPr>
              <w:spacing w:after="0" w:line="240" w:lineRule="auto"/>
              <w:rPr>
                <w:bCs/>
                <w:sz w:val="16"/>
                <w:szCs w:val="16"/>
              </w:rPr>
            </w:pPr>
            <w:r w:rsidRPr="00AC7CB8">
              <w:rPr>
                <w:bCs/>
                <w:sz w:val="16"/>
                <w:szCs w:val="16"/>
              </w:rPr>
              <w:t xml:space="preserve">Fresenius </w:t>
            </w:r>
            <w:proofErr w:type="spellStart"/>
            <w:r w:rsidRPr="00AC7CB8">
              <w:rPr>
                <w:bCs/>
                <w:sz w:val="16"/>
                <w:szCs w:val="16"/>
              </w:rPr>
              <w:t>Kabi</w:t>
            </w:r>
            <w:proofErr w:type="spellEnd"/>
            <w:r w:rsidRPr="00AC7CB8">
              <w:rPr>
                <w:bCs/>
                <w:sz w:val="16"/>
                <w:szCs w:val="16"/>
              </w:rPr>
              <w:t xml:space="preserve"> Deutschland GmbH</w:t>
            </w:r>
          </w:p>
        </w:tc>
        <w:tc>
          <w:tcPr>
            <w:tcW w:w="3260" w:type="dxa"/>
            <w:vAlign w:val="bottom"/>
          </w:tcPr>
          <w:p w14:paraId="0FFDEC8B" w14:textId="470BE467" w:rsidR="008109DE" w:rsidRPr="00AC7CB8" w:rsidRDefault="008109DE" w:rsidP="00AC7CB8">
            <w:pPr>
              <w:spacing w:after="0" w:line="240" w:lineRule="auto"/>
              <w:rPr>
                <w:bCs/>
                <w:sz w:val="16"/>
                <w:szCs w:val="16"/>
              </w:rPr>
            </w:pPr>
            <w:r w:rsidRPr="00AC7CB8">
              <w:rPr>
                <w:bCs/>
                <w:sz w:val="16"/>
                <w:szCs w:val="16"/>
              </w:rPr>
              <w:t>2/4/2019</w:t>
            </w:r>
          </w:p>
        </w:tc>
      </w:tr>
      <w:tr w:rsidR="008109DE" w:rsidRPr="008015BF" w14:paraId="0585622A" w14:textId="1B684B8B" w:rsidTr="00AC7CB8">
        <w:tc>
          <w:tcPr>
            <w:tcW w:w="1320" w:type="dxa"/>
            <w:shd w:val="clear" w:color="auto" w:fill="auto"/>
            <w:noWrap/>
            <w:vAlign w:val="bottom"/>
          </w:tcPr>
          <w:p w14:paraId="41732EAF" w14:textId="78BE6822" w:rsidR="008109DE" w:rsidRPr="00AC7CB8" w:rsidRDefault="008109DE" w:rsidP="00AC7CB8">
            <w:pPr>
              <w:spacing w:after="0" w:line="240" w:lineRule="auto"/>
              <w:rPr>
                <w:rFonts w:eastAsia="Times New Roman" w:cstheme="minorHAnsi"/>
                <w:bCs/>
                <w:color w:val="000000"/>
                <w:sz w:val="16"/>
                <w:szCs w:val="16"/>
                <w:lang w:eastAsia="en-GB"/>
              </w:rPr>
            </w:pPr>
            <w:proofErr w:type="spellStart"/>
            <w:r w:rsidRPr="00AC7CB8">
              <w:rPr>
                <w:rFonts w:eastAsia="Times New Roman" w:cstheme="minorHAnsi"/>
                <w:bCs/>
                <w:color w:val="000000"/>
                <w:sz w:val="16"/>
                <w:szCs w:val="16"/>
                <w:lang w:eastAsia="en-GB"/>
              </w:rPr>
              <w:t>Imraldi</w:t>
            </w:r>
            <w:proofErr w:type="spellEnd"/>
          </w:p>
        </w:tc>
        <w:tc>
          <w:tcPr>
            <w:tcW w:w="1843" w:type="dxa"/>
            <w:shd w:val="clear" w:color="auto" w:fill="auto"/>
            <w:noWrap/>
            <w:vAlign w:val="bottom"/>
          </w:tcPr>
          <w:p w14:paraId="7AD2D6BF" w14:textId="30316AB6" w:rsidR="008109DE" w:rsidRPr="008109DE" w:rsidRDefault="008109DE" w:rsidP="00AC7CB8">
            <w:pPr>
              <w:spacing w:after="0" w:line="240" w:lineRule="auto"/>
              <w:rPr>
                <w:rFonts w:eastAsia="Times New Roman" w:cstheme="minorHAnsi"/>
                <w:bCs/>
                <w:color w:val="000000"/>
                <w:sz w:val="16"/>
                <w:szCs w:val="16"/>
                <w:lang w:eastAsia="en-GB"/>
              </w:rPr>
            </w:pPr>
            <w:r w:rsidRPr="00AC7CB8">
              <w:rPr>
                <w:bCs/>
                <w:sz w:val="16"/>
                <w:szCs w:val="16"/>
              </w:rPr>
              <w:t>SB5</w:t>
            </w:r>
          </w:p>
        </w:tc>
        <w:tc>
          <w:tcPr>
            <w:tcW w:w="2551" w:type="dxa"/>
            <w:vAlign w:val="bottom"/>
          </w:tcPr>
          <w:p w14:paraId="4610A772" w14:textId="6996A327" w:rsidR="008109DE" w:rsidRPr="008109DE" w:rsidRDefault="008109DE" w:rsidP="00AC7CB8">
            <w:pPr>
              <w:spacing w:after="0" w:line="240" w:lineRule="auto"/>
              <w:rPr>
                <w:bCs/>
                <w:sz w:val="16"/>
                <w:szCs w:val="16"/>
              </w:rPr>
            </w:pPr>
            <w:r w:rsidRPr="00AC7CB8">
              <w:rPr>
                <w:bCs/>
                <w:sz w:val="16"/>
                <w:szCs w:val="16"/>
              </w:rPr>
              <w:t>Samsung Bioepis NL B.V.</w:t>
            </w:r>
          </w:p>
        </w:tc>
        <w:tc>
          <w:tcPr>
            <w:tcW w:w="3260" w:type="dxa"/>
            <w:vAlign w:val="bottom"/>
          </w:tcPr>
          <w:p w14:paraId="0B26CC12" w14:textId="4294D5AC" w:rsidR="008109DE" w:rsidRPr="00AC7CB8" w:rsidRDefault="008109DE" w:rsidP="00AC7CB8">
            <w:pPr>
              <w:spacing w:after="0" w:line="240" w:lineRule="auto"/>
              <w:rPr>
                <w:bCs/>
                <w:sz w:val="16"/>
                <w:szCs w:val="16"/>
              </w:rPr>
            </w:pPr>
            <w:r w:rsidRPr="00AC7CB8">
              <w:rPr>
                <w:bCs/>
                <w:sz w:val="16"/>
                <w:szCs w:val="16"/>
              </w:rPr>
              <w:t>24/8/2017</w:t>
            </w:r>
          </w:p>
        </w:tc>
      </w:tr>
      <w:tr w:rsidR="008109DE" w:rsidRPr="008015BF" w14:paraId="684AD368" w14:textId="6A6F8755" w:rsidTr="00AC7CB8">
        <w:tc>
          <w:tcPr>
            <w:tcW w:w="1320" w:type="dxa"/>
            <w:shd w:val="clear" w:color="auto" w:fill="auto"/>
            <w:noWrap/>
            <w:vAlign w:val="bottom"/>
          </w:tcPr>
          <w:p w14:paraId="733BF55A" w14:textId="33EAEDC1" w:rsidR="008109DE" w:rsidRPr="00AC7CB8" w:rsidRDefault="008109DE" w:rsidP="00AC7CB8">
            <w:pPr>
              <w:spacing w:after="0" w:line="240" w:lineRule="auto"/>
              <w:rPr>
                <w:rFonts w:eastAsia="Times New Roman" w:cstheme="minorHAnsi"/>
                <w:bCs/>
                <w:color w:val="000000"/>
                <w:sz w:val="16"/>
                <w:szCs w:val="16"/>
                <w:lang w:eastAsia="en-GB"/>
              </w:rPr>
            </w:pPr>
            <w:proofErr w:type="spellStart"/>
            <w:r w:rsidRPr="00AC7CB8">
              <w:rPr>
                <w:rFonts w:eastAsia="Times New Roman" w:cstheme="minorHAnsi"/>
                <w:bCs/>
                <w:color w:val="000000"/>
                <w:sz w:val="16"/>
                <w:szCs w:val="16"/>
                <w:lang w:eastAsia="en-GB"/>
              </w:rPr>
              <w:t>Libmyris</w:t>
            </w:r>
            <w:proofErr w:type="spellEnd"/>
          </w:p>
        </w:tc>
        <w:tc>
          <w:tcPr>
            <w:tcW w:w="1843" w:type="dxa"/>
            <w:shd w:val="clear" w:color="auto" w:fill="auto"/>
            <w:noWrap/>
            <w:vAlign w:val="bottom"/>
          </w:tcPr>
          <w:p w14:paraId="5E406AB7" w14:textId="72D7821C" w:rsidR="008109DE" w:rsidRPr="008109DE" w:rsidRDefault="008109DE" w:rsidP="00AC7CB8">
            <w:pPr>
              <w:spacing w:after="0" w:line="240" w:lineRule="auto"/>
              <w:rPr>
                <w:rFonts w:eastAsia="Times New Roman" w:cstheme="minorHAnsi"/>
                <w:bCs/>
                <w:color w:val="000000"/>
                <w:sz w:val="16"/>
                <w:szCs w:val="16"/>
                <w:lang w:eastAsia="en-GB"/>
              </w:rPr>
            </w:pPr>
            <w:r w:rsidRPr="00AC7CB8">
              <w:rPr>
                <w:bCs/>
                <w:sz w:val="16"/>
                <w:szCs w:val="16"/>
              </w:rPr>
              <w:t>AVT02</w:t>
            </w:r>
          </w:p>
        </w:tc>
        <w:tc>
          <w:tcPr>
            <w:tcW w:w="2551" w:type="dxa"/>
            <w:vAlign w:val="bottom"/>
          </w:tcPr>
          <w:p w14:paraId="4EBFF66C" w14:textId="52FDFF2F" w:rsidR="008109DE" w:rsidRPr="008109DE" w:rsidRDefault="008109DE" w:rsidP="00AC7CB8">
            <w:pPr>
              <w:spacing w:after="0" w:line="240" w:lineRule="auto"/>
              <w:rPr>
                <w:bCs/>
                <w:sz w:val="16"/>
                <w:szCs w:val="16"/>
              </w:rPr>
            </w:pPr>
            <w:proofErr w:type="spellStart"/>
            <w:r w:rsidRPr="00AC7CB8">
              <w:rPr>
                <w:bCs/>
                <w:sz w:val="16"/>
                <w:szCs w:val="16"/>
              </w:rPr>
              <w:t>Stada</w:t>
            </w:r>
            <w:proofErr w:type="spellEnd"/>
            <w:r w:rsidRPr="00AC7CB8">
              <w:rPr>
                <w:bCs/>
                <w:sz w:val="16"/>
                <w:szCs w:val="16"/>
              </w:rPr>
              <w:t xml:space="preserve"> </w:t>
            </w:r>
            <w:proofErr w:type="spellStart"/>
            <w:r w:rsidRPr="00AC7CB8">
              <w:rPr>
                <w:bCs/>
                <w:sz w:val="16"/>
                <w:szCs w:val="16"/>
              </w:rPr>
              <w:t>Arzneimittel</w:t>
            </w:r>
            <w:proofErr w:type="spellEnd"/>
            <w:r w:rsidRPr="00AC7CB8">
              <w:rPr>
                <w:bCs/>
                <w:sz w:val="16"/>
                <w:szCs w:val="16"/>
              </w:rPr>
              <w:t xml:space="preserve"> AG</w:t>
            </w:r>
          </w:p>
        </w:tc>
        <w:tc>
          <w:tcPr>
            <w:tcW w:w="3260" w:type="dxa"/>
            <w:vAlign w:val="bottom"/>
          </w:tcPr>
          <w:p w14:paraId="53A7BBF1" w14:textId="43A95A41" w:rsidR="008109DE" w:rsidRPr="00AC7CB8" w:rsidRDefault="008109DE" w:rsidP="00AC7CB8">
            <w:pPr>
              <w:spacing w:after="0" w:line="240" w:lineRule="auto"/>
              <w:rPr>
                <w:bCs/>
                <w:sz w:val="16"/>
                <w:szCs w:val="16"/>
              </w:rPr>
            </w:pPr>
            <w:r w:rsidRPr="00AC7CB8">
              <w:rPr>
                <w:bCs/>
                <w:sz w:val="16"/>
                <w:szCs w:val="16"/>
              </w:rPr>
              <w:t>12/11/2021</w:t>
            </w:r>
          </w:p>
        </w:tc>
      </w:tr>
      <w:tr w:rsidR="008109DE" w:rsidRPr="008015BF" w14:paraId="21CD5317" w14:textId="64E1F440" w:rsidTr="00AC7CB8">
        <w:tc>
          <w:tcPr>
            <w:tcW w:w="1320" w:type="dxa"/>
            <w:shd w:val="clear" w:color="auto" w:fill="auto"/>
            <w:noWrap/>
            <w:vAlign w:val="bottom"/>
          </w:tcPr>
          <w:p w14:paraId="33E67F5F" w14:textId="4887F94C" w:rsidR="008109DE" w:rsidRPr="00AC7CB8" w:rsidRDefault="008109DE" w:rsidP="00AC7CB8">
            <w:pPr>
              <w:spacing w:after="0" w:line="240" w:lineRule="auto"/>
              <w:rPr>
                <w:rFonts w:eastAsia="Times New Roman" w:cstheme="minorHAnsi"/>
                <w:bCs/>
                <w:color w:val="000000"/>
                <w:sz w:val="16"/>
                <w:szCs w:val="16"/>
                <w:lang w:eastAsia="en-GB"/>
              </w:rPr>
            </w:pPr>
            <w:proofErr w:type="spellStart"/>
            <w:r w:rsidRPr="00AC7CB8">
              <w:rPr>
                <w:rFonts w:eastAsia="Times New Roman" w:cstheme="minorHAnsi"/>
                <w:bCs/>
                <w:color w:val="000000"/>
                <w:sz w:val="16"/>
                <w:szCs w:val="16"/>
                <w:lang w:eastAsia="en-GB"/>
              </w:rPr>
              <w:t>Yuflyma</w:t>
            </w:r>
            <w:proofErr w:type="spellEnd"/>
          </w:p>
        </w:tc>
        <w:tc>
          <w:tcPr>
            <w:tcW w:w="1843" w:type="dxa"/>
            <w:shd w:val="clear" w:color="auto" w:fill="auto"/>
            <w:noWrap/>
            <w:vAlign w:val="bottom"/>
          </w:tcPr>
          <w:p w14:paraId="2CB11DB4" w14:textId="50A75CA3" w:rsidR="008109DE" w:rsidRPr="008109DE" w:rsidRDefault="008109DE" w:rsidP="00AC7CB8">
            <w:pPr>
              <w:spacing w:after="0" w:line="240" w:lineRule="auto"/>
              <w:rPr>
                <w:rFonts w:eastAsia="Times New Roman" w:cstheme="minorHAnsi"/>
                <w:bCs/>
                <w:color w:val="000000"/>
                <w:sz w:val="16"/>
                <w:szCs w:val="16"/>
                <w:lang w:eastAsia="en-GB"/>
              </w:rPr>
            </w:pPr>
            <w:r w:rsidRPr="00AC7CB8">
              <w:rPr>
                <w:bCs/>
                <w:sz w:val="16"/>
                <w:szCs w:val="16"/>
              </w:rPr>
              <w:t xml:space="preserve">CT-P17 </w:t>
            </w:r>
          </w:p>
        </w:tc>
        <w:tc>
          <w:tcPr>
            <w:tcW w:w="2551" w:type="dxa"/>
            <w:vAlign w:val="bottom"/>
          </w:tcPr>
          <w:p w14:paraId="5B1457E7" w14:textId="75339D1D" w:rsidR="008109DE" w:rsidRPr="008109DE" w:rsidRDefault="008109DE" w:rsidP="00AC7CB8">
            <w:pPr>
              <w:spacing w:after="0" w:line="240" w:lineRule="auto"/>
              <w:rPr>
                <w:bCs/>
                <w:sz w:val="16"/>
                <w:szCs w:val="16"/>
              </w:rPr>
            </w:pPr>
            <w:proofErr w:type="spellStart"/>
            <w:r w:rsidRPr="00AC7CB8">
              <w:rPr>
                <w:bCs/>
                <w:sz w:val="16"/>
                <w:szCs w:val="16"/>
              </w:rPr>
              <w:t>Celltrion</w:t>
            </w:r>
            <w:proofErr w:type="spellEnd"/>
            <w:r w:rsidRPr="00AC7CB8">
              <w:rPr>
                <w:bCs/>
                <w:sz w:val="16"/>
                <w:szCs w:val="16"/>
              </w:rPr>
              <w:t xml:space="preserve"> Healthcare Hungary </w:t>
            </w:r>
            <w:proofErr w:type="spellStart"/>
            <w:r w:rsidRPr="00AC7CB8">
              <w:rPr>
                <w:bCs/>
                <w:sz w:val="16"/>
                <w:szCs w:val="16"/>
              </w:rPr>
              <w:t>Kft</w:t>
            </w:r>
            <w:proofErr w:type="spellEnd"/>
            <w:r w:rsidRPr="00AC7CB8">
              <w:rPr>
                <w:bCs/>
                <w:sz w:val="16"/>
                <w:szCs w:val="16"/>
              </w:rPr>
              <w:t>.</w:t>
            </w:r>
          </w:p>
        </w:tc>
        <w:tc>
          <w:tcPr>
            <w:tcW w:w="3260" w:type="dxa"/>
            <w:vAlign w:val="bottom"/>
          </w:tcPr>
          <w:p w14:paraId="4B642413" w14:textId="71631524" w:rsidR="008109DE" w:rsidRPr="00AC7CB8" w:rsidRDefault="008109DE" w:rsidP="00AC7CB8">
            <w:pPr>
              <w:spacing w:after="0" w:line="240" w:lineRule="auto"/>
              <w:rPr>
                <w:bCs/>
                <w:sz w:val="16"/>
                <w:szCs w:val="16"/>
              </w:rPr>
            </w:pPr>
            <w:r w:rsidRPr="00AC7CB8">
              <w:rPr>
                <w:bCs/>
                <w:sz w:val="16"/>
                <w:szCs w:val="16"/>
              </w:rPr>
              <w:t>11/2/2021</w:t>
            </w:r>
          </w:p>
        </w:tc>
      </w:tr>
    </w:tbl>
    <w:p w14:paraId="47124ECB" w14:textId="77777777" w:rsidR="008109DE" w:rsidRDefault="008109DE" w:rsidP="00BB00AC"/>
    <w:p w14:paraId="54A3384C" w14:textId="0A1E4662" w:rsidR="00ED352E" w:rsidRDefault="0013351C" w:rsidP="00BB00AC">
      <w:r>
        <w:t>Understanding p</w:t>
      </w:r>
      <w:r w:rsidR="000A64FF">
        <w:t xml:space="preserve">atient </w:t>
      </w:r>
      <w:r w:rsidR="00ED2524">
        <w:t xml:space="preserve">experience </w:t>
      </w:r>
      <w:r w:rsidR="000A64FF">
        <w:t xml:space="preserve">is particularly important for </w:t>
      </w:r>
      <w:r w:rsidR="00855B41">
        <w:t>biologic</w:t>
      </w:r>
      <w:r w:rsidR="000A64FF">
        <w:t xml:space="preserve">s </w:t>
      </w:r>
      <w:r w:rsidR="005303BA">
        <w:t>administered at home (such as adalimumab)</w:t>
      </w:r>
      <w:r w:rsidR="00CC5381">
        <w:t>,</w:t>
      </w:r>
      <w:r w:rsidR="005303BA">
        <w:t xml:space="preserve"> as opposed to via infusion in </w:t>
      </w:r>
      <w:r w:rsidR="00CC5381">
        <w:t xml:space="preserve">a </w:t>
      </w:r>
      <w:r w:rsidR="005303BA">
        <w:t>healthcare setting</w:t>
      </w:r>
      <w:r w:rsidR="00CC5381">
        <w:t>,</w:t>
      </w:r>
      <w:r w:rsidR="005303BA">
        <w:t xml:space="preserve"> </w:t>
      </w:r>
      <w:r w:rsidR="00855B41">
        <w:t xml:space="preserve">as patients </w:t>
      </w:r>
      <w:r w:rsidR="000A64FF">
        <w:t>are usually more remote from the healthcare team</w:t>
      </w:r>
      <w:r w:rsidR="00957134">
        <w:t xml:space="preserve"> and biosimilar transition requires </w:t>
      </w:r>
      <w:r w:rsidR="00882D7C">
        <w:t>a</w:t>
      </w:r>
      <w:r w:rsidR="00957134">
        <w:t xml:space="preserve"> change </w:t>
      </w:r>
      <w:r w:rsidR="00882D7C">
        <w:t>of self-administration device</w:t>
      </w:r>
      <w:r w:rsidR="00957134">
        <w:t>.</w:t>
      </w:r>
      <w:r w:rsidR="00AD7491">
        <w:t xml:space="preserve"> </w:t>
      </w:r>
      <w:r w:rsidR="000D1DF1">
        <w:t>Negative attitudes towards a medication are likely to increase intentional non-adherence</w:t>
      </w:r>
      <w:r w:rsidR="00846599">
        <w:fldChar w:fldCharType="begin"/>
      </w:r>
      <w:r w:rsidR="008C348C">
        <w:instrText xml:space="preserve"> ADDIN ZOTERO_ITEM CSL_CITATION {"citationID":"G0Q2PUCa","properties":{"formattedCitation":"[5,6]","plainCitation":"[5,6]","noteIndex":0},"citationItems":[{"id":119,"uris":["http://zotero.org/users/5054817/items/9CLQSIVX"],"uri":["http://zotero.org/users/5054817/items/9CLQSIVX"],"itemData":{"id":119,"type":"article-journal","container-title":"Rheumatology and Therapy","DOI":"10.1007/s40744-017-0085-z","ISSN":"2198-6576, 2198-6584","issue":"2","journalAbbreviation":"Rheumatol Ther","language":"en","page":"209-218","source":"DOI.org (Crossref)","title":"Treatment Outcomes with Biosimilars: Be Aware of the Nocebo Effect","title-short":"Treatment Outcomes with Biosimilars","volume":"4","author":[{"family":"Rezk","given":"Mourad F."},{"family":"Pieper","given":"Burkhard"}],"issued":{"date-parts":[["2017",12]]}}},{"id":631,"uris":["http://zotero.org/users/5054817/items/LUD35H8S"],"uri":["http://zotero.org/users/5054817/items/LUD35H8S"],"itemData":{"id":631,"type":"report","title":"Medicines adherence: involving patients in decisions about prescribed medicines and supporting adherence [NICE clinical guideline No. 76]","URL":"https://www.nice.org.uk/guidance/cg76/resources/medicines-adherence-involving-patients-in-decisions-about-prescribed-medicines-and-supporting-adherence-pdf-975631782085","author":[{"literal":"National Institute for Health and Care Excellence"}],"issued":{"date-parts":[["2009"]]}}}],"schema":"https://github.com/citation-style-language/schema/raw/master/csl-citation.json"} </w:instrText>
      </w:r>
      <w:r w:rsidR="00846599">
        <w:fldChar w:fldCharType="separate"/>
      </w:r>
      <w:r w:rsidR="008C348C" w:rsidRPr="008C348C">
        <w:rPr>
          <w:rFonts w:ascii="Calibri" w:hAnsi="Calibri" w:cs="Calibri"/>
        </w:rPr>
        <w:t>[5,6]</w:t>
      </w:r>
      <w:r w:rsidR="00846599">
        <w:fldChar w:fldCharType="end"/>
      </w:r>
      <w:r w:rsidR="000D1DF1">
        <w:t xml:space="preserve"> </w:t>
      </w:r>
      <w:r w:rsidR="00AF27DB">
        <w:t>which</w:t>
      </w:r>
      <w:r w:rsidR="000D1DF1">
        <w:t xml:space="preserve"> </w:t>
      </w:r>
      <w:r w:rsidR="005303BA">
        <w:t>will significantly impact on</w:t>
      </w:r>
      <w:r w:rsidR="000D1DF1">
        <w:t xml:space="preserve"> the risk of disease relapse and burden on the healthcare system</w:t>
      </w:r>
      <w:r w:rsidR="00DE60B2">
        <w:t xml:space="preserve">. </w:t>
      </w:r>
      <w:r w:rsidR="00AB0598">
        <w:t xml:space="preserve">Identifying factors that </w:t>
      </w:r>
      <w:r w:rsidR="006821B2">
        <w:t xml:space="preserve">influence </w:t>
      </w:r>
      <w:r w:rsidR="00A07E0C">
        <w:t xml:space="preserve">patient attitudes towards biosimilar medicines is therefore </w:t>
      </w:r>
      <w:r w:rsidR="00BF218C">
        <w:t>critical to their success</w:t>
      </w:r>
      <w:r w:rsidR="000D1DF1">
        <w:t xml:space="preserve">. </w:t>
      </w:r>
      <w:r w:rsidR="00957134">
        <w:t xml:space="preserve">Patients </w:t>
      </w:r>
      <w:r w:rsidR="005303BA">
        <w:t>transitioning between originator and biosimilars</w:t>
      </w:r>
      <w:r w:rsidR="008E0054">
        <w:t>,</w:t>
      </w:r>
      <w:r w:rsidR="005303BA">
        <w:t xml:space="preserve"> and also biosimilar to biosimilar</w:t>
      </w:r>
      <w:r w:rsidR="008E0054">
        <w:t>,</w:t>
      </w:r>
      <w:r w:rsidR="005303BA">
        <w:t xml:space="preserve"> </w:t>
      </w:r>
      <w:r w:rsidR="00957134">
        <w:t xml:space="preserve">are encouraged to </w:t>
      </w:r>
      <w:r w:rsidR="00AF7FB9">
        <w:t xml:space="preserve">be actively involved in their health care and decisions about their treatment with </w:t>
      </w:r>
      <w:r w:rsidR="001A24B8">
        <w:t xml:space="preserve">education and careful discussion </w:t>
      </w:r>
      <w:r w:rsidR="00AF7FB9">
        <w:t xml:space="preserve">being key to </w:t>
      </w:r>
      <w:r w:rsidR="00352889">
        <w:t>minimising the nocebo effect</w:t>
      </w:r>
      <w:r w:rsidR="00906FF7">
        <w:t>,</w:t>
      </w:r>
      <w:r w:rsidR="00846599">
        <w:fldChar w:fldCharType="begin"/>
      </w:r>
      <w:r w:rsidR="00092F78">
        <w:instrText xml:space="preserve"> ADDIN ZOTERO_ITEM CSL_CITATION {"citationID":"5tH4zY2K","properties":{"formattedCitation":"[5]","plainCitation":"[5]","noteIndex":0},"citationItems":[{"id":119,"uris":["http://zotero.org/users/5054817/items/9CLQSIVX"],"uri":["http://zotero.org/users/5054817/items/9CLQSIVX"],"itemData":{"id":119,"type":"article-journal","container-title":"Rheumatology and Therapy","DOI":"10.1007/s40744-017-0085-z","ISSN":"2198-6576, 2198-6584","issue":"2","journalAbbreviation":"Rheumatol Ther","language":"en","page":"209-218","source":"DOI.org (Crossref)","title":"Treatment Outcomes with Biosimilars: Be Aware of the Nocebo Effect","title-short":"Treatment Outcomes with Biosimilars","volume":"4","author":[{"family":"Rezk","given":"Mourad F."},{"family":"Pieper","given":"Burkhard"}],"issued":{"date-parts":[["2017",12]]}}}],"schema":"https://github.com/citation-style-language/schema/raw/master/csl-citation.json"} </w:instrText>
      </w:r>
      <w:r w:rsidR="00846599">
        <w:fldChar w:fldCharType="separate"/>
      </w:r>
      <w:r w:rsidR="00092F78" w:rsidRPr="00092F78">
        <w:rPr>
          <w:rFonts w:ascii="Calibri" w:hAnsi="Calibri" w:cs="Calibri"/>
        </w:rPr>
        <w:t>[5]</w:t>
      </w:r>
      <w:r w:rsidR="00846599">
        <w:fldChar w:fldCharType="end"/>
      </w:r>
      <w:r w:rsidR="00906FF7">
        <w:t xml:space="preserve"> improving patient acceptance </w:t>
      </w:r>
      <w:r w:rsidR="00352889">
        <w:t xml:space="preserve">and </w:t>
      </w:r>
      <w:r w:rsidR="00906FF7">
        <w:t xml:space="preserve">therefore </w:t>
      </w:r>
      <w:r w:rsidR="00AF7FB9">
        <w:t>success</w:t>
      </w:r>
      <w:r w:rsidR="00352889">
        <w:t xml:space="preserve">ful </w:t>
      </w:r>
      <w:r w:rsidR="00AF7FB9">
        <w:t>implementation of biosimilar medicines</w:t>
      </w:r>
      <w:r w:rsidR="003270F3">
        <w:t xml:space="preserve">. </w:t>
      </w:r>
      <w:r w:rsidR="0084630A">
        <w:t>Existing literature is limited to survey data assessing awareness, concerns and perceptions prior to transition and acceptance</w:t>
      </w:r>
      <w:r w:rsidR="008E71D9">
        <w:t xml:space="preserve"> of transition</w:t>
      </w:r>
      <w:r w:rsidR="006F78B6">
        <w:t>,</w:t>
      </w:r>
      <w:r w:rsidR="0084630A">
        <w:fldChar w:fldCharType="begin"/>
      </w:r>
      <w:r w:rsidR="00092F78">
        <w:instrText xml:space="preserve"> ADDIN ZOTERO_ITEM CSL_CITATION {"citationID":"Wcikvytp","properties":{"formattedCitation":"[7\\uc0\\u8211{}12]","plainCitation":"[7–12]","noteIndex":0},"citationItems":[{"id":499,"uris":["http://zotero.org/users/5054817/items/SCHNBJ99"],"uri":["http://zotero.org/users/5054817/items/SCHNBJ99"],"itemData":{"id":499,"type":"article-journal","container-title":"Patient Preference and Adherence","DOI":"10.2147/PPA.S104891","ISSN":"1177-889X","journalAbbreviation":"PPA","language":"en","page":"937","source":"DOI.org (Crossref)","title":"Patient attitudes and understanding about biosimilars: an international cross-sectional survey","title-short":"Patient attitudes and understanding about biosimilars","author":[{"family":"Jacobs","given":"Ira"},{"family":"Singh","given":"Ena"},{"family":"Sewell","given":"Lea"},{"family":"Al-Sabbagh","given":"Ahmad"},{"family":"Shane","given":"Lesley G"}],"issued":{"date-parts":[["2016",5]]}}},{"id":152,"uris":["http://zotero.org/users/5054817/items/HTJEEYG6"],"uri":["http://zotero.org/users/5054817/items/HTJEEYG6"],"itemData":{"id":152,"type":"article-journal","abstract":"BACKGROUNDTo lighten the burden on health-care spending, switching from the infliximab originator to a biosimilar in patients with inflammatory bowel disease (IBD) is advocated. However, the uptake of biosimilars lacks initiatives aimed at educating patients.AIMSTo explore the impact of a gastroenterologist's interview on IBD patients' acceptance for switching from infliximab bio-originator Remicade® to its biosimilar CT-P13 Inflectra®.METHODSAfter the interview of 138 included patients, 120 properly responded to a self-administered questionnaire to collect consent about the switch and relevant data. French national IBD patients' association (Association François Aupetit) provided an information sheet on biosimilars.RESULTS93 (67.0%) out of 138 and 82 (68.3%) out of 120 patients switched treatment. 114 (79.8%) had never heard about biosimilars. Paradoxically, having heard about biosimilars was associated with a poorer chance to switch (Odds Ratio OR [95% CI] = 0.13 [0.02-0.72]). On the contrary, the more satisfied about generics, the more patients accepted the switch (OR [95% CI] = 1.31 [1.01-1.69]). There were 1.47 (Relative Risk RR [95% CI] = 1.47 [1.07-2.01]) times more chance to agree to the switch if the interview modified the patient's opinion on biosimilars.CONCLUSIONThis study confirms that an organized information provided to the patient is a contributive way to enhance patient's acceptance of biosimilars in IBD.","container-title":"Digestive and liver disease : official journal of the Italian Society of Gastroenterology and the Italian Association for the Study of the Liver","issue":"3","journalAbbreviation":"Digestive and liver disease : official journal of the Italian Society of Gastroenterology and the Italian Association for the Study of the Liver","page":"281-288","source":"Medline","title":"Impact of a medical interview on the decision to switch from originator infliximab to its biosimilar in patients with inflammatory bowel disease. DUPLICATE","volume":"52","author":[{"family":"Haghnejad","given":"Vincent"},{"family":"Le Berre","given":"Catherine"},{"family":"Dominique","given":"Yoann"},{"family":"Zallot","given":"Camille"},{"family":"Guillemin","given":"Francis"},{"family":"Peyrin-Biroulet","given":"Laurent"}],"issued":{"date-parts":[["2020",3]]}}},{"id":111,"uris":["http://zotero.org/users/5054817/items/86N3BCYC"],"uri":["http://zotero.org/users/5054817/items/86N3BCYC"],"itemData":{"id":111,"type":"article-journal","container-title":"Digestive and Liver Disease","DOI":"10.1016/j.dld.2020.07.028","ISSN":"15908658","issue":"11","journalAbbreviation":"Digestive and Liver Disease","language":"en","page":"1304-1309","source":"DOI.org (Crossref)","title":"Biosimilars: The viewpoint of Italian patients with inflammatory bowel disease","title-short":"Biosimilars","volume":"52","author":[{"family":"Macaluso","given":"Fabio Salvatore"},{"family":"Leone","given":"Salvatore"},{"family":"Previtali","given":"Enrica"},{"family":"Ventimiglia","given":"Marco"},{"family":"Armuzzi","given":"Alessandro"},{"family":"Orlando","given":"Ambrogio"}],"issued":{"date-parts":[["2020",11]]}}},{"id":512,"uris":["http://zotero.org/users/5054817/items/DPA96G2Y"],"uri":["http://zotero.org/users/5054817/items/DPA96G2Y"],"itemData":{"id":512,"type":"article-journal","container-title":"United European Gastroenterology Journal","DOI":"10.1177/2050640619883704","ISSN":"2050-6406, 2050-6414","issue":"10","journalAbbreviation":"United European Gastroenterol. j.","language":"en","page":"1345-1352","source":"DOI.org (Crossref)","title":"Changes in inflammatory bowel disease patients’ perspectives on biosimilars: A follow‐up survey","title-short":"Changes in inflammatory bowel disease patients’ perspectives on biosimilars","volume":"7","author":[{"family":"Peyrin-Biroulet","given":"Laurent"},{"family":"Lönnfors","given":"Sanna"},{"family":"Avedano","given":"Luisa"},{"family":"Danese","given":"Silvio"}],"issued":{"date-parts":[["2019",12]]}}},{"id":268,"uris":["http://zotero.org/users/5054817/items/C2CMNA9X"],"uri":["http://zotero.org/users/5054817/items/C2CMNA9X"],"itemData":{"id":268,"type":"article-journal","abstract":"Objective: To evaluate patient attitudes regarding non-medical switching (NMS) to biosimilars among patients with autoimmune disease currently receiving a biologic. &lt;br/&gt;Method(s): An online survey was conducted among patients meeting the following criteria: &amp;gt;=18 years of age; residing in the US; diagnosis of rheumatoid arthritis, Crohn's disease, ulcerative colitis, psoriasis or psoriatic arthritis; currently taking a biologic; and consenting to participate. Patients answered questions about their attitudes and experiences related to NMS. Descriptive statistics were used to summarize responses. &lt;br/&gt;Result(s): A total of 1696 patients completed the 20-min survey. Eighty-five per cent of patients were concerned that biosimilars wouldn't treat their disease as well; 85% didn't want to switch to a biosimilar if their current biologic was helping their disease; and 83% were concerned that switching may cause more side-effects. Twenty per cent of patients had previously received notification about a potential NMS to another biologic (that was not a biosimilar) from their insurance company. Of these, 79% took at least one action to avoid the NMS and 45% ultimately switched. Of these patients (n = 150), 67% indicated that their previous biologic worked well for them and 70% didn't want to switch to another biologic. Most patients who switched (67%) did so to avoid paying a higher cost. More than half (56%) went without therapy for administrative reasons during the period of transition from the old biologic to the other treatment. &lt;br/&gt;Conclusion(s): Patients reported multiple concerns about NMS that might impact treatment outcomes, and many of the patients who non-medically switched in this survey missed treatments. Future studies should be conducted on patient expectations and experiences with NMS to understand the impact on healthcare delivery, treatment persistency, and patient outcomes. The patient perspective and experience should be considered by decision-makers when developing coverage policies for biosimilar medications and associated communication strategies.&lt;br/&gt;Copyright &amp;#xa9; 2019, &amp;#xa9; 2019 Informa UK Limited, trading as Taylor &amp; Francis Group.","container-title":"Current Medical Research and Opinion","issue":"4","journalAbbreviation":"Current Medical Research and Opinion","note":"publisher: Taylor and Francis Ltd","page":"603-609","source":"EMBASE","title":"Patient attitudes about non-medical switching to biosimilars: results from an online patient survey in the United States DUPLICATE","volume":"35","author":[{"literal":"Teeple A."},{"literal":"Ellis L.A."},{"literal":"Ginsburg S."},{"literal":"Howard L."},{"literal":"Huff L."},{"literal":"Reynolds C."},{"literal":"Walls D."},{"literal":"Curtis J.R."}],"issued":{"date-parts":[["2019",4]]}}},{"id":333,"uris":["http://zotero.org/users/5054817/items/HZ8F8QA8"],"uri":["http://zotero.org/users/5054817/items/HZ8F8QA8"],"itemData":{"id":333,"type":"article-journal","abstract":"Objectives This study examined gastroenterologists' motivation for prescribing biosimilars, assessed their treatment preferences in relation to prescribing behaviour, and explored patient attitudes to biosimilars. Methods Data were taken from the Adelphi Real World Biosimilars Programme, a real-world, crosssectional study undertaken in 2015-2016 with German gastroenterologists and patients with ulcerative colitis or Crohn's disease. Gastroenterologists provided data on their prescribing behaviour and attitudes towards biosimilars, and invited the next eight eligible consecutive consulting patients to complete a detailed questionnaire. For analysis, gastroenterologists were split into 'Investigative', 'Conservative', and 'Other' groups. Results Overall, 25 gastroenterologists and 136 patients participated. Biosimilars accounted for &amp;lt;15% of all biologic therapies and &amp;gt;80% of gastroenterologists would prescribe a bio-originator rather than biosimilar as 1st line therapy if unrestricted. Patients showed some reluctance to accept biosimilars, although of those receiving biosimilars, 79% were satisfied with the current treatment of their condition, and 69% were satisfied with the control of symptoms. Although at least 35% of patients in each analysis group reported no concerns when starting treatment with a bio-originator or biosimilar, 41% of previously biologic-naive patients prescribed a biosimilar indicated potential side effects and potential long-term problems, and 24% not knowing enough about the drug, as concerns. Conclusion Results demonstrate that there is reluctance from patients to accept biosimilars and the need to further educate patients who are unsure to allow them to be involved in decision making, highlighting the importance of patient and physician communication. There remains a need for further research into non-clinical switching and the long term impact of prescribing biosimilars.&lt;br/&gt;Copyright &amp;#xa9; 2017 Sullivan et al. This is an open access article distributed under the terms of the Creative Commons Attribution License, which permits unrestricted use, distribution, and reproduction in any medium, provided the original author and source are credited.","container-title":"PLoS ONE","issue":"4","journalAbbreviation":"PLoS ONE","note":"publisher: Public Library of Science (E-mail: plos@plos.org)","source":"EMBASE","title":"Assessing gastroenterologist and patient acceptance of biosimilars in ulcerative colitis and Crohn's disease across Germany","volume":"12","author":[{"literal":"Sullivan E."},{"literal":"Piercy J."},{"literal":"Waller J."},{"literal":"Black C.M."},{"literal":"Kachroo S."}],"issued":{"date-parts":[["2017",4]]}}}],"schema":"https://github.com/citation-style-language/schema/raw/master/csl-citation.json"} </w:instrText>
      </w:r>
      <w:r w:rsidR="0084630A">
        <w:fldChar w:fldCharType="separate"/>
      </w:r>
      <w:r w:rsidR="00092F78" w:rsidRPr="00092F78">
        <w:rPr>
          <w:rFonts w:ascii="Calibri" w:hAnsi="Calibri" w:cs="Calibri"/>
          <w:szCs w:val="24"/>
        </w:rPr>
        <w:t>[7–12]</w:t>
      </w:r>
      <w:r w:rsidR="0084630A">
        <w:fldChar w:fldCharType="end"/>
      </w:r>
      <w:r w:rsidR="0084630A">
        <w:t xml:space="preserve"> </w:t>
      </w:r>
      <w:r w:rsidR="006F78B6">
        <w:t>h</w:t>
      </w:r>
      <w:r w:rsidR="003270F3">
        <w:t>owever, despite the fact that it may significantly influence treatment success, there is a lack of research focused on</w:t>
      </w:r>
      <w:r w:rsidR="00836570">
        <w:t xml:space="preserve"> understa</w:t>
      </w:r>
      <w:r w:rsidR="00625979">
        <w:t>nding the perspective</w:t>
      </w:r>
      <w:r w:rsidR="00415A19">
        <w:t xml:space="preserve"> of </w:t>
      </w:r>
      <w:r w:rsidR="00B45105">
        <w:t xml:space="preserve">patients </w:t>
      </w:r>
      <w:r w:rsidR="00DC3A6D">
        <w:t xml:space="preserve">with CD </w:t>
      </w:r>
      <w:r w:rsidR="005925E2">
        <w:t xml:space="preserve">following </w:t>
      </w:r>
      <w:r w:rsidR="00DC3A6D">
        <w:t>biosimilar transition</w:t>
      </w:r>
      <w:r w:rsidR="000F0155">
        <w:t>.</w:t>
      </w:r>
      <w:r w:rsidR="006F78B6">
        <w:t xml:space="preserve"> </w:t>
      </w:r>
      <w:r w:rsidR="00836570">
        <w:t xml:space="preserve">As part of </w:t>
      </w:r>
      <w:r w:rsidR="00873710">
        <w:t>our current study</w:t>
      </w:r>
      <w:r w:rsidR="002E3397">
        <w:t>,</w:t>
      </w:r>
      <w:r w:rsidR="00836570">
        <w:t xml:space="preserve"> we capture</w:t>
      </w:r>
      <w:r w:rsidR="000D1DF1">
        <w:t>d</w:t>
      </w:r>
      <w:r w:rsidR="00AF7FB9">
        <w:t xml:space="preserve"> a detailed description of </w:t>
      </w:r>
      <w:r w:rsidR="00836570">
        <w:t xml:space="preserve">the patient perspective and experience of transition, </w:t>
      </w:r>
      <w:r w:rsidR="002E3397">
        <w:t xml:space="preserve">using semi-structured qualitative interviews </w:t>
      </w:r>
      <w:r w:rsidR="00836570">
        <w:t xml:space="preserve">with the aim of informing </w:t>
      </w:r>
      <w:r w:rsidR="00AF7FB9">
        <w:t xml:space="preserve">and improving </w:t>
      </w:r>
      <w:r w:rsidR="00836570">
        <w:t>future practice</w:t>
      </w:r>
      <w:r w:rsidR="003B5794">
        <w:t xml:space="preserve"> and optimising </w:t>
      </w:r>
      <w:r w:rsidR="00027D43">
        <w:t xml:space="preserve">experience and </w:t>
      </w:r>
      <w:r w:rsidR="003B5794">
        <w:t>outcomes for patients, clinical teams and payers</w:t>
      </w:r>
      <w:r w:rsidR="00836570">
        <w:t xml:space="preserve">. </w:t>
      </w:r>
    </w:p>
    <w:p w14:paraId="14B39274" w14:textId="77777777" w:rsidR="000F50DA" w:rsidRDefault="000F50DA" w:rsidP="00BB00AC">
      <w:pPr>
        <w:pStyle w:val="Heading1"/>
      </w:pPr>
      <w:r>
        <w:lastRenderedPageBreak/>
        <w:t>Method</w:t>
      </w:r>
    </w:p>
    <w:p w14:paraId="4806339F" w14:textId="11DEE214" w:rsidR="000F50DA" w:rsidRDefault="000F50DA" w:rsidP="00BB00AC">
      <w:r>
        <w:t xml:space="preserve">The IBD Reference and Biosimilar adalimumab </w:t>
      </w:r>
      <w:proofErr w:type="spellStart"/>
      <w:r>
        <w:t>CroSS</w:t>
      </w:r>
      <w:proofErr w:type="spellEnd"/>
      <w:r>
        <w:t xml:space="preserve"> over Study (</w:t>
      </w:r>
      <w:proofErr w:type="spellStart"/>
      <w:r>
        <w:t>iBaSS</w:t>
      </w:r>
      <w:proofErr w:type="spellEnd"/>
      <w:r>
        <w:t>)</w:t>
      </w:r>
      <w:r w:rsidR="00846599">
        <w:fldChar w:fldCharType="begin"/>
      </w:r>
      <w:r w:rsidR="00092F78">
        <w:instrText xml:space="preserve"> ADDIN ZOTERO_ITEM CSL_CITATION {"citationID":"PboJYvMf","properties":{"formattedCitation":"[13]","plainCitation":"[13]","noteIndex":0},"citationItems":[{"id":76,"uris":["http://zotero.org/users/5054817/items/W2BPQUSS"],"uri":["http://zotero.org/users/5054817/items/W2BPQUSS"],"itemData":{"id":76,"type":"article-journal","abstract":"Abstract \n             \n              Background \n              Biosimilars of adalimumab (ADA) have been available in Europe since October 2018 and have the potential to generate significant cost savings. SB5 is approved in the EU as an ADA biosimilar, having demonstrated bioequivalence and similar efficacy, safety and immunogenicity to the originator molecule (Humira™) in randomised controlled trials. Given a large number of biosimilar ADA products, it is likely that patients will be asked to switch between multiple ADA products in the future. There is a paucity of published evidence on the clinical outcomes of transitions from reference to biosimilar ADA in the heterogeneous real-world populations encountered in routine clinical practice. A better understanding of these, as well as patients’ related priorities and concerns, is essential to instil confidence in healthcare professionals and patients around such transitions and to improve the transition process. \n             \n             \n              Methods \n              iBaSS is a phase IV single-centre, prospective, randomised, single-blind, cross-over study in adult subjects with Crohn’s disease (CD). A cross-over design was selected as it allows each patient to experience both treatments as well as a transition to a biosimilar while remaining on active treatment throughout. This pragmatic study mimics the optimal care pathway of patients transitioning to a biosimilar and enrols a representative population of patients with CD in remission or with mild disease activity. Approximately 150 patients will be exposed in two treatment periods of 24 weeks to ADA biosimilar and reference, with half experiencing two transitions over the study period. \n               \n              The primary outcome measure is defined as the proportion of patients who maintain the baseline clinical status during both treatment periods as assessed by modified Harvey–Bradshaw Index and IBD-Control. The analysis will be based on a random-effects logistic regression model. Secondary outcome measurements include describing changes in inflammatory markers, immunogenicity and patient experience (captured using semi-structured interviews, Treatment Satisfaction Questionnaire for Medication and a visual analogue scale to assess injection site experience). \n             \n             \n              Results \n              Recruitment started in July 2019 with 56 patients recruited so far. The summary baseline characteristics are: 46% male, mean (SD) age at enrolment 42.9 years (14.5) and 84% in remission (mHBI score &amp;lt; 5). Three patients have withdrawn to date (2 withdrew consent and 1 is lost to follow-up). \n             \n             \n              Conclusion \n              This describes an achievable study design for a randomised equivalence study of biosimilar transition in patients with Crohn’s disease.","container-title":"Journal of Crohn's and Colitis","DOI":"10.1093/ecco-jcc/jjz203.744","ISSN":"1873-9946, 1876-4479","issue":"Supplement_1","language":"en","page":"S513-S513","source":"DOI.org (Crossref)","title":"P616 IBD reference and biosimilar adalimumab CroSS over study (iBaSS): design considerations and methodology","title-short":"P616 IBD reference and biosimilar adalimumab CroSS over study (iBaSS)","volume":"14","author":[{"family":"Young","given":"D"},{"family":"Freudensprung","given":"U"},{"family":"Harris","given":"C"},{"family":"Harris","given":"R"},{"family":"Harvey","given":"J"},{"family":"Addison","given":"J"},{"family":"Latter","given":"S"},{"family":"Cummings","given":"F"}],"issued":{"date-parts":[["2020",1,15]]}}}],"schema":"https://github.com/citation-style-language/schema/raw/master/csl-citation.json"} </w:instrText>
      </w:r>
      <w:r w:rsidR="00846599">
        <w:fldChar w:fldCharType="separate"/>
      </w:r>
      <w:r w:rsidR="00092F78" w:rsidRPr="00092F78">
        <w:rPr>
          <w:rFonts w:ascii="Calibri" w:hAnsi="Calibri" w:cs="Calibri"/>
        </w:rPr>
        <w:t>[13]</w:t>
      </w:r>
      <w:r w:rsidR="00846599">
        <w:fldChar w:fldCharType="end"/>
      </w:r>
      <w:r>
        <w:t xml:space="preserve"> is a phase IV single-centre, prospective, randomised, single-blind, cross-over study in adults with C</w:t>
      </w:r>
      <w:r w:rsidR="00882D7C">
        <w:t>D</w:t>
      </w:r>
      <w:r>
        <w:t xml:space="preserve"> stable on treatment with either </w:t>
      </w:r>
      <w:r w:rsidR="009702F6">
        <w:t>originator adalimumab</w:t>
      </w:r>
      <w:r w:rsidR="00E82564">
        <w:t xml:space="preserve"> </w:t>
      </w:r>
      <w:r>
        <w:t xml:space="preserve">or </w:t>
      </w:r>
      <w:r w:rsidR="002E3397">
        <w:t xml:space="preserve">the biosimilar </w:t>
      </w:r>
      <w:r w:rsidR="009702F6">
        <w:t xml:space="preserve">SB5 </w:t>
      </w:r>
      <w:r w:rsidR="00882D7C">
        <w:t xml:space="preserve">(brand name </w:t>
      </w:r>
      <w:proofErr w:type="spellStart"/>
      <w:r w:rsidR="00882D7C">
        <w:t>Imraldi</w:t>
      </w:r>
      <w:r w:rsidR="00104BE1" w:rsidRPr="006B6B56">
        <w:rPr>
          <w:vertAlign w:val="superscript"/>
        </w:rPr>
        <w:t>TM</w:t>
      </w:r>
      <w:proofErr w:type="spellEnd"/>
      <w:r w:rsidR="00882D7C">
        <w:t>)</w:t>
      </w:r>
      <w:r>
        <w:t xml:space="preserve">. </w:t>
      </w:r>
      <w:r w:rsidR="00664CCC">
        <w:t xml:space="preserve">The study was carried out at a large NHS teaching hospital with a well-developed </w:t>
      </w:r>
      <w:r w:rsidR="00A65FA1">
        <w:t>inflammatory bowel disease (</w:t>
      </w:r>
      <w:r w:rsidR="00664CCC">
        <w:t>IBD</w:t>
      </w:r>
      <w:r w:rsidR="00A65FA1">
        <w:t>)</w:t>
      </w:r>
      <w:r w:rsidR="00664CCC">
        <w:t xml:space="preserve"> </w:t>
      </w:r>
      <w:r w:rsidR="005C58BD">
        <w:t>multi-disciplinary team</w:t>
      </w:r>
      <w:r w:rsidR="00664CCC">
        <w:t xml:space="preserve">. </w:t>
      </w:r>
      <w:r>
        <w:t>Eligibility criteria included C</w:t>
      </w:r>
      <w:r w:rsidR="00882D7C">
        <w:t>D</w:t>
      </w:r>
      <w:r>
        <w:t xml:space="preserve"> in remission or with mild disease activity (modified Harvey-Bradshaw Index score &lt; 8), </w:t>
      </w:r>
      <w:r w:rsidR="00D2592D">
        <w:t xml:space="preserve">exclusive </w:t>
      </w:r>
      <w:r w:rsidR="008E7D8D">
        <w:t>exposure to only one brand of adalimumab</w:t>
      </w:r>
      <w:r>
        <w:t xml:space="preserve"> with no expectation to discontinue or adjust adalimumab dosing in the study period. Participants were exposed, in two treatment periods of 24 weeks each, to </w:t>
      </w:r>
      <w:r w:rsidR="00B37334">
        <w:t xml:space="preserve">commercially available </w:t>
      </w:r>
      <w:r>
        <w:t xml:space="preserve">originator and </w:t>
      </w:r>
      <w:r w:rsidR="009966EF">
        <w:t xml:space="preserve">SB5 </w:t>
      </w:r>
      <w:r>
        <w:t>with the order of these randomly assigned to maintain blinding of the research team</w:t>
      </w:r>
      <w:r w:rsidR="00F82153">
        <w:t xml:space="preserve"> (see figure 1)</w:t>
      </w:r>
      <w:r w:rsidR="0076279B">
        <w:t>.</w:t>
      </w:r>
      <w:r w:rsidR="00256779">
        <w:t xml:space="preserve"> </w:t>
      </w:r>
      <w:r>
        <w:t>A mixed methodology was employed to evaluate therapeutic equivalence with a qualitative element to capture the patient experience of transition.</w:t>
      </w:r>
    </w:p>
    <w:p w14:paraId="33CD1C94" w14:textId="77777777" w:rsidR="00E85C26" w:rsidRDefault="00E85C26" w:rsidP="00BB00AC"/>
    <w:p w14:paraId="30F73F8B" w14:textId="0DAD7A38" w:rsidR="000F50DA" w:rsidRDefault="000F50DA" w:rsidP="00BB00AC">
      <w:r>
        <w:t>Purposive sampling</w:t>
      </w:r>
      <w:r w:rsidR="002E3397">
        <w:t xml:space="preserve"> based on </w:t>
      </w:r>
      <w:r w:rsidR="00936536">
        <w:t>a range of demographic factors</w:t>
      </w:r>
      <w:r w:rsidR="0075549F">
        <w:t xml:space="preserve"> </w:t>
      </w:r>
      <w:r>
        <w:t xml:space="preserve">was used to capture a wide range of perspectives with interviews conducted </w:t>
      </w:r>
      <w:r w:rsidR="00CC3A49">
        <w:t xml:space="preserve">face-to-face </w:t>
      </w:r>
      <w:r>
        <w:t>at research visits</w:t>
      </w:r>
      <w:r w:rsidR="00FD42E1">
        <w:t>,</w:t>
      </w:r>
      <w:r w:rsidR="0023455F">
        <w:t xml:space="preserve"> </w:t>
      </w:r>
      <w:r w:rsidR="00A3056A">
        <w:t>at</w:t>
      </w:r>
      <w:r w:rsidR="00AD7491">
        <w:t xml:space="preserve"> least</w:t>
      </w:r>
      <w:r w:rsidR="00A3056A">
        <w:t xml:space="preserve"> </w:t>
      </w:r>
      <w:r w:rsidR="00AD7491">
        <w:t xml:space="preserve">36 </w:t>
      </w:r>
      <w:r w:rsidR="00A3056A">
        <w:t>week</w:t>
      </w:r>
      <w:r w:rsidR="00AD7491">
        <w:t>s</w:t>
      </w:r>
      <w:r w:rsidR="00A3056A">
        <w:t xml:space="preserve"> after</w:t>
      </w:r>
      <w:r w:rsidR="001D418F">
        <w:t xml:space="preserve"> randomisation,</w:t>
      </w:r>
      <w:r w:rsidR="00A45643">
        <w:t xml:space="preserve"> </w:t>
      </w:r>
      <w:r>
        <w:t>unti</w:t>
      </w:r>
      <w:r w:rsidR="002E3397">
        <w:t>l</w:t>
      </w:r>
      <w:r>
        <w:t xml:space="preserve"> data saturation </w:t>
      </w:r>
      <w:r w:rsidR="008D0444">
        <w:t>was</w:t>
      </w:r>
      <w:r>
        <w:t xml:space="preserve"> achieved</w:t>
      </w:r>
      <w:r w:rsidR="00182389">
        <w:t xml:space="preserve"> </w:t>
      </w:r>
      <w:r w:rsidR="00EB38D9">
        <w:t>i.e.</w:t>
      </w:r>
      <w:r w:rsidR="00182389">
        <w:t xml:space="preserve"> no new issues or insights being identified</w:t>
      </w:r>
      <w:r>
        <w:t xml:space="preserve">. </w:t>
      </w:r>
      <w:r w:rsidR="00742EDC">
        <w:t>Semi-structured i</w:t>
      </w:r>
      <w:r>
        <w:t xml:space="preserve">nterviews were </w:t>
      </w:r>
      <w:r w:rsidR="00742EDC">
        <w:t>conducted by DY</w:t>
      </w:r>
      <w:r>
        <w:t>, using open-ended questions, facilitated by a topic</w:t>
      </w:r>
      <w:r w:rsidR="009966EF">
        <w:t xml:space="preserve"> guide</w:t>
      </w:r>
      <w:r w:rsidR="001006B6">
        <w:t xml:space="preserve"> (available as s</w:t>
      </w:r>
      <w:r w:rsidR="001006B6" w:rsidRPr="001006B6">
        <w:t xml:space="preserve">upplemental </w:t>
      </w:r>
      <w:r w:rsidR="001006B6">
        <w:t>information)</w:t>
      </w:r>
      <w:r w:rsidR="006A5299">
        <w:t>.</w:t>
      </w:r>
      <w:r>
        <w:t> </w:t>
      </w:r>
    </w:p>
    <w:p w14:paraId="184D76BD" w14:textId="222D8AF9" w:rsidR="000F50DA" w:rsidRDefault="00742EDC" w:rsidP="00BB00AC">
      <w:r>
        <w:t>I</w:t>
      </w:r>
      <w:r w:rsidR="000F50DA">
        <w:t>nterviews were digitally recorded and fully transcribed verbatim before thematic analysis</w:t>
      </w:r>
      <w:r w:rsidR="001D418F">
        <w:fldChar w:fldCharType="begin"/>
      </w:r>
      <w:r w:rsidR="00092F78">
        <w:instrText xml:space="preserve"> ADDIN ZOTERO_ITEM CSL_CITATION {"citationID":"zMqND1pL","properties":{"formattedCitation":"[14]","plainCitation":"[14]","noteIndex":0},"citationItems":[{"id":502,"uris":["http://zotero.org/users/5054817/items/TPYB2ULE"],"uri":["http://zotero.org/users/5054817/items/TPYB2ULE"],"itemData":{"id":502,"type":"article-journal","container-title":"Qualitative Research in Psychology","DOI":"10.1191/1478088706qp063oa","ISSN":"1478-0887, 1478-0895","issue":"2","journalAbbreviation":"Qualitative Research in Psychology","language":"en","page":"77-101","source":"DOI.org (Crossref)","title":"Using thematic analysis in psychology","volume":"3","author":[{"family":"Braun","given":"Virginia"},{"family":"Clarke","given":"Victoria"}],"issued":{"date-parts":[["2006",1]]}}}],"schema":"https://github.com/citation-style-language/schema/raw/master/csl-citation.json"} </w:instrText>
      </w:r>
      <w:r w:rsidR="001D418F">
        <w:fldChar w:fldCharType="separate"/>
      </w:r>
      <w:r w:rsidR="00092F78" w:rsidRPr="00092F78">
        <w:rPr>
          <w:rFonts w:ascii="Calibri" w:hAnsi="Calibri" w:cs="Calibri"/>
        </w:rPr>
        <w:t>[14]</w:t>
      </w:r>
      <w:r w:rsidR="001D418F">
        <w:fldChar w:fldCharType="end"/>
      </w:r>
      <w:r w:rsidR="000F50DA">
        <w:t xml:space="preserve"> </w:t>
      </w:r>
      <w:r w:rsidR="001B388F">
        <w:t>was conducted</w:t>
      </w:r>
      <w:r w:rsidR="000F50DA">
        <w:t>. After a period of familiarisation and immersion in the transcripts, a coding structure was developed by DY</w:t>
      </w:r>
      <w:r w:rsidR="00404DC8">
        <w:t xml:space="preserve"> </w:t>
      </w:r>
      <w:r w:rsidR="000F50DA">
        <w:t>using</w:t>
      </w:r>
      <w:r w:rsidR="009702F6">
        <w:t xml:space="preserve"> an</w:t>
      </w:r>
      <w:r w:rsidR="000F50DA">
        <w:t xml:space="preserve"> iterative approach. SL, as project supervisor, independently applied the coding framework to four of the interviews to ensure </w:t>
      </w:r>
      <w:r w:rsidR="00D2592D">
        <w:t>rigour</w:t>
      </w:r>
      <w:r w:rsidR="000F50DA">
        <w:t>.</w:t>
      </w:r>
      <w:r w:rsidR="00B27D22">
        <w:fldChar w:fldCharType="begin"/>
      </w:r>
      <w:r w:rsidR="00092F78">
        <w:instrText xml:space="preserve"> ADDIN ZOTERO_ITEM CSL_CITATION {"citationID":"wmU6WKLM","properties":{"formattedCitation":"[14]","plainCitation":"[14]","noteIndex":0},"citationItems":[{"id":502,"uris":["http://zotero.org/users/5054817/items/TPYB2ULE"],"uri":["http://zotero.org/users/5054817/items/TPYB2ULE"],"itemData":{"id":502,"type":"article-journal","container-title":"Qualitative Research in Psychology","DOI":"10.1191/1478088706qp063oa","ISSN":"1478-0887, 1478-0895","issue":"2","journalAbbreviation":"Qualitative Research in Psychology","language":"en","page":"77-101","source":"DOI.org (Crossref)","title":"Using thematic analysis in psychology","volume":"3","author":[{"family":"Braun","given":"Virginia"},{"family":"Clarke","given":"Victoria"}],"issued":{"date-parts":[["2006",1]]}}}],"schema":"https://github.com/citation-style-language/schema/raw/master/csl-citation.json"} </w:instrText>
      </w:r>
      <w:r w:rsidR="00B27D22">
        <w:fldChar w:fldCharType="separate"/>
      </w:r>
      <w:r w:rsidR="00092F78" w:rsidRPr="00092F78">
        <w:rPr>
          <w:rFonts w:ascii="Calibri" w:hAnsi="Calibri" w:cs="Calibri"/>
        </w:rPr>
        <w:t>[14]</w:t>
      </w:r>
      <w:r w:rsidR="00B27D22">
        <w:fldChar w:fldCharType="end"/>
      </w:r>
      <w:r w:rsidR="000F50DA">
        <w:t xml:space="preserve"> The application of the codes was discussed and minor adjustments made before the coding framework was systematically applied </w:t>
      </w:r>
      <w:r>
        <w:t xml:space="preserve">(by DY) </w:t>
      </w:r>
      <w:r w:rsidR="000F50DA">
        <w:t>to all transcripts.  </w:t>
      </w:r>
      <w:r w:rsidR="001D418F" w:rsidDel="001D418F">
        <w:t xml:space="preserve"> </w:t>
      </w:r>
    </w:p>
    <w:p w14:paraId="3DC86F26" w14:textId="68813E79" w:rsidR="008E69D6" w:rsidRPr="00167A19" w:rsidRDefault="008E69D6" w:rsidP="00BB00AC">
      <w:pPr>
        <w:pStyle w:val="Heading1"/>
      </w:pPr>
      <w:r w:rsidRPr="00167A19">
        <w:lastRenderedPageBreak/>
        <w:t>Results</w:t>
      </w:r>
    </w:p>
    <w:p w14:paraId="4D5CDB0C" w14:textId="2A9AB6A4" w:rsidR="008E69D6" w:rsidRDefault="008E69D6" w:rsidP="00BB00AC">
      <w:pPr>
        <w:sectPr w:rsidR="008E69D6" w:rsidSect="00BB00AC">
          <w:type w:val="continuous"/>
          <w:pgSz w:w="11906" w:h="16838"/>
          <w:pgMar w:top="1440" w:right="1440" w:bottom="1440" w:left="1440" w:header="708" w:footer="708" w:gutter="0"/>
          <w:lnNumType w:countBy="1" w:restart="continuous"/>
          <w:cols w:space="708"/>
          <w:docGrid w:linePitch="360"/>
        </w:sectPr>
      </w:pPr>
      <w:r>
        <w:t xml:space="preserve">97 participants were recruited to the </w:t>
      </w:r>
      <w:r w:rsidR="00742EDC">
        <w:t xml:space="preserve">larger </w:t>
      </w:r>
      <w:r>
        <w:t xml:space="preserve">study with prior exposure to originator and 35 of these consented to </w:t>
      </w:r>
      <w:r w:rsidR="00803D61" w:rsidRPr="00803D61">
        <w:t>participate in semi-structured interviews</w:t>
      </w:r>
      <w:r>
        <w:t xml:space="preserve"> (table </w:t>
      </w:r>
      <w:r w:rsidR="008109DE">
        <w:t>2</w:t>
      </w:r>
      <w:r>
        <w:t xml:space="preserve">). </w:t>
      </w:r>
      <w:r w:rsidR="00610AC5">
        <w:t xml:space="preserve">Most of the interviews (33) were performed at the </w:t>
      </w:r>
      <w:r w:rsidR="00F23E98">
        <w:t>week 36 study visit</w:t>
      </w:r>
      <w:r w:rsidR="00DB1D13">
        <w:t xml:space="preserve"> and the average duration of the interviews was 11 minutes</w:t>
      </w:r>
      <w:r w:rsidR="00065844">
        <w:t xml:space="preserve"> (range </w:t>
      </w:r>
      <w:r w:rsidR="00BF0069">
        <w:t>5 to 20 minutes)</w:t>
      </w:r>
      <w:r w:rsidR="00065844">
        <w:t xml:space="preserve">. </w:t>
      </w:r>
      <w:r w:rsidR="004510E7" w:rsidRPr="00D37DDE">
        <w:t xml:space="preserve">Opinions expressed were often heterogeneous, but </w:t>
      </w:r>
      <w:r w:rsidR="005C158B" w:rsidRPr="00D37DDE">
        <w:t>commonly occurring</w:t>
      </w:r>
      <w:r w:rsidR="004510E7" w:rsidRPr="00D37DDE">
        <w:t xml:space="preserve"> experiences were also identified.</w:t>
      </w:r>
      <w:r w:rsidR="004510E7">
        <w:t xml:space="preserve"> </w:t>
      </w:r>
      <w:r w:rsidR="00803D61">
        <w:t xml:space="preserve">Five major themes were identified (table </w:t>
      </w:r>
      <w:r w:rsidR="008109DE">
        <w:t>3</w:t>
      </w:r>
      <w:r w:rsidR="00803D61">
        <w:t>).</w:t>
      </w:r>
    </w:p>
    <w:p w14:paraId="7E4C37D1" w14:textId="76C0FE55" w:rsidR="008E69D6" w:rsidRPr="0066166D" w:rsidRDefault="008E69D6" w:rsidP="008601B2">
      <w:pPr>
        <w:pStyle w:val="Caption"/>
      </w:pPr>
      <w:r>
        <w:lastRenderedPageBreak/>
        <w:t xml:space="preserve">Table </w:t>
      </w:r>
      <w:r w:rsidR="008109DE">
        <w:t>2</w:t>
      </w:r>
      <w:r w:rsidR="00F43D6F">
        <w:t xml:space="preserve"> |</w:t>
      </w:r>
      <w:r>
        <w:t xml:space="preserve"> Interview participant characteristics</w:t>
      </w:r>
      <w:r w:rsidR="00F43D6F">
        <w:t>.</w:t>
      </w:r>
    </w:p>
    <w:tbl>
      <w:tblPr>
        <w:tblW w:w="1135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
        <w:gridCol w:w="2648"/>
        <w:gridCol w:w="992"/>
        <w:gridCol w:w="1134"/>
        <w:gridCol w:w="2835"/>
        <w:gridCol w:w="2835"/>
      </w:tblGrid>
      <w:tr w:rsidR="006478A7" w:rsidRPr="008015BF" w14:paraId="245E6C94" w14:textId="77777777" w:rsidTr="006478A7">
        <w:tc>
          <w:tcPr>
            <w:tcW w:w="911" w:type="dxa"/>
            <w:shd w:val="clear" w:color="auto" w:fill="auto"/>
            <w:noWrap/>
            <w:vAlign w:val="bottom"/>
            <w:hideMark/>
          </w:tcPr>
          <w:p w14:paraId="4D0652AC" w14:textId="77777777" w:rsidR="006478A7" w:rsidRPr="008015BF" w:rsidRDefault="006478A7" w:rsidP="00BB00AC">
            <w:pPr>
              <w:spacing w:after="0" w:line="240" w:lineRule="auto"/>
              <w:rPr>
                <w:rFonts w:eastAsia="Times New Roman" w:cstheme="minorHAnsi"/>
                <w:b/>
                <w:color w:val="000000"/>
                <w:sz w:val="16"/>
                <w:szCs w:val="18"/>
                <w:lang w:eastAsia="en-GB"/>
              </w:rPr>
            </w:pPr>
            <w:r w:rsidRPr="008015BF">
              <w:rPr>
                <w:rFonts w:eastAsia="Times New Roman" w:cstheme="minorHAnsi"/>
                <w:b/>
                <w:color w:val="000000"/>
                <w:sz w:val="16"/>
                <w:szCs w:val="18"/>
                <w:lang w:eastAsia="en-GB"/>
              </w:rPr>
              <w:t>Identifier</w:t>
            </w:r>
          </w:p>
        </w:tc>
        <w:tc>
          <w:tcPr>
            <w:tcW w:w="2648" w:type="dxa"/>
            <w:shd w:val="clear" w:color="auto" w:fill="auto"/>
            <w:noWrap/>
            <w:vAlign w:val="bottom"/>
            <w:hideMark/>
          </w:tcPr>
          <w:p w14:paraId="069E732B" w14:textId="77777777" w:rsidR="006478A7" w:rsidRPr="008015BF" w:rsidRDefault="006478A7" w:rsidP="00BB00AC">
            <w:pPr>
              <w:spacing w:after="0" w:line="240" w:lineRule="auto"/>
              <w:rPr>
                <w:rFonts w:eastAsia="Times New Roman" w:cstheme="minorHAnsi"/>
                <w:b/>
                <w:color w:val="000000"/>
                <w:sz w:val="16"/>
                <w:szCs w:val="18"/>
                <w:lang w:eastAsia="en-GB"/>
              </w:rPr>
            </w:pPr>
            <w:r w:rsidRPr="008015BF">
              <w:rPr>
                <w:rFonts w:eastAsia="Times New Roman" w:cstheme="minorHAnsi"/>
                <w:b/>
                <w:color w:val="000000"/>
                <w:sz w:val="16"/>
                <w:szCs w:val="18"/>
                <w:lang w:eastAsia="en-GB"/>
              </w:rPr>
              <w:t>Highest education level</w:t>
            </w:r>
          </w:p>
        </w:tc>
        <w:tc>
          <w:tcPr>
            <w:tcW w:w="992" w:type="dxa"/>
            <w:shd w:val="clear" w:color="auto" w:fill="auto"/>
            <w:noWrap/>
            <w:vAlign w:val="bottom"/>
            <w:hideMark/>
          </w:tcPr>
          <w:p w14:paraId="44171E24" w14:textId="77777777" w:rsidR="006478A7" w:rsidRPr="008015BF" w:rsidRDefault="006478A7" w:rsidP="00BB00AC">
            <w:pPr>
              <w:spacing w:after="0" w:line="240" w:lineRule="auto"/>
              <w:rPr>
                <w:rFonts w:eastAsia="Times New Roman" w:cstheme="minorHAnsi"/>
                <w:b/>
                <w:color w:val="000000"/>
                <w:sz w:val="16"/>
                <w:szCs w:val="18"/>
                <w:lang w:eastAsia="en-GB"/>
              </w:rPr>
            </w:pPr>
            <w:r w:rsidRPr="008015BF">
              <w:rPr>
                <w:rFonts w:eastAsia="Times New Roman" w:cstheme="minorHAnsi"/>
                <w:b/>
                <w:color w:val="000000"/>
                <w:sz w:val="16"/>
                <w:szCs w:val="18"/>
                <w:lang w:eastAsia="en-GB"/>
              </w:rPr>
              <w:t>Gender</w:t>
            </w:r>
          </w:p>
        </w:tc>
        <w:tc>
          <w:tcPr>
            <w:tcW w:w="1134" w:type="dxa"/>
            <w:shd w:val="clear" w:color="auto" w:fill="auto"/>
            <w:noWrap/>
            <w:vAlign w:val="bottom"/>
            <w:hideMark/>
          </w:tcPr>
          <w:p w14:paraId="45EC1F26" w14:textId="77777777" w:rsidR="006478A7" w:rsidRPr="008015BF" w:rsidRDefault="006478A7" w:rsidP="00BB00AC">
            <w:pPr>
              <w:spacing w:after="0" w:line="240" w:lineRule="auto"/>
              <w:rPr>
                <w:rFonts w:eastAsia="Times New Roman" w:cstheme="minorHAnsi"/>
                <w:b/>
                <w:color w:val="000000"/>
                <w:sz w:val="16"/>
                <w:szCs w:val="18"/>
                <w:lang w:eastAsia="en-GB"/>
              </w:rPr>
            </w:pPr>
            <w:r w:rsidRPr="008015BF">
              <w:rPr>
                <w:rFonts w:eastAsia="Times New Roman" w:cstheme="minorHAnsi"/>
                <w:b/>
                <w:color w:val="000000"/>
                <w:sz w:val="16"/>
                <w:szCs w:val="18"/>
                <w:lang w:eastAsia="en-GB"/>
              </w:rPr>
              <w:t>Age (years)</w:t>
            </w:r>
          </w:p>
        </w:tc>
        <w:tc>
          <w:tcPr>
            <w:tcW w:w="2835" w:type="dxa"/>
            <w:shd w:val="clear" w:color="auto" w:fill="auto"/>
            <w:noWrap/>
            <w:vAlign w:val="bottom"/>
            <w:hideMark/>
          </w:tcPr>
          <w:p w14:paraId="0E73C701" w14:textId="25AE8070" w:rsidR="006478A7" w:rsidRPr="008015BF" w:rsidRDefault="006478A7" w:rsidP="00BB00AC">
            <w:pPr>
              <w:spacing w:after="0" w:line="240" w:lineRule="auto"/>
              <w:rPr>
                <w:rFonts w:eastAsia="Times New Roman" w:cstheme="minorHAnsi"/>
                <w:b/>
                <w:color w:val="000000"/>
                <w:sz w:val="16"/>
                <w:szCs w:val="18"/>
                <w:lang w:eastAsia="en-GB"/>
              </w:rPr>
            </w:pPr>
            <w:r>
              <w:rPr>
                <w:rFonts w:eastAsia="Times New Roman" w:cstheme="minorHAnsi"/>
                <w:b/>
                <w:color w:val="000000"/>
                <w:sz w:val="16"/>
                <w:szCs w:val="18"/>
                <w:lang w:eastAsia="en-GB"/>
              </w:rPr>
              <w:t xml:space="preserve">Time since diagnosis </w:t>
            </w:r>
            <w:r w:rsidRPr="008015BF">
              <w:rPr>
                <w:rFonts w:eastAsia="Times New Roman" w:cstheme="minorHAnsi"/>
                <w:b/>
                <w:color w:val="000000"/>
                <w:sz w:val="16"/>
                <w:szCs w:val="18"/>
                <w:lang w:eastAsia="en-GB"/>
              </w:rPr>
              <w:t>(at consent</w:t>
            </w:r>
            <w:r>
              <w:rPr>
                <w:rFonts w:eastAsia="Times New Roman" w:cstheme="minorHAnsi"/>
                <w:b/>
                <w:color w:val="000000"/>
                <w:sz w:val="16"/>
                <w:szCs w:val="18"/>
                <w:lang w:eastAsia="en-GB"/>
              </w:rPr>
              <w:t>; years</w:t>
            </w:r>
            <w:r w:rsidRPr="008015BF">
              <w:rPr>
                <w:rFonts w:eastAsia="Times New Roman" w:cstheme="minorHAnsi"/>
                <w:b/>
                <w:color w:val="000000"/>
                <w:sz w:val="16"/>
                <w:szCs w:val="18"/>
                <w:lang w:eastAsia="en-GB"/>
              </w:rPr>
              <w:t>)</w:t>
            </w:r>
          </w:p>
        </w:tc>
        <w:tc>
          <w:tcPr>
            <w:tcW w:w="2835" w:type="dxa"/>
            <w:shd w:val="clear" w:color="auto" w:fill="auto"/>
            <w:noWrap/>
            <w:vAlign w:val="bottom"/>
            <w:hideMark/>
          </w:tcPr>
          <w:p w14:paraId="0AA62ECF" w14:textId="5553EC63" w:rsidR="006478A7" w:rsidRPr="008015BF" w:rsidRDefault="006478A7" w:rsidP="00BB00AC">
            <w:pPr>
              <w:spacing w:after="0" w:line="240" w:lineRule="auto"/>
              <w:rPr>
                <w:rFonts w:eastAsia="Times New Roman" w:cstheme="minorHAnsi"/>
                <w:b/>
                <w:color w:val="000000"/>
                <w:sz w:val="16"/>
                <w:szCs w:val="18"/>
                <w:lang w:eastAsia="en-GB"/>
              </w:rPr>
            </w:pPr>
            <w:r w:rsidRPr="008015BF">
              <w:rPr>
                <w:rFonts w:eastAsia="Times New Roman" w:cstheme="minorHAnsi"/>
                <w:b/>
                <w:color w:val="000000"/>
                <w:sz w:val="16"/>
                <w:szCs w:val="18"/>
                <w:lang w:eastAsia="en-GB"/>
              </w:rPr>
              <w:t>Time</w:t>
            </w:r>
            <w:r>
              <w:rPr>
                <w:rFonts w:eastAsia="Times New Roman" w:cstheme="minorHAnsi"/>
                <w:b/>
                <w:color w:val="000000"/>
                <w:sz w:val="16"/>
                <w:szCs w:val="18"/>
                <w:lang w:eastAsia="en-GB"/>
              </w:rPr>
              <w:t xml:space="preserve"> since commencing </w:t>
            </w:r>
            <w:r w:rsidRPr="008015BF">
              <w:rPr>
                <w:rFonts w:eastAsia="Times New Roman" w:cstheme="minorHAnsi"/>
                <w:b/>
                <w:color w:val="000000"/>
                <w:sz w:val="16"/>
                <w:szCs w:val="18"/>
                <w:lang w:eastAsia="en-GB"/>
              </w:rPr>
              <w:t>Humira</w:t>
            </w:r>
            <w:r w:rsidR="00C84941" w:rsidRPr="006B6B56">
              <w:rPr>
                <w:rFonts w:cstheme="minorHAnsi"/>
                <w:b/>
                <w:bCs/>
              </w:rPr>
              <w:t>®</w:t>
            </w:r>
            <w:r w:rsidRPr="008015BF">
              <w:rPr>
                <w:rFonts w:eastAsia="Times New Roman" w:cstheme="minorHAnsi"/>
                <w:b/>
                <w:color w:val="000000"/>
                <w:sz w:val="16"/>
                <w:szCs w:val="18"/>
                <w:lang w:eastAsia="en-GB"/>
              </w:rPr>
              <w:t xml:space="preserve"> </w:t>
            </w:r>
            <w:r>
              <w:rPr>
                <w:rFonts w:eastAsia="Times New Roman" w:cstheme="minorHAnsi"/>
                <w:b/>
                <w:color w:val="000000"/>
                <w:sz w:val="16"/>
                <w:szCs w:val="18"/>
                <w:lang w:eastAsia="en-GB"/>
              </w:rPr>
              <w:t>(</w:t>
            </w:r>
            <w:r w:rsidRPr="008015BF">
              <w:rPr>
                <w:rFonts w:eastAsia="Times New Roman" w:cstheme="minorHAnsi"/>
                <w:b/>
                <w:color w:val="000000"/>
                <w:sz w:val="16"/>
                <w:szCs w:val="18"/>
                <w:lang w:eastAsia="en-GB"/>
              </w:rPr>
              <w:t>at consent</w:t>
            </w:r>
            <w:r>
              <w:rPr>
                <w:rFonts w:eastAsia="Times New Roman" w:cstheme="minorHAnsi"/>
                <w:b/>
                <w:color w:val="000000"/>
                <w:sz w:val="16"/>
                <w:szCs w:val="18"/>
                <w:lang w:eastAsia="en-GB"/>
              </w:rPr>
              <w:t xml:space="preserve">; </w:t>
            </w:r>
            <w:r w:rsidR="00A50CC4">
              <w:rPr>
                <w:rFonts w:eastAsia="Times New Roman" w:cstheme="minorHAnsi"/>
                <w:b/>
                <w:color w:val="000000"/>
                <w:sz w:val="16"/>
                <w:szCs w:val="18"/>
                <w:lang w:eastAsia="en-GB"/>
              </w:rPr>
              <w:t>months</w:t>
            </w:r>
            <w:r w:rsidRPr="008015BF">
              <w:rPr>
                <w:rFonts w:eastAsia="Times New Roman" w:cstheme="minorHAnsi"/>
                <w:b/>
                <w:color w:val="000000"/>
                <w:sz w:val="16"/>
                <w:szCs w:val="18"/>
                <w:lang w:eastAsia="en-GB"/>
              </w:rPr>
              <w:t>)</w:t>
            </w:r>
          </w:p>
        </w:tc>
      </w:tr>
      <w:tr w:rsidR="006478A7" w:rsidRPr="008015BF" w14:paraId="160D39CB" w14:textId="77777777" w:rsidTr="006478A7">
        <w:tc>
          <w:tcPr>
            <w:tcW w:w="911" w:type="dxa"/>
            <w:shd w:val="clear" w:color="auto" w:fill="auto"/>
            <w:noWrap/>
            <w:vAlign w:val="bottom"/>
            <w:hideMark/>
          </w:tcPr>
          <w:p w14:paraId="55783824" w14:textId="77777777" w:rsidR="006478A7" w:rsidRPr="008015BF" w:rsidRDefault="006478A7" w:rsidP="00BB00AC">
            <w:pPr>
              <w:spacing w:after="0" w:line="240" w:lineRule="auto"/>
              <w:rPr>
                <w:rFonts w:eastAsia="Times New Roman" w:cstheme="minorHAnsi"/>
                <w:color w:val="000000"/>
                <w:sz w:val="16"/>
                <w:szCs w:val="18"/>
                <w:lang w:eastAsia="en-GB"/>
              </w:rPr>
            </w:pPr>
            <w:r w:rsidRPr="008015BF">
              <w:rPr>
                <w:rFonts w:eastAsia="Times New Roman" w:cstheme="minorHAnsi"/>
                <w:color w:val="000000"/>
                <w:sz w:val="16"/>
                <w:szCs w:val="18"/>
                <w:lang w:eastAsia="en-GB"/>
              </w:rPr>
              <w:t>P01</w:t>
            </w:r>
          </w:p>
        </w:tc>
        <w:tc>
          <w:tcPr>
            <w:tcW w:w="2648" w:type="dxa"/>
            <w:shd w:val="clear" w:color="auto" w:fill="auto"/>
            <w:noWrap/>
            <w:vAlign w:val="bottom"/>
            <w:hideMark/>
          </w:tcPr>
          <w:p w14:paraId="000E96C6" w14:textId="57B12B99" w:rsidR="006478A7" w:rsidRPr="008015BF" w:rsidRDefault="00F82E59" w:rsidP="00BB00AC">
            <w:pPr>
              <w:spacing w:after="0" w:line="240" w:lineRule="auto"/>
              <w:rPr>
                <w:rFonts w:eastAsia="Times New Roman" w:cstheme="minorHAnsi"/>
                <w:color w:val="000000"/>
                <w:sz w:val="16"/>
                <w:szCs w:val="18"/>
                <w:lang w:eastAsia="en-GB"/>
              </w:rPr>
            </w:pPr>
            <w:r>
              <w:rPr>
                <w:rFonts w:eastAsia="Times New Roman" w:cstheme="minorHAnsi"/>
                <w:color w:val="000000"/>
                <w:sz w:val="16"/>
                <w:szCs w:val="18"/>
                <w:lang w:eastAsia="en-GB"/>
              </w:rPr>
              <w:t>Se</w:t>
            </w:r>
            <w:r w:rsidRPr="00F82E59">
              <w:rPr>
                <w:rFonts w:eastAsia="Times New Roman" w:cstheme="minorHAnsi"/>
                <w:color w:val="000000"/>
                <w:sz w:val="16"/>
                <w:szCs w:val="18"/>
                <w:lang w:eastAsia="en-GB"/>
              </w:rPr>
              <w:t>condary school</w:t>
            </w:r>
          </w:p>
        </w:tc>
        <w:tc>
          <w:tcPr>
            <w:tcW w:w="992" w:type="dxa"/>
            <w:shd w:val="clear" w:color="auto" w:fill="auto"/>
            <w:noWrap/>
            <w:vAlign w:val="bottom"/>
            <w:hideMark/>
          </w:tcPr>
          <w:p w14:paraId="7A7CB69A" w14:textId="77777777" w:rsidR="006478A7" w:rsidRPr="008015BF" w:rsidRDefault="006478A7" w:rsidP="00BB00AC">
            <w:pPr>
              <w:spacing w:after="0" w:line="240" w:lineRule="auto"/>
              <w:rPr>
                <w:rFonts w:eastAsia="Times New Roman" w:cstheme="minorHAnsi"/>
                <w:color w:val="000000"/>
                <w:sz w:val="16"/>
                <w:szCs w:val="18"/>
                <w:lang w:eastAsia="en-GB"/>
              </w:rPr>
            </w:pPr>
            <w:r w:rsidRPr="008015BF">
              <w:rPr>
                <w:rFonts w:eastAsia="Times New Roman" w:cstheme="minorHAnsi"/>
                <w:color w:val="000000"/>
                <w:sz w:val="16"/>
                <w:szCs w:val="18"/>
                <w:lang w:eastAsia="en-GB"/>
              </w:rPr>
              <w:t>Male</w:t>
            </w:r>
          </w:p>
        </w:tc>
        <w:tc>
          <w:tcPr>
            <w:tcW w:w="1134" w:type="dxa"/>
            <w:shd w:val="clear" w:color="auto" w:fill="auto"/>
            <w:noWrap/>
            <w:vAlign w:val="bottom"/>
            <w:hideMark/>
          </w:tcPr>
          <w:p w14:paraId="1D76336D" w14:textId="05DAC63A" w:rsidR="006478A7" w:rsidRPr="008015BF" w:rsidRDefault="00E05DA1" w:rsidP="00BB00AC">
            <w:pPr>
              <w:spacing w:after="0" w:line="240" w:lineRule="auto"/>
              <w:rPr>
                <w:rFonts w:eastAsia="Times New Roman" w:cstheme="minorHAnsi"/>
                <w:color w:val="000000"/>
                <w:sz w:val="16"/>
                <w:szCs w:val="18"/>
                <w:lang w:eastAsia="en-GB"/>
              </w:rPr>
            </w:pPr>
            <w:r>
              <w:rPr>
                <w:rFonts w:eastAsia="Times New Roman" w:cstheme="minorHAnsi"/>
                <w:color w:val="000000"/>
                <w:sz w:val="16"/>
                <w:szCs w:val="18"/>
                <w:lang w:eastAsia="en-GB"/>
              </w:rPr>
              <w:t>30-</w:t>
            </w:r>
            <w:r w:rsidR="006478A7" w:rsidRPr="008015BF">
              <w:rPr>
                <w:rFonts w:eastAsia="Times New Roman" w:cstheme="minorHAnsi"/>
                <w:color w:val="000000"/>
                <w:sz w:val="16"/>
                <w:szCs w:val="18"/>
                <w:lang w:eastAsia="en-GB"/>
              </w:rPr>
              <w:t>39</w:t>
            </w:r>
          </w:p>
        </w:tc>
        <w:tc>
          <w:tcPr>
            <w:tcW w:w="2835" w:type="dxa"/>
            <w:shd w:val="clear" w:color="auto" w:fill="auto"/>
            <w:noWrap/>
            <w:vAlign w:val="bottom"/>
            <w:hideMark/>
          </w:tcPr>
          <w:p w14:paraId="5A9F8B47" w14:textId="77777777" w:rsidR="006478A7" w:rsidRPr="008015BF" w:rsidRDefault="006478A7" w:rsidP="00BB00AC">
            <w:pPr>
              <w:spacing w:after="0" w:line="240" w:lineRule="auto"/>
              <w:rPr>
                <w:rFonts w:eastAsia="Times New Roman" w:cstheme="minorHAnsi"/>
                <w:color w:val="000000"/>
                <w:sz w:val="16"/>
                <w:szCs w:val="18"/>
                <w:lang w:eastAsia="en-GB"/>
              </w:rPr>
            </w:pPr>
            <w:r w:rsidRPr="008015BF">
              <w:rPr>
                <w:rFonts w:eastAsia="Times New Roman" w:cstheme="minorHAnsi"/>
                <w:color w:val="000000"/>
                <w:sz w:val="16"/>
                <w:szCs w:val="18"/>
                <w:lang w:eastAsia="en-GB"/>
              </w:rPr>
              <w:t>16</w:t>
            </w:r>
          </w:p>
        </w:tc>
        <w:tc>
          <w:tcPr>
            <w:tcW w:w="2835" w:type="dxa"/>
            <w:shd w:val="clear" w:color="auto" w:fill="auto"/>
            <w:noWrap/>
            <w:vAlign w:val="bottom"/>
            <w:hideMark/>
          </w:tcPr>
          <w:p w14:paraId="35AF02DA" w14:textId="54D7620A" w:rsidR="006478A7" w:rsidRPr="008015BF" w:rsidRDefault="007719A7" w:rsidP="00BB00AC">
            <w:pPr>
              <w:spacing w:after="0" w:line="240" w:lineRule="auto"/>
              <w:rPr>
                <w:rFonts w:eastAsia="Times New Roman" w:cstheme="minorHAnsi"/>
                <w:color w:val="000000"/>
                <w:sz w:val="16"/>
                <w:szCs w:val="18"/>
                <w:lang w:eastAsia="en-GB"/>
              </w:rPr>
            </w:pPr>
            <w:r>
              <w:rPr>
                <w:rFonts w:eastAsia="Times New Roman" w:cstheme="minorHAnsi"/>
                <w:color w:val="000000"/>
                <w:sz w:val="16"/>
                <w:szCs w:val="18"/>
                <w:lang w:eastAsia="en-GB"/>
              </w:rPr>
              <w:t>89</w:t>
            </w:r>
          </w:p>
        </w:tc>
      </w:tr>
      <w:tr w:rsidR="006478A7" w:rsidRPr="008015BF" w14:paraId="51492B3C" w14:textId="77777777" w:rsidTr="006478A7">
        <w:tc>
          <w:tcPr>
            <w:tcW w:w="911" w:type="dxa"/>
            <w:shd w:val="clear" w:color="auto" w:fill="auto"/>
            <w:noWrap/>
            <w:vAlign w:val="bottom"/>
            <w:hideMark/>
          </w:tcPr>
          <w:p w14:paraId="146ED6FF" w14:textId="77777777" w:rsidR="006478A7" w:rsidRPr="008015BF" w:rsidRDefault="006478A7" w:rsidP="00BB00AC">
            <w:pPr>
              <w:spacing w:after="0" w:line="240" w:lineRule="auto"/>
              <w:rPr>
                <w:rFonts w:eastAsia="Times New Roman" w:cstheme="minorHAnsi"/>
                <w:color w:val="000000"/>
                <w:sz w:val="16"/>
                <w:szCs w:val="18"/>
                <w:lang w:eastAsia="en-GB"/>
              </w:rPr>
            </w:pPr>
            <w:r w:rsidRPr="008015BF">
              <w:rPr>
                <w:rFonts w:eastAsia="Times New Roman" w:cstheme="minorHAnsi"/>
                <w:color w:val="000000"/>
                <w:sz w:val="16"/>
                <w:szCs w:val="18"/>
                <w:lang w:eastAsia="en-GB"/>
              </w:rPr>
              <w:t>P02</w:t>
            </w:r>
          </w:p>
        </w:tc>
        <w:tc>
          <w:tcPr>
            <w:tcW w:w="2648" w:type="dxa"/>
            <w:shd w:val="clear" w:color="auto" w:fill="auto"/>
            <w:noWrap/>
            <w:vAlign w:val="bottom"/>
            <w:hideMark/>
          </w:tcPr>
          <w:p w14:paraId="7B3ABB97" w14:textId="026BEFD1" w:rsidR="006478A7" w:rsidRPr="008015BF" w:rsidRDefault="006E2E4C" w:rsidP="00BB00AC">
            <w:pPr>
              <w:spacing w:after="0" w:line="240" w:lineRule="auto"/>
              <w:rPr>
                <w:rFonts w:eastAsia="Times New Roman" w:cstheme="minorHAnsi"/>
                <w:color w:val="000000"/>
                <w:sz w:val="16"/>
                <w:szCs w:val="18"/>
                <w:lang w:eastAsia="en-GB"/>
              </w:rPr>
            </w:pPr>
            <w:r>
              <w:rPr>
                <w:rFonts w:eastAsia="Times New Roman" w:cstheme="minorHAnsi"/>
                <w:color w:val="000000"/>
                <w:sz w:val="16"/>
                <w:szCs w:val="18"/>
                <w:lang w:eastAsia="en-GB"/>
              </w:rPr>
              <w:t>C</w:t>
            </w:r>
            <w:r w:rsidRPr="006E2E4C">
              <w:rPr>
                <w:rFonts w:eastAsia="Times New Roman" w:cstheme="minorHAnsi"/>
                <w:color w:val="000000"/>
                <w:sz w:val="16"/>
                <w:szCs w:val="18"/>
                <w:lang w:eastAsia="en-GB"/>
              </w:rPr>
              <w:t>ollege/ university</w:t>
            </w:r>
          </w:p>
        </w:tc>
        <w:tc>
          <w:tcPr>
            <w:tcW w:w="992" w:type="dxa"/>
            <w:shd w:val="clear" w:color="auto" w:fill="auto"/>
            <w:noWrap/>
            <w:vAlign w:val="bottom"/>
            <w:hideMark/>
          </w:tcPr>
          <w:p w14:paraId="63268037" w14:textId="77777777" w:rsidR="006478A7" w:rsidRPr="008015BF" w:rsidRDefault="006478A7" w:rsidP="00BB00AC">
            <w:pPr>
              <w:spacing w:after="0" w:line="240" w:lineRule="auto"/>
              <w:rPr>
                <w:rFonts w:eastAsia="Times New Roman" w:cstheme="minorHAnsi"/>
                <w:color w:val="000000"/>
                <w:sz w:val="16"/>
                <w:szCs w:val="18"/>
                <w:lang w:eastAsia="en-GB"/>
              </w:rPr>
            </w:pPr>
            <w:r w:rsidRPr="008015BF">
              <w:rPr>
                <w:rFonts w:eastAsia="Times New Roman" w:cstheme="minorHAnsi"/>
                <w:color w:val="000000"/>
                <w:sz w:val="16"/>
                <w:szCs w:val="18"/>
                <w:lang w:eastAsia="en-GB"/>
              </w:rPr>
              <w:t>Female</w:t>
            </w:r>
          </w:p>
        </w:tc>
        <w:tc>
          <w:tcPr>
            <w:tcW w:w="1134" w:type="dxa"/>
            <w:shd w:val="clear" w:color="auto" w:fill="auto"/>
            <w:noWrap/>
            <w:vAlign w:val="bottom"/>
            <w:hideMark/>
          </w:tcPr>
          <w:p w14:paraId="5711A0E2" w14:textId="0A159D96" w:rsidR="006478A7" w:rsidRPr="008015BF" w:rsidRDefault="006478A7" w:rsidP="00BB00AC">
            <w:pPr>
              <w:spacing w:after="0" w:line="240" w:lineRule="auto"/>
              <w:rPr>
                <w:rFonts w:eastAsia="Times New Roman" w:cstheme="minorHAnsi"/>
                <w:color w:val="000000"/>
                <w:sz w:val="16"/>
                <w:szCs w:val="18"/>
                <w:lang w:eastAsia="en-GB"/>
              </w:rPr>
            </w:pPr>
            <w:r w:rsidRPr="008015BF">
              <w:rPr>
                <w:rFonts w:eastAsia="Times New Roman" w:cstheme="minorHAnsi"/>
                <w:color w:val="000000"/>
                <w:sz w:val="16"/>
                <w:szCs w:val="18"/>
                <w:lang w:eastAsia="en-GB"/>
              </w:rPr>
              <w:t>5</w:t>
            </w:r>
            <w:r w:rsidR="00E05DA1">
              <w:rPr>
                <w:rFonts w:eastAsia="Times New Roman" w:cstheme="minorHAnsi"/>
                <w:color w:val="000000"/>
                <w:sz w:val="16"/>
                <w:szCs w:val="18"/>
                <w:lang w:eastAsia="en-GB"/>
              </w:rPr>
              <w:t>0-59</w:t>
            </w:r>
          </w:p>
        </w:tc>
        <w:tc>
          <w:tcPr>
            <w:tcW w:w="2835" w:type="dxa"/>
            <w:shd w:val="clear" w:color="auto" w:fill="auto"/>
            <w:noWrap/>
            <w:vAlign w:val="bottom"/>
            <w:hideMark/>
          </w:tcPr>
          <w:p w14:paraId="5A55F550" w14:textId="77777777" w:rsidR="006478A7" w:rsidRPr="008015BF" w:rsidRDefault="006478A7" w:rsidP="00BB00AC">
            <w:pPr>
              <w:spacing w:after="0" w:line="240" w:lineRule="auto"/>
              <w:rPr>
                <w:rFonts w:eastAsia="Times New Roman" w:cstheme="minorHAnsi"/>
                <w:color w:val="000000"/>
                <w:sz w:val="16"/>
                <w:szCs w:val="18"/>
                <w:lang w:eastAsia="en-GB"/>
              </w:rPr>
            </w:pPr>
            <w:r w:rsidRPr="008015BF">
              <w:rPr>
                <w:rFonts w:eastAsia="Times New Roman" w:cstheme="minorHAnsi"/>
                <w:color w:val="000000"/>
                <w:sz w:val="16"/>
                <w:szCs w:val="18"/>
                <w:lang w:eastAsia="en-GB"/>
              </w:rPr>
              <w:t>7</w:t>
            </w:r>
          </w:p>
        </w:tc>
        <w:tc>
          <w:tcPr>
            <w:tcW w:w="2835" w:type="dxa"/>
            <w:shd w:val="clear" w:color="auto" w:fill="auto"/>
            <w:noWrap/>
            <w:vAlign w:val="bottom"/>
            <w:hideMark/>
          </w:tcPr>
          <w:p w14:paraId="2EB0D787" w14:textId="4FC791B4" w:rsidR="006478A7" w:rsidRPr="008015BF" w:rsidRDefault="007719A7" w:rsidP="00BB00AC">
            <w:pPr>
              <w:spacing w:after="0" w:line="240" w:lineRule="auto"/>
              <w:rPr>
                <w:rFonts w:eastAsia="Times New Roman" w:cstheme="minorHAnsi"/>
                <w:color w:val="000000"/>
                <w:sz w:val="16"/>
                <w:szCs w:val="18"/>
                <w:lang w:eastAsia="en-GB"/>
              </w:rPr>
            </w:pPr>
            <w:r>
              <w:rPr>
                <w:rFonts w:eastAsia="Times New Roman" w:cstheme="minorHAnsi"/>
                <w:color w:val="000000"/>
                <w:sz w:val="16"/>
                <w:szCs w:val="18"/>
                <w:lang w:eastAsia="en-GB"/>
              </w:rPr>
              <w:t>44</w:t>
            </w:r>
          </w:p>
        </w:tc>
      </w:tr>
      <w:tr w:rsidR="006478A7" w:rsidRPr="008015BF" w14:paraId="213796E4" w14:textId="77777777" w:rsidTr="006478A7">
        <w:tc>
          <w:tcPr>
            <w:tcW w:w="911" w:type="dxa"/>
            <w:shd w:val="clear" w:color="auto" w:fill="auto"/>
            <w:noWrap/>
            <w:vAlign w:val="bottom"/>
            <w:hideMark/>
          </w:tcPr>
          <w:p w14:paraId="7F0C8ACA" w14:textId="77777777" w:rsidR="006478A7" w:rsidRPr="008015BF" w:rsidRDefault="006478A7" w:rsidP="00BB00AC">
            <w:pPr>
              <w:spacing w:after="0" w:line="240" w:lineRule="auto"/>
              <w:rPr>
                <w:rFonts w:eastAsia="Times New Roman" w:cstheme="minorHAnsi"/>
                <w:color w:val="000000"/>
                <w:sz w:val="16"/>
                <w:szCs w:val="18"/>
                <w:lang w:eastAsia="en-GB"/>
              </w:rPr>
            </w:pPr>
            <w:r w:rsidRPr="008015BF">
              <w:rPr>
                <w:rFonts w:eastAsia="Times New Roman" w:cstheme="minorHAnsi"/>
                <w:color w:val="000000"/>
                <w:sz w:val="16"/>
                <w:szCs w:val="18"/>
                <w:lang w:eastAsia="en-GB"/>
              </w:rPr>
              <w:t>P03</w:t>
            </w:r>
          </w:p>
        </w:tc>
        <w:tc>
          <w:tcPr>
            <w:tcW w:w="2648" w:type="dxa"/>
            <w:shd w:val="clear" w:color="auto" w:fill="auto"/>
            <w:noWrap/>
            <w:vAlign w:val="bottom"/>
            <w:hideMark/>
          </w:tcPr>
          <w:p w14:paraId="1F355A1A" w14:textId="688B6A4A" w:rsidR="006478A7" w:rsidRPr="008015BF" w:rsidRDefault="006E2E4C" w:rsidP="00BB00AC">
            <w:pPr>
              <w:spacing w:after="0" w:line="240" w:lineRule="auto"/>
              <w:rPr>
                <w:rFonts w:eastAsia="Times New Roman" w:cstheme="minorHAnsi"/>
                <w:color w:val="000000"/>
                <w:sz w:val="16"/>
                <w:szCs w:val="18"/>
                <w:lang w:eastAsia="en-GB"/>
              </w:rPr>
            </w:pPr>
            <w:r>
              <w:rPr>
                <w:rFonts w:eastAsia="Times New Roman" w:cstheme="minorHAnsi"/>
                <w:color w:val="000000"/>
                <w:sz w:val="16"/>
                <w:szCs w:val="18"/>
                <w:lang w:eastAsia="en-GB"/>
              </w:rPr>
              <w:t>Postgraduate</w:t>
            </w:r>
          </w:p>
        </w:tc>
        <w:tc>
          <w:tcPr>
            <w:tcW w:w="992" w:type="dxa"/>
            <w:shd w:val="clear" w:color="auto" w:fill="auto"/>
            <w:noWrap/>
            <w:vAlign w:val="bottom"/>
            <w:hideMark/>
          </w:tcPr>
          <w:p w14:paraId="71A70B32" w14:textId="77777777" w:rsidR="006478A7" w:rsidRPr="008015BF" w:rsidRDefault="006478A7" w:rsidP="00BB00AC">
            <w:pPr>
              <w:spacing w:after="0" w:line="240" w:lineRule="auto"/>
              <w:rPr>
                <w:rFonts w:eastAsia="Times New Roman" w:cstheme="minorHAnsi"/>
                <w:color w:val="000000"/>
                <w:sz w:val="16"/>
                <w:szCs w:val="18"/>
                <w:lang w:eastAsia="en-GB"/>
              </w:rPr>
            </w:pPr>
            <w:r w:rsidRPr="008015BF">
              <w:rPr>
                <w:rFonts w:eastAsia="Times New Roman" w:cstheme="minorHAnsi"/>
                <w:color w:val="000000"/>
                <w:sz w:val="16"/>
                <w:szCs w:val="18"/>
                <w:lang w:eastAsia="en-GB"/>
              </w:rPr>
              <w:t>Male</w:t>
            </w:r>
          </w:p>
        </w:tc>
        <w:tc>
          <w:tcPr>
            <w:tcW w:w="1134" w:type="dxa"/>
            <w:shd w:val="clear" w:color="auto" w:fill="auto"/>
            <w:noWrap/>
            <w:vAlign w:val="bottom"/>
            <w:hideMark/>
          </w:tcPr>
          <w:p w14:paraId="306576EC" w14:textId="6FAD9601" w:rsidR="006478A7" w:rsidRPr="008015BF" w:rsidRDefault="006478A7" w:rsidP="00BB00AC">
            <w:pPr>
              <w:spacing w:after="0" w:line="240" w:lineRule="auto"/>
              <w:rPr>
                <w:rFonts w:eastAsia="Times New Roman" w:cstheme="minorHAnsi"/>
                <w:color w:val="000000"/>
                <w:sz w:val="16"/>
                <w:szCs w:val="18"/>
                <w:lang w:eastAsia="en-GB"/>
              </w:rPr>
            </w:pPr>
            <w:r w:rsidRPr="008015BF">
              <w:rPr>
                <w:rFonts w:eastAsia="Times New Roman" w:cstheme="minorHAnsi"/>
                <w:color w:val="000000"/>
                <w:sz w:val="16"/>
                <w:szCs w:val="18"/>
                <w:lang w:eastAsia="en-GB"/>
              </w:rPr>
              <w:t>3</w:t>
            </w:r>
            <w:r w:rsidR="00E05DA1">
              <w:rPr>
                <w:rFonts w:eastAsia="Times New Roman" w:cstheme="minorHAnsi"/>
                <w:color w:val="000000"/>
                <w:sz w:val="16"/>
                <w:szCs w:val="18"/>
                <w:lang w:eastAsia="en-GB"/>
              </w:rPr>
              <w:t>0-39</w:t>
            </w:r>
          </w:p>
        </w:tc>
        <w:tc>
          <w:tcPr>
            <w:tcW w:w="2835" w:type="dxa"/>
            <w:shd w:val="clear" w:color="auto" w:fill="auto"/>
            <w:noWrap/>
            <w:vAlign w:val="bottom"/>
            <w:hideMark/>
          </w:tcPr>
          <w:p w14:paraId="3F901C05" w14:textId="77777777" w:rsidR="006478A7" w:rsidRPr="008015BF" w:rsidRDefault="006478A7" w:rsidP="00BB00AC">
            <w:pPr>
              <w:spacing w:after="0" w:line="240" w:lineRule="auto"/>
              <w:rPr>
                <w:rFonts w:eastAsia="Times New Roman" w:cstheme="minorHAnsi"/>
                <w:color w:val="000000"/>
                <w:sz w:val="16"/>
                <w:szCs w:val="18"/>
                <w:lang w:eastAsia="en-GB"/>
              </w:rPr>
            </w:pPr>
            <w:r w:rsidRPr="008015BF">
              <w:rPr>
                <w:rFonts w:eastAsia="Times New Roman" w:cstheme="minorHAnsi"/>
                <w:color w:val="000000"/>
                <w:sz w:val="16"/>
                <w:szCs w:val="18"/>
                <w:lang w:eastAsia="en-GB"/>
              </w:rPr>
              <w:t>22</w:t>
            </w:r>
          </w:p>
        </w:tc>
        <w:tc>
          <w:tcPr>
            <w:tcW w:w="2835" w:type="dxa"/>
            <w:shd w:val="clear" w:color="auto" w:fill="auto"/>
            <w:noWrap/>
            <w:vAlign w:val="bottom"/>
            <w:hideMark/>
          </w:tcPr>
          <w:p w14:paraId="168FAEF4" w14:textId="0DED22F5" w:rsidR="006478A7" w:rsidRPr="008015BF" w:rsidRDefault="007719A7" w:rsidP="00BB00AC">
            <w:pPr>
              <w:spacing w:after="0" w:line="240" w:lineRule="auto"/>
              <w:rPr>
                <w:rFonts w:eastAsia="Times New Roman" w:cstheme="minorHAnsi"/>
                <w:color w:val="000000"/>
                <w:sz w:val="16"/>
                <w:szCs w:val="18"/>
                <w:lang w:eastAsia="en-GB"/>
              </w:rPr>
            </w:pPr>
            <w:r>
              <w:rPr>
                <w:rFonts w:eastAsia="Times New Roman" w:cstheme="minorHAnsi"/>
                <w:color w:val="000000"/>
                <w:sz w:val="16"/>
                <w:szCs w:val="18"/>
                <w:lang w:eastAsia="en-GB"/>
              </w:rPr>
              <w:t>31</w:t>
            </w:r>
          </w:p>
        </w:tc>
      </w:tr>
      <w:tr w:rsidR="006478A7" w:rsidRPr="008015BF" w14:paraId="11C5B966" w14:textId="77777777" w:rsidTr="006478A7">
        <w:tc>
          <w:tcPr>
            <w:tcW w:w="911" w:type="dxa"/>
            <w:shd w:val="clear" w:color="auto" w:fill="auto"/>
            <w:noWrap/>
            <w:vAlign w:val="bottom"/>
            <w:hideMark/>
          </w:tcPr>
          <w:p w14:paraId="6CA470E8" w14:textId="77777777" w:rsidR="006478A7" w:rsidRPr="008015BF" w:rsidRDefault="006478A7" w:rsidP="00BB00AC">
            <w:pPr>
              <w:spacing w:after="0" w:line="240" w:lineRule="auto"/>
              <w:rPr>
                <w:rFonts w:eastAsia="Times New Roman" w:cstheme="minorHAnsi"/>
                <w:color w:val="000000"/>
                <w:sz w:val="16"/>
                <w:szCs w:val="18"/>
                <w:lang w:eastAsia="en-GB"/>
              </w:rPr>
            </w:pPr>
            <w:r w:rsidRPr="008015BF">
              <w:rPr>
                <w:rFonts w:eastAsia="Times New Roman" w:cstheme="minorHAnsi"/>
                <w:color w:val="000000"/>
                <w:sz w:val="16"/>
                <w:szCs w:val="18"/>
                <w:lang w:eastAsia="en-GB"/>
              </w:rPr>
              <w:t>P04</w:t>
            </w:r>
          </w:p>
        </w:tc>
        <w:tc>
          <w:tcPr>
            <w:tcW w:w="2648" w:type="dxa"/>
            <w:shd w:val="clear" w:color="auto" w:fill="auto"/>
            <w:noWrap/>
            <w:vAlign w:val="bottom"/>
            <w:hideMark/>
          </w:tcPr>
          <w:p w14:paraId="7B8C6A71" w14:textId="1E3A8CF0" w:rsidR="006478A7" w:rsidRPr="008015BF" w:rsidRDefault="006E2E4C" w:rsidP="00BB00AC">
            <w:pPr>
              <w:spacing w:after="0" w:line="240" w:lineRule="auto"/>
              <w:rPr>
                <w:rFonts w:eastAsia="Times New Roman" w:cstheme="minorHAnsi"/>
                <w:color w:val="000000"/>
                <w:sz w:val="16"/>
                <w:szCs w:val="18"/>
                <w:lang w:eastAsia="en-GB"/>
              </w:rPr>
            </w:pPr>
            <w:r>
              <w:rPr>
                <w:rFonts w:eastAsia="Times New Roman" w:cstheme="minorHAnsi"/>
                <w:color w:val="000000"/>
                <w:sz w:val="16"/>
                <w:szCs w:val="18"/>
                <w:lang w:eastAsia="en-GB"/>
              </w:rPr>
              <w:t>Postgraduate</w:t>
            </w:r>
          </w:p>
        </w:tc>
        <w:tc>
          <w:tcPr>
            <w:tcW w:w="992" w:type="dxa"/>
            <w:shd w:val="clear" w:color="auto" w:fill="auto"/>
            <w:noWrap/>
            <w:vAlign w:val="bottom"/>
            <w:hideMark/>
          </w:tcPr>
          <w:p w14:paraId="24C700D5" w14:textId="77777777" w:rsidR="006478A7" w:rsidRPr="008015BF" w:rsidRDefault="006478A7" w:rsidP="00BB00AC">
            <w:pPr>
              <w:spacing w:after="0" w:line="240" w:lineRule="auto"/>
              <w:rPr>
                <w:rFonts w:eastAsia="Times New Roman" w:cstheme="minorHAnsi"/>
                <w:color w:val="000000"/>
                <w:sz w:val="16"/>
                <w:szCs w:val="18"/>
                <w:lang w:eastAsia="en-GB"/>
              </w:rPr>
            </w:pPr>
            <w:r w:rsidRPr="008015BF">
              <w:rPr>
                <w:rFonts w:eastAsia="Times New Roman" w:cstheme="minorHAnsi"/>
                <w:color w:val="000000"/>
                <w:sz w:val="16"/>
                <w:szCs w:val="18"/>
                <w:lang w:eastAsia="en-GB"/>
              </w:rPr>
              <w:t>Male</w:t>
            </w:r>
          </w:p>
        </w:tc>
        <w:tc>
          <w:tcPr>
            <w:tcW w:w="1134" w:type="dxa"/>
            <w:shd w:val="clear" w:color="auto" w:fill="auto"/>
            <w:noWrap/>
            <w:vAlign w:val="bottom"/>
            <w:hideMark/>
          </w:tcPr>
          <w:p w14:paraId="0177B09E" w14:textId="718C058B" w:rsidR="006478A7" w:rsidRPr="008015BF" w:rsidRDefault="00E05DA1" w:rsidP="00BB00AC">
            <w:pPr>
              <w:spacing w:after="0" w:line="240" w:lineRule="auto"/>
              <w:rPr>
                <w:rFonts w:eastAsia="Times New Roman" w:cstheme="minorHAnsi"/>
                <w:color w:val="000000"/>
                <w:sz w:val="16"/>
                <w:szCs w:val="18"/>
                <w:lang w:eastAsia="en-GB"/>
              </w:rPr>
            </w:pPr>
            <w:r w:rsidRPr="008015BF">
              <w:rPr>
                <w:rFonts w:eastAsia="Times New Roman" w:cstheme="minorHAnsi"/>
                <w:color w:val="000000"/>
                <w:sz w:val="16"/>
                <w:szCs w:val="18"/>
                <w:lang w:eastAsia="en-GB"/>
              </w:rPr>
              <w:t>5</w:t>
            </w:r>
            <w:r>
              <w:rPr>
                <w:rFonts w:eastAsia="Times New Roman" w:cstheme="minorHAnsi"/>
                <w:color w:val="000000"/>
                <w:sz w:val="16"/>
                <w:szCs w:val="18"/>
                <w:lang w:eastAsia="en-GB"/>
              </w:rPr>
              <w:t>0-59</w:t>
            </w:r>
          </w:p>
        </w:tc>
        <w:tc>
          <w:tcPr>
            <w:tcW w:w="2835" w:type="dxa"/>
            <w:shd w:val="clear" w:color="auto" w:fill="auto"/>
            <w:noWrap/>
            <w:vAlign w:val="bottom"/>
            <w:hideMark/>
          </w:tcPr>
          <w:p w14:paraId="67BF4A94" w14:textId="77777777" w:rsidR="006478A7" w:rsidRPr="008015BF" w:rsidRDefault="006478A7" w:rsidP="00BB00AC">
            <w:pPr>
              <w:spacing w:after="0" w:line="240" w:lineRule="auto"/>
              <w:rPr>
                <w:rFonts w:eastAsia="Times New Roman" w:cstheme="minorHAnsi"/>
                <w:color w:val="000000"/>
                <w:sz w:val="16"/>
                <w:szCs w:val="18"/>
                <w:lang w:eastAsia="en-GB"/>
              </w:rPr>
            </w:pPr>
            <w:r w:rsidRPr="008015BF">
              <w:rPr>
                <w:rFonts w:eastAsia="Times New Roman" w:cstheme="minorHAnsi"/>
                <w:color w:val="000000"/>
                <w:sz w:val="16"/>
                <w:szCs w:val="18"/>
                <w:lang w:eastAsia="en-GB"/>
              </w:rPr>
              <w:t>41</w:t>
            </w:r>
          </w:p>
        </w:tc>
        <w:tc>
          <w:tcPr>
            <w:tcW w:w="2835" w:type="dxa"/>
            <w:shd w:val="clear" w:color="auto" w:fill="auto"/>
            <w:noWrap/>
            <w:vAlign w:val="bottom"/>
            <w:hideMark/>
          </w:tcPr>
          <w:p w14:paraId="309CFDEA" w14:textId="32D04092" w:rsidR="006478A7" w:rsidRPr="008015BF" w:rsidRDefault="007719A7" w:rsidP="00BB00AC">
            <w:pPr>
              <w:spacing w:after="0" w:line="240" w:lineRule="auto"/>
              <w:rPr>
                <w:rFonts w:eastAsia="Times New Roman" w:cstheme="minorHAnsi"/>
                <w:color w:val="000000"/>
                <w:sz w:val="16"/>
                <w:szCs w:val="18"/>
                <w:lang w:eastAsia="en-GB"/>
              </w:rPr>
            </w:pPr>
            <w:r>
              <w:rPr>
                <w:rFonts w:eastAsia="Times New Roman" w:cstheme="minorHAnsi"/>
                <w:color w:val="000000"/>
                <w:sz w:val="16"/>
                <w:szCs w:val="18"/>
                <w:lang w:eastAsia="en-GB"/>
              </w:rPr>
              <w:t>9</w:t>
            </w:r>
          </w:p>
        </w:tc>
      </w:tr>
      <w:tr w:rsidR="006478A7" w:rsidRPr="008015BF" w14:paraId="5B8C3943" w14:textId="77777777" w:rsidTr="006478A7">
        <w:tc>
          <w:tcPr>
            <w:tcW w:w="911" w:type="dxa"/>
            <w:shd w:val="clear" w:color="auto" w:fill="auto"/>
            <w:noWrap/>
            <w:vAlign w:val="bottom"/>
            <w:hideMark/>
          </w:tcPr>
          <w:p w14:paraId="69664B27" w14:textId="77777777" w:rsidR="006478A7" w:rsidRPr="008015BF" w:rsidRDefault="006478A7" w:rsidP="00BB00AC">
            <w:pPr>
              <w:spacing w:after="0" w:line="240" w:lineRule="auto"/>
              <w:rPr>
                <w:rFonts w:eastAsia="Times New Roman" w:cstheme="minorHAnsi"/>
                <w:color w:val="000000"/>
                <w:sz w:val="16"/>
                <w:szCs w:val="18"/>
                <w:lang w:eastAsia="en-GB"/>
              </w:rPr>
            </w:pPr>
            <w:r w:rsidRPr="008015BF">
              <w:rPr>
                <w:rFonts w:eastAsia="Times New Roman" w:cstheme="minorHAnsi"/>
                <w:color w:val="000000"/>
                <w:sz w:val="16"/>
                <w:szCs w:val="18"/>
                <w:lang w:eastAsia="en-GB"/>
              </w:rPr>
              <w:t>P05</w:t>
            </w:r>
          </w:p>
        </w:tc>
        <w:tc>
          <w:tcPr>
            <w:tcW w:w="2648" w:type="dxa"/>
            <w:shd w:val="clear" w:color="auto" w:fill="auto"/>
            <w:noWrap/>
            <w:vAlign w:val="bottom"/>
            <w:hideMark/>
          </w:tcPr>
          <w:p w14:paraId="145E13DA" w14:textId="13B3EF8C" w:rsidR="006478A7" w:rsidRPr="008015BF" w:rsidRDefault="00F82E59" w:rsidP="00BB00AC">
            <w:pPr>
              <w:spacing w:after="0" w:line="240" w:lineRule="auto"/>
              <w:rPr>
                <w:rFonts w:eastAsia="Times New Roman" w:cstheme="minorHAnsi"/>
                <w:color w:val="000000"/>
                <w:sz w:val="16"/>
                <w:szCs w:val="18"/>
                <w:lang w:eastAsia="en-GB"/>
              </w:rPr>
            </w:pPr>
            <w:r>
              <w:rPr>
                <w:rFonts w:eastAsia="Times New Roman" w:cstheme="minorHAnsi"/>
                <w:color w:val="000000"/>
                <w:sz w:val="16"/>
                <w:szCs w:val="18"/>
                <w:lang w:eastAsia="en-GB"/>
              </w:rPr>
              <w:t>Se</w:t>
            </w:r>
            <w:r w:rsidRPr="00F82E59">
              <w:rPr>
                <w:rFonts w:eastAsia="Times New Roman" w:cstheme="minorHAnsi"/>
                <w:color w:val="000000"/>
                <w:sz w:val="16"/>
                <w:szCs w:val="18"/>
                <w:lang w:eastAsia="en-GB"/>
              </w:rPr>
              <w:t>condary school</w:t>
            </w:r>
          </w:p>
        </w:tc>
        <w:tc>
          <w:tcPr>
            <w:tcW w:w="992" w:type="dxa"/>
            <w:shd w:val="clear" w:color="auto" w:fill="auto"/>
            <w:noWrap/>
            <w:vAlign w:val="bottom"/>
            <w:hideMark/>
          </w:tcPr>
          <w:p w14:paraId="56E9989A" w14:textId="77777777" w:rsidR="006478A7" w:rsidRPr="008015BF" w:rsidRDefault="006478A7" w:rsidP="00BB00AC">
            <w:pPr>
              <w:spacing w:after="0" w:line="240" w:lineRule="auto"/>
              <w:rPr>
                <w:rFonts w:eastAsia="Times New Roman" w:cstheme="minorHAnsi"/>
                <w:color w:val="000000"/>
                <w:sz w:val="16"/>
                <w:szCs w:val="18"/>
                <w:lang w:eastAsia="en-GB"/>
              </w:rPr>
            </w:pPr>
            <w:r w:rsidRPr="008015BF">
              <w:rPr>
                <w:rFonts w:eastAsia="Times New Roman" w:cstheme="minorHAnsi"/>
                <w:color w:val="000000"/>
                <w:sz w:val="16"/>
                <w:szCs w:val="18"/>
                <w:lang w:eastAsia="en-GB"/>
              </w:rPr>
              <w:t>Female</w:t>
            </w:r>
          </w:p>
        </w:tc>
        <w:tc>
          <w:tcPr>
            <w:tcW w:w="1134" w:type="dxa"/>
            <w:shd w:val="clear" w:color="auto" w:fill="auto"/>
            <w:noWrap/>
            <w:vAlign w:val="bottom"/>
            <w:hideMark/>
          </w:tcPr>
          <w:p w14:paraId="5A902EED" w14:textId="3D653788" w:rsidR="006478A7" w:rsidRPr="008015BF" w:rsidRDefault="00E05DA1" w:rsidP="00BB00AC">
            <w:pPr>
              <w:spacing w:after="0" w:line="240" w:lineRule="auto"/>
              <w:rPr>
                <w:rFonts w:eastAsia="Times New Roman" w:cstheme="minorHAnsi"/>
                <w:color w:val="000000"/>
                <w:sz w:val="16"/>
                <w:szCs w:val="18"/>
                <w:lang w:eastAsia="en-GB"/>
              </w:rPr>
            </w:pPr>
            <w:r w:rsidRPr="008015BF">
              <w:rPr>
                <w:rFonts w:eastAsia="Times New Roman" w:cstheme="minorHAnsi"/>
                <w:color w:val="000000"/>
                <w:sz w:val="16"/>
                <w:szCs w:val="18"/>
                <w:lang w:eastAsia="en-GB"/>
              </w:rPr>
              <w:t>5</w:t>
            </w:r>
            <w:r>
              <w:rPr>
                <w:rFonts w:eastAsia="Times New Roman" w:cstheme="minorHAnsi"/>
                <w:color w:val="000000"/>
                <w:sz w:val="16"/>
                <w:szCs w:val="18"/>
                <w:lang w:eastAsia="en-GB"/>
              </w:rPr>
              <w:t>0-59</w:t>
            </w:r>
          </w:p>
        </w:tc>
        <w:tc>
          <w:tcPr>
            <w:tcW w:w="2835" w:type="dxa"/>
            <w:shd w:val="clear" w:color="auto" w:fill="auto"/>
            <w:noWrap/>
            <w:vAlign w:val="bottom"/>
            <w:hideMark/>
          </w:tcPr>
          <w:p w14:paraId="686511E9" w14:textId="77777777" w:rsidR="006478A7" w:rsidRPr="008015BF" w:rsidRDefault="006478A7" w:rsidP="00BB00AC">
            <w:pPr>
              <w:spacing w:after="0" w:line="240" w:lineRule="auto"/>
              <w:rPr>
                <w:rFonts w:eastAsia="Times New Roman" w:cstheme="minorHAnsi"/>
                <w:color w:val="000000"/>
                <w:sz w:val="16"/>
                <w:szCs w:val="18"/>
                <w:lang w:eastAsia="en-GB"/>
              </w:rPr>
            </w:pPr>
            <w:r w:rsidRPr="008015BF">
              <w:rPr>
                <w:rFonts w:eastAsia="Times New Roman" w:cstheme="minorHAnsi"/>
                <w:color w:val="000000"/>
                <w:sz w:val="16"/>
                <w:szCs w:val="18"/>
                <w:lang w:eastAsia="en-GB"/>
              </w:rPr>
              <w:t>3</w:t>
            </w:r>
          </w:p>
        </w:tc>
        <w:tc>
          <w:tcPr>
            <w:tcW w:w="2835" w:type="dxa"/>
            <w:shd w:val="clear" w:color="auto" w:fill="auto"/>
            <w:noWrap/>
            <w:vAlign w:val="bottom"/>
            <w:hideMark/>
          </w:tcPr>
          <w:p w14:paraId="086D135B" w14:textId="7A49E9B7" w:rsidR="006478A7" w:rsidRPr="008015BF" w:rsidRDefault="007719A7" w:rsidP="00BB00AC">
            <w:pPr>
              <w:spacing w:after="0" w:line="240" w:lineRule="auto"/>
              <w:rPr>
                <w:rFonts w:eastAsia="Times New Roman" w:cstheme="minorHAnsi"/>
                <w:color w:val="000000"/>
                <w:sz w:val="16"/>
                <w:szCs w:val="18"/>
                <w:lang w:eastAsia="en-GB"/>
              </w:rPr>
            </w:pPr>
            <w:r>
              <w:rPr>
                <w:rFonts w:eastAsia="Times New Roman" w:cstheme="minorHAnsi"/>
                <w:color w:val="000000"/>
                <w:sz w:val="16"/>
                <w:szCs w:val="18"/>
                <w:lang w:eastAsia="en-GB"/>
              </w:rPr>
              <w:t>9</w:t>
            </w:r>
          </w:p>
        </w:tc>
      </w:tr>
      <w:tr w:rsidR="006478A7" w:rsidRPr="008015BF" w14:paraId="641AE51B" w14:textId="77777777" w:rsidTr="006478A7">
        <w:tc>
          <w:tcPr>
            <w:tcW w:w="911" w:type="dxa"/>
            <w:shd w:val="clear" w:color="auto" w:fill="auto"/>
            <w:noWrap/>
            <w:vAlign w:val="bottom"/>
            <w:hideMark/>
          </w:tcPr>
          <w:p w14:paraId="2D7DA9D0" w14:textId="77777777" w:rsidR="006478A7" w:rsidRPr="008015BF" w:rsidRDefault="006478A7" w:rsidP="00BB00AC">
            <w:pPr>
              <w:spacing w:after="0" w:line="240" w:lineRule="auto"/>
              <w:rPr>
                <w:rFonts w:eastAsia="Times New Roman" w:cstheme="minorHAnsi"/>
                <w:color w:val="000000"/>
                <w:sz w:val="16"/>
                <w:szCs w:val="18"/>
                <w:lang w:eastAsia="en-GB"/>
              </w:rPr>
            </w:pPr>
            <w:r w:rsidRPr="008015BF">
              <w:rPr>
                <w:rFonts w:eastAsia="Times New Roman" w:cstheme="minorHAnsi"/>
                <w:color w:val="000000"/>
                <w:sz w:val="16"/>
                <w:szCs w:val="18"/>
                <w:lang w:eastAsia="en-GB"/>
              </w:rPr>
              <w:t>P06</w:t>
            </w:r>
          </w:p>
        </w:tc>
        <w:tc>
          <w:tcPr>
            <w:tcW w:w="2648" w:type="dxa"/>
            <w:shd w:val="clear" w:color="auto" w:fill="auto"/>
            <w:noWrap/>
            <w:vAlign w:val="bottom"/>
            <w:hideMark/>
          </w:tcPr>
          <w:p w14:paraId="48E86EAC" w14:textId="77777777" w:rsidR="006478A7" w:rsidRPr="008015BF" w:rsidRDefault="006478A7" w:rsidP="00BB00AC">
            <w:pPr>
              <w:spacing w:after="0" w:line="240" w:lineRule="auto"/>
              <w:rPr>
                <w:rFonts w:eastAsia="Times New Roman" w:cstheme="minorHAnsi"/>
                <w:color w:val="000000"/>
                <w:sz w:val="16"/>
                <w:szCs w:val="18"/>
                <w:lang w:eastAsia="en-GB"/>
              </w:rPr>
            </w:pPr>
            <w:r w:rsidRPr="008015BF">
              <w:rPr>
                <w:rFonts w:eastAsia="Times New Roman" w:cstheme="minorHAnsi"/>
                <w:color w:val="000000"/>
                <w:sz w:val="16"/>
                <w:szCs w:val="18"/>
                <w:lang w:eastAsia="en-GB"/>
              </w:rPr>
              <w:t>No Qualification</w:t>
            </w:r>
          </w:p>
        </w:tc>
        <w:tc>
          <w:tcPr>
            <w:tcW w:w="992" w:type="dxa"/>
            <w:shd w:val="clear" w:color="auto" w:fill="auto"/>
            <w:noWrap/>
            <w:vAlign w:val="bottom"/>
            <w:hideMark/>
          </w:tcPr>
          <w:p w14:paraId="1E64B684" w14:textId="77777777" w:rsidR="006478A7" w:rsidRPr="008015BF" w:rsidRDefault="006478A7" w:rsidP="00BB00AC">
            <w:pPr>
              <w:spacing w:after="0" w:line="240" w:lineRule="auto"/>
              <w:rPr>
                <w:rFonts w:eastAsia="Times New Roman" w:cstheme="minorHAnsi"/>
                <w:color w:val="000000"/>
                <w:sz w:val="16"/>
                <w:szCs w:val="18"/>
                <w:lang w:eastAsia="en-GB"/>
              </w:rPr>
            </w:pPr>
            <w:r w:rsidRPr="008015BF">
              <w:rPr>
                <w:rFonts w:eastAsia="Times New Roman" w:cstheme="minorHAnsi"/>
                <w:color w:val="000000"/>
                <w:sz w:val="16"/>
                <w:szCs w:val="18"/>
                <w:lang w:eastAsia="en-GB"/>
              </w:rPr>
              <w:t>Male</w:t>
            </w:r>
          </w:p>
        </w:tc>
        <w:tc>
          <w:tcPr>
            <w:tcW w:w="1134" w:type="dxa"/>
            <w:shd w:val="clear" w:color="auto" w:fill="auto"/>
            <w:noWrap/>
            <w:vAlign w:val="bottom"/>
            <w:hideMark/>
          </w:tcPr>
          <w:p w14:paraId="18BAA32C" w14:textId="64AADD3B" w:rsidR="006478A7" w:rsidRPr="008015BF" w:rsidRDefault="006478A7" w:rsidP="00BB00AC">
            <w:pPr>
              <w:spacing w:after="0" w:line="240" w:lineRule="auto"/>
              <w:rPr>
                <w:rFonts w:eastAsia="Times New Roman" w:cstheme="minorHAnsi"/>
                <w:color w:val="000000"/>
                <w:sz w:val="16"/>
                <w:szCs w:val="18"/>
                <w:lang w:eastAsia="en-GB"/>
              </w:rPr>
            </w:pPr>
            <w:r w:rsidRPr="008015BF">
              <w:rPr>
                <w:rFonts w:eastAsia="Times New Roman" w:cstheme="minorHAnsi"/>
                <w:color w:val="000000"/>
                <w:sz w:val="16"/>
                <w:szCs w:val="18"/>
                <w:lang w:eastAsia="en-GB"/>
              </w:rPr>
              <w:t>6</w:t>
            </w:r>
            <w:r w:rsidR="00E05DA1">
              <w:rPr>
                <w:rFonts w:eastAsia="Times New Roman" w:cstheme="minorHAnsi"/>
                <w:color w:val="000000"/>
                <w:sz w:val="16"/>
                <w:szCs w:val="18"/>
                <w:lang w:eastAsia="en-GB"/>
              </w:rPr>
              <w:t>0-69</w:t>
            </w:r>
          </w:p>
        </w:tc>
        <w:tc>
          <w:tcPr>
            <w:tcW w:w="2835" w:type="dxa"/>
            <w:shd w:val="clear" w:color="auto" w:fill="auto"/>
            <w:noWrap/>
            <w:vAlign w:val="bottom"/>
            <w:hideMark/>
          </w:tcPr>
          <w:p w14:paraId="4B1291D2" w14:textId="77777777" w:rsidR="006478A7" w:rsidRPr="008015BF" w:rsidRDefault="006478A7" w:rsidP="00BB00AC">
            <w:pPr>
              <w:spacing w:after="0" w:line="240" w:lineRule="auto"/>
              <w:rPr>
                <w:rFonts w:eastAsia="Times New Roman" w:cstheme="minorHAnsi"/>
                <w:color w:val="000000"/>
                <w:sz w:val="16"/>
                <w:szCs w:val="18"/>
                <w:lang w:eastAsia="en-GB"/>
              </w:rPr>
            </w:pPr>
            <w:r w:rsidRPr="008015BF">
              <w:rPr>
                <w:rFonts w:eastAsia="Times New Roman" w:cstheme="minorHAnsi"/>
                <w:color w:val="000000"/>
                <w:sz w:val="16"/>
                <w:szCs w:val="18"/>
                <w:lang w:eastAsia="en-GB"/>
              </w:rPr>
              <w:t>2</w:t>
            </w:r>
          </w:p>
        </w:tc>
        <w:tc>
          <w:tcPr>
            <w:tcW w:w="2835" w:type="dxa"/>
            <w:shd w:val="clear" w:color="auto" w:fill="auto"/>
            <w:noWrap/>
            <w:vAlign w:val="bottom"/>
            <w:hideMark/>
          </w:tcPr>
          <w:p w14:paraId="22710008" w14:textId="00981908" w:rsidR="006478A7" w:rsidRPr="008015BF" w:rsidRDefault="007719A7" w:rsidP="00BB00AC">
            <w:pPr>
              <w:spacing w:after="0" w:line="240" w:lineRule="auto"/>
              <w:rPr>
                <w:rFonts w:eastAsia="Times New Roman" w:cstheme="minorHAnsi"/>
                <w:color w:val="000000"/>
                <w:sz w:val="16"/>
                <w:szCs w:val="18"/>
                <w:lang w:eastAsia="en-GB"/>
              </w:rPr>
            </w:pPr>
            <w:r>
              <w:rPr>
                <w:rFonts w:eastAsia="Times New Roman" w:cstheme="minorHAnsi"/>
                <w:color w:val="000000"/>
                <w:sz w:val="16"/>
                <w:szCs w:val="18"/>
                <w:lang w:eastAsia="en-GB"/>
              </w:rPr>
              <w:t>22</w:t>
            </w:r>
          </w:p>
        </w:tc>
      </w:tr>
      <w:tr w:rsidR="006478A7" w:rsidRPr="008015BF" w14:paraId="6D3F157E" w14:textId="77777777" w:rsidTr="006478A7">
        <w:tc>
          <w:tcPr>
            <w:tcW w:w="911" w:type="dxa"/>
            <w:shd w:val="clear" w:color="auto" w:fill="auto"/>
            <w:noWrap/>
            <w:vAlign w:val="bottom"/>
            <w:hideMark/>
          </w:tcPr>
          <w:p w14:paraId="76D43178" w14:textId="77777777" w:rsidR="006478A7" w:rsidRPr="008015BF" w:rsidRDefault="006478A7" w:rsidP="00BB00AC">
            <w:pPr>
              <w:spacing w:after="0" w:line="240" w:lineRule="auto"/>
              <w:rPr>
                <w:rFonts w:eastAsia="Times New Roman" w:cstheme="minorHAnsi"/>
                <w:color w:val="000000"/>
                <w:sz w:val="16"/>
                <w:szCs w:val="18"/>
                <w:lang w:eastAsia="en-GB"/>
              </w:rPr>
            </w:pPr>
            <w:r w:rsidRPr="008015BF">
              <w:rPr>
                <w:rFonts w:eastAsia="Times New Roman" w:cstheme="minorHAnsi"/>
                <w:color w:val="000000"/>
                <w:sz w:val="16"/>
                <w:szCs w:val="18"/>
                <w:lang w:eastAsia="en-GB"/>
              </w:rPr>
              <w:t>P07</w:t>
            </w:r>
          </w:p>
        </w:tc>
        <w:tc>
          <w:tcPr>
            <w:tcW w:w="2648" w:type="dxa"/>
            <w:shd w:val="clear" w:color="auto" w:fill="auto"/>
            <w:noWrap/>
            <w:vAlign w:val="bottom"/>
            <w:hideMark/>
          </w:tcPr>
          <w:p w14:paraId="457AC1AE" w14:textId="190E58F5" w:rsidR="006478A7" w:rsidRPr="008015BF" w:rsidRDefault="006E2E4C" w:rsidP="00BB00AC">
            <w:pPr>
              <w:spacing w:after="0" w:line="240" w:lineRule="auto"/>
              <w:rPr>
                <w:rFonts w:eastAsia="Times New Roman" w:cstheme="minorHAnsi"/>
                <w:color w:val="000000"/>
                <w:sz w:val="16"/>
                <w:szCs w:val="18"/>
                <w:lang w:eastAsia="en-GB"/>
              </w:rPr>
            </w:pPr>
            <w:r>
              <w:rPr>
                <w:rFonts w:eastAsia="Times New Roman" w:cstheme="minorHAnsi"/>
                <w:color w:val="000000"/>
                <w:sz w:val="16"/>
                <w:szCs w:val="18"/>
                <w:lang w:eastAsia="en-GB"/>
              </w:rPr>
              <w:t>C</w:t>
            </w:r>
            <w:r w:rsidRPr="006E2E4C">
              <w:rPr>
                <w:rFonts w:eastAsia="Times New Roman" w:cstheme="minorHAnsi"/>
                <w:color w:val="000000"/>
                <w:sz w:val="16"/>
                <w:szCs w:val="18"/>
                <w:lang w:eastAsia="en-GB"/>
              </w:rPr>
              <w:t>ollege/ university</w:t>
            </w:r>
          </w:p>
        </w:tc>
        <w:tc>
          <w:tcPr>
            <w:tcW w:w="992" w:type="dxa"/>
            <w:shd w:val="clear" w:color="auto" w:fill="auto"/>
            <w:noWrap/>
            <w:vAlign w:val="bottom"/>
            <w:hideMark/>
          </w:tcPr>
          <w:p w14:paraId="698D856E" w14:textId="77777777" w:rsidR="006478A7" w:rsidRPr="008015BF" w:rsidRDefault="006478A7" w:rsidP="00BB00AC">
            <w:pPr>
              <w:spacing w:after="0" w:line="240" w:lineRule="auto"/>
              <w:rPr>
                <w:rFonts w:eastAsia="Times New Roman" w:cstheme="minorHAnsi"/>
                <w:color w:val="000000"/>
                <w:sz w:val="16"/>
                <w:szCs w:val="18"/>
                <w:lang w:eastAsia="en-GB"/>
              </w:rPr>
            </w:pPr>
            <w:r w:rsidRPr="008015BF">
              <w:rPr>
                <w:rFonts w:eastAsia="Times New Roman" w:cstheme="minorHAnsi"/>
                <w:color w:val="000000"/>
                <w:sz w:val="16"/>
                <w:szCs w:val="18"/>
                <w:lang w:eastAsia="en-GB"/>
              </w:rPr>
              <w:t>Male</w:t>
            </w:r>
          </w:p>
        </w:tc>
        <w:tc>
          <w:tcPr>
            <w:tcW w:w="1134" w:type="dxa"/>
            <w:shd w:val="clear" w:color="auto" w:fill="auto"/>
            <w:noWrap/>
            <w:vAlign w:val="bottom"/>
            <w:hideMark/>
          </w:tcPr>
          <w:p w14:paraId="7544C452" w14:textId="2BFB5085" w:rsidR="006478A7" w:rsidRPr="008015BF" w:rsidRDefault="00E05DA1" w:rsidP="00BB00AC">
            <w:pPr>
              <w:spacing w:after="0" w:line="240" w:lineRule="auto"/>
              <w:rPr>
                <w:rFonts w:eastAsia="Times New Roman" w:cstheme="minorHAnsi"/>
                <w:color w:val="000000"/>
                <w:sz w:val="16"/>
                <w:szCs w:val="18"/>
                <w:lang w:eastAsia="en-GB"/>
              </w:rPr>
            </w:pPr>
            <w:r w:rsidRPr="008015BF">
              <w:rPr>
                <w:rFonts w:eastAsia="Times New Roman" w:cstheme="minorHAnsi"/>
                <w:color w:val="000000"/>
                <w:sz w:val="16"/>
                <w:szCs w:val="18"/>
                <w:lang w:eastAsia="en-GB"/>
              </w:rPr>
              <w:t>4</w:t>
            </w:r>
            <w:r>
              <w:rPr>
                <w:rFonts w:eastAsia="Times New Roman" w:cstheme="minorHAnsi"/>
                <w:color w:val="000000"/>
                <w:sz w:val="16"/>
                <w:szCs w:val="18"/>
                <w:lang w:eastAsia="en-GB"/>
              </w:rPr>
              <w:t>0-49</w:t>
            </w:r>
          </w:p>
        </w:tc>
        <w:tc>
          <w:tcPr>
            <w:tcW w:w="2835" w:type="dxa"/>
            <w:shd w:val="clear" w:color="auto" w:fill="auto"/>
            <w:noWrap/>
            <w:vAlign w:val="bottom"/>
            <w:hideMark/>
          </w:tcPr>
          <w:p w14:paraId="6A2C6530" w14:textId="77777777" w:rsidR="006478A7" w:rsidRPr="008015BF" w:rsidRDefault="006478A7" w:rsidP="00BB00AC">
            <w:pPr>
              <w:spacing w:after="0" w:line="240" w:lineRule="auto"/>
              <w:rPr>
                <w:rFonts w:eastAsia="Times New Roman" w:cstheme="minorHAnsi"/>
                <w:color w:val="000000"/>
                <w:sz w:val="16"/>
                <w:szCs w:val="18"/>
                <w:lang w:eastAsia="en-GB"/>
              </w:rPr>
            </w:pPr>
            <w:r w:rsidRPr="008015BF">
              <w:rPr>
                <w:rFonts w:eastAsia="Times New Roman" w:cstheme="minorHAnsi"/>
                <w:color w:val="000000"/>
                <w:sz w:val="16"/>
                <w:szCs w:val="18"/>
                <w:lang w:eastAsia="en-GB"/>
              </w:rPr>
              <w:t>15</w:t>
            </w:r>
          </w:p>
        </w:tc>
        <w:tc>
          <w:tcPr>
            <w:tcW w:w="2835" w:type="dxa"/>
            <w:shd w:val="clear" w:color="auto" w:fill="auto"/>
            <w:noWrap/>
            <w:vAlign w:val="bottom"/>
            <w:hideMark/>
          </w:tcPr>
          <w:p w14:paraId="4432D5C1" w14:textId="65D10B6E" w:rsidR="006478A7" w:rsidRPr="008015BF" w:rsidRDefault="007719A7" w:rsidP="00BB00AC">
            <w:pPr>
              <w:spacing w:after="0" w:line="240" w:lineRule="auto"/>
              <w:rPr>
                <w:rFonts w:eastAsia="Times New Roman" w:cstheme="minorHAnsi"/>
                <w:color w:val="000000"/>
                <w:sz w:val="16"/>
                <w:szCs w:val="18"/>
                <w:lang w:eastAsia="en-GB"/>
              </w:rPr>
            </w:pPr>
            <w:r>
              <w:rPr>
                <w:rFonts w:eastAsia="Times New Roman" w:cstheme="minorHAnsi"/>
                <w:color w:val="000000"/>
                <w:sz w:val="16"/>
                <w:szCs w:val="18"/>
                <w:lang w:eastAsia="en-GB"/>
              </w:rPr>
              <w:t>64</w:t>
            </w:r>
          </w:p>
        </w:tc>
      </w:tr>
      <w:tr w:rsidR="006478A7" w:rsidRPr="008015BF" w14:paraId="50FE9D02" w14:textId="77777777" w:rsidTr="006478A7">
        <w:tc>
          <w:tcPr>
            <w:tcW w:w="911" w:type="dxa"/>
            <w:shd w:val="clear" w:color="auto" w:fill="auto"/>
            <w:noWrap/>
            <w:vAlign w:val="bottom"/>
            <w:hideMark/>
          </w:tcPr>
          <w:p w14:paraId="28286E72" w14:textId="77777777" w:rsidR="006478A7" w:rsidRPr="008015BF" w:rsidRDefault="006478A7" w:rsidP="00BB00AC">
            <w:pPr>
              <w:spacing w:after="0" w:line="240" w:lineRule="auto"/>
              <w:rPr>
                <w:rFonts w:eastAsia="Times New Roman" w:cstheme="minorHAnsi"/>
                <w:color w:val="000000"/>
                <w:sz w:val="16"/>
                <w:szCs w:val="18"/>
                <w:lang w:eastAsia="en-GB"/>
              </w:rPr>
            </w:pPr>
            <w:r w:rsidRPr="008015BF">
              <w:rPr>
                <w:rFonts w:eastAsia="Times New Roman" w:cstheme="minorHAnsi"/>
                <w:color w:val="000000"/>
                <w:sz w:val="16"/>
                <w:szCs w:val="18"/>
                <w:lang w:eastAsia="en-GB"/>
              </w:rPr>
              <w:t>P08</w:t>
            </w:r>
          </w:p>
        </w:tc>
        <w:tc>
          <w:tcPr>
            <w:tcW w:w="2648" w:type="dxa"/>
            <w:shd w:val="clear" w:color="auto" w:fill="auto"/>
            <w:noWrap/>
            <w:vAlign w:val="bottom"/>
            <w:hideMark/>
          </w:tcPr>
          <w:p w14:paraId="3221E601" w14:textId="77777777" w:rsidR="006478A7" w:rsidRPr="008015BF" w:rsidRDefault="006478A7" w:rsidP="00BB00AC">
            <w:pPr>
              <w:spacing w:after="0" w:line="240" w:lineRule="auto"/>
              <w:rPr>
                <w:rFonts w:eastAsia="Times New Roman" w:cstheme="minorHAnsi"/>
                <w:color w:val="000000"/>
                <w:sz w:val="16"/>
                <w:szCs w:val="18"/>
                <w:lang w:eastAsia="en-GB"/>
              </w:rPr>
            </w:pPr>
            <w:r w:rsidRPr="008015BF">
              <w:rPr>
                <w:rFonts w:eastAsia="Times New Roman" w:cstheme="minorHAnsi"/>
                <w:color w:val="000000"/>
                <w:sz w:val="16"/>
                <w:szCs w:val="18"/>
                <w:lang w:eastAsia="en-GB"/>
              </w:rPr>
              <w:t>No Qualification</w:t>
            </w:r>
          </w:p>
        </w:tc>
        <w:tc>
          <w:tcPr>
            <w:tcW w:w="992" w:type="dxa"/>
            <w:shd w:val="clear" w:color="auto" w:fill="auto"/>
            <w:noWrap/>
            <w:vAlign w:val="bottom"/>
            <w:hideMark/>
          </w:tcPr>
          <w:p w14:paraId="57F1ACD1" w14:textId="77777777" w:rsidR="006478A7" w:rsidRPr="008015BF" w:rsidRDefault="006478A7" w:rsidP="00BB00AC">
            <w:pPr>
              <w:spacing w:after="0" w:line="240" w:lineRule="auto"/>
              <w:rPr>
                <w:rFonts w:eastAsia="Times New Roman" w:cstheme="minorHAnsi"/>
                <w:color w:val="000000"/>
                <w:sz w:val="16"/>
                <w:szCs w:val="18"/>
                <w:lang w:eastAsia="en-GB"/>
              </w:rPr>
            </w:pPr>
            <w:r w:rsidRPr="008015BF">
              <w:rPr>
                <w:rFonts w:eastAsia="Times New Roman" w:cstheme="minorHAnsi"/>
                <w:color w:val="000000"/>
                <w:sz w:val="16"/>
                <w:szCs w:val="18"/>
                <w:lang w:eastAsia="en-GB"/>
              </w:rPr>
              <w:t>Male</w:t>
            </w:r>
          </w:p>
        </w:tc>
        <w:tc>
          <w:tcPr>
            <w:tcW w:w="1134" w:type="dxa"/>
            <w:shd w:val="clear" w:color="auto" w:fill="auto"/>
            <w:noWrap/>
            <w:vAlign w:val="bottom"/>
            <w:hideMark/>
          </w:tcPr>
          <w:p w14:paraId="6D7F9FE5" w14:textId="36FDBAAE" w:rsidR="006478A7" w:rsidRPr="008015BF" w:rsidRDefault="00E05DA1" w:rsidP="00BB00AC">
            <w:pPr>
              <w:spacing w:after="0" w:line="240" w:lineRule="auto"/>
              <w:rPr>
                <w:rFonts w:eastAsia="Times New Roman" w:cstheme="minorHAnsi"/>
                <w:color w:val="000000"/>
                <w:sz w:val="16"/>
                <w:szCs w:val="18"/>
                <w:lang w:eastAsia="en-GB"/>
              </w:rPr>
            </w:pPr>
            <w:r w:rsidRPr="008015BF">
              <w:rPr>
                <w:rFonts w:eastAsia="Times New Roman" w:cstheme="minorHAnsi"/>
                <w:color w:val="000000"/>
                <w:sz w:val="16"/>
                <w:szCs w:val="18"/>
                <w:lang w:eastAsia="en-GB"/>
              </w:rPr>
              <w:t>7</w:t>
            </w:r>
            <w:r>
              <w:rPr>
                <w:rFonts w:eastAsia="Times New Roman" w:cstheme="minorHAnsi"/>
                <w:color w:val="000000"/>
                <w:sz w:val="16"/>
                <w:szCs w:val="18"/>
                <w:lang w:eastAsia="en-GB"/>
              </w:rPr>
              <w:t>0-79</w:t>
            </w:r>
          </w:p>
        </w:tc>
        <w:tc>
          <w:tcPr>
            <w:tcW w:w="2835" w:type="dxa"/>
            <w:shd w:val="clear" w:color="auto" w:fill="auto"/>
            <w:noWrap/>
            <w:vAlign w:val="bottom"/>
            <w:hideMark/>
          </w:tcPr>
          <w:p w14:paraId="54260974" w14:textId="77777777" w:rsidR="006478A7" w:rsidRPr="008015BF" w:rsidRDefault="006478A7" w:rsidP="00BB00AC">
            <w:pPr>
              <w:spacing w:after="0" w:line="240" w:lineRule="auto"/>
              <w:rPr>
                <w:rFonts w:eastAsia="Times New Roman" w:cstheme="minorHAnsi"/>
                <w:color w:val="000000"/>
                <w:sz w:val="16"/>
                <w:szCs w:val="18"/>
                <w:lang w:eastAsia="en-GB"/>
              </w:rPr>
            </w:pPr>
            <w:r w:rsidRPr="008015BF">
              <w:rPr>
                <w:rFonts w:eastAsia="Times New Roman" w:cstheme="minorHAnsi"/>
                <w:color w:val="000000"/>
                <w:sz w:val="16"/>
                <w:szCs w:val="18"/>
                <w:lang w:eastAsia="en-GB"/>
              </w:rPr>
              <w:t>4</w:t>
            </w:r>
          </w:p>
        </w:tc>
        <w:tc>
          <w:tcPr>
            <w:tcW w:w="2835" w:type="dxa"/>
            <w:shd w:val="clear" w:color="auto" w:fill="auto"/>
            <w:noWrap/>
            <w:vAlign w:val="bottom"/>
            <w:hideMark/>
          </w:tcPr>
          <w:p w14:paraId="52458B52" w14:textId="1FB0753F" w:rsidR="006478A7" w:rsidRPr="008015BF" w:rsidRDefault="00A33F0F" w:rsidP="00BB00AC">
            <w:pPr>
              <w:spacing w:after="0" w:line="240" w:lineRule="auto"/>
              <w:rPr>
                <w:rFonts w:eastAsia="Times New Roman" w:cstheme="minorHAnsi"/>
                <w:color w:val="000000"/>
                <w:sz w:val="16"/>
                <w:szCs w:val="18"/>
                <w:lang w:eastAsia="en-GB"/>
              </w:rPr>
            </w:pPr>
            <w:r>
              <w:rPr>
                <w:rFonts w:eastAsia="Times New Roman" w:cstheme="minorHAnsi"/>
                <w:color w:val="000000"/>
                <w:sz w:val="16"/>
                <w:szCs w:val="18"/>
                <w:lang w:eastAsia="en-GB"/>
              </w:rPr>
              <w:t>50</w:t>
            </w:r>
          </w:p>
        </w:tc>
      </w:tr>
      <w:tr w:rsidR="006478A7" w:rsidRPr="008015BF" w14:paraId="0B6EFABC" w14:textId="77777777" w:rsidTr="006478A7">
        <w:tc>
          <w:tcPr>
            <w:tcW w:w="911" w:type="dxa"/>
            <w:shd w:val="clear" w:color="auto" w:fill="auto"/>
            <w:noWrap/>
            <w:vAlign w:val="bottom"/>
            <w:hideMark/>
          </w:tcPr>
          <w:p w14:paraId="52DA35DC" w14:textId="77777777" w:rsidR="006478A7" w:rsidRPr="008015BF" w:rsidRDefault="006478A7" w:rsidP="00BB00AC">
            <w:pPr>
              <w:spacing w:after="0" w:line="240" w:lineRule="auto"/>
              <w:rPr>
                <w:rFonts w:eastAsia="Times New Roman" w:cstheme="minorHAnsi"/>
                <w:color w:val="000000"/>
                <w:sz w:val="16"/>
                <w:szCs w:val="18"/>
                <w:lang w:eastAsia="en-GB"/>
              </w:rPr>
            </w:pPr>
            <w:r w:rsidRPr="008015BF">
              <w:rPr>
                <w:rFonts w:eastAsia="Times New Roman" w:cstheme="minorHAnsi"/>
                <w:color w:val="000000"/>
                <w:sz w:val="16"/>
                <w:szCs w:val="18"/>
                <w:lang w:eastAsia="en-GB"/>
              </w:rPr>
              <w:t>P09</w:t>
            </w:r>
          </w:p>
        </w:tc>
        <w:tc>
          <w:tcPr>
            <w:tcW w:w="2648" w:type="dxa"/>
            <w:shd w:val="clear" w:color="auto" w:fill="auto"/>
            <w:noWrap/>
            <w:vAlign w:val="bottom"/>
            <w:hideMark/>
          </w:tcPr>
          <w:p w14:paraId="1851147D" w14:textId="77777777" w:rsidR="006478A7" w:rsidRPr="008015BF" w:rsidRDefault="006478A7" w:rsidP="00BB00AC">
            <w:pPr>
              <w:spacing w:after="0" w:line="240" w:lineRule="auto"/>
              <w:rPr>
                <w:rFonts w:eastAsia="Times New Roman" w:cstheme="minorHAnsi"/>
                <w:color w:val="000000"/>
                <w:sz w:val="16"/>
                <w:szCs w:val="18"/>
                <w:lang w:eastAsia="en-GB"/>
              </w:rPr>
            </w:pPr>
            <w:r w:rsidRPr="008015BF">
              <w:rPr>
                <w:rFonts w:eastAsia="Times New Roman" w:cstheme="minorHAnsi"/>
                <w:color w:val="000000"/>
                <w:sz w:val="16"/>
                <w:szCs w:val="18"/>
                <w:lang w:eastAsia="en-GB"/>
              </w:rPr>
              <w:t>No Qualification</w:t>
            </w:r>
          </w:p>
        </w:tc>
        <w:tc>
          <w:tcPr>
            <w:tcW w:w="992" w:type="dxa"/>
            <w:shd w:val="clear" w:color="auto" w:fill="auto"/>
            <w:noWrap/>
            <w:vAlign w:val="bottom"/>
            <w:hideMark/>
          </w:tcPr>
          <w:p w14:paraId="7F26C276" w14:textId="77777777" w:rsidR="006478A7" w:rsidRPr="008015BF" w:rsidRDefault="006478A7" w:rsidP="00BB00AC">
            <w:pPr>
              <w:spacing w:after="0" w:line="240" w:lineRule="auto"/>
              <w:rPr>
                <w:rFonts w:eastAsia="Times New Roman" w:cstheme="minorHAnsi"/>
                <w:color w:val="000000"/>
                <w:sz w:val="16"/>
                <w:szCs w:val="18"/>
                <w:lang w:eastAsia="en-GB"/>
              </w:rPr>
            </w:pPr>
            <w:r w:rsidRPr="008015BF">
              <w:rPr>
                <w:rFonts w:eastAsia="Times New Roman" w:cstheme="minorHAnsi"/>
                <w:color w:val="000000"/>
                <w:sz w:val="16"/>
                <w:szCs w:val="18"/>
                <w:lang w:eastAsia="en-GB"/>
              </w:rPr>
              <w:t>Male</w:t>
            </w:r>
          </w:p>
        </w:tc>
        <w:tc>
          <w:tcPr>
            <w:tcW w:w="1134" w:type="dxa"/>
            <w:shd w:val="clear" w:color="auto" w:fill="auto"/>
            <w:noWrap/>
            <w:vAlign w:val="bottom"/>
            <w:hideMark/>
          </w:tcPr>
          <w:p w14:paraId="0CFF2613" w14:textId="4E35BDBE" w:rsidR="006478A7" w:rsidRPr="008015BF" w:rsidRDefault="00E05DA1" w:rsidP="00BB00AC">
            <w:pPr>
              <w:spacing w:after="0" w:line="240" w:lineRule="auto"/>
              <w:rPr>
                <w:rFonts w:eastAsia="Times New Roman" w:cstheme="minorHAnsi"/>
                <w:color w:val="000000"/>
                <w:sz w:val="16"/>
                <w:szCs w:val="18"/>
                <w:lang w:eastAsia="en-GB"/>
              </w:rPr>
            </w:pPr>
            <w:r>
              <w:rPr>
                <w:rFonts w:eastAsia="Times New Roman" w:cstheme="minorHAnsi"/>
                <w:color w:val="000000"/>
                <w:sz w:val="16"/>
                <w:szCs w:val="18"/>
                <w:lang w:eastAsia="en-GB"/>
              </w:rPr>
              <w:t>30-</w:t>
            </w:r>
            <w:r w:rsidRPr="008015BF">
              <w:rPr>
                <w:rFonts w:eastAsia="Times New Roman" w:cstheme="minorHAnsi"/>
                <w:color w:val="000000"/>
                <w:sz w:val="16"/>
                <w:szCs w:val="18"/>
                <w:lang w:eastAsia="en-GB"/>
              </w:rPr>
              <w:t>39</w:t>
            </w:r>
          </w:p>
        </w:tc>
        <w:tc>
          <w:tcPr>
            <w:tcW w:w="2835" w:type="dxa"/>
            <w:shd w:val="clear" w:color="auto" w:fill="auto"/>
            <w:noWrap/>
            <w:vAlign w:val="bottom"/>
            <w:hideMark/>
          </w:tcPr>
          <w:p w14:paraId="33646E76" w14:textId="77777777" w:rsidR="006478A7" w:rsidRPr="008015BF" w:rsidRDefault="006478A7" w:rsidP="00BB00AC">
            <w:pPr>
              <w:spacing w:after="0" w:line="240" w:lineRule="auto"/>
              <w:rPr>
                <w:rFonts w:eastAsia="Times New Roman" w:cstheme="minorHAnsi"/>
                <w:color w:val="000000"/>
                <w:sz w:val="16"/>
                <w:szCs w:val="18"/>
                <w:lang w:eastAsia="en-GB"/>
              </w:rPr>
            </w:pPr>
            <w:r w:rsidRPr="008015BF">
              <w:rPr>
                <w:rFonts w:eastAsia="Times New Roman" w:cstheme="minorHAnsi"/>
                <w:color w:val="000000"/>
                <w:sz w:val="16"/>
                <w:szCs w:val="18"/>
                <w:lang w:eastAsia="en-GB"/>
              </w:rPr>
              <w:t>17</w:t>
            </w:r>
          </w:p>
        </w:tc>
        <w:tc>
          <w:tcPr>
            <w:tcW w:w="2835" w:type="dxa"/>
            <w:shd w:val="clear" w:color="auto" w:fill="auto"/>
            <w:noWrap/>
            <w:vAlign w:val="bottom"/>
            <w:hideMark/>
          </w:tcPr>
          <w:p w14:paraId="2EEE6A41" w14:textId="4F8EB625" w:rsidR="006478A7" w:rsidRPr="008015BF" w:rsidRDefault="00A33F0F" w:rsidP="00BB00AC">
            <w:pPr>
              <w:spacing w:after="0" w:line="240" w:lineRule="auto"/>
              <w:rPr>
                <w:rFonts w:eastAsia="Times New Roman" w:cstheme="minorHAnsi"/>
                <w:color w:val="000000"/>
                <w:sz w:val="16"/>
                <w:szCs w:val="18"/>
                <w:lang w:eastAsia="en-GB"/>
              </w:rPr>
            </w:pPr>
            <w:r>
              <w:rPr>
                <w:rFonts w:eastAsia="Times New Roman" w:cstheme="minorHAnsi"/>
                <w:color w:val="000000"/>
                <w:sz w:val="16"/>
                <w:szCs w:val="18"/>
                <w:lang w:eastAsia="en-GB"/>
              </w:rPr>
              <w:t>57</w:t>
            </w:r>
          </w:p>
        </w:tc>
      </w:tr>
      <w:tr w:rsidR="006478A7" w:rsidRPr="008015BF" w14:paraId="403BED79" w14:textId="77777777" w:rsidTr="006478A7">
        <w:tc>
          <w:tcPr>
            <w:tcW w:w="911" w:type="dxa"/>
            <w:shd w:val="clear" w:color="auto" w:fill="auto"/>
            <w:noWrap/>
            <w:vAlign w:val="bottom"/>
            <w:hideMark/>
          </w:tcPr>
          <w:p w14:paraId="3B95BDD6" w14:textId="77777777" w:rsidR="006478A7" w:rsidRPr="008015BF" w:rsidRDefault="006478A7" w:rsidP="00BB00AC">
            <w:pPr>
              <w:spacing w:after="0" w:line="240" w:lineRule="auto"/>
              <w:rPr>
                <w:rFonts w:eastAsia="Times New Roman" w:cstheme="minorHAnsi"/>
                <w:color w:val="000000"/>
                <w:sz w:val="16"/>
                <w:szCs w:val="18"/>
                <w:lang w:eastAsia="en-GB"/>
              </w:rPr>
            </w:pPr>
            <w:r w:rsidRPr="008015BF">
              <w:rPr>
                <w:rFonts w:eastAsia="Times New Roman" w:cstheme="minorHAnsi"/>
                <w:color w:val="000000"/>
                <w:sz w:val="16"/>
                <w:szCs w:val="18"/>
                <w:lang w:eastAsia="en-GB"/>
              </w:rPr>
              <w:t>P10</w:t>
            </w:r>
          </w:p>
        </w:tc>
        <w:tc>
          <w:tcPr>
            <w:tcW w:w="2648" w:type="dxa"/>
            <w:shd w:val="clear" w:color="auto" w:fill="auto"/>
            <w:noWrap/>
            <w:vAlign w:val="bottom"/>
            <w:hideMark/>
          </w:tcPr>
          <w:p w14:paraId="7AA095C7" w14:textId="1A594805" w:rsidR="006478A7" w:rsidRPr="008015BF" w:rsidRDefault="00F82E59" w:rsidP="00BB00AC">
            <w:pPr>
              <w:spacing w:after="0" w:line="240" w:lineRule="auto"/>
              <w:rPr>
                <w:rFonts w:eastAsia="Times New Roman" w:cstheme="minorHAnsi"/>
                <w:color w:val="000000"/>
                <w:sz w:val="16"/>
                <w:szCs w:val="18"/>
                <w:lang w:eastAsia="en-GB"/>
              </w:rPr>
            </w:pPr>
            <w:r>
              <w:rPr>
                <w:rFonts w:eastAsia="Times New Roman" w:cstheme="minorHAnsi"/>
                <w:color w:val="000000"/>
                <w:sz w:val="16"/>
                <w:szCs w:val="18"/>
                <w:lang w:eastAsia="en-GB"/>
              </w:rPr>
              <w:t>Se</w:t>
            </w:r>
            <w:r w:rsidRPr="00F82E59">
              <w:rPr>
                <w:rFonts w:eastAsia="Times New Roman" w:cstheme="minorHAnsi"/>
                <w:color w:val="000000"/>
                <w:sz w:val="16"/>
                <w:szCs w:val="18"/>
                <w:lang w:eastAsia="en-GB"/>
              </w:rPr>
              <w:t>condary school</w:t>
            </w:r>
          </w:p>
        </w:tc>
        <w:tc>
          <w:tcPr>
            <w:tcW w:w="992" w:type="dxa"/>
            <w:shd w:val="clear" w:color="auto" w:fill="auto"/>
            <w:noWrap/>
            <w:vAlign w:val="bottom"/>
            <w:hideMark/>
          </w:tcPr>
          <w:p w14:paraId="542CD51D" w14:textId="77777777" w:rsidR="006478A7" w:rsidRPr="008015BF" w:rsidRDefault="006478A7" w:rsidP="00BB00AC">
            <w:pPr>
              <w:spacing w:after="0" w:line="240" w:lineRule="auto"/>
              <w:rPr>
                <w:rFonts w:eastAsia="Times New Roman" w:cstheme="minorHAnsi"/>
                <w:color w:val="000000"/>
                <w:sz w:val="16"/>
                <w:szCs w:val="18"/>
                <w:lang w:eastAsia="en-GB"/>
              </w:rPr>
            </w:pPr>
            <w:r w:rsidRPr="008015BF">
              <w:rPr>
                <w:rFonts w:eastAsia="Times New Roman" w:cstheme="minorHAnsi"/>
                <w:color w:val="000000"/>
                <w:sz w:val="16"/>
                <w:szCs w:val="18"/>
                <w:lang w:eastAsia="en-GB"/>
              </w:rPr>
              <w:t>Male</w:t>
            </w:r>
          </w:p>
        </w:tc>
        <w:tc>
          <w:tcPr>
            <w:tcW w:w="1134" w:type="dxa"/>
            <w:shd w:val="clear" w:color="auto" w:fill="auto"/>
            <w:noWrap/>
            <w:vAlign w:val="bottom"/>
            <w:hideMark/>
          </w:tcPr>
          <w:p w14:paraId="56F88DD4" w14:textId="20E68285" w:rsidR="00E05DA1" w:rsidRPr="008015BF" w:rsidRDefault="00E05DA1" w:rsidP="00BB00AC">
            <w:pPr>
              <w:spacing w:after="0" w:line="240" w:lineRule="auto"/>
              <w:rPr>
                <w:rFonts w:eastAsia="Times New Roman" w:cstheme="minorHAnsi"/>
                <w:color w:val="000000"/>
                <w:sz w:val="16"/>
                <w:szCs w:val="18"/>
                <w:lang w:eastAsia="en-GB"/>
              </w:rPr>
            </w:pPr>
            <w:r w:rsidRPr="008015BF">
              <w:rPr>
                <w:rFonts w:eastAsia="Times New Roman" w:cstheme="minorHAnsi"/>
                <w:color w:val="000000"/>
                <w:sz w:val="16"/>
                <w:szCs w:val="18"/>
                <w:lang w:eastAsia="en-GB"/>
              </w:rPr>
              <w:t>7</w:t>
            </w:r>
            <w:r>
              <w:rPr>
                <w:rFonts w:eastAsia="Times New Roman" w:cstheme="minorHAnsi"/>
                <w:color w:val="000000"/>
                <w:sz w:val="16"/>
                <w:szCs w:val="18"/>
                <w:lang w:eastAsia="en-GB"/>
              </w:rPr>
              <w:t>0-79</w:t>
            </w:r>
          </w:p>
        </w:tc>
        <w:tc>
          <w:tcPr>
            <w:tcW w:w="2835" w:type="dxa"/>
            <w:shd w:val="clear" w:color="auto" w:fill="auto"/>
            <w:noWrap/>
            <w:vAlign w:val="bottom"/>
            <w:hideMark/>
          </w:tcPr>
          <w:p w14:paraId="1865E51F" w14:textId="77777777" w:rsidR="006478A7" w:rsidRPr="008015BF" w:rsidRDefault="006478A7" w:rsidP="00BB00AC">
            <w:pPr>
              <w:spacing w:after="0" w:line="240" w:lineRule="auto"/>
              <w:rPr>
                <w:rFonts w:eastAsia="Times New Roman" w:cstheme="minorHAnsi"/>
                <w:color w:val="000000"/>
                <w:sz w:val="16"/>
                <w:szCs w:val="18"/>
                <w:lang w:eastAsia="en-GB"/>
              </w:rPr>
            </w:pPr>
            <w:r w:rsidRPr="008015BF">
              <w:rPr>
                <w:rFonts w:eastAsia="Times New Roman" w:cstheme="minorHAnsi"/>
                <w:color w:val="000000"/>
                <w:sz w:val="16"/>
                <w:szCs w:val="18"/>
                <w:lang w:eastAsia="en-GB"/>
              </w:rPr>
              <w:t>27</w:t>
            </w:r>
          </w:p>
        </w:tc>
        <w:tc>
          <w:tcPr>
            <w:tcW w:w="2835" w:type="dxa"/>
            <w:shd w:val="clear" w:color="auto" w:fill="auto"/>
            <w:noWrap/>
            <w:vAlign w:val="bottom"/>
            <w:hideMark/>
          </w:tcPr>
          <w:p w14:paraId="18138758" w14:textId="30EE957D" w:rsidR="006478A7" w:rsidRPr="008015BF" w:rsidRDefault="00A33F0F" w:rsidP="00BB00AC">
            <w:pPr>
              <w:spacing w:after="0" w:line="240" w:lineRule="auto"/>
              <w:rPr>
                <w:rFonts w:eastAsia="Times New Roman" w:cstheme="minorHAnsi"/>
                <w:color w:val="000000"/>
                <w:sz w:val="16"/>
                <w:szCs w:val="18"/>
                <w:lang w:eastAsia="en-GB"/>
              </w:rPr>
            </w:pPr>
            <w:r>
              <w:rPr>
                <w:rFonts w:eastAsia="Times New Roman" w:cstheme="minorHAnsi"/>
                <w:color w:val="000000"/>
                <w:sz w:val="16"/>
                <w:szCs w:val="18"/>
                <w:lang w:eastAsia="en-GB"/>
              </w:rPr>
              <w:t>26</w:t>
            </w:r>
          </w:p>
        </w:tc>
      </w:tr>
      <w:tr w:rsidR="006478A7" w:rsidRPr="008015BF" w14:paraId="5BD63EBF" w14:textId="77777777" w:rsidTr="006478A7">
        <w:tc>
          <w:tcPr>
            <w:tcW w:w="911" w:type="dxa"/>
            <w:shd w:val="clear" w:color="auto" w:fill="auto"/>
            <w:noWrap/>
            <w:vAlign w:val="bottom"/>
            <w:hideMark/>
          </w:tcPr>
          <w:p w14:paraId="5611FEC4" w14:textId="77777777" w:rsidR="006478A7" w:rsidRPr="008015BF" w:rsidRDefault="006478A7" w:rsidP="00BB00AC">
            <w:pPr>
              <w:spacing w:after="0" w:line="240" w:lineRule="auto"/>
              <w:rPr>
                <w:rFonts w:eastAsia="Times New Roman" w:cstheme="minorHAnsi"/>
                <w:color w:val="000000"/>
                <w:sz w:val="16"/>
                <w:szCs w:val="18"/>
                <w:lang w:eastAsia="en-GB"/>
              </w:rPr>
            </w:pPr>
            <w:r w:rsidRPr="008015BF">
              <w:rPr>
                <w:rFonts w:eastAsia="Times New Roman" w:cstheme="minorHAnsi"/>
                <w:color w:val="000000"/>
                <w:sz w:val="16"/>
                <w:szCs w:val="18"/>
                <w:lang w:eastAsia="en-GB"/>
              </w:rPr>
              <w:t>P11</w:t>
            </w:r>
          </w:p>
        </w:tc>
        <w:tc>
          <w:tcPr>
            <w:tcW w:w="2648" w:type="dxa"/>
            <w:shd w:val="clear" w:color="auto" w:fill="auto"/>
            <w:noWrap/>
            <w:vAlign w:val="bottom"/>
            <w:hideMark/>
          </w:tcPr>
          <w:p w14:paraId="0B678DCE" w14:textId="403A3ED3" w:rsidR="006478A7" w:rsidRPr="008015BF" w:rsidRDefault="006E2E4C" w:rsidP="00BB00AC">
            <w:pPr>
              <w:spacing w:after="0" w:line="240" w:lineRule="auto"/>
              <w:rPr>
                <w:rFonts w:eastAsia="Times New Roman" w:cstheme="minorHAnsi"/>
                <w:color w:val="000000"/>
                <w:sz w:val="16"/>
                <w:szCs w:val="18"/>
                <w:lang w:eastAsia="en-GB"/>
              </w:rPr>
            </w:pPr>
            <w:r>
              <w:rPr>
                <w:rFonts w:eastAsia="Times New Roman" w:cstheme="minorHAnsi"/>
                <w:color w:val="000000"/>
                <w:sz w:val="16"/>
                <w:szCs w:val="18"/>
                <w:lang w:eastAsia="en-GB"/>
              </w:rPr>
              <w:t>C</w:t>
            </w:r>
            <w:r w:rsidRPr="006E2E4C">
              <w:rPr>
                <w:rFonts w:eastAsia="Times New Roman" w:cstheme="minorHAnsi"/>
                <w:color w:val="000000"/>
                <w:sz w:val="16"/>
                <w:szCs w:val="18"/>
                <w:lang w:eastAsia="en-GB"/>
              </w:rPr>
              <w:t>ollege/ university</w:t>
            </w:r>
          </w:p>
        </w:tc>
        <w:tc>
          <w:tcPr>
            <w:tcW w:w="992" w:type="dxa"/>
            <w:shd w:val="clear" w:color="auto" w:fill="auto"/>
            <w:noWrap/>
            <w:vAlign w:val="bottom"/>
            <w:hideMark/>
          </w:tcPr>
          <w:p w14:paraId="0F46E7F9" w14:textId="77777777" w:rsidR="006478A7" w:rsidRPr="008015BF" w:rsidRDefault="006478A7" w:rsidP="00BB00AC">
            <w:pPr>
              <w:spacing w:after="0" w:line="240" w:lineRule="auto"/>
              <w:rPr>
                <w:rFonts w:eastAsia="Times New Roman" w:cstheme="minorHAnsi"/>
                <w:color w:val="000000"/>
                <w:sz w:val="16"/>
                <w:szCs w:val="18"/>
                <w:lang w:eastAsia="en-GB"/>
              </w:rPr>
            </w:pPr>
            <w:r w:rsidRPr="008015BF">
              <w:rPr>
                <w:rFonts w:eastAsia="Times New Roman" w:cstheme="minorHAnsi"/>
                <w:color w:val="000000"/>
                <w:sz w:val="16"/>
                <w:szCs w:val="18"/>
                <w:lang w:eastAsia="en-GB"/>
              </w:rPr>
              <w:t>Male</w:t>
            </w:r>
          </w:p>
        </w:tc>
        <w:tc>
          <w:tcPr>
            <w:tcW w:w="1134" w:type="dxa"/>
            <w:shd w:val="clear" w:color="auto" w:fill="auto"/>
            <w:noWrap/>
            <w:vAlign w:val="bottom"/>
            <w:hideMark/>
          </w:tcPr>
          <w:p w14:paraId="2E3E06C3" w14:textId="10B0D3C0" w:rsidR="006478A7" w:rsidRPr="008015BF" w:rsidRDefault="00E05DA1" w:rsidP="00BB00AC">
            <w:pPr>
              <w:spacing w:after="0" w:line="240" w:lineRule="auto"/>
              <w:rPr>
                <w:rFonts w:eastAsia="Times New Roman" w:cstheme="minorHAnsi"/>
                <w:color w:val="000000"/>
                <w:sz w:val="16"/>
                <w:szCs w:val="18"/>
                <w:lang w:eastAsia="en-GB"/>
              </w:rPr>
            </w:pPr>
            <w:r w:rsidRPr="008015BF">
              <w:rPr>
                <w:rFonts w:eastAsia="Times New Roman" w:cstheme="minorHAnsi"/>
                <w:color w:val="000000"/>
                <w:sz w:val="16"/>
                <w:szCs w:val="18"/>
                <w:lang w:eastAsia="en-GB"/>
              </w:rPr>
              <w:t>4</w:t>
            </w:r>
            <w:r>
              <w:rPr>
                <w:rFonts w:eastAsia="Times New Roman" w:cstheme="minorHAnsi"/>
                <w:color w:val="000000"/>
                <w:sz w:val="16"/>
                <w:szCs w:val="18"/>
                <w:lang w:eastAsia="en-GB"/>
              </w:rPr>
              <w:t>0-49</w:t>
            </w:r>
          </w:p>
        </w:tc>
        <w:tc>
          <w:tcPr>
            <w:tcW w:w="2835" w:type="dxa"/>
            <w:shd w:val="clear" w:color="auto" w:fill="auto"/>
            <w:noWrap/>
            <w:vAlign w:val="bottom"/>
            <w:hideMark/>
          </w:tcPr>
          <w:p w14:paraId="1C962F5F" w14:textId="77777777" w:rsidR="006478A7" w:rsidRPr="008015BF" w:rsidRDefault="006478A7" w:rsidP="00BB00AC">
            <w:pPr>
              <w:spacing w:after="0" w:line="240" w:lineRule="auto"/>
              <w:rPr>
                <w:rFonts w:eastAsia="Times New Roman" w:cstheme="minorHAnsi"/>
                <w:color w:val="000000"/>
                <w:sz w:val="16"/>
                <w:szCs w:val="18"/>
                <w:lang w:eastAsia="en-GB"/>
              </w:rPr>
            </w:pPr>
            <w:r w:rsidRPr="008015BF">
              <w:rPr>
                <w:rFonts w:eastAsia="Times New Roman" w:cstheme="minorHAnsi"/>
                <w:color w:val="000000"/>
                <w:sz w:val="16"/>
                <w:szCs w:val="18"/>
                <w:lang w:eastAsia="en-GB"/>
              </w:rPr>
              <w:t>3</w:t>
            </w:r>
          </w:p>
        </w:tc>
        <w:tc>
          <w:tcPr>
            <w:tcW w:w="2835" w:type="dxa"/>
            <w:shd w:val="clear" w:color="auto" w:fill="auto"/>
            <w:noWrap/>
            <w:vAlign w:val="bottom"/>
            <w:hideMark/>
          </w:tcPr>
          <w:p w14:paraId="48A422C2" w14:textId="5F944BD6" w:rsidR="006478A7" w:rsidRPr="008015BF" w:rsidRDefault="00A33F0F" w:rsidP="00BB00AC">
            <w:pPr>
              <w:spacing w:after="0" w:line="240" w:lineRule="auto"/>
              <w:rPr>
                <w:rFonts w:eastAsia="Times New Roman" w:cstheme="minorHAnsi"/>
                <w:color w:val="000000"/>
                <w:sz w:val="16"/>
                <w:szCs w:val="18"/>
                <w:lang w:eastAsia="en-GB"/>
              </w:rPr>
            </w:pPr>
            <w:r>
              <w:rPr>
                <w:rFonts w:eastAsia="Times New Roman" w:cstheme="minorHAnsi"/>
                <w:color w:val="000000"/>
                <w:sz w:val="16"/>
                <w:szCs w:val="18"/>
                <w:lang w:eastAsia="en-GB"/>
              </w:rPr>
              <w:t>45</w:t>
            </w:r>
          </w:p>
        </w:tc>
      </w:tr>
      <w:tr w:rsidR="006478A7" w:rsidRPr="008015BF" w14:paraId="1FA3ABCA" w14:textId="77777777" w:rsidTr="006478A7">
        <w:tc>
          <w:tcPr>
            <w:tcW w:w="911" w:type="dxa"/>
            <w:shd w:val="clear" w:color="auto" w:fill="auto"/>
            <w:noWrap/>
            <w:vAlign w:val="bottom"/>
            <w:hideMark/>
          </w:tcPr>
          <w:p w14:paraId="45321029" w14:textId="77777777" w:rsidR="006478A7" w:rsidRPr="008015BF" w:rsidRDefault="006478A7" w:rsidP="00BB00AC">
            <w:pPr>
              <w:spacing w:after="0" w:line="240" w:lineRule="auto"/>
              <w:rPr>
                <w:rFonts w:eastAsia="Times New Roman" w:cstheme="minorHAnsi"/>
                <w:color w:val="000000"/>
                <w:sz w:val="16"/>
                <w:szCs w:val="18"/>
                <w:lang w:eastAsia="en-GB"/>
              </w:rPr>
            </w:pPr>
            <w:r w:rsidRPr="008015BF">
              <w:rPr>
                <w:rFonts w:eastAsia="Times New Roman" w:cstheme="minorHAnsi"/>
                <w:color w:val="000000"/>
                <w:sz w:val="16"/>
                <w:szCs w:val="18"/>
                <w:lang w:eastAsia="en-GB"/>
              </w:rPr>
              <w:t>P12</w:t>
            </w:r>
          </w:p>
        </w:tc>
        <w:tc>
          <w:tcPr>
            <w:tcW w:w="2648" w:type="dxa"/>
            <w:shd w:val="clear" w:color="auto" w:fill="auto"/>
            <w:noWrap/>
            <w:vAlign w:val="bottom"/>
            <w:hideMark/>
          </w:tcPr>
          <w:p w14:paraId="2CA2C884" w14:textId="5BFACA3C" w:rsidR="006478A7" w:rsidRPr="008015BF" w:rsidRDefault="006E2E4C" w:rsidP="00BB00AC">
            <w:pPr>
              <w:spacing w:after="0" w:line="240" w:lineRule="auto"/>
              <w:rPr>
                <w:rFonts w:eastAsia="Times New Roman" w:cstheme="minorHAnsi"/>
                <w:color w:val="000000"/>
                <w:sz w:val="16"/>
                <w:szCs w:val="18"/>
                <w:lang w:eastAsia="en-GB"/>
              </w:rPr>
            </w:pPr>
            <w:r>
              <w:rPr>
                <w:rFonts w:eastAsia="Times New Roman" w:cstheme="minorHAnsi"/>
                <w:color w:val="000000"/>
                <w:sz w:val="16"/>
                <w:szCs w:val="18"/>
                <w:lang w:eastAsia="en-GB"/>
              </w:rPr>
              <w:t>Se</w:t>
            </w:r>
            <w:r w:rsidRPr="00F82E59">
              <w:rPr>
                <w:rFonts w:eastAsia="Times New Roman" w:cstheme="minorHAnsi"/>
                <w:color w:val="000000"/>
                <w:sz w:val="16"/>
                <w:szCs w:val="18"/>
                <w:lang w:eastAsia="en-GB"/>
              </w:rPr>
              <w:t>condary school</w:t>
            </w:r>
          </w:p>
        </w:tc>
        <w:tc>
          <w:tcPr>
            <w:tcW w:w="992" w:type="dxa"/>
            <w:shd w:val="clear" w:color="auto" w:fill="auto"/>
            <w:noWrap/>
            <w:vAlign w:val="bottom"/>
            <w:hideMark/>
          </w:tcPr>
          <w:p w14:paraId="3DB9558F" w14:textId="77777777" w:rsidR="006478A7" w:rsidRPr="008015BF" w:rsidRDefault="006478A7" w:rsidP="00BB00AC">
            <w:pPr>
              <w:spacing w:after="0" w:line="240" w:lineRule="auto"/>
              <w:rPr>
                <w:rFonts w:eastAsia="Times New Roman" w:cstheme="minorHAnsi"/>
                <w:color w:val="000000"/>
                <w:sz w:val="16"/>
                <w:szCs w:val="18"/>
                <w:lang w:eastAsia="en-GB"/>
              </w:rPr>
            </w:pPr>
            <w:r w:rsidRPr="008015BF">
              <w:rPr>
                <w:rFonts w:eastAsia="Times New Roman" w:cstheme="minorHAnsi"/>
                <w:color w:val="000000"/>
                <w:sz w:val="16"/>
                <w:szCs w:val="18"/>
                <w:lang w:eastAsia="en-GB"/>
              </w:rPr>
              <w:t>Female</w:t>
            </w:r>
          </w:p>
        </w:tc>
        <w:tc>
          <w:tcPr>
            <w:tcW w:w="1134" w:type="dxa"/>
            <w:shd w:val="clear" w:color="auto" w:fill="auto"/>
            <w:noWrap/>
            <w:vAlign w:val="bottom"/>
            <w:hideMark/>
          </w:tcPr>
          <w:p w14:paraId="0A142472" w14:textId="5A8B113E" w:rsidR="006478A7" w:rsidRPr="008015BF" w:rsidRDefault="00E05DA1" w:rsidP="00BB00AC">
            <w:pPr>
              <w:spacing w:after="0" w:line="240" w:lineRule="auto"/>
              <w:rPr>
                <w:rFonts w:eastAsia="Times New Roman" w:cstheme="minorHAnsi"/>
                <w:color w:val="000000"/>
                <w:sz w:val="16"/>
                <w:szCs w:val="18"/>
                <w:lang w:eastAsia="en-GB"/>
              </w:rPr>
            </w:pPr>
            <w:r w:rsidRPr="008015BF">
              <w:rPr>
                <w:rFonts w:eastAsia="Times New Roman" w:cstheme="minorHAnsi"/>
                <w:color w:val="000000"/>
                <w:sz w:val="16"/>
                <w:szCs w:val="18"/>
                <w:lang w:eastAsia="en-GB"/>
              </w:rPr>
              <w:t>5</w:t>
            </w:r>
            <w:r>
              <w:rPr>
                <w:rFonts w:eastAsia="Times New Roman" w:cstheme="minorHAnsi"/>
                <w:color w:val="000000"/>
                <w:sz w:val="16"/>
                <w:szCs w:val="18"/>
                <w:lang w:eastAsia="en-GB"/>
              </w:rPr>
              <w:t>0-59</w:t>
            </w:r>
          </w:p>
        </w:tc>
        <w:tc>
          <w:tcPr>
            <w:tcW w:w="2835" w:type="dxa"/>
            <w:shd w:val="clear" w:color="auto" w:fill="auto"/>
            <w:noWrap/>
            <w:vAlign w:val="bottom"/>
            <w:hideMark/>
          </w:tcPr>
          <w:p w14:paraId="41C6E68E" w14:textId="77777777" w:rsidR="006478A7" w:rsidRPr="008015BF" w:rsidRDefault="006478A7" w:rsidP="00BB00AC">
            <w:pPr>
              <w:spacing w:after="0" w:line="240" w:lineRule="auto"/>
              <w:rPr>
                <w:rFonts w:eastAsia="Times New Roman" w:cstheme="minorHAnsi"/>
                <w:color w:val="000000"/>
                <w:sz w:val="16"/>
                <w:szCs w:val="18"/>
                <w:lang w:eastAsia="en-GB"/>
              </w:rPr>
            </w:pPr>
            <w:r w:rsidRPr="008015BF">
              <w:rPr>
                <w:rFonts w:eastAsia="Times New Roman" w:cstheme="minorHAnsi"/>
                <w:color w:val="000000"/>
                <w:sz w:val="16"/>
                <w:szCs w:val="18"/>
                <w:lang w:eastAsia="en-GB"/>
              </w:rPr>
              <w:t>34</w:t>
            </w:r>
          </w:p>
        </w:tc>
        <w:tc>
          <w:tcPr>
            <w:tcW w:w="2835" w:type="dxa"/>
            <w:shd w:val="clear" w:color="auto" w:fill="auto"/>
            <w:noWrap/>
            <w:vAlign w:val="bottom"/>
            <w:hideMark/>
          </w:tcPr>
          <w:p w14:paraId="0687B7D2" w14:textId="572E2D47" w:rsidR="006478A7" w:rsidRPr="008015BF" w:rsidRDefault="00A33F0F" w:rsidP="00BB00AC">
            <w:pPr>
              <w:spacing w:after="0" w:line="240" w:lineRule="auto"/>
              <w:rPr>
                <w:rFonts w:eastAsia="Times New Roman" w:cstheme="minorHAnsi"/>
                <w:color w:val="000000"/>
                <w:sz w:val="16"/>
                <w:szCs w:val="18"/>
                <w:lang w:eastAsia="en-GB"/>
              </w:rPr>
            </w:pPr>
            <w:r>
              <w:rPr>
                <w:rFonts w:eastAsia="Times New Roman" w:cstheme="minorHAnsi"/>
                <w:color w:val="000000"/>
                <w:sz w:val="16"/>
                <w:szCs w:val="18"/>
                <w:lang w:eastAsia="en-GB"/>
              </w:rPr>
              <w:t>20</w:t>
            </w:r>
          </w:p>
        </w:tc>
      </w:tr>
      <w:tr w:rsidR="006478A7" w:rsidRPr="008015BF" w14:paraId="7F202A24" w14:textId="77777777" w:rsidTr="006478A7">
        <w:tc>
          <w:tcPr>
            <w:tcW w:w="911" w:type="dxa"/>
            <w:shd w:val="clear" w:color="auto" w:fill="auto"/>
            <w:noWrap/>
            <w:vAlign w:val="bottom"/>
            <w:hideMark/>
          </w:tcPr>
          <w:p w14:paraId="65021635" w14:textId="77777777" w:rsidR="006478A7" w:rsidRPr="008015BF" w:rsidRDefault="006478A7" w:rsidP="00BB00AC">
            <w:pPr>
              <w:spacing w:after="0" w:line="240" w:lineRule="auto"/>
              <w:rPr>
                <w:rFonts w:eastAsia="Times New Roman" w:cstheme="minorHAnsi"/>
                <w:color w:val="000000"/>
                <w:sz w:val="16"/>
                <w:szCs w:val="18"/>
                <w:lang w:eastAsia="en-GB"/>
              </w:rPr>
            </w:pPr>
            <w:r w:rsidRPr="008015BF">
              <w:rPr>
                <w:rFonts w:eastAsia="Times New Roman" w:cstheme="minorHAnsi"/>
                <w:color w:val="000000"/>
                <w:sz w:val="16"/>
                <w:szCs w:val="18"/>
                <w:lang w:eastAsia="en-GB"/>
              </w:rPr>
              <w:t>P13</w:t>
            </w:r>
          </w:p>
        </w:tc>
        <w:tc>
          <w:tcPr>
            <w:tcW w:w="2648" w:type="dxa"/>
            <w:shd w:val="clear" w:color="auto" w:fill="auto"/>
            <w:noWrap/>
            <w:vAlign w:val="bottom"/>
            <w:hideMark/>
          </w:tcPr>
          <w:p w14:paraId="1C1AE771" w14:textId="0AFD9802" w:rsidR="006478A7" w:rsidRPr="008015BF" w:rsidRDefault="006E2E4C" w:rsidP="00BB00AC">
            <w:pPr>
              <w:spacing w:after="0" w:line="240" w:lineRule="auto"/>
              <w:rPr>
                <w:rFonts w:eastAsia="Times New Roman" w:cstheme="minorHAnsi"/>
                <w:color w:val="000000"/>
                <w:sz w:val="16"/>
                <w:szCs w:val="18"/>
                <w:lang w:eastAsia="en-GB"/>
              </w:rPr>
            </w:pPr>
            <w:r>
              <w:rPr>
                <w:rFonts w:eastAsia="Times New Roman" w:cstheme="minorHAnsi"/>
                <w:color w:val="000000"/>
                <w:sz w:val="16"/>
                <w:szCs w:val="18"/>
                <w:lang w:eastAsia="en-GB"/>
              </w:rPr>
              <w:t>Se</w:t>
            </w:r>
            <w:r w:rsidRPr="00F82E59">
              <w:rPr>
                <w:rFonts w:eastAsia="Times New Roman" w:cstheme="minorHAnsi"/>
                <w:color w:val="000000"/>
                <w:sz w:val="16"/>
                <w:szCs w:val="18"/>
                <w:lang w:eastAsia="en-GB"/>
              </w:rPr>
              <w:t>condary school</w:t>
            </w:r>
          </w:p>
        </w:tc>
        <w:tc>
          <w:tcPr>
            <w:tcW w:w="992" w:type="dxa"/>
            <w:shd w:val="clear" w:color="auto" w:fill="auto"/>
            <w:noWrap/>
            <w:vAlign w:val="bottom"/>
            <w:hideMark/>
          </w:tcPr>
          <w:p w14:paraId="23A0AE70" w14:textId="77777777" w:rsidR="006478A7" w:rsidRPr="008015BF" w:rsidRDefault="006478A7" w:rsidP="00BB00AC">
            <w:pPr>
              <w:spacing w:after="0" w:line="240" w:lineRule="auto"/>
              <w:rPr>
                <w:rFonts w:eastAsia="Times New Roman" w:cstheme="minorHAnsi"/>
                <w:color w:val="000000"/>
                <w:sz w:val="16"/>
                <w:szCs w:val="18"/>
                <w:lang w:eastAsia="en-GB"/>
              </w:rPr>
            </w:pPr>
            <w:r w:rsidRPr="008015BF">
              <w:rPr>
                <w:rFonts w:eastAsia="Times New Roman" w:cstheme="minorHAnsi"/>
                <w:color w:val="000000"/>
                <w:sz w:val="16"/>
                <w:szCs w:val="18"/>
                <w:lang w:eastAsia="en-GB"/>
              </w:rPr>
              <w:t>Female</w:t>
            </w:r>
          </w:p>
        </w:tc>
        <w:tc>
          <w:tcPr>
            <w:tcW w:w="1134" w:type="dxa"/>
            <w:shd w:val="clear" w:color="auto" w:fill="auto"/>
            <w:noWrap/>
            <w:vAlign w:val="bottom"/>
            <w:hideMark/>
          </w:tcPr>
          <w:p w14:paraId="6650CB30" w14:textId="2C5AF88C" w:rsidR="006478A7" w:rsidRPr="008015BF" w:rsidRDefault="00E05DA1" w:rsidP="00BB00AC">
            <w:pPr>
              <w:spacing w:after="0" w:line="240" w:lineRule="auto"/>
              <w:rPr>
                <w:rFonts w:eastAsia="Times New Roman" w:cstheme="minorHAnsi"/>
                <w:color w:val="000000"/>
                <w:sz w:val="16"/>
                <w:szCs w:val="18"/>
                <w:lang w:eastAsia="en-GB"/>
              </w:rPr>
            </w:pPr>
            <w:r w:rsidRPr="008015BF">
              <w:rPr>
                <w:rFonts w:eastAsia="Times New Roman" w:cstheme="minorHAnsi"/>
                <w:color w:val="000000"/>
                <w:sz w:val="16"/>
                <w:szCs w:val="18"/>
                <w:lang w:eastAsia="en-GB"/>
              </w:rPr>
              <w:t>5</w:t>
            </w:r>
            <w:r>
              <w:rPr>
                <w:rFonts w:eastAsia="Times New Roman" w:cstheme="minorHAnsi"/>
                <w:color w:val="000000"/>
                <w:sz w:val="16"/>
                <w:szCs w:val="18"/>
                <w:lang w:eastAsia="en-GB"/>
              </w:rPr>
              <w:t>0-59</w:t>
            </w:r>
          </w:p>
        </w:tc>
        <w:tc>
          <w:tcPr>
            <w:tcW w:w="2835" w:type="dxa"/>
            <w:shd w:val="clear" w:color="auto" w:fill="auto"/>
            <w:noWrap/>
            <w:vAlign w:val="bottom"/>
            <w:hideMark/>
          </w:tcPr>
          <w:p w14:paraId="448FDBBC" w14:textId="77777777" w:rsidR="006478A7" w:rsidRPr="008015BF" w:rsidRDefault="006478A7" w:rsidP="00BB00AC">
            <w:pPr>
              <w:spacing w:after="0" w:line="240" w:lineRule="auto"/>
              <w:rPr>
                <w:rFonts w:eastAsia="Times New Roman" w:cstheme="minorHAnsi"/>
                <w:color w:val="000000"/>
                <w:sz w:val="16"/>
                <w:szCs w:val="18"/>
                <w:lang w:eastAsia="en-GB"/>
              </w:rPr>
            </w:pPr>
            <w:r w:rsidRPr="008015BF">
              <w:rPr>
                <w:rFonts w:eastAsia="Times New Roman" w:cstheme="minorHAnsi"/>
                <w:color w:val="000000"/>
                <w:sz w:val="16"/>
                <w:szCs w:val="18"/>
                <w:lang w:eastAsia="en-GB"/>
              </w:rPr>
              <w:t>27</w:t>
            </w:r>
          </w:p>
        </w:tc>
        <w:tc>
          <w:tcPr>
            <w:tcW w:w="2835" w:type="dxa"/>
            <w:shd w:val="clear" w:color="auto" w:fill="auto"/>
            <w:noWrap/>
            <w:vAlign w:val="bottom"/>
            <w:hideMark/>
          </w:tcPr>
          <w:p w14:paraId="5DED9955" w14:textId="218BE326" w:rsidR="006478A7" w:rsidRPr="008015BF" w:rsidRDefault="00A33F0F" w:rsidP="00BB00AC">
            <w:pPr>
              <w:spacing w:after="0" w:line="240" w:lineRule="auto"/>
              <w:rPr>
                <w:rFonts w:eastAsia="Times New Roman" w:cstheme="minorHAnsi"/>
                <w:color w:val="000000"/>
                <w:sz w:val="16"/>
                <w:szCs w:val="18"/>
                <w:lang w:eastAsia="en-GB"/>
              </w:rPr>
            </w:pPr>
            <w:r>
              <w:rPr>
                <w:rFonts w:eastAsia="Times New Roman" w:cstheme="minorHAnsi"/>
                <w:color w:val="000000"/>
                <w:sz w:val="16"/>
                <w:szCs w:val="18"/>
                <w:lang w:eastAsia="en-GB"/>
              </w:rPr>
              <w:t>20</w:t>
            </w:r>
          </w:p>
        </w:tc>
      </w:tr>
      <w:tr w:rsidR="006478A7" w:rsidRPr="008015BF" w14:paraId="7C97698A" w14:textId="77777777" w:rsidTr="006478A7">
        <w:tc>
          <w:tcPr>
            <w:tcW w:w="911" w:type="dxa"/>
            <w:shd w:val="clear" w:color="auto" w:fill="auto"/>
            <w:noWrap/>
            <w:vAlign w:val="bottom"/>
            <w:hideMark/>
          </w:tcPr>
          <w:p w14:paraId="0FFDA63C" w14:textId="77777777" w:rsidR="006478A7" w:rsidRPr="008015BF" w:rsidRDefault="006478A7" w:rsidP="00BB00AC">
            <w:pPr>
              <w:spacing w:after="0" w:line="240" w:lineRule="auto"/>
              <w:rPr>
                <w:rFonts w:eastAsia="Times New Roman" w:cstheme="minorHAnsi"/>
                <w:color w:val="000000"/>
                <w:sz w:val="16"/>
                <w:szCs w:val="18"/>
                <w:lang w:eastAsia="en-GB"/>
              </w:rPr>
            </w:pPr>
            <w:r w:rsidRPr="008015BF">
              <w:rPr>
                <w:rFonts w:eastAsia="Times New Roman" w:cstheme="minorHAnsi"/>
                <w:color w:val="000000"/>
                <w:sz w:val="16"/>
                <w:szCs w:val="18"/>
                <w:lang w:eastAsia="en-GB"/>
              </w:rPr>
              <w:t>P14</w:t>
            </w:r>
          </w:p>
        </w:tc>
        <w:tc>
          <w:tcPr>
            <w:tcW w:w="2648" w:type="dxa"/>
            <w:shd w:val="clear" w:color="auto" w:fill="auto"/>
            <w:noWrap/>
            <w:vAlign w:val="bottom"/>
            <w:hideMark/>
          </w:tcPr>
          <w:p w14:paraId="10DF08B7" w14:textId="3BD4A45B" w:rsidR="006478A7" w:rsidRPr="008015BF" w:rsidRDefault="006E2E4C" w:rsidP="00BB00AC">
            <w:pPr>
              <w:spacing w:after="0" w:line="240" w:lineRule="auto"/>
              <w:rPr>
                <w:rFonts w:eastAsia="Times New Roman" w:cstheme="minorHAnsi"/>
                <w:color w:val="000000"/>
                <w:sz w:val="16"/>
                <w:szCs w:val="18"/>
                <w:lang w:eastAsia="en-GB"/>
              </w:rPr>
            </w:pPr>
            <w:r>
              <w:rPr>
                <w:rFonts w:eastAsia="Times New Roman" w:cstheme="minorHAnsi"/>
                <w:color w:val="000000"/>
                <w:sz w:val="16"/>
                <w:szCs w:val="18"/>
                <w:lang w:eastAsia="en-GB"/>
              </w:rPr>
              <w:t>Se</w:t>
            </w:r>
            <w:r w:rsidRPr="00F82E59">
              <w:rPr>
                <w:rFonts w:eastAsia="Times New Roman" w:cstheme="minorHAnsi"/>
                <w:color w:val="000000"/>
                <w:sz w:val="16"/>
                <w:szCs w:val="18"/>
                <w:lang w:eastAsia="en-GB"/>
              </w:rPr>
              <w:t>condary school</w:t>
            </w:r>
          </w:p>
        </w:tc>
        <w:tc>
          <w:tcPr>
            <w:tcW w:w="992" w:type="dxa"/>
            <w:shd w:val="clear" w:color="auto" w:fill="auto"/>
            <w:noWrap/>
            <w:vAlign w:val="bottom"/>
            <w:hideMark/>
          </w:tcPr>
          <w:p w14:paraId="5143C70F" w14:textId="77777777" w:rsidR="006478A7" w:rsidRPr="008015BF" w:rsidRDefault="006478A7" w:rsidP="00BB00AC">
            <w:pPr>
              <w:spacing w:after="0" w:line="240" w:lineRule="auto"/>
              <w:rPr>
                <w:rFonts w:eastAsia="Times New Roman" w:cstheme="minorHAnsi"/>
                <w:color w:val="000000"/>
                <w:sz w:val="16"/>
                <w:szCs w:val="18"/>
                <w:lang w:eastAsia="en-GB"/>
              </w:rPr>
            </w:pPr>
            <w:r w:rsidRPr="008015BF">
              <w:rPr>
                <w:rFonts w:eastAsia="Times New Roman" w:cstheme="minorHAnsi"/>
                <w:color w:val="000000"/>
                <w:sz w:val="16"/>
                <w:szCs w:val="18"/>
                <w:lang w:eastAsia="en-GB"/>
              </w:rPr>
              <w:t>Male</w:t>
            </w:r>
          </w:p>
        </w:tc>
        <w:tc>
          <w:tcPr>
            <w:tcW w:w="1134" w:type="dxa"/>
            <w:shd w:val="clear" w:color="auto" w:fill="auto"/>
            <w:noWrap/>
            <w:vAlign w:val="bottom"/>
            <w:hideMark/>
          </w:tcPr>
          <w:p w14:paraId="30386184" w14:textId="7CCB0A99" w:rsidR="006478A7" w:rsidRPr="008015BF" w:rsidRDefault="00E05DA1" w:rsidP="00BB00AC">
            <w:pPr>
              <w:spacing w:after="0" w:line="240" w:lineRule="auto"/>
              <w:rPr>
                <w:rFonts w:eastAsia="Times New Roman" w:cstheme="minorHAnsi"/>
                <w:color w:val="000000"/>
                <w:sz w:val="16"/>
                <w:szCs w:val="18"/>
                <w:lang w:eastAsia="en-GB"/>
              </w:rPr>
            </w:pPr>
            <w:r w:rsidRPr="008015BF">
              <w:rPr>
                <w:rFonts w:eastAsia="Times New Roman" w:cstheme="minorHAnsi"/>
                <w:color w:val="000000"/>
                <w:sz w:val="16"/>
                <w:szCs w:val="18"/>
                <w:lang w:eastAsia="en-GB"/>
              </w:rPr>
              <w:t>5</w:t>
            </w:r>
            <w:r>
              <w:rPr>
                <w:rFonts w:eastAsia="Times New Roman" w:cstheme="minorHAnsi"/>
                <w:color w:val="000000"/>
                <w:sz w:val="16"/>
                <w:szCs w:val="18"/>
                <w:lang w:eastAsia="en-GB"/>
              </w:rPr>
              <w:t>0-59</w:t>
            </w:r>
          </w:p>
        </w:tc>
        <w:tc>
          <w:tcPr>
            <w:tcW w:w="2835" w:type="dxa"/>
            <w:shd w:val="clear" w:color="auto" w:fill="auto"/>
            <w:noWrap/>
            <w:vAlign w:val="bottom"/>
            <w:hideMark/>
          </w:tcPr>
          <w:p w14:paraId="7E01E156" w14:textId="77777777" w:rsidR="006478A7" w:rsidRPr="008015BF" w:rsidRDefault="006478A7" w:rsidP="00BB00AC">
            <w:pPr>
              <w:spacing w:after="0" w:line="240" w:lineRule="auto"/>
              <w:rPr>
                <w:rFonts w:eastAsia="Times New Roman" w:cstheme="minorHAnsi"/>
                <w:color w:val="000000"/>
                <w:sz w:val="16"/>
                <w:szCs w:val="18"/>
                <w:lang w:eastAsia="en-GB"/>
              </w:rPr>
            </w:pPr>
            <w:r w:rsidRPr="008015BF">
              <w:rPr>
                <w:rFonts w:eastAsia="Times New Roman" w:cstheme="minorHAnsi"/>
                <w:color w:val="000000"/>
                <w:sz w:val="16"/>
                <w:szCs w:val="18"/>
                <w:lang w:eastAsia="en-GB"/>
              </w:rPr>
              <w:t>16</w:t>
            </w:r>
          </w:p>
        </w:tc>
        <w:tc>
          <w:tcPr>
            <w:tcW w:w="2835" w:type="dxa"/>
            <w:shd w:val="clear" w:color="auto" w:fill="auto"/>
            <w:noWrap/>
            <w:vAlign w:val="bottom"/>
            <w:hideMark/>
          </w:tcPr>
          <w:p w14:paraId="292E9F06" w14:textId="0E95E0EE" w:rsidR="006478A7" w:rsidRPr="008015BF" w:rsidRDefault="00A33F0F" w:rsidP="00BB00AC">
            <w:pPr>
              <w:spacing w:after="0" w:line="240" w:lineRule="auto"/>
              <w:rPr>
                <w:rFonts w:eastAsia="Times New Roman" w:cstheme="minorHAnsi"/>
                <w:color w:val="000000"/>
                <w:sz w:val="16"/>
                <w:szCs w:val="18"/>
                <w:lang w:eastAsia="en-GB"/>
              </w:rPr>
            </w:pPr>
            <w:r>
              <w:rPr>
                <w:rFonts w:eastAsia="Times New Roman" w:cstheme="minorHAnsi"/>
                <w:color w:val="000000"/>
                <w:sz w:val="16"/>
                <w:szCs w:val="18"/>
                <w:lang w:eastAsia="en-GB"/>
              </w:rPr>
              <w:t>106</w:t>
            </w:r>
          </w:p>
        </w:tc>
      </w:tr>
      <w:tr w:rsidR="006478A7" w:rsidRPr="008015BF" w14:paraId="6F887F82" w14:textId="77777777" w:rsidTr="006478A7">
        <w:tc>
          <w:tcPr>
            <w:tcW w:w="911" w:type="dxa"/>
            <w:shd w:val="clear" w:color="auto" w:fill="auto"/>
            <w:noWrap/>
            <w:vAlign w:val="bottom"/>
            <w:hideMark/>
          </w:tcPr>
          <w:p w14:paraId="57B8D475" w14:textId="77777777" w:rsidR="006478A7" w:rsidRPr="008015BF" w:rsidRDefault="006478A7" w:rsidP="00BB00AC">
            <w:pPr>
              <w:spacing w:after="0" w:line="240" w:lineRule="auto"/>
              <w:rPr>
                <w:rFonts w:eastAsia="Times New Roman" w:cstheme="minorHAnsi"/>
                <w:color w:val="000000"/>
                <w:sz w:val="16"/>
                <w:szCs w:val="18"/>
                <w:lang w:eastAsia="en-GB"/>
              </w:rPr>
            </w:pPr>
            <w:r w:rsidRPr="008015BF">
              <w:rPr>
                <w:rFonts w:eastAsia="Times New Roman" w:cstheme="minorHAnsi"/>
                <w:color w:val="000000"/>
                <w:sz w:val="16"/>
                <w:szCs w:val="18"/>
                <w:lang w:eastAsia="en-GB"/>
              </w:rPr>
              <w:t>P15</w:t>
            </w:r>
          </w:p>
        </w:tc>
        <w:tc>
          <w:tcPr>
            <w:tcW w:w="2648" w:type="dxa"/>
            <w:shd w:val="clear" w:color="auto" w:fill="auto"/>
            <w:noWrap/>
            <w:vAlign w:val="bottom"/>
            <w:hideMark/>
          </w:tcPr>
          <w:p w14:paraId="68BB79F9" w14:textId="7CA027AE" w:rsidR="006478A7" w:rsidRPr="008015BF" w:rsidRDefault="006E2E4C" w:rsidP="00BB00AC">
            <w:pPr>
              <w:spacing w:after="0" w:line="240" w:lineRule="auto"/>
              <w:rPr>
                <w:rFonts w:eastAsia="Times New Roman" w:cstheme="minorHAnsi"/>
                <w:color w:val="000000"/>
                <w:sz w:val="16"/>
                <w:szCs w:val="18"/>
                <w:lang w:eastAsia="en-GB"/>
              </w:rPr>
            </w:pPr>
            <w:r>
              <w:rPr>
                <w:rFonts w:eastAsia="Times New Roman" w:cstheme="minorHAnsi"/>
                <w:color w:val="000000"/>
                <w:sz w:val="16"/>
                <w:szCs w:val="18"/>
                <w:lang w:eastAsia="en-GB"/>
              </w:rPr>
              <w:t>C</w:t>
            </w:r>
            <w:r w:rsidRPr="006E2E4C">
              <w:rPr>
                <w:rFonts w:eastAsia="Times New Roman" w:cstheme="minorHAnsi"/>
                <w:color w:val="000000"/>
                <w:sz w:val="16"/>
                <w:szCs w:val="18"/>
                <w:lang w:eastAsia="en-GB"/>
              </w:rPr>
              <w:t>ollege/ university</w:t>
            </w:r>
          </w:p>
        </w:tc>
        <w:tc>
          <w:tcPr>
            <w:tcW w:w="992" w:type="dxa"/>
            <w:shd w:val="clear" w:color="auto" w:fill="auto"/>
            <w:noWrap/>
            <w:vAlign w:val="bottom"/>
            <w:hideMark/>
          </w:tcPr>
          <w:p w14:paraId="5B3F3F52" w14:textId="77777777" w:rsidR="006478A7" w:rsidRPr="008015BF" w:rsidRDefault="006478A7" w:rsidP="00BB00AC">
            <w:pPr>
              <w:spacing w:after="0" w:line="240" w:lineRule="auto"/>
              <w:rPr>
                <w:rFonts w:eastAsia="Times New Roman" w:cstheme="minorHAnsi"/>
                <w:color w:val="000000"/>
                <w:sz w:val="16"/>
                <w:szCs w:val="18"/>
                <w:lang w:eastAsia="en-GB"/>
              </w:rPr>
            </w:pPr>
            <w:r w:rsidRPr="008015BF">
              <w:rPr>
                <w:rFonts w:eastAsia="Times New Roman" w:cstheme="minorHAnsi"/>
                <w:color w:val="000000"/>
                <w:sz w:val="16"/>
                <w:szCs w:val="18"/>
                <w:lang w:eastAsia="en-GB"/>
              </w:rPr>
              <w:t>Male</w:t>
            </w:r>
          </w:p>
        </w:tc>
        <w:tc>
          <w:tcPr>
            <w:tcW w:w="1134" w:type="dxa"/>
            <w:shd w:val="clear" w:color="auto" w:fill="auto"/>
            <w:noWrap/>
            <w:vAlign w:val="bottom"/>
            <w:hideMark/>
          </w:tcPr>
          <w:p w14:paraId="246D1085" w14:textId="7FD7602C" w:rsidR="006478A7" w:rsidRPr="008015BF" w:rsidRDefault="00E05DA1" w:rsidP="00BB00AC">
            <w:pPr>
              <w:spacing w:after="0" w:line="240" w:lineRule="auto"/>
              <w:rPr>
                <w:rFonts w:eastAsia="Times New Roman" w:cstheme="minorHAnsi"/>
                <w:color w:val="000000"/>
                <w:sz w:val="16"/>
                <w:szCs w:val="18"/>
                <w:lang w:eastAsia="en-GB"/>
              </w:rPr>
            </w:pPr>
            <w:r w:rsidRPr="008015BF">
              <w:rPr>
                <w:rFonts w:eastAsia="Times New Roman" w:cstheme="minorHAnsi"/>
                <w:color w:val="000000"/>
                <w:sz w:val="16"/>
                <w:szCs w:val="18"/>
                <w:lang w:eastAsia="en-GB"/>
              </w:rPr>
              <w:t>2</w:t>
            </w:r>
            <w:r>
              <w:rPr>
                <w:rFonts w:eastAsia="Times New Roman" w:cstheme="minorHAnsi"/>
                <w:color w:val="000000"/>
                <w:sz w:val="16"/>
                <w:szCs w:val="18"/>
                <w:lang w:eastAsia="en-GB"/>
              </w:rPr>
              <w:t>0-29</w:t>
            </w:r>
          </w:p>
        </w:tc>
        <w:tc>
          <w:tcPr>
            <w:tcW w:w="2835" w:type="dxa"/>
            <w:shd w:val="clear" w:color="auto" w:fill="auto"/>
            <w:noWrap/>
            <w:vAlign w:val="bottom"/>
            <w:hideMark/>
          </w:tcPr>
          <w:p w14:paraId="071F8F18" w14:textId="77777777" w:rsidR="006478A7" w:rsidRPr="008015BF" w:rsidRDefault="006478A7" w:rsidP="00BB00AC">
            <w:pPr>
              <w:spacing w:after="0" w:line="240" w:lineRule="auto"/>
              <w:rPr>
                <w:rFonts w:eastAsia="Times New Roman" w:cstheme="minorHAnsi"/>
                <w:color w:val="000000"/>
                <w:sz w:val="16"/>
                <w:szCs w:val="18"/>
                <w:lang w:eastAsia="en-GB"/>
              </w:rPr>
            </w:pPr>
            <w:r w:rsidRPr="008015BF">
              <w:rPr>
                <w:rFonts w:eastAsia="Times New Roman" w:cstheme="minorHAnsi"/>
                <w:color w:val="000000"/>
                <w:sz w:val="16"/>
                <w:szCs w:val="18"/>
                <w:lang w:eastAsia="en-GB"/>
              </w:rPr>
              <w:t>8</w:t>
            </w:r>
          </w:p>
        </w:tc>
        <w:tc>
          <w:tcPr>
            <w:tcW w:w="2835" w:type="dxa"/>
            <w:shd w:val="clear" w:color="auto" w:fill="auto"/>
            <w:noWrap/>
            <w:vAlign w:val="bottom"/>
            <w:hideMark/>
          </w:tcPr>
          <w:p w14:paraId="60C137DA" w14:textId="63E54EA0" w:rsidR="006478A7" w:rsidRPr="008015BF" w:rsidRDefault="00A33F0F" w:rsidP="00BB00AC">
            <w:pPr>
              <w:spacing w:after="0" w:line="240" w:lineRule="auto"/>
              <w:rPr>
                <w:rFonts w:eastAsia="Times New Roman" w:cstheme="minorHAnsi"/>
                <w:color w:val="000000"/>
                <w:sz w:val="16"/>
                <w:szCs w:val="18"/>
                <w:lang w:eastAsia="en-GB"/>
              </w:rPr>
            </w:pPr>
            <w:r>
              <w:rPr>
                <w:rFonts w:eastAsia="Times New Roman" w:cstheme="minorHAnsi"/>
                <w:color w:val="000000"/>
                <w:sz w:val="16"/>
                <w:szCs w:val="18"/>
                <w:lang w:eastAsia="en-GB"/>
              </w:rPr>
              <w:t>27</w:t>
            </w:r>
          </w:p>
        </w:tc>
      </w:tr>
      <w:tr w:rsidR="006478A7" w:rsidRPr="008015BF" w14:paraId="299659A8" w14:textId="77777777" w:rsidTr="006478A7">
        <w:tc>
          <w:tcPr>
            <w:tcW w:w="911" w:type="dxa"/>
            <w:shd w:val="clear" w:color="auto" w:fill="auto"/>
            <w:noWrap/>
            <w:vAlign w:val="bottom"/>
            <w:hideMark/>
          </w:tcPr>
          <w:p w14:paraId="62908BD8" w14:textId="77777777" w:rsidR="006478A7" w:rsidRPr="008015BF" w:rsidRDefault="006478A7" w:rsidP="00BB00AC">
            <w:pPr>
              <w:spacing w:after="0" w:line="240" w:lineRule="auto"/>
              <w:rPr>
                <w:rFonts w:eastAsia="Times New Roman" w:cstheme="minorHAnsi"/>
                <w:color w:val="000000"/>
                <w:sz w:val="16"/>
                <w:szCs w:val="18"/>
                <w:lang w:eastAsia="en-GB"/>
              </w:rPr>
            </w:pPr>
            <w:r w:rsidRPr="008015BF">
              <w:rPr>
                <w:rFonts w:eastAsia="Times New Roman" w:cstheme="minorHAnsi"/>
                <w:color w:val="000000"/>
                <w:sz w:val="16"/>
                <w:szCs w:val="18"/>
                <w:lang w:eastAsia="en-GB"/>
              </w:rPr>
              <w:t>P16</w:t>
            </w:r>
          </w:p>
        </w:tc>
        <w:tc>
          <w:tcPr>
            <w:tcW w:w="2648" w:type="dxa"/>
            <w:shd w:val="clear" w:color="auto" w:fill="auto"/>
            <w:noWrap/>
            <w:vAlign w:val="bottom"/>
            <w:hideMark/>
          </w:tcPr>
          <w:p w14:paraId="5E51D3C7" w14:textId="7EED9416" w:rsidR="006478A7" w:rsidRPr="008015BF" w:rsidRDefault="006E2E4C" w:rsidP="00BB00AC">
            <w:pPr>
              <w:spacing w:after="0" w:line="240" w:lineRule="auto"/>
              <w:rPr>
                <w:rFonts w:eastAsia="Times New Roman" w:cstheme="minorHAnsi"/>
                <w:color w:val="000000"/>
                <w:sz w:val="16"/>
                <w:szCs w:val="18"/>
                <w:lang w:eastAsia="en-GB"/>
              </w:rPr>
            </w:pPr>
            <w:r>
              <w:rPr>
                <w:rFonts w:eastAsia="Times New Roman" w:cstheme="minorHAnsi"/>
                <w:color w:val="000000"/>
                <w:sz w:val="16"/>
                <w:szCs w:val="18"/>
                <w:lang w:eastAsia="en-GB"/>
              </w:rPr>
              <w:t>Se</w:t>
            </w:r>
            <w:r w:rsidRPr="00F82E59">
              <w:rPr>
                <w:rFonts w:eastAsia="Times New Roman" w:cstheme="minorHAnsi"/>
                <w:color w:val="000000"/>
                <w:sz w:val="16"/>
                <w:szCs w:val="18"/>
                <w:lang w:eastAsia="en-GB"/>
              </w:rPr>
              <w:t>condary school</w:t>
            </w:r>
          </w:p>
        </w:tc>
        <w:tc>
          <w:tcPr>
            <w:tcW w:w="992" w:type="dxa"/>
            <w:shd w:val="clear" w:color="auto" w:fill="auto"/>
            <w:noWrap/>
            <w:vAlign w:val="bottom"/>
            <w:hideMark/>
          </w:tcPr>
          <w:p w14:paraId="37C8FB5B" w14:textId="77777777" w:rsidR="006478A7" w:rsidRPr="008015BF" w:rsidRDefault="006478A7" w:rsidP="00BB00AC">
            <w:pPr>
              <w:spacing w:after="0" w:line="240" w:lineRule="auto"/>
              <w:rPr>
                <w:rFonts w:eastAsia="Times New Roman" w:cstheme="minorHAnsi"/>
                <w:color w:val="000000"/>
                <w:sz w:val="16"/>
                <w:szCs w:val="18"/>
                <w:lang w:eastAsia="en-GB"/>
              </w:rPr>
            </w:pPr>
            <w:r w:rsidRPr="008015BF">
              <w:rPr>
                <w:rFonts w:eastAsia="Times New Roman" w:cstheme="minorHAnsi"/>
                <w:color w:val="000000"/>
                <w:sz w:val="16"/>
                <w:szCs w:val="18"/>
                <w:lang w:eastAsia="en-GB"/>
              </w:rPr>
              <w:t>Female</w:t>
            </w:r>
          </w:p>
        </w:tc>
        <w:tc>
          <w:tcPr>
            <w:tcW w:w="1134" w:type="dxa"/>
            <w:shd w:val="clear" w:color="auto" w:fill="auto"/>
            <w:noWrap/>
            <w:vAlign w:val="bottom"/>
            <w:hideMark/>
          </w:tcPr>
          <w:p w14:paraId="345F9532" w14:textId="2302317A" w:rsidR="006478A7" w:rsidRPr="008015BF" w:rsidRDefault="00E05DA1" w:rsidP="00BB00AC">
            <w:pPr>
              <w:spacing w:after="0" w:line="240" w:lineRule="auto"/>
              <w:rPr>
                <w:rFonts w:eastAsia="Times New Roman" w:cstheme="minorHAnsi"/>
                <w:color w:val="000000"/>
                <w:sz w:val="16"/>
                <w:szCs w:val="18"/>
                <w:lang w:eastAsia="en-GB"/>
              </w:rPr>
            </w:pPr>
            <w:r w:rsidRPr="008015BF">
              <w:rPr>
                <w:rFonts w:eastAsia="Times New Roman" w:cstheme="minorHAnsi"/>
                <w:color w:val="000000"/>
                <w:sz w:val="16"/>
                <w:szCs w:val="18"/>
                <w:lang w:eastAsia="en-GB"/>
              </w:rPr>
              <w:t>5</w:t>
            </w:r>
            <w:r>
              <w:rPr>
                <w:rFonts w:eastAsia="Times New Roman" w:cstheme="minorHAnsi"/>
                <w:color w:val="000000"/>
                <w:sz w:val="16"/>
                <w:szCs w:val="18"/>
                <w:lang w:eastAsia="en-GB"/>
              </w:rPr>
              <w:t>0-59</w:t>
            </w:r>
          </w:p>
        </w:tc>
        <w:tc>
          <w:tcPr>
            <w:tcW w:w="2835" w:type="dxa"/>
            <w:shd w:val="clear" w:color="auto" w:fill="auto"/>
            <w:noWrap/>
            <w:vAlign w:val="bottom"/>
            <w:hideMark/>
          </w:tcPr>
          <w:p w14:paraId="51EB6F69" w14:textId="77777777" w:rsidR="006478A7" w:rsidRPr="008015BF" w:rsidRDefault="006478A7" w:rsidP="00BB00AC">
            <w:pPr>
              <w:spacing w:after="0" w:line="240" w:lineRule="auto"/>
              <w:rPr>
                <w:rFonts w:eastAsia="Times New Roman" w:cstheme="minorHAnsi"/>
                <w:color w:val="000000"/>
                <w:sz w:val="16"/>
                <w:szCs w:val="18"/>
                <w:lang w:eastAsia="en-GB"/>
              </w:rPr>
            </w:pPr>
            <w:r w:rsidRPr="008015BF">
              <w:rPr>
                <w:rFonts w:eastAsia="Times New Roman" w:cstheme="minorHAnsi"/>
                <w:color w:val="000000"/>
                <w:sz w:val="16"/>
                <w:szCs w:val="18"/>
                <w:lang w:eastAsia="en-GB"/>
              </w:rPr>
              <w:t>2</w:t>
            </w:r>
          </w:p>
        </w:tc>
        <w:tc>
          <w:tcPr>
            <w:tcW w:w="2835" w:type="dxa"/>
            <w:shd w:val="clear" w:color="auto" w:fill="auto"/>
            <w:noWrap/>
            <w:vAlign w:val="bottom"/>
            <w:hideMark/>
          </w:tcPr>
          <w:p w14:paraId="501DFD97" w14:textId="6F063593" w:rsidR="006478A7" w:rsidRPr="008015BF" w:rsidRDefault="00A33F0F" w:rsidP="00BB00AC">
            <w:pPr>
              <w:spacing w:after="0" w:line="240" w:lineRule="auto"/>
              <w:rPr>
                <w:rFonts w:eastAsia="Times New Roman" w:cstheme="minorHAnsi"/>
                <w:color w:val="000000"/>
                <w:sz w:val="16"/>
                <w:szCs w:val="18"/>
                <w:lang w:eastAsia="en-GB"/>
              </w:rPr>
            </w:pPr>
            <w:r>
              <w:rPr>
                <w:rFonts w:eastAsia="Times New Roman" w:cstheme="minorHAnsi"/>
                <w:color w:val="000000"/>
                <w:sz w:val="16"/>
                <w:szCs w:val="18"/>
                <w:lang w:eastAsia="en-GB"/>
              </w:rPr>
              <w:t>23</w:t>
            </w:r>
          </w:p>
        </w:tc>
      </w:tr>
      <w:tr w:rsidR="006478A7" w:rsidRPr="008015BF" w14:paraId="734BAEA9" w14:textId="77777777" w:rsidTr="006478A7">
        <w:tc>
          <w:tcPr>
            <w:tcW w:w="911" w:type="dxa"/>
            <w:shd w:val="clear" w:color="auto" w:fill="auto"/>
            <w:noWrap/>
            <w:vAlign w:val="bottom"/>
            <w:hideMark/>
          </w:tcPr>
          <w:p w14:paraId="07FA46AB" w14:textId="77777777" w:rsidR="006478A7" w:rsidRPr="008015BF" w:rsidRDefault="006478A7" w:rsidP="00BB00AC">
            <w:pPr>
              <w:spacing w:after="0" w:line="240" w:lineRule="auto"/>
              <w:rPr>
                <w:rFonts w:eastAsia="Times New Roman" w:cstheme="minorHAnsi"/>
                <w:color w:val="000000"/>
                <w:sz w:val="16"/>
                <w:szCs w:val="18"/>
                <w:lang w:eastAsia="en-GB"/>
              </w:rPr>
            </w:pPr>
            <w:r w:rsidRPr="008015BF">
              <w:rPr>
                <w:rFonts w:eastAsia="Times New Roman" w:cstheme="minorHAnsi"/>
                <w:color w:val="000000"/>
                <w:sz w:val="16"/>
                <w:szCs w:val="18"/>
                <w:lang w:eastAsia="en-GB"/>
              </w:rPr>
              <w:t>P17</w:t>
            </w:r>
          </w:p>
        </w:tc>
        <w:tc>
          <w:tcPr>
            <w:tcW w:w="2648" w:type="dxa"/>
            <w:shd w:val="clear" w:color="auto" w:fill="auto"/>
            <w:noWrap/>
            <w:vAlign w:val="bottom"/>
            <w:hideMark/>
          </w:tcPr>
          <w:p w14:paraId="2775D049" w14:textId="77777777" w:rsidR="006478A7" w:rsidRPr="008015BF" w:rsidRDefault="006478A7" w:rsidP="00BB00AC">
            <w:pPr>
              <w:spacing w:after="0" w:line="240" w:lineRule="auto"/>
              <w:rPr>
                <w:rFonts w:eastAsia="Times New Roman" w:cstheme="minorHAnsi"/>
                <w:color w:val="000000"/>
                <w:sz w:val="16"/>
                <w:szCs w:val="18"/>
                <w:lang w:eastAsia="en-GB"/>
              </w:rPr>
            </w:pPr>
            <w:r w:rsidRPr="008015BF">
              <w:rPr>
                <w:rFonts w:eastAsia="Times New Roman" w:cstheme="minorHAnsi"/>
                <w:color w:val="000000"/>
                <w:sz w:val="16"/>
                <w:szCs w:val="18"/>
                <w:lang w:eastAsia="en-GB"/>
              </w:rPr>
              <w:t>No Qualification</w:t>
            </w:r>
          </w:p>
        </w:tc>
        <w:tc>
          <w:tcPr>
            <w:tcW w:w="992" w:type="dxa"/>
            <w:shd w:val="clear" w:color="auto" w:fill="auto"/>
            <w:noWrap/>
            <w:vAlign w:val="bottom"/>
            <w:hideMark/>
          </w:tcPr>
          <w:p w14:paraId="1D479593" w14:textId="77777777" w:rsidR="006478A7" w:rsidRPr="008015BF" w:rsidRDefault="006478A7" w:rsidP="00BB00AC">
            <w:pPr>
              <w:spacing w:after="0" w:line="240" w:lineRule="auto"/>
              <w:rPr>
                <w:rFonts w:eastAsia="Times New Roman" w:cstheme="minorHAnsi"/>
                <w:color w:val="000000"/>
                <w:sz w:val="16"/>
                <w:szCs w:val="18"/>
                <w:lang w:eastAsia="en-GB"/>
              </w:rPr>
            </w:pPr>
            <w:r w:rsidRPr="008015BF">
              <w:rPr>
                <w:rFonts w:eastAsia="Times New Roman" w:cstheme="minorHAnsi"/>
                <w:color w:val="000000"/>
                <w:sz w:val="16"/>
                <w:szCs w:val="18"/>
                <w:lang w:eastAsia="en-GB"/>
              </w:rPr>
              <w:t>Female</w:t>
            </w:r>
          </w:p>
        </w:tc>
        <w:tc>
          <w:tcPr>
            <w:tcW w:w="1134" w:type="dxa"/>
            <w:shd w:val="clear" w:color="auto" w:fill="auto"/>
            <w:noWrap/>
            <w:vAlign w:val="bottom"/>
            <w:hideMark/>
          </w:tcPr>
          <w:p w14:paraId="5E41F367" w14:textId="22AA79FD" w:rsidR="006478A7" w:rsidRPr="008015BF" w:rsidRDefault="00E05DA1" w:rsidP="00BB00AC">
            <w:pPr>
              <w:spacing w:after="0" w:line="240" w:lineRule="auto"/>
              <w:rPr>
                <w:rFonts w:eastAsia="Times New Roman" w:cstheme="minorHAnsi"/>
                <w:color w:val="000000"/>
                <w:sz w:val="16"/>
                <w:szCs w:val="18"/>
                <w:lang w:eastAsia="en-GB"/>
              </w:rPr>
            </w:pPr>
            <w:r w:rsidRPr="008015BF">
              <w:rPr>
                <w:rFonts w:eastAsia="Times New Roman" w:cstheme="minorHAnsi"/>
                <w:color w:val="000000"/>
                <w:sz w:val="16"/>
                <w:szCs w:val="18"/>
                <w:lang w:eastAsia="en-GB"/>
              </w:rPr>
              <w:t>7</w:t>
            </w:r>
            <w:r>
              <w:rPr>
                <w:rFonts w:eastAsia="Times New Roman" w:cstheme="minorHAnsi"/>
                <w:color w:val="000000"/>
                <w:sz w:val="16"/>
                <w:szCs w:val="18"/>
                <w:lang w:eastAsia="en-GB"/>
              </w:rPr>
              <w:t>0-79</w:t>
            </w:r>
          </w:p>
        </w:tc>
        <w:tc>
          <w:tcPr>
            <w:tcW w:w="2835" w:type="dxa"/>
            <w:shd w:val="clear" w:color="auto" w:fill="auto"/>
            <w:noWrap/>
            <w:vAlign w:val="bottom"/>
            <w:hideMark/>
          </w:tcPr>
          <w:p w14:paraId="2323AFCE" w14:textId="77777777" w:rsidR="006478A7" w:rsidRPr="008015BF" w:rsidRDefault="006478A7" w:rsidP="00BB00AC">
            <w:pPr>
              <w:spacing w:after="0" w:line="240" w:lineRule="auto"/>
              <w:rPr>
                <w:rFonts w:eastAsia="Times New Roman" w:cstheme="minorHAnsi"/>
                <w:color w:val="000000"/>
                <w:sz w:val="16"/>
                <w:szCs w:val="18"/>
                <w:lang w:eastAsia="en-GB"/>
              </w:rPr>
            </w:pPr>
            <w:r w:rsidRPr="008015BF">
              <w:rPr>
                <w:rFonts w:eastAsia="Times New Roman" w:cstheme="minorHAnsi"/>
                <w:color w:val="000000"/>
                <w:sz w:val="16"/>
                <w:szCs w:val="18"/>
                <w:lang w:eastAsia="en-GB"/>
              </w:rPr>
              <w:t>19</w:t>
            </w:r>
          </w:p>
        </w:tc>
        <w:tc>
          <w:tcPr>
            <w:tcW w:w="2835" w:type="dxa"/>
            <w:shd w:val="clear" w:color="auto" w:fill="auto"/>
            <w:noWrap/>
            <w:vAlign w:val="bottom"/>
            <w:hideMark/>
          </w:tcPr>
          <w:p w14:paraId="2B1C2F34" w14:textId="5C42465B" w:rsidR="006478A7" w:rsidRPr="008015BF" w:rsidRDefault="00A33F0F" w:rsidP="00BB00AC">
            <w:pPr>
              <w:spacing w:after="0" w:line="240" w:lineRule="auto"/>
              <w:rPr>
                <w:rFonts w:eastAsia="Times New Roman" w:cstheme="minorHAnsi"/>
                <w:color w:val="000000"/>
                <w:sz w:val="16"/>
                <w:szCs w:val="18"/>
                <w:lang w:eastAsia="en-GB"/>
              </w:rPr>
            </w:pPr>
            <w:r>
              <w:rPr>
                <w:rFonts w:eastAsia="Times New Roman" w:cstheme="minorHAnsi"/>
                <w:color w:val="000000"/>
                <w:sz w:val="16"/>
                <w:szCs w:val="18"/>
                <w:lang w:eastAsia="en-GB"/>
              </w:rPr>
              <w:t>27</w:t>
            </w:r>
          </w:p>
        </w:tc>
      </w:tr>
      <w:tr w:rsidR="006478A7" w:rsidRPr="008015BF" w14:paraId="4FDE3BA5" w14:textId="77777777" w:rsidTr="006478A7">
        <w:tc>
          <w:tcPr>
            <w:tcW w:w="911" w:type="dxa"/>
            <w:shd w:val="clear" w:color="auto" w:fill="auto"/>
            <w:noWrap/>
            <w:vAlign w:val="bottom"/>
            <w:hideMark/>
          </w:tcPr>
          <w:p w14:paraId="39788241" w14:textId="77777777" w:rsidR="006478A7" w:rsidRPr="008015BF" w:rsidRDefault="006478A7" w:rsidP="00BB00AC">
            <w:pPr>
              <w:spacing w:after="0" w:line="240" w:lineRule="auto"/>
              <w:rPr>
                <w:rFonts w:eastAsia="Times New Roman" w:cstheme="minorHAnsi"/>
                <w:color w:val="000000"/>
                <w:sz w:val="16"/>
                <w:szCs w:val="18"/>
                <w:lang w:eastAsia="en-GB"/>
              </w:rPr>
            </w:pPr>
            <w:r w:rsidRPr="008015BF">
              <w:rPr>
                <w:rFonts w:eastAsia="Times New Roman" w:cstheme="minorHAnsi"/>
                <w:color w:val="000000"/>
                <w:sz w:val="16"/>
                <w:szCs w:val="18"/>
                <w:lang w:eastAsia="en-GB"/>
              </w:rPr>
              <w:t>P18</w:t>
            </w:r>
          </w:p>
        </w:tc>
        <w:tc>
          <w:tcPr>
            <w:tcW w:w="2648" w:type="dxa"/>
            <w:shd w:val="clear" w:color="auto" w:fill="auto"/>
            <w:noWrap/>
            <w:vAlign w:val="bottom"/>
            <w:hideMark/>
          </w:tcPr>
          <w:p w14:paraId="5F29D100" w14:textId="54EA2D5C" w:rsidR="006478A7" w:rsidRPr="008015BF" w:rsidRDefault="006E2E4C" w:rsidP="00BB00AC">
            <w:pPr>
              <w:spacing w:after="0" w:line="240" w:lineRule="auto"/>
              <w:rPr>
                <w:rFonts w:eastAsia="Times New Roman" w:cstheme="minorHAnsi"/>
                <w:color w:val="000000"/>
                <w:sz w:val="16"/>
                <w:szCs w:val="18"/>
                <w:lang w:eastAsia="en-GB"/>
              </w:rPr>
            </w:pPr>
            <w:r>
              <w:rPr>
                <w:rFonts w:eastAsia="Times New Roman" w:cstheme="minorHAnsi"/>
                <w:color w:val="000000"/>
                <w:sz w:val="16"/>
                <w:szCs w:val="18"/>
                <w:lang w:eastAsia="en-GB"/>
              </w:rPr>
              <w:t>Postgraduate</w:t>
            </w:r>
          </w:p>
        </w:tc>
        <w:tc>
          <w:tcPr>
            <w:tcW w:w="992" w:type="dxa"/>
            <w:shd w:val="clear" w:color="auto" w:fill="auto"/>
            <w:noWrap/>
            <w:vAlign w:val="bottom"/>
            <w:hideMark/>
          </w:tcPr>
          <w:p w14:paraId="6132299B" w14:textId="77777777" w:rsidR="006478A7" w:rsidRPr="008015BF" w:rsidRDefault="006478A7" w:rsidP="00BB00AC">
            <w:pPr>
              <w:spacing w:after="0" w:line="240" w:lineRule="auto"/>
              <w:rPr>
                <w:rFonts w:eastAsia="Times New Roman" w:cstheme="minorHAnsi"/>
                <w:color w:val="000000"/>
                <w:sz w:val="16"/>
                <w:szCs w:val="18"/>
                <w:lang w:eastAsia="en-GB"/>
              </w:rPr>
            </w:pPr>
            <w:r w:rsidRPr="008015BF">
              <w:rPr>
                <w:rFonts w:eastAsia="Times New Roman" w:cstheme="minorHAnsi"/>
                <w:color w:val="000000"/>
                <w:sz w:val="16"/>
                <w:szCs w:val="18"/>
                <w:lang w:eastAsia="en-GB"/>
              </w:rPr>
              <w:t>Male</w:t>
            </w:r>
          </w:p>
        </w:tc>
        <w:tc>
          <w:tcPr>
            <w:tcW w:w="1134" w:type="dxa"/>
            <w:shd w:val="clear" w:color="auto" w:fill="auto"/>
            <w:noWrap/>
            <w:vAlign w:val="bottom"/>
            <w:hideMark/>
          </w:tcPr>
          <w:p w14:paraId="5C7311A6" w14:textId="668E773F" w:rsidR="006478A7" w:rsidRPr="008015BF" w:rsidRDefault="00E05DA1" w:rsidP="00BB00AC">
            <w:pPr>
              <w:spacing w:after="0" w:line="240" w:lineRule="auto"/>
              <w:rPr>
                <w:rFonts w:eastAsia="Times New Roman" w:cstheme="minorHAnsi"/>
                <w:color w:val="000000"/>
                <w:sz w:val="16"/>
                <w:szCs w:val="18"/>
                <w:lang w:eastAsia="en-GB"/>
              </w:rPr>
            </w:pPr>
            <w:r w:rsidRPr="008015BF">
              <w:rPr>
                <w:rFonts w:eastAsia="Times New Roman" w:cstheme="minorHAnsi"/>
                <w:color w:val="000000"/>
                <w:sz w:val="16"/>
                <w:szCs w:val="18"/>
                <w:lang w:eastAsia="en-GB"/>
              </w:rPr>
              <w:t>2</w:t>
            </w:r>
            <w:r>
              <w:rPr>
                <w:rFonts w:eastAsia="Times New Roman" w:cstheme="minorHAnsi"/>
                <w:color w:val="000000"/>
                <w:sz w:val="16"/>
                <w:szCs w:val="18"/>
                <w:lang w:eastAsia="en-GB"/>
              </w:rPr>
              <w:t>0-29</w:t>
            </w:r>
          </w:p>
        </w:tc>
        <w:tc>
          <w:tcPr>
            <w:tcW w:w="2835" w:type="dxa"/>
            <w:shd w:val="clear" w:color="auto" w:fill="auto"/>
            <w:noWrap/>
            <w:vAlign w:val="bottom"/>
            <w:hideMark/>
          </w:tcPr>
          <w:p w14:paraId="4578EE30" w14:textId="77777777" w:rsidR="006478A7" w:rsidRPr="008015BF" w:rsidRDefault="006478A7" w:rsidP="00BB00AC">
            <w:pPr>
              <w:spacing w:after="0" w:line="240" w:lineRule="auto"/>
              <w:rPr>
                <w:rFonts w:eastAsia="Times New Roman" w:cstheme="minorHAnsi"/>
                <w:color w:val="000000"/>
                <w:sz w:val="16"/>
                <w:szCs w:val="18"/>
                <w:lang w:eastAsia="en-GB"/>
              </w:rPr>
            </w:pPr>
            <w:r w:rsidRPr="008015BF">
              <w:rPr>
                <w:rFonts w:eastAsia="Times New Roman" w:cstheme="minorHAnsi"/>
                <w:color w:val="000000"/>
                <w:sz w:val="16"/>
                <w:szCs w:val="18"/>
                <w:lang w:eastAsia="en-GB"/>
              </w:rPr>
              <w:t>4</w:t>
            </w:r>
          </w:p>
        </w:tc>
        <w:tc>
          <w:tcPr>
            <w:tcW w:w="2835" w:type="dxa"/>
            <w:shd w:val="clear" w:color="auto" w:fill="auto"/>
            <w:noWrap/>
            <w:vAlign w:val="bottom"/>
            <w:hideMark/>
          </w:tcPr>
          <w:p w14:paraId="4B567BF5" w14:textId="7BE174B8" w:rsidR="006478A7" w:rsidRPr="008015BF" w:rsidRDefault="00A33F0F" w:rsidP="00BB00AC">
            <w:pPr>
              <w:spacing w:after="0" w:line="240" w:lineRule="auto"/>
              <w:rPr>
                <w:rFonts w:eastAsia="Times New Roman" w:cstheme="minorHAnsi"/>
                <w:color w:val="000000"/>
                <w:sz w:val="16"/>
                <w:szCs w:val="18"/>
                <w:lang w:eastAsia="en-GB"/>
              </w:rPr>
            </w:pPr>
            <w:r>
              <w:rPr>
                <w:rFonts w:eastAsia="Times New Roman" w:cstheme="minorHAnsi"/>
                <w:color w:val="000000"/>
                <w:sz w:val="16"/>
                <w:szCs w:val="18"/>
                <w:lang w:eastAsia="en-GB"/>
              </w:rPr>
              <w:t>46</w:t>
            </w:r>
          </w:p>
        </w:tc>
      </w:tr>
      <w:tr w:rsidR="006478A7" w:rsidRPr="008015BF" w14:paraId="3477C689" w14:textId="77777777" w:rsidTr="006478A7">
        <w:tc>
          <w:tcPr>
            <w:tcW w:w="911" w:type="dxa"/>
            <w:shd w:val="clear" w:color="auto" w:fill="auto"/>
            <w:noWrap/>
            <w:vAlign w:val="bottom"/>
            <w:hideMark/>
          </w:tcPr>
          <w:p w14:paraId="1BA31A63" w14:textId="77777777" w:rsidR="006478A7" w:rsidRPr="008015BF" w:rsidRDefault="006478A7" w:rsidP="00BB00AC">
            <w:pPr>
              <w:spacing w:after="0" w:line="240" w:lineRule="auto"/>
              <w:rPr>
                <w:rFonts w:eastAsia="Times New Roman" w:cstheme="minorHAnsi"/>
                <w:color w:val="000000"/>
                <w:sz w:val="16"/>
                <w:szCs w:val="18"/>
                <w:lang w:eastAsia="en-GB"/>
              </w:rPr>
            </w:pPr>
            <w:r w:rsidRPr="008015BF">
              <w:rPr>
                <w:rFonts w:eastAsia="Times New Roman" w:cstheme="minorHAnsi"/>
                <w:color w:val="000000"/>
                <w:sz w:val="16"/>
                <w:szCs w:val="18"/>
                <w:lang w:eastAsia="en-GB"/>
              </w:rPr>
              <w:t>P19</w:t>
            </w:r>
          </w:p>
        </w:tc>
        <w:tc>
          <w:tcPr>
            <w:tcW w:w="2648" w:type="dxa"/>
            <w:shd w:val="clear" w:color="auto" w:fill="auto"/>
            <w:noWrap/>
            <w:vAlign w:val="bottom"/>
            <w:hideMark/>
          </w:tcPr>
          <w:p w14:paraId="5B37FB97" w14:textId="77777777" w:rsidR="006478A7" w:rsidRPr="008015BF" w:rsidRDefault="006478A7" w:rsidP="00BB00AC">
            <w:pPr>
              <w:spacing w:after="0" w:line="240" w:lineRule="auto"/>
              <w:rPr>
                <w:rFonts w:eastAsia="Times New Roman" w:cstheme="minorHAnsi"/>
                <w:color w:val="000000"/>
                <w:sz w:val="16"/>
                <w:szCs w:val="18"/>
                <w:lang w:eastAsia="en-GB"/>
              </w:rPr>
            </w:pPr>
            <w:r w:rsidRPr="008015BF">
              <w:rPr>
                <w:rFonts w:eastAsia="Times New Roman" w:cstheme="minorHAnsi"/>
                <w:color w:val="000000"/>
                <w:sz w:val="16"/>
                <w:szCs w:val="18"/>
                <w:lang w:eastAsia="en-GB"/>
              </w:rPr>
              <w:t>No Qualification</w:t>
            </w:r>
          </w:p>
        </w:tc>
        <w:tc>
          <w:tcPr>
            <w:tcW w:w="992" w:type="dxa"/>
            <w:shd w:val="clear" w:color="auto" w:fill="auto"/>
            <w:noWrap/>
            <w:vAlign w:val="bottom"/>
            <w:hideMark/>
          </w:tcPr>
          <w:p w14:paraId="74473960" w14:textId="77777777" w:rsidR="006478A7" w:rsidRPr="008015BF" w:rsidRDefault="006478A7" w:rsidP="00BB00AC">
            <w:pPr>
              <w:spacing w:after="0" w:line="240" w:lineRule="auto"/>
              <w:rPr>
                <w:rFonts w:eastAsia="Times New Roman" w:cstheme="minorHAnsi"/>
                <w:color w:val="000000"/>
                <w:sz w:val="16"/>
                <w:szCs w:val="18"/>
                <w:lang w:eastAsia="en-GB"/>
              </w:rPr>
            </w:pPr>
            <w:r w:rsidRPr="008015BF">
              <w:rPr>
                <w:rFonts w:eastAsia="Times New Roman" w:cstheme="minorHAnsi"/>
                <w:color w:val="000000"/>
                <w:sz w:val="16"/>
                <w:szCs w:val="18"/>
                <w:lang w:eastAsia="en-GB"/>
              </w:rPr>
              <w:t>Male</w:t>
            </w:r>
          </w:p>
        </w:tc>
        <w:tc>
          <w:tcPr>
            <w:tcW w:w="1134" w:type="dxa"/>
            <w:shd w:val="clear" w:color="auto" w:fill="auto"/>
            <w:noWrap/>
            <w:vAlign w:val="bottom"/>
            <w:hideMark/>
          </w:tcPr>
          <w:p w14:paraId="6B710D36" w14:textId="7AF02D85" w:rsidR="006478A7" w:rsidRPr="008015BF" w:rsidRDefault="00E05DA1" w:rsidP="00BB00AC">
            <w:pPr>
              <w:spacing w:after="0" w:line="240" w:lineRule="auto"/>
              <w:rPr>
                <w:rFonts w:eastAsia="Times New Roman" w:cstheme="minorHAnsi"/>
                <w:color w:val="000000"/>
                <w:sz w:val="16"/>
                <w:szCs w:val="18"/>
                <w:lang w:eastAsia="en-GB"/>
              </w:rPr>
            </w:pPr>
            <w:r w:rsidRPr="008015BF">
              <w:rPr>
                <w:rFonts w:eastAsia="Times New Roman" w:cstheme="minorHAnsi"/>
                <w:color w:val="000000"/>
                <w:sz w:val="16"/>
                <w:szCs w:val="18"/>
                <w:lang w:eastAsia="en-GB"/>
              </w:rPr>
              <w:t>6</w:t>
            </w:r>
            <w:r>
              <w:rPr>
                <w:rFonts w:eastAsia="Times New Roman" w:cstheme="minorHAnsi"/>
                <w:color w:val="000000"/>
                <w:sz w:val="16"/>
                <w:szCs w:val="18"/>
                <w:lang w:eastAsia="en-GB"/>
              </w:rPr>
              <w:t>0-69</w:t>
            </w:r>
          </w:p>
        </w:tc>
        <w:tc>
          <w:tcPr>
            <w:tcW w:w="2835" w:type="dxa"/>
            <w:shd w:val="clear" w:color="auto" w:fill="auto"/>
            <w:noWrap/>
            <w:vAlign w:val="bottom"/>
            <w:hideMark/>
          </w:tcPr>
          <w:p w14:paraId="6B14BBB0" w14:textId="77777777" w:rsidR="006478A7" w:rsidRPr="008015BF" w:rsidRDefault="006478A7" w:rsidP="00BB00AC">
            <w:pPr>
              <w:spacing w:after="0" w:line="240" w:lineRule="auto"/>
              <w:rPr>
                <w:rFonts w:eastAsia="Times New Roman" w:cstheme="minorHAnsi"/>
                <w:color w:val="000000"/>
                <w:sz w:val="16"/>
                <w:szCs w:val="18"/>
                <w:lang w:eastAsia="en-GB"/>
              </w:rPr>
            </w:pPr>
            <w:r w:rsidRPr="008015BF">
              <w:rPr>
                <w:rFonts w:eastAsia="Times New Roman" w:cstheme="minorHAnsi"/>
                <w:color w:val="000000"/>
                <w:sz w:val="16"/>
                <w:szCs w:val="18"/>
                <w:lang w:eastAsia="en-GB"/>
              </w:rPr>
              <w:t>2</w:t>
            </w:r>
          </w:p>
        </w:tc>
        <w:tc>
          <w:tcPr>
            <w:tcW w:w="2835" w:type="dxa"/>
            <w:shd w:val="clear" w:color="auto" w:fill="auto"/>
            <w:noWrap/>
            <w:vAlign w:val="bottom"/>
            <w:hideMark/>
          </w:tcPr>
          <w:p w14:paraId="15713E82" w14:textId="1347C270" w:rsidR="006478A7" w:rsidRPr="008015BF" w:rsidRDefault="00A33F0F" w:rsidP="00BB00AC">
            <w:pPr>
              <w:spacing w:after="0" w:line="240" w:lineRule="auto"/>
              <w:rPr>
                <w:rFonts w:eastAsia="Times New Roman" w:cstheme="minorHAnsi"/>
                <w:color w:val="000000"/>
                <w:sz w:val="16"/>
                <w:szCs w:val="18"/>
                <w:lang w:eastAsia="en-GB"/>
              </w:rPr>
            </w:pPr>
            <w:r>
              <w:rPr>
                <w:rFonts w:eastAsia="Times New Roman" w:cstheme="minorHAnsi"/>
                <w:color w:val="000000"/>
                <w:sz w:val="16"/>
                <w:szCs w:val="18"/>
                <w:lang w:eastAsia="en-GB"/>
              </w:rPr>
              <w:t>16</w:t>
            </w:r>
          </w:p>
        </w:tc>
      </w:tr>
      <w:tr w:rsidR="006478A7" w:rsidRPr="008015BF" w14:paraId="7B23306A" w14:textId="77777777" w:rsidTr="006478A7">
        <w:tc>
          <w:tcPr>
            <w:tcW w:w="911" w:type="dxa"/>
            <w:shd w:val="clear" w:color="auto" w:fill="auto"/>
            <w:noWrap/>
            <w:vAlign w:val="bottom"/>
            <w:hideMark/>
          </w:tcPr>
          <w:p w14:paraId="72085048" w14:textId="77777777" w:rsidR="006478A7" w:rsidRPr="008015BF" w:rsidRDefault="006478A7" w:rsidP="00BB00AC">
            <w:pPr>
              <w:spacing w:after="0" w:line="240" w:lineRule="auto"/>
              <w:rPr>
                <w:rFonts w:eastAsia="Times New Roman" w:cstheme="minorHAnsi"/>
                <w:color w:val="000000"/>
                <w:sz w:val="16"/>
                <w:szCs w:val="18"/>
                <w:lang w:eastAsia="en-GB"/>
              </w:rPr>
            </w:pPr>
            <w:r w:rsidRPr="008015BF">
              <w:rPr>
                <w:rFonts w:eastAsia="Times New Roman" w:cstheme="minorHAnsi"/>
                <w:color w:val="000000"/>
                <w:sz w:val="16"/>
                <w:szCs w:val="18"/>
                <w:lang w:eastAsia="en-GB"/>
              </w:rPr>
              <w:t>P20</w:t>
            </w:r>
          </w:p>
        </w:tc>
        <w:tc>
          <w:tcPr>
            <w:tcW w:w="2648" w:type="dxa"/>
            <w:shd w:val="clear" w:color="auto" w:fill="auto"/>
            <w:noWrap/>
            <w:vAlign w:val="bottom"/>
            <w:hideMark/>
          </w:tcPr>
          <w:p w14:paraId="43FCC42E" w14:textId="6967E13C" w:rsidR="006478A7" w:rsidRPr="008015BF" w:rsidRDefault="006E2E4C" w:rsidP="00BB00AC">
            <w:pPr>
              <w:spacing w:after="0" w:line="240" w:lineRule="auto"/>
              <w:rPr>
                <w:rFonts w:eastAsia="Times New Roman" w:cstheme="minorHAnsi"/>
                <w:color w:val="000000"/>
                <w:sz w:val="16"/>
                <w:szCs w:val="18"/>
                <w:lang w:eastAsia="en-GB"/>
              </w:rPr>
            </w:pPr>
            <w:r>
              <w:rPr>
                <w:rFonts w:eastAsia="Times New Roman" w:cstheme="minorHAnsi"/>
                <w:color w:val="000000"/>
                <w:sz w:val="16"/>
                <w:szCs w:val="18"/>
                <w:lang w:eastAsia="en-GB"/>
              </w:rPr>
              <w:t>Se</w:t>
            </w:r>
            <w:r w:rsidRPr="00F82E59">
              <w:rPr>
                <w:rFonts w:eastAsia="Times New Roman" w:cstheme="minorHAnsi"/>
                <w:color w:val="000000"/>
                <w:sz w:val="16"/>
                <w:szCs w:val="18"/>
                <w:lang w:eastAsia="en-GB"/>
              </w:rPr>
              <w:t>condary school</w:t>
            </w:r>
          </w:p>
        </w:tc>
        <w:tc>
          <w:tcPr>
            <w:tcW w:w="992" w:type="dxa"/>
            <w:shd w:val="clear" w:color="auto" w:fill="auto"/>
            <w:noWrap/>
            <w:vAlign w:val="bottom"/>
            <w:hideMark/>
          </w:tcPr>
          <w:p w14:paraId="19CE5B58" w14:textId="77777777" w:rsidR="006478A7" w:rsidRPr="008015BF" w:rsidRDefault="006478A7" w:rsidP="00BB00AC">
            <w:pPr>
              <w:spacing w:after="0" w:line="240" w:lineRule="auto"/>
              <w:rPr>
                <w:rFonts w:eastAsia="Times New Roman" w:cstheme="minorHAnsi"/>
                <w:color w:val="000000"/>
                <w:sz w:val="16"/>
                <w:szCs w:val="18"/>
                <w:lang w:eastAsia="en-GB"/>
              </w:rPr>
            </w:pPr>
            <w:r w:rsidRPr="008015BF">
              <w:rPr>
                <w:rFonts w:eastAsia="Times New Roman" w:cstheme="minorHAnsi"/>
                <w:color w:val="000000"/>
                <w:sz w:val="16"/>
                <w:szCs w:val="18"/>
                <w:lang w:eastAsia="en-GB"/>
              </w:rPr>
              <w:t>Female</w:t>
            </w:r>
          </w:p>
        </w:tc>
        <w:tc>
          <w:tcPr>
            <w:tcW w:w="1134" w:type="dxa"/>
            <w:shd w:val="clear" w:color="auto" w:fill="auto"/>
            <w:noWrap/>
            <w:vAlign w:val="bottom"/>
            <w:hideMark/>
          </w:tcPr>
          <w:p w14:paraId="1C930D45" w14:textId="31B86EBC" w:rsidR="006478A7" w:rsidRPr="008015BF" w:rsidRDefault="00E05DA1" w:rsidP="00BB00AC">
            <w:pPr>
              <w:spacing w:after="0" w:line="240" w:lineRule="auto"/>
              <w:rPr>
                <w:rFonts w:eastAsia="Times New Roman" w:cstheme="minorHAnsi"/>
                <w:color w:val="000000"/>
                <w:sz w:val="16"/>
                <w:szCs w:val="18"/>
                <w:lang w:eastAsia="en-GB"/>
              </w:rPr>
            </w:pPr>
            <w:r>
              <w:rPr>
                <w:rFonts w:eastAsia="Times New Roman" w:cstheme="minorHAnsi"/>
                <w:color w:val="000000"/>
                <w:sz w:val="16"/>
                <w:szCs w:val="18"/>
                <w:lang w:eastAsia="en-GB"/>
              </w:rPr>
              <w:t>30-</w:t>
            </w:r>
            <w:r w:rsidRPr="008015BF">
              <w:rPr>
                <w:rFonts w:eastAsia="Times New Roman" w:cstheme="minorHAnsi"/>
                <w:color w:val="000000"/>
                <w:sz w:val="16"/>
                <w:szCs w:val="18"/>
                <w:lang w:eastAsia="en-GB"/>
              </w:rPr>
              <w:t>39</w:t>
            </w:r>
          </w:p>
        </w:tc>
        <w:tc>
          <w:tcPr>
            <w:tcW w:w="2835" w:type="dxa"/>
            <w:shd w:val="clear" w:color="auto" w:fill="auto"/>
            <w:noWrap/>
            <w:vAlign w:val="bottom"/>
            <w:hideMark/>
          </w:tcPr>
          <w:p w14:paraId="5070E2C9" w14:textId="77777777" w:rsidR="006478A7" w:rsidRPr="008015BF" w:rsidRDefault="006478A7" w:rsidP="00BB00AC">
            <w:pPr>
              <w:spacing w:after="0" w:line="240" w:lineRule="auto"/>
              <w:rPr>
                <w:rFonts w:eastAsia="Times New Roman" w:cstheme="minorHAnsi"/>
                <w:color w:val="000000"/>
                <w:sz w:val="16"/>
                <w:szCs w:val="18"/>
                <w:lang w:eastAsia="en-GB"/>
              </w:rPr>
            </w:pPr>
            <w:r w:rsidRPr="008015BF">
              <w:rPr>
                <w:rFonts w:eastAsia="Times New Roman" w:cstheme="minorHAnsi"/>
                <w:color w:val="000000"/>
                <w:sz w:val="16"/>
                <w:szCs w:val="18"/>
                <w:lang w:eastAsia="en-GB"/>
              </w:rPr>
              <w:t>17</w:t>
            </w:r>
          </w:p>
        </w:tc>
        <w:tc>
          <w:tcPr>
            <w:tcW w:w="2835" w:type="dxa"/>
            <w:shd w:val="clear" w:color="auto" w:fill="auto"/>
            <w:noWrap/>
            <w:vAlign w:val="bottom"/>
            <w:hideMark/>
          </w:tcPr>
          <w:p w14:paraId="15B9273E" w14:textId="42FB0573" w:rsidR="006478A7" w:rsidRPr="008015BF" w:rsidRDefault="00A33F0F" w:rsidP="00BB00AC">
            <w:pPr>
              <w:spacing w:after="0" w:line="240" w:lineRule="auto"/>
              <w:rPr>
                <w:rFonts w:eastAsia="Times New Roman" w:cstheme="minorHAnsi"/>
                <w:color w:val="000000"/>
                <w:sz w:val="16"/>
                <w:szCs w:val="18"/>
                <w:lang w:eastAsia="en-GB"/>
              </w:rPr>
            </w:pPr>
            <w:r>
              <w:rPr>
                <w:rFonts w:eastAsia="Times New Roman" w:cstheme="minorHAnsi"/>
                <w:color w:val="000000"/>
                <w:sz w:val="16"/>
                <w:szCs w:val="18"/>
                <w:lang w:eastAsia="en-GB"/>
              </w:rPr>
              <w:t>4</w:t>
            </w:r>
          </w:p>
        </w:tc>
      </w:tr>
      <w:tr w:rsidR="006478A7" w:rsidRPr="008015BF" w14:paraId="31C12B91" w14:textId="77777777" w:rsidTr="006478A7">
        <w:tc>
          <w:tcPr>
            <w:tcW w:w="911" w:type="dxa"/>
            <w:shd w:val="clear" w:color="auto" w:fill="auto"/>
            <w:noWrap/>
            <w:vAlign w:val="bottom"/>
            <w:hideMark/>
          </w:tcPr>
          <w:p w14:paraId="100549DF" w14:textId="77777777" w:rsidR="006478A7" w:rsidRPr="008015BF" w:rsidRDefault="006478A7" w:rsidP="00BB00AC">
            <w:pPr>
              <w:spacing w:after="0" w:line="240" w:lineRule="auto"/>
              <w:rPr>
                <w:rFonts w:eastAsia="Times New Roman" w:cstheme="minorHAnsi"/>
                <w:color w:val="000000"/>
                <w:sz w:val="16"/>
                <w:szCs w:val="18"/>
                <w:lang w:eastAsia="en-GB"/>
              </w:rPr>
            </w:pPr>
            <w:r w:rsidRPr="008015BF">
              <w:rPr>
                <w:rFonts w:eastAsia="Times New Roman" w:cstheme="minorHAnsi"/>
                <w:color w:val="000000"/>
                <w:sz w:val="16"/>
                <w:szCs w:val="18"/>
                <w:lang w:eastAsia="en-GB"/>
              </w:rPr>
              <w:t>P21</w:t>
            </w:r>
          </w:p>
        </w:tc>
        <w:tc>
          <w:tcPr>
            <w:tcW w:w="2648" w:type="dxa"/>
            <w:shd w:val="clear" w:color="auto" w:fill="auto"/>
            <w:noWrap/>
            <w:vAlign w:val="bottom"/>
            <w:hideMark/>
          </w:tcPr>
          <w:p w14:paraId="35EFB120" w14:textId="3630B291" w:rsidR="006478A7" w:rsidRPr="008015BF" w:rsidRDefault="006E2E4C" w:rsidP="00BB00AC">
            <w:pPr>
              <w:spacing w:after="0" w:line="240" w:lineRule="auto"/>
              <w:rPr>
                <w:rFonts w:eastAsia="Times New Roman" w:cstheme="minorHAnsi"/>
                <w:color w:val="000000"/>
                <w:sz w:val="16"/>
                <w:szCs w:val="18"/>
                <w:lang w:eastAsia="en-GB"/>
              </w:rPr>
            </w:pPr>
            <w:r>
              <w:rPr>
                <w:rFonts w:eastAsia="Times New Roman" w:cstheme="minorHAnsi"/>
                <w:color w:val="000000"/>
                <w:sz w:val="16"/>
                <w:szCs w:val="18"/>
                <w:lang w:eastAsia="en-GB"/>
              </w:rPr>
              <w:t>Se</w:t>
            </w:r>
            <w:r w:rsidRPr="00F82E59">
              <w:rPr>
                <w:rFonts w:eastAsia="Times New Roman" w:cstheme="minorHAnsi"/>
                <w:color w:val="000000"/>
                <w:sz w:val="16"/>
                <w:szCs w:val="18"/>
                <w:lang w:eastAsia="en-GB"/>
              </w:rPr>
              <w:t>condary school</w:t>
            </w:r>
          </w:p>
        </w:tc>
        <w:tc>
          <w:tcPr>
            <w:tcW w:w="992" w:type="dxa"/>
            <w:shd w:val="clear" w:color="auto" w:fill="auto"/>
            <w:noWrap/>
            <w:vAlign w:val="bottom"/>
            <w:hideMark/>
          </w:tcPr>
          <w:p w14:paraId="6C017B1E" w14:textId="77777777" w:rsidR="006478A7" w:rsidRPr="008015BF" w:rsidRDefault="006478A7" w:rsidP="00BB00AC">
            <w:pPr>
              <w:spacing w:after="0" w:line="240" w:lineRule="auto"/>
              <w:rPr>
                <w:rFonts w:eastAsia="Times New Roman" w:cstheme="minorHAnsi"/>
                <w:color w:val="000000"/>
                <w:sz w:val="16"/>
                <w:szCs w:val="18"/>
                <w:lang w:eastAsia="en-GB"/>
              </w:rPr>
            </w:pPr>
            <w:r w:rsidRPr="008015BF">
              <w:rPr>
                <w:rFonts w:eastAsia="Times New Roman" w:cstheme="minorHAnsi"/>
                <w:color w:val="000000"/>
                <w:sz w:val="16"/>
                <w:szCs w:val="18"/>
                <w:lang w:eastAsia="en-GB"/>
              </w:rPr>
              <w:t>Female</w:t>
            </w:r>
          </w:p>
        </w:tc>
        <w:tc>
          <w:tcPr>
            <w:tcW w:w="1134" w:type="dxa"/>
            <w:shd w:val="clear" w:color="auto" w:fill="auto"/>
            <w:noWrap/>
            <w:vAlign w:val="bottom"/>
            <w:hideMark/>
          </w:tcPr>
          <w:p w14:paraId="0FDD19F3" w14:textId="4CE0A2E5" w:rsidR="006478A7" w:rsidRPr="008015BF" w:rsidRDefault="00E05DA1" w:rsidP="00BB00AC">
            <w:pPr>
              <w:spacing w:after="0" w:line="240" w:lineRule="auto"/>
              <w:rPr>
                <w:rFonts w:eastAsia="Times New Roman" w:cstheme="minorHAnsi"/>
                <w:color w:val="000000"/>
                <w:sz w:val="16"/>
                <w:szCs w:val="18"/>
                <w:lang w:eastAsia="en-GB"/>
              </w:rPr>
            </w:pPr>
            <w:r w:rsidRPr="008015BF">
              <w:rPr>
                <w:rFonts w:eastAsia="Times New Roman" w:cstheme="minorHAnsi"/>
                <w:color w:val="000000"/>
                <w:sz w:val="16"/>
                <w:szCs w:val="18"/>
                <w:lang w:eastAsia="en-GB"/>
              </w:rPr>
              <w:t>2</w:t>
            </w:r>
            <w:r>
              <w:rPr>
                <w:rFonts w:eastAsia="Times New Roman" w:cstheme="minorHAnsi"/>
                <w:color w:val="000000"/>
                <w:sz w:val="16"/>
                <w:szCs w:val="18"/>
                <w:lang w:eastAsia="en-GB"/>
              </w:rPr>
              <w:t>0-29</w:t>
            </w:r>
          </w:p>
        </w:tc>
        <w:tc>
          <w:tcPr>
            <w:tcW w:w="2835" w:type="dxa"/>
            <w:shd w:val="clear" w:color="auto" w:fill="auto"/>
            <w:noWrap/>
            <w:vAlign w:val="bottom"/>
            <w:hideMark/>
          </w:tcPr>
          <w:p w14:paraId="30392FE8" w14:textId="77777777" w:rsidR="006478A7" w:rsidRPr="008015BF" w:rsidRDefault="006478A7" w:rsidP="00BB00AC">
            <w:pPr>
              <w:spacing w:after="0" w:line="240" w:lineRule="auto"/>
              <w:rPr>
                <w:rFonts w:eastAsia="Times New Roman" w:cstheme="minorHAnsi"/>
                <w:color w:val="000000"/>
                <w:sz w:val="16"/>
                <w:szCs w:val="18"/>
                <w:lang w:eastAsia="en-GB"/>
              </w:rPr>
            </w:pPr>
            <w:r w:rsidRPr="008015BF">
              <w:rPr>
                <w:rFonts w:eastAsia="Times New Roman" w:cstheme="minorHAnsi"/>
                <w:color w:val="000000"/>
                <w:sz w:val="16"/>
                <w:szCs w:val="18"/>
                <w:lang w:eastAsia="en-GB"/>
              </w:rPr>
              <w:t>1</w:t>
            </w:r>
          </w:p>
        </w:tc>
        <w:tc>
          <w:tcPr>
            <w:tcW w:w="2835" w:type="dxa"/>
            <w:shd w:val="clear" w:color="auto" w:fill="auto"/>
            <w:noWrap/>
            <w:vAlign w:val="bottom"/>
            <w:hideMark/>
          </w:tcPr>
          <w:p w14:paraId="1CEFACB4" w14:textId="330CE08C" w:rsidR="006478A7" w:rsidRPr="008015BF" w:rsidRDefault="00A33F0F" w:rsidP="00BB00AC">
            <w:pPr>
              <w:spacing w:after="0" w:line="240" w:lineRule="auto"/>
              <w:rPr>
                <w:rFonts w:eastAsia="Times New Roman" w:cstheme="minorHAnsi"/>
                <w:color w:val="000000"/>
                <w:sz w:val="16"/>
                <w:szCs w:val="18"/>
                <w:lang w:eastAsia="en-GB"/>
              </w:rPr>
            </w:pPr>
            <w:r>
              <w:rPr>
                <w:rFonts w:eastAsia="Times New Roman" w:cstheme="minorHAnsi"/>
                <w:color w:val="000000"/>
                <w:sz w:val="16"/>
                <w:szCs w:val="18"/>
                <w:lang w:eastAsia="en-GB"/>
              </w:rPr>
              <w:t>11</w:t>
            </w:r>
          </w:p>
        </w:tc>
      </w:tr>
      <w:tr w:rsidR="006478A7" w:rsidRPr="008015BF" w14:paraId="373F18C4" w14:textId="77777777" w:rsidTr="006478A7">
        <w:tc>
          <w:tcPr>
            <w:tcW w:w="911" w:type="dxa"/>
            <w:shd w:val="clear" w:color="auto" w:fill="auto"/>
            <w:noWrap/>
            <w:vAlign w:val="bottom"/>
            <w:hideMark/>
          </w:tcPr>
          <w:p w14:paraId="5AB119AA" w14:textId="77777777" w:rsidR="006478A7" w:rsidRPr="008015BF" w:rsidRDefault="006478A7" w:rsidP="00BB00AC">
            <w:pPr>
              <w:spacing w:after="0" w:line="240" w:lineRule="auto"/>
              <w:rPr>
                <w:rFonts w:eastAsia="Times New Roman" w:cstheme="minorHAnsi"/>
                <w:color w:val="000000"/>
                <w:sz w:val="16"/>
                <w:szCs w:val="18"/>
                <w:lang w:eastAsia="en-GB"/>
              </w:rPr>
            </w:pPr>
            <w:r w:rsidRPr="008015BF">
              <w:rPr>
                <w:rFonts w:eastAsia="Times New Roman" w:cstheme="minorHAnsi"/>
                <w:color w:val="000000"/>
                <w:sz w:val="16"/>
                <w:szCs w:val="18"/>
                <w:lang w:eastAsia="en-GB"/>
              </w:rPr>
              <w:t>P22</w:t>
            </w:r>
          </w:p>
        </w:tc>
        <w:tc>
          <w:tcPr>
            <w:tcW w:w="2648" w:type="dxa"/>
            <w:shd w:val="clear" w:color="auto" w:fill="auto"/>
            <w:noWrap/>
            <w:vAlign w:val="bottom"/>
            <w:hideMark/>
          </w:tcPr>
          <w:p w14:paraId="57326D3E" w14:textId="65066E5E" w:rsidR="006478A7" w:rsidRPr="008015BF" w:rsidRDefault="006E2E4C" w:rsidP="00BB00AC">
            <w:pPr>
              <w:spacing w:after="0" w:line="240" w:lineRule="auto"/>
              <w:rPr>
                <w:rFonts w:eastAsia="Times New Roman" w:cstheme="minorHAnsi"/>
                <w:color w:val="000000"/>
                <w:sz w:val="16"/>
                <w:szCs w:val="18"/>
                <w:lang w:eastAsia="en-GB"/>
              </w:rPr>
            </w:pPr>
            <w:r>
              <w:rPr>
                <w:rFonts w:eastAsia="Times New Roman" w:cstheme="minorHAnsi"/>
                <w:color w:val="000000"/>
                <w:sz w:val="16"/>
                <w:szCs w:val="18"/>
                <w:lang w:eastAsia="en-GB"/>
              </w:rPr>
              <w:t>C</w:t>
            </w:r>
            <w:r w:rsidRPr="006E2E4C">
              <w:rPr>
                <w:rFonts w:eastAsia="Times New Roman" w:cstheme="minorHAnsi"/>
                <w:color w:val="000000"/>
                <w:sz w:val="16"/>
                <w:szCs w:val="18"/>
                <w:lang w:eastAsia="en-GB"/>
              </w:rPr>
              <w:t>ollege/ university</w:t>
            </w:r>
          </w:p>
        </w:tc>
        <w:tc>
          <w:tcPr>
            <w:tcW w:w="992" w:type="dxa"/>
            <w:shd w:val="clear" w:color="auto" w:fill="auto"/>
            <w:noWrap/>
            <w:vAlign w:val="bottom"/>
            <w:hideMark/>
          </w:tcPr>
          <w:p w14:paraId="3FD64739" w14:textId="77777777" w:rsidR="006478A7" w:rsidRPr="008015BF" w:rsidRDefault="006478A7" w:rsidP="00BB00AC">
            <w:pPr>
              <w:spacing w:after="0" w:line="240" w:lineRule="auto"/>
              <w:rPr>
                <w:rFonts w:eastAsia="Times New Roman" w:cstheme="minorHAnsi"/>
                <w:color w:val="000000"/>
                <w:sz w:val="16"/>
                <w:szCs w:val="18"/>
                <w:lang w:eastAsia="en-GB"/>
              </w:rPr>
            </w:pPr>
            <w:r w:rsidRPr="008015BF">
              <w:rPr>
                <w:rFonts w:eastAsia="Times New Roman" w:cstheme="minorHAnsi"/>
                <w:color w:val="000000"/>
                <w:sz w:val="16"/>
                <w:szCs w:val="18"/>
                <w:lang w:eastAsia="en-GB"/>
              </w:rPr>
              <w:t>Female</w:t>
            </w:r>
          </w:p>
        </w:tc>
        <w:tc>
          <w:tcPr>
            <w:tcW w:w="1134" w:type="dxa"/>
            <w:shd w:val="clear" w:color="auto" w:fill="auto"/>
            <w:noWrap/>
            <w:vAlign w:val="bottom"/>
            <w:hideMark/>
          </w:tcPr>
          <w:p w14:paraId="1A773B2A" w14:textId="484F2DF1" w:rsidR="006478A7" w:rsidRPr="008015BF" w:rsidRDefault="00E05DA1" w:rsidP="00BB00AC">
            <w:pPr>
              <w:spacing w:after="0" w:line="240" w:lineRule="auto"/>
              <w:rPr>
                <w:rFonts w:eastAsia="Times New Roman" w:cstheme="minorHAnsi"/>
                <w:color w:val="000000"/>
                <w:sz w:val="16"/>
                <w:szCs w:val="18"/>
                <w:lang w:eastAsia="en-GB"/>
              </w:rPr>
            </w:pPr>
            <w:r w:rsidRPr="008015BF">
              <w:rPr>
                <w:rFonts w:eastAsia="Times New Roman" w:cstheme="minorHAnsi"/>
                <w:color w:val="000000"/>
                <w:sz w:val="16"/>
                <w:szCs w:val="18"/>
                <w:lang w:eastAsia="en-GB"/>
              </w:rPr>
              <w:t>2</w:t>
            </w:r>
            <w:r>
              <w:rPr>
                <w:rFonts w:eastAsia="Times New Roman" w:cstheme="minorHAnsi"/>
                <w:color w:val="000000"/>
                <w:sz w:val="16"/>
                <w:szCs w:val="18"/>
                <w:lang w:eastAsia="en-GB"/>
              </w:rPr>
              <w:t>0-29</w:t>
            </w:r>
          </w:p>
        </w:tc>
        <w:tc>
          <w:tcPr>
            <w:tcW w:w="2835" w:type="dxa"/>
            <w:shd w:val="clear" w:color="auto" w:fill="auto"/>
            <w:noWrap/>
            <w:vAlign w:val="bottom"/>
            <w:hideMark/>
          </w:tcPr>
          <w:p w14:paraId="6B256B7C" w14:textId="77777777" w:rsidR="006478A7" w:rsidRPr="008015BF" w:rsidRDefault="006478A7" w:rsidP="00BB00AC">
            <w:pPr>
              <w:spacing w:after="0" w:line="240" w:lineRule="auto"/>
              <w:rPr>
                <w:rFonts w:eastAsia="Times New Roman" w:cstheme="minorHAnsi"/>
                <w:color w:val="000000"/>
                <w:sz w:val="16"/>
                <w:szCs w:val="18"/>
                <w:lang w:eastAsia="en-GB"/>
              </w:rPr>
            </w:pPr>
            <w:r w:rsidRPr="008015BF">
              <w:rPr>
                <w:rFonts w:eastAsia="Times New Roman" w:cstheme="minorHAnsi"/>
                <w:color w:val="000000"/>
                <w:sz w:val="16"/>
                <w:szCs w:val="18"/>
                <w:lang w:eastAsia="en-GB"/>
              </w:rPr>
              <w:t>10</w:t>
            </w:r>
          </w:p>
        </w:tc>
        <w:tc>
          <w:tcPr>
            <w:tcW w:w="2835" w:type="dxa"/>
            <w:shd w:val="clear" w:color="auto" w:fill="auto"/>
            <w:noWrap/>
            <w:vAlign w:val="bottom"/>
            <w:hideMark/>
          </w:tcPr>
          <w:p w14:paraId="15995ADA" w14:textId="32D2C3C9" w:rsidR="006478A7" w:rsidRPr="008015BF" w:rsidRDefault="001D560B" w:rsidP="00BB00AC">
            <w:pPr>
              <w:spacing w:after="0" w:line="240" w:lineRule="auto"/>
              <w:rPr>
                <w:rFonts w:eastAsia="Times New Roman" w:cstheme="minorHAnsi"/>
                <w:color w:val="000000"/>
                <w:sz w:val="16"/>
                <w:szCs w:val="18"/>
                <w:lang w:eastAsia="en-GB"/>
              </w:rPr>
            </w:pPr>
            <w:r>
              <w:rPr>
                <w:rFonts w:eastAsia="Times New Roman" w:cstheme="minorHAnsi"/>
                <w:color w:val="000000"/>
                <w:sz w:val="16"/>
                <w:szCs w:val="18"/>
                <w:lang w:eastAsia="en-GB"/>
              </w:rPr>
              <w:t>107</w:t>
            </w:r>
          </w:p>
        </w:tc>
      </w:tr>
      <w:tr w:rsidR="006478A7" w:rsidRPr="008015BF" w14:paraId="49C252C3" w14:textId="77777777" w:rsidTr="006478A7">
        <w:tc>
          <w:tcPr>
            <w:tcW w:w="911" w:type="dxa"/>
            <w:shd w:val="clear" w:color="auto" w:fill="auto"/>
            <w:noWrap/>
            <w:vAlign w:val="bottom"/>
            <w:hideMark/>
          </w:tcPr>
          <w:p w14:paraId="0AA5DA31" w14:textId="77777777" w:rsidR="006478A7" w:rsidRPr="008015BF" w:rsidRDefault="006478A7" w:rsidP="00BB00AC">
            <w:pPr>
              <w:spacing w:after="0" w:line="240" w:lineRule="auto"/>
              <w:rPr>
                <w:rFonts w:eastAsia="Times New Roman" w:cstheme="minorHAnsi"/>
                <w:color w:val="000000"/>
                <w:sz w:val="16"/>
                <w:szCs w:val="18"/>
                <w:lang w:eastAsia="en-GB"/>
              </w:rPr>
            </w:pPr>
            <w:r w:rsidRPr="008015BF">
              <w:rPr>
                <w:rFonts w:eastAsia="Times New Roman" w:cstheme="minorHAnsi"/>
                <w:color w:val="000000"/>
                <w:sz w:val="16"/>
                <w:szCs w:val="18"/>
                <w:lang w:eastAsia="en-GB"/>
              </w:rPr>
              <w:t>P23</w:t>
            </w:r>
          </w:p>
        </w:tc>
        <w:tc>
          <w:tcPr>
            <w:tcW w:w="2648" w:type="dxa"/>
            <w:shd w:val="clear" w:color="auto" w:fill="auto"/>
            <w:noWrap/>
            <w:vAlign w:val="bottom"/>
            <w:hideMark/>
          </w:tcPr>
          <w:p w14:paraId="17B04C1D" w14:textId="59FD8C66" w:rsidR="006478A7" w:rsidRPr="008015BF" w:rsidRDefault="006E2E4C" w:rsidP="00BB00AC">
            <w:pPr>
              <w:spacing w:after="0" w:line="240" w:lineRule="auto"/>
              <w:rPr>
                <w:rFonts w:eastAsia="Times New Roman" w:cstheme="minorHAnsi"/>
                <w:color w:val="000000"/>
                <w:sz w:val="16"/>
                <w:szCs w:val="18"/>
                <w:lang w:eastAsia="en-GB"/>
              </w:rPr>
            </w:pPr>
            <w:r>
              <w:rPr>
                <w:rFonts w:eastAsia="Times New Roman" w:cstheme="minorHAnsi"/>
                <w:color w:val="000000"/>
                <w:sz w:val="16"/>
                <w:szCs w:val="18"/>
                <w:lang w:eastAsia="en-GB"/>
              </w:rPr>
              <w:t>Se</w:t>
            </w:r>
            <w:r w:rsidRPr="00F82E59">
              <w:rPr>
                <w:rFonts w:eastAsia="Times New Roman" w:cstheme="minorHAnsi"/>
                <w:color w:val="000000"/>
                <w:sz w:val="16"/>
                <w:szCs w:val="18"/>
                <w:lang w:eastAsia="en-GB"/>
              </w:rPr>
              <w:t>condary school</w:t>
            </w:r>
          </w:p>
        </w:tc>
        <w:tc>
          <w:tcPr>
            <w:tcW w:w="992" w:type="dxa"/>
            <w:shd w:val="clear" w:color="auto" w:fill="auto"/>
            <w:noWrap/>
            <w:vAlign w:val="bottom"/>
            <w:hideMark/>
          </w:tcPr>
          <w:p w14:paraId="71E0FAF8" w14:textId="77777777" w:rsidR="006478A7" w:rsidRPr="008015BF" w:rsidRDefault="006478A7" w:rsidP="00BB00AC">
            <w:pPr>
              <w:spacing w:after="0" w:line="240" w:lineRule="auto"/>
              <w:rPr>
                <w:rFonts w:eastAsia="Times New Roman" w:cstheme="minorHAnsi"/>
                <w:color w:val="000000"/>
                <w:sz w:val="16"/>
                <w:szCs w:val="18"/>
                <w:lang w:eastAsia="en-GB"/>
              </w:rPr>
            </w:pPr>
            <w:r w:rsidRPr="008015BF">
              <w:rPr>
                <w:rFonts w:eastAsia="Times New Roman" w:cstheme="minorHAnsi"/>
                <w:color w:val="000000"/>
                <w:sz w:val="16"/>
                <w:szCs w:val="18"/>
                <w:lang w:eastAsia="en-GB"/>
              </w:rPr>
              <w:t>Male</w:t>
            </w:r>
          </w:p>
        </w:tc>
        <w:tc>
          <w:tcPr>
            <w:tcW w:w="1134" w:type="dxa"/>
            <w:shd w:val="clear" w:color="auto" w:fill="auto"/>
            <w:noWrap/>
            <w:vAlign w:val="bottom"/>
            <w:hideMark/>
          </w:tcPr>
          <w:p w14:paraId="5F08EE22" w14:textId="556B962E" w:rsidR="006478A7" w:rsidRPr="008015BF" w:rsidRDefault="00E05DA1" w:rsidP="00BB00AC">
            <w:pPr>
              <w:spacing w:after="0" w:line="240" w:lineRule="auto"/>
              <w:rPr>
                <w:rFonts w:eastAsia="Times New Roman" w:cstheme="minorHAnsi"/>
                <w:color w:val="000000"/>
                <w:sz w:val="16"/>
                <w:szCs w:val="18"/>
                <w:lang w:eastAsia="en-GB"/>
              </w:rPr>
            </w:pPr>
            <w:r>
              <w:rPr>
                <w:rFonts w:eastAsia="Times New Roman" w:cstheme="minorHAnsi"/>
                <w:color w:val="000000"/>
                <w:sz w:val="16"/>
                <w:szCs w:val="18"/>
                <w:lang w:eastAsia="en-GB"/>
              </w:rPr>
              <w:t>30-</w:t>
            </w:r>
            <w:r w:rsidRPr="008015BF">
              <w:rPr>
                <w:rFonts w:eastAsia="Times New Roman" w:cstheme="minorHAnsi"/>
                <w:color w:val="000000"/>
                <w:sz w:val="16"/>
                <w:szCs w:val="18"/>
                <w:lang w:eastAsia="en-GB"/>
              </w:rPr>
              <w:t>39</w:t>
            </w:r>
          </w:p>
        </w:tc>
        <w:tc>
          <w:tcPr>
            <w:tcW w:w="2835" w:type="dxa"/>
            <w:shd w:val="clear" w:color="auto" w:fill="auto"/>
            <w:noWrap/>
            <w:vAlign w:val="bottom"/>
            <w:hideMark/>
          </w:tcPr>
          <w:p w14:paraId="74A479B9" w14:textId="77777777" w:rsidR="006478A7" w:rsidRPr="008015BF" w:rsidRDefault="006478A7" w:rsidP="00BB00AC">
            <w:pPr>
              <w:spacing w:after="0" w:line="240" w:lineRule="auto"/>
              <w:rPr>
                <w:rFonts w:eastAsia="Times New Roman" w:cstheme="minorHAnsi"/>
                <w:color w:val="000000"/>
                <w:sz w:val="16"/>
                <w:szCs w:val="18"/>
                <w:lang w:eastAsia="en-GB"/>
              </w:rPr>
            </w:pPr>
            <w:r w:rsidRPr="008015BF">
              <w:rPr>
                <w:rFonts w:eastAsia="Times New Roman" w:cstheme="minorHAnsi"/>
                <w:color w:val="000000"/>
                <w:sz w:val="16"/>
                <w:szCs w:val="18"/>
                <w:lang w:eastAsia="en-GB"/>
              </w:rPr>
              <w:t>6</w:t>
            </w:r>
          </w:p>
        </w:tc>
        <w:tc>
          <w:tcPr>
            <w:tcW w:w="2835" w:type="dxa"/>
            <w:shd w:val="clear" w:color="auto" w:fill="auto"/>
            <w:noWrap/>
            <w:vAlign w:val="bottom"/>
            <w:hideMark/>
          </w:tcPr>
          <w:p w14:paraId="64DE9335" w14:textId="5AADCC43" w:rsidR="006478A7" w:rsidRPr="008015BF" w:rsidRDefault="001D560B" w:rsidP="00BB00AC">
            <w:pPr>
              <w:spacing w:after="0" w:line="240" w:lineRule="auto"/>
              <w:rPr>
                <w:rFonts w:eastAsia="Times New Roman" w:cstheme="minorHAnsi"/>
                <w:color w:val="000000"/>
                <w:sz w:val="16"/>
                <w:szCs w:val="18"/>
                <w:lang w:eastAsia="en-GB"/>
              </w:rPr>
            </w:pPr>
            <w:r>
              <w:rPr>
                <w:rFonts w:eastAsia="Times New Roman" w:cstheme="minorHAnsi"/>
                <w:color w:val="000000"/>
                <w:sz w:val="16"/>
                <w:szCs w:val="18"/>
                <w:lang w:eastAsia="en-GB"/>
              </w:rPr>
              <w:t>72</w:t>
            </w:r>
          </w:p>
        </w:tc>
      </w:tr>
      <w:tr w:rsidR="006478A7" w:rsidRPr="008015BF" w14:paraId="7BFFE55E" w14:textId="77777777" w:rsidTr="006478A7">
        <w:tc>
          <w:tcPr>
            <w:tcW w:w="911" w:type="dxa"/>
            <w:shd w:val="clear" w:color="auto" w:fill="auto"/>
            <w:noWrap/>
            <w:vAlign w:val="bottom"/>
            <w:hideMark/>
          </w:tcPr>
          <w:p w14:paraId="3EEDDC01" w14:textId="77777777" w:rsidR="006478A7" w:rsidRPr="008015BF" w:rsidRDefault="006478A7" w:rsidP="00BB00AC">
            <w:pPr>
              <w:spacing w:after="0" w:line="240" w:lineRule="auto"/>
              <w:rPr>
                <w:rFonts w:eastAsia="Times New Roman" w:cstheme="minorHAnsi"/>
                <w:color w:val="000000"/>
                <w:sz w:val="16"/>
                <w:szCs w:val="18"/>
                <w:lang w:eastAsia="en-GB"/>
              </w:rPr>
            </w:pPr>
            <w:r w:rsidRPr="008015BF">
              <w:rPr>
                <w:rFonts w:eastAsia="Times New Roman" w:cstheme="minorHAnsi"/>
                <w:color w:val="000000"/>
                <w:sz w:val="16"/>
                <w:szCs w:val="18"/>
                <w:lang w:eastAsia="en-GB"/>
              </w:rPr>
              <w:t>P24</w:t>
            </w:r>
          </w:p>
        </w:tc>
        <w:tc>
          <w:tcPr>
            <w:tcW w:w="2648" w:type="dxa"/>
            <w:shd w:val="clear" w:color="auto" w:fill="auto"/>
            <w:noWrap/>
            <w:vAlign w:val="bottom"/>
            <w:hideMark/>
          </w:tcPr>
          <w:p w14:paraId="461DF20C" w14:textId="45700913" w:rsidR="006478A7" w:rsidRPr="008015BF" w:rsidRDefault="006E2E4C" w:rsidP="00BB00AC">
            <w:pPr>
              <w:spacing w:after="0" w:line="240" w:lineRule="auto"/>
              <w:rPr>
                <w:rFonts w:eastAsia="Times New Roman" w:cstheme="minorHAnsi"/>
                <w:color w:val="000000"/>
                <w:sz w:val="16"/>
                <w:szCs w:val="18"/>
                <w:lang w:eastAsia="en-GB"/>
              </w:rPr>
            </w:pPr>
            <w:r>
              <w:rPr>
                <w:rFonts w:eastAsia="Times New Roman" w:cstheme="minorHAnsi"/>
                <w:color w:val="000000"/>
                <w:sz w:val="16"/>
                <w:szCs w:val="18"/>
                <w:lang w:eastAsia="en-GB"/>
              </w:rPr>
              <w:t>Se</w:t>
            </w:r>
            <w:r w:rsidRPr="00F82E59">
              <w:rPr>
                <w:rFonts w:eastAsia="Times New Roman" w:cstheme="minorHAnsi"/>
                <w:color w:val="000000"/>
                <w:sz w:val="16"/>
                <w:szCs w:val="18"/>
                <w:lang w:eastAsia="en-GB"/>
              </w:rPr>
              <w:t>condary school</w:t>
            </w:r>
          </w:p>
        </w:tc>
        <w:tc>
          <w:tcPr>
            <w:tcW w:w="992" w:type="dxa"/>
            <w:shd w:val="clear" w:color="auto" w:fill="auto"/>
            <w:noWrap/>
            <w:vAlign w:val="bottom"/>
            <w:hideMark/>
          </w:tcPr>
          <w:p w14:paraId="52F5A92C" w14:textId="77777777" w:rsidR="006478A7" w:rsidRPr="008015BF" w:rsidRDefault="006478A7" w:rsidP="00BB00AC">
            <w:pPr>
              <w:spacing w:after="0" w:line="240" w:lineRule="auto"/>
              <w:rPr>
                <w:rFonts w:eastAsia="Times New Roman" w:cstheme="minorHAnsi"/>
                <w:color w:val="000000"/>
                <w:sz w:val="16"/>
                <w:szCs w:val="18"/>
                <w:lang w:eastAsia="en-GB"/>
              </w:rPr>
            </w:pPr>
            <w:r w:rsidRPr="008015BF">
              <w:rPr>
                <w:rFonts w:eastAsia="Times New Roman" w:cstheme="minorHAnsi"/>
                <w:color w:val="000000"/>
                <w:sz w:val="16"/>
                <w:szCs w:val="18"/>
                <w:lang w:eastAsia="en-GB"/>
              </w:rPr>
              <w:t>Male</w:t>
            </w:r>
          </w:p>
        </w:tc>
        <w:tc>
          <w:tcPr>
            <w:tcW w:w="1134" w:type="dxa"/>
            <w:shd w:val="clear" w:color="auto" w:fill="auto"/>
            <w:noWrap/>
            <w:vAlign w:val="bottom"/>
            <w:hideMark/>
          </w:tcPr>
          <w:p w14:paraId="3567E86F" w14:textId="0F23BDCF" w:rsidR="006478A7" w:rsidRPr="008015BF" w:rsidRDefault="00E05DA1" w:rsidP="00BB00AC">
            <w:pPr>
              <w:spacing w:after="0" w:line="240" w:lineRule="auto"/>
              <w:rPr>
                <w:rFonts w:eastAsia="Times New Roman" w:cstheme="minorHAnsi"/>
                <w:color w:val="000000"/>
                <w:sz w:val="16"/>
                <w:szCs w:val="18"/>
                <w:lang w:eastAsia="en-GB"/>
              </w:rPr>
            </w:pPr>
            <w:r w:rsidRPr="008015BF">
              <w:rPr>
                <w:rFonts w:eastAsia="Times New Roman" w:cstheme="minorHAnsi"/>
                <w:color w:val="000000"/>
                <w:sz w:val="16"/>
                <w:szCs w:val="18"/>
                <w:lang w:eastAsia="en-GB"/>
              </w:rPr>
              <w:t>4</w:t>
            </w:r>
            <w:r>
              <w:rPr>
                <w:rFonts w:eastAsia="Times New Roman" w:cstheme="minorHAnsi"/>
                <w:color w:val="000000"/>
                <w:sz w:val="16"/>
                <w:szCs w:val="18"/>
                <w:lang w:eastAsia="en-GB"/>
              </w:rPr>
              <w:t>0-49</w:t>
            </w:r>
          </w:p>
        </w:tc>
        <w:tc>
          <w:tcPr>
            <w:tcW w:w="2835" w:type="dxa"/>
            <w:shd w:val="clear" w:color="auto" w:fill="auto"/>
            <w:noWrap/>
            <w:vAlign w:val="bottom"/>
            <w:hideMark/>
          </w:tcPr>
          <w:p w14:paraId="6E4CAFEE" w14:textId="77777777" w:rsidR="006478A7" w:rsidRPr="008015BF" w:rsidRDefault="006478A7" w:rsidP="00BB00AC">
            <w:pPr>
              <w:spacing w:after="0" w:line="240" w:lineRule="auto"/>
              <w:rPr>
                <w:rFonts w:eastAsia="Times New Roman" w:cstheme="minorHAnsi"/>
                <w:color w:val="000000"/>
                <w:sz w:val="16"/>
                <w:szCs w:val="18"/>
                <w:lang w:eastAsia="en-GB"/>
              </w:rPr>
            </w:pPr>
            <w:r w:rsidRPr="008015BF">
              <w:rPr>
                <w:rFonts w:eastAsia="Times New Roman" w:cstheme="minorHAnsi"/>
                <w:color w:val="000000"/>
                <w:sz w:val="16"/>
                <w:szCs w:val="18"/>
                <w:lang w:eastAsia="en-GB"/>
              </w:rPr>
              <w:t>22</w:t>
            </w:r>
          </w:p>
        </w:tc>
        <w:tc>
          <w:tcPr>
            <w:tcW w:w="2835" w:type="dxa"/>
            <w:shd w:val="clear" w:color="auto" w:fill="auto"/>
            <w:noWrap/>
            <w:vAlign w:val="bottom"/>
            <w:hideMark/>
          </w:tcPr>
          <w:p w14:paraId="0F0633DA" w14:textId="588202CD" w:rsidR="006478A7" w:rsidRPr="008015BF" w:rsidRDefault="001D560B" w:rsidP="00BB00AC">
            <w:pPr>
              <w:spacing w:after="0" w:line="240" w:lineRule="auto"/>
              <w:rPr>
                <w:rFonts w:eastAsia="Times New Roman" w:cstheme="minorHAnsi"/>
                <w:color w:val="000000"/>
                <w:sz w:val="16"/>
                <w:szCs w:val="18"/>
                <w:lang w:eastAsia="en-GB"/>
              </w:rPr>
            </w:pPr>
            <w:r>
              <w:rPr>
                <w:rFonts w:eastAsia="Times New Roman" w:cstheme="minorHAnsi"/>
                <w:color w:val="000000"/>
                <w:sz w:val="16"/>
                <w:szCs w:val="18"/>
                <w:lang w:eastAsia="en-GB"/>
              </w:rPr>
              <w:t>32</w:t>
            </w:r>
          </w:p>
        </w:tc>
      </w:tr>
      <w:tr w:rsidR="006478A7" w:rsidRPr="008015BF" w14:paraId="22680E9C" w14:textId="77777777" w:rsidTr="006478A7">
        <w:tc>
          <w:tcPr>
            <w:tcW w:w="911" w:type="dxa"/>
            <w:shd w:val="clear" w:color="auto" w:fill="auto"/>
            <w:noWrap/>
            <w:vAlign w:val="bottom"/>
            <w:hideMark/>
          </w:tcPr>
          <w:p w14:paraId="230F49AD" w14:textId="77777777" w:rsidR="006478A7" w:rsidRPr="008015BF" w:rsidRDefault="006478A7" w:rsidP="00BB00AC">
            <w:pPr>
              <w:spacing w:after="0" w:line="240" w:lineRule="auto"/>
              <w:rPr>
                <w:rFonts w:eastAsia="Times New Roman" w:cstheme="minorHAnsi"/>
                <w:color w:val="000000"/>
                <w:sz w:val="16"/>
                <w:szCs w:val="18"/>
                <w:lang w:eastAsia="en-GB"/>
              </w:rPr>
            </w:pPr>
            <w:r w:rsidRPr="008015BF">
              <w:rPr>
                <w:rFonts w:eastAsia="Times New Roman" w:cstheme="minorHAnsi"/>
                <w:color w:val="000000"/>
                <w:sz w:val="16"/>
                <w:szCs w:val="18"/>
                <w:lang w:eastAsia="en-GB"/>
              </w:rPr>
              <w:t>P25</w:t>
            </w:r>
          </w:p>
        </w:tc>
        <w:tc>
          <w:tcPr>
            <w:tcW w:w="2648" w:type="dxa"/>
            <w:shd w:val="clear" w:color="auto" w:fill="auto"/>
            <w:noWrap/>
            <w:vAlign w:val="bottom"/>
            <w:hideMark/>
          </w:tcPr>
          <w:p w14:paraId="1C8A355C" w14:textId="03005286" w:rsidR="006478A7" w:rsidRPr="008015BF" w:rsidRDefault="006E2E4C" w:rsidP="00BB00AC">
            <w:pPr>
              <w:spacing w:after="0" w:line="240" w:lineRule="auto"/>
              <w:rPr>
                <w:rFonts w:eastAsia="Times New Roman" w:cstheme="minorHAnsi"/>
                <w:color w:val="000000"/>
                <w:sz w:val="16"/>
                <w:szCs w:val="18"/>
                <w:lang w:eastAsia="en-GB"/>
              </w:rPr>
            </w:pPr>
            <w:r>
              <w:rPr>
                <w:rFonts w:eastAsia="Times New Roman" w:cstheme="minorHAnsi"/>
                <w:color w:val="000000"/>
                <w:sz w:val="16"/>
                <w:szCs w:val="18"/>
                <w:lang w:eastAsia="en-GB"/>
              </w:rPr>
              <w:t>Se</w:t>
            </w:r>
            <w:r w:rsidRPr="00F82E59">
              <w:rPr>
                <w:rFonts w:eastAsia="Times New Roman" w:cstheme="minorHAnsi"/>
                <w:color w:val="000000"/>
                <w:sz w:val="16"/>
                <w:szCs w:val="18"/>
                <w:lang w:eastAsia="en-GB"/>
              </w:rPr>
              <w:t>condary school</w:t>
            </w:r>
          </w:p>
        </w:tc>
        <w:tc>
          <w:tcPr>
            <w:tcW w:w="992" w:type="dxa"/>
            <w:shd w:val="clear" w:color="auto" w:fill="auto"/>
            <w:noWrap/>
            <w:vAlign w:val="bottom"/>
            <w:hideMark/>
          </w:tcPr>
          <w:p w14:paraId="62A3A6A4" w14:textId="77777777" w:rsidR="006478A7" w:rsidRPr="008015BF" w:rsidRDefault="006478A7" w:rsidP="00BB00AC">
            <w:pPr>
              <w:spacing w:after="0" w:line="240" w:lineRule="auto"/>
              <w:rPr>
                <w:rFonts w:eastAsia="Times New Roman" w:cstheme="minorHAnsi"/>
                <w:color w:val="000000"/>
                <w:sz w:val="16"/>
                <w:szCs w:val="18"/>
                <w:lang w:eastAsia="en-GB"/>
              </w:rPr>
            </w:pPr>
            <w:r w:rsidRPr="008015BF">
              <w:rPr>
                <w:rFonts w:eastAsia="Times New Roman" w:cstheme="minorHAnsi"/>
                <w:color w:val="000000"/>
                <w:sz w:val="16"/>
                <w:szCs w:val="18"/>
                <w:lang w:eastAsia="en-GB"/>
              </w:rPr>
              <w:t>Male</w:t>
            </w:r>
          </w:p>
        </w:tc>
        <w:tc>
          <w:tcPr>
            <w:tcW w:w="1134" w:type="dxa"/>
            <w:shd w:val="clear" w:color="auto" w:fill="auto"/>
            <w:noWrap/>
            <w:vAlign w:val="bottom"/>
            <w:hideMark/>
          </w:tcPr>
          <w:p w14:paraId="3B3CD9B0" w14:textId="46B09B6B" w:rsidR="006478A7" w:rsidRPr="008015BF" w:rsidRDefault="006478A7" w:rsidP="00BB00AC">
            <w:pPr>
              <w:spacing w:after="0" w:line="240" w:lineRule="auto"/>
              <w:rPr>
                <w:rFonts w:eastAsia="Times New Roman" w:cstheme="minorHAnsi"/>
                <w:color w:val="000000"/>
                <w:sz w:val="16"/>
                <w:szCs w:val="18"/>
                <w:lang w:eastAsia="en-GB"/>
              </w:rPr>
            </w:pPr>
            <w:r w:rsidRPr="008015BF">
              <w:rPr>
                <w:rFonts w:eastAsia="Times New Roman" w:cstheme="minorHAnsi"/>
                <w:color w:val="000000"/>
                <w:sz w:val="16"/>
                <w:szCs w:val="18"/>
                <w:lang w:eastAsia="en-GB"/>
              </w:rPr>
              <w:t>2</w:t>
            </w:r>
            <w:r w:rsidR="00E05DA1">
              <w:rPr>
                <w:rFonts w:eastAsia="Times New Roman" w:cstheme="minorHAnsi"/>
                <w:color w:val="000000"/>
                <w:sz w:val="16"/>
                <w:szCs w:val="18"/>
                <w:lang w:eastAsia="en-GB"/>
              </w:rPr>
              <w:t>0-29</w:t>
            </w:r>
          </w:p>
        </w:tc>
        <w:tc>
          <w:tcPr>
            <w:tcW w:w="2835" w:type="dxa"/>
            <w:shd w:val="clear" w:color="auto" w:fill="auto"/>
            <w:noWrap/>
            <w:vAlign w:val="bottom"/>
            <w:hideMark/>
          </w:tcPr>
          <w:p w14:paraId="2878154C" w14:textId="77777777" w:rsidR="006478A7" w:rsidRPr="008015BF" w:rsidRDefault="006478A7" w:rsidP="00BB00AC">
            <w:pPr>
              <w:spacing w:after="0" w:line="240" w:lineRule="auto"/>
              <w:rPr>
                <w:rFonts w:eastAsia="Times New Roman" w:cstheme="minorHAnsi"/>
                <w:color w:val="000000"/>
                <w:sz w:val="16"/>
                <w:szCs w:val="18"/>
                <w:lang w:eastAsia="en-GB"/>
              </w:rPr>
            </w:pPr>
            <w:r w:rsidRPr="008015BF">
              <w:rPr>
                <w:rFonts w:eastAsia="Times New Roman" w:cstheme="minorHAnsi"/>
                <w:color w:val="000000"/>
                <w:sz w:val="16"/>
                <w:szCs w:val="18"/>
                <w:lang w:eastAsia="en-GB"/>
              </w:rPr>
              <w:t>1</w:t>
            </w:r>
          </w:p>
        </w:tc>
        <w:tc>
          <w:tcPr>
            <w:tcW w:w="2835" w:type="dxa"/>
            <w:shd w:val="clear" w:color="auto" w:fill="auto"/>
            <w:noWrap/>
            <w:vAlign w:val="bottom"/>
            <w:hideMark/>
          </w:tcPr>
          <w:p w14:paraId="21D5CEB7" w14:textId="0EB251DC" w:rsidR="006478A7" w:rsidRPr="008015BF" w:rsidRDefault="001D560B" w:rsidP="00BB00AC">
            <w:pPr>
              <w:spacing w:after="0" w:line="240" w:lineRule="auto"/>
              <w:rPr>
                <w:rFonts w:eastAsia="Times New Roman" w:cstheme="minorHAnsi"/>
                <w:color w:val="000000"/>
                <w:sz w:val="16"/>
                <w:szCs w:val="18"/>
                <w:lang w:eastAsia="en-GB"/>
              </w:rPr>
            </w:pPr>
            <w:r>
              <w:rPr>
                <w:rFonts w:eastAsia="Times New Roman" w:cstheme="minorHAnsi"/>
                <w:color w:val="000000"/>
                <w:sz w:val="16"/>
                <w:szCs w:val="18"/>
                <w:lang w:eastAsia="en-GB"/>
              </w:rPr>
              <w:t>12</w:t>
            </w:r>
          </w:p>
        </w:tc>
      </w:tr>
      <w:tr w:rsidR="006478A7" w:rsidRPr="008015BF" w14:paraId="45837EFE" w14:textId="77777777" w:rsidTr="006478A7">
        <w:tc>
          <w:tcPr>
            <w:tcW w:w="911" w:type="dxa"/>
            <w:shd w:val="clear" w:color="auto" w:fill="auto"/>
            <w:noWrap/>
            <w:vAlign w:val="bottom"/>
            <w:hideMark/>
          </w:tcPr>
          <w:p w14:paraId="0D053F22" w14:textId="77777777" w:rsidR="006478A7" w:rsidRPr="008015BF" w:rsidRDefault="006478A7" w:rsidP="00BB00AC">
            <w:pPr>
              <w:spacing w:after="0" w:line="240" w:lineRule="auto"/>
              <w:rPr>
                <w:rFonts w:eastAsia="Times New Roman" w:cstheme="minorHAnsi"/>
                <w:color w:val="000000"/>
                <w:sz w:val="16"/>
                <w:szCs w:val="18"/>
                <w:lang w:eastAsia="en-GB"/>
              </w:rPr>
            </w:pPr>
            <w:r w:rsidRPr="008015BF">
              <w:rPr>
                <w:rFonts w:eastAsia="Times New Roman" w:cstheme="minorHAnsi"/>
                <w:color w:val="000000"/>
                <w:sz w:val="16"/>
                <w:szCs w:val="18"/>
                <w:lang w:eastAsia="en-GB"/>
              </w:rPr>
              <w:t>P26</w:t>
            </w:r>
          </w:p>
        </w:tc>
        <w:tc>
          <w:tcPr>
            <w:tcW w:w="2648" w:type="dxa"/>
            <w:shd w:val="clear" w:color="auto" w:fill="auto"/>
            <w:noWrap/>
            <w:vAlign w:val="bottom"/>
            <w:hideMark/>
          </w:tcPr>
          <w:p w14:paraId="1D53A145" w14:textId="1A926D68" w:rsidR="006478A7" w:rsidRPr="008015BF" w:rsidRDefault="006E2E4C" w:rsidP="00BB00AC">
            <w:pPr>
              <w:spacing w:after="0" w:line="240" w:lineRule="auto"/>
              <w:rPr>
                <w:rFonts w:eastAsia="Times New Roman" w:cstheme="minorHAnsi"/>
                <w:color w:val="000000"/>
                <w:sz w:val="16"/>
                <w:szCs w:val="18"/>
                <w:lang w:eastAsia="en-GB"/>
              </w:rPr>
            </w:pPr>
            <w:r>
              <w:rPr>
                <w:rFonts w:eastAsia="Times New Roman" w:cstheme="minorHAnsi"/>
                <w:color w:val="000000"/>
                <w:sz w:val="16"/>
                <w:szCs w:val="18"/>
                <w:lang w:eastAsia="en-GB"/>
              </w:rPr>
              <w:t>Postgraduate</w:t>
            </w:r>
          </w:p>
        </w:tc>
        <w:tc>
          <w:tcPr>
            <w:tcW w:w="992" w:type="dxa"/>
            <w:shd w:val="clear" w:color="auto" w:fill="auto"/>
            <w:noWrap/>
            <w:vAlign w:val="bottom"/>
            <w:hideMark/>
          </w:tcPr>
          <w:p w14:paraId="40FE771E" w14:textId="77777777" w:rsidR="006478A7" w:rsidRPr="008015BF" w:rsidRDefault="006478A7" w:rsidP="00BB00AC">
            <w:pPr>
              <w:spacing w:after="0" w:line="240" w:lineRule="auto"/>
              <w:rPr>
                <w:rFonts w:eastAsia="Times New Roman" w:cstheme="minorHAnsi"/>
                <w:color w:val="000000"/>
                <w:sz w:val="16"/>
                <w:szCs w:val="18"/>
                <w:lang w:eastAsia="en-GB"/>
              </w:rPr>
            </w:pPr>
            <w:r w:rsidRPr="008015BF">
              <w:rPr>
                <w:rFonts w:eastAsia="Times New Roman" w:cstheme="minorHAnsi"/>
                <w:color w:val="000000"/>
                <w:sz w:val="16"/>
                <w:szCs w:val="18"/>
                <w:lang w:eastAsia="en-GB"/>
              </w:rPr>
              <w:t>Male</w:t>
            </w:r>
          </w:p>
        </w:tc>
        <w:tc>
          <w:tcPr>
            <w:tcW w:w="1134" w:type="dxa"/>
            <w:shd w:val="clear" w:color="auto" w:fill="auto"/>
            <w:noWrap/>
            <w:vAlign w:val="bottom"/>
            <w:hideMark/>
          </w:tcPr>
          <w:p w14:paraId="7D2C9109" w14:textId="3DD8B714" w:rsidR="006478A7" w:rsidRPr="008015BF" w:rsidRDefault="006478A7" w:rsidP="00BB00AC">
            <w:pPr>
              <w:spacing w:after="0" w:line="240" w:lineRule="auto"/>
              <w:rPr>
                <w:rFonts w:eastAsia="Times New Roman" w:cstheme="minorHAnsi"/>
                <w:color w:val="000000"/>
                <w:sz w:val="16"/>
                <w:szCs w:val="18"/>
                <w:lang w:eastAsia="en-GB"/>
              </w:rPr>
            </w:pPr>
            <w:r w:rsidRPr="008015BF">
              <w:rPr>
                <w:rFonts w:eastAsia="Times New Roman" w:cstheme="minorHAnsi"/>
                <w:color w:val="000000"/>
                <w:sz w:val="16"/>
                <w:szCs w:val="18"/>
                <w:lang w:eastAsia="en-GB"/>
              </w:rPr>
              <w:t>4</w:t>
            </w:r>
            <w:r w:rsidR="00E05DA1">
              <w:rPr>
                <w:rFonts w:eastAsia="Times New Roman" w:cstheme="minorHAnsi"/>
                <w:color w:val="000000"/>
                <w:sz w:val="16"/>
                <w:szCs w:val="18"/>
                <w:lang w:eastAsia="en-GB"/>
              </w:rPr>
              <w:t>0-49</w:t>
            </w:r>
          </w:p>
        </w:tc>
        <w:tc>
          <w:tcPr>
            <w:tcW w:w="2835" w:type="dxa"/>
            <w:shd w:val="clear" w:color="auto" w:fill="auto"/>
            <w:noWrap/>
            <w:vAlign w:val="bottom"/>
            <w:hideMark/>
          </w:tcPr>
          <w:p w14:paraId="31C50FFD" w14:textId="77777777" w:rsidR="006478A7" w:rsidRPr="008015BF" w:rsidRDefault="006478A7" w:rsidP="00BB00AC">
            <w:pPr>
              <w:spacing w:after="0" w:line="240" w:lineRule="auto"/>
              <w:rPr>
                <w:rFonts w:eastAsia="Times New Roman" w:cstheme="minorHAnsi"/>
                <w:color w:val="000000"/>
                <w:sz w:val="16"/>
                <w:szCs w:val="18"/>
                <w:lang w:eastAsia="en-GB"/>
              </w:rPr>
            </w:pPr>
            <w:r w:rsidRPr="008015BF">
              <w:rPr>
                <w:rFonts w:eastAsia="Times New Roman" w:cstheme="minorHAnsi"/>
                <w:color w:val="000000"/>
                <w:sz w:val="16"/>
                <w:szCs w:val="18"/>
                <w:lang w:eastAsia="en-GB"/>
              </w:rPr>
              <w:t>10</w:t>
            </w:r>
          </w:p>
        </w:tc>
        <w:tc>
          <w:tcPr>
            <w:tcW w:w="2835" w:type="dxa"/>
            <w:shd w:val="clear" w:color="auto" w:fill="auto"/>
            <w:noWrap/>
            <w:vAlign w:val="bottom"/>
            <w:hideMark/>
          </w:tcPr>
          <w:p w14:paraId="70033134" w14:textId="62342398" w:rsidR="006478A7" w:rsidRPr="008015BF" w:rsidRDefault="001D560B" w:rsidP="00BB00AC">
            <w:pPr>
              <w:spacing w:after="0" w:line="240" w:lineRule="auto"/>
              <w:rPr>
                <w:rFonts w:eastAsia="Times New Roman" w:cstheme="minorHAnsi"/>
                <w:color w:val="000000"/>
                <w:sz w:val="16"/>
                <w:szCs w:val="18"/>
                <w:lang w:eastAsia="en-GB"/>
              </w:rPr>
            </w:pPr>
            <w:r>
              <w:rPr>
                <w:rFonts w:eastAsia="Times New Roman" w:cstheme="minorHAnsi"/>
                <w:color w:val="000000"/>
                <w:sz w:val="16"/>
                <w:szCs w:val="18"/>
                <w:lang w:eastAsia="en-GB"/>
              </w:rPr>
              <w:t>26</w:t>
            </w:r>
          </w:p>
        </w:tc>
      </w:tr>
      <w:tr w:rsidR="006478A7" w:rsidRPr="008015BF" w14:paraId="032F5F24" w14:textId="77777777" w:rsidTr="006478A7">
        <w:tc>
          <w:tcPr>
            <w:tcW w:w="911" w:type="dxa"/>
            <w:shd w:val="clear" w:color="auto" w:fill="auto"/>
            <w:noWrap/>
            <w:vAlign w:val="bottom"/>
            <w:hideMark/>
          </w:tcPr>
          <w:p w14:paraId="60ABADB7" w14:textId="77777777" w:rsidR="006478A7" w:rsidRPr="008015BF" w:rsidRDefault="006478A7" w:rsidP="00BB00AC">
            <w:pPr>
              <w:spacing w:after="0" w:line="240" w:lineRule="auto"/>
              <w:rPr>
                <w:rFonts w:eastAsia="Times New Roman" w:cstheme="minorHAnsi"/>
                <w:color w:val="000000"/>
                <w:sz w:val="16"/>
                <w:szCs w:val="18"/>
                <w:lang w:eastAsia="en-GB"/>
              </w:rPr>
            </w:pPr>
            <w:r w:rsidRPr="008015BF">
              <w:rPr>
                <w:rFonts w:eastAsia="Times New Roman" w:cstheme="minorHAnsi"/>
                <w:color w:val="000000"/>
                <w:sz w:val="16"/>
                <w:szCs w:val="18"/>
                <w:lang w:eastAsia="en-GB"/>
              </w:rPr>
              <w:t>P27</w:t>
            </w:r>
          </w:p>
        </w:tc>
        <w:tc>
          <w:tcPr>
            <w:tcW w:w="2648" w:type="dxa"/>
            <w:shd w:val="clear" w:color="auto" w:fill="auto"/>
            <w:noWrap/>
            <w:vAlign w:val="bottom"/>
            <w:hideMark/>
          </w:tcPr>
          <w:p w14:paraId="35341E59" w14:textId="5DC7FF77" w:rsidR="006478A7" w:rsidRPr="008015BF" w:rsidRDefault="006E2E4C" w:rsidP="00BB00AC">
            <w:pPr>
              <w:spacing w:after="0" w:line="240" w:lineRule="auto"/>
              <w:rPr>
                <w:rFonts w:eastAsia="Times New Roman" w:cstheme="minorHAnsi"/>
                <w:color w:val="000000"/>
                <w:sz w:val="16"/>
                <w:szCs w:val="18"/>
                <w:lang w:eastAsia="en-GB"/>
              </w:rPr>
            </w:pPr>
            <w:r>
              <w:rPr>
                <w:rFonts w:eastAsia="Times New Roman" w:cstheme="minorHAnsi"/>
                <w:color w:val="000000"/>
                <w:sz w:val="16"/>
                <w:szCs w:val="18"/>
                <w:lang w:eastAsia="en-GB"/>
              </w:rPr>
              <w:t>Se</w:t>
            </w:r>
            <w:r w:rsidRPr="00F82E59">
              <w:rPr>
                <w:rFonts w:eastAsia="Times New Roman" w:cstheme="minorHAnsi"/>
                <w:color w:val="000000"/>
                <w:sz w:val="16"/>
                <w:szCs w:val="18"/>
                <w:lang w:eastAsia="en-GB"/>
              </w:rPr>
              <w:t>condary school</w:t>
            </w:r>
          </w:p>
        </w:tc>
        <w:tc>
          <w:tcPr>
            <w:tcW w:w="992" w:type="dxa"/>
            <w:shd w:val="clear" w:color="auto" w:fill="auto"/>
            <w:noWrap/>
            <w:vAlign w:val="bottom"/>
            <w:hideMark/>
          </w:tcPr>
          <w:p w14:paraId="757B4DAD" w14:textId="77777777" w:rsidR="006478A7" w:rsidRPr="008015BF" w:rsidRDefault="006478A7" w:rsidP="00BB00AC">
            <w:pPr>
              <w:spacing w:after="0" w:line="240" w:lineRule="auto"/>
              <w:rPr>
                <w:rFonts w:eastAsia="Times New Roman" w:cstheme="minorHAnsi"/>
                <w:color w:val="000000"/>
                <w:sz w:val="16"/>
                <w:szCs w:val="18"/>
                <w:lang w:eastAsia="en-GB"/>
              </w:rPr>
            </w:pPr>
            <w:r w:rsidRPr="008015BF">
              <w:rPr>
                <w:rFonts w:eastAsia="Times New Roman" w:cstheme="minorHAnsi"/>
                <w:color w:val="000000"/>
                <w:sz w:val="16"/>
                <w:szCs w:val="18"/>
                <w:lang w:eastAsia="en-GB"/>
              </w:rPr>
              <w:t>Female</w:t>
            </w:r>
          </w:p>
        </w:tc>
        <w:tc>
          <w:tcPr>
            <w:tcW w:w="1134" w:type="dxa"/>
            <w:shd w:val="clear" w:color="auto" w:fill="auto"/>
            <w:noWrap/>
            <w:vAlign w:val="bottom"/>
            <w:hideMark/>
          </w:tcPr>
          <w:p w14:paraId="165FD592" w14:textId="3BC746ED" w:rsidR="006478A7" w:rsidRPr="008015BF" w:rsidRDefault="00E05DA1" w:rsidP="00BB00AC">
            <w:pPr>
              <w:spacing w:after="0" w:line="240" w:lineRule="auto"/>
              <w:rPr>
                <w:rFonts w:eastAsia="Times New Roman" w:cstheme="minorHAnsi"/>
                <w:color w:val="000000"/>
                <w:sz w:val="16"/>
                <w:szCs w:val="18"/>
                <w:lang w:eastAsia="en-GB"/>
              </w:rPr>
            </w:pPr>
            <w:r w:rsidRPr="008015BF">
              <w:rPr>
                <w:rFonts w:eastAsia="Times New Roman" w:cstheme="minorHAnsi"/>
                <w:color w:val="000000"/>
                <w:sz w:val="16"/>
                <w:szCs w:val="18"/>
                <w:lang w:eastAsia="en-GB"/>
              </w:rPr>
              <w:t>5</w:t>
            </w:r>
            <w:r>
              <w:rPr>
                <w:rFonts w:eastAsia="Times New Roman" w:cstheme="minorHAnsi"/>
                <w:color w:val="000000"/>
                <w:sz w:val="16"/>
                <w:szCs w:val="18"/>
                <w:lang w:eastAsia="en-GB"/>
              </w:rPr>
              <w:t>0-59</w:t>
            </w:r>
          </w:p>
        </w:tc>
        <w:tc>
          <w:tcPr>
            <w:tcW w:w="2835" w:type="dxa"/>
            <w:shd w:val="clear" w:color="auto" w:fill="auto"/>
            <w:noWrap/>
            <w:vAlign w:val="bottom"/>
            <w:hideMark/>
          </w:tcPr>
          <w:p w14:paraId="7590EEEB" w14:textId="77777777" w:rsidR="006478A7" w:rsidRPr="008015BF" w:rsidRDefault="006478A7" w:rsidP="00BB00AC">
            <w:pPr>
              <w:spacing w:after="0" w:line="240" w:lineRule="auto"/>
              <w:rPr>
                <w:rFonts w:eastAsia="Times New Roman" w:cstheme="minorHAnsi"/>
                <w:color w:val="000000"/>
                <w:sz w:val="16"/>
                <w:szCs w:val="18"/>
                <w:lang w:eastAsia="en-GB"/>
              </w:rPr>
            </w:pPr>
            <w:r w:rsidRPr="008015BF">
              <w:rPr>
                <w:rFonts w:eastAsia="Times New Roman" w:cstheme="minorHAnsi"/>
                <w:color w:val="000000"/>
                <w:sz w:val="16"/>
                <w:szCs w:val="18"/>
                <w:lang w:eastAsia="en-GB"/>
              </w:rPr>
              <w:t>4</w:t>
            </w:r>
          </w:p>
        </w:tc>
        <w:tc>
          <w:tcPr>
            <w:tcW w:w="2835" w:type="dxa"/>
            <w:shd w:val="clear" w:color="auto" w:fill="auto"/>
            <w:noWrap/>
            <w:vAlign w:val="bottom"/>
            <w:hideMark/>
          </w:tcPr>
          <w:p w14:paraId="542AA601" w14:textId="0546682C" w:rsidR="006478A7" w:rsidRPr="008015BF" w:rsidRDefault="001D560B" w:rsidP="00BB00AC">
            <w:pPr>
              <w:spacing w:after="0" w:line="240" w:lineRule="auto"/>
              <w:rPr>
                <w:rFonts w:eastAsia="Times New Roman" w:cstheme="minorHAnsi"/>
                <w:color w:val="000000"/>
                <w:sz w:val="16"/>
                <w:szCs w:val="18"/>
                <w:lang w:eastAsia="en-GB"/>
              </w:rPr>
            </w:pPr>
            <w:r>
              <w:rPr>
                <w:rFonts w:eastAsia="Times New Roman" w:cstheme="minorHAnsi"/>
                <w:color w:val="000000"/>
                <w:sz w:val="16"/>
                <w:szCs w:val="18"/>
                <w:lang w:eastAsia="en-GB"/>
              </w:rPr>
              <w:t>27</w:t>
            </w:r>
          </w:p>
        </w:tc>
      </w:tr>
      <w:tr w:rsidR="006478A7" w:rsidRPr="008015BF" w14:paraId="3020C516" w14:textId="77777777" w:rsidTr="006478A7">
        <w:tc>
          <w:tcPr>
            <w:tcW w:w="911" w:type="dxa"/>
            <w:shd w:val="clear" w:color="auto" w:fill="auto"/>
            <w:noWrap/>
            <w:vAlign w:val="bottom"/>
            <w:hideMark/>
          </w:tcPr>
          <w:p w14:paraId="4B619556" w14:textId="77777777" w:rsidR="006478A7" w:rsidRPr="008015BF" w:rsidRDefault="006478A7" w:rsidP="00BB00AC">
            <w:pPr>
              <w:spacing w:after="0" w:line="240" w:lineRule="auto"/>
              <w:rPr>
                <w:rFonts w:eastAsia="Times New Roman" w:cstheme="minorHAnsi"/>
                <w:color w:val="000000"/>
                <w:sz w:val="16"/>
                <w:szCs w:val="18"/>
                <w:lang w:eastAsia="en-GB"/>
              </w:rPr>
            </w:pPr>
            <w:r w:rsidRPr="008015BF">
              <w:rPr>
                <w:rFonts w:eastAsia="Times New Roman" w:cstheme="minorHAnsi"/>
                <w:color w:val="000000"/>
                <w:sz w:val="16"/>
                <w:szCs w:val="18"/>
                <w:lang w:eastAsia="en-GB"/>
              </w:rPr>
              <w:t>P28</w:t>
            </w:r>
          </w:p>
        </w:tc>
        <w:tc>
          <w:tcPr>
            <w:tcW w:w="2648" w:type="dxa"/>
            <w:shd w:val="clear" w:color="auto" w:fill="auto"/>
            <w:noWrap/>
            <w:vAlign w:val="bottom"/>
            <w:hideMark/>
          </w:tcPr>
          <w:p w14:paraId="79AAD2FE" w14:textId="77777777" w:rsidR="006478A7" w:rsidRPr="008015BF" w:rsidRDefault="006478A7" w:rsidP="00BB00AC">
            <w:pPr>
              <w:spacing w:after="0" w:line="240" w:lineRule="auto"/>
              <w:rPr>
                <w:rFonts w:eastAsia="Times New Roman" w:cstheme="minorHAnsi"/>
                <w:color w:val="000000"/>
                <w:sz w:val="16"/>
                <w:szCs w:val="18"/>
                <w:lang w:eastAsia="en-GB"/>
              </w:rPr>
            </w:pPr>
            <w:r w:rsidRPr="008015BF">
              <w:rPr>
                <w:rFonts w:eastAsia="Times New Roman" w:cstheme="minorHAnsi"/>
                <w:color w:val="000000"/>
                <w:sz w:val="16"/>
                <w:szCs w:val="18"/>
                <w:lang w:eastAsia="en-GB"/>
              </w:rPr>
              <w:t>No Qualification</w:t>
            </w:r>
          </w:p>
        </w:tc>
        <w:tc>
          <w:tcPr>
            <w:tcW w:w="992" w:type="dxa"/>
            <w:shd w:val="clear" w:color="auto" w:fill="auto"/>
            <w:noWrap/>
            <w:vAlign w:val="bottom"/>
            <w:hideMark/>
          </w:tcPr>
          <w:p w14:paraId="605AACEA" w14:textId="77777777" w:rsidR="006478A7" w:rsidRPr="008015BF" w:rsidRDefault="006478A7" w:rsidP="00BB00AC">
            <w:pPr>
              <w:spacing w:after="0" w:line="240" w:lineRule="auto"/>
              <w:rPr>
                <w:rFonts w:eastAsia="Times New Roman" w:cstheme="minorHAnsi"/>
                <w:color w:val="000000"/>
                <w:sz w:val="16"/>
                <w:szCs w:val="18"/>
                <w:lang w:eastAsia="en-GB"/>
              </w:rPr>
            </w:pPr>
            <w:r w:rsidRPr="008015BF">
              <w:rPr>
                <w:rFonts w:eastAsia="Times New Roman" w:cstheme="minorHAnsi"/>
                <w:color w:val="000000"/>
                <w:sz w:val="16"/>
                <w:szCs w:val="18"/>
                <w:lang w:eastAsia="en-GB"/>
              </w:rPr>
              <w:t>Male</w:t>
            </w:r>
          </w:p>
        </w:tc>
        <w:tc>
          <w:tcPr>
            <w:tcW w:w="1134" w:type="dxa"/>
            <w:shd w:val="clear" w:color="auto" w:fill="auto"/>
            <w:noWrap/>
            <w:vAlign w:val="bottom"/>
            <w:hideMark/>
          </w:tcPr>
          <w:p w14:paraId="11A8784F" w14:textId="66D89DFB" w:rsidR="006478A7" w:rsidRPr="008015BF" w:rsidRDefault="00E05DA1" w:rsidP="00BB00AC">
            <w:pPr>
              <w:spacing w:after="0" w:line="240" w:lineRule="auto"/>
              <w:rPr>
                <w:rFonts w:eastAsia="Times New Roman" w:cstheme="minorHAnsi"/>
                <w:color w:val="000000"/>
                <w:sz w:val="16"/>
                <w:szCs w:val="18"/>
                <w:lang w:eastAsia="en-GB"/>
              </w:rPr>
            </w:pPr>
            <w:r>
              <w:rPr>
                <w:rFonts w:eastAsia="Times New Roman" w:cstheme="minorHAnsi"/>
                <w:color w:val="000000"/>
                <w:sz w:val="16"/>
                <w:szCs w:val="18"/>
                <w:lang w:eastAsia="en-GB"/>
              </w:rPr>
              <w:t>30-</w:t>
            </w:r>
            <w:r w:rsidRPr="008015BF">
              <w:rPr>
                <w:rFonts w:eastAsia="Times New Roman" w:cstheme="minorHAnsi"/>
                <w:color w:val="000000"/>
                <w:sz w:val="16"/>
                <w:szCs w:val="18"/>
                <w:lang w:eastAsia="en-GB"/>
              </w:rPr>
              <w:t>39</w:t>
            </w:r>
          </w:p>
        </w:tc>
        <w:tc>
          <w:tcPr>
            <w:tcW w:w="2835" w:type="dxa"/>
            <w:shd w:val="clear" w:color="auto" w:fill="auto"/>
            <w:noWrap/>
            <w:vAlign w:val="bottom"/>
            <w:hideMark/>
          </w:tcPr>
          <w:p w14:paraId="071C2660" w14:textId="77777777" w:rsidR="006478A7" w:rsidRPr="008015BF" w:rsidRDefault="006478A7" w:rsidP="00BB00AC">
            <w:pPr>
              <w:spacing w:after="0" w:line="240" w:lineRule="auto"/>
              <w:rPr>
                <w:rFonts w:eastAsia="Times New Roman" w:cstheme="minorHAnsi"/>
                <w:color w:val="000000"/>
                <w:sz w:val="16"/>
                <w:szCs w:val="18"/>
                <w:lang w:eastAsia="en-GB"/>
              </w:rPr>
            </w:pPr>
            <w:r w:rsidRPr="008015BF">
              <w:rPr>
                <w:rFonts w:eastAsia="Times New Roman" w:cstheme="minorHAnsi"/>
                <w:color w:val="000000"/>
                <w:sz w:val="16"/>
                <w:szCs w:val="18"/>
                <w:lang w:eastAsia="en-GB"/>
              </w:rPr>
              <w:t>6</w:t>
            </w:r>
          </w:p>
        </w:tc>
        <w:tc>
          <w:tcPr>
            <w:tcW w:w="2835" w:type="dxa"/>
            <w:shd w:val="clear" w:color="auto" w:fill="auto"/>
            <w:noWrap/>
            <w:vAlign w:val="bottom"/>
            <w:hideMark/>
          </w:tcPr>
          <w:p w14:paraId="5DF8E2C7" w14:textId="79170D50" w:rsidR="006478A7" w:rsidRPr="008015BF" w:rsidRDefault="001D560B" w:rsidP="00BB00AC">
            <w:pPr>
              <w:spacing w:after="0" w:line="240" w:lineRule="auto"/>
              <w:rPr>
                <w:rFonts w:eastAsia="Times New Roman" w:cstheme="minorHAnsi"/>
                <w:color w:val="000000"/>
                <w:sz w:val="16"/>
                <w:szCs w:val="18"/>
                <w:lang w:eastAsia="en-GB"/>
              </w:rPr>
            </w:pPr>
            <w:r>
              <w:rPr>
                <w:rFonts w:eastAsia="Times New Roman" w:cstheme="minorHAnsi"/>
                <w:color w:val="000000"/>
                <w:sz w:val="16"/>
                <w:szCs w:val="18"/>
                <w:lang w:eastAsia="en-GB"/>
              </w:rPr>
              <w:t>65</w:t>
            </w:r>
          </w:p>
        </w:tc>
      </w:tr>
      <w:tr w:rsidR="006478A7" w:rsidRPr="008015BF" w14:paraId="4CF7C18B" w14:textId="77777777" w:rsidTr="006478A7">
        <w:tc>
          <w:tcPr>
            <w:tcW w:w="911" w:type="dxa"/>
            <w:shd w:val="clear" w:color="auto" w:fill="auto"/>
            <w:noWrap/>
            <w:vAlign w:val="bottom"/>
            <w:hideMark/>
          </w:tcPr>
          <w:p w14:paraId="743599D5" w14:textId="77777777" w:rsidR="006478A7" w:rsidRPr="008015BF" w:rsidRDefault="006478A7" w:rsidP="00BB00AC">
            <w:pPr>
              <w:spacing w:after="0" w:line="240" w:lineRule="auto"/>
              <w:rPr>
                <w:rFonts w:eastAsia="Times New Roman" w:cstheme="minorHAnsi"/>
                <w:color w:val="000000"/>
                <w:sz w:val="16"/>
                <w:szCs w:val="18"/>
                <w:lang w:eastAsia="en-GB"/>
              </w:rPr>
            </w:pPr>
            <w:r w:rsidRPr="008015BF">
              <w:rPr>
                <w:rFonts w:eastAsia="Times New Roman" w:cstheme="minorHAnsi"/>
                <w:color w:val="000000"/>
                <w:sz w:val="16"/>
                <w:szCs w:val="18"/>
                <w:lang w:eastAsia="en-GB"/>
              </w:rPr>
              <w:t>P29</w:t>
            </w:r>
          </w:p>
        </w:tc>
        <w:tc>
          <w:tcPr>
            <w:tcW w:w="2648" w:type="dxa"/>
            <w:shd w:val="clear" w:color="auto" w:fill="auto"/>
            <w:noWrap/>
            <w:vAlign w:val="bottom"/>
            <w:hideMark/>
          </w:tcPr>
          <w:p w14:paraId="475B6D1A" w14:textId="2659A8A6" w:rsidR="006478A7" w:rsidRPr="008015BF" w:rsidRDefault="006E2E4C" w:rsidP="00BB00AC">
            <w:pPr>
              <w:spacing w:after="0" w:line="240" w:lineRule="auto"/>
              <w:rPr>
                <w:rFonts w:eastAsia="Times New Roman" w:cstheme="minorHAnsi"/>
                <w:color w:val="000000"/>
                <w:sz w:val="16"/>
                <w:szCs w:val="18"/>
                <w:lang w:eastAsia="en-GB"/>
              </w:rPr>
            </w:pPr>
            <w:r>
              <w:rPr>
                <w:rFonts w:eastAsia="Times New Roman" w:cstheme="minorHAnsi"/>
                <w:color w:val="000000"/>
                <w:sz w:val="16"/>
                <w:szCs w:val="18"/>
                <w:lang w:eastAsia="en-GB"/>
              </w:rPr>
              <w:t>Se</w:t>
            </w:r>
            <w:r w:rsidRPr="00F82E59">
              <w:rPr>
                <w:rFonts w:eastAsia="Times New Roman" w:cstheme="minorHAnsi"/>
                <w:color w:val="000000"/>
                <w:sz w:val="16"/>
                <w:szCs w:val="18"/>
                <w:lang w:eastAsia="en-GB"/>
              </w:rPr>
              <w:t>condary school</w:t>
            </w:r>
          </w:p>
        </w:tc>
        <w:tc>
          <w:tcPr>
            <w:tcW w:w="992" w:type="dxa"/>
            <w:shd w:val="clear" w:color="auto" w:fill="auto"/>
            <w:noWrap/>
            <w:vAlign w:val="bottom"/>
            <w:hideMark/>
          </w:tcPr>
          <w:p w14:paraId="4344D729" w14:textId="77777777" w:rsidR="006478A7" w:rsidRPr="008015BF" w:rsidRDefault="006478A7" w:rsidP="00BB00AC">
            <w:pPr>
              <w:spacing w:after="0" w:line="240" w:lineRule="auto"/>
              <w:rPr>
                <w:rFonts w:eastAsia="Times New Roman" w:cstheme="minorHAnsi"/>
                <w:color w:val="000000"/>
                <w:sz w:val="16"/>
                <w:szCs w:val="18"/>
                <w:lang w:eastAsia="en-GB"/>
              </w:rPr>
            </w:pPr>
            <w:r w:rsidRPr="008015BF">
              <w:rPr>
                <w:rFonts w:eastAsia="Times New Roman" w:cstheme="minorHAnsi"/>
                <w:color w:val="000000"/>
                <w:sz w:val="16"/>
                <w:szCs w:val="18"/>
                <w:lang w:eastAsia="en-GB"/>
              </w:rPr>
              <w:t>Male</w:t>
            </w:r>
          </w:p>
        </w:tc>
        <w:tc>
          <w:tcPr>
            <w:tcW w:w="1134" w:type="dxa"/>
            <w:shd w:val="clear" w:color="auto" w:fill="auto"/>
            <w:noWrap/>
            <w:vAlign w:val="bottom"/>
            <w:hideMark/>
          </w:tcPr>
          <w:p w14:paraId="42FF1BAF" w14:textId="1C701597" w:rsidR="006478A7" w:rsidRPr="008015BF" w:rsidRDefault="00E05DA1" w:rsidP="00BB00AC">
            <w:pPr>
              <w:spacing w:after="0" w:line="240" w:lineRule="auto"/>
              <w:rPr>
                <w:rFonts w:eastAsia="Times New Roman" w:cstheme="minorHAnsi"/>
                <w:color w:val="000000"/>
                <w:sz w:val="16"/>
                <w:szCs w:val="18"/>
                <w:lang w:eastAsia="en-GB"/>
              </w:rPr>
            </w:pPr>
            <w:r>
              <w:rPr>
                <w:rFonts w:eastAsia="Times New Roman" w:cstheme="minorHAnsi"/>
                <w:color w:val="000000"/>
                <w:sz w:val="16"/>
                <w:szCs w:val="18"/>
                <w:lang w:eastAsia="en-GB"/>
              </w:rPr>
              <w:t>30-</w:t>
            </w:r>
            <w:r w:rsidRPr="008015BF">
              <w:rPr>
                <w:rFonts w:eastAsia="Times New Roman" w:cstheme="minorHAnsi"/>
                <w:color w:val="000000"/>
                <w:sz w:val="16"/>
                <w:szCs w:val="18"/>
                <w:lang w:eastAsia="en-GB"/>
              </w:rPr>
              <w:t>39</w:t>
            </w:r>
          </w:p>
        </w:tc>
        <w:tc>
          <w:tcPr>
            <w:tcW w:w="2835" w:type="dxa"/>
            <w:shd w:val="clear" w:color="auto" w:fill="auto"/>
            <w:noWrap/>
            <w:vAlign w:val="bottom"/>
            <w:hideMark/>
          </w:tcPr>
          <w:p w14:paraId="4FD5CF9B" w14:textId="77777777" w:rsidR="006478A7" w:rsidRPr="008015BF" w:rsidRDefault="006478A7" w:rsidP="00BB00AC">
            <w:pPr>
              <w:spacing w:after="0" w:line="240" w:lineRule="auto"/>
              <w:rPr>
                <w:rFonts w:eastAsia="Times New Roman" w:cstheme="minorHAnsi"/>
                <w:color w:val="000000"/>
                <w:sz w:val="16"/>
                <w:szCs w:val="18"/>
                <w:lang w:eastAsia="en-GB"/>
              </w:rPr>
            </w:pPr>
            <w:r w:rsidRPr="008015BF">
              <w:rPr>
                <w:rFonts w:eastAsia="Times New Roman" w:cstheme="minorHAnsi"/>
                <w:color w:val="000000"/>
                <w:sz w:val="16"/>
                <w:szCs w:val="18"/>
                <w:lang w:eastAsia="en-GB"/>
              </w:rPr>
              <w:t>11</w:t>
            </w:r>
          </w:p>
        </w:tc>
        <w:tc>
          <w:tcPr>
            <w:tcW w:w="2835" w:type="dxa"/>
            <w:shd w:val="clear" w:color="auto" w:fill="auto"/>
            <w:noWrap/>
            <w:vAlign w:val="bottom"/>
            <w:hideMark/>
          </w:tcPr>
          <w:p w14:paraId="588A4EA4" w14:textId="0466B226" w:rsidR="006478A7" w:rsidRPr="008015BF" w:rsidRDefault="001D560B" w:rsidP="00BB00AC">
            <w:pPr>
              <w:spacing w:after="0" w:line="240" w:lineRule="auto"/>
              <w:rPr>
                <w:rFonts w:eastAsia="Times New Roman" w:cstheme="minorHAnsi"/>
                <w:color w:val="000000"/>
                <w:sz w:val="16"/>
                <w:szCs w:val="18"/>
                <w:lang w:eastAsia="en-GB"/>
              </w:rPr>
            </w:pPr>
            <w:r>
              <w:rPr>
                <w:rFonts w:eastAsia="Times New Roman" w:cstheme="minorHAnsi"/>
                <w:color w:val="000000"/>
                <w:sz w:val="16"/>
                <w:szCs w:val="18"/>
                <w:lang w:eastAsia="en-GB"/>
              </w:rPr>
              <w:t>51</w:t>
            </w:r>
          </w:p>
        </w:tc>
      </w:tr>
      <w:tr w:rsidR="006478A7" w:rsidRPr="008015BF" w14:paraId="66DF81C5" w14:textId="77777777" w:rsidTr="006478A7">
        <w:tc>
          <w:tcPr>
            <w:tcW w:w="911" w:type="dxa"/>
            <w:shd w:val="clear" w:color="auto" w:fill="auto"/>
            <w:noWrap/>
            <w:vAlign w:val="bottom"/>
            <w:hideMark/>
          </w:tcPr>
          <w:p w14:paraId="57C8D4C6" w14:textId="77777777" w:rsidR="006478A7" w:rsidRPr="008015BF" w:rsidRDefault="006478A7" w:rsidP="00BB00AC">
            <w:pPr>
              <w:spacing w:after="0" w:line="240" w:lineRule="auto"/>
              <w:rPr>
                <w:rFonts w:eastAsia="Times New Roman" w:cstheme="minorHAnsi"/>
                <w:color w:val="000000"/>
                <w:sz w:val="16"/>
                <w:szCs w:val="18"/>
                <w:lang w:eastAsia="en-GB"/>
              </w:rPr>
            </w:pPr>
            <w:r w:rsidRPr="008015BF">
              <w:rPr>
                <w:rFonts w:eastAsia="Times New Roman" w:cstheme="minorHAnsi"/>
                <w:color w:val="000000"/>
                <w:sz w:val="16"/>
                <w:szCs w:val="18"/>
                <w:lang w:eastAsia="en-GB"/>
              </w:rPr>
              <w:t>P30</w:t>
            </w:r>
          </w:p>
        </w:tc>
        <w:tc>
          <w:tcPr>
            <w:tcW w:w="2648" w:type="dxa"/>
            <w:shd w:val="clear" w:color="auto" w:fill="auto"/>
            <w:noWrap/>
            <w:vAlign w:val="bottom"/>
            <w:hideMark/>
          </w:tcPr>
          <w:p w14:paraId="4E97A39E" w14:textId="1DA7F801" w:rsidR="006478A7" w:rsidRPr="008015BF" w:rsidRDefault="006E2E4C" w:rsidP="00BB00AC">
            <w:pPr>
              <w:spacing w:after="0" w:line="240" w:lineRule="auto"/>
              <w:rPr>
                <w:rFonts w:eastAsia="Times New Roman" w:cstheme="minorHAnsi"/>
                <w:color w:val="000000"/>
                <w:sz w:val="16"/>
                <w:szCs w:val="18"/>
                <w:lang w:eastAsia="en-GB"/>
              </w:rPr>
            </w:pPr>
            <w:r>
              <w:rPr>
                <w:rFonts w:eastAsia="Times New Roman" w:cstheme="minorHAnsi"/>
                <w:color w:val="000000"/>
                <w:sz w:val="16"/>
                <w:szCs w:val="18"/>
                <w:lang w:eastAsia="en-GB"/>
              </w:rPr>
              <w:t>Se</w:t>
            </w:r>
            <w:r w:rsidRPr="00F82E59">
              <w:rPr>
                <w:rFonts w:eastAsia="Times New Roman" w:cstheme="minorHAnsi"/>
                <w:color w:val="000000"/>
                <w:sz w:val="16"/>
                <w:szCs w:val="18"/>
                <w:lang w:eastAsia="en-GB"/>
              </w:rPr>
              <w:t>condary school</w:t>
            </w:r>
          </w:p>
        </w:tc>
        <w:tc>
          <w:tcPr>
            <w:tcW w:w="992" w:type="dxa"/>
            <w:shd w:val="clear" w:color="auto" w:fill="auto"/>
            <w:noWrap/>
            <w:vAlign w:val="bottom"/>
            <w:hideMark/>
          </w:tcPr>
          <w:p w14:paraId="2B65DDD4" w14:textId="77777777" w:rsidR="006478A7" w:rsidRPr="008015BF" w:rsidRDefault="006478A7" w:rsidP="00BB00AC">
            <w:pPr>
              <w:spacing w:after="0" w:line="240" w:lineRule="auto"/>
              <w:rPr>
                <w:rFonts w:eastAsia="Times New Roman" w:cstheme="minorHAnsi"/>
                <w:color w:val="000000"/>
                <w:sz w:val="16"/>
                <w:szCs w:val="18"/>
                <w:lang w:eastAsia="en-GB"/>
              </w:rPr>
            </w:pPr>
            <w:r w:rsidRPr="008015BF">
              <w:rPr>
                <w:rFonts w:eastAsia="Times New Roman" w:cstheme="minorHAnsi"/>
                <w:color w:val="000000"/>
                <w:sz w:val="16"/>
                <w:szCs w:val="18"/>
                <w:lang w:eastAsia="en-GB"/>
              </w:rPr>
              <w:t>Female</w:t>
            </w:r>
          </w:p>
        </w:tc>
        <w:tc>
          <w:tcPr>
            <w:tcW w:w="1134" w:type="dxa"/>
            <w:shd w:val="clear" w:color="auto" w:fill="auto"/>
            <w:noWrap/>
            <w:vAlign w:val="bottom"/>
            <w:hideMark/>
          </w:tcPr>
          <w:p w14:paraId="7DFBEA66" w14:textId="6E19D15F" w:rsidR="006478A7" w:rsidRPr="008015BF" w:rsidRDefault="00E05DA1" w:rsidP="00BB00AC">
            <w:pPr>
              <w:spacing w:after="0" w:line="240" w:lineRule="auto"/>
              <w:rPr>
                <w:rFonts w:eastAsia="Times New Roman" w:cstheme="minorHAnsi"/>
                <w:color w:val="000000"/>
                <w:sz w:val="16"/>
                <w:szCs w:val="18"/>
                <w:lang w:eastAsia="en-GB"/>
              </w:rPr>
            </w:pPr>
            <w:r w:rsidRPr="008015BF">
              <w:rPr>
                <w:rFonts w:eastAsia="Times New Roman" w:cstheme="minorHAnsi"/>
                <w:color w:val="000000"/>
                <w:sz w:val="16"/>
                <w:szCs w:val="18"/>
                <w:lang w:eastAsia="en-GB"/>
              </w:rPr>
              <w:t>5</w:t>
            </w:r>
            <w:r>
              <w:rPr>
                <w:rFonts w:eastAsia="Times New Roman" w:cstheme="minorHAnsi"/>
                <w:color w:val="000000"/>
                <w:sz w:val="16"/>
                <w:szCs w:val="18"/>
                <w:lang w:eastAsia="en-GB"/>
              </w:rPr>
              <w:t>0-59</w:t>
            </w:r>
          </w:p>
        </w:tc>
        <w:tc>
          <w:tcPr>
            <w:tcW w:w="2835" w:type="dxa"/>
            <w:shd w:val="clear" w:color="auto" w:fill="auto"/>
            <w:noWrap/>
            <w:vAlign w:val="bottom"/>
            <w:hideMark/>
          </w:tcPr>
          <w:p w14:paraId="445C49D5" w14:textId="77777777" w:rsidR="006478A7" w:rsidRPr="008015BF" w:rsidRDefault="006478A7" w:rsidP="00BB00AC">
            <w:pPr>
              <w:spacing w:after="0" w:line="240" w:lineRule="auto"/>
              <w:rPr>
                <w:rFonts w:eastAsia="Times New Roman" w:cstheme="minorHAnsi"/>
                <w:color w:val="000000"/>
                <w:sz w:val="16"/>
                <w:szCs w:val="18"/>
                <w:lang w:eastAsia="en-GB"/>
              </w:rPr>
            </w:pPr>
            <w:r w:rsidRPr="008015BF">
              <w:rPr>
                <w:rFonts w:eastAsia="Times New Roman" w:cstheme="minorHAnsi"/>
                <w:color w:val="000000"/>
                <w:sz w:val="16"/>
                <w:szCs w:val="18"/>
                <w:lang w:eastAsia="en-GB"/>
              </w:rPr>
              <w:t>27</w:t>
            </w:r>
          </w:p>
        </w:tc>
        <w:tc>
          <w:tcPr>
            <w:tcW w:w="2835" w:type="dxa"/>
            <w:shd w:val="clear" w:color="auto" w:fill="auto"/>
            <w:noWrap/>
            <w:vAlign w:val="bottom"/>
            <w:hideMark/>
          </w:tcPr>
          <w:p w14:paraId="2389571C" w14:textId="72CD077C" w:rsidR="006478A7" w:rsidRPr="008015BF" w:rsidRDefault="001D560B" w:rsidP="00BB00AC">
            <w:pPr>
              <w:spacing w:after="0" w:line="240" w:lineRule="auto"/>
              <w:rPr>
                <w:rFonts w:eastAsia="Times New Roman" w:cstheme="minorHAnsi"/>
                <w:color w:val="000000"/>
                <w:sz w:val="16"/>
                <w:szCs w:val="18"/>
                <w:lang w:eastAsia="en-GB"/>
              </w:rPr>
            </w:pPr>
            <w:r>
              <w:rPr>
                <w:rFonts w:eastAsia="Times New Roman" w:cstheme="minorHAnsi"/>
                <w:color w:val="000000"/>
                <w:sz w:val="16"/>
                <w:szCs w:val="18"/>
                <w:lang w:eastAsia="en-GB"/>
              </w:rPr>
              <w:t>94</w:t>
            </w:r>
          </w:p>
        </w:tc>
      </w:tr>
      <w:tr w:rsidR="006478A7" w:rsidRPr="008015BF" w14:paraId="764E33CA" w14:textId="77777777" w:rsidTr="006478A7">
        <w:tc>
          <w:tcPr>
            <w:tcW w:w="911" w:type="dxa"/>
            <w:shd w:val="clear" w:color="auto" w:fill="auto"/>
            <w:noWrap/>
            <w:vAlign w:val="bottom"/>
            <w:hideMark/>
          </w:tcPr>
          <w:p w14:paraId="2782500A" w14:textId="77777777" w:rsidR="006478A7" w:rsidRPr="008015BF" w:rsidRDefault="006478A7" w:rsidP="00BB00AC">
            <w:pPr>
              <w:spacing w:after="0" w:line="240" w:lineRule="auto"/>
              <w:rPr>
                <w:rFonts w:eastAsia="Times New Roman" w:cstheme="minorHAnsi"/>
                <w:color w:val="000000"/>
                <w:sz w:val="16"/>
                <w:szCs w:val="18"/>
                <w:lang w:eastAsia="en-GB"/>
              </w:rPr>
            </w:pPr>
            <w:r w:rsidRPr="008015BF">
              <w:rPr>
                <w:rFonts w:eastAsia="Times New Roman" w:cstheme="minorHAnsi"/>
                <w:color w:val="000000"/>
                <w:sz w:val="16"/>
                <w:szCs w:val="18"/>
                <w:lang w:eastAsia="en-GB"/>
              </w:rPr>
              <w:t>P31</w:t>
            </w:r>
          </w:p>
        </w:tc>
        <w:tc>
          <w:tcPr>
            <w:tcW w:w="2648" w:type="dxa"/>
            <w:shd w:val="clear" w:color="auto" w:fill="auto"/>
            <w:noWrap/>
            <w:vAlign w:val="bottom"/>
            <w:hideMark/>
          </w:tcPr>
          <w:p w14:paraId="4D455192" w14:textId="043C2C07" w:rsidR="006478A7" w:rsidRPr="008015BF" w:rsidRDefault="006E2E4C" w:rsidP="00BB00AC">
            <w:pPr>
              <w:spacing w:after="0" w:line="240" w:lineRule="auto"/>
              <w:rPr>
                <w:rFonts w:eastAsia="Times New Roman" w:cstheme="minorHAnsi"/>
                <w:color w:val="000000"/>
                <w:sz w:val="16"/>
                <w:szCs w:val="18"/>
                <w:lang w:eastAsia="en-GB"/>
              </w:rPr>
            </w:pPr>
            <w:r>
              <w:rPr>
                <w:rFonts w:eastAsia="Times New Roman" w:cstheme="minorHAnsi"/>
                <w:color w:val="000000"/>
                <w:sz w:val="16"/>
                <w:szCs w:val="18"/>
                <w:lang w:eastAsia="en-GB"/>
              </w:rPr>
              <w:t>Se</w:t>
            </w:r>
            <w:r w:rsidRPr="00F82E59">
              <w:rPr>
                <w:rFonts w:eastAsia="Times New Roman" w:cstheme="minorHAnsi"/>
                <w:color w:val="000000"/>
                <w:sz w:val="16"/>
                <w:szCs w:val="18"/>
                <w:lang w:eastAsia="en-GB"/>
              </w:rPr>
              <w:t>condary school</w:t>
            </w:r>
          </w:p>
        </w:tc>
        <w:tc>
          <w:tcPr>
            <w:tcW w:w="992" w:type="dxa"/>
            <w:shd w:val="clear" w:color="auto" w:fill="auto"/>
            <w:noWrap/>
            <w:vAlign w:val="bottom"/>
            <w:hideMark/>
          </w:tcPr>
          <w:p w14:paraId="64BBBEC1" w14:textId="77777777" w:rsidR="006478A7" w:rsidRPr="008015BF" w:rsidRDefault="006478A7" w:rsidP="00BB00AC">
            <w:pPr>
              <w:spacing w:after="0" w:line="240" w:lineRule="auto"/>
              <w:rPr>
                <w:rFonts w:eastAsia="Times New Roman" w:cstheme="minorHAnsi"/>
                <w:color w:val="000000"/>
                <w:sz w:val="16"/>
                <w:szCs w:val="18"/>
                <w:lang w:eastAsia="en-GB"/>
              </w:rPr>
            </w:pPr>
            <w:r w:rsidRPr="008015BF">
              <w:rPr>
                <w:rFonts w:eastAsia="Times New Roman" w:cstheme="minorHAnsi"/>
                <w:color w:val="000000"/>
                <w:sz w:val="16"/>
                <w:szCs w:val="18"/>
                <w:lang w:eastAsia="en-GB"/>
              </w:rPr>
              <w:t>Male</w:t>
            </w:r>
          </w:p>
        </w:tc>
        <w:tc>
          <w:tcPr>
            <w:tcW w:w="1134" w:type="dxa"/>
            <w:shd w:val="clear" w:color="auto" w:fill="auto"/>
            <w:noWrap/>
            <w:vAlign w:val="bottom"/>
            <w:hideMark/>
          </w:tcPr>
          <w:p w14:paraId="1191E249" w14:textId="49A49E7D" w:rsidR="006478A7" w:rsidRPr="008015BF" w:rsidRDefault="00E05DA1" w:rsidP="00BB00AC">
            <w:pPr>
              <w:spacing w:after="0" w:line="240" w:lineRule="auto"/>
              <w:rPr>
                <w:rFonts w:eastAsia="Times New Roman" w:cstheme="minorHAnsi"/>
                <w:color w:val="000000"/>
                <w:sz w:val="16"/>
                <w:szCs w:val="18"/>
                <w:lang w:eastAsia="en-GB"/>
              </w:rPr>
            </w:pPr>
            <w:r>
              <w:rPr>
                <w:rFonts w:eastAsia="Times New Roman" w:cstheme="minorHAnsi"/>
                <w:color w:val="000000"/>
                <w:sz w:val="16"/>
                <w:szCs w:val="18"/>
                <w:lang w:eastAsia="en-GB"/>
              </w:rPr>
              <w:t>30-</w:t>
            </w:r>
            <w:r w:rsidRPr="008015BF">
              <w:rPr>
                <w:rFonts w:eastAsia="Times New Roman" w:cstheme="minorHAnsi"/>
                <w:color w:val="000000"/>
                <w:sz w:val="16"/>
                <w:szCs w:val="18"/>
                <w:lang w:eastAsia="en-GB"/>
              </w:rPr>
              <w:t>39</w:t>
            </w:r>
          </w:p>
        </w:tc>
        <w:tc>
          <w:tcPr>
            <w:tcW w:w="2835" w:type="dxa"/>
            <w:shd w:val="clear" w:color="auto" w:fill="auto"/>
            <w:noWrap/>
            <w:vAlign w:val="bottom"/>
            <w:hideMark/>
          </w:tcPr>
          <w:p w14:paraId="24A2BAC6" w14:textId="77777777" w:rsidR="006478A7" w:rsidRPr="008015BF" w:rsidRDefault="006478A7" w:rsidP="00BB00AC">
            <w:pPr>
              <w:spacing w:after="0" w:line="240" w:lineRule="auto"/>
              <w:rPr>
                <w:rFonts w:eastAsia="Times New Roman" w:cstheme="minorHAnsi"/>
                <w:color w:val="000000"/>
                <w:sz w:val="16"/>
                <w:szCs w:val="18"/>
                <w:lang w:eastAsia="en-GB"/>
              </w:rPr>
            </w:pPr>
            <w:r w:rsidRPr="008015BF">
              <w:rPr>
                <w:rFonts w:eastAsia="Times New Roman" w:cstheme="minorHAnsi"/>
                <w:color w:val="000000"/>
                <w:sz w:val="16"/>
                <w:szCs w:val="18"/>
                <w:lang w:eastAsia="en-GB"/>
              </w:rPr>
              <w:t>17</w:t>
            </w:r>
          </w:p>
        </w:tc>
        <w:tc>
          <w:tcPr>
            <w:tcW w:w="2835" w:type="dxa"/>
            <w:shd w:val="clear" w:color="auto" w:fill="auto"/>
            <w:noWrap/>
            <w:vAlign w:val="bottom"/>
            <w:hideMark/>
          </w:tcPr>
          <w:p w14:paraId="11E416DF" w14:textId="3EA51C47" w:rsidR="006478A7" w:rsidRPr="008015BF" w:rsidRDefault="001D560B" w:rsidP="00BB00AC">
            <w:pPr>
              <w:spacing w:after="0" w:line="240" w:lineRule="auto"/>
              <w:rPr>
                <w:rFonts w:eastAsia="Times New Roman" w:cstheme="minorHAnsi"/>
                <w:color w:val="000000"/>
                <w:sz w:val="16"/>
                <w:szCs w:val="18"/>
                <w:lang w:eastAsia="en-GB"/>
              </w:rPr>
            </w:pPr>
            <w:r>
              <w:rPr>
                <w:rFonts w:eastAsia="Times New Roman" w:cstheme="minorHAnsi"/>
                <w:color w:val="000000"/>
                <w:sz w:val="16"/>
                <w:szCs w:val="18"/>
                <w:lang w:eastAsia="en-GB"/>
              </w:rPr>
              <w:t>46</w:t>
            </w:r>
          </w:p>
        </w:tc>
      </w:tr>
      <w:tr w:rsidR="006478A7" w:rsidRPr="008015BF" w14:paraId="5B991251" w14:textId="77777777" w:rsidTr="006478A7">
        <w:tc>
          <w:tcPr>
            <w:tcW w:w="911" w:type="dxa"/>
            <w:shd w:val="clear" w:color="auto" w:fill="auto"/>
            <w:noWrap/>
            <w:vAlign w:val="bottom"/>
            <w:hideMark/>
          </w:tcPr>
          <w:p w14:paraId="3125B0DD" w14:textId="77777777" w:rsidR="006478A7" w:rsidRPr="008015BF" w:rsidRDefault="006478A7" w:rsidP="00BB00AC">
            <w:pPr>
              <w:spacing w:after="0" w:line="240" w:lineRule="auto"/>
              <w:rPr>
                <w:rFonts w:eastAsia="Times New Roman" w:cstheme="minorHAnsi"/>
                <w:color w:val="000000"/>
                <w:sz w:val="16"/>
                <w:szCs w:val="18"/>
                <w:lang w:eastAsia="en-GB"/>
              </w:rPr>
            </w:pPr>
            <w:r w:rsidRPr="008015BF">
              <w:rPr>
                <w:rFonts w:eastAsia="Times New Roman" w:cstheme="minorHAnsi"/>
                <w:color w:val="000000"/>
                <w:sz w:val="16"/>
                <w:szCs w:val="18"/>
                <w:lang w:eastAsia="en-GB"/>
              </w:rPr>
              <w:t>P32</w:t>
            </w:r>
          </w:p>
        </w:tc>
        <w:tc>
          <w:tcPr>
            <w:tcW w:w="2648" w:type="dxa"/>
            <w:shd w:val="clear" w:color="auto" w:fill="auto"/>
            <w:noWrap/>
            <w:vAlign w:val="bottom"/>
            <w:hideMark/>
          </w:tcPr>
          <w:p w14:paraId="0DFED818" w14:textId="0E0774D4" w:rsidR="006478A7" w:rsidRPr="008015BF" w:rsidRDefault="006E2E4C" w:rsidP="00BB00AC">
            <w:pPr>
              <w:spacing w:after="0" w:line="240" w:lineRule="auto"/>
              <w:rPr>
                <w:rFonts w:eastAsia="Times New Roman" w:cstheme="minorHAnsi"/>
                <w:color w:val="000000"/>
                <w:sz w:val="16"/>
                <w:szCs w:val="18"/>
                <w:lang w:eastAsia="en-GB"/>
              </w:rPr>
            </w:pPr>
            <w:r>
              <w:rPr>
                <w:rFonts w:eastAsia="Times New Roman" w:cstheme="minorHAnsi"/>
                <w:color w:val="000000"/>
                <w:sz w:val="16"/>
                <w:szCs w:val="18"/>
                <w:lang w:eastAsia="en-GB"/>
              </w:rPr>
              <w:t>C</w:t>
            </w:r>
            <w:r w:rsidRPr="006E2E4C">
              <w:rPr>
                <w:rFonts w:eastAsia="Times New Roman" w:cstheme="minorHAnsi"/>
                <w:color w:val="000000"/>
                <w:sz w:val="16"/>
                <w:szCs w:val="18"/>
                <w:lang w:eastAsia="en-GB"/>
              </w:rPr>
              <w:t>ollege/ university</w:t>
            </w:r>
          </w:p>
        </w:tc>
        <w:tc>
          <w:tcPr>
            <w:tcW w:w="992" w:type="dxa"/>
            <w:shd w:val="clear" w:color="auto" w:fill="auto"/>
            <w:noWrap/>
            <w:vAlign w:val="bottom"/>
            <w:hideMark/>
          </w:tcPr>
          <w:p w14:paraId="255BE966" w14:textId="77777777" w:rsidR="006478A7" w:rsidRPr="008015BF" w:rsidRDefault="006478A7" w:rsidP="00BB00AC">
            <w:pPr>
              <w:spacing w:after="0" w:line="240" w:lineRule="auto"/>
              <w:rPr>
                <w:rFonts w:eastAsia="Times New Roman" w:cstheme="minorHAnsi"/>
                <w:color w:val="000000"/>
                <w:sz w:val="16"/>
                <w:szCs w:val="18"/>
                <w:lang w:eastAsia="en-GB"/>
              </w:rPr>
            </w:pPr>
            <w:r w:rsidRPr="008015BF">
              <w:rPr>
                <w:rFonts w:eastAsia="Times New Roman" w:cstheme="minorHAnsi"/>
                <w:color w:val="000000"/>
                <w:sz w:val="16"/>
                <w:szCs w:val="18"/>
                <w:lang w:eastAsia="en-GB"/>
              </w:rPr>
              <w:t>Female</w:t>
            </w:r>
          </w:p>
        </w:tc>
        <w:tc>
          <w:tcPr>
            <w:tcW w:w="1134" w:type="dxa"/>
            <w:shd w:val="clear" w:color="auto" w:fill="auto"/>
            <w:noWrap/>
            <w:vAlign w:val="bottom"/>
            <w:hideMark/>
          </w:tcPr>
          <w:p w14:paraId="5215B8D5" w14:textId="31B4F85D" w:rsidR="006478A7" w:rsidRPr="008015BF" w:rsidRDefault="006478A7" w:rsidP="00BB00AC">
            <w:pPr>
              <w:spacing w:after="0" w:line="240" w:lineRule="auto"/>
              <w:rPr>
                <w:rFonts w:eastAsia="Times New Roman" w:cstheme="minorHAnsi"/>
                <w:color w:val="000000"/>
                <w:sz w:val="16"/>
                <w:szCs w:val="18"/>
                <w:lang w:eastAsia="en-GB"/>
              </w:rPr>
            </w:pPr>
            <w:r w:rsidRPr="008015BF">
              <w:rPr>
                <w:rFonts w:eastAsia="Times New Roman" w:cstheme="minorHAnsi"/>
                <w:color w:val="000000"/>
                <w:sz w:val="16"/>
                <w:szCs w:val="18"/>
                <w:lang w:eastAsia="en-GB"/>
              </w:rPr>
              <w:t>2</w:t>
            </w:r>
            <w:r w:rsidR="00E05DA1">
              <w:rPr>
                <w:rFonts w:eastAsia="Times New Roman" w:cstheme="minorHAnsi"/>
                <w:color w:val="000000"/>
                <w:sz w:val="16"/>
                <w:szCs w:val="18"/>
                <w:lang w:eastAsia="en-GB"/>
              </w:rPr>
              <w:t>0-29</w:t>
            </w:r>
          </w:p>
        </w:tc>
        <w:tc>
          <w:tcPr>
            <w:tcW w:w="2835" w:type="dxa"/>
            <w:shd w:val="clear" w:color="auto" w:fill="auto"/>
            <w:noWrap/>
            <w:vAlign w:val="bottom"/>
            <w:hideMark/>
          </w:tcPr>
          <w:p w14:paraId="2660A7DC" w14:textId="77777777" w:rsidR="006478A7" w:rsidRPr="008015BF" w:rsidRDefault="006478A7" w:rsidP="00BB00AC">
            <w:pPr>
              <w:spacing w:after="0" w:line="240" w:lineRule="auto"/>
              <w:rPr>
                <w:rFonts w:eastAsia="Times New Roman" w:cstheme="minorHAnsi"/>
                <w:color w:val="000000"/>
                <w:sz w:val="16"/>
                <w:szCs w:val="18"/>
                <w:lang w:eastAsia="en-GB"/>
              </w:rPr>
            </w:pPr>
            <w:r w:rsidRPr="008015BF">
              <w:rPr>
                <w:rFonts w:eastAsia="Times New Roman" w:cstheme="minorHAnsi"/>
                <w:color w:val="000000"/>
                <w:sz w:val="16"/>
                <w:szCs w:val="18"/>
                <w:lang w:eastAsia="en-GB"/>
              </w:rPr>
              <w:t>5</w:t>
            </w:r>
          </w:p>
        </w:tc>
        <w:tc>
          <w:tcPr>
            <w:tcW w:w="2835" w:type="dxa"/>
            <w:shd w:val="clear" w:color="auto" w:fill="auto"/>
            <w:noWrap/>
            <w:vAlign w:val="bottom"/>
            <w:hideMark/>
          </w:tcPr>
          <w:p w14:paraId="65146CA6" w14:textId="697BF2A8" w:rsidR="006478A7" w:rsidRPr="008015BF" w:rsidRDefault="001D560B" w:rsidP="00BB00AC">
            <w:pPr>
              <w:spacing w:after="0" w:line="240" w:lineRule="auto"/>
              <w:rPr>
                <w:rFonts w:eastAsia="Times New Roman" w:cstheme="minorHAnsi"/>
                <w:color w:val="000000"/>
                <w:sz w:val="16"/>
                <w:szCs w:val="18"/>
                <w:lang w:eastAsia="en-GB"/>
              </w:rPr>
            </w:pPr>
            <w:r>
              <w:rPr>
                <w:rFonts w:eastAsia="Times New Roman" w:cstheme="minorHAnsi"/>
                <w:color w:val="000000"/>
                <w:sz w:val="16"/>
                <w:szCs w:val="18"/>
                <w:lang w:eastAsia="en-GB"/>
              </w:rPr>
              <w:t>25</w:t>
            </w:r>
          </w:p>
        </w:tc>
      </w:tr>
      <w:tr w:rsidR="006478A7" w:rsidRPr="008015BF" w14:paraId="6F3B4DAD" w14:textId="77777777" w:rsidTr="006478A7">
        <w:tc>
          <w:tcPr>
            <w:tcW w:w="911" w:type="dxa"/>
            <w:shd w:val="clear" w:color="auto" w:fill="auto"/>
            <w:noWrap/>
            <w:vAlign w:val="bottom"/>
            <w:hideMark/>
          </w:tcPr>
          <w:p w14:paraId="1A608A7D" w14:textId="77777777" w:rsidR="006478A7" w:rsidRPr="008015BF" w:rsidRDefault="006478A7" w:rsidP="00BB00AC">
            <w:pPr>
              <w:spacing w:after="0" w:line="240" w:lineRule="auto"/>
              <w:rPr>
                <w:rFonts w:eastAsia="Times New Roman" w:cstheme="minorHAnsi"/>
                <w:color w:val="000000"/>
                <w:sz w:val="16"/>
                <w:szCs w:val="18"/>
                <w:lang w:eastAsia="en-GB"/>
              </w:rPr>
            </w:pPr>
            <w:r w:rsidRPr="008015BF">
              <w:rPr>
                <w:rFonts w:eastAsia="Times New Roman" w:cstheme="minorHAnsi"/>
                <w:color w:val="000000"/>
                <w:sz w:val="16"/>
                <w:szCs w:val="18"/>
                <w:lang w:eastAsia="en-GB"/>
              </w:rPr>
              <w:t>P33</w:t>
            </w:r>
          </w:p>
        </w:tc>
        <w:tc>
          <w:tcPr>
            <w:tcW w:w="2648" w:type="dxa"/>
            <w:shd w:val="clear" w:color="auto" w:fill="auto"/>
            <w:noWrap/>
            <w:vAlign w:val="bottom"/>
            <w:hideMark/>
          </w:tcPr>
          <w:p w14:paraId="04ADA7D1" w14:textId="7A0D2F80" w:rsidR="006478A7" w:rsidRPr="008015BF" w:rsidRDefault="006E2E4C" w:rsidP="00BB00AC">
            <w:pPr>
              <w:spacing w:after="0" w:line="240" w:lineRule="auto"/>
              <w:rPr>
                <w:rFonts w:eastAsia="Times New Roman" w:cstheme="minorHAnsi"/>
                <w:color w:val="000000"/>
                <w:sz w:val="16"/>
                <w:szCs w:val="18"/>
                <w:lang w:eastAsia="en-GB"/>
              </w:rPr>
            </w:pPr>
            <w:r>
              <w:rPr>
                <w:rFonts w:eastAsia="Times New Roman" w:cstheme="minorHAnsi"/>
                <w:color w:val="000000"/>
                <w:sz w:val="16"/>
                <w:szCs w:val="18"/>
                <w:lang w:eastAsia="en-GB"/>
              </w:rPr>
              <w:t>Se</w:t>
            </w:r>
            <w:r w:rsidRPr="00F82E59">
              <w:rPr>
                <w:rFonts w:eastAsia="Times New Roman" w:cstheme="minorHAnsi"/>
                <w:color w:val="000000"/>
                <w:sz w:val="16"/>
                <w:szCs w:val="18"/>
                <w:lang w:eastAsia="en-GB"/>
              </w:rPr>
              <w:t>condary school</w:t>
            </w:r>
          </w:p>
        </w:tc>
        <w:tc>
          <w:tcPr>
            <w:tcW w:w="992" w:type="dxa"/>
            <w:shd w:val="clear" w:color="auto" w:fill="auto"/>
            <w:noWrap/>
            <w:vAlign w:val="bottom"/>
            <w:hideMark/>
          </w:tcPr>
          <w:p w14:paraId="7E9A78A5" w14:textId="77777777" w:rsidR="006478A7" w:rsidRPr="008015BF" w:rsidRDefault="006478A7" w:rsidP="00BB00AC">
            <w:pPr>
              <w:spacing w:after="0" w:line="240" w:lineRule="auto"/>
              <w:rPr>
                <w:rFonts w:eastAsia="Times New Roman" w:cstheme="minorHAnsi"/>
                <w:color w:val="000000"/>
                <w:sz w:val="16"/>
                <w:szCs w:val="18"/>
                <w:lang w:eastAsia="en-GB"/>
              </w:rPr>
            </w:pPr>
            <w:r w:rsidRPr="008015BF">
              <w:rPr>
                <w:rFonts w:eastAsia="Times New Roman" w:cstheme="minorHAnsi"/>
                <w:color w:val="000000"/>
                <w:sz w:val="16"/>
                <w:szCs w:val="18"/>
                <w:lang w:eastAsia="en-GB"/>
              </w:rPr>
              <w:t>Female</w:t>
            </w:r>
          </w:p>
        </w:tc>
        <w:tc>
          <w:tcPr>
            <w:tcW w:w="1134" w:type="dxa"/>
            <w:shd w:val="clear" w:color="auto" w:fill="auto"/>
            <w:noWrap/>
            <w:vAlign w:val="bottom"/>
            <w:hideMark/>
          </w:tcPr>
          <w:p w14:paraId="07134616" w14:textId="650F5E4D" w:rsidR="006478A7" w:rsidRPr="008015BF" w:rsidRDefault="006478A7" w:rsidP="00BB00AC">
            <w:pPr>
              <w:spacing w:after="0" w:line="240" w:lineRule="auto"/>
              <w:rPr>
                <w:rFonts w:eastAsia="Times New Roman" w:cstheme="minorHAnsi"/>
                <w:color w:val="000000"/>
                <w:sz w:val="16"/>
                <w:szCs w:val="18"/>
                <w:lang w:eastAsia="en-GB"/>
              </w:rPr>
            </w:pPr>
            <w:r w:rsidRPr="008015BF">
              <w:rPr>
                <w:rFonts w:eastAsia="Times New Roman" w:cstheme="minorHAnsi"/>
                <w:color w:val="000000"/>
                <w:sz w:val="16"/>
                <w:szCs w:val="18"/>
                <w:lang w:eastAsia="en-GB"/>
              </w:rPr>
              <w:t>7</w:t>
            </w:r>
            <w:r w:rsidR="00E05DA1">
              <w:rPr>
                <w:rFonts w:eastAsia="Times New Roman" w:cstheme="minorHAnsi"/>
                <w:color w:val="000000"/>
                <w:sz w:val="16"/>
                <w:szCs w:val="18"/>
                <w:lang w:eastAsia="en-GB"/>
              </w:rPr>
              <w:t>0-79</w:t>
            </w:r>
          </w:p>
        </w:tc>
        <w:tc>
          <w:tcPr>
            <w:tcW w:w="2835" w:type="dxa"/>
            <w:shd w:val="clear" w:color="auto" w:fill="auto"/>
            <w:noWrap/>
            <w:vAlign w:val="bottom"/>
            <w:hideMark/>
          </w:tcPr>
          <w:p w14:paraId="09745BF0" w14:textId="77777777" w:rsidR="006478A7" w:rsidRPr="008015BF" w:rsidRDefault="006478A7" w:rsidP="00BB00AC">
            <w:pPr>
              <w:spacing w:after="0" w:line="240" w:lineRule="auto"/>
              <w:rPr>
                <w:rFonts w:eastAsia="Times New Roman" w:cstheme="minorHAnsi"/>
                <w:color w:val="000000"/>
                <w:sz w:val="16"/>
                <w:szCs w:val="18"/>
                <w:lang w:eastAsia="en-GB"/>
              </w:rPr>
            </w:pPr>
            <w:r w:rsidRPr="008015BF">
              <w:rPr>
                <w:rFonts w:eastAsia="Times New Roman" w:cstheme="minorHAnsi"/>
                <w:color w:val="000000"/>
                <w:sz w:val="16"/>
                <w:szCs w:val="18"/>
                <w:lang w:eastAsia="en-GB"/>
              </w:rPr>
              <w:t>38</w:t>
            </w:r>
          </w:p>
        </w:tc>
        <w:tc>
          <w:tcPr>
            <w:tcW w:w="2835" w:type="dxa"/>
            <w:shd w:val="clear" w:color="auto" w:fill="auto"/>
            <w:noWrap/>
            <w:vAlign w:val="bottom"/>
            <w:hideMark/>
          </w:tcPr>
          <w:p w14:paraId="4FF7C487" w14:textId="531915E2" w:rsidR="006478A7" w:rsidRPr="008015BF" w:rsidRDefault="001D560B" w:rsidP="00BB00AC">
            <w:pPr>
              <w:spacing w:after="0" w:line="240" w:lineRule="auto"/>
              <w:rPr>
                <w:rFonts w:eastAsia="Times New Roman" w:cstheme="minorHAnsi"/>
                <w:color w:val="000000"/>
                <w:sz w:val="16"/>
                <w:szCs w:val="18"/>
                <w:lang w:eastAsia="en-GB"/>
              </w:rPr>
            </w:pPr>
            <w:r>
              <w:rPr>
                <w:rFonts w:eastAsia="Times New Roman" w:cstheme="minorHAnsi"/>
                <w:color w:val="000000"/>
                <w:sz w:val="16"/>
                <w:szCs w:val="18"/>
                <w:lang w:eastAsia="en-GB"/>
              </w:rPr>
              <w:t>74</w:t>
            </w:r>
          </w:p>
        </w:tc>
      </w:tr>
      <w:tr w:rsidR="006478A7" w:rsidRPr="008015BF" w14:paraId="339DBD9F" w14:textId="77777777" w:rsidTr="006478A7">
        <w:tc>
          <w:tcPr>
            <w:tcW w:w="911" w:type="dxa"/>
            <w:shd w:val="clear" w:color="auto" w:fill="auto"/>
            <w:noWrap/>
            <w:vAlign w:val="bottom"/>
            <w:hideMark/>
          </w:tcPr>
          <w:p w14:paraId="511FCF7F" w14:textId="77777777" w:rsidR="006478A7" w:rsidRPr="008015BF" w:rsidRDefault="006478A7" w:rsidP="00BB00AC">
            <w:pPr>
              <w:spacing w:after="0" w:line="240" w:lineRule="auto"/>
              <w:rPr>
                <w:rFonts w:eastAsia="Times New Roman" w:cstheme="minorHAnsi"/>
                <w:color w:val="000000"/>
                <w:sz w:val="16"/>
                <w:szCs w:val="18"/>
                <w:lang w:eastAsia="en-GB"/>
              </w:rPr>
            </w:pPr>
            <w:r w:rsidRPr="008015BF">
              <w:rPr>
                <w:rFonts w:eastAsia="Times New Roman" w:cstheme="minorHAnsi"/>
                <w:color w:val="000000"/>
                <w:sz w:val="16"/>
                <w:szCs w:val="18"/>
                <w:lang w:eastAsia="en-GB"/>
              </w:rPr>
              <w:t>P34</w:t>
            </w:r>
          </w:p>
        </w:tc>
        <w:tc>
          <w:tcPr>
            <w:tcW w:w="2648" w:type="dxa"/>
            <w:shd w:val="clear" w:color="auto" w:fill="auto"/>
            <w:noWrap/>
            <w:vAlign w:val="bottom"/>
            <w:hideMark/>
          </w:tcPr>
          <w:p w14:paraId="4C681952" w14:textId="5BB9BF28" w:rsidR="006478A7" w:rsidRPr="008015BF" w:rsidRDefault="006E2E4C" w:rsidP="00BB00AC">
            <w:pPr>
              <w:spacing w:after="0" w:line="240" w:lineRule="auto"/>
              <w:rPr>
                <w:rFonts w:eastAsia="Times New Roman" w:cstheme="minorHAnsi"/>
                <w:color w:val="000000"/>
                <w:sz w:val="16"/>
                <w:szCs w:val="18"/>
                <w:lang w:eastAsia="en-GB"/>
              </w:rPr>
            </w:pPr>
            <w:r>
              <w:rPr>
                <w:rFonts w:eastAsia="Times New Roman" w:cstheme="minorHAnsi"/>
                <w:color w:val="000000"/>
                <w:sz w:val="16"/>
                <w:szCs w:val="18"/>
                <w:lang w:eastAsia="en-GB"/>
              </w:rPr>
              <w:t>Postgraduate</w:t>
            </w:r>
          </w:p>
        </w:tc>
        <w:tc>
          <w:tcPr>
            <w:tcW w:w="992" w:type="dxa"/>
            <w:shd w:val="clear" w:color="auto" w:fill="auto"/>
            <w:noWrap/>
            <w:vAlign w:val="bottom"/>
            <w:hideMark/>
          </w:tcPr>
          <w:p w14:paraId="2F8394D3" w14:textId="77777777" w:rsidR="006478A7" w:rsidRPr="008015BF" w:rsidRDefault="006478A7" w:rsidP="00BB00AC">
            <w:pPr>
              <w:spacing w:after="0" w:line="240" w:lineRule="auto"/>
              <w:rPr>
                <w:rFonts w:eastAsia="Times New Roman" w:cstheme="minorHAnsi"/>
                <w:color w:val="000000"/>
                <w:sz w:val="16"/>
                <w:szCs w:val="18"/>
                <w:lang w:eastAsia="en-GB"/>
              </w:rPr>
            </w:pPr>
            <w:r w:rsidRPr="008015BF">
              <w:rPr>
                <w:rFonts w:eastAsia="Times New Roman" w:cstheme="minorHAnsi"/>
                <w:color w:val="000000"/>
                <w:sz w:val="16"/>
                <w:szCs w:val="18"/>
                <w:lang w:eastAsia="en-GB"/>
              </w:rPr>
              <w:t>Male</w:t>
            </w:r>
          </w:p>
        </w:tc>
        <w:tc>
          <w:tcPr>
            <w:tcW w:w="1134" w:type="dxa"/>
            <w:shd w:val="clear" w:color="auto" w:fill="auto"/>
            <w:noWrap/>
            <w:vAlign w:val="bottom"/>
            <w:hideMark/>
          </w:tcPr>
          <w:p w14:paraId="65F1203E" w14:textId="297A5581" w:rsidR="006478A7" w:rsidRPr="008015BF" w:rsidRDefault="00E05DA1" w:rsidP="00BB00AC">
            <w:pPr>
              <w:spacing w:after="0" w:line="240" w:lineRule="auto"/>
              <w:rPr>
                <w:rFonts w:eastAsia="Times New Roman" w:cstheme="minorHAnsi"/>
                <w:color w:val="000000"/>
                <w:sz w:val="16"/>
                <w:szCs w:val="18"/>
                <w:lang w:eastAsia="en-GB"/>
              </w:rPr>
            </w:pPr>
            <w:r w:rsidRPr="008015BF">
              <w:rPr>
                <w:rFonts w:eastAsia="Times New Roman" w:cstheme="minorHAnsi"/>
                <w:color w:val="000000"/>
                <w:sz w:val="16"/>
                <w:szCs w:val="18"/>
                <w:lang w:eastAsia="en-GB"/>
              </w:rPr>
              <w:t>6</w:t>
            </w:r>
            <w:r>
              <w:rPr>
                <w:rFonts w:eastAsia="Times New Roman" w:cstheme="minorHAnsi"/>
                <w:color w:val="000000"/>
                <w:sz w:val="16"/>
                <w:szCs w:val="18"/>
                <w:lang w:eastAsia="en-GB"/>
              </w:rPr>
              <w:t>0-69</w:t>
            </w:r>
          </w:p>
        </w:tc>
        <w:tc>
          <w:tcPr>
            <w:tcW w:w="2835" w:type="dxa"/>
            <w:shd w:val="clear" w:color="auto" w:fill="auto"/>
            <w:noWrap/>
            <w:vAlign w:val="bottom"/>
            <w:hideMark/>
          </w:tcPr>
          <w:p w14:paraId="6E6ED033" w14:textId="77777777" w:rsidR="006478A7" w:rsidRPr="008015BF" w:rsidRDefault="006478A7" w:rsidP="00BB00AC">
            <w:pPr>
              <w:spacing w:after="0" w:line="240" w:lineRule="auto"/>
              <w:rPr>
                <w:rFonts w:eastAsia="Times New Roman" w:cstheme="minorHAnsi"/>
                <w:color w:val="000000"/>
                <w:sz w:val="16"/>
                <w:szCs w:val="18"/>
                <w:lang w:eastAsia="en-GB"/>
              </w:rPr>
            </w:pPr>
            <w:r w:rsidRPr="008015BF">
              <w:rPr>
                <w:rFonts w:eastAsia="Times New Roman" w:cstheme="minorHAnsi"/>
                <w:color w:val="000000"/>
                <w:sz w:val="16"/>
                <w:szCs w:val="18"/>
                <w:lang w:eastAsia="en-GB"/>
              </w:rPr>
              <w:t>9</w:t>
            </w:r>
          </w:p>
        </w:tc>
        <w:tc>
          <w:tcPr>
            <w:tcW w:w="2835" w:type="dxa"/>
            <w:shd w:val="clear" w:color="auto" w:fill="auto"/>
            <w:noWrap/>
            <w:vAlign w:val="bottom"/>
            <w:hideMark/>
          </w:tcPr>
          <w:p w14:paraId="2C362106" w14:textId="5B7FA4F3" w:rsidR="006478A7" w:rsidRPr="008015BF" w:rsidRDefault="001D560B" w:rsidP="00BB00AC">
            <w:pPr>
              <w:spacing w:after="0" w:line="240" w:lineRule="auto"/>
              <w:rPr>
                <w:rFonts w:eastAsia="Times New Roman" w:cstheme="minorHAnsi"/>
                <w:color w:val="000000"/>
                <w:sz w:val="16"/>
                <w:szCs w:val="18"/>
                <w:lang w:eastAsia="en-GB"/>
              </w:rPr>
            </w:pPr>
            <w:r>
              <w:rPr>
                <w:rFonts w:eastAsia="Times New Roman" w:cstheme="minorHAnsi"/>
                <w:color w:val="000000"/>
                <w:sz w:val="16"/>
                <w:szCs w:val="18"/>
                <w:lang w:eastAsia="en-GB"/>
              </w:rPr>
              <w:t>26</w:t>
            </w:r>
          </w:p>
        </w:tc>
      </w:tr>
      <w:tr w:rsidR="006478A7" w:rsidRPr="008015BF" w14:paraId="1061EAD3" w14:textId="77777777" w:rsidTr="006478A7">
        <w:tc>
          <w:tcPr>
            <w:tcW w:w="911" w:type="dxa"/>
            <w:shd w:val="clear" w:color="auto" w:fill="auto"/>
            <w:noWrap/>
            <w:vAlign w:val="bottom"/>
            <w:hideMark/>
          </w:tcPr>
          <w:p w14:paraId="45803974" w14:textId="77777777" w:rsidR="006478A7" w:rsidRPr="008015BF" w:rsidRDefault="006478A7" w:rsidP="00BB00AC">
            <w:pPr>
              <w:spacing w:after="0" w:line="240" w:lineRule="auto"/>
              <w:rPr>
                <w:rFonts w:eastAsia="Times New Roman" w:cstheme="minorHAnsi"/>
                <w:color w:val="000000"/>
                <w:sz w:val="16"/>
                <w:szCs w:val="18"/>
                <w:lang w:eastAsia="en-GB"/>
              </w:rPr>
            </w:pPr>
            <w:r w:rsidRPr="008015BF">
              <w:rPr>
                <w:rFonts w:eastAsia="Times New Roman" w:cstheme="minorHAnsi"/>
                <w:color w:val="000000"/>
                <w:sz w:val="16"/>
                <w:szCs w:val="18"/>
                <w:lang w:eastAsia="en-GB"/>
              </w:rPr>
              <w:t>P35</w:t>
            </w:r>
          </w:p>
        </w:tc>
        <w:tc>
          <w:tcPr>
            <w:tcW w:w="2648" w:type="dxa"/>
            <w:shd w:val="clear" w:color="auto" w:fill="auto"/>
            <w:noWrap/>
            <w:vAlign w:val="bottom"/>
            <w:hideMark/>
          </w:tcPr>
          <w:p w14:paraId="6328F5EC" w14:textId="6689C9E9" w:rsidR="006478A7" w:rsidRPr="008015BF" w:rsidRDefault="006E2E4C" w:rsidP="00BB00AC">
            <w:pPr>
              <w:spacing w:after="0" w:line="240" w:lineRule="auto"/>
              <w:rPr>
                <w:rFonts w:eastAsia="Times New Roman" w:cstheme="minorHAnsi"/>
                <w:color w:val="000000"/>
                <w:sz w:val="16"/>
                <w:szCs w:val="18"/>
                <w:lang w:eastAsia="en-GB"/>
              </w:rPr>
            </w:pPr>
            <w:r>
              <w:rPr>
                <w:rFonts w:eastAsia="Times New Roman" w:cstheme="minorHAnsi"/>
                <w:color w:val="000000"/>
                <w:sz w:val="16"/>
                <w:szCs w:val="18"/>
                <w:lang w:eastAsia="en-GB"/>
              </w:rPr>
              <w:t>C</w:t>
            </w:r>
            <w:r w:rsidRPr="006E2E4C">
              <w:rPr>
                <w:rFonts w:eastAsia="Times New Roman" w:cstheme="minorHAnsi"/>
                <w:color w:val="000000"/>
                <w:sz w:val="16"/>
                <w:szCs w:val="18"/>
                <w:lang w:eastAsia="en-GB"/>
              </w:rPr>
              <w:t>ollege/ university</w:t>
            </w:r>
          </w:p>
        </w:tc>
        <w:tc>
          <w:tcPr>
            <w:tcW w:w="992" w:type="dxa"/>
            <w:shd w:val="clear" w:color="auto" w:fill="auto"/>
            <w:noWrap/>
            <w:vAlign w:val="bottom"/>
            <w:hideMark/>
          </w:tcPr>
          <w:p w14:paraId="0B4F5DBC" w14:textId="77777777" w:rsidR="006478A7" w:rsidRPr="008015BF" w:rsidRDefault="006478A7" w:rsidP="00BB00AC">
            <w:pPr>
              <w:spacing w:after="0" w:line="240" w:lineRule="auto"/>
              <w:rPr>
                <w:rFonts w:eastAsia="Times New Roman" w:cstheme="minorHAnsi"/>
                <w:color w:val="000000"/>
                <w:sz w:val="16"/>
                <w:szCs w:val="18"/>
                <w:lang w:eastAsia="en-GB"/>
              </w:rPr>
            </w:pPr>
            <w:r w:rsidRPr="008015BF">
              <w:rPr>
                <w:rFonts w:eastAsia="Times New Roman" w:cstheme="minorHAnsi"/>
                <w:color w:val="000000"/>
                <w:sz w:val="16"/>
                <w:szCs w:val="18"/>
                <w:lang w:eastAsia="en-GB"/>
              </w:rPr>
              <w:t>Male</w:t>
            </w:r>
          </w:p>
        </w:tc>
        <w:tc>
          <w:tcPr>
            <w:tcW w:w="1134" w:type="dxa"/>
            <w:shd w:val="clear" w:color="auto" w:fill="auto"/>
            <w:noWrap/>
            <w:vAlign w:val="bottom"/>
            <w:hideMark/>
          </w:tcPr>
          <w:p w14:paraId="7ECBB5E2" w14:textId="6C7C2632" w:rsidR="006478A7" w:rsidRPr="008015BF" w:rsidRDefault="00E05DA1" w:rsidP="00BB00AC">
            <w:pPr>
              <w:spacing w:after="0" w:line="240" w:lineRule="auto"/>
              <w:rPr>
                <w:rFonts w:eastAsia="Times New Roman" w:cstheme="minorHAnsi"/>
                <w:color w:val="000000"/>
                <w:sz w:val="16"/>
                <w:szCs w:val="18"/>
                <w:lang w:eastAsia="en-GB"/>
              </w:rPr>
            </w:pPr>
            <w:r w:rsidRPr="008015BF">
              <w:rPr>
                <w:rFonts w:eastAsia="Times New Roman" w:cstheme="minorHAnsi"/>
                <w:color w:val="000000"/>
                <w:sz w:val="16"/>
                <w:szCs w:val="18"/>
                <w:lang w:eastAsia="en-GB"/>
              </w:rPr>
              <w:t>5</w:t>
            </w:r>
            <w:r>
              <w:rPr>
                <w:rFonts w:eastAsia="Times New Roman" w:cstheme="minorHAnsi"/>
                <w:color w:val="000000"/>
                <w:sz w:val="16"/>
                <w:szCs w:val="18"/>
                <w:lang w:eastAsia="en-GB"/>
              </w:rPr>
              <w:t>0-59</w:t>
            </w:r>
          </w:p>
        </w:tc>
        <w:tc>
          <w:tcPr>
            <w:tcW w:w="2835" w:type="dxa"/>
            <w:shd w:val="clear" w:color="auto" w:fill="auto"/>
            <w:noWrap/>
            <w:vAlign w:val="bottom"/>
            <w:hideMark/>
          </w:tcPr>
          <w:p w14:paraId="680D8EF8" w14:textId="77777777" w:rsidR="006478A7" w:rsidRPr="008015BF" w:rsidRDefault="006478A7" w:rsidP="00BB00AC">
            <w:pPr>
              <w:spacing w:after="0" w:line="240" w:lineRule="auto"/>
              <w:rPr>
                <w:rFonts w:eastAsia="Times New Roman" w:cstheme="minorHAnsi"/>
                <w:color w:val="000000"/>
                <w:sz w:val="16"/>
                <w:szCs w:val="18"/>
                <w:lang w:eastAsia="en-GB"/>
              </w:rPr>
            </w:pPr>
            <w:r w:rsidRPr="008015BF">
              <w:rPr>
                <w:rFonts w:eastAsia="Times New Roman" w:cstheme="minorHAnsi"/>
                <w:color w:val="000000"/>
                <w:sz w:val="16"/>
                <w:szCs w:val="18"/>
                <w:lang w:eastAsia="en-GB"/>
              </w:rPr>
              <w:t>14</w:t>
            </w:r>
          </w:p>
        </w:tc>
        <w:tc>
          <w:tcPr>
            <w:tcW w:w="2835" w:type="dxa"/>
            <w:shd w:val="clear" w:color="auto" w:fill="auto"/>
            <w:noWrap/>
            <w:vAlign w:val="bottom"/>
            <w:hideMark/>
          </w:tcPr>
          <w:p w14:paraId="6B32A146" w14:textId="3E5A460A" w:rsidR="006478A7" w:rsidRPr="008015BF" w:rsidRDefault="001D560B" w:rsidP="00BB00AC">
            <w:pPr>
              <w:spacing w:after="0" w:line="240" w:lineRule="auto"/>
              <w:rPr>
                <w:rFonts w:eastAsia="Times New Roman" w:cstheme="minorHAnsi"/>
                <w:color w:val="000000"/>
                <w:sz w:val="16"/>
                <w:szCs w:val="18"/>
                <w:lang w:eastAsia="en-GB"/>
              </w:rPr>
            </w:pPr>
            <w:r>
              <w:rPr>
                <w:rFonts w:eastAsia="Times New Roman" w:cstheme="minorHAnsi"/>
                <w:color w:val="000000"/>
                <w:sz w:val="16"/>
                <w:szCs w:val="18"/>
                <w:lang w:eastAsia="en-GB"/>
              </w:rPr>
              <w:t>32</w:t>
            </w:r>
          </w:p>
        </w:tc>
      </w:tr>
    </w:tbl>
    <w:p w14:paraId="177A65D0" w14:textId="77777777" w:rsidR="008E69D6" w:rsidRDefault="008E69D6" w:rsidP="00BB00AC">
      <w:pPr>
        <w:rPr>
          <w:rFonts w:ascii="Calibri" w:hAnsi="Calibri" w:cs="Calibri"/>
          <w:color w:val="000000"/>
          <w:sz w:val="28"/>
        </w:rPr>
        <w:sectPr w:rsidR="008E69D6" w:rsidSect="00BB00AC">
          <w:type w:val="continuous"/>
          <w:pgSz w:w="16838" w:h="11906" w:orient="landscape"/>
          <w:pgMar w:top="1440" w:right="1440" w:bottom="1440" w:left="1440" w:header="709" w:footer="709" w:gutter="0"/>
          <w:lnNumType w:countBy="1" w:restart="continuous"/>
          <w:cols w:space="708"/>
          <w:docGrid w:linePitch="360"/>
        </w:sectPr>
      </w:pPr>
    </w:p>
    <w:p w14:paraId="6B9258D4" w14:textId="2A8E4FA6" w:rsidR="00803D61" w:rsidRPr="0066166D" w:rsidRDefault="00803D61" w:rsidP="00803D61">
      <w:pPr>
        <w:pStyle w:val="Caption"/>
      </w:pPr>
      <w:r>
        <w:lastRenderedPageBreak/>
        <w:t xml:space="preserve">Table </w:t>
      </w:r>
      <w:r w:rsidR="008109DE">
        <w:t>3</w:t>
      </w:r>
      <w:r>
        <w:t xml:space="preserve"> | </w:t>
      </w:r>
      <w:r w:rsidR="00F82E59">
        <w:t>Major themes identified</w:t>
      </w:r>
      <w:r>
        <w:t>.</w:t>
      </w:r>
    </w:p>
    <w:tbl>
      <w:tblPr>
        <w:tblW w:w="429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
        <w:gridCol w:w="3386"/>
      </w:tblGrid>
      <w:tr w:rsidR="00F82E59" w:rsidRPr="008015BF" w14:paraId="3332A97C" w14:textId="77777777" w:rsidTr="00AC7CB8">
        <w:tc>
          <w:tcPr>
            <w:tcW w:w="911" w:type="dxa"/>
            <w:shd w:val="clear" w:color="auto" w:fill="auto"/>
            <w:noWrap/>
            <w:vAlign w:val="bottom"/>
            <w:hideMark/>
          </w:tcPr>
          <w:p w14:paraId="6866AE28" w14:textId="486F1F3C" w:rsidR="00F82E59" w:rsidRPr="008015BF" w:rsidRDefault="00F82E59" w:rsidP="00C6052B">
            <w:pPr>
              <w:spacing w:after="0" w:line="240" w:lineRule="auto"/>
              <w:rPr>
                <w:rFonts w:eastAsia="Times New Roman" w:cstheme="minorHAnsi"/>
                <w:b/>
                <w:color w:val="000000"/>
                <w:sz w:val="16"/>
                <w:szCs w:val="18"/>
                <w:lang w:eastAsia="en-GB"/>
              </w:rPr>
            </w:pPr>
            <w:r>
              <w:rPr>
                <w:rFonts w:eastAsia="Times New Roman" w:cstheme="minorHAnsi"/>
                <w:b/>
                <w:color w:val="000000"/>
                <w:sz w:val="16"/>
                <w:szCs w:val="18"/>
                <w:lang w:eastAsia="en-GB"/>
              </w:rPr>
              <w:t>Theme</w:t>
            </w:r>
          </w:p>
        </w:tc>
        <w:tc>
          <w:tcPr>
            <w:tcW w:w="3386" w:type="dxa"/>
            <w:shd w:val="clear" w:color="auto" w:fill="auto"/>
            <w:noWrap/>
            <w:vAlign w:val="bottom"/>
            <w:hideMark/>
          </w:tcPr>
          <w:p w14:paraId="46341929" w14:textId="68F8609B" w:rsidR="00F82E59" w:rsidRPr="008015BF" w:rsidRDefault="00F82E59" w:rsidP="00674535">
            <w:pPr>
              <w:spacing w:after="0" w:line="240" w:lineRule="auto"/>
              <w:rPr>
                <w:rFonts w:eastAsia="Times New Roman" w:cstheme="minorHAnsi"/>
                <w:b/>
                <w:color w:val="000000"/>
                <w:sz w:val="16"/>
                <w:szCs w:val="18"/>
                <w:lang w:eastAsia="en-GB"/>
              </w:rPr>
            </w:pPr>
            <w:r>
              <w:rPr>
                <w:rFonts w:eastAsia="Times New Roman" w:cstheme="minorHAnsi"/>
                <w:b/>
                <w:color w:val="000000"/>
                <w:sz w:val="16"/>
                <w:szCs w:val="18"/>
                <w:lang w:eastAsia="en-GB"/>
              </w:rPr>
              <w:t>Description</w:t>
            </w:r>
          </w:p>
        </w:tc>
      </w:tr>
      <w:tr w:rsidR="00F82E59" w:rsidRPr="008015BF" w14:paraId="50A61DC6" w14:textId="77777777" w:rsidTr="00AC7CB8">
        <w:tc>
          <w:tcPr>
            <w:tcW w:w="911" w:type="dxa"/>
            <w:shd w:val="clear" w:color="auto" w:fill="auto"/>
            <w:noWrap/>
            <w:vAlign w:val="bottom"/>
            <w:hideMark/>
          </w:tcPr>
          <w:p w14:paraId="399CB5C4" w14:textId="6E80B38F" w:rsidR="00F82E59" w:rsidRPr="008015BF" w:rsidRDefault="00F82E59" w:rsidP="00C6052B">
            <w:pPr>
              <w:spacing w:after="0" w:line="240" w:lineRule="auto"/>
              <w:rPr>
                <w:rFonts w:eastAsia="Times New Roman" w:cstheme="minorHAnsi"/>
                <w:color w:val="000000"/>
                <w:sz w:val="16"/>
                <w:szCs w:val="18"/>
                <w:lang w:eastAsia="en-GB"/>
              </w:rPr>
            </w:pPr>
            <w:r>
              <w:rPr>
                <w:rFonts w:eastAsia="Times New Roman" w:cstheme="minorHAnsi"/>
                <w:color w:val="000000"/>
                <w:sz w:val="16"/>
                <w:szCs w:val="18"/>
                <w:lang w:eastAsia="en-GB"/>
              </w:rPr>
              <w:t>1</w:t>
            </w:r>
          </w:p>
        </w:tc>
        <w:tc>
          <w:tcPr>
            <w:tcW w:w="3386" w:type="dxa"/>
            <w:shd w:val="clear" w:color="auto" w:fill="auto"/>
            <w:noWrap/>
            <w:vAlign w:val="bottom"/>
            <w:hideMark/>
          </w:tcPr>
          <w:p w14:paraId="4BF5FCA0" w14:textId="599926D6" w:rsidR="00F82E59" w:rsidRPr="008015BF" w:rsidRDefault="00F82E59" w:rsidP="00674535">
            <w:pPr>
              <w:spacing w:after="0" w:line="240" w:lineRule="auto"/>
              <w:rPr>
                <w:rFonts w:eastAsia="Times New Roman" w:cstheme="minorHAnsi"/>
                <w:color w:val="000000"/>
                <w:sz w:val="16"/>
                <w:szCs w:val="18"/>
                <w:lang w:eastAsia="en-GB"/>
              </w:rPr>
            </w:pPr>
            <w:r w:rsidRPr="00F82E59">
              <w:rPr>
                <w:rFonts w:eastAsia="Times New Roman" w:cstheme="minorHAnsi"/>
                <w:color w:val="000000"/>
                <w:sz w:val="16"/>
                <w:szCs w:val="18"/>
                <w:lang w:eastAsia="en-GB"/>
              </w:rPr>
              <w:t>Understanding and awareness of biosimilars</w:t>
            </w:r>
          </w:p>
        </w:tc>
      </w:tr>
      <w:tr w:rsidR="00F82E59" w:rsidRPr="008015BF" w14:paraId="78033BD5" w14:textId="77777777" w:rsidTr="00AC7CB8">
        <w:tc>
          <w:tcPr>
            <w:tcW w:w="911" w:type="dxa"/>
            <w:shd w:val="clear" w:color="auto" w:fill="auto"/>
            <w:noWrap/>
            <w:vAlign w:val="bottom"/>
            <w:hideMark/>
          </w:tcPr>
          <w:p w14:paraId="0FD12733" w14:textId="7A2EF77E" w:rsidR="00F82E59" w:rsidRPr="008015BF" w:rsidRDefault="00F82E59" w:rsidP="00C6052B">
            <w:pPr>
              <w:spacing w:after="0" w:line="240" w:lineRule="auto"/>
              <w:rPr>
                <w:rFonts w:eastAsia="Times New Roman" w:cstheme="minorHAnsi"/>
                <w:color w:val="000000"/>
                <w:sz w:val="16"/>
                <w:szCs w:val="18"/>
                <w:lang w:eastAsia="en-GB"/>
              </w:rPr>
            </w:pPr>
            <w:r>
              <w:rPr>
                <w:rFonts w:eastAsia="Times New Roman" w:cstheme="minorHAnsi"/>
                <w:color w:val="000000"/>
                <w:sz w:val="16"/>
                <w:szCs w:val="18"/>
                <w:lang w:eastAsia="en-GB"/>
              </w:rPr>
              <w:t>2</w:t>
            </w:r>
          </w:p>
        </w:tc>
        <w:tc>
          <w:tcPr>
            <w:tcW w:w="3386" w:type="dxa"/>
            <w:shd w:val="clear" w:color="auto" w:fill="auto"/>
            <w:noWrap/>
            <w:vAlign w:val="bottom"/>
            <w:hideMark/>
          </w:tcPr>
          <w:p w14:paraId="65D98313" w14:textId="4CB8F1F1" w:rsidR="00F82E59" w:rsidRPr="008015BF" w:rsidRDefault="00F82E59" w:rsidP="00674535">
            <w:pPr>
              <w:spacing w:after="0" w:line="240" w:lineRule="auto"/>
              <w:rPr>
                <w:rFonts w:eastAsia="Times New Roman" w:cstheme="minorHAnsi"/>
                <w:color w:val="000000"/>
                <w:sz w:val="16"/>
                <w:szCs w:val="18"/>
                <w:lang w:eastAsia="en-GB"/>
              </w:rPr>
            </w:pPr>
            <w:r w:rsidRPr="00F82E59">
              <w:rPr>
                <w:rFonts w:eastAsia="Times New Roman" w:cstheme="minorHAnsi"/>
                <w:color w:val="000000"/>
                <w:sz w:val="16"/>
                <w:szCs w:val="18"/>
                <w:lang w:eastAsia="en-GB"/>
              </w:rPr>
              <w:t>Motivation to undertake brand transition</w:t>
            </w:r>
          </w:p>
        </w:tc>
      </w:tr>
      <w:tr w:rsidR="00F82E59" w:rsidRPr="008015BF" w14:paraId="11F2C8FE" w14:textId="77777777" w:rsidTr="00AC7CB8">
        <w:tc>
          <w:tcPr>
            <w:tcW w:w="911" w:type="dxa"/>
            <w:shd w:val="clear" w:color="auto" w:fill="auto"/>
            <w:noWrap/>
            <w:vAlign w:val="bottom"/>
            <w:hideMark/>
          </w:tcPr>
          <w:p w14:paraId="2F1B6380" w14:textId="6899452F" w:rsidR="00F82E59" w:rsidRPr="008015BF" w:rsidRDefault="00F82E59" w:rsidP="00C6052B">
            <w:pPr>
              <w:spacing w:after="0" w:line="240" w:lineRule="auto"/>
              <w:rPr>
                <w:rFonts w:eastAsia="Times New Roman" w:cstheme="minorHAnsi"/>
                <w:color w:val="000000"/>
                <w:sz w:val="16"/>
                <w:szCs w:val="18"/>
                <w:lang w:eastAsia="en-GB"/>
              </w:rPr>
            </w:pPr>
            <w:r>
              <w:rPr>
                <w:rFonts w:eastAsia="Times New Roman" w:cstheme="minorHAnsi"/>
                <w:color w:val="000000"/>
                <w:sz w:val="16"/>
                <w:szCs w:val="18"/>
                <w:lang w:eastAsia="en-GB"/>
              </w:rPr>
              <w:t>3</w:t>
            </w:r>
          </w:p>
        </w:tc>
        <w:tc>
          <w:tcPr>
            <w:tcW w:w="3386" w:type="dxa"/>
            <w:shd w:val="clear" w:color="auto" w:fill="auto"/>
            <w:noWrap/>
            <w:vAlign w:val="bottom"/>
            <w:hideMark/>
          </w:tcPr>
          <w:p w14:paraId="48C4E890" w14:textId="0A8131A4" w:rsidR="00F82E59" w:rsidRPr="008015BF" w:rsidRDefault="00F82E59" w:rsidP="00674535">
            <w:pPr>
              <w:spacing w:after="0" w:line="240" w:lineRule="auto"/>
              <w:rPr>
                <w:rFonts w:eastAsia="Times New Roman" w:cstheme="minorHAnsi"/>
                <w:color w:val="000000"/>
                <w:sz w:val="16"/>
                <w:szCs w:val="18"/>
                <w:lang w:eastAsia="en-GB"/>
              </w:rPr>
            </w:pPr>
            <w:r w:rsidRPr="00F82E59">
              <w:rPr>
                <w:rFonts w:eastAsia="Times New Roman" w:cstheme="minorHAnsi"/>
                <w:color w:val="000000"/>
                <w:sz w:val="16"/>
                <w:szCs w:val="18"/>
                <w:lang w:eastAsia="en-GB"/>
              </w:rPr>
              <w:t>Initial concerns about biosimilar transition</w:t>
            </w:r>
          </w:p>
        </w:tc>
      </w:tr>
      <w:tr w:rsidR="00F82E59" w:rsidRPr="008015BF" w14:paraId="13B5C07C" w14:textId="77777777" w:rsidTr="00AC7CB8">
        <w:tc>
          <w:tcPr>
            <w:tcW w:w="911" w:type="dxa"/>
            <w:shd w:val="clear" w:color="auto" w:fill="auto"/>
            <w:noWrap/>
            <w:vAlign w:val="bottom"/>
          </w:tcPr>
          <w:p w14:paraId="7CA6551C" w14:textId="409C3FB2" w:rsidR="00F82E59" w:rsidRDefault="00F82E59" w:rsidP="00AC7CB8">
            <w:pPr>
              <w:spacing w:after="0" w:line="240" w:lineRule="auto"/>
              <w:rPr>
                <w:rFonts w:eastAsia="Times New Roman" w:cstheme="minorHAnsi"/>
                <w:color w:val="000000"/>
                <w:sz w:val="16"/>
                <w:szCs w:val="18"/>
                <w:lang w:eastAsia="en-GB"/>
              </w:rPr>
            </w:pPr>
            <w:r>
              <w:rPr>
                <w:rFonts w:eastAsia="Times New Roman" w:cstheme="minorHAnsi"/>
                <w:color w:val="000000"/>
                <w:sz w:val="16"/>
                <w:szCs w:val="18"/>
                <w:lang w:eastAsia="en-GB"/>
              </w:rPr>
              <w:t>4</w:t>
            </w:r>
          </w:p>
        </w:tc>
        <w:tc>
          <w:tcPr>
            <w:tcW w:w="3386" w:type="dxa"/>
            <w:shd w:val="clear" w:color="auto" w:fill="auto"/>
            <w:noWrap/>
            <w:vAlign w:val="bottom"/>
          </w:tcPr>
          <w:p w14:paraId="141C109B" w14:textId="7EB2DC60" w:rsidR="00F82E59" w:rsidRPr="00F82E59" w:rsidRDefault="00F82E59" w:rsidP="00AC7CB8">
            <w:pPr>
              <w:spacing w:after="0" w:line="240" w:lineRule="auto"/>
              <w:rPr>
                <w:rFonts w:eastAsia="Times New Roman" w:cstheme="minorHAnsi"/>
                <w:color w:val="000000"/>
                <w:sz w:val="16"/>
                <w:szCs w:val="18"/>
                <w:lang w:eastAsia="en-GB"/>
              </w:rPr>
            </w:pPr>
            <w:r w:rsidRPr="00F82E59">
              <w:rPr>
                <w:rFonts w:eastAsia="Times New Roman" w:cstheme="minorHAnsi"/>
                <w:color w:val="000000"/>
                <w:sz w:val="16"/>
                <w:szCs w:val="18"/>
                <w:lang w:eastAsia="en-GB"/>
              </w:rPr>
              <w:t>Reassuring factors</w:t>
            </w:r>
          </w:p>
        </w:tc>
      </w:tr>
      <w:tr w:rsidR="00F82E59" w:rsidRPr="008015BF" w14:paraId="3208A133" w14:textId="77777777" w:rsidTr="00AC7CB8">
        <w:tc>
          <w:tcPr>
            <w:tcW w:w="911" w:type="dxa"/>
            <w:shd w:val="clear" w:color="auto" w:fill="auto"/>
            <w:noWrap/>
            <w:vAlign w:val="bottom"/>
          </w:tcPr>
          <w:p w14:paraId="698118D5" w14:textId="0CF440F9" w:rsidR="00F82E59" w:rsidRDefault="00F82E59" w:rsidP="00AC7CB8">
            <w:pPr>
              <w:spacing w:after="0" w:line="240" w:lineRule="auto"/>
              <w:rPr>
                <w:rFonts w:eastAsia="Times New Roman" w:cstheme="minorHAnsi"/>
                <w:color w:val="000000"/>
                <w:sz w:val="16"/>
                <w:szCs w:val="18"/>
                <w:lang w:eastAsia="en-GB"/>
              </w:rPr>
            </w:pPr>
            <w:r>
              <w:rPr>
                <w:rFonts w:eastAsia="Times New Roman" w:cstheme="minorHAnsi"/>
                <w:color w:val="000000"/>
                <w:sz w:val="16"/>
                <w:szCs w:val="18"/>
                <w:lang w:eastAsia="en-GB"/>
              </w:rPr>
              <w:t>5</w:t>
            </w:r>
          </w:p>
        </w:tc>
        <w:tc>
          <w:tcPr>
            <w:tcW w:w="3386" w:type="dxa"/>
            <w:shd w:val="clear" w:color="auto" w:fill="auto"/>
            <w:noWrap/>
            <w:vAlign w:val="bottom"/>
          </w:tcPr>
          <w:p w14:paraId="18A2A109" w14:textId="0736BD9A" w:rsidR="00F82E59" w:rsidRPr="00F82E59" w:rsidRDefault="00F82E59" w:rsidP="00AC7CB8">
            <w:pPr>
              <w:spacing w:after="0" w:line="240" w:lineRule="auto"/>
              <w:rPr>
                <w:rFonts w:eastAsia="Times New Roman" w:cstheme="minorHAnsi"/>
                <w:color w:val="000000"/>
                <w:sz w:val="16"/>
                <w:szCs w:val="18"/>
                <w:lang w:eastAsia="en-GB"/>
              </w:rPr>
            </w:pPr>
            <w:r w:rsidRPr="00F82E59">
              <w:rPr>
                <w:rFonts w:eastAsia="Times New Roman" w:cstheme="minorHAnsi"/>
                <w:color w:val="000000"/>
                <w:sz w:val="16"/>
                <w:szCs w:val="18"/>
                <w:lang w:eastAsia="en-GB"/>
              </w:rPr>
              <w:t>Experiences during the transition</w:t>
            </w:r>
          </w:p>
        </w:tc>
      </w:tr>
    </w:tbl>
    <w:p w14:paraId="278595FB" w14:textId="5B254E09" w:rsidR="008E69D6" w:rsidRPr="00F041E0" w:rsidRDefault="00F82E59" w:rsidP="00BB00AC">
      <w:pPr>
        <w:pStyle w:val="Heading2"/>
      </w:pPr>
      <w:r>
        <w:t xml:space="preserve">Theme 1: </w:t>
      </w:r>
      <w:r w:rsidR="008E69D6" w:rsidRPr="00F041E0">
        <w:t>Understanding and awareness of biosimilars</w:t>
      </w:r>
    </w:p>
    <w:p w14:paraId="4BF2CFB9" w14:textId="2A203B20" w:rsidR="008E69D6" w:rsidRPr="00F041E0" w:rsidRDefault="008E69D6" w:rsidP="00434B29">
      <w:r w:rsidRPr="00F041E0">
        <w:t>Awareness of biosimilars, aside of the information provided as part of the clinical trial, was low with approximately two-thirds of participants stating that they only knew about biosimilars because of their involvement in the research project. Routine clinical consultations were the most common source of prior knowledge about biosimilars</w:t>
      </w:r>
      <w:r w:rsidR="005B5B3A">
        <w:t>.</w:t>
      </w:r>
      <w:r w:rsidRPr="00F041E0">
        <w:t xml:space="preserve"> Participants were asked what their understanding of the word 'biosimilars' was and, even accepting a very broad range of definitions, the majority of participants were unable to describe the concept. </w:t>
      </w:r>
    </w:p>
    <w:p w14:paraId="3D17C17A" w14:textId="77F17C2C" w:rsidR="008E69D6" w:rsidRPr="00434B29" w:rsidRDefault="008E69D6" w:rsidP="00434B29">
      <w:pPr>
        <w:pStyle w:val="Quote"/>
      </w:pPr>
      <w:r w:rsidRPr="00434B29">
        <w:t>"P</w:t>
      </w:r>
      <w:r w:rsidR="00762F3D">
        <w:t>atient</w:t>
      </w:r>
      <w:r w:rsidRPr="00434B29">
        <w:t>: Bio- what?</w:t>
      </w:r>
      <w:r w:rsidRPr="00434B29">
        <w:br/>
        <w:t>I</w:t>
      </w:r>
      <w:r w:rsidR="00762F3D">
        <w:t>nterviewer</w:t>
      </w:r>
      <w:r w:rsidRPr="00434B29">
        <w:t xml:space="preserve">: Biosimilars - the </w:t>
      </w:r>
      <w:proofErr w:type="spellStart"/>
      <w:r w:rsidRPr="00434B29">
        <w:t>Imraldi</w:t>
      </w:r>
      <w:r w:rsidR="006506D0" w:rsidRPr="006B6B56">
        <w:rPr>
          <w:vertAlign w:val="superscript"/>
        </w:rPr>
        <w:t>TM</w:t>
      </w:r>
      <w:proofErr w:type="spellEnd"/>
      <w:r w:rsidRPr="00434B29">
        <w:t xml:space="preserve"> is a biosimilar of Humira</w:t>
      </w:r>
      <w:r w:rsidR="006506D0">
        <w:rPr>
          <w:rFonts w:cstheme="minorHAnsi"/>
        </w:rPr>
        <w:t>®</w:t>
      </w:r>
      <w:r w:rsidRPr="00434B29">
        <w:t xml:space="preserve"> - does that mean anything…</w:t>
      </w:r>
      <w:r w:rsidRPr="00434B29">
        <w:br/>
        <w:t>P</w:t>
      </w:r>
      <w:r w:rsidR="00762F3D">
        <w:t>atient</w:t>
      </w:r>
      <w:r w:rsidRPr="00434B29">
        <w:t>: Not really, I don't understand." (P28</w:t>
      </w:r>
      <w:r w:rsidR="00DC02B3">
        <w:t xml:space="preserve">; </w:t>
      </w:r>
      <w:r w:rsidR="00572D5D">
        <w:t>male</w:t>
      </w:r>
      <w:r w:rsidR="00FC5D8B">
        <w:t>,</w:t>
      </w:r>
      <w:r w:rsidR="00572D5D">
        <w:t xml:space="preserve"> age 3</w:t>
      </w:r>
      <w:r w:rsidR="006E5FD7">
        <w:t>0-39</w:t>
      </w:r>
      <w:r w:rsidR="00FC5D8B">
        <w:t>, no qualification</w:t>
      </w:r>
      <w:r w:rsidRPr="00434B29">
        <w:t>)</w:t>
      </w:r>
    </w:p>
    <w:p w14:paraId="649880FC" w14:textId="283DD33D" w:rsidR="008E69D6" w:rsidRPr="00F041E0" w:rsidRDefault="008E69D6" w:rsidP="00434B29">
      <w:r w:rsidRPr="00F041E0">
        <w:t>The definition of the word used by the majority of participants was that it is the same medicinal product but manufactured by a different company</w:t>
      </w:r>
      <w:r w:rsidR="005B5B3A">
        <w:t xml:space="preserve">. </w:t>
      </w:r>
      <w:r w:rsidRPr="00F041E0">
        <w:t>The use of the word 'similar' in the word 'biosimilar' was a common cause of confusion and participants had diverse ideas about what this refer</w:t>
      </w:r>
      <w:r w:rsidR="00B52CF4">
        <w:t>red</w:t>
      </w:r>
      <w:r w:rsidRPr="00F041E0">
        <w:t xml:space="preserve"> to</w:t>
      </w:r>
      <w:r w:rsidR="005B5B3A">
        <w:t>.</w:t>
      </w:r>
      <w:r w:rsidRPr="00F041E0">
        <w:t xml:space="preserve"> This </w:t>
      </w:r>
      <w:r w:rsidR="00962348">
        <w:t>appear</w:t>
      </w:r>
      <w:r w:rsidR="00CC3A49">
        <w:t>ed</w:t>
      </w:r>
      <w:r w:rsidR="00962348">
        <w:t xml:space="preserve"> to </w:t>
      </w:r>
      <w:r w:rsidRPr="00F041E0">
        <w:t>introduce an element of uncertainty about comparability to the reference product as the word 'similar' is commonly interpreted as 'similar, but not the same'.</w:t>
      </w:r>
    </w:p>
    <w:p w14:paraId="49992CD2" w14:textId="60F1F461" w:rsidR="008E69D6" w:rsidRPr="00F041E0" w:rsidRDefault="00F82E59" w:rsidP="00BB00AC">
      <w:pPr>
        <w:pStyle w:val="Heading2"/>
      </w:pPr>
      <w:r>
        <w:t xml:space="preserve">Theme 2: </w:t>
      </w:r>
      <w:r w:rsidR="008E69D6" w:rsidRPr="00F041E0">
        <w:t>Motivation to undertake brand transition</w:t>
      </w:r>
    </w:p>
    <w:p w14:paraId="14595600" w14:textId="6E3A6DF4" w:rsidR="008E69D6" w:rsidRPr="00F041E0" w:rsidRDefault="008E69D6" w:rsidP="00434B29">
      <w:r w:rsidRPr="00F041E0">
        <w:t xml:space="preserve">The majority of patients (n=21) recognised and accepted that reducing drug expenditure was the primary </w:t>
      </w:r>
      <w:r w:rsidR="00764041" w:rsidRPr="00F041E0">
        <w:t>reason,</w:t>
      </w:r>
      <w:r w:rsidRPr="00F041E0">
        <w:t xml:space="preserve"> but it was often stated that this was contingent upon the biosimilar having similar effectiveness and/ or tolerability as the reference product. </w:t>
      </w:r>
    </w:p>
    <w:p w14:paraId="4244EC15" w14:textId="04C3D476" w:rsidR="008E69D6" w:rsidRPr="00F041E0" w:rsidRDefault="008E69D6" w:rsidP="00434B29">
      <w:pPr>
        <w:pStyle w:val="Quote"/>
      </w:pPr>
      <w:r w:rsidRPr="00F041E0">
        <w:lastRenderedPageBreak/>
        <w:t>"I know it costs the NHS a lot of money. I know Humira</w:t>
      </w:r>
      <w:r w:rsidR="00C84941">
        <w:rPr>
          <w:rFonts w:cstheme="minorHAnsi"/>
        </w:rPr>
        <w:t>®</w:t>
      </w:r>
      <w:r w:rsidRPr="00F041E0">
        <w:t xml:space="preserve"> was quite expensive… do anything to help the NHS out on that front. As long as it does the same thing I don’t see what the problem is." (P15</w:t>
      </w:r>
      <w:r w:rsidR="00433989">
        <w:t>; male</w:t>
      </w:r>
      <w:r w:rsidR="001F71E0">
        <w:t>, age 2</w:t>
      </w:r>
      <w:r w:rsidR="006E5FD7">
        <w:t>0-29</w:t>
      </w:r>
      <w:r w:rsidR="001F71E0">
        <w:t>, first degree</w:t>
      </w:r>
      <w:r w:rsidRPr="00F041E0">
        <w:t>)</w:t>
      </w:r>
    </w:p>
    <w:p w14:paraId="76C8F6BB" w14:textId="77777777" w:rsidR="008E69D6" w:rsidRPr="00F041E0" w:rsidRDefault="008E69D6" w:rsidP="00434B29">
      <w:r w:rsidRPr="00F041E0">
        <w:t>In addition to this some participants expressed a willingness or personal responsibility to contribute to minimising their cost to the NHS drug budget where possible.</w:t>
      </w:r>
    </w:p>
    <w:p w14:paraId="16AE49B0" w14:textId="020068DD" w:rsidR="008E69D6" w:rsidRPr="00F041E0" w:rsidRDefault="008E69D6" w:rsidP="00434B29">
      <w:pPr>
        <w:pStyle w:val="Quote"/>
      </w:pPr>
      <w:r w:rsidRPr="00F041E0">
        <w:t>"I felt that, you know, it was incumbent on me ... because, you know, as a receiver of help from the government, you know, it's a little bit of help from me." (P34</w:t>
      </w:r>
      <w:r w:rsidR="00FC5D8B">
        <w:t>; male, age 6</w:t>
      </w:r>
      <w:r w:rsidR="006E5FD7">
        <w:t>0-69</w:t>
      </w:r>
      <w:r w:rsidR="00EF442F">
        <w:t>, postgraduate degree</w:t>
      </w:r>
      <w:r w:rsidRPr="00F041E0">
        <w:t>)</w:t>
      </w:r>
    </w:p>
    <w:p w14:paraId="374DB20A" w14:textId="124045A7" w:rsidR="008E69D6" w:rsidRPr="00F041E0" w:rsidRDefault="008E69D6" w:rsidP="00434B29">
      <w:r w:rsidRPr="00F041E0">
        <w:t xml:space="preserve">Rapid adoption of biosimilar medicines was recognised as both the responsible thing to do by the NHS and a demonstration of financial competence. Several participants mentioned the desirability of increasing competition through the implementation of biosimilar medicines to reduce drug costs and improve resilience in the medicine supply chain. When the preferred beneficiary of any cost savings was explored, the majority stated that they would prefer to see investment in further research and the NHS, specifically improved access to care (including more healthcare professionals), better remuneration of staff and increased </w:t>
      </w:r>
      <w:r w:rsidR="00664CCC">
        <w:t>access to</w:t>
      </w:r>
      <w:r w:rsidRPr="00F041E0">
        <w:t xml:space="preserve"> novel or expensive treatments.</w:t>
      </w:r>
    </w:p>
    <w:p w14:paraId="0C201B70" w14:textId="40BB24C6" w:rsidR="008E69D6" w:rsidRPr="00F041E0" w:rsidRDefault="008E69D6" w:rsidP="00434B29">
      <w:r w:rsidRPr="00F041E0">
        <w:t>Although eligibility for the clinical trial was restricted to participants whose C</w:t>
      </w:r>
      <w:r w:rsidR="00882D7C">
        <w:t>D</w:t>
      </w:r>
      <w:r w:rsidRPr="00F041E0">
        <w:t xml:space="preserve"> was either in remission or with only mild disease activity, a small number of participants (five) stated that their principal motivation for agreeing to the brand transition was to explore whether the biosimilar could improve their disease control. </w:t>
      </w:r>
      <w:r w:rsidR="00273ED8" w:rsidRPr="00F041E0">
        <w:t>Most</w:t>
      </w:r>
      <w:r w:rsidRPr="00F041E0">
        <w:t xml:space="preserve"> participants (n=20) speculated that they would have </w:t>
      </w:r>
      <w:r w:rsidR="00273ED8">
        <w:t xml:space="preserve">been more willing to </w:t>
      </w:r>
      <w:r w:rsidRPr="00F041E0">
        <w:t xml:space="preserve">transition to a biosimilar </w:t>
      </w:r>
      <w:r w:rsidR="00273ED8" w:rsidRPr="00F041E0">
        <w:t xml:space="preserve">if their </w:t>
      </w:r>
      <w:r w:rsidR="00B7488E">
        <w:t>symptoms</w:t>
      </w:r>
      <w:r w:rsidR="00273ED8" w:rsidRPr="00F041E0">
        <w:t xml:space="preserve"> had been badly controlled at the point this was discusse</w:t>
      </w:r>
      <w:r w:rsidR="00273ED8">
        <w:t>d</w:t>
      </w:r>
      <w:r w:rsidR="00664CCC">
        <w:t>, perhaps demonstrating a need for further education</w:t>
      </w:r>
      <w:r w:rsidR="00E63BDA">
        <w:t xml:space="preserve"> </w:t>
      </w:r>
      <w:r w:rsidR="00E63BDA" w:rsidRPr="00E63BDA">
        <w:t>that the biosimilar is expected to provide the same clinical outcome</w:t>
      </w:r>
      <w:r w:rsidRPr="00F041E0">
        <w:t>.</w:t>
      </w:r>
    </w:p>
    <w:p w14:paraId="3307BF6C" w14:textId="3F49ADAD" w:rsidR="008E69D6" w:rsidRPr="00F041E0" w:rsidRDefault="00F82E59" w:rsidP="00BB00AC">
      <w:pPr>
        <w:pStyle w:val="Heading2"/>
      </w:pPr>
      <w:r>
        <w:lastRenderedPageBreak/>
        <w:t xml:space="preserve">Theme 3: </w:t>
      </w:r>
      <w:r w:rsidR="008E69D6" w:rsidRPr="00F041E0">
        <w:t>Initial concerns about biosimilar transition</w:t>
      </w:r>
    </w:p>
    <w:p w14:paraId="0D660DF3" w14:textId="77777777" w:rsidR="008E69D6" w:rsidRPr="00F041E0" w:rsidRDefault="008E69D6" w:rsidP="00434B29">
      <w:r w:rsidRPr="00F041E0">
        <w:t>Approximately half of the participants interviewed raised initial concerns about efficacy and many noted that an increase in symptoms could have a significant impact on their quality of life or a personal financial cost.</w:t>
      </w:r>
    </w:p>
    <w:p w14:paraId="1F31DB07" w14:textId="66EB8EE4" w:rsidR="008E69D6" w:rsidRPr="00F041E0" w:rsidRDefault="008E69D6" w:rsidP="00434B29">
      <w:pPr>
        <w:pStyle w:val="Quote"/>
      </w:pPr>
      <w:r w:rsidRPr="00F041E0">
        <w:t>"I was happy on Humira</w:t>
      </w:r>
      <w:r w:rsidR="00C84941">
        <w:rPr>
          <w:rFonts w:cstheme="minorHAnsi"/>
        </w:rPr>
        <w:t>®</w:t>
      </w:r>
      <w:r w:rsidRPr="00F041E0">
        <w:t>, it was working, so I was a bit worried about switching and ending up back in the hospital" (P28</w:t>
      </w:r>
      <w:r w:rsidR="00EF442F">
        <w:t xml:space="preserve">; male, age </w:t>
      </w:r>
      <w:r w:rsidR="006E5FD7">
        <w:t>30-39</w:t>
      </w:r>
      <w:r w:rsidR="00EF442F">
        <w:t>, no qualification</w:t>
      </w:r>
      <w:r w:rsidRPr="00F041E0">
        <w:t>)</w:t>
      </w:r>
    </w:p>
    <w:p w14:paraId="4A4CBACD" w14:textId="76D9E7D0" w:rsidR="008E69D6" w:rsidRPr="00F041E0" w:rsidRDefault="008E69D6" w:rsidP="00434B29">
      <w:r w:rsidRPr="00F041E0">
        <w:t>Occasionally participants rationalised that their concerns about efficacy were directly linked to perceptions associated with the lower acquisition cost of the biosimilar brand</w:t>
      </w:r>
      <w:r w:rsidR="00AF7F8C">
        <w:t xml:space="preserve">, while </w:t>
      </w:r>
      <w:r w:rsidRPr="00F041E0">
        <w:t>other patients referenced the concept of generic versions of small molecule medicines and non-pharmaceutical equivalents as demonstrating that alternative brands may be expected to have a similar efficacy, despite being less expensive.</w:t>
      </w:r>
    </w:p>
    <w:p w14:paraId="56AC8B68" w14:textId="1D516C1E" w:rsidR="008E69D6" w:rsidRPr="00F041E0" w:rsidRDefault="008E69D6" w:rsidP="00434B29">
      <w:r w:rsidRPr="00F041E0">
        <w:t>Within the theme of concerns, the risk of new or different adverse effects was frequently expressed. Most commonly these concerns were non-specific, although four participants specifically identified apprehension about increased injection pain, either because of their experience with a previous formulation of Humira</w:t>
      </w:r>
      <w:r w:rsidR="00C84941">
        <w:rPr>
          <w:rFonts w:cstheme="minorHAnsi"/>
        </w:rPr>
        <w:t>®</w:t>
      </w:r>
      <w:r w:rsidRPr="00F041E0">
        <w:t xml:space="preserve"> (associated with an increase in injection site pain) or word of mouth outside of the trial.</w:t>
      </w:r>
      <w:r w:rsidR="005C158B">
        <w:t xml:space="preserve"> </w:t>
      </w:r>
      <w:r w:rsidRPr="00F041E0">
        <w:t>One important factor that participants often identified as contributing to increased concerns was the perception that the reference brand had been proven to work for them.</w:t>
      </w:r>
    </w:p>
    <w:p w14:paraId="5549D60F" w14:textId="421DB9B5" w:rsidR="008E69D6" w:rsidRPr="00F041E0" w:rsidRDefault="008E69D6" w:rsidP="00434B29">
      <w:pPr>
        <w:pStyle w:val="Quote"/>
      </w:pPr>
      <w:r w:rsidRPr="00F041E0">
        <w:t>"It's taken me out of my comfort zone a little bit 'cos Humira</w:t>
      </w:r>
      <w:r w:rsidR="00321320">
        <w:rPr>
          <w:rFonts w:cstheme="minorHAnsi"/>
        </w:rPr>
        <w:t>®</w:t>
      </w:r>
      <w:r w:rsidRPr="00F041E0">
        <w:t xml:space="preserve"> to me is like the miracle drug, you know, just gave me back my life</w:t>
      </w:r>
      <w:r w:rsidR="007126D8">
        <w:t>…</w:t>
      </w:r>
      <w:r w:rsidRPr="00F041E0">
        <w:t>" (P30</w:t>
      </w:r>
      <w:r w:rsidR="00EF442F">
        <w:t xml:space="preserve">; </w:t>
      </w:r>
      <w:r w:rsidR="00765CEA">
        <w:t xml:space="preserve">female, age </w:t>
      </w:r>
      <w:r w:rsidR="006E5FD7">
        <w:t>50-59</w:t>
      </w:r>
      <w:r w:rsidR="00765CEA">
        <w:t>, O</w:t>
      </w:r>
      <w:r w:rsidR="002A18CB">
        <w:t>-</w:t>
      </w:r>
      <w:r w:rsidR="00765CEA">
        <w:t>level/ GCSE</w:t>
      </w:r>
      <w:r w:rsidRPr="00F041E0">
        <w:t>)</w:t>
      </w:r>
    </w:p>
    <w:p w14:paraId="0CA5D51E" w14:textId="571FDC9E" w:rsidR="008E69D6" w:rsidRPr="00F041E0" w:rsidRDefault="00882D7C" w:rsidP="00434B29">
      <w:r>
        <w:t xml:space="preserve">CD </w:t>
      </w:r>
      <w:r w:rsidR="00D1515E">
        <w:t xml:space="preserve">has a number of extra-intestinal manifestations and </w:t>
      </w:r>
      <w:r>
        <w:t xml:space="preserve">is one of several related immune-mediated </w:t>
      </w:r>
      <w:r w:rsidR="003E77D2">
        <w:t xml:space="preserve">inflammatory diseases </w:t>
      </w:r>
      <w:r w:rsidR="00664CCC" w:rsidRPr="009051BF">
        <w:rPr>
          <w:rFonts w:cstheme="minorHAnsi"/>
        </w:rPr>
        <w:t>treated with anti-TNF</w:t>
      </w:r>
      <w:r w:rsidR="00664CCC" w:rsidRPr="00664CCC">
        <w:rPr>
          <w:rFonts w:cstheme="minorHAnsi"/>
        </w:rPr>
        <w:t xml:space="preserve"> drugs</w:t>
      </w:r>
      <w:r w:rsidR="008E69D6" w:rsidRPr="00664CCC">
        <w:rPr>
          <w:rFonts w:cstheme="minorHAnsi"/>
        </w:rPr>
        <w:t>.</w:t>
      </w:r>
      <w:r w:rsidR="008E69D6" w:rsidRPr="00F041E0">
        <w:t xml:space="preserve"> Several participants expressed concerns that transition to a biosimilar may </w:t>
      </w:r>
      <w:r w:rsidR="005C158B">
        <w:t>impact</w:t>
      </w:r>
      <w:r w:rsidR="008E69D6" w:rsidRPr="00F041E0">
        <w:t xml:space="preserve"> the</w:t>
      </w:r>
      <w:r w:rsidR="005C158B">
        <w:t xml:space="preserve"> control of</w:t>
      </w:r>
      <w:r w:rsidR="008E69D6" w:rsidRPr="00F041E0">
        <w:t xml:space="preserve"> co-morbid, non-IBD symptoms.</w:t>
      </w:r>
    </w:p>
    <w:p w14:paraId="50EDA74E" w14:textId="34FAC760" w:rsidR="008E69D6" w:rsidRPr="00F041E0" w:rsidRDefault="008E69D6" w:rsidP="00434B29">
      <w:pPr>
        <w:pStyle w:val="Quote"/>
      </w:pPr>
      <w:r w:rsidRPr="00F041E0">
        <w:lastRenderedPageBreak/>
        <w:t xml:space="preserve">"... it not only helps my Crohn’s but it does have a beneficial effect, or it did have originally, on my </w:t>
      </w:r>
      <w:r w:rsidR="00EF3C83">
        <w:t>[ankylosing spondylitis]</w:t>
      </w:r>
      <w:r w:rsidRPr="00F041E0">
        <w:t xml:space="preserve"> as well so I think I’m looking at it from two different sides..." (P14</w:t>
      </w:r>
      <w:r w:rsidR="00765CEA">
        <w:t xml:space="preserve">; </w:t>
      </w:r>
      <w:r w:rsidR="002A18CB">
        <w:t xml:space="preserve">male, age </w:t>
      </w:r>
      <w:r w:rsidR="006E5FD7">
        <w:t>50-59</w:t>
      </w:r>
      <w:r w:rsidR="002A18CB">
        <w:t>, A-level</w:t>
      </w:r>
      <w:r w:rsidRPr="00F041E0">
        <w:t>)</w:t>
      </w:r>
    </w:p>
    <w:p w14:paraId="48383925" w14:textId="77777777" w:rsidR="008E69D6" w:rsidRPr="00F041E0" w:rsidRDefault="008E69D6" w:rsidP="00434B29">
      <w:r w:rsidRPr="00F041E0">
        <w:t>Concerns expressed about the practicalities of brand transition included the use of a different device for injecting the medication and the way that the medication would be supplied.</w:t>
      </w:r>
    </w:p>
    <w:p w14:paraId="6B5F7269" w14:textId="0A2CC6F6" w:rsidR="008E69D6" w:rsidRPr="00F041E0" w:rsidRDefault="00F82E59" w:rsidP="00BB00AC">
      <w:pPr>
        <w:pStyle w:val="Heading2"/>
      </w:pPr>
      <w:r>
        <w:t xml:space="preserve">Theme 4: </w:t>
      </w:r>
      <w:r w:rsidR="008E69D6" w:rsidRPr="00F041E0">
        <w:t>Reassuring factors</w:t>
      </w:r>
    </w:p>
    <w:p w14:paraId="47B5083A" w14:textId="4EE76ACD" w:rsidR="008E69D6" w:rsidRPr="00F041E0" w:rsidRDefault="008E69D6" w:rsidP="00434B29">
      <w:r w:rsidRPr="00F041E0">
        <w:t>When reassuring factors were reviewed, confidence in healthcare professionals and the healthcare system was the most common theme reported by participants</w:t>
      </w:r>
      <w:r w:rsidR="00EF3C83">
        <w:t xml:space="preserve"> and </w:t>
      </w:r>
      <w:r w:rsidR="00C635E6">
        <w:t>appeared to be</w:t>
      </w:r>
      <w:r w:rsidR="00EF3C83" w:rsidRPr="00F041E0">
        <w:t xml:space="preserve"> critical to patient acceptance of biosimilars and their integration into clinical use</w:t>
      </w:r>
      <w:r w:rsidRPr="00F041E0">
        <w:t>.</w:t>
      </w:r>
    </w:p>
    <w:p w14:paraId="07096A12" w14:textId="66A9282C" w:rsidR="008E69D6" w:rsidRDefault="008E69D6" w:rsidP="00434B29">
      <w:pPr>
        <w:pStyle w:val="Quote"/>
      </w:pPr>
      <w:r w:rsidRPr="00F041E0">
        <w:t>"I feel like you all know what you’re doing, even though it’s quite new if that makes sense." (P05</w:t>
      </w:r>
      <w:r w:rsidR="002A18CB">
        <w:t xml:space="preserve">; </w:t>
      </w:r>
      <w:r w:rsidR="006D7CC1">
        <w:t xml:space="preserve">female, age </w:t>
      </w:r>
      <w:r w:rsidR="006E5FD7">
        <w:t>50-59</w:t>
      </w:r>
      <w:r w:rsidR="006D7CC1">
        <w:t>, O-level/ GCSE</w:t>
      </w:r>
      <w:r w:rsidRPr="00F041E0">
        <w:t>)</w:t>
      </w:r>
      <w:r w:rsidR="00565315" w:rsidDel="00565315">
        <w:t xml:space="preserve"> </w:t>
      </w:r>
    </w:p>
    <w:p w14:paraId="790F89AF" w14:textId="7D0C85E5" w:rsidR="00AD2EBB" w:rsidRPr="00AD2EBB" w:rsidRDefault="00C165F8" w:rsidP="00AD2EBB">
      <w:pPr>
        <w:pStyle w:val="Quote"/>
      </w:pPr>
      <w:r>
        <w:t xml:space="preserve">“… I have confidence in what you’re saying and obviously I’m thinking </w:t>
      </w:r>
      <w:r w:rsidR="00240F59">
        <w:t xml:space="preserve">about what you’re saying so I think that </w:t>
      </w:r>
      <w:r w:rsidR="0048200A">
        <w:t>you represent the hospital and that’s good enough for me.” (</w:t>
      </w:r>
      <w:r w:rsidR="00565315">
        <w:t>P34</w:t>
      </w:r>
      <w:r w:rsidR="006D7CC1">
        <w:t xml:space="preserve">; male, age </w:t>
      </w:r>
      <w:r w:rsidR="006E5FD7">
        <w:t>60-69</w:t>
      </w:r>
      <w:r w:rsidR="006D7CC1">
        <w:t>, postgraduate degree</w:t>
      </w:r>
      <w:r w:rsidR="00565315">
        <w:t>)</w:t>
      </w:r>
    </w:p>
    <w:p w14:paraId="4A77FBB7" w14:textId="5DACEE42" w:rsidR="008E69D6" w:rsidRDefault="008E69D6" w:rsidP="00434B29">
      <w:r w:rsidRPr="00F041E0">
        <w:t xml:space="preserve">From the patient perspective this </w:t>
      </w:r>
      <w:r w:rsidR="00D33344">
        <w:t>wa</w:t>
      </w:r>
      <w:r w:rsidRPr="00F041E0">
        <w:t xml:space="preserve">s particularly valuable when it </w:t>
      </w:r>
      <w:r w:rsidR="00D33344">
        <w:t>wa</w:t>
      </w:r>
      <w:r w:rsidRPr="00F041E0">
        <w:t xml:space="preserve">s delivered by a healthcare professional </w:t>
      </w:r>
      <w:r w:rsidR="003E77D2">
        <w:t>with whom</w:t>
      </w:r>
      <w:r w:rsidRPr="00F041E0">
        <w:t xml:space="preserve"> the patient is familiar with.</w:t>
      </w:r>
    </w:p>
    <w:p w14:paraId="18D17CD8" w14:textId="4761EC46" w:rsidR="00E5280C" w:rsidRPr="00F041E0" w:rsidRDefault="00E5280C" w:rsidP="008601B2">
      <w:pPr>
        <w:pStyle w:val="Quote"/>
      </w:pPr>
      <w:r w:rsidRPr="00F041E0">
        <w:t>"I had been able to speak to [my IBD consultant] and basically, from the medical side of it, there were no concerns that I could pick up there so it put me at ease anyway so I felt quite comfortable doing it." (P14</w:t>
      </w:r>
      <w:r w:rsidR="0016209F">
        <w:t xml:space="preserve">; male, age </w:t>
      </w:r>
      <w:r w:rsidR="006E5FD7">
        <w:t>50-59</w:t>
      </w:r>
      <w:r w:rsidR="0016209F">
        <w:t>, A-level</w:t>
      </w:r>
      <w:r w:rsidRPr="00F041E0">
        <w:t>)</w:t>
      </w:r>
    </w:p>
    <w:p w14:paraId="39095FB7" w14:textId="315CD59C" w:rsidR="008E69D6" w:rsidRPr="00F041E0" w:rsidRDefault="008E69D6" w:rsidP="00434B29">
      <w:r w:rsidRPr="00F041E0">
        <w:t>Easy access to a trusted point of contact was an important reassuring factor, expressed by approximately half of the respondents.</w:t>
      </w:r>
      <w:r w:rsidR="00FD4491">
        <w:t xml:space="preserve"> </w:t>
      </w:r>
      <w:r w:rsidRPr="00F041E0">
        <w:t xml:space="preserve">Other reassuring factors commonly described by participants included the provision of information describing the principles behind the development of biosimilar medicines, availability of similar administration devices, increased monitoring following the </w:t>
      </w:r>
      <w:r w:rsidRPr="00F041E0">
        <w:lastRenderedPageBreak/>
        <w:t>transition, assurance that efficacy has been previously demonstrated and that the medicine is approved for use.</w:t>
      </w:r>
    </w:p>
    <w:p w14:paraId="35A1D347" w14:textId="0AAF97CE" w:rsidR="008E69D6" w:rsidRPr="00F041E0" w:rsidRDefault="008E69D6" w:rsidP="00434B29">
      <w:r w:rsidRPr="00F041E0">
        <w:t>Several participants expressed uncertainty about whether transition to a biosimilar would preclude reverse switching (back to the reference brand)</w:t>
      </w:r>
      <w:r w:rsidR="003E77D2">
        <w:t xml:space="preserve">. Another concern was whether such a reverse switch would </w:t>
      </w:r>
      <w:r w:rsidRPr="00F041E0">
        <w:t xml:space="preserve">increase the risk of adverse effects, loss of response or immunogenicity. Confirming </w:t>
      </w:r>
      <w:r w:rsidR="003E77D2">
        <w:t xml:space="preserve">the availability of a reverse switch without any expectation of adverse effects </w:t>
      </w:r>
      <w:r w:rsidRPr="00F041E0">
        <w:t>was an important reassurance for some participants.</w:t>
      </w:r>
    </w:p>
    <w:p w14:paraId="7144EA31" w14:textId="77777777" w:rsidR="008E69D6" w:rsidRPr="00F041E0" w:rsidRDefault="008E69D6" w:rsidP="00434B29">
      <w:r w:rsidRPr="00F041E0">
        <w:t>While information provision based on the experience of large groups of patients was commonly cited as an important reassurance, several participants noted that gaining individual experience of using the biosimilar would be crucial.</w:t>
      </w:r>
    </w:p>
    <w:p w14:paraId="7BD95C19" w14:textId="16E23DAE" w:rsidR="008E69D6" w:rsidRDefault="008E69D6" w:rsidP="00434B29">
      <w:pPr>
        <w:pStyle w:val="Quote"/>
      </w:pPr>
      <w:r w:rsidRPr="00F041E0">
        <w:t xml:space="preserve">"I guess, because I know each person responds differently, I know that a piece of paper wouldn’t be able to tell me if it was going to work the same and that I would have to go through the trial and make my own mind </w:t>
      </w:r>
      <w:r w:rsidR="003A79B5">
        <w:t>up</w:t>
      </w:r>
      <w:r w:rsidR="003A79B5" w:rsidRPr="00F041E0">
        <w:t xml:space="preserve"> </w:t>
      </w:r>
      <w:r w:rsidRPr="00F041E0">
        <w:t>as to whether it was going to be as effective." (P01</w:t>
      </w:r>
      <w:r w:rsidR="0016209F">
        <w:t xml:space="preserve">; male, age </w:t>
      </w:r>
      <w:r w:rsidR="006E5FD7">
        <w:t>30-39</w:t>
      </w:r>
      <w:r w:rsidR="00D972F2">
        <w:t>, A-level</w:t>
      </w:r>
      <w:r w:rsidRPr="00F041E0">
        <w:t>)</w:t>
      </w:r>
    </w:p>
    <w:p w14:paraId="50F3E531" w14:textId="77777777" w:rsidR="00790AB9" w:rsidRPr="00F041E0" w:rsidRDefault="00DC50FC" w:rsidP="00790AB9">
      <w:r w:rsidRPr="00F041E0">
        <w:t xml:space="preserve">Participants were asked what information they would need </w:t>
      </w:r>
      <w:r>
        <w:t xml:space="preserve">in order </w:t>
      </w:r>
      <w:r w:rsidRPr="00F041E0">
        <w:t>to make an informed decision about accepting brand transition. The most common responses were the rationale for undertaking the transition, reassurance that the biosimilar was expected to have similar efficacy and tolerability to the reference product and detail about the injection device.</w:t>
      </w:r>
      <w:r w:rsidR="00790AB9">
        <w:t xml:space="preserve"> </w:t>
      </w:r>
      <w:r w:rsidR="00790AB9" w:rsidRPr="00F041E0">
        <w:t>Approximately half of the participants interviewed said that they would accept a brand transition based solely on written communication. Almost all participants felt that a specific face-to-face consultation would be desirable while 7 participants stated that this was essential.</w:t>
      </w:r>
    </w:p>
    <w:p w14:paraId="2904CA19" w14:textId="1B2098DE" w:rsidR="00DC50FC" w:rsidRPr="00DC50FC" w:rsidRDefault="00790AB9" w:rsidP="0083254B">
      <w:pPr>
        <w:pStyle w:val="Quote"/>
      </w:pPr>
      <w:r w:rsidRPr="00F041E0">
        <w:t>"A letter sort of sounds and feels a bit more like a fait accompli… it just it’s going to happen regardless unless there are some major problems." (P11</w:t>
      </w:r>
      <w:r>
        <w:t xml:space="preserve">; male, age </w:t>
      </w:r>
      <w:r w:rsidR="006E5FD7">
        <w:t>40-49</w:t>
      </w:r>
      <w:r>
        <w:t>, first degree</w:t>
      </w:r>
      <w:r w:rsidRPr="00F041E0">
        <w:t>)</w:t>
      </w:r>
    </w:p>
    <w:p w14:paraId="4664698B" w14:textId="02E38293" w:rsidR="008E69D6" w:rsidRPr="00F041E0" w:rsidRDefault="00F82E59" w:rsidP="00BB00AC">
      <w:pPr>
        <w:pStyle w:val="Heading2"/>
      </w:pPr>
      <w:r>
        <w:lastRenderedPageBreak/>
        <w:t xml:space="preserve">Theme 5: </w:t>
      </w:r>
      <w:r w:rsidR="0013699C">
        <w:t>E</w:t>
      </w:r>
      <w:r w:rsidR="0013699C" w:rsidRPr="0013699C">
        <w:t>xperiences during the transition</w:t>
      </w:r>
    </w:p>
    <w:p w14:paraId="0D061085" w14:textId="4CBA47F4" w:rsidR="008E69D6" w:rsidRPr="00F041E0" w:rsidRDefault="008E69D6" w:rsidP="00434B29">
      <w:r w:rsidRPr="00F041E0">
        <w:t xml:space="preserve">One of the central benefits of exploring the patient perspective in a cross-over study such as this is that, having experienced both the reference and biosimilar preparations, participants were able to summarise </w:t>
      </w:r>
      <w:r w:rsidR="006D0B73">
        <w:t>their perception of the efficacy</w:t>
      </w:r>
      <w:r w:rsidRPr="00F041E0">
        <w:t xml:space="preserve"> of each preparation. When this was discussed it was almost universal that there was no significant subjective difference in efficacy or </w:t>
      </w:r>
      <w:r w:rsidR="009E0A5E" w:rsidRPr="00F041E0">
        <w:t>tolerability</w:t>
      </w:r>
      <w:r w:rsidRPr="00F041E0">
        <w:t xml:space="preserve"> (except injection pain).</w:t>
      </w:r>
    </w:p>
    <w:p w14:paraId="3CB46654" w14:textId="5A1FECDC" w:rsidR="008E69D6" w:rsidRPr="00F041E0" w:rsidRDefault="008E69D6" w:rsidP="00434B29">
      <w:pPr>
        <w:pStyle w:val="Quote"/>
      </w:pPr>
      <w:r w:rsidRPr="00F041E0">
        <w:t>"I mean I feel that it’s been a very similar, consistent experience the whole way and that’s a really good thing." (P18</w:t>
      </w:r>
      <w:r w:rsidR="00D21786">
        <w:t xml:space="preserve">; male, age </w:t>
      </w:r>
      <w:r w:rsidR="006E5FD7">
        <w:t>20-29</w:t>
      </w:r>
      <w:r w:rsidR="00D21786">
        <w:t xml:space="preserve">, </w:t>
      </w:r>
      <w:r w:rsidR="000971E2">
        <w:t>postgraduate degree</w:t>
      </w:r>
      <w:r w:rsidRPr="00F041E0">
        <w:t>)</w:t>
      </w:r>
    </w:p>
    <w:p w14:paraId="544F1D8A" w14:textId="77777777" w:rsidR="008E69D6" w:rsidRPr="00F041E0" w:rsidRDefault="008E69D6" w:rsidP="00434B29">
      <w:r w:rsidRPr="00F041E0">
        <w:t>Two participants associated switching to the biosimilar with a positive change in their disease control and one participant described an improvement in adverse effects. Conversely another two participants felt subjectively worse in the period when they were treated with the biosimilar.</w:t>
      </w:r>
    </w:p>
    <w:p w14:paraId="7A2D2AF8" w14:textId="11A7E632" w:rsidR="008E69D6" w:rsidRPr="00F041E0" w:rsidRDefault="008E69D6" w:rsidP="00434B29">
      <w:r w:rsidRPr="00F041E0">
        <w:t>The concept of nocebo, a worsening of disease control or development of adverse effects that occurs despite no change in the pharmacological action of treatment, is widely discussed in relation to biosimilar transition</w:t>
      </w:r>
      <w:r w:rsidR="00101925">
        <w:t>.</w:t>
      </w:r>
      <w:r w:rsidR="00AF2921">
        <w:fldChar w:fldCharType="begin"/>
      </w:r>
      <w:r w:rsidR="00AF2921">
        <w:instrText xml:space="preserve"> ADDIN ZOTERO_ITEM CSL_CITATION {"citationID":"ABUARktB","properties":{"formattedCitation":"[5]","plainCitation":"[5]","noteIndex":0},"citationItems":[{"id":119,"uris":["http://zotero.org/users/5054817/items/9CLQSIVX"],"uri":["http://zotero.org/users/5054817/items/9CLQSIVX"],"itemData":{"id":119,"type":"article-journal","container-title":"Rheumatology and Therapy","DOI":"10.1007/s40744-017-0085-z","ISSN":"2198-6576, 2198-6584","issue":"2","journalAbbreviation":"Rheumatol Ther","language":"en","page":"209-218","source":"DOI.org (Crossref)","title":"Treatment Outcomes with Biosimilars: Be Aware of the Nocebo Effect","title-short":"Treatment Outcomes with Biosimilars","volume":"4","author":[{"family":"Rezk","given":"Mourad F."},{"family":"Pieper","given":"Burkhard"}],"issued":{"date-parts":[["2017",12]]}}}],"schema":"https://github.com/citation-style-language/schema/raw/master/csl-citation.json"} </w:instrText>
      </w:r>
      <w:r w:rsidR="00AF2921">
        <w:fldChar w:fldCharType="separate"/>
      </w:r>
      <w:r w:rsidR="00AF2921" w:rsidRPr="00AF2921">
        <w:rPr>
          <w:rFonts w:ascii="Calibri" w:hAnsi="Calibri" w:cs="Calibri"/>
        </w:rPr>
        <w:t>[5]</w:t>
      </w:r>
      <w:r w:rsidR="00AF2921">
        <w:fldChar w:fldCharType="end"/>
      </w:r>
      <w:r w:rsidRPr="00F041E0">
        <w:t xml:space="preserve"> Notably this study was single-blind so participants were aware that a biosimilar transition had occurred. Interestingly several participants alluded to the existence of </w:t>
      </w:r>
      <w:r w:rsidR="007F48F6">
        <w:t>nocebo</w:t>
      </w:r>
      <w:r w:rsidRPr="00F041E0">
        <w:t xml:space="preserve"> and the difficulty differentiating this effect from a genuine physiological change.</w:t>
      </w:r>
    </w:p>
    <w:p w14:paraId="31D66541" w14:textId="0B703FD2" w:rsidR="008E69D6" w:rsidRPr="00F041E0" w:rsidRDefault="008E69D6" w:rsidP="00434B29">
      <w:pPr>
        <w:pStyle w:val="Quote"/>
      </w:pPr>
      <w:r w:rsidRPr="00F041E0">
        <w:t>"... at the beginning of the changeover, it was like you’re more aware that you’re looking out for something, just in case, but nothing came up so you just become a bit more relaxed each week." (P12</w:t>
      </w:r>
      <w:r w:rsidR="000971E2">
        <w:t xml:space="preserve">; female, </w:t>
      </w:r>
      <w:r w:rsidR="001415BA">
        <w:t xml:space="preserve">age </w:t>
      </w:r>
      <w:r w:rsidR="006E5FD7">
        <w:t>50-59</w:t>
      </w:r>
      <w:r w:rsidR="001415BA">
        <w:t>, O-level/ GCSE</w:t>
      </w:r>
      <w:r w:rsidRPr="00F041E0">
        <w:t>)</w:t>
      </w:r>
    </w:p>
    <w:p w14:paraId="1C7F59BA" w14:textId="1CB8DB9F" w:rsidR="006761DE" w:rsidRPr="00434B29" w:rsidRDefault="006761DE" w:rsidP="006761DE">
      <w:r w:rsidRPr="00F041E0">
        <w:t xml:space="preserve">Injection experience was commonly raised by participants with 22 stating that they found the </w:t>
      </w:r>
      <w:proofErr w:type="spellStart"/>
      <w:r w:rsidRPr="00F041E0">
        <w:t>Imraldi</w:t>
      </w:r>
      <w:r w:rsidR="00C0129B" w:rsidRPr="00B56E2B">
        <w:rPr>
          <w:vertAlign w:val="superscript"/>
        </w:rPr>
        <w:t>TM</w:t>
      </w:r>
      <w:proofErr w:type="spellEnd"/>
      <w:r w:rsidRPr="00F041E0">
        <w:t xml:space="preserve"> injections more painful than Humira</w:t>
      </w:r>
      <w:r w:rsidR="00321320">
        <w:rPr>
          <w:rFonts w:cstheme="minorHAnsi"/>
        </w:rPr>
        <w:t>®</w:t>
      </w:r>
      <w:r w:rsidRPr="00F041E0">
        <w:t>, although the intensity of this pain varied significantly between participants.</w:t>
      </w:r>
    </w:p>
    <w:p w14:paraId="5CA1F3F5" w14:textId="663FF2FC" w:rsidR="006761DE" w:rsidRPr="00F041E0" w:rsidRDefault="006761DE" w:rsidP="006761DE">
      <w:pPr>
        <w:pStyle w:val="Quote"/>
      </w:pPr>
      <w:r w:rsidRPr="00F041E0">
        <w:t>"Well that is a minor nuisance..." (P34</w:t>
      </w:r>
      <w:r>
        <w:t xml:space="preserve">; male, age </w:t>
      </w:r>
      <w:r w:rsidR="006E5FD7">
        <w:t>60-69</w:t>
      </w:r>
      <w:r>
        <w:t>, postgraduate degree</w:t>
      </w:r>
      <w:r w:rsidRPr="00F041E0">
        <w:t>)</w:t>
      </w:r>
    </w:p>
    <w:p w14:paraId="4C18F178" w14:textId="52C345BC" w:rsidR="006761DE" w:rsidRPr="00F041E0" w:rsidRDefault="006761DE" w:rsidP="006761DE">
      <w:pPr>
        <w:pStyle w:val="Quote"/>
      </w:pPr>
      <w:r w:rsidRPr="00F041E0">
        <w:lastRenderedPageBreak/>
        <w:t>"... the [</w:t>
      </w:r>
      <w:proofErr w:type="spellStart"/>
      <w:r w:rsidRPr="00F041E0">
        <w:t>Imraldi</w:t>
      </w:r>
      <w:r w:rsidR="00C0129B" w:rsidRPr="00B56E2B">
        <w:rPr>
          <w:vertAlign w:val="superscript"/>
        </w:rPr>
        <w:t>TM</w:t>
      </w:r>
      <w:proofErr w:type="spellEnd"/>
      <w:r w:rsidRPr="00F041E0">
        <w:t>] was a lot more painful to take, to the point where you're getting anxiety with being able to take it. I mean you would sit there for 5 minutes psyching yourself up</w:t>
      </w:r>
      <w:r>
        <w:t>…</w:t>
      </w:r>
      <w:r w:rsidRPr="00F041E0">
        <w:t>" (P31</w:t>
      </w:r>
      <w:r>
        <w:t xml:space="preserve">; male, age </w:t>
      </w:r>
      <w:r w:rsidR="006E5FD7">
        <w:t>30-39</w:t>
      </w:r>
      <w:r>
        <w:t>, O-level/ GCSE</w:t>
      </w:r>
      <w:r w:rsidRPr="00F041E0">
        <w:t>)</w:t>
      </w:r>
    </w:p>
    <w:p w14:paraId="7313A122" w14:textId="15EBE877" w:rsidR="006761DE" w:rsidRDefault="006761DE" w:rsidP="00434B29">
      <w:r w:rsidRPr="00F041E0">
        <w:t>On reflection, seven participants specifically stated that they would have preferred to have been warned that they might experience more injection site pain with the biosimilar brand.</w:t>
      </w:r>
    </w:p>
    <w:p w14:paraId="7C939528" w14:textId="1D9C14F8" w:rsidR="006761DE" w:rsidRPr="00F041E0" w:rsidRDefault="00DF1FE9" w:rsidP="006761DE">
      <w:r>
        <w:t>O</w:t>
      </w:r>
      <w:r w:rsidR="006761DE" w:rsidRPr="00F041E0">
        <w:t xml:space="preserve">f participants that expressed a preference for one of the </w:t>
      </w:r>
      <w:r w:rsidR="00F4717E">
        <w:t xml:space="preserve">two </w:t>
      </w:r>
      <w:r w:rsidR="006761DE" w:rsidRPr="00F041E0">
        <w:t>pen</w:t>
      </w:r>
      <w:r w:rsidR="00F4717E">
        <w:t xml:space="preserve"> devices trialled</w:t>
      </w:r>
      <w:r>
        <w:t>, the majority</w:t>
      </w:r>
      <w:r w:rsidR="006761DE" w:rsidRPr="00F041E0">
        <w:t xml:space="preserve"> stated that they preferred the design of the Humira</w:t>
      </w:r>
      <w:r w:rsidR="00321320">
        <w:rPr>
          <w:rFonts w:cstheme="minorHAnsi"/>
        </w:rPr>
        <w:t>®</w:t>
      </w:r>
      <w:r w:rsidR="006761DE" w:rsidRPr="00F041E0">
        <w:t xml:space="preserve"> pen</w:t>
      </w:r>
      <w:r w:rsidR="006761DE">
        <w:t xml:space="preserve"> </w:t>
      </w:r>
      <w:r w:rsidR="006761DE" w:rsidRPr="00B37334">
        <w:t>as they felt that initiating the injection with a button press gave them more control over the process</w:t>
      </w:r>
      <w:r w:rsidR="006761DE" w:rsidRPr="00F041E0">
        <w:t>.</w:t>
      </w:r>
      <w:r w:rsidR="006761DE">
        <w:t xml:space="preserve"> </w:t>
      </w:r>
    </w:p>
    <w:p w14:paraId="0FFFAEB3" w14:textId="04549C64" w:rsidR="008E69D6" w:rsidRPr="00F041E0" w:rsidRDefault="008E69D6" w:rsidP="00434B29">
      <w:r w:rsidRPr="00F041E0">
        <w:t>Almost all participants felt comfortable with the idea of a further transition to another biosimilar of adalimumab with injection experience being the only concern that participants repeatedly voiced.</w:t>
      </w:r>
    </w:p>
    <w:p w14:paraId="5EDDAFEA" w14:textId="0AF50278" w:rsidR="008E69D6" w:rsidRPr="00F041E0" w:rsidRDefault="008E69D6" w:rsidP="00434B29">
      <w:pPr>
        <w:pStyle w:val="Quote"/>
      </w:pPr>
      <w:r w:rsidRPr="00F041E0">
        <w:t>"So now I've tried the biosimilar I'm not afraid to try this next one." (P22</w:t>
      </w:r>
      <w:r w:rsidR="001415BA">
        <w:t xml:space="preserve">; female, age </w:t>
      </w:r>
      <w:r w:rsidR="006E5FD7">
        <w:t>20-29</w:t>
      </w:r>
      <w:r w:rsidR="00845047">
        <w:t>, first degree</w:t>
      </w:r>
      <w:r w:rsidRPr="00F041E0">
        <w:t>)</w:t>
      </w:r>
    </w:p>
    <w:p w14:paraId="51224D87" w14:textId="627D8583" w:rsidR="008E69D6" w:rsidRPr="00F041E0" w:rsidRDefault="008E69D6" w:rsidP="00434B29">
      <w:r w:rsidRPr="00F041E0">
        <w:t xml:space="preserve">Overall participants felt that </w:t>
      </w:r>
      <w:r w:rsidR="00E63BDA">
        <w:t xml:space="preserve">they would like to remain on one brand of adalimumab for at least a </w:t>
      </w:r>
      <w:r w:rsidRPr="00F041E0">
        <w:t xml:space="preserve">year </w:t>
      </w:r>
      <w:r w:rsidR="00E63BDA">
        <w:t>before possibly transitioning to another brand of adalimumab</w:t>
      </w:r>
      <w:r w:rsidRPr="00F041E0">
        <w:t>.</w:t>
      </w:r>
    </w:p>
    <w:p w14:paraId="39BA4C60" w14:textId="56C2F34B" w:rsidR="00AF27DB" w:rsidRDefault="00407795" w:rsidP="00BB00AC">
      <w:pPr>
        <w:pStyle w:val="Heading1"/>
      </w:pPr>
      <w:r>
        <w:t>Discussion</w:t>
      </w:r>
    </w:p>
    <w:p w14:paraId="1CC4BAC3" w14:textId="4EA58ABA" w:rsidR="00774E78" w:rsidRDefault="00592F11" w:rsidP="00BB00AC">
      <w:r>
        <w:t xml:space="preserve">To our knowledge this is the first </w:t>
      </w:r>
      <w:r w:rsidR="00EC6933">
        <w:t xml:space="preserve">in-depth </w:t>
      </w:r>
      <w:r>
        <w:t xml:space="preserve">study describing the direct </w:t>
      </w:r>
      <w:r w:rsidR="004510E7">
        <w:t xml:space="preserve">experience </w:t>
      </w:r>
      <w:r>
        <w:t xml:space="preserve">of </w:t>
      </w:r>
      <w:r w:rsidR="004510E7">
        <w:t xml:space="preserve">patients with CD </w:t>
      </w:r>
      <w:r>
        <w:t xml:space="preserve">transitioning </w:t>
      </w:r>
      <w:r w:rsidR="0033209D">
        <w:t>from a</w:t>
      </w:r>
      <w:r>
        <w:t xml:space="preserve"> </w:t>
      </w:r>
      <w:r w:rsidR="0033209D">
        <w:t>home-</w:t>
      </w:r>
      <w:r>
        <w:t xml:space="preserve">administered </w:t>
      </w:r>
      <w:r w:rsidR="0033209D">
        <w:t xml:space="preserve">originator </w:t>
      </w:r>
      <w:r>
        <w:t xml:space="preserve">biological medicine to </w:t>
      </w:r>
      <w:r w:rsidR="0033209D">
        <w:t xml:space="preserve">its respective </w:t>
      </w:r>
      <w:r w:rsidR="002A5AAA">
        <w:t>biosimilar.</w:t>
      </w:r>
      <w:r w:rsidR="00D37DDE">
        <w:t xml:space="preserve"> </w:t>
      </w:r>
      <w:r w:rsidR="00774E78">
        <w:t>Implementing a biosimilar transition program is time consuming</w:t>
      </w:r>
      <w:r w:rsidR="00FE5CE4">
        <w:t xml:space="preserve"> and has financial cost</w:t>
      </w:r>
      <w:r w:rsidR="006C17E2">
        <w:t>s</w:t>
      </w:r>
      <w:r w:rsidR="00FE5CE4">
        <w:t xml:space="preserve"> </w:t>
      </w:r>
      <w:r w:rsidR="00FE0623">
        <w:t>including training of healthcare professionals</w:t>
      </w:r>
      <w:r w:rsidR="0022163F">
        <w:t xml:space="preserve"> and patients</w:t>
      </w:r>
      <w:r w:rsidR="00FE0623">
        <w:t xml:space="preserve">, </w:t>
      </w:r>
      <w:r w:rsidR="0022163F">
        <w:t>supporting patients</w:t>
      </w:r>
      <w:r w:rsidR="006D0B73">
        <w:t>, addressing their concerns</w:t>
      </w:r>
      <w:r w:rsidR="0022163F">
        <w:t xml:space="preserve"> and monitoring patients following transition</w:t>
      </w:r>
      <w:r w:rsidR="00FE5CE4">
        <w:t>.</w:t>
      </w:r>
      <w:r w:rsidR="00FE5CE4">
        <w:fldChar w:fldCharType="begin"/>
      </w:r>
      <w:r w:rsidR="00092F78">
        <w:instrText xml:space="preserve"> ADDIN ZOTERO_ITEM CSL_CITATION {"citationID":"xWHwp4vM","properties":{"formattedCitation":"[15]","plainCitation":"[15]","noteIndex":0},"citationItems":[{"id":521,"uris":["http://zotero.org/users/5054817/items/DWAGZ2TX"],"uri":["http://zotero.org/users/5054817/items/DWAGZ2TX"],"itemData":{"id":521,"type":"article-journal","container-title":"Advances in Therapy","DOI":"10.1007/s12325-019-00998-3","ISSN":"0741-238X, 1865-8652","issue":"8","journalAbbreviation":"Adv Ther","language":"en","page":"1851-1877","source":"DOI.org (Crossref)","title":"Economic Impact of Non-Medical Switching from Originator Biologics to Biosimilars: A Systematic Literature Review","title-short":"Economic Impact of Non-Medical Switching from Originator Biologics to Biosimilars","volume":"36","author":[{"family":"Liu","given":"Yifei"},{"family":"Yang","given":"Min"},{"family":"Garg","given":"Vishvas"},{"family":"Wu","given":"Eric Q."},{"family":"Wang","given":"Jessie"},{"family":"Skup","given":"Martha"}],"issued":{"date-parts":[["2019",8]]}}}],"schema":"https://github.com/citation-style-language/schema/raw/master/csl-citation.json"} </w:instrText>
      </w:r>
      <w:r w:rsidR="00FE5CE4">
        <w:fldChar w:fldCharType="separate"/>
      </w:r>
      <w:r w:rsidR="00092F78" w:rsidRPr="00092F78">
        <w:rPr>
          <w:rFonts w:ascii="Calibri" w:hAnsi="Calibri" w:cs="Calibri"/>
        </w:rPr>
        <w:t>[15]</w:t>
      </w:r>
      <w:r w:rsidR="00FE5CE4">
        <w:fldChar w:fldCharType="end"/>
      </w:r>
      <w:r w:rsidR="00774E78">
        <w:t xml:space="preserve"> </w:t>
      </w:r>
      <w:r w:rsidR="00620D2A">
        <w:t>This study confirmed that these elements are essential in reassuring patients that the biosimilar transition is being performed in a safe manner</w:t>
      </w:r>
      <w:r w:rsidR="006C17E2">
        <w:t xml:space="preserve"> with no</w:t>
      </w:r>
      <w:r w:rsidR="00764041">
        <w:t xml:space="preserve"> expectation of a</w:t>
      </w:r>
      <w:r w:rsidR="006C17E2">
        <w:t xml:space="preserve"> change in disease activity</w:t>
      </w:r>
      <w:r w:rsidR="006D0B73">
        <w:t xml:space="preserve"> or risk of adverse events</w:t>
      </w:r>
      <w:r w:rsidR="00620D2A">
        <w:t xml:space="preserve">. </w:t>
      </w:r>
      <w:r w:rsidR="007965AB">
        <w:t xml:space="preserve">Addressing </w:t>
      </w:r>
      <w:r w:rsidR="00774E78">
        <w:t xml:space="preserve">patient </w:t>
      </w:r>
      <w:r w:rsidR="007965AB">
        <w:t xml:space="preserve">concerns is likely to </w:t>
      </w:r>
      <w:r w:rsidR="00C82B05">
        <w:t xml:space="preserve">increase </w:t>
      </w:r>
      <w:r w:rsidR="00683C11">
        <w:t>adherence</w:t>
      </w:r>
      <w:r w:rsidR="00C95C75">
        <w:fldChar w:fldCharType="begin"/>
      </w:r>
      <w:r w:rsidR="008C348C">
        <w:instrText xml:space="preserve"> ADDIN ZOTERO_ITEM CSL_CITATION {"citationID":"pivDZsgu","properties":{"formattedCitation":"[6]","plainCitation":"[6]","noteIndex":0},"citationItems":[{"id":631,"uris":["http://zotero.org/users/5054817/items/LUD35H8S"],"uri":["http://zotero.org/users/5054817/items/LUD35H8S"],"itemData":{"id":631,"type":"report","title":"Medicines adherence: involving patients in decisions about prescribed medicines and supporting adherence [NICE clinical guideline No. 76]","URL":"https://www.nice.org.uk/guidance/cg76/resources/medicines-adherence-involving-patients-in-decisions-about-prescribed-medicines-and-supporting-adherence-pdf-975631782085","author":[{"literal":"National Institute for Health and Care Excellence"}],"issued":{"date-parts":[["2009"]]}}}],"schema":"https://github.com/citation-style-language/schema/raw/master/csl-citation.json"} </w:instrText>
      </w:r>
      <w:r w:rsidR="00C95C75">
        <w:fldChar w:fldCharType="separate"/>
      </w:r>
      <w:r w:rsidR="008C348C" w:rsidRPr="008C348C">
        <w:rPr>
          <w:rFonts w:ascii="Calibri" w:hAnsi="Calibri" w:cs="Calibri"/>
        </w:rPr>
        <w:t>[6]</w:t>
      </w:r>
      <w:r w:rsidR="00C95C75">
        <w:fldChar w:fldCharType="end"/>
      </w:r>
      <w:r w:rsidR="007965AB">
        <w:t xml:space="preserve"> </w:t>
      </w:r>
      <w:r w:rsidR="00764041">
        <w:t>and</w:t>
      </w:r>
      <w:r w:rsidR="00C82B05">
        <w:t xml:space="preserve"> </w:t>
      </w:r>
      <w:r w:rsidR="007965AB">
        <w:t xml:space="preserve">may </w:t>
      </w:r>
      <w:r w:rsidR="00774E78">
        <w:t>reduce</w:t>
      </w:r>
      <w:r w:rsidR="007965AB">
        <w:t xml:space="preserve"> </w:t>
      </w:r>
      <w:r w:rsidR="00774E78">
        <w:t xml:space="preserve">the requirement for reverse switching or </w:t>
      </w:r>
      <w:r w:rsidR="006D0B73">
        <w:t xml:space="preserve">change to </w:t>
      </w:r>
      <w:r w:rsidR="006D0B73">
        <w:lastRenderedPageBreak/>
        <w:t>another treatment;</w:t>
      </w:r>
      <w:r w:rsidR="00774E78">
        <w:t xml:space="preserve"> if patients are di</w:t>
      </w:r>
      <w:r w:rsidR="00FE5CE4">
        <w:t>ssatisfied</w:t>
      </w:r>
      <w:r w:rsidR="00FE0623">
        <w:t xml:space="preserve"> </w:t>
      </w:r>
      <w:r w:rsidR="006D0B73">
        <w:t>there is</w:t>
      </w:r>
      <w:r w:rsidR="00FE0623">
        <w:t xml:space="preserve"> likely to </w:t>
      </w:r>
      <w:r w:rsidR="006D0B73">
        <w:t xml:space="preserve">be an </w:t>
      </w:r>
      <w:r w:rsidR="00FE0623">
        <w:t xml:space="preserve">increase </w:t>
      </w:r>
      <w:r w:rsidR="006D0B73">
        <w:t xml:space="preserve">in </w:t>
      </w:r>
      <w:r w:rsidR="00FE0623">
        <w:t>healthcare resource use and</w:t>
      </w:r>
      <w:r w:rsidR="007965AB">
        <w:t xml:space="preserve"> a </w:t>
      </w:r>
      <w:r w:rsidR="00FE0623">
        <w:t xml:space="preserve">negative impact on patients’ opinion of the healthcare service. </w:t>
      </w:r>
      <w:r w:rsidR="006F0FAF">
        <w:t xml:space="preserve">Participants highlighted the importance of </w:t>
      </w:r>
      <w:r w:rsidR="00D575A3">
        <w:t xml:space="preserve">having </w:t>
      </w:r>
      <w:r w:rsidR="00620D2A">
        <w:t xml:space="preserve">an opportunity to discuss biosimilar transition </w:t>
      </w:r>
      <w:r w:rsidR="00D575A3">
        <w:t xml:space="preserve">with a </w:t>
      </w:r>
      <w:r w:rsidR="007965AB">
        <w:t xml:space="preserve">trusted </w:t>
      </w:r>
      <w:r w:rsidR="00D575A3">
        <w:t>healthcare professional</w:t>
      </w:r>
      <w:r w:rsidR="00A643E4">
        <w:t xml:space="preserve">. Patients using biological medicines are often </w:t>
      </w:r>
      <w:r w:rsidR="007965AB">
        <w:t xml:space="preserve">experiencing </w:t>
      </w:r>
      <w:r w:rsidR="00A643E4">
        <w:t xml:space="preserve">complex </w:t>
      </w:r>
      <w:r w:rsidR="007965AB">
        <w:t xml:space="preserve">CD symptoms </w:t>
      </w:r>
      <w:r w:rsidR="00A643E4">
        <w:t xml:space="preserve">and individual discussion seems </w:t>
      </w:r>
      <w:r w:rsidR="003C157D">
        <w:t>appropriate</w:t>
      </w:r>
      <w:r w:rsidR="00A643E4">
        <w:t xml:space="preserve"> to address the wide </w:t>
      </w:r>
      <w:r w:rsidR="00855537">
        <w:t xml:space="preserve">range of questions and concerns. </w:t>
      </w:r>
      <w:r w:rsidR="00B752C1">
        <w:t xml:space="preserve">Continuity, </w:t>
      </w:r>
      <w:r w:rsidR="00CA6B47">
        <w:t xml:space="preserve">preferable with a trusted source, is therefore important in clinical practice </w:t>
      </w:r>
      <w:r w:rsidR="002A7F7A">
        <w:t>when discussing potential transitions</w:t>
      </w:r>
      <w:r w:rsidR="00F47DE0">
        <w:t>.</w:t>
      </w:r>
      <w:r w:rsidR="00D73711">
        <w:t xml:space="preserve"> A</w:t>
      </w:r>
      <w:r w:rsidR="004E7F0E">
        <w:t xml:space="preserve">lthough </w:t>
      </w:r>
      <w:r w:rsidR="00E330D3">
        <w:t xml:space="preserve">many were content with written </w:t>
      </w:r>
      <w:r w:rsidR="002D5DAD">
        <w:t>communication</w:t>
      </w:r>
      <w:r w:rsidR="00D73711">
        <w:t xml:space="preserve">, participants expressed a clear preference for individual </w:t>
      </w:r>
      <w:r w:rsidR="0088004B">
        <w:t>discussion</w:t>
      </w:r>
      <w:r w:rsidR="00D73711">
        <w:t>.</w:t>
      </w:r>
    </w:p>
    <w:p w14:paraId="3E4A3892" w14:textId="1A16418B" w:rsidR="00A8250D" w:rsidRDefault="005C5C46" w:rsidP="00BB00AC">
      <w:r>
        <w:t>P</w:t>
      </w:r>
      <w:r w:rsidR="002A5AAA">
        <w:t xml:space="preserve">atients’ understanding of the </w:t>
      </w:r>
      <w:r w:rsidR="009E0A5E">
        <w:t xml:space="preserve">word “biosimilar” </w:t>
      </w:r>
      <w:r w:rsidR="002A5AAA">
        <w:t>was</w:t>
      </w:r>
      <w:r w:rsidR="00592F11">
        <w:t xml:space="preserve"> low</w:t>
      </w:r>
      <w:r>
        <w:t>,</w:t>
      </w:r>
      <w:r w:rsidRPr="005C5C46">
        <w:t xml:space="preserve"> </w:t>
      </w:r>
      <w:r>
        <w:t>despite receiving information about biosimilar medicines</w:t>
      </w:r>
      <w:r w:rsidR="00601B39">
        <w:t xml:space="preserve">. </w:t>
      </w:r>
      <w:r w:rsidR="00554B95">
        <w:t xml:space="preserve">Whilst </w:t>
      </w:r>
      <w:r w:rsidR="00601B39">
        <w:t xml:space="preserve">IBD specialists are </w:t>
      </w:r>
      <w:r w:rsidR="00554B95">
        <w:t>increasingly</w:t>
      </w:r>
      <w:r w:rsidR="00601B39">
        <w:t xml:space="preserve"> comfortable with the u</w:t>
      </w:r>
      <w:r w:rsidR="001A6C1A">
        <w:t>se of such terminology</w:t>
      </w:r>
      <w:r w:rsidR="00601B39">
        <w:fldChar w:fldCharType="begin"/>
      </w:r>
      <w:r w:rsidR="00092F78">
        <w:instrText xml:space="preserve"> ADDIN ZOTERO_ITEM CSL_CITATION {"citationID":"6ItzJxLV","properties":{"formattedCitation":"[16]","plainCitation":"[16]","noteIndex":0},"citationItems":[{"id":28,"uris":["http://zotero.org/users/5054817/items/VV3ENQK6"],"uri":["http://zotero.org/users/5054817/items/VV3ENQK6"],"itemData":{"id":28,"type":"article-journal","container-title":"Journal of Crohn's and Colitis","DOI":"10.1093/ecco-jcc/jjw090","ISSN":"1873-9946, 1876-4479","issue":"11","language":"en","page":"1362-1365","source":"Crossref","title":"Changes in Biosimilar Knowledge among European Crohn’s Colitis Organization [ECCO] Members: An Updated Survey","title-short":"Changes in Biosimilar Knowledge among European Crohn’s Colitis Organization [ECCO] Members","volume":"10","author":[{"family":"Danese","given":"Silvio"},{"family":"Fiorino","given":"Gionata"},{"family":"Michetti","given":"Pierre"}],"issued":{"date-parts":[["2016",11]]}}}],"schema":"https://github.com/citation-style-language/schema/raw/master/csl-citation.json"} </w:instrText>
      </w:r>
      <w:r w:rsidR="00601B39">
        <w:fldChar w:fldCharType="separate"/>
      </w:r>
      <w:r w:rsidR="00092F78" w:rsidRPr="00092F78">
        <w:rPr>
          <w:rFonts w:ascii="Calibri" w:hAnsi="Calibri" w:cs="Calibri"/>
        </w:rPr>
        <w:t>[16]</w:t>
      </w:r>
      <w:r w:rsidR="00601B39">
        <w:fldChar w:fldCharType="end"/>
      </w:r>
      <w:r w:rsidR="001A6C1A">
        <w:t xml:space="preserve"> </w:t>
      </w:r>
      <w:r w:rsidR="00554B95">
        <w:t>but</w:t>
      </w:r>
      <w:r w:rsidR="00601B39">
        <w:t>, without sufficient explanation</w:t>
      </w:r>
      <w:r>
        <w:t>,</w:t>
      </w:r>
      <w:r w:rsidR="00554B95">
        <w:t xml:space="preserve"> it</w:t>
      </w:r>
      <w:r w:rsidR="00601B39">
        <w:t xml:space="preserve"> </w:t>
      </w:r>
      <w:r w:rsidR="00764041">
        <w:t>may</w:t>
      </w:r>
      <w:r w:rsidR="00601B39">
        <w:t xml:space="preserve"> hinder </w:t>
      </w:r>
      <w:r w:rsidR="00774E78">
        <w:t xml:space="preserve">an informed and </w:t>
      </w:r>
      <w:r w:rsidR="00601B39">
        <w:t>effective discussion</w:t>
      </w:r>
      <w:r w:rsidR="001A6C1A">
        <w:t xml:space="preserve"> </w:t>
      </w:r>
      <w:r w:rsidR="00601B39">
        <w:t>with patients</w:t>
      </w:r>
      <w:r w:rsidR="00774E78">
        <w:t>.</w:t>
      </w:r>
      <w:r w:rsidR="00707664">
        <w:fldChar w:fldCharType="begin"/>
      </w:r>
      <w:r w:rsidR="00092F78">
        <w:instrText xml:space="preserve"> ADDIN ZOTERO_ITEM CSL_CITATION {"citationID":"BmiS6VOc","properties":{"formattedCitation":"[17]","plainCitation":"[17]","noteIndex":0},"citationItems":[{"id":516,"uris":["http://zotero.org/users/5054817/items/JY832G8B"],"uri":["http://zotero.org/users/5054817/items/JY832G8B"],"itemData":{"id":516,"type":"article-journal","container-title":"Journal of Crohn's and Colitis","DOI":"10.1093/ecco-jcc/jjw198","ISSN":"1873-9946, 1876-4479","issue":"1","journalAbbreviation":"ECCOJC","language":"en","page":"26-34","source":"DOI.org (Crossref)","title":"ECCO Position Statement on the Use of Biosimilars for Inflammatory Bowel Disease—An Update","volume":"11","author":[{"family":"Danese","given":"Silvio"},{"family":"Fiorino","given":"Gionata"},{"family":"Raine","given":"Tim"},{"family":"Ferrante","given":"Marc"},{"family":"Kemp","given":"Karen"},{"family":"Kierkus","given":"Jaroslaw"},{"family":"Lakatos","given":"Peter L."},{"family":"Mantzaris","given":"Gerassimos"},{"family":"Woude","given":"Janneke","non-dropping-particle":"van der"},{"family":"Panes","given":"Julian"},{"family":"Peyrin-Biroulet","given":"Laurent"}],"issued":{"date-parts":[["2017",1]]}}}],"schema":"https://github.com/citation-style-language/schema/raw/master/csl-citation.json"} </w:instrText>
      </w:r>
      <w:r w:rsidR="00707664">
        <w:fldChar w:fldCharType="separate"/>
      </w:r>
      <w:r w:rsidR="00092F78" w:rsidRPr="00092F78">
        <w:rPr>
          <w:rFonts w:ascii="Calibri" w:hAnsi="Calibri" w:cs="Calibri"/>
        </w:rPr>
        <w:t>[17]</w:t>
      </w:r>
      <w:r w:rsidR="00707664">
        <w:fldChar w:fldCharType="end"/>
      </w:r>
      <w:r w:rsidR="00601B39">
        <w:t xml:space="preserve"> </w:t>
      </w:r>
      <w:r w:rsidR="00707664">
        <w:t>Interestingly</w:t>
      </w:r>
      <w:r w:rsidR="00601B39">
        <w:t>,</w:t>
      </w:r>
      <w:r w:rsidR="00707664">
        <w:t xml:space="preserve"> a number of participants expressed a hope that they would gain therapeutic benefit from switching to a biosimilar</w:t>
      </w:r>
      <w:r w:rsidR="008E0F68">
        <w:t xml:space="preserve"> </w:t>
      </w:r>
      <w:r w:rsidR="00554B95">
        <w:t xml:space="preserve">despite </w:t>
      </w:r>
      <w:r w:rsidR="00FE5CE4">
        <w:t>biosimilars hav</w:t>
      </w:r>
      <w:r w:rsidR="00554B95">
        <w:t>ing</w:t>
      </w:r>
      <w:r w:rsidR="00FE5CE4">
        <w:t xml:space="preserve"> similar efficacy.</w:t>
      </w:r>
      <w:r w:rsidR="00855537">
        <w:t xml:space="preserve"> </w:t>
      </w:r>
    </w:p>
    <w:p w14:paraId="69908BD5" w14:textId="7F25F707" w:rsidR="00570F44" w:rsidRDefault="00592F11" w:rsidP="00570F44">
      <w:r>
        <w:t>For many patients</w:t>
      </w:r>
      <w:r w:rsidR="00EC6933">
        <w:t xml:space="preserve"> </w:t>
      </w:r>
      <w:r>
        <w:t>these medicines have been life-transforming and it is reasonable and legitimate to have concerns when a transition from a br</w:t>
      </w:r>
      <w:r w:rsidR="0033209D">
        <w:t>and that has been proven to be effective for that individual is proposed.</w:t>
      </w:r>
      <w:r w:rsidR="003E3996">
        <w:t xml:space="preserve"> Previous research into the opinions of patients with inflammatory bowel disease regarding biosimilar medicines has been</w:t>
      </w:r>
      <w:r w:rsidR="004A52FE">
        <w:t xml:space="preserve"> largely</w:t>
      </w:r>
      <w:r w:rsidR="003E3996">
        <w:t xml:space="preserve"> restricted to </w:t>
      </w:r>
      <w:r w:rsidR="001B6684">
        <w:t>questionnaire</w:t>
      </w:r>
      <w:r w:rsidR="003E3996">
        <w:t xml:space="preserve"> data with </w:t>
      </w:r>
      <w:r w:rsidR="004A52FE">
        <w:t>predetermined</w:t>
      </w:r>
      <w:r w:rsidR="003E3996">
        <w:t xml:space="preserve"> response options</w:t>
      </w:r>
      <w:r w:rsidR="004A52FE">
        <w:t xml:space="preserve"> while our use of interviews elicited additional depth and richness</w:t>
      </w:r>
      <w:r w:rsidR="003E3996">
        <w:t>.</w:t>
      </w:r>
      <w:r w:rsidR="0033209D">
        <w:t xml:space="preserve"> The principal concerns identified in this study match those identified in previous </w:t>
      </w:r>
      <w:r w:rsidR="0047752A">
        <w:t xml:space="preserve">survey </w:t>
      </w:r>
      <w:r w:rsidR="00A8250D">
        <w:t xml:space="preserve">research </w:t>
      </w:r>
      <w:r w:rsidR="00D004FF">
        <w:t>(</w:t>
      </w:r>
      <w:r w:rsidR="004A52FE">
        <w:t xml:space="preserve">lack of knowledge and uncertain </w:t>
      </w:r>
      <w:r w:rsidR="00D004FF">
        <w:t>efficacy, safety and tolerability)</w:t>
      </w:r>
      <w:r w:rsidR="0033209D">
        <w:t>,</w:t>
      </w:r>
      <w:r w:rsidR="0076279B">
        <w:fldChar w:fldCharType="begin"/>
      </w:r>
      <w:r w:rsidR="001B6684">
        <w:instrText xml:space="preserve"> ADDIN ZOTERO_ITEM CSL_CITATION {"citationID":"vZSgiIaR","properties":{"formattedCitation":"[7,9\\uc0\\u8211{}12]","plainCitation":"[7,9–12]","noteIndex":0},"citationItems":[{"id":499,"uris":["http://zotero.org/users/5054817/items/SCHNBJ99"],"uri":["http://zotero.org/users/5054817/items/SCHNBJ99"],"itemData":{"id":499,"type":"article-journal","container-title":"Patient Preference and Adherence","DOI":"10.2147/PPA.S104891","ISSN":"1177-889X","journalAbbreviation":"PPA","language":"en","page":"937","source":"DOI.org (Crossref)","title":"Patient attitudes and understanding about biosimilars: an international cross-sectional survey","title-short":"Patient attitudes and understanding about biosimilars","author":[{"family":"Jacobs","given":"Ira"},{"family":"Singh","given":"Ena"},{"family":"Sewell","given":"Lea"},{"family":"Al-Sabbagh","given":"Ahmad"},{"family":"Shane","given":"Lesley G"}],"issued":{"date-parts":[["2016",5]]}}},{"id":512,"uris":["http://zotero.org/users/5054817/items/DPA96G2Y"],"uri":["http://zotero.org/users/5054817/items/DPA96G2Y"],"itemData":{"id":512,"type":"article-journal","container-title":"United European Gastroenterology Journal","DOI":"10.1177/2050640619883704","ISSN":"2050-6406, 2050-6414","issue":"10","journalAbbreviation":"United European Gastroenterol. j.","language":"en","page":"1345-1352","source":"DOI.org (Crossref)","title":"Changes in inflammatory bowel disease patients’ perspectives on biosimilars: A follow‐up survey","title-short":"Changes in inflammatory bowel disease patients’ perspectives on biosimilars","volume":"7","author":[{"family":"Peyrin-Biroulet","given":"Laurent"},{"family":"Lönnfors","given":"Sanna"},{"family":"Avedano","given":"Luisa"},{"family":"Danese","given":"Silvio"}],"issued":{"date-parts":[["2019",12]]}}},{"id":268,"uris":["http://zotero.org/users/5054817/items/C2CMNA9X"],"uri":["http://zotero.org/users/5054817/items/C2CMNA9X"],"itemData":{"id":268,"type":"article-journal","abstract":"Objective: To evaluate patient attitudes regarding non-medical switching (NMS) to biosimilars among patients with autoimmune disease currently receiving a biologic. &lt;br/&gt;Method(s): An online survey was conducted among patients meeting the following criteria: &amp;gt;=18 years of age; residing in the US; diagnosis of rheumatoid arthritis, Crohn's disease, ulcerative colitis, psoriasis or psoriatic arthritis; currently taking a biologic; and consenting to participate. Patients answered questions about their attitudes and experiences related to NMS. Descriptive statistics were used to summarize responses. &lt;br/&gt;Result(s): A total of 1696 patients completed the 20-min survey. Eighty-five per cent of patients were concerned that biosimilars wouldn't treat their disease as well; 85% didn't want to switch to a biosimilar if their current biologic was helping their disease; and 83% were concerned that switching may cause more side-effects. Twenty per cent of patients had previously received notification about a potential NMS to another biologic (that was not a biosimilar) from their insurance company. Of these, 79% took at least one action to avoid the NMS and 45% ultimately switched. Of these patients (n = 150), 67% indicated that their previous biologic worked well for them and 70% didn't want to switch to another biologic. Most patients who switched (67%) did so to avoid paying a higher cost. More than half (56%) went without therapy for administrative reasons during the period of transition from the old biologic to the other treatment. &lt;br/&gt;Conclusion(s): Patients reported multiple concerns about NMS that might impact treatment outcomes, and many of the patients who non-medically switched in this survey missed treatments. Future studies should be conducted on patient expectations and experiences with NMS to understand the impact on healthcare delivery, treatment persistency, and patient outcomes. The patient perspective and experience should be considered by decision-makers when developing coverage policies for biosimilar medications and associated communication strategies.&lt;br/&gt;Copyright &amp;#xa9; 2019, &amp;#xa9; 2019 Informa UK Limited, trading as Taylor &amp; Francis Group.","container-title":"Current Medical Research and Opinion","issue":"4","journalAbbreviation":"Current Medical Research and Opinion","note":"publisher: Taylor and Francis Ltd","page":"603-609","source":"EMBASE","title":"Patient attitudes about non-medical switching to biosimilars: results from an online patient survey in the United States DUPLICATE","volume":"35","author":[{"literal":"Teeple A."},{"literal":"Ellis L.A."},{"literal":"Ginsburg S."},{"literal":"Howard L."},{"literal":"Huff L."},{"literal":"Reynolds C."},{"literal":"Walls D."},{"literal":"Curtis J.R."}],"issued":{"date-parts":[["2019",4]]}}},{"id":111,"uris":["http://zotero.org/users/5054817/items/86N3BCYC"],"uri":["http://zotero.org/users/5054817/items/86N3BCYC"],"itemData":{"id":111,"type":"article-journal","container-title":"Digestive and Liver Disease","DOI":"10.1016/j.dld.2020.07.028","ISSN":"15908658","issue":"11","journalAbbreviation":"Digestive and Liver Disease","language":"en","page":"1304-1309","source":"DOI.org (Crossref)","title":"Biosimilars: The viewpoint of Italian patients with inflammatory bowel disease","title-short":"Biosimilars","volume":"52","author":[{"family":"Macaluso","given":"Fabio Salvatore"},{"family":"Leone","given":"Salvatore"},{"family":"Previtali","given":"Enrica"},{"family":"Ventimiglia","given":"Marco"},{"family":"Armuzzi","given":"Alessandro"},{"family":"Orlando","given":"Ambrogio"}],"issued":{"date-parts":[["2020",11]]}}},{"id":333,"uris":["http://zotero.org/users/5054817/items/HZ8F8QA8"],"uri":["http://zotero.org/users/5054817/items/HZ8F8QA8"],"itemData":{"id":333,"type":"article-journal","abstract":"Objectives This study examined gastroenterologists' motivation for prescribing biosimilars, assessed their treatment preferences in relation to prescribing behaviour, and explored patient attitudes to biosimilars. Methods Data were taken from the Adelphi Real World Biosimilars Programme, a real-world, crosssectional study undertaken in 2015-2016 with German gastroenterologists and patients with ulcerative colitis or Crohn's disease. Gastroenterologists provided data on their prescribing behaviour and attitudes towards biosimilars, and invited the next eight eligible consecutive consulting patients to complete a detailed questionnaire. For analysis, gastroenterologists were split into 'Investigative', 'Conservative', and 'Other' groups. Results Overall, 25 gastroenterologists and 136 patients participated. Biosimilars accounted for &amp;lt;15% of all biologic therapies and &amp;gt;80% of gastroenterologists would prescribe a bio-originator rather than biosimilar as 1st line therapy if unrestricted. Patients showed some reluctance to accept biosimilars, although of those receiving biosimilars, 79% were satisfied with the current treatment of their condition, and 69% were satisfied with the control of symptoms. Although at least 35% of patients in each analysis group reported no concerns when starting treatment with a bio-originator or biosimilar, 41% of previously biologic-naive patients prescribed a biosimilar indicated potential side effects and potential long-term problems, and 24% not knowing enough about the drug, as concerns. Conclusion Results demonstrate that there is reluctance from patients to accept biosimilars and the need to further educate patients who are unsure to allow them to be involved in decision making, highlighting the importance of patient and physician communication. There remains a need for further research into non-clinical switching and the long term impact of prescribing biosimilars.&lt;br/&gt;Copyright &amp;#xa9; 2017 Sullivan et al. This is an open access article distributed under the terms of the Creative Commons Attribution License, which permits unrestricted use, distribution, and reproduction in any medium, provided the original author and source are credited.","container-title":"PLoS ONE","issue":"4","journalAbbreviation":"PLoS ONE","note":"publisher: Public Library of Science (E-mail: plos@plos.org)","source":"EMBASE","title":"Assessing gastroenterologist and patient acceptance of biosimilars in ulcerative colitis and Crohn's disease across Germany","volume":"12","author":[{"literal":"Sullivan E."},{"literal":"Piercy J."},{"literal":"Waller J."},{"literal":"Black C.M."},{"literal":"Kachroo S."}],"issued":{"date-parts":[["2017",4]]}}}],"schema":"https://github.com/citation-style-language/schema/raw/master/csl-citation.json"} </w:instrText>
      </w:r>
      <w:r w:rsidR="0076279B">
        <w:fldChar w:fldCharType="separate"/>
      </w:r>
      <w:r w:rsidR="001B6684" w:rsidRPr="001B6684">
        <w:rPr>
          <w:rFonts w:ascii="Calibri" w:hAnsi="Calibri" w:cs="Calibri"/>
          <w:szCs w:val="24"/>
        </w:rPr>
        <w:t>[7,9–12]</w:t>
      </w:r>
      <w:r w:rsidR="0076279B">
        <w:fldChar w:fldCharType="end"/>
      </w:r>
      <w:r w:rsidR="0033209D">
        <w:t xml:space="preserve"> although </w:t>
      </w:r>
      <w:r w:rsidR="008E0F68">
        <w:t xml:space="preserve">expected efficacy in concurrent </w:t>
      </w:r>
      <w:r w:rsidR="008E0F68" w:rsidRPr="008E0F68">
        <w:t>immune-mediated inflammatory disease</w:t>
      </w:r>
      <w:r w:rsidR="008E0F68">
        <w:t>s</w:t>
      </w:r>
      <w:r w:rsidR="008E0F68" w:rsidRPr="008E0F68">
        <w:t xml:space="preserve"> </w:t>
      </w:r>
      <w:r w:rsidR="008E0F68">
        <w:t xml:space="preserve">and </w:t>
      </w:r>
      <w:r w:rsidR="002A5AAA">
        <w:t xml:space="preserve">practical concerns were </w:t>
      </w:r>
      <w:r w:rsidR="00570F44">
        <w:t xml:space="preserve">also </w:t>
      </w:r>
      <w:r w:rsidR="00D25CD3">
        <w:t>expressed</w:t>
      </w:r>
      <w:r w:rsidR="00570F44">
        <w:t>. Therefore, as is recommended for medicines more generally,</w:t>
      </w:r>
      <w:r w:rsidR="004E4FCF">
        <w:fldChar w:fldCharType="begin"/>
      </w:r>
      <w:r w:rsidR="00092F78">
        <w:instrText xml:space="preserve"> ADDIN ZOTERO_ITEM CSL_CITATION {"citationID":"x2cBgp5U","properties":{"formattedCitation":"[6,18]","plainCitation":"[6,18]","noteIndex":0},"citationItems":[{"id":631,"uris":["http://zotero.org/users/5054817/items/LUD35H8S"],"uri":["http://zotero.org/users/5054817/items/LUD35H8S"],"itemData":{"id":631,"type":"report","title":"Medicines adherence: involving patients in decisions about prescribed medicines and supporting adherence [NICE clinical guideline No. 76]","URL":"https://www.nice.org.uk/guidance/cg76/resources/medicines-adherence-involving-patients-in-decisions-about-prescribed-medicines-and-supporting-adherence-pdf-975631782085","author":[{"literal":"National Institute for Health and Care Excellence"}],"issued":{"date-parts":[["2009"]]}}},{"id":632,"uris":["http://zotero.org/users/5054817/items/X8IXES9X"],"uri":["http://zotero.org/users/5054817/items/X8IXES9X"],"itemData":{"id":632,"type":"report","event-place":"London","language":"eng","publisher":"The King's Fund","publisher-place":"London","source":"K10plus ISBN","title":"Making shared decision-making a reality: no decision about me, without me","title-short":"Making shared decision-making a reality","author":[{"family":"Coulter","given":"Angela"},{"family":"Collins","given":"Alfred"}],"issued":{"date-parts":[["2011"]]}}}],"schema":"https://github.com/citation-style-language/schema/raw/master/csl-citation.json"} </w:instrText>
      </w:r>
      <w:r w:rsidR="004E4FCF">
        <w:fldChar w:fldCharType="separate"/>
      </w:r>
      <w:r w:rsidR="00092F78" w:rsidRPr="00092F78">
        <w:rPr>
          <w:rFonts w:ascii="Calibri" w:hAnsi="Calibri" w:cs="Calibri"/>
        </w:rPr>
        <w:t>[6,18]</w:t>
      </w:r>
      <w:r w:rsidR="004E4FCF">
        <w:fldChar w:fldCharType="end"/>
      </w:r>
      <w:r w:rsidR="00570F44">
        <w:t xml:space="preserve"> discussion with patients about their understanding, beliefs and concerns about biosimilars is central to shared decision-making and supporting self-management of these drugs.</w:t>
      </w:r>
    </w:p>
    <w:p w14:paraId="661C6259" w14:textId="4CE34A04" w:rsidR="0033209D" w:rsidRDefault="00994F9A">
      <w:r>
        <w:lastRenderedPageBreak/>
        <w:t xml:space="preserve">Many healthcare professionals are uncomfortable with biosimilar transition for non-medical </w:t>
      </w:r>
      <w:r w:rsidR="00570F44">
        <w:t xml:space="preserve"> </w:t>
      </w:r>
      <w:r>
        <w:t>reasons</w:t>
      </w:r>
      <w:r w:rsidR="00C42FC5">
        <w:t>,</w:t>
      </w:r>
      <w:r w:rsidR="000A3A79">
        <w:t xml:space="preserve"> such as minimising drug acquisition costs</w:t>
      </w:r>
      <w:r w:rsidR="00C42FC5">
        <w:t>,</w:t>
      </w:r>
      <w:r>
        <w:fldChar w:fldCharType="begin"/>
      </w:r>
      <w:r w:rsidR="008C348C">
        <w:instrText xml:space="preserve"> ADDIN ZOTERO_ITEM CSL_CITATION {"citationID":"D0PzYXQr","properties":{"formattedCitation":"[19]","plainCitation":"[19]","noteIndex":0},"citationItems":[{"id":523,"uris":["http://zotero.org/users/5054817/items/NLHKCLHV"],"uri":["http://zotero.org/users/5054817/items/NLHKCLHV"],"itemData":{"id":523,"type":"article-journal","abstract":"Objective\n              To investigate UK healthcare professionals’ perceptions and perspectives towards biosimilar infliximab, etanercept and insulin glargine and the potential barriers and facilitators to their prescribing.\n            \n            \n              Design\n              A cross-sectional qualitative study design was used.\n            \n            \n              Setting\n              Five hospitals within the West Midlands area in UK.\n            \n            \n              Interventions\n              30 min face-to-face, semistructured interviews of healthcare professionals.\n            \n            \n              Participants\n              22 healthcare professionals (consultants, nurses and pharmacists) participated in the semistructured interviews.\n            \n            \n              Outcomes\n              Participants’ opinion and attitudes about biosimilars and the barriers and facilitators to the prescribing of infliximab, etanercept and insulin glargine biosimilars in gastroenterology, rheumatology and diabetology specialties.\n            \n            \n              Results\n              This study showed that UK healthcare professionals had good knowledge of biosimilars and were content to initiate them. Healthcare professionals disagreed with biosimilar auto-substitution at pharmacy level and multiple switching. Subtle differences among healthcare professionals were identified in the acceptance of switching stable patients, indication extrapolation and cost savings sharing.\n            \n            \n              Conclusion\n              Safety and efficacy concerns, patients’ opinion and how cost savings were shared were the identified barriers to considering prescribing biosimilars. Real-life data and financial incentives were the suggested facilitators to increase biosimilar utilisation.","container-title":"BMJ Open","DOI":"10.1136/bmjopen-2018-023603","ISSN":"2044-6055, 2044-6055","issue":"11","journalAbbreviation":"BMJ Open","language":"en","page":"e023603","source":"DOI.org (Crossref)","title":"Healthcare professionals’ perceptions and perspectives on biosimilar medicines and the barriers and facilitators to their prescribing in UK: a qualitative study","title-short":"Healthcare professionals’ perceptions and perspectives on biosimilar medicines and the barriers and facilitators to their prescribing in UK","volume":"8","author":[{"family":"Aladul","given":"Mohammed Ibrahim"},{"family":"Fitzpatrick","given":"Raymond William"},{"family":"Chapman","given":"Stephen Robert"}],"issued":{"date-parts":[["2018",11]]}}}],"schema":"https://github.com/citation-style-language/schema/raw/master/csl-citation.json"} </w:instrText>
      </w:r>
      <w:r>
        <w:fldChar w:fldCharType="separate"/>
      </w:r>
      <w:r w:rsidR="008C348C" w:rsidRPr="008C348C">
        <w:rPr>
          <w:rFonts w:ascii="Calibri" w:hAnsi="Calibri" w:cs="Calibri"/>
        </w:rPr>
        <w:t>[19]</w:t>
      </w:r>
      <w:r>
        <w:fldChar w:fldCharType="end"/>
      </w:r>
      <w:r>
        <w:t xml:space="preserve"> </w:t>
      </w:r>
      <w:r w:rsidR="000C6760">
        <w:t>while t</w:t>
      </w:r>
      <w:r w:rsidR="0033209D">
        <w:t xml:space="preserve">he majority of patients </w:t>
      </w:r>
      <w:r w:rsidR="000C6760">
        <w:t xml:space="preserve">in this study </w:t>
      </w:r>
      <w:r w:rsidR="0033209D">
        <w:t xml:space="preserve">were </w:t>
      </w:r>
      <w:r w:rsidR="00FB5E47">
        <w:t>willing to accept</w:t>
      </w:r>
      <w:r w:rsidR="0033209D">
        <w:t xml:space="preserve"> </w:t>
      </w:r>
      <w:r w:rsidR="002A5AAA">
        <w:t xml:space="preserve">a financially-driven </w:t>
      </w:r>
      <w:r w:rsidR="0033209D">
        <w:t xml:space="preserve">biosimilar transition </w:t>
      </w:r>
      <w:r w:rsidR="002A5AAA">
        <w:t xml:space="preserve">for the </w:t>
      </w:r>
      <w:r w:rsidR="0033209D">
        <w:t xml:space="preserve">benefit </w:t>
      </w:r>
      <w:r w:rsidR="002A5AAA">
        <w:t xml:space="preserve">of </w:t>
      </w:r>
      <w:r w:rsidR="0033209D">
        <w:t>the wider healthcare system</w:t>
      </w:r>
      <w:r w:rsidR="002A5AAA">
        <w:t>, without anticipating any personal benefit</w:t>
      </w:r>
      <w:r w:rsidR="006A71EC">
        <w:t>.</w:t>
      </w:r>
      <w:r w:rsidR="00B37334">
        <w:t xml:space="preserve"> </w:t>
      </w:r>
      <w:r w:rsidR="007A5871">
        <w:t xml:space="preserve">Informing </w:t>
      </w:r>
      <w:r w:rsidR="00842072">
        <w:t>patients of the</w:t>
      </w:r>
      <w:r w:rsidR="00AC17DF">
        <w:t xml:space="preserve"> potential benefits (</w:t>
      </w:r>
      <w:r w:rsidR="00B44965">
        <w:t>reviewed elsewhere</w:t>
      </w:r>
      <w:r w:rsidR="008F1C50">
        <w:fldChar w:fldCharType="begin"/>
      </w:r>
      <w:r w:rsidR="008F1C50">
        <w:instrText xml:space="preserve"> ADDIN ZOTERO_ITEM CSL_CITATION {"citationID":"4fOwnPKa","properties":{"formattedCitation":"[20]","plainCitation":"[20]","noteIndex":0},"citationItems":[{"id":644,"uris":["http://zotero.org/users/5054817/items/EPG6YW3Q"],"uri":["http://zotero.org/users/5054817/items/EPG6YW3Q"],"itemData":{"id":644,"type":"article-journal","container-title":"BioDrugs","DOI":"10.1007/s40259-019-00395-w","ISSN":"1173-8804, 1179-190X","issue":"2","journalAbbreviation":"BioDrugs","language":"en","page":"159-170","source":"DOI.org (Crossref)","title":"Identifying Key Benefits in European Off-Patent Biologics and Biosimilar Markets: It is Not Only About Price!","title-short":"Identifying Key Benefits in European Off-Patent Biologics and Biosimilar Markets","volume":"34","author":[{"family":"Dutta","given":"Binita"},{"family":"Huys","given":"Isabelle"},{"family":"Vulto","given":"Arnold G."},{"family":"Simoens","given":"Steven"}],"issued":{"date-parts":[["2020",4]]}}}],"schema":"https://github.com/citation-style-language/schema/raw/master/csl-citation.json"} </w:instrText>
      </w:r>
      <w:r w:rsidR="008F1C50">
        <w:fldChar w:fldCharType="separate"/>
      </w:r>
      <w:r w:rsidR="008F1C50" w:rsidRPr="008F1C50">
        <w:rPr>
          <w:rFonts w:ascii="Calibri" w:hAnsi="Calibri" w:cs="Calibri"/>
        </w:rPr>
        <w:t>[20]</w:t>
      </w:r>
      <w:r w:rsidR="008F1C50">
        <w:fldChar w:fldCharType="end"/>
      </w:r>
      <w:r w:rsidR="00AC17DF">
        <w:t>)</w:t>
      </w:r>
      <w:r w:rsidR="00A04305">
        <w:t xml:space="preserve"> may improve </w:t>
      </w:r>
      <w:r w:rsidR="00FD5BD6">
        <w:t xml:space="preserve">acceptance, particularly in health </w:t>
      </w:r>
      <w:r w:rsidR="001352D7">
        <w:t>systems where drug costs are not directly funded by patients.</w:t>
      </w:r>
      <w:r w:rsidR="00EB38D9">
        <w:t xml:space="preserve"> Notably the study was performed in a healthcare system where the medicine was provided at no direct cost to the patient. It is likely that patients that share the medication cost burden in other health systems would be motivated by the potential of biosimilars to reduce their personal medication expenditure.</w:t>
      </w:r>
    </w:p>
    <w:p w14:paraId="4A231662" w14:textId="31138021" w:rsidR="003A3729" w:rsidRDefault="005D575B" w:rsidP="00BB00AC">
      <w:r>
        <w:t xml:space="preserve">The crossover design of this study is </w:t>
      </w:r>
      <w:r w:rsidR="00232FFA">
        <w:t xml:space="preserve">uniquely </w:t>
      </w:r>
      <w:r w:rsidR="00994F9A">
        <w:t>useful</w:t>
      </w:r>
      <w:r>
        <w:t xml:space="preserve"> for the </w:t>
      </w:r>
      <w:r w:rsidR="003D515A">
        <w:t>comparison</w:t>
      </w:r>
      <w:r>
        <w:t xml:space="preserve"> of subjecti</w:t>
      </w:r>
      <w:r w:rsidR="0070105B">
        <w:t xml:space="preserve">ve measures including </w:t>
      </w:r>
      <w:r>
        <w:t xml:space="preserve">injection </w:t>
      </w:r>
      <w:r w:rsidR="00170BC4">
        <w:t>experience</w:t>
      </w:r>
      <w:r w:rsidR="0070105B">
        <w:t xml:space="preserve"> wh</w:t>
      </w:r>
      <w:r w:rsidR="00232FFA">
        <w:t xml:space="preserve">ich was of particular </w:t>
      </w:r>
      <w:r w:rsidR="006A71EC">
        <w:t>interest</w:t>
      </w:r>
      <w:r w:rsidR="003D515A">
        <w:t xml:space="preserve">. </w:t>
      </w:r>
      <w:r w:rsidR="008B3B12">
        <w:t>An increase in i</w:t>
      </w:r>
      <w:r w:rsidR="006A71EC">
        <w:t>njection site pain</w:t>
      </w:r>
      <w:r w:rsidR="00F376A8">
        <w:t xml:space="preserve">, tolerable for the majority of patients, </w:t>
      </w:r>
      <w:r w:rsidR="006A71EC">
        <w:t xml:space="preserve">with the </w:t>
      </w:r>
      <w:proofErr w:type="spellStart"/>
      <w:r w:rsidR="006A71EC">
        <w:t>Imraldi</w:t>
      </w:r>
      <w:r w:rsidR="00C0129B" w:rsidRPr="00B56E2B">
        <w:rPr>
          <w:vertAlign w:val="superscript"/>
        </w:rPr>
        <w:t>TM</w:t>
      </w:r>
      <w:proofErr w:type="spellEnd"/>
      <w:r w:rsidR="006A71EC">
        <w:t xml:space="preserve"> injections was frequently </w:t>
      </w:r>
      <w:r w:rsidR="008B3B12">
        <w:t>discussed by participants</w:t>
      </w:r>
      <w:r w:rsidR="00F376A8">
        <w:t>,</w:t>
      </w:r>
      <w:r w:rsidR="008B3B12">
        <w:t xml:space="preserve"> consistent with other real-world studies</w:t>
      </w:r>
      <w:r w:rsidR="00F376A8">
        <w:t>.</w:t>
      </w:r>
      <w:r w:rsidR="005840EC">
        <w:fldChar w:fldCharType="begin"/>
      </w:r>
      <w:r w:rsidR="008F1C50">
        <w:instrText xml:space="preserve"> ADDIN ZOTERO_ITEM CSL_CITATION {"citationID":"WngtXH9X","properties":{"formattedCitation":"[21\\uc0\\u8211{}23]","plainCitation":"[21–23]","noteIndex":0},"citationItems":[{"id":467,"uris":["http://zotero.org/users/5054817/items/36C5WV67"],"uri":["http://zotero.org/users/5054817/items/36C5WV67"],"itemData":{"id":467,"type":"article-journal","abstract":"Abstract\n            \n              Background and Aims\n              Patients’ perspectives after switching from originator to biosimilar adalimumab have yet to be assessed. We evaluated the efficacy of switching from the originator adalimumab to a biosimilar compound [SB5] in patients with inflammatory bowel disease [IBD].\n            \n            \n              Methods\n              Data on IBD patients who were switched from the originator to biosimilar adalimumab [SB5] at IBD Center ISCARE were analysed. Disease activity was assessed using standard clinical indices (Harvey-Bradshaw index [HBI] for Crohn’s disease [CD] and partial Mayo score for ulcerative colitis [UC]), and laboratory parameters (C-reactive protein [CRP] and faecal calprotectin [FC]). Trough levels and anti-drug antibodies were measured. Patients were evaluated 10 weeks [W10] after the switch, and results were compared with the control group of patients on originator compound.\n            \n            \n              Results\n              A total of 93 patients switched to biosimilar adalimumab were included [CD 86%] and were matched to 93 controls for age, gender, diagnosis, and disease activity. There was no difference in the disease activity in either SWITCH or ORIGINATOR cohorts between Weeks 0 and 10. Similarly, no difference was found between cohorts at both prespecified time points. Moreover, no significant differences in CRP or FC concentrations were seen between W0 and W10 either in the SWITCH, or in the ORIGINATOR cohort [p &amp;gt;0.05]. Adalimumab serum trough levels remained stable after the switch. No new safety signals were detected.\n            \n            \n              Conclusions\n              Our study confirmed that switching IBD patients from the originator adalimumab to a biosimilar compound [SB5] does not affect treatment efficacy.","container-title":"Journal of Crohn's and Colitis","DOI":"10.1093/ecco-jcc/jjaa001","ISSN":"1873-9946, 1876-4479","issue":"7","language":"en","page":"915-919","source":"DOI.org (Crossref)","title":"Switching From Originator Adalimumab to the Biosimilar SB5 in Patients With Inflammatory Bowel Disease: Short-term Experience From a Single Tertiary Clinical Centre","title-short":"Switching From Originator Adalimumab to the Biosimilar SB5 in Patients With Inflammatory Bowel Disease","volume":"14","author":[{"family":"Lukas","given":"Martin"},{"family":"Malickova","given":"K"},{"family":"Kolar","given":"M"},{"family":"Bortlik","given":"M"},{"family":"Vasatko","given":"M"},{"family":"Machkova","given":"N"},{"family":"Hruba","given":"V"},{"family":"Duricova","given":"D"},{"family":"Lukas","given":"Milan"}],"issued":{"date-parts":[["2020",7,30]]}}},{"id":210,"uris":["http://zotero.org/users/5054817/items/MJYALVT9"],"uri":["http://zotero.org/users/5054817/items/MJYALVT9"],"itemData":{"id":210,"type":"article-journal","abstract":"BACKGROUND: Few data are currently available about SB5 in inflammatory bowel diseases (IBD). The aim of this study was to assess the effectiveness and safety of SB5 in a cohort of patients with IBD in stable remission switched from the adalimumab (ADA) originator and in a cohort of patients with IBD naive to ADA. &lt;br/&gt;METHOD(S): We prospectively enrolled patients with IBD who started ADA treatment with SB5 (naive cohort) and those who underwent a nonmedical switch from the ADA originator to SB5 (switching cohort). Clinical remission and safety were assessed at baseline and at 3, 6, and 12 months. In addition, in a small cohort of patients who were switched, we assessed the ADA serum trough levels and antidrug antibodies at baseline, 3, and 6 months. &lt;br/&gt;RESULT(S): In the naive cohort, the overall remission rate at 12 months was 60.42%, whereas in the switching cohort it was 89.02%. Fifty-three (36.3%) patients experienced an adverse event, and injection site pain was the most common; it was significantly more frequent in the switching cohort (P = 0.001). No differences were found in terms of ADA serum trough levels at baseline, 3, and 6 months after switching. No patient developed antidrug antibodies after the switch. &lt;br/&gt;CONCLUSION(S): We found that SB5 seemed effective and safe in IBD, both in the naive cohort and in the switching cohort. Further studies are needed to confirm these data in terms of mucosal healing.&lt;br/&gt;Copyright &amp;#xa9; 2021 Crohn's &amp; Colitis Foundation. Published by Oxford University Press. All rights reserved. For permissions, please e-mail: journals.permissions@oup.com.","container-title":"Inflammatory bowel diseases","journalAbbreviation":"Inflammatory bowel diseases","note":"publisher: NLM (Medline)","source":"EMBASE","title":"Effectiveness and Safety of Nonmedical Switch From Adalimumab Originator to SB5 Biosimilar in Patients With Inflammatory Bowel Diseases: Twelve-Month Follow-Up From the TABLET Registry","author":[{"literal":"Tapete G."},{"literal":"Bertani L."},{"literal":"Mumolo M.G."},{"literal":"Ceccarelli L."},{"literal":"Costa F."},{"literal":"Maltinti S."},{"literal":"Pieraccini A."},{"literal":"Lynch E.N."},{"literal":"Bagnoli S."},{"literal":"Milla M."},{"literal":"Giannotta M."},{"literal":"De Nigris F."},{"literal":"Morganti R."},{"literal":"Biviano I."},{"literal":"Rentini S."},{"literal":"Naldini S."},{"literal":"Lionetti P."},{"literal":"Calella F."},{"literal":"Minciotti M."}],"issued":{"date-parts":[["2021",2]]}}},{"id":215,"uris":["http://zotero.org/users/5054817/items/3LXHHAAH"],"uri":["http://zotero.org/users/5054817/items/3LXHHAAH"],"itemData":{"id":215,"type":"article-journal","abstract":"Background and aim: Adalimumab (ADM) biosimilars have been demonstrated as safe and effective as the \"originator\" in trials for other autoimmune disorders, but real-life evidence in inflammatory bowel diseases (IBD) is lacking. The aim of the study was to demonstrate maintenance of clinical remission (CR) after switch from ADM \"originator\" to biosimilar SB5. &lt;br/&gt;Material(s) and Method(s): Data were retrospectively collected from November 2018 and September 2019. All IBD patients in CR after at least 6 months of \"originator\" and switched to SB5 were included. The primary outcomes were maintenance of CR at 6 months after switch (defined as Partial Mayo Score 0-1 for ulcerative colitis and Harvey-Bradshaw Index &amp;lt;=4 for Crohn's disease) and overall comparable safety. A historical cohort of patients treated only with the \"originator\" was included for comparison, using a Cox regression model with a time-varying covariate. &lt;br/&gt;Result(s): In total, 96 patients were included. Baseline characteristics of the cohort are reported in Table 1. Maintenance of CR after 6 months of switch was reported in 89/96 (92.7%) patients. Levels of C-reactive protein (CRP) significantly increased over time from baseline to 6 months (from 2.67 +/- 2.61 to 4.98 +/- 5.81, p=0.03), but no difference between the two timepoints was found when considering a relevant flare only for CRP above the cut-off (5 mg/dL). A comparison of CR persistence over time between \"originator\" cohort and SB5 \"switching\" cohort did not show any statistical difference (Hazard Ratio 1.07, 95% CI 0.57 - 2.01). With regard to adverse events, SB5 showed an overall safe profile, with only 2/96 (2.1%) patients interrupting the treatment due to anti-TNF-induced psoriasis. In 42/96 (43.8%) of patients, at least one injection site reaction was reported; only in one case a re-switch to \"originator\" was needed for local intolerance. Table presented &lt;br/&gt;Conclusion(s): SB5 is safe and effective in maintaining CR after switching from the \"originator\". Injection site reaction is a frequent but usually manageable side effect. Larger multi-center cohort and endoscopic assessment are needed to confirm the initial findings.&lt;br/&gt;Copyright &amp;#xa9; 2020 Editrice Gastroenterologica Italiana S.r.l. All rights reserved.","container-title":"Digestive and Liver Disease","journalAbbreviation":"Digestive and Liver Disease","note":"publisher: Elsevier B.V.","source":"EMBASE","title":"MAINTENANCE OF CLINICAL REMISSION WITH SB5 BIOSIMILAR AFTER SWITCH FROM ADALIMUMAB ORIGINATOR: REAL-LIFE EXPERIENCE OF A TERTIARY REFERRAL CENTER","volume":"52","author":[{"literal":"Dragoni G."},{"literal":"Pieraccini A."},{"literal":"Bagnoli S."},{"literal":"Macri G."},{"literal":"Rogai F."},{"literal":"Milani S."},{"literal":"Galli A."},{"literal":"Milla M."},{"literal":"Caini S."}],"issued":{"date-parts":[["2020",10]]}}}],"schema":"https://github.com/citation-style-language/schema/raw/master/csl-citation.json"} </w:instrText>
      </w:r>
      <w:r w:rsidR="005840EC">
        <w:fldChar w:fldCharType="separate"/>
      </w:r>
      <w:r w:rsidR="008F1C50" w:rsidRPr="008F1C50">
        <w:rPr>
          <w:rFonts w:ascii="Calibri" w:hAnsi="Calibri" w:cs="Calibri"/>
          <w:szCs w:val="24"/>
        </w:rPr>
        <w:t>[21–23]</w:t>
      </w:r>
      <w:r w:rsidR="005840EC">
        <w:fldChar w:fldCharType="end"/>
      </w:r>
      <w:r w:rsidR="00570F44">
        <w:t xml:space="preserve"> </w:t>
      </w:r>
      <w:r w:rsidR="00EF67D7">
        <w:t>W</w:t>
      </w:r>
      <w:r w:rsidR="00570F44">
        <w:t>hilst this was a very individual experience, the findings suggest it is important to prepare patients for the possibility and how to manage it this through written or verbal information.</w:t>
      </w:r>
    </w:p>
    <w:p w14:paraId="2567914F" w14:textId="39863D3D" w:rsidR="00896CB5" w:rsidRDefault="00CE607D" w:rsidP="00BB00AC">
      <w:r>
        <w:t>Some l</w:t>
      </w:r>
      <w:r w:rsidR="00896CB5">
        <w:t>imitations</w:t>
      </w:r>
      <w:r>
        <w:t xml:space="preserve"> to this study apply. Participants interviewed were selected from those who </w:t>
      </w:r>
      <w:r w:rsidR="00407795">
        <w:t>formally consented to undertake biosimilar transition</w:t>
      </w:r>
      <w:r>
        <w:t xml:space="preserve"> </w:t>
      </w:r>
      <w:r w:rsidR="00A17CDF">
        <w:t xml:space="preserve">monitored </w:t>
      </w:r>
      <w:r>
        <w:t>as part of a clinical trial (</w:t>
      </w:r>
      <w:r w:rsidR="00407795">
        <w:t xml:space="preserve">as opposed to mandatory </w:t>
      </w:r>
      <w:r>
        <w:t xml:space="preserve">transition or </w:t>
      </w:r>
      <w:r w:rsidR="00407795">
        <w:t>“presumed acceptance”</w:t>
      </w:r>
      <w:r>
        <w:t xml:space="preserve"> approaches which are common in routine care)</w:t>
      </w:r>
      <w:r w:rsidR="00407795">
        <w:t xml:space="preserve"> and </w:t>
      </w:r>
      <w:r>
        <w:t>all remained on the trial for at least 36 weeks</w:t>
      </w:r>
      <w:r w:rsidR="00265FC2">
        <w:t xml:space="preserve">. </w:t>
      </w:r>
      <w:r w:rsidR="0031473B">
        <w:t>T</w:t>
      </w:r>
      <w:r w:rsidR="00265FC2">
        <w:t xml:space="preserve">his demonstrates </w:t>
      </w:r>
      <w:r w:rsidR="00EC6933">
        <w:t xml:space="preserve">both </w:t>
      </w:r>
      <w:r w:rsidR="00265FC2">
        <w:t>an initial willingness to accept a biosimilar and a degree of satisfaction following transition</w:t>
      </w:r>
      <w:r w:rsidR="00FB5E47">
        <w:t>. I</w:t>
      </w:r>
      <w:r w:rsidR="00265FC2">
        <w:t xml:space="preserve">t is </w:t>
      </w:r>
      <w:r w:rsidR="0076279B">
        <w:t xml:space="preserve">relevant </w:t>
      </w:r>
      <w:r w:rsidR="00265FC2">
        <w:t>that the trial was designed to mimic “real-world” transition</w:t>
      </w:r>
      <w:r w:rsidR="003303A9">
        <w:t xml:space="preserve">. </w:t>
      </w:r>
      <w:r w:rsidR="00265FC2">
        <w:t>The study design necessitated a significant delay between consent and interviews</w:t>
      </w:r>
      <w:r w:rsidR="007129C7">
        <w:t xml:space="preserve"> for those participants assigned to treatment sequence 2</w:t>
      </w:r>
      <w:r w:rsidR="00265FC2">
        <w:t xml:space="preserve"> </w:t>
      </w:r>
      <w:r w:rsidR="005040C8">
        <w:t xml:space="preserve">introducing the possibility of failure to </w:t>
      </w:r>
      <w:r w:rsidR="00496825">
        <w:t xml:space="preserve">recall </w:t>
      </w:r>
      <w:r w:rsidR="005040C8">
        <w:t>initial concerns</w:t>
      </w:r>
      <w:r w:rsidR="00496825">
        <w:t xml:space="preserve">, especially as </w:t>
      </w:r>
      <w:r w:rsidR="00407795">
        <w:t xml:space="preserve">participants </w:t>
      </w:r>
      <w:r w:rsidR="005040C8">
        <w:t>may have been</w:t>
      </w:r>
      <w:r w:rsidR="00407795">
        <w:t xml:space="preserve"> reassure</w:t>
      </w:r>
      <w:r w:rsidR="00DC6E5B">
        <w:t>d</w:t>
      </w:r>
      <w:r w:rsidR="00407795">
        <w:t xml:space="preserve"> by the fact that they had </w:t>
      </w:r>
      <w:r w:rsidR="006C17E2">
        <w:t>had a positive</w:t>
      </w:r>
      <w:r w:rsidR="00407795">
        <w:t xml:space="preserve"> </w:t>
      </w:r>
      <w:r w:rsidR="006C17E2">
        <w:t xml:space="preserve">experience of </w:t>
      </w:r>
      <w:r w:rsidR="00DC6E5B">
        <w:t xml:space="preserve">transition. </w:t>
      </w:r>
      <w:r w:rsidR="00496825">
        <w:t>The trial was c</w:t>
      </w:r>
      <w:r w:rsidR="00DC6E5B">
        <w:t xml:space="preserve">onducted at a single centre in </w:t>
      </w:r>
      <w:r w:rsidR="006C17E2">
        <w:t>CD</w:t>
      </w:r>
      <w:r w:rsidR="00E27094">
        <w:t xml:space="preserve"> patients</w:t>
      </w:r>
      <w:r w:rsidR="00DC6E5B">
        <w:t>. Despite these limitations</w:t>
      </w:r>
      <w:r w:rsidR="008F5ED5">
        <w:t xml:space="preserve">, given the attention to rigour in the design and </w:t>
      </w:r>
      <w:r w:rsidR="008F5ED5">
        <w:lastRenderedPageBreak/>
        <w:t>execution of this qualitative study,</w:t>
      </w:r>
      <w:r w:rsidR="00DC6E5B">
        <w:t xml:space="preserve"> we believe that it </w:t>
      </w:r>
      <w:r w:rsidR="008F5ED5">
        <w:t>may be</w:t>
      </w:r>
      <w:r w:rsidR="00DC6E5B">
        <w:t xml:space="preserve"> reasonable to extrapolate these findings to patients </w:t>
      </w:r>
      <w:r w:rsidR="00376B53">
        <w:t xml:space="preserve">self-administering biological medicines </w:t>
      </w:r>
      <w:r w:rsidR="00DC6E5B">
        <w:t xml:space="preserve">from other </w:t>
      </w:r>
      <w:r w:rsidR="00376B53">
        <w:t>organisations</w:t>
      </w:r>
      <w:r w:rsidR="00DC6E5B">
        <w:t>.</w:t>
      </w:r>
      <w:r w:rsidR="00231E03">
        <w:t xml:space="preserve"> These findings are likely to be e</w:t>
      </w:r>
      <w:r w:rsidR="00012B94">
        <w:t xml:space="preserve">qually applicable to patients with other types of IBD, as well as potentially informing biosimilar transition in patients with </w:t>
      </w:r>
      <w:r w:rsidR="009E7F7D" w:rsidRPr="008E0F68">
        <w:t>immune-mediated inflammatory disease</w:t>
      </w:r>
      <w:r w:rsidR="009E7F7D">
        <w:t>s</w:t>
      </w:r>
      <w:r w:rsidR="009E7F7D" w:rsidRPr="008E0F68">
        <w:t xml:space="preserve"> </w:t>
      </w:r>
      <w:r w:rsidR="00012B94">
        <w:t xml:space="preserve">such as rheumatoid arthritis and psoriasis. As biosimilar medicines become more prevalent in other therapeutic areas (such as </w:t>
      </w:r>
      <w:r w:rsidR="00012B94" w:rsidRPr="00012B94">
        <w:t>oncology, ophthalmology</w:t>
      </w:r>
      <w:r w:rsidR="00012B94">
        <w:t xml:space="preserve">, and </w:t>
      </w:r>
      <w:r w:rsidR="00012B94" w:rsidRPr="00012B94">
        <w:t>endocrinology</w:t>
      </w:r>
      <w:r w:rsidR="00012B94">
        <w:t xml:space="preserve">) future research could consider </w:t>
      </w:r>
      <w:r w:rsidR="009E7F7D">
        <w:t xml:space="preserve">evaluating </w:t>
      </w:r>
      <w:r w:rsidR="00012B94">
        <w:t xml:space="preserve">the wider applicability of these findings. While our sample </w:t>
      </w:r>
      <w:r w:rsidR="009E7F7D">
        <w:t>did not</w:t>
      </w:r>
      <w:r w:rsidR="009812FB">
        <w:t xml:space="preserve"> permit subgroup analysis, further studies may help to identify patient characteristics (such as age, gender and diagnosis) that influence the preferred approach to biosimilar transition.</w:t>
      </w:r>
      <w:r w:rsidR="00012B94">
        <w:t xml:space="preserve"> </w:t>
      </w:r>
    </w:p>
    <w:p w14:paraId="751A0586" w14:textId="0252E8F5" w:rsidR="00896CB5" w:rsidRDefault="00896CB5" w:rsidP="00BB00AC">
      <w:pPr>
        <w:pStyle w:val="Heading1"/>
      </w:pPr>
      <w:r>
        <w:t>Conclusion</w:t>
      </w:r>
    </w:p>
    <w:p w14:paraId="2EB32617" w14:textId="77777777" w:rsidR="00225E4A" w:rsidRDefault="00F24576" w:rsidP="00A8021A">
      <w:r w:rsidRPr="00F24576">
        <w:t>While biosimilars have driven a reduction in drug acquisition costs, the majority of patients have little knowledge and some concerns about transitioning to a biosimilar but accept the principles and can be reassured</w:t>
      </w:r>
      <w:r w:rsidR="008F5ED5">
        <w:t xml:space="preserve"> by a trusted clinical team</w:t>
      </w:r>
      <w:r w:rsidRPr="00F24576">
        <w:t>. The wide-ranging views elucidated suggest that a tailored, patient-centred approach is k</w:t>
      </w:r>
      <w:r>
        <w:t>ey to successful implementation</w:t>
      </w:r>
      <w:r w:rsidR="0076279B">
        <w:t>,</w:t>
      </w:r>
      <w:r>
        <w:t xml:space="preserve"> minimising the risk of adversely affecting patient </w:t>
      </w:r>
      <w:r w:rsidR="00577B47">
        <w:t xml:space="preserve">adherence, </w:t>
      </w:r>
      <w:r>
        <w:t>engagement and trust.</w:t>
      </w:r>
    </w:p>
    <w:p w14:paraId="228EA6E2" w14:textId="77777777" w:rsidR="00225E4A" w:rsidRDefault="00225E4A">
      <w:pPr>
        <w:spacing w:line="276" w:lineRule="auto"/>
      </w:pPr>
      <w:r>
        <w:br w:type="page"/>
      </w:r>
    </w:p>
    <w:p w14:paraId="2D975A8F" w14:textId="77777777" w:rsidR="00225E4A" w:rsidRDefault="00225E4A" w:rsidP="00225E4A">
      <w:pPr>
        <w:pStyle w:val="Heading2"/>
      </w:pPr>
      <w:r>
        <w:lastRenderedPageBreak/>
        <w:t>Funding</w:t>
      </w:r>
    </w:p>
    <w:p w14:paraId="2279E988" w14:textId="6516778B" w:rsidR="00225E4A" w:rsidRDefault="00225E4A" w:rsidP="00225E4A">
      <w:r>
        <w:t>This is part of an investigator-initiated study sponsored by U</w:t>
      </w:r>
      <w:r w:rsidRPr="005C158B">
        <w:t>niversity Hospital Southampton NHS Foundation Trust</w:t>
      </w:r>
      <w:r>
        <w:t xml:space="preserve"> with financial support from </w:t>
      </w:r>
      <w:r w:rsidRPr="00391F16">
        <w:t>Biogen Idec L</w:t>
      </w:r>
      <w:r>
        <w:t xml:space="preserve">imited. </w:t>
      </w:r>
      <w:r w:rsidRPr="00882672">
        <w:t>Biogen reviewed the final draft of the manuscript and suggested some minor amendments that did not influence the conclusions. The authors retained full editorial control.</w:t>
      </w:r>
    </w:p>
    <w:p w14:paraId="29F4F327" w14:textId="541840E2" w:rsidR="00225E4A" w:rsidRDefault="00225E4A" w:rsidP="00225E4A">
      <w:pPr>
        <w:pStyle w:val="Heading2"/>
      </w:pPr>
      <w:r w:rsidRPr="00225E4A">
        <w:t>Acknowledgements</w:t>
      </w:r>
    </w:p>
    <w:p w14:paraId="417DFDB6" w14:textId="6765F20D" w:rsidR="00225E4A" w:rsidRPr="00225E4A" w:rsidRDefault="00225E4A" w:rsidP="00225E4A">
      <w:r>
        <w:t xml:space="preserve">The authors would like to thank the </w:t>
      </w:r>
      <w:r w:rsidRPr="00225E4A">
        <w:t>participants for their contribution to the study.</w:t>
      </w:r>
    </w:p>
    <w:p w14:paraId="3A00C81E" w14:textId="77777777" w:rsidR="00225E4A" w:rsidRPr="00F041E0" w:rsidRDefault="00225E4A" w:rsidP="00225E4A">
      <w:pPr>
        <w:pStyle w:val="Heading2"/>
      </w:pPr>
      <w:r w:rsidRPr="00F041E0">
        <w:t>Competing interests</w:t>
      </w:r>
    </w:p>
    <w:p w14:paraId="4B0A0C33" w14:textId="77777777" w:rsidR="00225E4A" w:rsidRDefault="00225E4A" w:rsidP="00225E4A">
      <w:r>
        <w:t xml:space="preserve">Fraser Cummings has served as consultant, advisory board member, or speaker for AbbVie, Amgen, </w:t>
      </w:r>
      <w:proofErr w:type="spellStart"/>
      <w:r>
        <w:t>Celltrion</w:t>
      </w:r>
      <w:proofErr w:type="spellEnd"/>
      <w:r>
        <w:t xml:space="preserve">, Falk, Ferring, Janssen, MSD, </w:t>
      </w:r>
      <w:proofErr w:type="spellStart"/>
      <w:r>
        <w:t>Napp</w:t>
      </w:r>
      <w:proofErr w:type="spellEnd"/>
      <w:r>
        <w:t xml:space="preserve"> Pharmaceuticals, Pfizer, </w:t>
      </w:r>
      <w:proofErr w:type="spellStart"/>
      <w:r>
        <w:t>Pharmacosmos</w:t>
      </w:r>
      <w:proofErr w:type="spellEnd"/>
      <w:r>
        <w:t xml:space="preserve">, Sandoz, Biogen, Samsung, Takeda, </w:t>
      </w:r>
      <w:r w:rsidRPr="00635420">
        <w:t>Bristol Myers Squibb</w:t>
      </w:r>
      <w:r>
        <w:t xml:space="preserve"> and Galapagos. He has received research funding from Biogen, Amgen, Hospira/Pfizer, </w:t>
      </w:r>
      <w:proofErr w:type="spellStart"/>
      <w:r>
        <w:t>Celltrion</w:t>
      </w:r>
      <w:proofErr w:type="spellEnd"/>
      <w:r>
        <w:t>, Janssen, GSK and AZ.</w:t>
      </w:r>
    </w:p>
    <w:p w14:paraId="5B82F08B" w14:textId="50390B23" w:rsidR="00225E4A" w:rsidRDefault="00225E4A" w:rsidP="00225E4A">
      <w:r>
        <w:t xml:space="preserve">Sue Latter: </w:t>
      </w:r>
      <w:r w:rsidR="00EC185A" w:rsidRPr="00EC185A">
        <w:t>Received funding for speaking at a symposium sponsored by MSD</w:t>
      </w:r>
      <w:r>
        <w:t>.</w:t>
      </w:r>
      <w:r w:rsidRPr="00913F75">
        <w:t xml:space="preserve"> </w:t>
      </w:r>
    </w:p>
    <w:p w14:paraId="4952F38A" w14:textId="77777777" w:rsidR="00225E4A" w:rsidRDefault="00225E4A" w:rsidP="00225E4A">
      <w:r>
        <w:t>David Young has received support for travel, accommodation and conference attendance from Sandoz.</w:t>
      </w:r>
    </w:p>
    <w:p w14:paraId="0E55D651" w14:textId="77777777" w:rsidR="00225E4A" w:rsidRDefault="00225E4A" w:rsidP="00225E4A">
      <w:pPr>
        <w:pStyle w:val="Heading2"/>
      </w:pPr>
      <w:r>
        <w:t>Ethics approval</w:t>
      </w:r>
    </w:p>
    <w:p w14:paraId="0E0BAB75" w14:textId="22D56BCA" w:rsidR="00225E4A" w:rsidRDefault="00225E4A" w:rsidP="00225E4A">
      <w:r>
        <w:t xml:space="preserve">Approval for the study was granted by the </w:t>
      </w:r>
      <w:r w:rsidRPr="006B4A93">
        <w:t xml:space="preserve">London </w:t>
      </w:r>
      <w:r>
        <w:t>(</w:t>
      </w:r>
      <w:r w:rsidRPr="006B4A93">
        <w:t>Chelsea</w:t>
      </w:r>
      <w:r>
        <w:t>)</w:t>
      </w:r>
      <w:r w:rsidRPr="006B4A93">
        <w:t xml:space="preserve"> Research Ethics Committee</w:t>
      </w:r>
      <w:r>
        <w:t xml:space="preserve"> (reference 19/LO/0167).</w:t>
      </w:r>
    </w:p>
    <w:p w14:paraId="28F0EA1A" w14:textId="23F551A3" w:rsidR="00225E4A" w:rsidRDefault="00225E4A" w:rsidP="00225E4A">
      <w:pPr>
        <w:pStyle w:val="Heading2"/>
      </w:pPr>
      <w:proofErr w:type="spellStart"/>
      <w:r w:rsidRPr="00225E4A">
        <w:t>Contributorship</w:t>
      </w:r>
      <w:proofErr w:type="spellEnd"/>
      <w:r w:rsidRPr="00225E4A">
        <w:t xml:space="preserve"> statement</w:t>
      </w:r>
    </w:p>
    <w:p w14:paraId="1549A1C6" w14:textId="5F031E5E" w:rsidR="00225E4A" w:rsidRDefault="001006B6" w:rsidP="00225E4A">
      <w:r>
        <w:t>FC, SL and DY were involved with the study conception and design. DY led data collection and analysis with support from SL. All authors prepared</w:t>
      </w:r>
      <w:r w:rsidR="007D2721">
        <w:t>,</w:t>
      </w:r>
      <w:r>
        <w:t xml:space="preserve"> approved </w:t>
      </w:r>
      <w:r w:rsidR="007D2721">
        <w:t xml:space="preserve">and jointly controlled the decision to publish </w:t>
      </w:r>
      <w:r>
        <w:t>the final manuscript.</w:t>
      </w:r>
    </w:p>
    <w:p w14:paraId="02D68CB5" w14:textId="77777777" w:rsidR="001006B6" w:rsidRDefault="001006B6" w:rsidP="001006B6">
      <w:pPr>
        <w:pStyle w:val="Heading2"/>
      </w:pPr>
      <w:r>
        <w:lastRenderedPageBreak/>
        <w:t xml:space="preserve">ORCID </w:t>
      </w:r>
      <w:proofErr w:type="spellStart"/>
      <w:r>
        <w:t>iDs</w:t>
      </w:r>
      <w:proofErr w:type="spellEnd"/>
    </w:p>
    <w:p w14:paraId="7BE0AB7B" w14:textId="77777777" w:rsidR="001006B6" w:rsidRDefault="001006B6" w:rsidP="001006B6">
      <w:pPr>
        <w:pStyle w:val="NoSpacing"/>
      </w:pPr>
      <w:r>
        <w:t>Fraser Cummings: https://orcid.org/0000-0002-9659-3247</w:t>
      </w:r>
    </w:p>
    <w:p w14:paraId="751F8292" w14:textId="77777777" w:rsidR="001006B6" w:rsidRDefault="001006B6" w:rsidP="001006B6">
      <w:pPr>
        <w:pStyle w:val="NoSpacing"/>
      </w:pPr>
      <w:r>
        <w:t>Sue Latter: https://orcid.org/0000-0003-0973-0512</w:t>
      </w:r>
    </w:p>
    <w:p w14:paraId="54E119BE" w14:textId="77777777" w:rsidR="001006B6" w:rsidRDefault="001006B6" w:rsidP="001006B6">
      <w:pPr>
        <w:pStyle w:val="NoSpacing"/>
      </w:pPr>
      <w:r w:rsidRPr="00882D7C">
        <w:t>David Young:</w:t>
      </w:r>
      <w:r>
        <w:t xml:space="preserve"> </w:t>
      </w:r>
      <w:r w:rsidRPr="00B2194A">
        <w:t>https://orcid.org/0000-0003-0102-5739</w:t>
      </w:r>
    </w:p>
    <w:p w14:paraId="6954CB21" w14:textId="29C91746" w:rsidR="00A8021A" w:rsidRDefault="00A8021A" w:rsidP="00A8021A">
      <w:r>
        <w:br w:type="page"/>
      </w:r>
    </w:p>
    <w:p w14:paraId="6ED0EFD2" w14:textId="1AA44643" w:rsidR="00B14D94" w:rsidRDefault="00862855" w:rsidP="00A8021A">
      <w:pPr>
        <w:pStyle w:val="Heading1"/>
      </w:pPr>
      <w:r w:rsidRPr="00167A19">
        <w:lastRenderedPageBreak/>
        <w:t>References</w:t>
      </w:r>
    </w:p>
    <w:p w14:paraId="387312B7" w14:textId="7ADF06B6" w:rsidR="00BB7BF7" w:rsidRDefault="00BB7BF7" w:rsidP="00BB7BF7">
      <w:r>
        <w:t>1</w:t>
      </w:r>
      <w:r w:rsidR="000A2B87">
        <w:t xml:space="preserve">. </w:t>
      </w:r>
      <w:proofErr w:type="spellStart"/>
      <w:r>
        <w:t>Burisch</w:t>
      </w:r>
      <w:proofErr w:type="spellEnd"/>
      <w:r>
        <w:t xml:space="preserve"> J, </w:t>
      </w:r>
      <w:proofErr w:type="spellStart"/>
      <w:r>
        <w:t>Vardi</w:t>
      </w:r>
      <w:proofErr w:type="spellEnd"/>
      <w:r>
        <w:t xml:space="preserve"> H, Schwartz D, et al. Health-care costs of inflammatory bowel disease in a pan-European, community-based, inception cohort during 5 years of follow-up: a population-based study. </w:t>
      </w:r>
      <w:r w:rsidR="003F73E0" w:rsidRPr="00B62AD1">
        <w:rPr>
          <w:i/>
          <w:iCs/>
        </w:rPr>
        <w:t>Lancet Gastroenterol Hepatol</w:t>
      </w:r>
      <w:r w:rsidR="003F73E0" w:rsidRPr="003F73E0">
        <w:t xml:space="preserve"> </w:t>
      </w:r>
      <w:r>
        <w:t>2020;5:454–64. doi:10.1016/S2468-1253(20)30012-1</w:t>
      </w:r>
    </w:p>
    <w:p w14:paraId="31A1CF59" w14:textId="5A871908" w:rsidR="00BB7BF7" w:rsidRDefault="00BB7BF7" w:rsidP="00BB7BF7">
      <w:r>
        <w:t>2</w:t>
      </w:r>
      <w:r w:rsidR="00865D88">
        <w:t xml:space="preserve">. </w:t>
      </w:r>
      <w:r>
        <w:t xml:space="preserve">Isaacs J, Gonçalves J, </w:t>
      </w:r>
      <w:proofErr w:type="spellStart"/>
      <w:r>
        <w:t>Strohal</w:t>
      </w:r>
      <w:proofErr w:type="spellEnd"/>
      <w:r>
        <w:t xml:space="preserve"> R, et al. The biosimilar approval process: how different is it? </w:t>
      </w:r>
      <w:r w:rsidRPr="00B62AD1">
        <w:rPr>
          <w:i/>
          <w:iCs/>
        </w:rPr>
        <w:t>Considerations Med</w:t>
      </w:r>
      <w:r>
        <w:t xml:space="preserve"> 2017;1:3–6. doi:10.1136/conmed-2017-100003</w:t>
      </w:r>
    </w:p>
    <w:p w14:paraId="279C4D25" w14:textId="5D09A5D8" w:rsidR="00BB7BF7" w:rsidRDefault="00BB7BF7" w:rsidP="00BB7BF7">
      <w:r>
        <w:t>3</w:t>
      </w:r>
      <w:r w:rsidR="00F16C0A">
        <w:t xml:space="preserve">. </w:t>
      </w:r>
      <w:r>
        <w:t>Committee for Medicinal Products for Human Use (CHMP). Guideline on similar biological medicinal products containing biotechnology-derived proteins as active substance: quality issues (revision 1). London: European Medicines Agency 2014. https://www.ema.europa.eu/en/documents/scientific-guideline/guideline-similar-biological-medicinal-products-containing-biotechnology-derived-proteins-active_en-0.pdf (accessed 16 Mar 2021).</w:t>
      </w:r>
    </w:p>
    <w:p w14:paraId="324846AE" w14:textId="6971E0FA" w:rsidR="00BB7BF7" w:rsidRDefault="00BB7BF7" w:rsidP="00BB7BF7">
      <w:r w:rsidRPr="006C569E">
        <w:rPr>
          <w:lang w:val="es-ES"/>
        </w:rPr>
        <w:t>4</w:t>
      </w:r>
      <w:r w:rsidR="007526DB" w:rsidRPr="006C569E">
        <w:rPr>
          <w:lang w:val="es-ES"/>
        </w:rPr>
        <w:t>.</w:t>
      </w:r>
      <w:r w:rsidR="00332F15" w:rsidRPr="006C569E">
        <w:rPr>
          <w:lang w:val="es-ES"/>
        </w:rPr>
        <w:t xml:space="preserve"> García-</w:t>
      </w:r>
      <w:proofErr w:type="spellStart"/>
      <w:r w:rsidR="00332F15" w:rsidRPr="006C569E">
        <w:rPr>
          <w:lang w:val="es-ES"/>
        </w:rPr>
        <w:t>Beloso</w:t>
      </w:r>
      <w:proofErr w:type="spellEnd"/>
      <w:r w:rsidR="00332F15" w:rsidRPr="006C569E">
        <w:rPr>
          <w:lang w:val="es-ES"/>
        </w:rPr>
        <w:t xml:space="preserve">, N, </w:t>
      </w:r>
      <w:proofErr w:type="spellStart"/>
      <w:r w:rsidR="00332F15" w:rsidRPr="006C569E">
        <w:rPr>
          <w:lang w:val="es-ES"/>
        </w:rPr>
        <w:t>Altabás</w:t>
      </w:r>
      <w:proofErr w:type="spellEnd"/>
      <w:r w:rsidR="00332F15" w:rsidRPr="006C569E">
        <w:rPr>
          <w:lang w:val="es-ES"/>
        </w:rPr>
        <w:t xml:space="preserve">-González, I, </w:t>
      </w:r>
      <w:proofErr w:type="spellStart"/>
      <w:r w:rsidR="00332F15" w:rsidRPr="006C569E">
        <w:rPr>
          <w:lang w:val="es-ES"/>
        </w:rPr>
        <w:t>Samartín</w:t>
      </w:r>
      <w:proofErr w:type="spellEnd"/>
      <w:r w:rsidR="00332F15" w:rsidRPr="006C569E">
        <w:rPr>
          <w:lang w:val="es-ES"/>
        </w:rPr>
        <w:t xml:space="preserve">-Ucha, M, et al. </w:t>
      </w:r>
      <w:r w:rsidR="00332F15" w:rsidRPr="00332F15">
        <w:t xml:space="preserve">Switching between reference adalimumab and biosimilars in chronic immune-mediated inflammatory diseases: A systematic literature review. </w:t>
      </w:r>
      <w:r w:rsidR="00332F15" w:rsidRPr="00B62AD1">
        <w:rPr>
          <w:i/>
          <w:iCs/>
        </w:rPr>
        <w:t xml:space="preserve">Br J Clin </w:t>
      </w:r>
      <w:proofErr w:type="spellStart"/>
      <w:r w:rsidR="00332F15" w:rsidRPr="00B62AD1">
        <w:rPr>
          <w:i/>
          <w:iCs/>
        </w:rPr>
        <w:t>Pharmacol</w:t>
      </w:r>
      <w:proofErr w:type="spellEnd"/>
      <w:r w:rsidR="00332F15" w:rsidRPr="00332F15">
        <w:t xml:space="preserve"> 2021;1</w:t>
      </w:r>
      <w:r w:rsidR="008D2FEA">
        <w:t>–</w:t>
      </w:r>
      <w:r w:rsidR="00332F15" w:rsidRPr="00332F15">
        <w:t>22. doi:10.1111/bcp.15101</w:t>
      </w:r>
    </w:p>
    <w:p w14:paraId="19CC4A92" w14:textId="7B3D716A" w:rsidR="00BB7BF7" w:rsidRDefault="00BB7BF7" w:rsidP="00BB7BF7">
      <w:r>
        <w:t>5</w:t>
      </w:r>
      <w:r w:rsidR="008D2FEA">
        <w:t>.</w:t>
      </w:r>
      <w:r>
        <w:t xml:space="preserve"> </w:t>
      </w:r>
      <w:proofErr w:type="spellStart"/>
      <w:r>
        <w:t>Rezk</w:t>
      </w:r>
      <w:proofErr w:type="spellEnd"/>
      <w:r>
        <w:t xml:space="preserve"> MF, Pieper B. Treatment Outcomes with Biosimilars: Be Aware of the Nocebo Effect. </w:t>
      </w:r>
      <w:proofErr w:type="spellStart"/>
      <w:r w:rsidRPr="00B62AD1">
        <w:rPr>
          <w:i/>
          <w:iCs/>
        </w:rPr>
        <w:t>Rheumatol</w:t>
      </w:r>
      <w:proofErr w:type="spellEnd"/>
      <w:r w:rsidRPr="00B62AD1">
        <w:rPr>
          <w:i/>
          <w:iCs/>
        </w:rPr>
        <w:t xml:space="preserve"> </w:t>
      </w:r>
      <w:proofErr w:type="spellStart"/>
      <w:r w:rsidRPr="00B62AD1">
        <w:rPr>
          <w:i/>
          <w:iCs/>
        </w:rPr>
        <w:t>Ther</w:t>
      </w:r>
      <w:proofErr w:type="spellEnd"/>
      <w:r>
        <w:t xml:space="preserve"> 2017;4:209–18. doi:10.1007/s40744-017-0085-z</w:t>
      </w:r>
    </w:p>
    <w:p w14:paraId="4D556FD8" w14:textId="7A084761" w:rsidR="00BB7BF7" w:rsidRDefault="00BB7BF7" w:rsidP="00BB7BF7">
      <w:r>
        <w:t>6</w:t>
      </w:r>
      <w:r w:rsidR="00B62AD1">
        <w:t>.</w:t>
      </w:r>
      <w:r>
        <w:t xml:space="preserve"> National Institute for Health and Care Excellence. Medicines adherence: involving patients in decisions about prescribed medicines and supporting adherence [NICE clinical guideline No. 76]. 2009. https://www.nice.org.uk/guidance/cg76/resources/medicines-adherence-involving-patients-in-decisions-about-prescribed-medicines-and-supporting-adherence-pdf-975631782085</w:t>
      </w:r>
    </w:p>
    <w:p w14:paraId="61B0A322" w14:textId="4F602537" w:rsidR="00BB7BF7" w:rsidRDefault="00BB7BF7" w:rsidP="00BB7BF7">
      <w:r>
        <w:lastRenderedPageBreak/>
        <w:t>7</w:t>
      </w:r>
      <w:r w:rsidR="00B62AD1">
        <w:t>.</w:t>
      </w:r>
      <w:r>
        <w:t xml:space="preserve"> Jacobs I, Singh E, Sewell L, et al. Patient attitudes and understanding about biosimilars: an international cross-sectional survey. </w:t>
      </w:r>
      <w:r w:rsidR="00290AED" w:rsidRPr="00290AED">
        <w:rPr>
          <w:i/>
          <w:iCs/>
        </w:rPr>
        <w:t>Patient Prefer Adherence</w:t>
      </w:r>
      <w:r>
        <w:t xml:space="preserve"> 2016;</w:t>
      </w:r>
      <w:r w:rsidR="00D82094">
        <w:t>10</w:t>
      </w:r>
      <w:r w:rsidR="00EF64E1">
        <w:t>:</w:t>
      </w:r>
      <w:r>
        <w:t>937</w:t>
      </w:r>
      <w:r w:rsidR="00EF64E1">
        <w:t>-48</w:t>
      </w:r>
      <w:r>
        <w:t>. doi:10.2147/PPA.S104891</w:t>
      </w:r>
    </w:p>
    <w:p w14:paraId="506F3E3F" w14:textId="110ED106" w:rsidR="00BB7BF7" w:rsidRDefault="00BB7BF7" w:rsidP="00BB7BF7">
      <w:r>
        <w:t>8</w:t>
      </w:r>
      <w:r w:rsidR="00EF64E1">
        <w:t>.</w:t>
      </w:r>
      <w:r>
        <w:t xml:space="preserve"> </w:t>
      </w:r>
      <w:proofErr w:type="spellStart"/>
      <w:r>
        <w:t>Haghnejad</w:t>
      </w:r>
      <w:proofErr w:type="spellEnd"/>
      <w:r>
        <w:t xml:space="preserve"> V, Le </w:t>
      </w:r>
      <w:proofErr w:type="spellStart"/>
      <w:r>
        <w:t>Berre</w:t>
      </w:r>
      <w:proofErr w:type="spellEnd"/>
      <w:r>
        <w:t xml:space="preserve"> C, Dominique Y, et al. Impact of a medical interview on the decision to switch from originator infliximab to its biosimilar in patients with inflammatory bowel disease. </w:t>
      </w:r>
      <w:r w:rsidR="001E61DA" w:rsidRPr="001E61DA">
        <w:rPr>
          <w:i/>
          <w:iCs/>
        </w:rPr>
        <w:t>Dig Liver Dis</w:t>
      </w:r>
      <w:r>
        <w:t xml:space="preserve"> 2020;52:281–8.</w:t>
      </w:r>
    </w:p>
    <w:p w14:paraId="56B3CA22" w14:textId="3F9A41D8" w:rsidR="00BB7BF7" w:rsidRDefault="00BB7BF7" w:rsidP="00BB7BF7">
      <w:r>
        <w:t>9</w:t>
      </w:r>
      <w:r w:rsidR="001E61DA">
        <w:t xml:space="preserve">. </w:t>
      </w:r>
      <w:r>
        <w:t xml:space="preserve">Macaluso FS, Leone S, </w:t>
      </w:r>
      <w:proofErr w:type="spellStart"/>
      <w:r>
        <w:t>Previtali</w:t>
      </w:r>
      <w:proofErr w:type="spellEnd"/>
      <w:r>
        <w:t xml:space="preserve"> E, et al. Biosimilars: The viewpoint of Italian patients with inflammatory bowel disease. </w:t>
      </w:r>
      <w:r w:rsidR="00685C1B" w:rsidRPr="001E61DA">
        <w:rPr>
          <w:i/>
          <w:iCs/>
        </w:rPr>
        <w:t>Dig Liver Dis</w:t>
      </w:r>
      <w:r w:rsidR="00685C1B">
        <w:t xml:space="preserve"> </w:t>
      </w:r>
      <w:r>
        <w:t>2020;52:1304–9. doi:10.1016/j.dld.2020.07.028</w:t>
      </w:r>
    </w:p>
    <w:p w14:paraId="4A5E4C9F" w14:textId="0291D3ED" w:rsidR="00BB7BF7" w:rsidRDefault="00BB7BF7" w:rsidP="00BB7BF7">
      <w:r>
        <w:t>10</w:t>
      </w:r>
      <w:r w:rsidR="00685C1B">
        <w:t>.</w:t>
      </w:r>
      <w:r>
        <w:t xml:space="preserve"> </w:t>
      </w:r>
      <w:proofErr w:type="spellStart"/>
      <w:r>
        <w:t>Peyrin-Biroulet</w:t>
      </w:r>
      <w:proofErr w:type="spellEnd"/>
      <w:r>
        <w:t xml:space="preserve"> L, </w:t>
      </w:r>
      <w:proofErr w:type="spellStart"/>
      <w:r>
        <w:t>Lönnfors</w:t>
      </w:r>
      <w:proofErr w:type="spellEnd"/>
      <w:r>
        <w:t xml:space="preserve"> S, </w:t>
      </w:r>
      <w:proofErr w:type="spellStart"/>
      <w:r>
        <w:t>Avedano</w:t>
      </w:r>
      <w:proofErr w:type="spellEnd"/>
      <w:r>
        <w:t xml:space="preserve"> L, et al. Changes in inflammatory bowel disease patients’ perspectives on biosimilars: A follow‐up survey. </w:t>
      </w:r>
      <w:r w:rsidRPr="00D639DD">
        <w:rPr>
          <w:i/>
          <w:iCs/>
        </w:rPr>
        <w:t xml:space="preserve">United European Gastroenterol </w:t>
      </w:r>
      <w:r w:rsidR="00D639DD" w:rsidRPr="00D639DD">
        <w:rPr>
          <w:i/>
          <w:iCs/>
        </w:rPr>
        <w:t>J</w:t>
      </w:r>
      <w:r>
        <w:t xml:space="preserve"> 2019;7:1345–52. doi:10.1177/2050640619883704</w:t>
      </w:r>
    </w:p>
    <w:p w14:paraId="1EAE5A89" w14:textId="6475D42D" w:rsidR="00BB7BF7" w:rsidRDefault="00BB7BF7" w:rsidP="00BB7BF7">
      <w:r>
        <w:t>11</w:t>
      </w:r>
      <w:r w:rsidR="00D639DD">
        <w:t xml:space="preserve">. </w:t>
      </w:r>
      <w:proofErr w:type="spellStart"/>
      <w:r>
        <w:t>Teeple</w:t>
      </w:r>
      <w:proofErr w:type="spellEnd"/>
      <w:r>
        <w:t xml:space="preserve"> A., Ellis L.A., Ginsburg S., et al. Patient attitudes about non-medical switching to biosimilars: results from an online patient survey in the United States. </w:t>
      </w:r>
      <w:proofErr w:type="spellStart"/>
      <w:r w:rsidR="00141D6D" w:rsidRPr="00141D6D">
        <w:rPr>
          <w:i/>
          <w:iCs/>
        </w:rPr>
        <w:t>Curr</w:t>
      </w:r>
      <w:proofErr w:type="spellEnd"/>
      <w:r w:rsidR="00141D6D" w:rsidRPr="00141D6D">
        <w:rPr>
          <w:i/>
          <w:iCs/>
        </w:rPr>
        <w:t xml:space="preserve"> Med Res </w:t>
      </w:r>
      <w:proofErr w:type="spellStart"/>
      <w:r w:rsidR="00141D6D" w:rsidRPr="00141D6D">
        <w:rPr>
          <w:i/>
          <w:iCs/>
        </w:rPr>
        <w:t>Opin</w:t>
      </w:r>
      <w:proofErr w:type="spellEnd"/>
      <w:r>
        <w:t xml:space="preserve"> 2019;35:603–9.</w:t>
      </w:r>
    </w:p>
    <w:p w14:paraId="21D40D64" w14:textId="3938BC14" w:rsidR="00BB7BF7" w:rsidRDefault="00BB7BF7" w:rsidP="00BB7BF7">
      <w:r>
        <w:t>12</w:t>
      </w:r>
      <w:r w:rsidR="00141D6D">
        <w:t>.</w:t>
      </w:r>
      <w:r>
        <w:t xml:space="preserve"> Sullivan E., Piercy J., Waller J., et al. Assessing gastroenterologist and patient acceptance of biosimilars in ulcerative colitis and Crohn’s disease across Germany. </w:t>
      </w:r>
      <w:proofErr w:type="spellStart"/>
      <w:r w:rsidRPr="00226FEE">
        <w:rPr>
          <w:i/>
          <w:iCs/>
        </w:rPr>
        <w:t>PLoS</w:t>
      </w:r>
      <w:proofErr w:type="spellEnd"/>
      <w:r w:rsidRPr="00226FEE">
        <w:rPr>
          <w:i/>
          <w:iCs/>
        </w:rPr>
        <w:t xml:space="preserve"> ONE</w:t>
      </w:r>
      <w:r>
        <w:t xml:space="preserve"> 2017;12.</w:t>
      </w:r>
    </w:p>
    <w:p w14:paraId="5F128414" w14:textId="5CF7E0C4" w:rsidR="00BB7BF7" w:rsidRDefault="00BB7BF7" w:rsidP="00BB7BF7">
      <w:r>
        <w:t>13</w:t>
      </w:r>
      <w:r w:rsidR="00226FEE">
        <w:t>.</w:t>
      </w:r>
      <w:r>
        <w:t xml:space="preserve"> Young D, Freudensprung U, Harris C, et al. P616 IBD reference and biosimilar adalimumab </w:t>
      </w:r>
      <w:proofErr w:type="spellStart"/>
      <w:r>
        <w:t>CroSS</w:t>
      </w:r>
      <w:proofErr w:type="spellEnd"/>
      <w:r>
        <w:t xml:space="preserve"> over study (</w:t>
      </w:r>
      <w:proofErr w:type="spellStart"/>
      <w:r>
        <w:t>iBaSS</w:t>
      </w:r>
      <w:proofErr w:type="spellEnd"/>
      <w:r>
        <w:t xml:space="preserve">): design considerations and methodology. </w:t>
      </w:r>
      <w:r w:rsidR="00116D57" w:rsidRPr="00116D57">
        <w:rPr>
          <w:i/>
          <w:iCs/>
        </w:rPr>
        <w:t xml:space="preserve">J </w:t>
      </w:r>
      <w:proofErr w:type="spellStart"/>
      <w:r w:rsidR="00116D57" w:rsidRPr="00116D57">
        <w:rPr>
          <w:i/>
          <w:iCs/>
        </w:rPr>
        <w:t>Crohns</w:t>
      </w:r>
      <w:proofErr w:type="spellEnd"/>
      <w:r w:rsidR="00116D57" w:rsidRPr="00116D57">
        <w:rPr>
          <w:i/>
          <w:iCs/>
        </w:rPr>
        <w:t xml:space="preserve"> Colitis</w:t>
      </w:r>
      <w:r w:rsidR="00116D57" w:rsidRPr="00116D57">
        <w:t xml:space="preserve"> </w:t>
      </w:r>
      <w:r>
        <w:t>2020;14:S513. doi:10.1093/</w:t>
      </w:r>
      <w:proofErr w:type="spellStart"/>
      <w:r>
        <w:t>ecco-jcc</w:t>
      </w:r>
      <w:proofErr w:type="spellEnd"/>
      <w:r>
        <w:t>/jjz203.744</w:t>
      </w:r>
    </w:p>
    <w:p w14:paraId="6461C96E" w14:textId="1600613D" w:rsidR="00BB7BF7" w:rsidRDefault="00BB7BF7" w:rsidP="00BB7BF7">
      <w:r>
        <w:t>14</w:t>
      </w:r>
      <w:r w:rsidR="00226FEE">
        <w:t>.</w:t>
      </w:r>
      <w:r>
        <w:t xml:space="preserve"> Braun V, Clarke V. Using thematic analysis in psychology. </w:t>
      </w:r>
      <w:r w:rsidR="005055F4" w:rsidRPr="005055F4">
        <w:rPr>
          <w:i/>
          <w:iCs/>
        </w:rPr>
        <w:t xml:space="preserve">Qual Res </w:t>
      </w:r>
      <w:proofErr w:type="spellStart"/>
      <w:r w:rsidR="005055F4" w:rsidRPr="005055F4">
        <w:rPr>
          <w:i/>
          <w:iCs/>
        </w:rPr>
        <w:t>Psychol</w:t>
      </w:r>
      <w:proofErr w:type="spellEnd"/>
      <w:r w:rsidR="005055F4" w:rsidRPr="005055F4">
        <w:t xml:space="preserve"> </w:t>
      </w:r>
      <w:r>
        <w:t>2006;3:77–101. doi:10.1191/1478088706qp063oa</w:t>
      </w:r>
    </w:p>
    <w:p w14:paraId="16797CD2" w14:textId="628E1A05" w:rsidR="00BB7BF7" w:rsidRDefault="00BB7BF7" w:rsidP="00BB7BF7">
      <w:r>
        <w:lastRenderedPageBreak/>
        <w:t>15</w:t>
      </w:r>
      <w:r w:rsidR="005055F4">
        <w:t>.</w:t>
      </w:r>
      <w:r>
        <w:t xml:space="preserve"> Liu Y, Yang M, Garg V, et al. Economic Impact of Non-Medical Switching from Originator Biologics to Biosimilars: A Systematic Literature Review. </w:t>
      </w:r>
      <w:r w:rsidRPr="005055F4">
        <w:rPr>
          <w:i/>
          <w:iCs/>
        </w:rPr>
        <w:t xml:space="preserve">Adv </w:t>
      </w:r>
      <w:proofErr w:type="spellStart"/>
      <w:r w:rsidRPr="005055F4">
        <w:rPr>
          <w:i/>
          <w:iCs/>
        </w:rPr>
        <w:t>Ther</w:t>
      </w:r>
      <w:proofErr w:type="spellEnd"/>
      <w:r>
        <w:t xml:space="preserve"> 2019;36:1851–77. doi:10.1007/s12325-019-00998-3</w:t>
      </w:r>
    </w:p>
    <w:p w14:paraId="4DB6416E" w14:textId="2DDED2CC" w:rsidR="00BB7BF7" w:rsidRDefault="00BB7BF7" w:rsidP="00BB7BF7">
      <w:r>
        <w:t>16</w:t>
      </w:r>
      <w:r w:rsidR="00D97FC3">
        <w:t>.</w:t>
      </w:r>
      <w:r>
        <w:t xml:space="preserve"> </w:t>
      </w:r>
      <w:proofErr w:type="spellStart"/>
      <w:r>
        <w:t>Danese</w:t>
      </w:r>
      <w:proofErr w:type="spellEnd"/>
      <w:r>
        <w:t xml:space="preserve"> S, Fiorino G, </w:t>
      </w:r>
      <w:proofErr w:type="spellStart"/>
      <w:r>
        <w:t>Michetti</w:t>
      </w:r>
      <w:proofErr w:type="spellEnd"/>
      <w:r>
        <w:t xml:space="preserve"> P. Changes in Biosimilar Knowledge among European Crohn’s Colitis Organization [ECCO] Members: An Updated Survey. </w:t>
      </w:r>
      <w:r w:rsidR="007D6CEE" w:rsidRPr="007D6CEE">
        <w:rPr>
          <w:i/>
          <w:iCs/>
        </w:rPr>
        <w:t xml:space="preserve">J </w:t>
      </w:r>
      <w:proofErr w:type="spellStart"/>
      <w:r w:rsidR="007D6CEE" w:rsidRPr="007D6CEE">
        <w:rPr>
          <w:i/>
          <w:iCs/>
        </w:rPr>
        <w:t>Crohns</w:t>
      </w:r>
      <w:proofErr w:type="spellEnd"/>
      <w:r w:rsidR="007D6CEE" w:rsidRPr="007D6CEE">
        <w:rPr>
          <w:i/>
          <w:iCs/>
        </w:rPr>
        <w:t xml:space="preserve"> Colitis</w:t>
      </w:r>
      <w:r w:rsidR="007D6CEE" w:rsidRPr="007D6CEE">
        <w:t xml:space="preserve"> </w:t>
      </w:r>
      <w:r>
        <w:t>2016;10:1362–5. doi:10.1093/</w:t>
      </w:r>
      <w:proofErr w:type="spellStart"/>
      <w:r>
        <w:t>ecco-jcc</w:t>
      </w:r>
      <w:proofErr w:type="spellEnd"/>
      <w:r>
        <w:t>/jjw090</w:t>
      </w:r>
    </w:p>
    <w:p w14:paraId="63F8FB31" w14:textId="5E3B61E0" w:rsidR="00BB7BF7" w:rsidRDefault="00BB7BF7" w:rsidP="00BB7BF7">
      <w:r>
        <w:t>17</w:t>
      </w:r>
      <w:r w:rsidR="00797B27">
        <w:t>.</w:t>
      </w:r>
      <w:r>
        <w:t xml:space="preserve"> </w:t>
      </w:r>
      <w:proofErr w:type="spellStart"/>
      <w:r>
        <w:t>Danese</w:t>
      </w:r>
      <w:proofErr w:type="spellEnd"/>
      <w:r>
        <w:t xml:space="preserve"> S, Fiorino G, Raine T, et al. ECCO Position Statement on the Use of Biosimilars for Inflammatory Bowel Disease—An Update. </w:t>
      </w:r>
      <w:r w:rsidR="00797B27" w:rsidRPr="007D6CEE">
        <w:rPr>
          <w:i/>
          <w:iCs/>
        </w:rPr>
        <w:t xml:space="preserve">J </w:t>
      </w:r>
      <w:proofErr w:type="spellStart"/>
      <w:r w:rsidR="00797B27" w:rsidRPr="007D6CEE">
        <w:rPr>
          <w:i/>
          <w:iCs/>
        </w:rPr>
        <w:t>Crohns</w:t>
      </w:r>
      <w:proofErr w:type="spellEnd"/>
      <w:r w:rsidR="00797B27" w:rsidRPr="007D6CEE">
        <w:rPr>
          <w:i/>
          <w:iCs/>
        </w:rPr>
        <w:t xml:space="preserve"> Colitis</w:t>
      </w:r>
      <w:r w:rsidR="00797B27" w:rsidRPr="007D6CEE">
        <w:t xml:space="preserve"> </w:t>
      </w:r>
      <w:r>
        <w:t>2017;11:26–34. doi:10.1093/</w:t>
      </w:r>
      <w:proofErr w:type="spellStart"/>
      <w:r>
        <w:t>ecco-jcc</w:t>
      </w:r>
      <w:proofErr w:type="spellEnd"/>
      <w:r>
        <w:t>/jjw198</w:t>
      </w:r>
    </w:p>
    <w:p w14:paraId="61C965A9" w14:textId="4263D487" w:rsidR="00BB7BF7" w:rsidRDefault="00BB7BF7" w:rsidP="00BB7BF7">
      <w:r>
        <w:t>18</w:t>
      </w:r>
      <w:r w:rsidR="00797B27">
        <w:t>.</w:t>
      </w:r>
      <w:r>
        <w:t xml:space="preserve"> Coulter A, Collins A. Making shared decision-making a reality: no decision about me, without me. London: The King’s Fund</w:t>
      </w:r>
      <w:r w:rsidR="00C529E1">
        <w:t>.</w:t>
      </w:r>
      <w:r>
        <w:t xml:space="preserve"> 2011. </w:t>
      </w:r>
    </w:p>
    <w:p w14:paraId="064DDC97" w14:textId="4CBBC4B7" w:rsidR="00BB7BF7" w:rsidRDefault="00BB7BF7" w:rsidP="00BB7BF7">
      <w:r>
        <w:t>19</w:t>
      </w:r>
      <w:r w:rsidR="00C529E1">
        <w:t>.</w:t>
      </w:r>
      <w:r>
        <w:t xml:space="preserve"> </w:t>
      </w:r>
      <w:proofErr w:type="spellStart"/>
      <w:r>
        <w:t>Aladul</w:t>
      </w:r>
      <w:proofErr w:type="spellEnd"/>
      <w:r>
        <w:t xml:space="preserve"> MI, Fitzpatrick RW, Chapman SR. Healthcare professionals’ perceptions and perspectives on biosimilar medicines and the barriers and facilitators to their prescribing in UK: a qualitative study. </w:t>
      </w:r>
      <w:r w:rsidRPr="003E5A42">
        <w:rPr>
          <w:i/>
          <w:iCs/>
        </w:rPr>
        <w:t>BMJ Open</w:t>
      </w:r>
      <w:r>
        <w:t xml:space="preserve"> 2018;8:e023603. doi:10.1136/bmjopen-2018-023603</w:t>
      </w:r>
    </w:p>
    <w:p w14:paraId="74143850" w14:textId="24A2600D" w:rsidR="00BB7BF7" w:rsidRDefault="00BB7BF7" w:rsidP="00BB7BF7">
      <w:r>
        <w:t>20</w:t>
      </w:r>
      <w:r w:rsidR="003E5A42">
        <w:t>.</w:t>
      </w:r>
      <w:r>
        <w:t xml:space="preserve"> Dutta B, </w:t>
      </w:r>
      <w:proofErr w:type="spellStart"/>
      <w:r>
        <w:t>Huys</w:t>
      </w:r>
      <w:proofErr w:type="spellEnd"/>
      <w:r>
        <w:t xml:space="preserve"> I, </w:t>
      </w:r>
      <w:proofErr w:type="spellStart"/>
      <w:r>
        <w:t>Vulto</w:t>
      </w:r>
      <w:proofErr w:type="spellEnd"/>
      <w:r>
        <w:t xml:space="preserve"> AG, et al. Identifying Key Benefits in European Off-Patent Biologics and Biosimilar Markets: It is Not Only About Price! </w:t>
      </w:r>
      <w:proofErr w:type="spellStart"/>
      <w:r w:rsidRPr="0095091A">
        <w:rPr>
          <w:i/>
          <w:iCs/>
        </w:rPr>
        <w:t>BioDrugs</w:t>
      </w:r>
      <w:proofErr w:type="spellEnd"/>
      <w:r>
        <w:t xml:space="preserve"> 2020;34:159–70. doi:10.1007/s40259-019-00395-w</w:t>
      </w:r>
    </w:p>
    <w:p w14:paraId="46C13C63" w14:textId="0CB71729" w:rsidR="00BB7BF7" w:rsidRDefault="00BB7BF7" w:rsidP="00BB7BF7">
      <w:r>
        <w:t>21</w:t>
      </w:r>
      <w:r w:rsidR="0095091A">
        <w:t xml:space="preserve">. </w:t>
      </w:r>
      <w:r>
        <w:t xml:space="preserve">Lukas M, </w:t>
      </w:r>
      <w:proofErr w:type="spellStart"/>
      <w:r>
        <w:t>Malickova</w:t>
      </w:r>
      <w:proofErr w:type="spellEnd"/>
      <w:r>
        <w:t xml:space="preserve"> K, Kolar M, et al. Switching From Originator Adalimumab to the Biosimilar SB5 in Patients With Inflammatory Bowel Disease: Short-term Experience From a Single Tertiary Clinical Centre</w:t>
      </w:r>
      <w:r w:rsidR="00B468C2">
        <w:t xml:space="preserve">. </w:t>
      </w:r>
      <w:r w:rsidR="00B468C2" w:rsidRPr="007D6CEE">
        <w:rPr>
          <w:i/>
          <w:iCs/>
        </w:rPr>
        <w:t xml:space="preserve">J </w:t>
      </w:r>
      <w:proofErr w:type="spellStart"/>
      <w:r w:rsidR="00B468C2" w:rsidRPr="007D6CEE">
        <w:rPr>
          <w:i/>
          <w:iCs/>
        </w:rPr>
        <w:t>Crohns</w:t>
      </w:r>
      <w:proofErr w:type="spellEnd"/>
      <w:r w:rsidR="00B468C2" w:rsidRPr="007D6CEE">
        <w:rPr>
          <w:i/>
          <w:iCs/>
        </w:rPr>
        <w:t xml:space="preserve"> Colitis</w:t>
      </w:r>
      <w:r>
        <w:t xml:space="preserve"> 2020;14:915–9. doi:10.1093/</w:t>
      </w:r>
      <w:proofErr w:type="spellStart"/>
      <w:r>
        <w:t>ecco-jcc</w:t>
      </w:r>
      <w:proofErr w:type="spellEnd"/>
      <w:r>
        <w:t>/jjaa001</w:t>
      </w:r>
    </w:p>
    <w:p w14:paraId="7E368E62" w14:textId="18089BBF" w:rsidR="00BB7BF7" w:rsidRPr="006C569E" w:rsidRDefault="00BB7BF7" w:rsidP="00A31C39">
      <w:pPr>
        <w:rPr>
          <w:lang w:val="es-ES"/>
        </w:rPr>
      </w:pPr>
      <w:r>
        <w:t>22</w:t>
      </w:r>
      <w:r w:rsidR="00B468C2">
        <w:t>.</w:t>
      </w:r>
      <w:r>
        <w:t xml:space="preserve"> Tapete G., Bertani L., Mumolo M.G., et al. Effectiveness and Safety of Nonmedical Switch From Adalimumab Originator to SB5 Biosimilar in Patients With Inflammatory Bowel Diseases: Twelve-</w:t>
      </w:r>
      <w:r>
        <w:lastRenderedPageBreak/>
        <w:t xml:space="preserve">Month Follow-Up From the TABLET Registry. </w:t>
      </w:r>
      <w:proofErr w:type="spellStart"/>
      <w:r w:rsidR="00A31C39" w:rsidRPr="006C569E">
        <w:rPr>
          <w:i/>
          <w:iCs/>
          <w:lang w:val="es-ES"/>
        </w:rPr>
        <w:t>Inflamm</w:t>
      </w:r>
      <w:proofErr w:type="spellEnd"/>
      <w:r w:rsidR="00A31C39" w:rsidRPr="006C569E">
        <w:rPr>
          <w:i/>
          <w:iCs/>
          <w:lang w:val="es-ES"/>
        </w:rPr>
        <w:t xml:space="preserve"> </w:t>
      </w:r>
      <w:proofErr w:type="spellStart"/>
      <w:r w:rsidR="00A31C39" w:rsidRPr="006C569E">
        <w:rPr>
          <w:i/>
          <w:iCs/>
          <w:lang w:val="es-ES"/>
        </w:rPr>
        <w:t>Bowel</w:t>
      </w:r>
      <w:proofErr w:type="spellEnd"/>
      <w:r w:rsidR="00A31C39" w:rsidRPr="006C569E">
        <w:rPr>
          <w:i/>
          <w:iCs/>
          <w:lang w:val="es-ES"/>
        </w:rPr>
        <w:t xml:space="preserve"> </w:t>
      </w:r>
      <w:proofErr w:type="spellStart"/>
      <w:r w:rsidR="00A31C39" w:rsidRPr="006C569E">
        <w:rPr>
          <w:i/>
          <w:iCs/>
          <w:lang w:val="es-ES"/>
        </w:rPr>
        <w:t>Dis</w:t>
      </w:r>
      <w:proofErr w:type="spellEnd"/>
      <w:r w:rsidR="00A31C39" w:rsidRPr="006C569E">
        <w:rPr>
          <w:lang w:val="es-ES"/>
        </w:rPr>
        <w:t xml:space="preserve"> </w:t>
      </w:r>
      <w:r w:rsidRPr="006C569E">
        <w:rPr>
          <w:lang w:val="es-ES"/>
        </w:rPr>
        <w:t>2021</w:t>
      </w:r>
      <w:r w:rsidR="00E77BE3" w:rsidRPr="006C569E">
        <w:rPr>
          <w:lang w:val="es-ES"/>
        </w:rPr>
        <w:t>;</w:t>
      </w:r>
      <w:r w:rsidR="004F4FC5" w:rsidRPr="006C569E">
        <w:rPr>
          <w:lang w:val="es-ES"/>
        </w:rPr>
        <w:t>izab027</w:t>
      </w:r>
      <w:r w:rsidRPr="006C569E">
        <w:rPr>
          <w:lang w:val="es-ES"/>
        </w:rPr>
        <w:t>.</w:t>
      </w:r>
      <w:r w:rsidR="00925DC9" w:rsidRPr="006C569E">
        <w:rPr>
          <w:lang w:val="es-ES"/>
        </w:rPr>
        <w:t xml:space="preserve"> </w:t>
      </w:r>
      <w:proofErr w:type="spellStart"/>
      <w:r w:rsidR="00925DC9" w:rsidRPr="006C569E">
        <w:rPr>
          <w:lang w:val="es-ES"/>
        </w:rPr>
        <w:t>doi</w:t>
      </w:r>
      <w:proofErr w:type="spellEnd"/>
      <w:r w:rsidR="00925DC9" w:rsidRPr="006C569E">
        <w:rPr>
          <w:lang w:val="es-ES"/>
        </w:rPr>
        <w:t>: 10.1093/</w:t>
      </w:r>
      <w:proofErr w:type="spellStart"/>
      <w:r w:rsidR="00925DC9" w:rsidRPr="006C569E">
        <w:rPr>
          <w:lang w:val="es-ES"/>
        </w:rPr>
        <w:t>ibd</w:t>
      </w:r>
      <w:proofErr w:type="spellEnd"/>
      <w:r w:rsidR="00925DC9" w:rsidRPr="006C569E">
        <w:rPr>
          <w:lang w:val="es-ES"/>
        </w:rPr>
        <w:t>/izab027</w:t>
      </w:r>
    </w:p>
    <w:p w14:paraId="5AA9DA2C" w14:textId="2934854A" w:rsidR="00794455" w:rsidRPr="00794455" w:rsidRDefault="00BB7BF7" w:rsidP="00BB7BF7">
      <w:pPr>
        <w:rPr>
          <w:rFonts w:cstheme="minorHAnsi"/>
          <w:shd w:val="clear" w:color="auto" w:fill="FFFFFF"/>
        </w:rPr>
      </w:pPr>
      <w:r w:rsidRPr="006C569E">
        <w:rPr>
          <w:lang w:val="es-ES"/>
        </w:rPr>
        <w:t>23</w:t>
      </w:r>
      <w:r w:rsidR="004A576D" w:rsidRPr="006C569E">
        <w:rPr>
          <w:lang w:val="es-ES"/>
        </w:rPr>
        <w:t>.</w:t>
      </w:r>
      <w:r w:rsidRPr="006C569E">
        <w:rPr>
          <w:lang w:val="es-ES"/>
        </w:rPr>
        <w:t xml:space="preserve"> </w:t>
      </w:r>
      <w:proofErr w:type="spellStart"/>
      <w:r w:rsidRPr="006C569E">
        <w:rPr>
          <w:lang w:val="es-ES"/>
        </w:rPr>
        <w:t>Dragoni</w:t>
      </w:r>
      <w:proofErr w:type="spellEnd"/>
      <w:r w:rsidRPr="006C569E">
        <w:rPr>
          <w:lang w:val="es-ES"/>
        </w:rPr>
        <w:t xml:space="preserve"> G., </w:t>
      </w:r>
      <w:proofErr w:type="spellStart"/>
      <w:r w:rsidRPr="006C569E">
        <w:rPr>
          <w:lang w:val="es-ES"/>
        </w:rPr>
        <w:t>Pieraccini</w:t>
      </w:r>
      <w:proofErr w:type="spellEnd"/>
      <w:r w:rsidRPr="006C569E">
        <w:rPr>
          <w:lang w:val="es-ES"/>
        </w:rPr>
        <w:t xml:space="preserve"> A., </w:t>
      </w:r>
      <w:proofErr w:type="spellStart"/>
      <w:r w:rsidRPr="006C569E">
        <w:rPr>
          <w:lang w:val="es-ES"/>
        </w:rPr>
        <w:t>Bagnoli</w:t>
      </w:r>
      <w:proofErr w:type="spellEnd"/>
      <w:r w:rsidRPr="006C569E">
        <w:rPr>
          <w:lang w:val="es-ES"/>
        </w:rPr>
        <w:t xml:space="preserve"> S., et al. </w:t>
      </w:r>
      <w:r w:rsidR="00F012E5">
        <w:t xml:space="preserve">T04.01.7 </w:t>
      </w:r>
      <w:r>
        <w:t xml:space="preserve">MAINTENANCE OF CLINICAL REMISSION WITH SB5 BIOSIMILAR AFTER SWITCH FROM ADALIMUMAB ORIGINATOR: REAL-LIFE EXPERIENCE OF A TERTIARY REFERRAL CENTER. </w:t>
      </w:r>
      <w:r w:rsidR="004A576D" w:rsidRPr="001E61DA">
        <w:rPr>
          <w:i/>
          <w:iCs/>
        </w:rPr>
        <w:t>Dig Liver Dis</w:t>
      </w:r>
      <w:r w:rsidR="004A576D">
        <w:t xml:space="preserve"> </w:t>
      </w:r>
      <w:r>
        <w:t>2020;52</w:t>
      </w:r>
      <w:r w:rsidR="00346DAC">
        <w:t>:</w:t>
      </w:r>
      <w:r w:rsidR="00346DAC" w:rsidRPr="00346DAC">
        <w:t>S120</w:t>
      </w:r>
      <w:r>
        <w:t>.</w:t>
      </w:r>
      <w:r w:rsidR="002135B4">
        <w:t xml:space="preserve"> </w:t>
      </w:r>
      <w:proofErr w:type="spellStart"/>
      <w:r w:rsidR="002135B4">
        <w:t>doi</w:t>
      </w:r>
      <w:proofErr w:type="spellEnd"/>
      <w:r w:rsidR="002135B4">
        <w:t>:</w:t>
      </w:r>
      <w:r w:rsidR="002135B4" w:rsidRPr="002135B4">
        <w:t xml:space="preserve"> 10.1016/S1590-8658(20)30761-1</w:t>
      </w:r>
      <w:r w:rsidR="00794455">
        <w:br w:type="page"/>
      </w:r>
    </w:p>
    <w:p w14:paraId="07CF6737" w14:textId="6783776E" w:rsidR="00B95688" w:rsidRDefault="00E31642" w:rsidP="001006B6">
      <w:pPr>
        <w:pStyle w:val="Heading2"/>
      </w:pPr>
      <w:hyperlink w:history="1"/>
    </w:p>
    <w:p w14:paraId="70317EFD" w14:textId="2E3AF2CE" w:rsidR="00C65BFF" w:rsidRDefault="00C65BFF" w:rsidP="00AC7CB8">
      <w:pPr>
        <w:pStyle w:val="Heading2"/>
      </w:pPr>
      <w:r>
        <w:t>Figure caption</w:t>
      </w:r>
    </w:p>
    <w:p w14:paraId="20521821" w14:textId="2469215C" w:rsidR="001006B6" w:rsidRPr="001006B6" w:rsidRDefault="001006B6" w:rsidP="00AC7CB8">
      <w:r w:rsidRPr="001006B6">
        <w:t>Figure 1 | Trial flow diagram for participants pre-treated with originator adalimumab.</w:t>
      </w:r>
    </w:p>
    <w:sectPr w:rsidR="001006B6" w:rsidRPr="001006B6" w:rsidSect="00502D0A">
      <w:pgSz w:w="11906" w:h="16838"/>
      <w:pgMar w:top="1440" w:right="1440" w:bottom="1440" w:left="1440"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B72AC5" w14:textId="77777777" w:rsidR="00E25388" w:rsidRDefault="00E25388" w:rsidP="00D52ACA">
      <w:pPr>
        <w:spacing w:after="0" w:line="240" w:lineRule="auto"/>
      </w:pPr>
      <w:r>
        <w:separator/>
      </w:r>
    </w:p>
  </w:endnote>
  <w:endnote w:type="continuationSeparator" w:id="0">
    <w:p w14:paraId="499B0DE5" w14:textId="77777777" w:rsidR="00E25388" w:rsidRDefault="00E25388" w:rsidP="00D52A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FC8B34" w14:textId="77777777" w:rsidR="00E25388" w:rsidRDefault="00E25388" w:rsidP="00D52ACA">
      <w:pPr>
        <w:spacing w:after="0" w:line="240" w:lineRule="auto"/>
      </w:pPr>
      <w:r>
        <w:separator/>
      </w:r>
    </w:p>
  </w:footnote>
  <w:footnote w:type="continuationSeparator" w:id="0">
    <w:p w14:paraId="41D10D1C" w14:textId="77777777" w:rsidR="00E25388" w:rsidRDefault="00E25388" w:rsidP="00D52A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93DC4"/>
    <w:multiLevelType w:val="multilevel"/>
    <w:tmpl w:val="B49C3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D0F1E2E"/>
    <w:multiLevelType w:val="hybridMultilevel"/>
    <w:tmpl w:val="04BA952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D94"/>
    <w:rsid w:val="00012B94"/>
    <w:rsid w:val="00027D43"/>
    <w:rsid w:val="0003254B"/>
    <w:rsid w:val="0003263D"/>
    <w:rsid w:val="0004729C"/>
    <w:rsid w:val="000519FA"/>
    <w:rsid w:val="00052F2D"/>
    <w:rsid w:val="00065844"/>
    <w:rsid w:val="00092F78"/>
    <w:rsid w:val="000971E2"/>
    <w:rsid w:val="000A2B87"/>
    <w:rsid w:val="000A3A79"/>
    <w:rsid w:val="000A4D9C"/>
    <w:rsid w:val="000A64FF"/>
    <w:rsid w:val="000C25F2"/>
    <w:rsid w:val="000C474B"/>
    <w:rsid w:val="000C53E3"/>
    <w:rsid w:val="000C6760"/>
    <w:rsid w:val="000D1DF1"/>
    <w:rsid w:val="000D4C5A"/>
    <w:rsid w:val="000F0155"/>
    <w:rsid w:val="000F50DA"/>
    <w:rsid w:val="001006B6"/>
    <w:rsid w:val="00101925"/>
    <w:rsid w:val="0010350A"/>
    <w:rsid w:val="00104BE1"/>
    <w:rsid w:val="001128DC"/>
    <w:rsid w:val="00114818"/>
    <w:rsid w:val="00116D57"/>
    <w:rsid w:val="00120324"/>
    <w:rsid w:val="0012467E"/>
    <w:rsid w:val="00125071"/>
    <w:rsid w:val="00125CF1"/>
    <w:rsid w:val="0013351C"/>
    <w:rsid w:val="001352D7"/>
    <w:rsid w:val="0013699C"/>
    <w:rsid w:val="001415BA"/>
    <w:rsid w:val="00141D6D"/>
    <w:rsid w:val="00154674"/>
    <w:rsid w:val="00154AC0"/>
    <w:rsid w:val="0015582D"/>
    <w:rsid w:val="0016209F"/>
    <w:rsid w:val="00167A19"/>
    <w:rsid w:val="00170BC4"/>
    <w:rsid w:val="00176D3A"/>
    <w:rsid w:val="00182389"/>
    <w:rsid w:val="00186180"/>
    <w:rsid w:val="001A1422"/>
    <w:rsid w:val="001A1435"/>
    <w:rsid w:val="001A24B8"/>
    <w:rsid w:val="001A318A"/>
    <w:rsid w:val="001A6C1A"/>
    <w:rsid w:val="001B0860"/>
    <w:rsid w:val="001B382D"/>
    <w:rsid w:val="001B388F"/>
    <w:rsid w:val="001B6684"/>
    <w:rsid w:val="001C1106"/>
    <w:rsid w:val="001C615A"/>
    <w:rsid w:val="001D2A1F"/>
    <w:rsid w:val="001D3D50"/>
    <w:rsid w:val="001D418F"/>
    <w:rsid w:val="001D560B"/>
    <w:rsid w:val="001E61DA"/>
    <w:rsid w:val="001F5E51"/>
    <w:rsid w:val="001F71E0"/>
    <w:rsid w:val="002135B4"/>
    <w:rsid w:val="002145D2"/>
    <w:rsid w:val="00214C41"/>
    <w:rsid w:val="0022163F"/>
    <w:rsid w:val="00223675"/>
    <w:rsid w:val="00225E4A"/>
    <w:rsid w:val="00226FEE"/>
    <w:rsid w:val="002313C6"/>
    <w:rsid w:val="00231E03"/>
    <w:rsid w:val="00232FFA"/>
    <w:rsid w:val="0023455F"/>
    <w:rsid w:val="00240F59"/>
    <w:rsid w:val="00242234"/>
    <w:rsid w:val="00247327"/>
    <w:rsid w:val="00256779"/>
    <w:rsid w:val="00265FC2"/>
    <w:rsid w:val="00266E24"/>
    <w:rsid w:val="00271632"/>
    <w:rsid w:val="00271811"/>
    <w:rsid w:val="00273ED8"/>
    <w:rsid w:val="00274D17"/>
    <w:rsid w:val="002832FF"/>
    <w:rsid w:val="00290AED"/>
    <w:rsid w:val="002A18CB"/>
    <w:rsid w:val="002A5AAA"/>
    <w:rsid w:val="002A7F7A"/>
    <w:rsid w:val="002B0954"/>
    <w:rsid w:val="002B754F"/>
    <w:rsid w:val="002C181E"/>
    <w:rsid w:val="002C5FB7"/>
    <w:rsid w:val="002D5DAD"/>
    <w:rsid w:val="002E3397"/>
    <w:rsid w:val="002E569E"/>
    <w:rsid w:val="002F2377"/>
    <w:rsid w:val="00302194"/>
    <w:rsid w:val="00312B8A"/>
    <w:rsid w:val="0031473B"/>
    <w:rsid w:val="0031641D"/>
    <w:rsid w:val="00321320"/>
    <w:rsid w:val="003270F3"/>
    <w:rsid w:val="003303A9"/>
    <w:rsid w:val="0033209D"/>
    <w:rsid w:val="0033215C"/>
    <w:rsid w:val="003327B6"/>
    <w:rsid w:val="00332F15"/>
    <w:rsid w:val="00333060"/>
    <w:rsid w:val="0033770A"/>
    <w:rsid w:val="0033798C"/>
    <w:rsid w:val="00344EC3"/>
    <w:rsid w:val="003450D4"/>
    <w:rsid w:val="00346DAC"/>
    <w:rsid w:val="003506DC"/>
    <w:rsid w:val="00352889"/>
    <w:rsid w:val="0037387E"/>
    <w:rsid w:val="00375CD0"/>
    <w:rsid w:val="00376AE1"/>
    <w:rsid w:val="00376B53"/>
    <w:rsid w:val="00384457"/>
    <w:rsid w:val="00385D58"/>
    <w:rsid w:val="00387900"/>
    <w:rsid w:val="00391F16"/>
    <w:rsid w:val="003A3729"/>
    <w:rsid w:val="003A79B5"/>
    <w:rsid w:val="003B4D6D"/>
    <w:rsid w:val="003B4FBF"/>
    <w:rsid w:val="003B5181"/>
    <w:rsid w:val="003B5794"/>
    <w:rsid w:val="003C157D"/>
    <w:rsid w:val="003C49FA"/>
    <w:rsid w:val="003D0EEF"/>
    <w:rsid w:val="003D515A"/>
    <w:rsid w:val="003E3996"/>
    <w:rsid w:val="003E5A42"/>
    <w:rsid w:val="003E77D2"/>
    <w:rsid w:val="003F73E0"/>
    <w:rsid w:val="00401104"/>
    <w:rsid w:val="00404DC8"/>
    <w:rsid w:val="00407795"/>
    <w:rsid w:val="00410362"/>
    <w:rsid w:val="0041120D"/>
    <w:rsid w:val="0041493E"/>
    <w:rsid w:val="00415A19"/>
    <w:rsid w:val="00433989"/>
    <w:rsid w:val="00433B0E"/>
    <w:rsid w:val="00434B29"/>
    <w:rsid w:val="00447684"/>
    <w:rsid w:val="00447F0E"/>
    <w:rsid w:val="004510E7"/>
    <w:rsid w:val="00457332"/>
    <w:rsid w:val="00465BEE"/>
    <w:rsid w:val="00473B2A"/>
    <w:rsid w:val="0047752A"/>
    <w:rsid w:val="00477C3D"/>
    <w:rsid w:val="0048200A"/>
    <w:rsid w:val="00486783"/>
    <w:rsid w:val="00486E7C"/>
    <w:rsid w:val="00491062"/>
    <w:rsid w:val="00492330"/>
    <w:rsid w:val="004924F4"/>
    <w:rsid w:val="00496825"/>
    <w:rsid w:val="004A52FE"/>
    <w:rsid w:val="004A576D"/>
    <w:rsid w:val="004A594D"/>
    <w:rsid w:val="004B2003"/>
    <w:rsid w:val="004B5267"/>
    <w:rsid w:val="004B539B"/>
    <w:rsid w:val="004C3671"/>
    <w:rsid w:val="004C554C"/>
    <w:rsid w:val="004D2919"/>
    <w:rsid w:val="004D3995"/>
    <w:rsid w:val="004D623B"/>
    <w:rsid w:val="004E1CBC"/>
    <w:rsid w:val="004E4FCF"/>
    <w:rsid w:val="004E7F0E"/>
    <w:rsid w:val="004F20C1"/>
    <w:rsid w:val="004F376D"/>
    <w:rsid w:val="004F4FC5"/>
    <w:rsid w:val="005022E8"/>
    <w:rsid w:val="00502D0A"/>
    <w:rsid w:val="005040C8"/>
    <w:rsid w:val="005055F4"/>
    <w:rsid w:val="005129F0"/>
    <w:rsid w:val="0051770F"/>
    <w:rsid w:val="005303BA"/>
    <w:rsid w:val="00545D76"/>
    <w:rsid w:val="00547C18"/>
    <w:rsid w:val="00554B95"/>
    <w:rsid w:val="0056000A"/>
    <w:rsid w:val="00565315"/>
    <w:rsid w:val="00570F44"/>
    <w:rsid w:val="00572D5D"/>
    <w:rsid w:val="00574831"/>
    <w:rsid w:val="0057664F"/>
    <w:rsid w:val="00577B47"/>
    <w:rsid w:val="005840EC"/>
    <w:rsid w:val="005925E2"/>
    <w:rsid w:val="00592F11"/>
    <w:rsid w:val="005968C8"/>
    <w:rsid w:val="005B2BDD"/>
    <w:rsid w:val="005B5B3A"/>
    <w:rsid w:val="005C158B"/>
    <w:rsid w:val="005C34DB"/>
    <w:rsid w:val="005C4BAE"/>
    <w:rsid w:val="005C58BD"/>
    <w:rsid w:val="005C5C46"/>
    <w:rsid w:val="005D0196"/>
    <w:rsid w:val="005D20CE"/>
    <w:rsid w:val="005D575B"/>
    <w:rsid w:val="00601B39"/>
    <w:rsid w:val="0060747C"/>
    <w:rsid w:val="00610AC5"/>
    <w:rsid w:val="00616DA3"/>
    <w:rsid w:val="00617C37"/>
    <w:rsid w:val="00620D2A"/>
    <w:rsid w:val="00621352"/>
    <w:rsid w:val="00624206"/>
    <w:rsid w:val="00625979"/>
    <w:rsid w:val="00635420"/>
    <w:rsid w:val="00642677"/>
    <w:rsid w:val="006478A7"/>
    <w:rsid w:val="006506D0"/>
    <w:rsid w:val="00664CCC"/>
    <w:rsid w:val="00665973"/>
    <w:rsid w:val="006662F1"/>
    <w:rsid w:val="00674535"/>
    <w:rsid w:val="006761DE"/>
    <w:rsid w:val="00681D48"/>
    <w:rsid w:val="006821B2"/>
    <w:rsid w:val="00683C11"/>
    <w:rsid w:val="006842D9"/>
    <w:rsid w:val="00685C1B"/>
    <w:rsid w:val="00687114"/>
    <w:rsid w:val="0069537B"/>
    <w:rsid w:val="00696822"/>
    <w:rsid w:val="006A431C"/>
    <w:rsid w:val="006A5299"/>
    <w:rsid w:val="006A5C3C"/>
    <w:rsid w:val="006A71EC"/>
    <w:rsid w:val="006B1772"/>
    <w:rsid w:val="006B3338"/>
    <w:rsid w:val="006B4A93"/>
    <w:rsid w:val="006B54B7"/>
    <w:rsid w:val="006B64CC"/>
    <w:rsid w:val="006B6B56"/>
    <w:rsid w:val="006B6D1E"/>
    <w:rsid w:val="006C17E2"/>
    <w:rsid w:val="006C569E"/>
    <w:rsid w:val="006C6AAF"/>
    <w:rsid w:val="006D0B73"/>
    <w:rsid w:val="006D1D88"/>
    <w:rsid w:val="006D2EFA"/>
    <w:rsid w:val="006D7CC1"/>
    <w:rsid w:val="006E2E4C"/>
    <w:rsid w:val="006E5FD7"/>
    <w:rsid w:val="006F0FAF"/>
    <w:rsid w:val="006F57BE"/>
    <w:rsid w:val="006F78B6"/>
    <w:rsid w:val="00700D72"/>
    <w:rsid w:val="0070105B"/>
    <w:rsid w:val="00701A3B"/>
    <w:rsid w:val="007020BE"/>
    <w:rsid w:val="00702458"/>
    <w:rsid w:val="0070672D"/>
    <w:rsid w:val="00706B2C"/>
    <w:rsid w:val="00707664"/>
    <w:rsid w:val="00707A13"/>
    <w:rsid w:val="007126D8"/>
    <w:rsid w:val="007129C7"/>
    <w:rsid w:val="00716EF8"/>
    <w:rsid w:val="007239AC"/>
    <w:rsid w:val="007241D1"/>
    <w:rsid w:val="00724F68"/>
    <w:rsid w:val="007345F7"/>
    <w:rsid w:val="00740D10"/>
    <w:rsid w:val="00742EDC"/>
    <w:rsid w:val="00746FFB"/>
    <w:rsid w:val="007479CB"/>
    <w:rsid w:val="00747D00"/>
    <w:rsid w:val="00750B99"/>
    <w:rsid w:val="007526DB"/>
    <w:rsid w:val="0075549F"/>
    <w:rsid w:val="00757844"/>
    <w:rsid w:val="007609B8"/>
    <w:rsid w:val="0076279B"/>
    <w:rsid w:val="00762F3D"/>
    <w:rsid w:val="00764041"/>
    <w:rsid w:val="0076514E"/>
    <w:rsid w:val="00765CEA"/>
    <w:rsid w:val="007719A7"/>
    <w:rsid w:val="00774E78"/>
    <w:rsid w:val="0078251E"/>
    <w:rsid w:val="007827AF"/>
    <w:rsid w:val="00790AB9"/>
    <w:rsid w:val="00794455"/>
    <w:rsid w:val="007965AB"/>
    <w:rsid w:val="00797B27"/>
    <w:rsid w:val="00797B78"/>
    <w:rsid w:val="007A3132"/>
    <w:rsid w:val="007A4D29"/>
    <w:rsid w:val="007A5871"/>
    <w:rsid w:val="007A67F2"/>
    <w:rsid w:val="007A6AB5"/>
    <w:rsid w:val="007B1B0D"/>
    <w:rsid w:val="007B3663"/>
    <w:rsid w:val="007C1422"/>
    <w:rsid w:val="007C4D4C"/>
    <w:rsid w:val="007D2721"/>
    <w:rsid w:val="007D495A"/>
    <w:rsid w:val="007D6CEE"/>
    <w:rsid w:val="007E07B2"/>
    <w:rsid w:val="007E4138"/>
    <w:rsid w:val="007E4F6F"/>
    <w:rsid w:val="007F36CD"/>
    <w:rsid w:val="007F48F6"/>
    <w:rsid w:val="00803D61"/>
    <w:rsid w:val="008109DE"/>
    <w:rsid w:val="00813720"/>
    <w:rsid w:val="00814282"/>
    <w:rsid w:val="008167E7"/>
    <w:rsid w:val="00822F65"/>
    <w:rsid w:val="0083254B"/>
    <w:rsid w:val="00833DC6"/>
    <w:rsid w:val="00836570"/>
    <w:rsid w:val="00842072"/>
    <w:rsid w:val="00845047"/>
    <w:rsid w:val="0084630A"/>
    <w:rsid w:val="00846599"/>
    <w:rsid w:val="00855537"/>
    <w:rsid w:val="00855B41"/>
    <w:rsid w:val="008601B2"/>
    <w:rsid w:val="00862855"/>
    <w:rsid w:val="00865D88"/>
    <w:rsid w:val="00873710"/>
    <w:rsid w:val="00876CF7"/>
    <w:rsid w:val="0088004B"/>
    <w:rsid w:val="00881229"/>
    <w:rsid w:val="00882672"/>
    <w:rsid w:val="00882D7C"/>
    <w:rsid w:val="00896CB5"/>
    <w:rsid w:val="008B15B5"/>
    <w:rsid w:val="008B3B12"/>
    <w:rsid w:val="008C348C"/>
    <w:rsid w:val="008D0444"/>
    <w:rsid w:val="008D2FEA"/>
    <w:rsid w:val="008D3955"/>
    <w:rsid w:val="008E0054"/>
    <w:rsid w:val="008E022B"/>
    <w:rsid w:val="008E0F68"/>
    <w:rsid w:val="008E4EF1"/>
    <w:rsid w:val="008E59D0"/>
    <w:rsid w:val="008E69D6"/>
    <w:rsid w:val="008E71D9"/>
    <w:rsid w:val="008E75C0"/>
    <w:rsid w:val="008E7D8D"/>
    <w:rsid w:val="008F1C50"/>
    <w:rsid w:val="008F5ED5"/>
    <w:rsid w:val="00900388"/>
    <w:rsid w:val="009025C7"/>
    <w:rsid w:val="00903FAF"/>
    <w:rsid w:val="00904526"/>
    <w:rsid w:val="009051BF"/>
    <w:rsid w:val="00906FF7"/>
    <w:rsid w:val="00913F75"/>
    <w:rsid w:val="00915C03"/>
    <w:rsid w:val="00917B00"/>
    <w:rsid w:val="009246FF"/>
    <w:rsid w:val="00925080"/>
    <w:rsid w:val="00925DC9"/>
    <w:rsid w:val="0093302A"/>
    <w:rsid w:val="009331DD"/>
    <w:rsid w:val="00936536"/>
    <w:rsid w:val="00941E93"/>
    <w:rsid w:val="009469FA"/>
    <w:rsid w:val="0095091A"/>
    <w:rsid w:val="00957134"/>
    <w:rsid w:val="00962348"/>
    <w:rsid w:val="00963BD9"/>
    <w:rsid w:val="009702F6"/>
    <w:rsid w:val="00973005"/>
    <w:rsid w:val="009761B2"/>
    <w:rsid w:val="009812FB"/>
    <w:rsid w:val="00993065"/>
    <w:rsid w:val="00994889"/>
    <w:rsid w:val="00994F9A"/>
    <w:rsid w:val="009966EF"/>
    <w:rsid w:val="009A4B5C"/>
    <w:rsid w:val="009B5D1D"/>
    <w:rsid w:val="009C209B"/>
    <w:rsid w:val="009D38AE"/>
    <w:rsid w:val="009E0A5E"/>
    <w:rsid w:val="009E7F7D"/>
    <w:rsid w:val="009F26BF"/>
    <w:rsid w:val="009F429A"/>
    <w:rsid w:val="009F535E"/>
    <w:rsid w:val="00A04305"/>
    <w:rsid w:val="00A07E0C"/>
    <w:rsid w:val="00A17CDF"/>
    <w:rsid w:val="00A22C5F"/>
    <w:rsid w:val="00A3056A"/>
    <w:rsid w:val="00A31C39"/>
    <w:rsid w:val="00A33F0F"/>
    <w:rsid w:val="00A44B6D"/>
    <w:rsid w:val="00A45643"/>
    <w:rsid w:val="00A46B62"/>
    <w:rsid w:val="00A47510"/>
    <w:rsid w:val="00A47BF4"/>
    <w:rsid w:val="00A50CC4"/>
    <w:rsid w:val="00A51439"/>
    <w:rsid w:val="00A5274C"/>
    <w:rsid w:val="00A5740F"/>
    <w:rsid w:val="00A57AF3"/>
    <w:rsid w:val="00A611B0"/>
    <w:rsid w:val="00A6256B"/>
    <w:rsid w:val="00A643E4"/>
    <w:rsid w:val="00A6487E"/>
    <w:rsid w:val="00A654BA"/>
    <w:rsid w:val="00A65FA1"/>
    <w:rsid w:val="00A66800"/>
    <w:rsid w:val="00A7580D"/>
    <w:rsid w:val="00A8021A"/>
    <w:rsid w:val="00A8250D"/>
    <w:rsid w:val="00A84E5B"/>
    <w:rsid w:val="00A95816"/>
    <w:rsid w:val="00AA2EC7"/>
    <w:rsid w:val="00AB0598"/>
    <w:rsid w:val="00AB1E7C"/>
    <w:rsid w:val="00AB42AF"/>
    <w:rsid w:val="00AC10A8"/>
    <w:rsid w:val="00AC17DF"/>
    <w:rsid w:val="00AC7150"/>
    <w:rsid w:val="00AC7CB8"/>
    <w:rsid w:val="00AD2EBB"/>
    <w:rsid w:val="00AD5B06"/>
    <w:rsid w:val="00AD7491"/>
    <w:rsid w:val="00AE6CEA"/>
    <w:rsid w:val="00AF27DB"/>
    <w:rsid w:val="00AF2921"/>
    <w:rsid w:val="00AF508E"/>
    <w:rsid w:val="00AF7F8C"/>
    <w:rsid w:val="00AF7FB9"/>
    <w:rsid w:val="00B0112C"/>
    <w:rsid w:val="00B0339B"/>
    <w:rsid w:val="00B14D94"/>
    <w:rsid w:val="00B16068"/>
    <w:rsid w:val="00B16CBB"/>
    <w:rsid w:val="00B2194A"/>
    <w:rsid w:val="00B27D22"/>
    <w:rsid w:val="00B37334"/>
    <w:rsid w:val="00B44965"/>
    <w:rsid w:val="00B45105"/>
    <w:rsid w:val="00B468C2"/>
    <w:rsid w:val="00B5054E"/>
    <w:rsid w:val="00B50F77"/>
    <w:rsid w:val="00B52CF4"/>
    <w:rsid w:val="00B5385F"/>
    <w:rsid w:val="00B62AD1"/>
    <w:rsid w:val="00B67EE6"/>
    <w:rsid w:val="00B7488E"/>
    <w:rsid w:val="00B752C1"/>
    <w:rsid w:val="00B75E89"/>
    <w:rsid w:val="00B76D77"/>
    <w:rsid w:val="00B76E4E"/>
    <w:rsid w:val="00B77F80"/>
    <w:rsid w:val="00B87615"/>
    <w:rsid w:val="00B9226B"/>
    <w:rsid w:val="00B95688"/>
    <w:rsid w:val="00BA1539"/>
    <w:rsid w:val="00BA575D"/>
    <w:rsid w:val="00BB00AC"/>
    <w:rsid w:val="00BB7BF7"/>
    <w:rsid w:val="00BC01F7"/>
    <w:rsid w:val="00BC12C6"/>
    <w:rsid w:val="00BE3FFB"/>
    <w:rsid w:val="00BF0069"/>
    <w:rsid w:val="00BF165B"/>
    <w:rsid w:val="00BF218C"/>
    <w:rsid w:val="00C0129B"/>
    <w:rsid w:val="00C165F8"/>
    <w:rsid w:val="00C25274"/>
    <w:rsid w:val="00C26779"/>
    <w:rsid w:val="00C3293F"/>
    <w:rsid w:val="00C41D16"/>
    <w:rsid w:val="00C42FC5"/>
    <w:rsid w:val="00C52199"/>
    <w:rsid w:val="00C529E1"/>
    <w:rsid w:val="00C56C9A"/>
    <w:rsid w:val="00C6052B"/>
    <w:rsid w:val="00C635E6"/>
    <w:rsid w:val="00C64B24"/>
    <w:rsid w:val="00C65BFF"/>
    <w:rsid w:val="00C73921"/>
    <w:rsid w:val="00C821EE"/>
    <w:rsid w:val="00C8273C"/>
    <w:rsid w:val="00C82B05"/>
    <w:rsid w:val="00C84941"/>
    <w:rsid w:val="00C912C1"/>
    <w:rsid w:val="00C92A77"/>
    <w:rsid w:val="00C93333"/>
    <w:rsid w:val="00C95C75"/>
    <w:rsid w:val="00CA6B47"/>
    <w:rsid w:val="00CB38F3"/>
    <w:rsid w:val="00CC2939"/>
    <w:rsid w:val="00CC3A49"/>
    <w:rsid w:val="00CC5381"/>
    <w:rsid w:val="00CC60D0"/>
    <w:rsid w:val="00CD058B"/>
    <w:rsid w:val="00CE607D"/>
    <w:rsid w:val="00CF38D0"/>
    <w:rsid w:val="00CF6134"/>
    <w:rsid w:val="00D004FF"/>
    <w:rsid w:val="00D00C65"/>
    <w:rsid w:val="00D04B30"/>
    <w:rsid w:val="00D06F11"/>
    <w:rsid w:val="00D0707C"/>
    <w:rsid w:val="00D10F55"/>
    <w:rsid w:val="00D11327"/>
    <w:rsid w:val="00D1429C"/>
    <w:rsid w:val="00D1515E"/>
    <w:rsid w:val="00D21786"/>
    <w:rsid w:val="00D21A56"/>
    <w:rsid w:val="00D23DB4"/>
    <w:rsid w:val="00D2592D"/>
    <w:rsid w:val="00D25CD3"/>
    <w:rsid w:val="00D30E3E"/>
    <w:rsid w:val="00D33344"/>
    <w:rsid w:val="00D37DDE"/>
    <w:rsid w:val="00D45CED"/>
    <w:rsid w:val="00D52ACA"/>
    <w:rsid w:val="00D56520"/>
    <w:rsid w:val="00D575A3"/>
    <w:rsid w:val="00D624FB"/>
    <w:rsid w:val="00D639DD"/>
    <w:rsid w:val="00D66400"/>
    <w:rsid w:val="00D66F78"/>
    <w:rsid w:val="00D716DB"/>
    <w:rsid w:val="00D73711"/>
    <w:rsid w:val="00D76CE7"/>
    <w:rsid w:val="00D82094"/>
    <w:rsid w:val="00D826C8"/>
    <w:rsid w:val="00D832BB"/>
    <w:rsid w:val="00D83683"/>
    <w:rsid w:val="00D851D9"/>
    <w:rsid w:val="00D8553B"/>
    <w:rsid w:val="00D8785E"/>
    <w:rsid w:val="00D95846"/>
    <w:rsid w:val="00D972F2"/>
    <w:rsid w:val="00D975B1"/>
    <w:rsid w:val="00D97FC3"/>
    <w:rsid w:val="00DA4DC7"/>
    <w:rsid w:val="00DB1D13"/>
    <w:rsid w:val="00DB3CE4"/>
    <w:rsid w:val="00DC02B3"/>
    <w:rsid w:val="00DC3A6D"/>
    <w:rsid w:val="00DC50FC"/>
    <w:rsid w:val="00DC6E5B"/>
    <w:rsid w:val="00DC784A"/>
    <w:rsid w:val="00DD3B5F"/>
    <w:rsid w:val="00DD7AF0"/>
    <w:rsid w:val="00DE2E75"/>
    <w:rsid w:val="00DE60B2"/>
    <w:rsid w:val="00DF1FE9"/>
    <w:rsid w:val="00DF2232"/>
    <w:rsid w:val="00DF7708"/>
    <w:rsid w:val="00E05DA1"/>
    <w:rsid w:val="00E06288"/>
    <w:rsid w:val="00E06D6C"/>
    <w:rsid w:val="00E20216"/>
    <w:rsid w:val="00E25388"/>
    <w:rsid w:val="00E27094"/>
    <w:rsid w:val="00E31642"/>
    <w:rsid w:val="00E330D3"/>
    <w:rsid w:val="00E44A07"/>
    <w:rsid w:val="00E458EA"/>
    <w:rsid w:val="00E5280C"/>
    <w:rsid w:val="00E63BDA"/>
    <w:rsid w:val="00E66EA7"/>
    <w:rsid w:val="00E77BE3"/>
    <w:rsid w:val="00E80747"/>
    <w:rsid w:val="00E82564"/>
    <w:rsid w:val="00E830B2"/>
    <w:rsid w:val="00E834B0"/>
    <w:rsid w:val="00E85C26"/>
    <w:rsid w:val="00EA136D"/>
    <w:rsid w:val="00EA70F0"/>
    <w:rsid w:val="00EB0D9D"/>
    <w:rsid w:val="00EB38D9"/>
    <w:rsid w:val="00EC0DA0"/>
    <w:rsid w:val="00EC185A"/>
    <w:rsid w:val="00EC2FE7"/>
    <w:rsid w:val="00EC6933"/>
    <w:rsid w:val="00ED2524"/>
    <w:rsid w:val="00ED352E"/>
    <w:rsid w:val="00ED4D15"/>
    <w:rsid w:val="00EE1E1C"/>
    <w:rsid w:val="00EE5B0D"/>
    <w:rsid w:val="00EF3C83"/>
    <w:rsid w:val="00EF442F"/>
    <w:rsid w:val="00EF64E1"/>
    <w:rsid w:val="00EF67D7"/>
    <w:rsid w:val="00F012E5"/>
    <w:rsid w:val="00F041E0"/>
    <w:rsid w:val="00F12FB3"/>
    <w:rsid w:val="00F16C0A"/>
    <w:rsid w:val="00F2058B"/>
    <w:rsid w:val="00F20E10"/>
    <w:rsid w:val="00F2343C"/>
    <w:rsid w:val="00F23E98"/>
    <w:rsid w:val="00F24576"/>
    <w:rsid w:val="00F2565E"/>
    <w:rsid w:val="00F333E2"/>
    <w:rsid w:val="00F376A8"/>
    <w:rsid w:val="00F42049"/>
    <w:rsid w:val="00F43A3F"/>
    <w:rsid w:val="00F43D6F"/>
    <w:rsid w:val="00F4717E"/>
    <w:rsid w:val="00F47DE0"/>
    <w:rsid w:val="00F579DB"/>
    <w:rsid w:val="00F61482"/>
    <w:rsid w:val="00F645A7"/>
    <w:rsid w:val="00F709CC"/>
    <w:rsid w:val="00F77B46"/>
    <w:rsid w:val="00F8086B"/>
    <w:rsid w:val="00F80C75"/>
    <w:rsid w:val="00F81E4A"/>
    <w:rsid w:val="00F82153"/>
    <w:rsid w:val="00F821CB"/>
    <w:rsid w:val="00F82E59"/>
    <w:rsid w:val="00F85B1D"/>
    <w:rsid w:val="00FA5EF0"/>
    <w:rsid w:val="00FB253A"/>
    <w:rsid w:val="00FB5E47"/>
    <w:rsid w:val="00FC5D8B"/>
    <w:rsid w:val="00FC7EBF"/>
    <w:rsid w:val="00FD42E1"/>
    <w:rsid w:val="00FD4491"/>
    <w:rsid w:val="00FD5BD6"/>
    <w:rsid w:val="00FE0306"/>
    <w:rsid w:val="00FE0623"/>
    <w:rsid w:val="00FE21CD"/>
    <w:rsid w:val="00FE5C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B3DF5"/>
  <w15:docId w15:val="{0EED1248-1A12-4018-A92A-9F47345DD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4B29"/>
    <w:pPr>
      <w:spacing w:line="480" w:lineRule="auto"/>
    </w:pPr>
  </w:style>
  <w:style w:type="paragraph" w:styleId="Heading1">
    <w:name w:val="heading 1"/>
    <w:basedOn w:val="Heading2"/>
    <w:next w:val="Normal"/>
    <w:link w:val="Heading1Char"/>
    <w:uiPriority w:val="9"/>
    <w:qFormat/>
    <w:rsid w:val="00F24576"/>
    <w:pPr>
      <w:spacing w:after="200"/>
      <w:outlineLvl w:val="0"/>
    </w:pPr>
    <w:rPr>
      <w:caps/>
      <w:sz w:val="28"/>
    </w:rPr>
  </w:style>
  <w:style w:type="paragraph" w:styleId="Heading2">
    <w:name w:val="heading 2"/>
    <w:basedOn w:val="Normal"/>
    <w:next w:val="Normal"/>
    <w:link w:val="Heading2Char"/>
    <w:uiPriority w:val="9"/>
    <w:unhideWhenUsed/>
    <w:qFormat/>
    <w:rsid w:val="00862855"/>
    <w:pPr>
      <w:keepNext/>
      <w:keepLines/>
      <w:spacing w:before="200" w:after="0"/>
      <w:outlineLvl w:val="1"/>
    </w:pPr>
    <w:rPr>
      <w:rFonts w:ascii="Calibri" w:eastAsiaTheme="majorEastAsia" w:hAnsi="Calibri" w:cs="Calibri"/>
      <w:b/>
      <w:bCs/>
      <w:color w:val="000000"/>
      <w:sz w:val="24"/>
      <w:szCs w:val="26"/>
    </w:rPr>
  </w:style>
  <w:style w:type="paragraph" w:styleId="Heading3">
    <w:name w:val="heading 3"/>
    <w:basedOn w:val="Normal"/>
    <w:next w:val="Normal"/>
    <w:link w:val="Heading3Char"/>
    <w:uiPriority w:val="9"/>
    <w:unhideWhenUsed/>
    <w:qFormat/>
    <w:rsid w:val="00F041E0"/>
    <w:pPr>
      <w:keepNext/>
      <w:keepLines/>
      <w:spacing w:before="200" w:after="0"/>
      <w:outlineLvl w:val="2"/>
    </w:pPr>
    <w:rPr>
      <w:rFonts w:eastAsiaTheme="majorEastAsia" w:cstheme="minorHAnsi"/>
      <w:bCs/>
      <w: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unhideWhenUsed/>
    <w:rsid w:val="00B14D94"/>
    <w:pPr>
      <w:tabs>
        <w:tab w:val="left" w:pos="384"/>
      </w:tabs>
      <w:spacing w:after="240" w:line="240" w:lineRule="auto"/>
      <w:ind w:left="384" w:hanging="384"/>
    </w:pPr>
  </w:style>
  <w:style w:type="table" w:styleId="TableGrid">
    <w:name w:val="Table Grid"/>
    <w:basedOn w:val="TableNormal"/>
    <w:uiPriority w:val="59"/>
    <w:rsid w:val="006D1D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52A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2ACA"/>
  </w:style>
  <w:style w:type="paragraph" w:styleId="Footer">
    <w:name w:val="footer"/>
    <w:basedOn w:val="Normal"/>
    <w:link w:val="FooterChar"/>
    <w:uiPriority w:val="99"/>
    <w:unhideWhenUsed/>
    <w:rsid w:val="00D52A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2ACA"/>
  </w:style>
  <w:style w:type="character" w:customStyle="1" w:styleId="Heading1Char">
    <w:name w:val="Heading 1 Char"/>
    <w:basedOn w:val="DefaultParagraphFont"/>
    <w:link w:val="Heading1"/>
    <w:uiPriority w:val="9"/>
    <w:rsid w:val="00F24576"/>
    <w:rPr>
      <w:rFonts w:ascii="Calibri" w:eastAsiaTheme="majorEastAsia" w:hAnsi="Calibri" w:cs="Calibri"/>
      <w:b/>
      <w:bCs/>
      <w:caps/>
      <w:color w:val="000000"/>
      <w:sz w:val="28"/>
      <w:szCs w:val="26"/>
    </w:rPr>
  </w:style>
  <w:style w:type="character" w:styleId="CommentReference">
    <w:name w:val="annotation reference"/>
    <w:basedOn w:val="DefaultParagraphFont"/>
    <w:uiPriority w:val="99"/>
    <w:semiHidden/>
    <w:unhideWhenUsed/>
    <w:rsid w:val="00A45643"/>
    <w:rPr>
      <w:sz w:val="16"/>
      <w:szCs w:val="16"/>
    </w:rPr>
  </w:style>
  <w:style w:type="paragraph" w:styleId="CommentText">
    <w:name w:val="annotation text"/>
    <w:basedOn w:val="Normal"/>
    <w:link w:val="CommentTextChar"/>
    <w:uiPriority w:val="99"/>
    <w:semiHidden/>
    <w:unhideWhenUsed/>
    <w:rsid w:val="00A45643"/>
    <w:pPr>
      <w:spacing w:line="240" w:lineRule="auto"/>
    </w:pPr>
    <w:rPr>
      <w:sz w:val="20"/>
      <w:szCs w:val="20"/>
    </w:rPr>
  </w:style>
  <w:style w:type="character" w:customStyle="1" w:styleId="CommentTextChar">
    <w:name w:val="Comment Text Char"/>
    <w:basedOn w:val="DefaultParagraphFont"/>
    <w:link w:val="CommentText"/>
    <w:uiPriority w:val="99"/>
    <w:semiHidden/>
    <w:rsid w:val="00A45643"/>
    <w:rPr>
      <w:sz w:val="20"/>
      <w:szCs w:val="20"/>
    </w:rPr>
  </w:style>
  <w:style w:type="paragraph" w:styleId="CommentSubject">
    <w:name w:val="annotation subject"/>
    <w:basedOn w:val="CommentText"/>
    <w:next w:val="CommentText"/>
    <w:link w:val="CommentSubjectChar"/>
    <w:uiPriority w:val="99"/>
    <w:semiHidden/>
    <w:unhideWhenUsed/>
    <w:rsid w:val="00A45643"/>
    <w:rPr>
      <w:b/>
      <w:bCs/>
    </w:rPr>
  </w:style>
  <w:style w:type="character" w:customStyle="1" w:styleId="CommentSubjectChar">
    <w:name w:val="Comment Subject Char"/>
    <w:basedOn w:val="CommentTextChar"/>
    <w:link w:val="CommentSubject"/>
    <w:uiPriority w:val="99"/>
    <w:semiHidden/>
    <w:rsid w:val="00A45643"/>
    <w:rPr>
      <w:b/>
      <w:bCs/>
      <w:sz w:val="20"/>
      <w:szCs w:val="20"/>
    </w:rPr>
  </w:style>
  <w:style w:type="paragraph" w:styleId="BalloonText">
    <w:name w:val="Balloon Text"/>
    <w:basedOn w:val="Normal"/>
    <w:link w:val="BalloonTextChar"/>
    <w:uiPriority w:val="99"/>
    <w:semiHidden/>
    <w:unhideWhenUsed/>
    <w:rsid w:val="00EE5B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5B0D"/>
    <w:rPr>
      <w:rFonts w:ascii="Tahoma" w:hAnsi="Tahoma" w:cs="Tahoma"/>
      <w:sz w:val="16"/>
      <w:szCs w:val="16"/>
    </w:rPr>
  </w:style>
  <w:style w:type="character" w:customStyle="1" w:styleId="Heading2Char">
    <w:name w:val="Heading 2 Char"/>
    <w:basedOn w:val="DefaultParagraphFont"/>
    <w:link w:val="Heading2"/>
    <w:uiPriority w:val="9"/>
    <w:rsid w:val="00862855"/>
    <w:rPr>
      <w:rFonts w:ascii="Calibri" w:eastAsiaTheme="majorEastAsia" w:hAnsi="Calibri" w:cs="Calibri"/>
      <w:b/>
      <w:bCs/>
      <w:color w:val="000000"/>
      <w:sz w:val="24"/>
      <w:szCs w:val="26"/>
    </w:rPr>
  </w:style>
  <w:style w:type="character" w:customStyle="1" w:styleId="Heading3Char">
    <w:name w:val="Heading 3 Char"/>
    <w:basedOn w:val="DefaultParagraphFont"/>
    <w:link w:val="Heading3"/>
    <w:uiPriority w:val="9"/>
    <w:rsid w:val="00F041E0"/>
    <w:rPr>
      <w:rFonts w:eastAsiaTheme="majorEastAsia" w:cstheme="minorHAnsi"/>
      <w:bCs/>
      <w:i/>
      <w:color w:val="000000"/>
    </w:rPr>
  </w:style>
  <w:style w:type="paragraph" w:styleId="NormalWeb">
    <w:name w:val="Normal (Web)"/>
    <w:basedOn w:val="Normal"/>
    <w:uiPriority w:val="99"/>
    <w:unhideWhenUsed/>
    <w:rsid w:val="008E69D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434B29"/>
    <w:pPr>
      <w:spacing w:after="0" w:line="480" w:lineRule="auto"/>
    </w:pPr>
  </w:style>
  <w:style w:type="character" w:styleId="Hyperlink">
    <w:name w:val="Hyperlink"/>
    <w:basedOn w:val="DefaultParagraphFont"/>
    <w:uiPriority w:val="99"/>
    <w:unhideWhenUsed/>
    <w:rsid w:val="004F376D"/>
    <w:rPr>
      <w:color w:val="0000FF" w:themeColor="hyperlink"/>
      <w:u w:val="single"/>
    </w:rPr>
  </w:style>
  <w:style w:type="character" w:styleId="Strong">
    <w:name w:val="Strong"/>
    <w:basedOn w:val="DefaultParagraphFont"/>
    <w:uiPriority w:val="22"/>
    <w:qFormat/>
    <w:rsid w:val="00F041E0"/>
    <w:rPr>
      <w:b/>
      <w:bCs/>
    </w:rPr>
  </w:style>
  <w:style w:type="character" w:styleId="UnresolvedMention">
    <w:name w:val="Unresolved Mention"/>
    <w:basedOn w:val="DefaultParagraphFont"/>
    <w:uiPriority w:val="99"/>
    <w:semiHidden/>
    <w:unhideWhenUsed/>
    <w:rsid w:val="00882D7C"/>
    <w:rPr>
      <w:color w:val="605E5C"/>
      <w:shd w:val="clear" w:color="auto" w:fill="E1DFDD"/>
    </w:rPr>
  </w:style>
  <w:style w:type="character" w:styleId="LineNumber">
    <w:name w:val="line number"/>
    <w:basedOn w:val="DefaultParagraphFont"/>
    <w:uiPriority w:val="99"/>
    <w:semiHidden/>
    <w:unhideWhenUsed/>
    <w:rsid w:val="00D0707C"/>
  </w:style>
  <w:style w:type="paragraph" w:styleId="Quote">
    <w:name w:val="Quote"/>
    <w:basedOn w:val="Normal"/>
    <w:next w:val="Normal"/>
    <w:link w:val="QuoteChar"/>
    <w:uiPriority w:val="29"/>
    <w:qFormat/>
    <w:rsid w:val="00434B29"/>
    <w:pPr>
      <w:ind w:left="851"/>
    </w:pPr>
  </w:style>
  <w:style w:type="character" w:customStyle="1" w:styleId="QuoteChar">
    <w:name w:val="Quote Char"/>
    <w:basedOn w:val="DefaultParagraphFont"/>
    <w:link w:val="Quote"/>
    <w:uiPriority w:val="29"/>
    <w:rsid w:val="00434B29"/>
  </w:style>
  <w:style w:type="character" w:styleId="Emphasis">
    <w:name w:val="Emphasis"/>
    <w:basedOn w:val="DefaultParagraphFont"/>
    <w:uiPriority w:val="20"/>
    <w:qFormat/>
    <w:rsid w:val="00DB3CE4"/>
    <w:rPr>
      <w:i/>
      <w:iCs/>
    </w:rPr>
  </w:style>
  <w:style w:type="paragraph" w:styleId="Revision">
    <w:name w:val="Revision"/>
    <w:hidden/>
    <w:uiPriority w:val="99"/>
    <w:semiHidden/>
    <w:rsid w:val="009051BF"/>
    <w:pPr>
      <w:spacing w:after="0" w:line="240" w:lineRule="auto"/>
    </w:pPr>
  </w:style>
  <w:style w:type="paragraph" w:styleId="Caption">
    <w:name w:val="caption"/>
    <w:basedOn w:val="Normal"/>
    <w:next w:val="Normal"/>
    <w:uiPriority w:val="35"/>
    <w:unhideWhenUsed/>
    <w:qFormat/>
    <w:rsid w:val="006A5C3C"/>
    <w:pPr>
      <w:spacing w:line="240" w:lineRule="auto"/>
    </w:pPr>
    <w:rPr>
      <w:i/>
      <w:iCs/>
      <w:color w:val="1F497D" w:themeColor="text2"/>
      <w:sz w:val="18"/>
      <w:szCs w:val="18"/>
    </w:rPr>
  </w:style>
  <w:style w:type="paragraph" w:styleId="ListParagraph">
    <w:name w:val="List Paragraph"/>
    <w:basedOn w:val="Normal"/>
    <w:uiPriority w:val="34"/>
    <w:qFormat/>
    <w:rsid w:val="000A2B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670351">
      <w:bodyDiv w:val="1"/>
      <w:marLeft w:val="0"/>
      <w:marRight w:val="0"/>
      <w:marTop w:val="0"/>
      <w:marBottom w:val="0"/>
      <w:divBdr>
        <w:top w:val="none" w:sz="0" w:space="0" w:color="auto"/>
        <w:left w:val="none" w:sz="0" w:space="0" w:color="auto"/>
        <w:bottom w:val="none" w:sz="0" w:space="0" w:color="auto"/>
        <w:right w:val="none" w:sz="0" w:space="0" w:color="auto"/>
      </w:divBdr>
    </w:div>
    <w:div w:id="564491375">
      <w:bodyDiv w:val="1"/>
      <w:marLeft w:val="0"/>
      <w:marRight w:val="0"/>
      <w:marTop w:val="0"/>
      <w:marBottom w:val="0"/>
      <w:divBdr>
        <w:top w:val="none" w:sz="0" w:space="0" w:color="auto"/>
        <w:left w:val="none" w:sz="0" w:space="0" w:color="auto"/>
        <w:bottom w:val="none" w:sz="0" w:space="0" w:color="auto"/>
        <w:right w:val="none" w:sz="0" w:space="0" w:color="auto"/>
      </w:divBdr>
    </w:div>
    <w:div w:id="656491874">
      <w:bodyDiv w:val="1"/>
      <w:marLeft w:val="0"/>
      <w:marRight w:val="0"/>
      <w:marTop w:val="0"/>
      <w:marBottom w:val="0"/>
      <w:divBdr>
        <w:top w:val="none" w:sz="0" w:space="0" w:color="auto"/>
        <w:left w:val="none" w:sz="0" w:space="0" w:color="auto"/>
        <w:bottom w:val="none" w:sz="0" w:space="0" w:color="auto"/>
        <w:right w:val="none" w:sz="0" w:space="0" w:color="auto"/>
      </w:divBdr>
    </w:div>
    <w:div w:id="949513048">
      <w:bodyDiv w:val="1"/>
      <w:marLeft w:val="0"/>
      <w:marRight w:val="0"/>
      <w:marTop w:val="0"/>
      <w:marBottom w:val="0"/>
      <w:divBdr>
        <w:top w:val="none" w:sz="0" w:space="0" w:color="auto"/>
        <w:left w:val="none" w:sz="0" w:space="0" w:color="auto"/>
        <w:bottom w:val="none" w:sz="0" w:space="0" w:color="auto"/>
        <w:right w:val="none" w:sz="0" w:space="0" w:color="auto"/>
      </w:divBdr>
    </w:div>
    <w:div w:id="1127160621">
      <w:bodyDiv w:val="1"/>
      <w:marLeft w:val="0"/>
      <w:marRight w:val="0"/>
      <w:marTop w:val="0"/>
      <w:marBottom w:val="0"/>
      <w:divBdr>
        <w:top w:val="none" w:sz="0" w:space="0" w:color="auto"/>
        <w:left w:val="none" w:sz="0" w:space="0" w:color="auto"/>
        <w:bottom w:val="none" w:sz="0" w:space="0" w:color="auto"/>
        <w:right w:val="none" w:sz="0" w:space="0" w:color="auto"/>
      </w:divBdr>
    </w:div>
    <w:div w:id="1203589881">
      <w:bodyDiv w:val="1"/>
      <w:marLeft w:val="0"/>
      <w:marRight w:val="0"/>
      <w:marTop w:val="0"/>
      <w:marBottom w:val="0"/>
      <w:divBdr>
        <w:top w:val="none" w:sz="0" w:space="0" w:color="auto"/>
        <w:left w:val="none" w:sz="0" w:space="0" w:color="auto"/>
        <w:bottom w:val="none" w:sz="0" w:space="0" w:color="auto"/>
        <w:right w:val="none" w:sz="0" w:space="0" w:color="auto"/>
      </w:divBdr>
    </w:div>
    <w:div w:id="1479760693">
      <w:bodyDiv w:val="1"/>
      <w:marLeft w:val="0"/>
      <w:marRight w:val="0"/>
      <w:marTop w:val="0"/>
      <w:marBottom w:val="0"/>
      <w:divBdr>
        <w:top w:val="none" w:sz="0" w:space="0" w:color="auto"/>
        <w:left w:val="none" w:sz="0" w:space="0" w:color="auto"/>
        <w:bottom w:val="none" w:sz="0" w:space="0" w:color="auto"/>
        <w:right w:val="none" w:sz="0" w:space="0" w:color="auto"/>
      </w:divBdr>
    </w:div>
    <w:div w:id="1497530015">
      <w:bodyDiv w:val="1"/>
      <w:marLeft w:val="0"/>
      <w:marRight w:val="0"/>
      <w:marTop w:val="0"/>
      <w:marBottom w:val="0"/>
      <w:divBdr>
        <w:top w:val="none" w:sz="0" w:space="0" w:color="auto"/>
        <w:left w:val="none" w:sz="0" w:space="0" w:color="auto"/>
        <w:bottom w:val="none" w:sz="0" w:space="0" w:color="auto"/>
        <w:right w:val="none" w:sz="0" w:space="0" w:color="auto"/>
      </w:divBdr>
    </w:div>
    <w:div w:id="1768770807">
      <w:bodyDiv w:val="1"/>
      <w:marLeft w:val="0"/>
      <w:marRight w:val="0"/>
      <w:marTop w:val="0"/>
      <w:marBottom w:val="0"/>
      <w:divBdr>
        <w:top w:val="none" w:sz="0" w:space="0" w:color="auto"/>
        <w:left w:val="none" w:sz="0" w:space="0" w:color="auto"/>
        <w:bottom w:val="none" w:sz="0" w:space="0" w:color="auto"/>
        <w:right w:val="none" w:sz="0" w:space="0" w:color="auto"/>
      </w:divBdr>
    </w:div>
    <w:div w:id="1831553879">
      <w:bodyDiv w:val="1"/>
      <w:marLeft w:val="0"/>
      <w:marRight w:val="0"/>
      <w:marTop w:val="0"/>
      <w:marBottom w:val="0"/>
      <w:divBdr>
        <w:top w:val="none" w:sz="0" w:space="0" w:color="auto"/>
        <w:left w:val="none" w:sz="0" w:space="0" w:color="auto"/>
        <w:bottom w:val="none" w:sz="0" w:space="0" w:color="auto"/>
        <w:right w:val="none" w:sz="0" w:space="0" w:color="auto"/>
      </w:divBdr>
      <w:divsChild>
        <w:div w:id="1584486359">
          <w:marLeft w:val="0"/>
          <w:marRight w:val="0"/>
          <w:marTop w:val="0"/>
          <w:marBottom w:val="0"/>
          <w:divBdr>
            <w:top w:val="none" w:sz="0" w:space="0" w:color="auto"/>
            <w:left w:val="none" w:sz="0" w:space="0" w:color="auto"/>
            <w:bottom w:val="none" w:sz="0" w:space="0" w:color="auto"/>
            <w:right w:val="none" w:sz="0" w:space="0" w:color="auto"/>
          </w:divBdr>
          <w:divsChild>
            <w:div w:id="1064179689">
              <w:marLeft w:val="0"/>
              <w:marRight w:val="0"/>
              <w:marTop w:val="0"/>
              <w:marBottom w:val="0"/>
              <w:divBdr>
                <w:top w:val="none" w:sz="0" w:space="0" w:color="auto"/>
                <w:left w:val="none" w:sz="0" w:space="0" w:color="auto"/>
                <w:bottom w:val="none" w:sz="0" w:space="0" w:color="auto"/>
                <w:right w:val="none" w:sz="0" w:space="0" w:color="auto"/>
              </w:divBdr>
              <w:divsChild>
                <w:div w:id="581566973">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887252539">
      <w:bodyDiv w:val="1"/>
      <w:marLeft w:val="0"/>
      <w:marRight w:val="0"/>
      <w:marTop w:val="0"/>
      <w:marBottom w:val="0"/>
      <w:divBdr>
        <w:top w:val="none" w:sz="0" w:space="0" w:color="auto"/>
        <w:left w:val="none" w:sz="0" w:space="0" w:color="auto"/>
        <w:bottom w:val="none" w:sz="0" w:space="0" w:color="auto"/>
        <w:right w:val="none" w:sz="0" w:space="0" w:color="auto"/>
      </w:divBdr>
    </w:div>
    <w:div w:id="2050184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FB0911783C1D442BD1CF19F4570B3A4" ma:contentTypeVersion="11" ma:contentTypeDescription="Create a new document." ma:contentTypeScope="" ma:versionID="22182499859456db9634881befa81318">
  <xsd:schema xmlns:xsd="http://www.w3.org/2001/XMLSchema" xmlns:xs="http://www.w3.org/2001/XMLSchema" xmlns:p="http://schemas.microsoft.com/office/2006/metadata/properties" xmlns:ns1="http://schemas.microsoft.com/sharepoint/v3" xmlns:ns2="349c52c3-7488-4a9e-99a0-500ebff2edd8" targetNamespace="http://schemas.microsoft.com/office/2006/metadata/properties" ma:root="true" ma:fieldsID="92efc6fe5eaeab414c308e3a3e98472a" ns1:_="" ns2:_="">
    <xsd:import namespace="http://schemas.microsoft.com/sharepoint/v3"/>
    <xsd:import namespace="349c52c3-7488-4a9e-99a0-500ebff2edd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9c52c3-7488-4a9e-99a0-500ebff2e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2C0292-E643-47BB-B7BC-81E230C18DC2}">
  <ds:schemaRefs>
    <ds:schemaRef ds:uri="http://schemas.microsoft.com/sharepoint/v3/contenttype/forms"/>
  </ds:schemaRefs>
</ds:datastoreItem>
</file>

<file path=customXml/itemProps2.xml><?xml version="1.0" encoding="utf-8"?>
<ds:datastoreItem xmlns:ds="http://schemas.openxmlformats.org/officeDocument/2006/customXml" ds:itemID="{3935238F-063A-449A-9360-086B107FB5C6}">
  <ds:schemaRefs>
    <ds:schemaRef ds:uri="http://purl.org/dc/terms/"/>
    <ds:schemaRef ds:uri="http://purl.org/dc/dcmitype/"/>
    <ds:schemaRef ds:uri="http://schemas.openxmlformats.org/package/2006/metadata/core-properties"/>
    <ds:schemaRef ds:uri="http://schemas.microsoft.com/office/2006/documentManagement/types"/>
    <ds:schemaRef ds:uri="http://www.w3.org/XML/1998/namespace"/>
    <ds:schemaRef ds:uri="http://schemas.microsoft.com/office/2006/metadata/properties"/>
    <ds:schemaRef ds:uri="http://schemas.microsoft.com/sharepoint/v3"/>
    <ds:schemaRef ds:uri="http://purl.org/dc/elements/1.1/"/>
    <ds:schemaRef ds:uri="http://schemas.microsoft.com/office/infopath/2007/PartnerControls"/>
    <ds:schemaRef ds:uri="349c52c3-7488-4a9e-99a0-500ebff2edd8"/>
  </ds:schemaRefs>
</ds:datastoreItem>
</file>

<file path=customXml/itemProps3.xml><?xml version="1.0" encoding="utf-8"?>
<ds:datastoreItem xmlns:ds="http://schemas.openxmlformats.org/officeDocument/2006/customXml" ds:itemID="{69F120AE-DFF3-41ED-BFDE-AEDFF4061898}">
  <ds:schemaRefs>
    <ds:schemaRef ds:uri="http://schemas.openxmlformats.org/officeDocument/2006/bibliography"/>
  </ds:schemaRefs>
</ds:datastoreItem>
</file>

<file path=customXml/itemProps4.xml><?xml version="1.0" encoding="utf-8"?>
<ds:datastoreItem xmlns:ds="http://schemas.openxmlformats.org/officeDocument/2006/customXml" ds:itemID="{DF9E0167-DBFC-4E80-955C-87176A3402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49c52c3-7488-4a9e-99a0-500ebff2ed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14042</Words>
  <Characters>80040</Characters>
  <Application>Microsoft Office Word</Application>
  <DocSecurity>4</DocSecurity>
  <Lines>667</Lines>
  <Paragraphs>187</Paragraphs>
  <ScaleCrop>false</ScaleCrop>
  <HeadingPairs>
    <vt:vector size="2" baseType="variant">
      <vt:variant>
        <vt:lpstr>Title</vt:lpstr>
      </vt:variant>
      <vt:variant>
        <vt:i4>1</vt:i4>
      </vt:variant>
    </vt:vector>
  </HeadingPairs>
  <TitlesOfParts>
    <vt:vector size="1" baseType="lpstr">
      <vt:lpstr/>
    </vt:vector>
  </TitlesOfParts>
  <Company>UHS</Company>
  <LinksUpToDate>false</LinksUpToDate>
  <CharactersWithSpaces>93895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Young, David</dc:creator>
  <cp:lastModifiedBy>Samantha Dowson</cp:lastModifiedBy>
  <cp:revision>2</cp:revision>
  <cp:lastPrinted>2021-11-25T08:45:00Z</cp:lastPrinted>
  <dcterms:created xsi:type="dcterms:W3CDTF">2022-06-29T12:32:00Z</dcterms:created>
  <dcterms:modified xsi:type="dcterms:W3CDTF">2022-06-29T12:32:00Z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zotero-version="5.0.96.3"&gt;&lt;session id="Dde4Dphl"/&gt;&lt;style id="http://www.zotero.org/styles/bmj-open" hasBibliography="1" bibliographyStyleHasBeenSet="1"/&gt;&lt;prefs&gt;&lt;pref name="fieldType" value="Field"/&gt;&lt;/prefs&gt;&lt;/data&gt;</vt:lpwstr>
  </property>
  <property fmtid="{D5CDD505-2E9C-101B-9397-08002B2CF9AE}" pid="3" name="ContentTypeId">
    <vt:lpwstr>0x0101009FB0911783C1D442BD1CF19F4570B3A4</vt:lpwstr>
  </property>
</Properties>
</file>