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44047E" w14:textId="4B38FA43" w:rsidR="00F03759" w:rsidRDefault="001552A3" w:rsidP="00F03759">
      <w:pPr>
        <w:pStyle w:val="Heading1"/>
        <w:spacing w:line="276" w:lineRule="auto"/>
        <w:rPr>
          <w:sz w:val="32"/>
          <w:szCs w:val="32"/>
        </w:rPr>
      </w:pPr>
      <w:r w:rsidRPr="0023525D">
        <w:rPr>
          <w:sz w:val="32"/>
          <w:szCs w:val="32"/>
          <w:lang w:val="en-US"/>
        </w:rPr>
        <w:t>Modelling skeletal pain harnessing t</w:t>
      </w:r>
      <w:r w:rsidRPr="00333FA5">
        <w:rPr>
          <w:sz w:val="32"/>
          <w:szCs w:val="32"/>
          <w:lang w:val="en-US"/>
        </w:rPr>
        <w:t>issue engineering</w:t>
      </w:r>
    </w:p>
    <w:p w14:paraId="69D74D97" w14:textId="77777777" w:rsidR="00F03759" w:rsidRPr="00F03759" w:rsidRDefault="00F03759" w:rsidP="00F03759">
      <w:pPr>
        <w:spacing w:after="0" w:line="276" w:lineRule="auto"/>
        <w:rPr>
          <w:rFonts w:ascii="Arial" w:hAnsi="Arial" w:cs="Arial"/>
          <w:sz w:val="24"/>
          <w:vertAlign w:val="superscript"/>
          <w:lang w:val="it-IT"/>
        </w:rPr>
      </w:pPr>
      <w:r w:rsidRPr="00463AC5">
        <w:rPr>
          <w:rFonts w:ascii="Arial" w:hAnsi="Arial" w:cs="Arial"/>
          <w:sz w:val="24"/>
          <w:lang w:val="it-IT"/>
        </w:rPr>
        <w:t>Lucia Iafrate</w:t>
      </w:r>
      <w:r w:rsidRPr="00F03759">
        <w:rPr>
          <w:rFonts w:ascii="Arial" w:hAnsi="Arial" w:cs="Arial"/>
          <w:sz w:val="24"/>
          <w:vertAlign w:val="superscript"/>
          <w:lang w:val="it-IT"/>
        </w:rPr>
        <w:t>1</w:t>
      </w:r>
      <w:r w:rsidRPr="00F03759">
        <w:rPr>
          <w:rFonts w:ascii="Arial" w:hAnsi="Arial" w:cs="Arial"/>
          <w:sz w:val="24"/>
          <w:lang w:val="it-IT"/>
        </w:rPr>
        <w:t>, Maria Cristina Benedetti</w:t>
      </w:r>
      <w:r w:rsidRPr="00F03759">
        <w:rPr>
          <w:rFonts w:ascii="Arial" w:hAnsi="Arial" w:cs="Arial"/>
          <w:sz w:val="24"/>
          <w:vertAlign w:val="superscript"/>
          <w:lang w:val="it-IT"/>
        </w:rPr>
        <w:t>1,2</w:t>
      </w:r>
      <w:r w:rsidRPr="00F03759">
        <w:rPr>
          <w:rFonts w:ascii="Arial" w:hAnsi="Arial" w:cs="Arial"/>
          <w:sz w:val="24"/>
          <w:lang w:val="it-IT"/>
        </w:rPr>
        <w:t>, Samantha Donsante</w:t>
      </w:r>
      <w:r w:rsidRPr="00F03759">
        <w:rPr>
          <w:rFonts w:ascii="Arial" w:hAnsi="Arial" w:cs="Arial"/>
          <w:sz w:val="24"/>
          <w:vertAlign w:val="superscript"/>
          <w:lang w:val="it-IT"/>
        </w:rPr>
        <w:t>3</w:t>
      </w:r>
      <w:r w:rsidRPr="00F03759">
        <w:rPr>
          <w:rFonts w:ascii="Arial" w:hAnsi="Arial" w:cs="Arial"/>
          <w:sz w:val="24"/>
          <w:lang w:val="it-IT"/>
        </w:rPr>
        <w:t>, Alessandro Rosa</w:t>
      </w:r>
      <w:r w:rsidRPr="00F03759">
        <w:rPr>
          <w:rFonts w:ascii="Arial" w:hAnsi="Arial" w:cs="Arial"/>
          <w:sz w:val="24"/>
          <w:vertAlign w:val="superscript"/>
          <w:lang w:val="it-IT"/>
        </w:rPr>
        <w:t>1,2</w:t>
      </w:r>
      <w:r w:rsidRPr="00F03759">
        <w:rPr>
          <w:rFonts w:ascii="Arial" w:hAnsi="Arial" w:cs="Arial"/>
          <w:sz w:val="24"/>
          <w:lang w:val="it-IT"/>
        </w:rPr>
        <w:t>, Alessandro Corsi</w:t>
      </w:r>
      <w:r w:rsidRPr="00F03759">
        <w:rPr>
          <w:rFonts w:ascii="Arial" w:hAnsi="Arial" w:cs="Arial"/>
          <w:sz w:val="24"/>
          <w:vertAlign w:val="superscript"/>
          <w:lang w:val="it-IT"/>
        </w:rPr>
        <w:t>3</w:t>
      </w:r>
      <w:r w:rsidRPr="00F03759">
        <w:rPr>
          <w:rFonts w:ascii="Arial" w:hAnsi="Arial" w:cs="Arial"/>
          <w:sz w:val="24"/>
          <w:lang w:val="it-IT"/>
        </w:rPr>
        <w:t>, Richard OC Oreffo</w:t>
      </w:r>
      <w:r w:rsidRPr="00F03759">
        <w:rPr>
          <w:rFonts w:ascii="Arial" w:hAnsi="Arial" w:cs="Arial"/>
          <w:sz w:val="24"/>
          <w:vertAlign w:val="superscript"/>
          <w:lang w:val="it-IT"/>
        </w:rPr>
        <w:t>4</w:t>
      </w:r>
      <w:r w:rsidRPr="00F03759">
        <w:rPr>
          <w:rFonts w:ascii="Arial" w:hAnsi="Arial" w:cs="Arial"/>
          <w:sz w:val="24"/>
          <w:lang w:val="it-IT"/>
        </w:rPr>
        <w:t>, Mara Riminucci</w:t>
      </w:r>
      <w:r w:rsidRPr="00F03759">
        <w:rPr>
          <w:rFonts w:ascii="Arial" w:hAnsi="Arial" w:cs="Arial"/>
          <w:sz w:val="24"/>
          <w:vertAlign w:val="superscript"/>
          <w:lang w:val="it-IT"/>
        </w:rPr>
        <w:t>3</w:t>
      </w:r>
      <w:r w:rsidRPr="00F03759">
        <w:rPr>
          <w:rFonts w:ascii="Arial" w:hAnsi="Arial" w:cs="Arial"/>
          <w:sz w:val="24"/>
          <w:lang w:val="it-IT"/>
        </w:rPr>
        <w:t>, Giancarlo Ruocco</w:t>
      </w:r>
      <w:r w:rsidRPr="00F03759">
        <w:rPr>
          <w:rFonts w:ascii="Arial" w:hAnsi="Arial" w:cs="Arial"/>
          <w:sz w:val="24"/>
          <w:vertAlign w:val="superscript"/>
          <w:lang w:val="it-IT"/>
        </w:rPr>
        <w:t>1</w:t>
      </w:r>
      <w:r w:rsidRPr="00F03759">
        <w:rPr>
          <w:rFonts w:ascii="Arial" w:hAnsi="Arial" w:cs="Arial"/>
          <w:sz w:val="24"/>
          <w:lang w:val="it-IT"/>
        </w:rPr>
        <w:t>, Chiara Scognamiglio</w:t>
      </w:r>
      <w:r w:rsidRPr="00F03759">
        <w:rPr>
          <w:rFonts w:ascii="Arial" w:hAnsi="Arial" w:cs="Arial"/>
          <w:sz w:val="24"/>
          <w:vertAlign w:val="superscript"/>
          <w:lang w:val="it-IT"/>
        </w:rPr>
        <w:t>1</w:t>
      </w:r>
      <w:r w:rsidRPr="00F03759">
        <w:rPr>
          <w:rFonts w:ascii="Arial" w:hAnsi="Arial" w:cs="Arial"/>
          <w:sz w:val="24"/>
          <w:lang w:val="it-IT"/>
        </w:rPr>
        <w:t>,</w:t>
      </w:r>
      <w:r w:rsidRPr="00F03759">
        <w:rPr>
          <w:rFonts w:ascii="Arial" w:hAnsi="Arial" w:cs="Arial"/>
          <w:sz w:val="24"/>
          <w:vertAlign w:val="superscript"/>
          <w:lang w:val="it-IT"/>
        </w:rPr>
        <w:t xml:space="preserve"> </w:t>
      </w:r>
      <w:r w:rsidRPr="00F03759">
        <w:rPr>
          <w:rFonts w:ascii="Arial" w:hAnsi="Arial" w:cs="Arial"/>
          <w:sz w:val="24"/>
          <w:lang w:val="it-IT"/>
        </w:rPr>
        <w:t>Gianluca Cidonio</w:t>
      </w:r>
      <w:r w:rsidRPr="00F03759">
        <w:rPr>
          <w:rFonts w:ascii="Arial" w:hAnsi="Arial" w:cs="Arial"/>
          <w:sz w:val="24"/>
          <w:vertAlign w:val="superscript"/>
          <w:lang w:val="it-IT"/>
        </w:rPr>
        <w:t>1,4</w:t>
      </w:r>
      <w:r w:rsidRPr="00F03759">
        <w:rPr>
          <w:rFonts w:ascii="Arial" w:hAnsi="Arial" w:cs="Arial"/>
          <w:sz w:val="24"/>
          <w:lang w:val="it-IT"/>
        </w:rPr>
        <w:t>*</w:t>
      </w:r>
    </w:p>
    <w:p w14:paraId="03C878CB" w14:textId="77777777" w:rsidR="00F03759" w:rsidRPr="00F03759" w:rsidRDefault="00F03759" w:rsidP="00F03759">
      <w:pPr>
        <w:spacing w:after="0" w:line="276" w:lineRule="auto"/>
        <w:rPr>
          <w:rFonts w:ascii="Arial" w:hAnsi="Arial" w:cs="Arial"/>
          <w:sz w:val="24"/>
          <w:lang w:val="it-IT"/>
        </w:rPr>
      </w:pPr>
    </w:p>
    <w:p w14:paraId="3CCEBC8B" w14:textId="61F04682" w:rsidR="00F03759" w:rsidRPr="00F03759" w:rsidRDefault="00F03759" w:rsidP="00F03759">
      <w:pPr>
        <w:autoSpaceDE w:val="0"/>
        <w:autoSpaceDN w:val="0"/>
        <w:adjustRightInd w:val="0"/>
        <w:spacing w:after="0" w:line="276" w:lineRule="auto"/>
        <w:ind w:left="720"/>
        <w:rPr>
          <w:rFonts w:ascii="Arial" w:hAnsi="Arial" w:cs="Arial"/>
          <w:sz w:val="24"/>
          <w:lang w:val="it-IT"/>
        </w:rPr>
      </w:pPr>
      <w:r w:rsidRPr="00F03759">
        <w:rPr>
          <w:rFonts w:ascii="Arial" w:hAnsi="Arial" w:cs="Arial"/>
          <w:sz w:val="24"/>
          <w:vertAlign w:val="superscript"/>
          <w:lang w:val="it-IT"/>
        </w:rPr>
        <w:t xml:space="preserve">1 </w:t>
      </w:r>
      <w:r w:rsidRPr="00F03759">
        <w:rPr>
          <w:rFonts w:ascii="Arial" w:hAnsi="Arial" w:cs="Arial"/>
          <w:sz w:val="24"/>
          <w:lang w:val="it-IT"/>
        </w:rPr>
        <w:t>Center for Life Nano- &amp; Neuro-Science (CLN</w:t>
      </w:r>
      <w:r w:rsidR="005A4B38">
        <w:rPr>
          <w:rFonts w:ascii="Arial" w:hAnsi="Arial" w:cs="Arial"/>
          <w:sz w:val="24"/>
          <w:lang w:val="it-IT"/>
        </w:rPr>
        <w:t>2</w:t>
      </w:r>
      <w:r w:rsidRPr="00F03759">
        <w:rPr>
          <w:rFonts w:ascii="Arial" w:hAnsi="Arial" w:cs="Arial"/>
          <w:sz w:val="24"/>
          <w:lang w:val="it-IT"/>
        </w:rPr>
        <w:t xml:space="preserve">S), Fondazione Istituto Italiano di Tecnologia, Rome, </w:t>
      </w:r>
      <w:proofErr w:type="spellStart"/>
      <w:r w:rsidRPr="00F03759">
        <w:rPr>
          <w:rFonts w:ascii="Arial" w:hAnsi="Arial" w:cs="Arial"/>
          <w:sz w:val="24"/>
          <w:lang w:val="it-IT"/>
        </w:rPr>
        <w:t>Italy</w:t>
      </w:r>
      <w:proofErr w:type="spellEnd"/>
    </w:p>
    <w:p w14:paraId="6223EE32" w14:textId="77777777" w:rsidR="00F03759" w:rsidRPr="00F03759" w:rsidRDefault="00F03759" w:rsidP="00F03759">
      <w:pPr>
        <w:autoSpaceDE w:val="0"/>
        <w:autoSpaceDN w:val="0"/>
        <w:adjustRightInd w:val="0"/>
        <w:spacing w:after="0" w:line="276" w:lineRule="auto"/>
        <w:ind w:left="720"/>
        <w:rPr>
          <w:rFonts w:ascii="Arial" w:hAnsi="Arial" w:cs="Arial"/>
          <w:sz w:val="24"/>
          <w:lang w:val="it-IT"/>
        </w:rPr>
      </w:pPr>
    </w:p>
    <w:p w14:paraId="1775DBDE" w14:textId="77777777" w:rsidR="00F03759" w:rsidRPr="000E39AA" w:rsidRDefault="00F03759" w:rsidP="00F03759">
      <w:pPr>
        <w:autoSpaceDE w:val="0"/>
        <w:autoSpaceDN w:val="0"/>
        <w:adjustRightInd w:val="0"/>
        <w:spacing w:after="0" w:line="276" w:lineRule="auto"/>
        <w:ind w:left="720"/>
        <w:rPr>
          <w:rFonts w:ascii="Arial" w:hAnsi="Arial" w:cs="Arial"/>
          <w:sz w:val="24"/>
        </w:rPr>
      </w:pPr>
      <w:r w:rsidRPr="000E39AA">
        <w:rPr>
          <w:rFonts w:ascii="Arial" w:hAnsi="Arial" w:cs="Arial"/>
          <w:sz w:val="24"/>
          <w:vertAlign w:val="superscript"/>
        </w:rPr>
        <w:t xml:space="preserve">2 </w:t>
      </w:r>
      <w:r w:rsidRPr="000E39AA">
        <w:rPr>
          <w:rFonts w:ascii="Arial" w:hAnsi="Arial" w:cs="Arial"/>
          <w:sz w:val="24"/>
        </w:rPr>
        <w:t>Department of Biology and Biotechnologies “Charles Darwin”, Sapienza University of Rome, Piazzale Aldo Moro 5, 00185 Rome, Italy</w:t>
      </w:r>
    </w:p>
    <w:p w14:paraId="1F80961D" w14:textId="77777777" w:rsidR="00F03759" w:rsidRPr="000E39AA" w:rsidRDefault="00F03759" w:rsidP="00F03759">
      <w:pPr>
        <w:autoSpaceDE w:val="0"/>
        <w:autoSpaceDN w:val="0"/>
        <w:adjustRightInd w:val="0"/>
        <w:spacing w:after="0" w:line="276" w:lineRule="auto"/>
        <w:ind w:left="720"/>
        <w:rPr>
          <w:rFonts w:ascii="Arial" w:hAnsi="Arial" w:cs="Arial"/>
          <w:sz w:val="24"/>
        </w:rPr>
      </w:pPr>
    </w:p>
    <w:p w14:paraId="230B8E6F" w14:textId="77777777" w:rsidR="00F03759" w:rsidRPr="000E39AA" w:rsidRDefault="00F03759" w:rsidP="00F03759">
      <w:pPr>
        <w:autoSpaceDE w:val="0"/>
        <w:autoSpaceDN w:val="0"/>
        <w:adjustRightInd w:val="0"/>
        <w:spacing w:after="0" w:line="276" w:lineRule="auto"/>
        <w:ind w:left="720"/>
        <w:rPr>
          <w:rFonts w:ascii="Arial" w:hAnsi="Arial" w:cs="Arial"/>
          <w:sz w:val="24"/>
        </w:rPr>
      </w:pPr>
      <w:r w:rsidRPr="000E39AA">
        <w:rPr>
          <w:rFonts w:ascii="Arial" w:hAnsi="Arial" w:cs="Arial"/>
          <w:sz w:val="24"/>
          <w:vertAlign w:val="superscript"/>
        </w:rPr>
        <w:t xml:space="preserve">3 </w:t>
      </w:r>
      <w:r w:rsidRPr="000E39AA">
        <w:rPr>
          <w:rFonts w:ascii="Arial" w:hAnsi="Arial" w:cs="Arial"/>
          <w:sz w:val="24"/>
        </w:rPr>
        <w:t>Department of Molecular Medicine, Sapienza University of Rome, Italy</w:t>
      </w:r>
    </w:p>
    <w:p w14:paraId="0D63FF23" w14:textId="77777777" w:rsidR="00F03759" w:rsidRPr="000E39AA" w:rsidRDefault="00F03759" w:rsidP="00F03759">
      <w:pPr>
        <w:autoSpaceDE w:val="0"/>
        <w:autoSpaceDN w:val="0"/>
        <w:adjustRightInd w:val="0"/>
        <w:spacing w:after="0" w:line="276" w:lineRule="auto"/>
        <w:ind w:left="720"/>
        <w:rPr>
          <w:rFonts w:ascii="Arial" w:hAnsi="Arial" w:cs="Arial"/>
          <w:sz w:val="24"/>
        </w:rPr>
      </w:pPr>
    </w:p>
    <w:p w14:paraId="503F87C7" w14:textId="77777777" w:rsidR="00F03759" w:rsidRPr="000E39AA" w:rsidRDefault="00F03759" w:rsidP="00F03759">
      <w:pPr>
        <w:autoSpaceDE w:val="0"/>
        <w:autoSpaceDN w:val="0"/>
        <w:adjustRightInd w:val="0"/>
        <w:spacing w:after="0" w:line="276" w:lineRule="auto"/>
        <w:ind w:left="720"/>
        <w:rPr>
          <w:rFonts w:ascii="Arial" w:hAnsi="Arial" w:cs="Arial"/>
          <w:sz w:val="24"/>
        </w:rPr>
      </w:pPr>
      <w:r w:rsidRPr="000E39AA">
        <w:rPr>
          <w:rFonts w:ascii="Arial" w:hAnsi="Arial" w:cs="Arial"/>
          <w:sz w:val="24"/>
          <w:vertAlign w:val="superscript"/>
        </w:rPr>
        <w:t xml:space="preserve">4 </w:t>
      </w:r>
      <w:r w:rsidRPr="000E39AA">
        <w:rPr>
          <w:rFonts w:ascii="Arial" w:hAnsi="Arial" w:cs="Arial"/>
          <w:sz w:val="24"/>
        </w:rPr>
        <w:t>Bone and Joint Research Group, Centre for Human Development, Stem Cells and Regeneration, Institute of Developmental Sciences, University of Southampton, Southampton, United Kingdom</w:t>
      </w:r>
    </w:p>
    <w:p w14:paraId="3048C1A0" w14:textId="77777777" w:rsidR="00F03759" w:rsidRPr="000E39AA" w:rsidRDefault="00F03759" w:rsidP="00F03759">
      <w:pPr>
        <w:autoSpaceDE w:val="0"/>
        <w:autoSpaceDN w:val="0"/>
        <w:adjustRightInd w:val="0"/>
        <w:spacing w:after="0" w:line="276" w:lineRule="auto"/>
        <w:rPr>
          <w:rFonts w:ascii="Arial" w:hAnsi="Arial" w:cs="Arial"/>
          <w:sz w:val="24"/>
        </w:rPr>
      </w:pPr>
    </w:p>
    <w:p w14:paraId="7238D2EA" w14:textId="77777777" w:rsidR="00F03759" w:rsidRPr="000E39AA" w:rsidRDefault="00F03759" w:rsidP="00F03759">
      <w:pPr>
        <w:autoSpaceDE w:val="0"/>
        <w:autoSpaceDN w:val="0"/>
        <w:adjustRightInd w:val="0"/>
        <w:spacing w:after="0" w:line="276" w:lineRule="auto"/>
        <w:jc w:val="both"/>
        <w:rPr>
          <w:rFonts w:ascii="Arial" w:hAnsi="Arial" w:cs="Arial"/>
          <w:sz w:val="24"/>
        </w:rPr>
      </w:pPr>
    </w:p>
    <w:p w14:paraId="372D7C07" w14:textId="77777777" w:rsidR="00DD1D16" w:rsidRPr="009955DF" w:rsidRDefault="00DD1D16" w:rsidP="00DD1D16">
      <w:pPr>
        <w:spacing w:line="276" w:lineRule="auto"/>
        <w:rPr>
          <w:rFonts w:ascii="Arial" w:hAnsi="Arial" w:cs="Arial"/>
          <w:iCs/>
          <w:szCs w:val="28"/>
        </w:rPr>
      </w:pPr>
      <w:r w:rsidRPr="009955DF">
        <w:rPr>
          <w:rFonts w:ascii="Arial" w:hAnsi="Arial" w:cs="Arial"/>
          <w:i/>
          <w:szCs w:val="28"/>
        </w:rPr>
        <w:t xml:space="preserve">Keywords: </w:t>
      </w:r>
      <w:r w:rsidRPr="009955DF">
        <w:rPr>
          <w:rFonts w:ascii="Arial" w:hAnsi="Arial" w:cs="Arial"/>
          <w:iCs/>
          <w:szCs w:val="28"/>
        </w:rPr>
        <w:t xml:space="preserve">bone pain, </w:t>
      </w:r>
      <w:r w:rsidRPr="009955DF">
        <w:rPr>
          <w:rFonts w:ascii="Arial" w:hAnsi="Arial" w:cs="Arial"/>
          <w:i/>
          <w:szCs w:val="28"/>
        </w:rPr>
        <w:t xml:space="preserve">in vitro </w:t>
      </w:r>
      <w:r w:rsidRPr="009955DF">
        <w:rPr>
          <w:rFonts w:ascii="Arial" w:hAnsi="Arial" w:cs="Arial"/>
          <w:iCs/>
          <w:szCs w:val="28"/>
        </w:rPr>
        <w:t xml:space="preserve">models, fracture, </w:t>
      </w:r>
      <w:r>
        <w:rPr>
          <w:rFonts w:ascii="Arial" w:hAnsi="Arial" w:cs="Arial"/>
          <w:iCs/>
          <w:szCs w:val="28"/>
        </w:rPr>
        <w:t xml:space="preserve">nerve, </w:t>
      </w:r>
      <w:r w:rsidRPr="009955DF">
        <w:rPr>
          <w:rFonts w:ascii="Arial" w:hAnsi="Arial" w:cs="Arial"/>
          <w:iCs/>
          <w:szCs w:val="28"/>
        </w:rPr>
        <w:t>bone cancer</w:t>
      </w:r>
    </w:p>
    <w:p w14:paraId="18797847" w14:textId="77777777" w:rsidR="00F03759" w:rsidRPr="000E39AA" w:rsidRDefault="00F03759" w:rsidP="00F03759">
      <w:pPr>
        <w:spacing w:line="276" w:lineRule="auto"/>
        <w:rPr>
          <w:rFonts w:ascii="Arial" w:hAnsi="Arial" w:cs="Arial"/>
          <w:b/>
          <w:color w:val="002060"/>
        </w:rPr>
      </w:pPr>
    </w:p>
    <w:p w14:paraId="42E5FDA4" w14:textId="77777777" w:rsidR="000330F1" w:rsidRPr="000E39AA" w:rsidRDefault="000330F1" w:rsidP="00F03759">
      <w:pPr>
        <w:spacing w:line="276" w:lineRule="auto"/>
        <w:rPr>
          <w:rFonts w:ascii="Arial" w:hAnsi="Arial" w:cs="Arial"/>
          <w:b/>
          <w:color w:val="002060"/>
        </w:rPr>
      </w:pPr>
    </w:p>
    <w:p w14:paraId="4EEF94FC" w14:textId="77777777" w:rsidR="00C84911" w:rsidRDefault="00C84911" w:rsidP="00C84911">
      <w:pPr>
        <w:spacing w:line="276" w:lineRule="auto"/>
        <w:jc w:val="both"/>
        <w:rPr>
          <w:rFonts w:ascii="Arial" w:hAnsi="Arial" w:cs="Arial"/>
          <w:sz w:val="24"/>
        </w:rPr>
      </w:pPr>
      <w:r w:rsidRPr="000E39AA">
        <w:rPr>
          <w:rFonts w:ascii="Arial" w:hAnsi="Arial" w:cs="Arial"/>
          <w:sz w:val="24"/>
        </w:rPr>
        <w:t>*Corresponding author</w:t>
      </w:r>
      <w:r>
        <w:rPr>
          <w:rFonts w:ascii="Arial" w:hAnsi="Arial" w:cs="Arial"/>
          <w:sz w:val="24"/>
        </w:rPr>
        <w:t xml:space="preserve">. Gianluca Cidonio, PhD. </w:t>
      </w:r>
    </w:p>
    <w:p w14:paraId="1C1A1F52" w14:textId="406246D3" w:rsidR="00C84911" w:rsidRDefault="00C84911" w:rsidP="00C84911">
      <w:pPr>
        <w:spacing w:line="276" w:lineRule="auto"/>
        <w:jc w:val="both"/>
        <w:rPr>
          <w:rFonts w:ascii="Arial" w:hAnsi="Arial" w:cs="Arial"/>
          <w:sz w:val="24"/>
        </w:rPr>
      </w:pPr>
      <w:r w:rsidRPr="000E39AA">
        <w:rPr>
          <w:rFonts w:ascii="Arial" w:hAnsi="Arial" w:cs="Arial"/>
          <w:sz w:val="24"/>
        </w:rPr>
        <w:t xml:space="preserve">Tel.: +39 06 49255207 </w:t>
      </w:r>
    </w:p>
    <w:p w14:paraId="31305326" w14:textId="77777777" w:rsidR="00C84911" w:rsidRPr="000E39AA" w:rsidRDefault="00C84911" w:rsidP="00C84911">
      <w:pPr>
        <w:spacing w:line="276" w:lineRule="auto"/>
        <w:jc w:val="both"/>
        <w:rPr>
          <w:rFonts w:ascii="Arial" w:hAnsi="Arial" w:cs="Arial"/>
          <w:sz w:val="24"/>
        </w:rPr>
      </w:pPr>
      <w:r w:rsidRPr="000E39AA">
        <w:rPr>
          <w:rFonts w:ascii="Arial" w:hAnsi="Arial" w:cs="Arial"/>
          <w:i/>
          <w:sz w:val="24"/>
        </w:rPr>
        <w:t>Email address</w:t>
      </w:r>
      <w:r w:rsidRPr="000E39AA">
        <w:rPr>
          <w:rFonts w:ascii="Arial" w:hAnsi="Arial" w:cs="Arial"/>
          <w:sz w:val="24"/>
        </w:rPr>
        <w:t>: gianluca.cidonio@iit.it,</w:t>
      </w:r>
    </w:p>
    <w:p w14:paraId="4F11B860" w14:textId="4433395D" w:rsidR="00F03759" w:rsidRDefault="00F03759" w:rsidP="00F03759">
      <w:pPr>
        <w:spacing w:line="276" w:lineRule="auto"/>
        <w:rPr>
          <w:rFonts w:ascii="Arial" w:hAnsi="Arial" w:cs="Arial"/>
          <w:bCs/>
        </w:rPr>
      </w:pPr>
    </w:p>
    <w:p w14:paraId="7C2C72C8" w14:textId="77777777" w:rsidR="00C84911" w:rsidRPr="00C84911" w:rsidRDefault="00C84911" w:rsidP="00F03759">
      <w:pPr>
        <w:spacing w:line="276" w:lineRule="auto"/>
        <w:rPr>
          <w:rFonts w:ascii="Arial" w:hAnsi="Arial" w:cs="Arial"/>
          <w:bCs/>
        </w:rPr>
      </w:pPr>
    </w:p>
    <w:p w14:paraId="75DB1AC8" w14:textId="77777777" w:rsidR="00F03759" w:rsidRPr="000E39AA" w:rsidRDefault="00F03759" w:rsidP="00F03759">
      <w:pPr>
        <w:spacing w:line="276" w:lineRule="auto"/>
        <w:rPr>
          <w:rFonts w:ascii="Arial" w:hAnsi="Arial" w:cs="Arial"/>
          <w:b/>
          <w:color w:val="002060"/>
        </w:rPr>
      </w:pPr>
    </w:p>
    <w:p w14:paraId="719F57AD" w14:textId="66FBF48E" w:rsidR="00F03759" w:rsidRDefault="00F03759" w:rsidP="00F03759">
      <w:pPr>
        <w:spacing w:line="276" w:lineRule="auto"/>
        <w:rPr>
          <w:rFonts w:ascii="Arial" w:hAnsi="Arial" w:cs="Arial"/>
          <w:b/>
          <w:color w:val="002060"/>
        </w:rPr>
      </w:pPr>
    </w:p>
    <w:p w14:paraId="6AE1C785" w14:textId="72B034A5" w:rsidR="00DD1D16" w:rsidRDefault="00DD1D16" w:rsidP="00F03759">
      <w:pPr>
        <w:spacing w:line="276" w:lineRule="auto"/>
        <w:rPr>
          <w:rFonts w:ascii="Arial" w:hAnsi="Arial" w:cs="Arial"/>
          <w:b/>
          <w:color w:val="002060"/>
        </w:rPr>
      </w:pPr>
    </w:p>
    <w:p w14:paraId="6CE09D8B" w14:textId="0008C43A" w:rsidR="00DD1D16" w:rsidRDefault="00DD1D16" w:rsidP="00F03759">
      <w:pPr>
        <w:spacing w:line="276" w:lineRule="auto"/>
        <w:rPr>
          <w:rFonts w:ascii="Arial" w:hAnsi="Arial" w:cs="Arial"/>
          <w:b/>
          <w:color w:val="002060"/>
        </w:rPr>
      </w:pPr>
    </w:p>
    <w:p w14:paraId="6B5C99BE" w14:textId="5A830276" w:rsidR="00DD1D16" w:rsidRDefault="00DD1D16" w:rsidP="00F03759">
      <w:pPr>
        <w:spacing w:line="276" w:lineRule="auto"/>
        <w:rPr>
          <w:rFonts w:ascii="Arial" w:hAnsi="Arial" w:cs="Arial"/>
          <w:b/>
          <w:color w:val="002060"/>
        </w:rPr>
      </w:pPr>
    </w:p>
    <w:p w14:paraId="6F025AD5" w14:textId="2F2DC839" w:rsidR="00DD1D16" w:rsidRDefault="00DD1D16" w:rsidP="00F03759">
      <w:pPr>
        <w:spacing w:line="276" w:lineRule="auto"/>
        <w:rPr>
          <w:rFonts w:ascii="Arial" w:hAnsi="Arial" w:cs="Arial"/>
          <w:b/>
          <w:color w:val="002060"/>
        </w:rPr>
      </w:pPr>
    </w:p>
    <w:p w14:paraId="0A670BE0" w14:textId="2E3F49B2" w:rsidR="001552A3" w:rsidRDefault="001552A3" w:rsidP="00F03759">
      <w:pPr>
        <w:spacing w:line="276" w:lineRule="auto"/>
        <w:rPr>
          <w:rFonts w:ascii="Arial" w:hAnsi="Arial" w:cs="Arial"/>
          <w:b/>
          <w:color w:val="002060"/>
        </w:rPr>
      </w:pPr>
    </w:p>
    <w:p w14:paraId="4CFB09C7" w14:textId="77777777" w:rsidR="001552A3" w:rsidRPr="000E39AA" w:rsidRDefault="001552A3" w:rsidP="00F03759">
      <w:pPr>
        <w:spacing w:line="276" w:lineRule="auto"/>
        <w:rPr>
          <w:rFonts w:ascii="Arial" w:hAnsi="Arial" w:cs="Arial"/>
          <w:b/>
          <w:color w:val="002060"/>
        </w:rPr>
      </w:pPr>
    </w:p>
    <w:p w14:paraId="08F36CC8" w14:textId="77777777" w:rsidR="00F03759" w:rsidRPr="000E39AA" w:rsidRDefault="00F03759" w:rsidP="00F03759">
      <w:pPr>
        <w:spacing w:line="276" w:lineRule="auto"/>
        <w:rPr>
          <w:rFonts w:ascii="Arial" w:hAnsi="Arial" w:cs="Arial"/>
          <w:b/>
          <w:color w:val="002060"/>
        </w:rPr>
      </w:pPr>
    </w:p>
    <w:p w14:paraId="41B46C16" w14:textId="77777777" w:rsidR="00F03759" w:rsidRPr="000E39AA" w:rsidRDefault="00F03759" w:rsidP="007478CE">
      <w:pPr>
        <w:pStyle w:val="Heading2"/>
        <w:numPr>
          <w:ilvl w:val="0"/>
          <w:numId w:val="0"/>
        </w:numPr>
        <w:ind w:left="360"/>
      </w:pPr>
      <w:bookmarkStart w:id="0" w:name="_Toc98937862"/>
      <w:r w:rsidRPr="000E39AA">
        <w:lastRenderedPageBreak/>
        <w:t>Abstract</w:t>
      </w:r>
      <w:bookmarkEnd w:id="0"/>
    </w:p>
    <w:p w14:paraId="41A371F1" w14:textId="77777777" w:rsidR="00F03759" w:rsidRPr="000E39AA" w:rsidRDefault="00F03759" w:rsidP="00F03759">
      <w:pPr>
        <w:spacing w:line="276" w:lineRule="auto"/>
        <w:jc w:val="both"/>
        <w:rPr>
          <w:rFonts w:ascii="Arial" w:hAnsi="Arial" w:cs="Arial"/>
        </w:rPr>
      </w:pPr>
    </w:p>
    <w:p w14:paraId="3656FE3F" w14:textId="71DB0BB5" w:rsidR="00F03759" w:rsidRPr="000E39AA" w:rsidRDefault="00F03759" w:rsidP="00F03759">
      <w:pPr>
        <w:autoSpaceDE w:val="0"/>
        <w:autoSpaceDN w:val="0"/>
        <w:adjustRightInd w:val="0"/>
        <w:spacing w:after="0" w:line="276" w:lineRule="auto"/>
        <w:jc w:val="both"/>
        <w:rPr>
          <w:rFonts w:ascii="Arial" w:hAnsi="Arial" w:cs="Arial"/>
        </w:rPr>
      </w:pPr>
      <w:r w:rsidRPr="000E39AA">
        <w:rPr>
          <w:rFonts w:ascii="Arial" w:hAnsi="Arial" w:cs="Arial"/>
        </w:rPr>
        <w:t xml:space="preserve">Bone pain typically occurs immediately following skeletal damage with mechanical distortion or rupture of nociceptive fibres. The pain mechanism is also associated with chronic pain conditions where the healing process is impaired. Any load impacting on the area of ​​the fractured bone will </w:t>
      </w:r>
      <w:r w:rsidR="00B710AE">
        <w:rPr>
          <w:rFonts w:ascii="Arial" w:hAnsi="Arial" w:cs="Arial"/>
        </w:rPr>
        <w:t>stimulate</w:t>
      </w:r>
      <w:r w:rsidRPr="000E39AA">
        <w:rPr>
          <w:rFonts w:ascii="Arial" w:hAnsi="Arial" w:cs="Arial"/>
        </w:rPr>
        <w:t xml:space="preserve"> the nociceptive response</w:t>
      </w:r>
      <w:r w:rsidR="005772E7">
        <w:rPr>
          <w:rFonts w:ascii="Arial" w:hAnsi="Arial" w:cs="Arial"/>
        </w:rPr>
        <w:t>,</w:t>
      </w:r>
      <w:r w:rsidRPr="000E39AA">
        <w:rPr>
          <w:rFonts w:ascii="Arial" w:hAnsi="Arial" w:cs="Arial"/>
        </w:rPr>
        <w:t xml:space="preserve"> necessitating rapid clinical intervention to relieve pain associated with the bone damage and appropriate mitigation of any processes </w:t>
      </w:r>
      <w:r w:rsidR="005772E7">
        <w:rPr>
          <w:rFonts w:ascii="Arial" w:hAnsi="Arial" w:cs="Arial"/>
        </w:rPr>
        <w:t>involved</w:t>
      </w:r>
      <w:r w:rsidRPr="000E39AA">
        <w:rPr>
          <w:rFonts w:ascii="Arial" w:hAnsi="Arial" w:cs="Arial"/>
        </w:rPr>
        <w:t xml:space="preserve"> with the loss of bone mass, muscle, mobility and, to prevent death. </w:t>
      </w:r>
    </w:p>
    <w:p w14:paraId="42648C9B" w14:textId="3EA1D56F" w:rsidR="00F03759" w:rsidRPr="000E39AA" w:rsidRDefault="00F03759" w:rsidP="00F03759">
      <w:pPr>
        <w:spacing w:line="276" w:lineRule="auto"/>
        <w:jc w:val="both"/>
        <w:rPr>
          <w:rFonts w:ascii="Arial" w:hAnsi="Arial" w:cs="Arial"/>
        </w:rPr>
      </w:pPr>
      <w:r w:rsidRPr="000E39AA">
        <w:rPr>
          <w:rFonts w:ascii="Arial" w:hAnsi="Arial" w:cs="Arial"/>
        </w:rPr>
        <w:t xml:space="preserve">The following review has examined the mechanisms of pain associated with trauma or cancer-related skeletal damage focusing on new approaches for the development of innovative therapeutic interventions. In particular, the review highlights tissue engineering approaches </w:t>
      </w:r>
      <w:bookmarkStart w:id="1" w:name="_Hlk98938611"/>
      <w:r w:rsidRPr="000E39AA">
        <w:rPr>
          <w:rFonts w:ascii="Arial" w:hAnsi="Arial" w:cs="Arial"/>
        </w:rPr>
        <w:t xml:space="preserve">that offer considerable promise in the application of </w:t>
      </w:r>
      <w:bookmarkEnd w:id="1"/>
      <w:r w:rsidRPr="000E39AA">
        <w:rPr>
          <w:rFonts w:ascii="Arial" w:hAnsi="Arial" w:cs="Arial"/>
        </w:rPr>
        <w:t xml:space="preserve">functional biomimetic fabrication of bone and nerve tissues. The strategic combination of bone and nerve tissue engineered models </w:t>
      </w:r>
      <w:r w:rsidR="005772E7">
        <w:rPr>
          <w:rFonts w:ascii="Arial" w:hAnsi="Arial" w:cs="Arial"/>
        </w:rPr>
        <w:t>provides</w:t>
      </w:r>
      <w:r w:rsidRPr="000E39AA">
        <w:rPr>
          <w:rFonts w:ascii="Arial" w:hAnsi="Arial" w:cs="Arial"/>
        </w:rPr>
        <w:t xml:space="preserve"> significant potential to develop a new class of </w:t>
      </w:r>
      <w:r w:rsidRPr="000E39AA">
        <w:rPr>
          <w:rFonts w:ascii="Arial" w:hAnsi="Arial" w:cs="Arial"/>
          <w:i/>
          <w:iCs/>
        </w:rPr>
        <w:t>in vitro</w:t>
      </w:r>
      <w:r w:rsidRPr="000E39AA">
        <w:rPr>
          <w:rFonts w:ascii="Arial" w:hAnsi="Arial" w:cs="Arial"/>
        </w:rPr>
        <w:t xml:space="preserve"> platforms, capable of replacing </w:t>
      </w:r>
      <w:r w:rsidRPr="000E39AA">
        <w:rPr>
          <w:rFonts w:ascii="Arial" w:hAnsi="Arial" w:cs="Arial"/>
          <w:i/>
          <w:iCs/>
        </w:rPr>
        <w:t>in vivo</w:t>
      </w:r>
      <w:r w:rsidRPr="000E39AA">
        <w:rPr>
          <w:rFonts w:ascii="Arial" w:hAnsi="Arial" w:cs="Arial"/>
        </w:rPr>
        <w:t xml:space="preserve"> models and testing the safety and efficacy of novel drug treatments aimed at the resolution of bone-associated pain. To date, the field of bone pain research has centred on animal models, with a paucity of data correlating to the human physiological response. This review explores the evident gap in pain drug development research and suggests a step change in approach to harness tissue engineering technologies to recapitulate the complex pathophysiological environment of the damaged bone tissue enabling evaluation of the associated pain-mimicking mechanism with</w:t>
      </w:r>
      <w:r w:rsidR="00B710AE">
        <w:rPr>
          <w:rFonts w:ascii="Arial" w:hAnsi="Arial" w:cs="Arial"/>
        </w:rPr>
        <w:t xml:space="preserve"> </w:t>
      </w:r>
      <w:r w:rsidRPr="000E39AA">
        <w:rPr>
          <w:rFonts w:ascii="Arial" w:hAnsi="Arial" w:cs="Arial"/>
        </w:rPr>
        <w:t xml:space="preserve">significant therapeutic potential therein for improved patient quality of life. </w:t>
      </w:r>
    </w:p>
    <w:p w14:paraId="2672E85B" w14:textId="77777777" w:rsidR="00F03759" w:rsidRPr="000E39AA" w:rsidRDefault="00F03759" w:rsidP="00F03759">
      <w:pPr>
        <w:spacing w:line="276" w:lineRule="auto"/>
        <w:jc w:val="both"/>
        <w:rPr>
          <w:rFonts w:ascii="Arial" w:hAnsi="Arial" w:cs="Arial"/>
        </w:rPr>
      </w:pPr>
    </w:p>
    <w:p w14:paraId="02BDFF89" w14:textId="004C6CFA" w:rsidR="00CC5B90" w:rsidRPr="000E39AA" w:rsidRDefault="001301CD" w:rsidP="00CC5B90">
      <w:pPr>
        <w:keepNext/>
        <w:autoSpaceDE w:val="0"/>
        <w:autoSpaceDN w:val="0"/>
        <w:adjustRightInd w:val="0"/>
        <w:spacing w:after="0" w:line="276" w:lineRule="auto"/>
        <w:jc w:val="center"/>
      </w:pPr>
      <w:r>
        <w:rPr>
          <w:noProof/>
        </w:rPr>
        <w:drawing>
          <wp:inline distT="0" distB="0" distL="0" distR="0" wp14:anchorId="26CC4A8C" wp14:editId="6EBDBEC5">
            <wp:extent cx="5724525" cy="273367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24525" cy="2733675"/>
                    </a:xfrm>
                    <a:prstGeom prst="rect">
                      <a:avLst/>
                    </a:prstGeom>
                    <a:noFill/>
                    <a:ln>
                      <a:noFill/>
                    </a:ln>
                  </pic:spPr>
                </pic:pic>
              </a:graphicData>
            </a:graphic>
          </wp:inline>
        </w:drawing>
      </w:r>
    </w:p>
    <w:p w14:paraId="6FE35C1C" w14:textId="56941E2F" w:rsidR="00BC139B" w:rsidRPr="000E39AA" w:rsidRDefault="00BC139B" w:rsidP="00BC139B">
      <w:pPr>
        <w:pStyle w:val="Caption"/>
        <w:jc w:val="both"/>
        <w:rPr>
          <w:rFonts w:ascii="Arial" w:hAnsi="Arial" w:cs="Arial"/>
        </w:rPr>
      </w:pPr>
      <w:r>
        <w:rPr>
          <w:rFonts w:ascii="Arial" w:hAnsi="Arial" w:cs="Arial"/>
          <w:b/>
          <w:bCs/>
          <w:i w:val="0"/>
          <w:iCs w:val="0"/>
          <w:color w:val="auto"/>
        </w:rPr>
        <w:t>Graphical Abstract</w:t>
      </w:r>
      <w:r w:rsidRPr="004A37CC">
        <w:rPr>
          <w:rFonts w:ascii="Arial" w:hAnsi="Arial" w:cs="Arial"/>
          <w:b/>
          <w:bCs/>
          <w:i w:val="0"/>
          <w:iCs w:val="0"/>
          <w:color w:val="auto"/>
        </w:rPr>
        <w:t>.</w:t>
      </w:r>
      <w:r w:rsidRPr="004A37CC">
        <w:rPr>
          <w:rFonts w:ascii="Arial" w:eastAsiaTheme="minorEastAsia" w:hAnsi="Arial" w:cs="Arial"/>
          <w:i w:val="0"/>
          <w:iCs w:val="0"/>
          <w:color w:val="auto"/>
          <w:kern w:val="24"/>
          <w:lang w:eastAsia="en-GB"/>
        </w:rPr>
        <w:t xml:space="preserve"> </w:t>
      </w:r>
      <w:r w:rsidRPr="004A37CC">
        <w:rPr>
          <w:rFonts w:ascii="Arial" w:hAnsi="Arial" w:cs="Arial"/>
          <w:i w:val="0"/>
          <w:iCs w:val="0"/>
          <w:color w:val="auto"/>
        </w:rPr>
        <w:t xml:space="preserve">Rationale underlying novel drug testing platform development. Pain detected by the central nervous system and following bone fracture cannot be treated or exclusively alleviated using standardised methods. The pain mechanism and specificity/efficacy of pain reduction drugs remain poorly understood. </w:t>
      </w:r>
      <w:r w:rsidRPr="004A37CC">
        <w:rPr>
          <w:rFonts w:ascii="Arial" w:hAnsi="Arial"/>
          <w:color w:val="auto"/>
          <w:szCs w:val="16"/>
        </w:rPr>
        <w:t>In vivo</w:t>
      </w:r>
      <w:r w:rsidRPr="004A37CC">
        <w:rPr>
          <w:rFonts w:ascii="Arial" w:hAnsi="Arial" w:cs="Arial"/>
          <w:i w:val="0"/>
          <w:iCs w:val="0"/>
          <w:color w:val="auto"/>
        </w:rPr>
        <w:t xml:space="preserve"> and </w:t>
      </w:r>
      <w:r w:rsidRPr="004A37CC">
        <w:rPr>
          <w:rFonts w:ascii="Arial" w:hAnsi="Arial"/>
          <w:color w:val="auto"/>
          <w:szCs w:val="16"/>
        </w:rPr>
        <w:t>ex vivo</w:t>
      </w:r>
      <w:r w:rsidRPr="004A37CC">
        <w:rPr>
          <w:rFonts w:ascii="Arial" w:hAnsi="Arial" w:cs="Arial"/>
          <w:i w:val="0"/>
          <w:iCs w:val="0"/>
          <w:color w:val="auto"/>
        </w:rPr>
        <w:t xml:space="preserve"> models are not yet able to recapitulate the various pain events associated with skeletal damage. </w:t>
      </w:r>
      <w:r w:rsidRPr="004A37CC">
        <w:rPr>
          <w:rFonts w:ascii="Arial" w:hAnsi="Arial" w:cs="Arial"/>
          <w:color w:val="auto"/>
        </w:rPr>
        <w:t>In vitro</w:t>
      </w:r>
      <w:r w:rsidRPr="004A37CC">
        <w:rPr>
          <w:rFonts w:ascii="Arial" w:hAnsi="Arial" w:cs="Arial"/>
          <w:i w:val="0"/>
          <w:iCs w:val="0"/>
          <w:color w:val="auto"/>
        </w:rPr>
        <w:t xml:space="preserve"> models are currently limited by their inability to fully mimic the complex physiological mechanisms at play between nervous and skeletal tissue and any disruption in pathological states. Robust innovative</w:t>
      </w:r>
      <w:r>
        <w:rPr>
          <w:rFonts w:ascii="Arial" w:hAnsi="Arial" w:cs="Arial"/>
          <w:i w:val="0"/>
          <w:iCs w:val="0"/>
          <w:color w:val="auto"/>
        </w:rPr>
        <w:t xml:space="preserve"> tissue engineering</w:t>
      </w:r>
      <w:r w:rsidRPr="004A37CC">
        <w:rPr>
          <w:rFonts w:ascii="Arial" w:hAnsi="Arial" w:cs="Arial"/>
          <w:i w:val="0"/>
          <w:iCs w:val="0"/>
          <w:color w:val="auto"/>
        </w:rPr>
        <w:t xml:space="preserve"> models are needed to better understand pain events and to investigate therapeutic regimes</w:t>
      </w:r>
    </w:p>
    <w:p w14:paraId="628387BF" w14:textId="6AFBA6C4" w:rsidR="009A7000" w:rsidRDefault="009A7000" w:rsidP="009A7000">
      <w:pPr>
        <w:rPr>
          <w:lang w:eastAsia="en-GB"/>
        </w:rPr>
      </w:pPr>
    </w:p>
    <w:p w14:paraId="666F230B" w14:textId="77777777" w:rsidR="00F03759" w:rsidRPr="000E39AA" w:rsidRDefault="00F03759" w:rsidP="007478CE">
      <w:pPr>
        <w:pStyle w:val="Heading2"/>
      </w:pPr>
      <w:bookmarkStart w:id="2" w:name="_Toc98841717"/>
      <w:bookmarkStart w:id="3" w:name="_Toc98937863"/>
      <w:bookmarkEnd w:id="2"/>
      <w:r w:rsidRPr="000E39AA">
        <w:lastRenderedPageBreak/>
        <w:t>Introduction</w:t>
      </w:r>
      <w:bookmarkEnd w:id="3"/>
    </w:p>
    <w:p w14:paraId="50A057F4" w14:textId="77777777" w:rsidR="00F03759" w:rsidRPr="000E39AA" w:rsidRDefault="00F03759" w:rsidP="00F03759">
      <w:pPr>
        <w:pStyle w:val="TOC7"/>
        <w:spacing w:line="276" w:lineRule="auto"/>
        <w:rPr>
          <w:rFonts w:ascii="Arial" w:hAnsi="Arial" w:cs="Arial"/>
        </w:rPr>
      </w:pPr>
      <w:bookmarkStart w:id="4" w:name="_Hlk83701369"/>
    </w:p>
    <w:p w14:paraId="325B0841" w14:textId="37E8AA06" w:rsidR="00F03759" w:rsidRPr="000E39AA" w:rsidRDefault="00F03759" w:rsidP="00F03759">
      <w:pPr>
        <w:autoSpaceDE w:val="0"/>
        <w:autoSpaceDN w:val="0"/>
        <w:adjustRightInd w:val="0"/>
        <w:spacing w:line="276" w:lineRule="auto"/>
        <w:jc w:val="both"/>
        <w:rPr>
          <w:rFonts w:ascii="Arial" w:hAnsi="Arial" w:cs="Arial"/>
        </w:rPr>
      </w:pPr>
      <w:r w:rsidRPr="000E39AA">
        <w:rPr>
          <w:rFonts w:ascii="Arial" w:hAnsi="Arial" w:cs="Arial"/>
        </w:rPr>
        <w:t xml:space="preserve">The increase in life expectancy as a consequence of medical advances over the past decades has  also heralded an emergence of pathologies correlated to the ageing demographic </w:t>
      </w:r>
      <w:r w:rsidRPr="000E39AA">
        <w:rPr>
          <w:rFonts w:ascii="Arial" w:hAnsi="Arial" w:cs="Arial"/>
        </w:rPr>
        <w:fldChar w:fldCharType="begin" w:fldLock="1"/>
      </w:r>
      <w:r w:rsidR="000D250C">
        <w:rPr>
          <w:rFonts w:ascii="Arial" w:hAnsi="Arial" w:cs="Arial"/>
        </w:rPr>
        <w:instrText>ADDIN CSL_CITATION {"citationItems":[{"id":"ITEM-1","itemData":{"DOI":"10.1016/j.bone.2016.01.026","ISSN":"87563282","PMID":"26851411","abstract":"An increase of fracture incidence is expected for the next decades, mostly due to the undeniable increase of osteoporotic fractures, associated with the rapid population ageing. The rise in sports-related fractures affecting the young and active population also contributes to this increased fracture incidence, and further amplifies the economical burden of fractures. Fracture often results in severe pain, which is a primary symptom to be treated, not only to guarantee individual's wellbeing, but also because an efficient management of fracture pain is mandatory to ensure proper bone healing. Here, we review the available data on bone innervation and its response to fracture, and discuss putative mechanisms of fracture pain signaling. In addition, the common therapeutic approaches to treat fracture pain are discussed. Although there is still much to learn, research in fracture pain has allowed an initial insight into the mechanisms involved. During the inflammatory response to fracture, several mediators are released and will putatively activate and sensitize primary sensory neurons, in parallel, intense nerve sprouting that occurs in the fracture callus area is also suggested to be involved in pain signaling. The establishment of hyperalgesia and allodynia after fracture indicates the development of peripheral and central sensitization, still, the underlying mechanisms are largely unknown. A major concern during the treatment of fracture pain needs to be the preservation of proper bone healing. However, the most common therapeutic agents, NSAIDS and opiates, can cause significant side effects that include fracture repair impairment. The understanding of the mechanisms of fracture pain signaling will allow the development of mechanisms-based therapies to effectively and safely manage fracture pain.","author":[{"dropping-particle":"","family":"Alves","given":"Cecília J.","non-dropping-particle":"","parse-names":false,"suffix":""},{"dropping-particle":"","family":"Neto","given":"Estrela","non-dropping-particle":"","parse-names":false,"suffix":""},{"dropping-particle":"","family":"Sousa","given":"Daniela M.","non-dropping-particle":"","parse-names":false,"suffix":""},{"dropping-particle":"","family":"Leitão","given":"Luís","non-dropping-particle":"","parse-names":false,"suffix":""},{"dropping-particle":"","family":"Vasconcelos","given":"Daniel M.","non-dropping-particle":"","parse-names":false,"suffix":""},{"dropping-particle":"","family":"Ribeiro-Silva","given":"Manuel","non-dropping-particle":"","parse-names":false,"suffix":""},{"dropping-particle":"","family":"Alencastre","given":"Inês S.","non-dropping-particle":"","parse-names":false,"suffix":""},{"dropping-particle":"","family":"Lamghari","given":"Meriem","non-dropping-particle":"","parse-names":false,"suffix":""}],"container-title":"Bone","id":"ITEM-1","issued":{"date-parts":[["2016"]]},"page":"107-114","publisher":"Elsevier Inc.","title":"Fracture pain-Traveling unknown pathways","type":"article-journal","volume":"85"},"uris":["http://www.mendeley.com/documents/?uuid=fd725a60-ebf5-4df4-8595-86e687dd854f"]},{"id":"ITEM-2","itemData":{"DOI":"10.1002/ijc.33114","ISSN":"10970215","PMID":"32449164","abstract":"Economic and living conditions have improved over time in most countries, although often in association with detrimental lifestyle and environmental changes that are major determinants of cancer. In this ecological study, we assess the association between national socioeconomic levels and incidence and mortality rates for all cancers combined and 27 cancer types, in 175 countries. We obtained national level cancer incidence and mortality estimates for 2018 from GLOBOCAN and computed an index of socioeconomic development based on national education and income levels extracted from the United Nations Development Programme. Cancer incidence rates are strongly positively associated with the national socioeconomic level for all cancers combined and for a large number of cancer types, in both sexes. Conversely, the association between socioeconomic development and cancer mortality rates is less clear. The most common pattern for type-specific cancers is an increasing incidence rate with a relatively stable mortality rate as socioeconomic development increases. Despite the high incidence rates for many cancer types, mortality rates are relatively low in high-income countries, partly due to the availability of early detection and effective treatments. As socioeconomic development continues to rise, countries with currently low- and medium-development levels may experience large increases in the incidence of several cancers. Given the limited resources and lack of infrastructure, increases in incidence rates in low-income countries will likely be paralleled by increases in mortality rates. Efforts to plan, implement and evaluate prevention programs must therefore be considered as greater priorities in Low- and Middle-income countries.","author":[{"dropping-particle":"","family":"Lortet-Tieulent","given":"Joannie","non-dropping-particle":"","parse-names":false,"suffix":""},{"dropping-particle":"","family":"Georges","given":"Damien","non-dropping-particle":"","parse-names":false,"suffix":""},{"dropping-particle":"","family":"Bray","given":"Freddie","non-dropping-particle":"","parse-names":false,"suffix":""},{"dropping-particle":"","family":"Vaccarella","given":"Salvatore","non-dropping-particle":"","parse-names":false,"suffix":""}],"container-title":"International Journal of Cancer","id":"ITEM-2","issue":"11","issued":{"date-parts":[["2020"]]},"page":"3029-3036","title":"Profiling global cancer incidence and mortality by socioeconomic development","type":"article-journal","volume":"147"},"uris":["http://www.mendeley.com/documents/?uuid=29a1fb2a-226e-4de7-86ee-ea517bac2227"]}],"mendeley":{"formattedCitation":"[1, 2]","plainTextFormattedCitation":"[1, 2]","previouslyFormattedCitation":"[1, 2]"},"properties":{"noteIndex":0},"schema":"https://github.com/citation-style-language/schema/raw/master/csl-citation.json"}</w:instrText>
      </w:r>
      <w:r w:rsidRPr="000E39AA">
        <w:rPr>
          <w:rFonts w:ascii="Arial" w:hAnsi="Arial" w:cs="Arial"/>
        </w:rPr>
        <w:fldChar w:fldCharType="separate"/>
      </w:r>
      <w:r w:rsidR="00BC139B" w:rsidRPr="00BC139B">
        <w:rPr>
          <w:rFonts w:ascii="Arial" w:hAnsi="Arial" w:cs="Arial"/>
          <w:noProof/>
        </w:rPr>
        <w:t>[1, 2]</w:t>
      </w:r>
      <w:r w:rsidRPr="000E39AA">
        <w:rPr>
          <w:rFonts w:ascii="Arial" w:hAnsi="Arial" w:cs="Arial"/>
        </w:rPr>
        <w:fldChar w:fldCharType="end"/>
      </w:r>
      <w:r w:rsidRPr="000E39AA">
        <w:rPr>
          <w:rFonts w:ascii="Arial" w:hAnsi="Arial" w:cs="Arial"/>
        </w:rPr>
        <w:t xml:space="preserve">. Acquired skeletal diseases such as </w:t>
      </w:r>
      <w:r w:rsidRPr="000E39AA">
        <w:rPr>
          <w:rFonts w:ascii="Arial" w:hAnsi="Arial" w:cs="Arial"/>
          <w:i/>
          <w:iCs/>
        </w:rPr>
        <w:t>osteoporosis</w:t>
      </w:r>
      <w:r w:rsidRPr="000E39AA">
        <w:rPr>
          <w:rFonts w:ascii="Arial" w:hAnsi="Arial" w:cs="Arial"/>
        </w:rPr>
        <w:t xml:space="preserve">, </w:t>
      </w:r>
      <w:r w:rsidRPr="000E39AA">
        <w:rPr>
          <w:rFonts w:ascii="Arial" w:hAnsi="Arial" w:cs="Arial"/>
          <w:i/>
          <w:iCs/>
        </w:rPr>
        <w:t>cancer</w:t>
      </w:r>
      <w:r w:rsidRPr="000E39AA">
        <w:rPr>
          <w:rFonts w:ascii="Arial" w:hAnsi="Arial" w:cs="Arial"/>
        </w:rPr>
        <w:t xml:space="preserve"> </w:t>
      </w:r>
      <w:r w:rsidRPr="000E39AA">
        <w:rPr>
          <w:rFonts w:ascii="Arial" w:hAnsi="Arial" w:cs="Arial"/>
          <w:i/>
        </w:rPr>
        <w:t>metastasis</w:t>
      </w:r>
      <w:r w:rsidRPr="000E39AA">
        <w:rPr>
          <w:rFonts w:ascii="Arial" w:hAnsi="Arial" w:cs="Arial"/>
        </w:rPr>
        <w:t xml:space="preserve"> and </w:t>
      </w:r>
      <w:r w:rsidRPr="000E39AA">
        <w:rPr>
          <w:rFonts w:ascii="Arial" w:hAnsi="Arial" w:cs="Arial"/>
          <w:i/>
          <w:iCs/>
        </w:rPr>
        <w:t>multiple</w:t>
      </w:r>
      <w:r w:rsidRPr="000E39AA">
        <w:rPr>
          <w:rFonts w:ascii="Arial" w:hAnsi="Arial" w:cs="Arial"/>
        </w:rPr>
        <w:t xml:space="preserve"> </w:t>
      </w:r>
      <w:r w:rsidRPr="000E39AA">
        <w:rPr>
          <w:rFonts w:ascii="Arial" w:hAnsi="Arial" w:cs="Arial"/>
          <w:i/>
          <w:iCs/>
        </w:rPr>
        <w:t>myeloma,</w:t>
      </w:r>
      <w:r w:rsidRPr="000E39AA">
        <w:rPr>
          <w:rFonts w:ascii="Arial" w:hAnsi="Arial" w:cs="Arial"/>
        </w:rPr>
        <w:t xml:space="preserve"> and genetic disorders </w:t>
      </w:r>
      <w:r w:rsidR="00960E70">
        <w:rPr>
          <w:rFonts w:ascii="Arial" w:hAnsi="Arial" w:cs="Arial"/>
        </w:rPr>
        <w:t xml:space="preserve">such </w:t>
      </w:r>
      <w:r w:rsidRPr="000E39AA">
        <w:rPr>
          <w:rFonts w:ascii="Arial" w:hAnsi="Arial" w:cs="Arial"/>
        </w:rPr>
        <w:t xml:space="preserve">as </w:t>
      </w:r>
      <w:r w:rsidRPr="000E39AA">
        <w:rPr>
          <w:rFonts w:ascii="Arial" w:hAnsi="Arial" w:cs="Arial"/>
          <w:i/>
          <w:iCs/>
        </w:rPr>
        <w:t>osteogenesis</w:t>
      </w:r>
      <w:r w:rsidRPr="000E39AA">
        <w:rPr>
          <w:rFonts w:ascii="Arial" w:hAnsi="Arial" w:cs="Arial"/>
        </w:rPr>
        <w:t xml:space="preserve"> </w:t>
      </w:r>
      <w:r w:rsidRPr="000E39AA">
        <w:rPr>
          <w:rFonts w:ascii="Arial" w:hAnsi="Arial" w:cs="Arial"/>
          <w:i/>
          <w:iCs/>
        </w:rPr>
        <w:t>imperfecta</w:t>
      </w:r>
      <w:r w:rsidRPr="000E39AA">
        <w:rPr>
          <w:rFonts w:ascii="Arial" w:hAnsi="Arial" w:cs="Arial"/>
        </w:rPr>
        <w:t xml:space="preserve"> and </w:t>
      </w:r>
      <w:r w:rsidRPr="000E39AA">
        <w:rPr>
          <w:rFonts w:ascii="Arial" w:hAnsi="Arial" w:cs="Arial"/>
          <w:i/>
          <w:iCs/>
        </w:rPr>
        <w:t>fibrous</w:t>
      </w:r>
      <w:r w:rsidRPr="000E39AA">
        <w:rPr>
          <w:rFonts w:ascii="Arial" w:hAnsi="Arial" w:cs="Arial"/>
        </w:rPr>
        <w:t xml:space="preserve"> </w:t>
      </w:r>
      <w:r w:rsidRPr="000E39AA">
        <w:rPr>
          <w:rFonts w:ascii="Arial" w:hAnsi="Arial" w:cs="Arial"/>
          <w:i/>
          <w:iCs/>
        </w:rPr>
        <w:t xml:space="preserve">dysplasia </w:t>
      </w:r>
      <w:r w:rsidRPr="000E39AA">
        <w:rPr>
          <w:rFonts w:ascii="Arial" w:hAnsi="Arial" w:cs="Arial"/>
        </w:rPr>
        <w:t>of bone</w:t>
      </w:r>
      <w:r w:rsidRPr="000E39AA">
        <w:rPr>
          <w:rFonts w:ascii="Arial" w:hAnsi="Arial" w:cs="Arial"/>
          <w:i/>
          <w:iCs/>
        </w:rPr>
        <w:t xml:space="preserve"> </w:t>
      </w:r>
      <w:r w:rsidRPr="000E39AA">
        <w:rPr>
          <w:rFonts w:ascii="Arial" w:hAnsi="Arial" w:cs="Arial"/>
        </w:rPr>
        <w:t xml:space="preserve">are known to cause bone fragility as a consequence of osteopenia or locally enhanced bone resorption </w:t>
      </w:r>
      <w:r w:rsidRPr="000E39AA">
        <w:rPr>
          <w:rFonts w:ascii="Arial" w:hAnsi="Arial" w:cs="Arial"/>
        </w:rPr>
        <w:fldChar w:fldCharType="begin" w:fldLock="1"/>
      </w:r>
      <w:r w:rsidR="000D250C">
        <w:rPr>
          <w:rFonts w:ascii="Arial" w:hAnsi="Arial" w:cs="Arial"/>
        </w:rPr>
        <w:instrText>ADDIN CSL_CITATION {"citationItems":[{"id":"ITEM-1","itemData":{"DOI":"10.1016/j.coph.2016.02.007","ISSN":"14714973","PMID":"26940053","abstract":"Skeletal conditions are common causes of chronic pain and there is an unmet medical need for improved treatment options. Bone pain is currently managed with disease modifying agents and/or analgesics depending on the condition. Disease modifying agents affect the underlying pathophysiology of the disease and reduce as a secondary effect bone pain. Antiresorptive and anabolic agents, such as bisphosphonates and intermittent parathyroid hormone (1-34), respectively, have proven effective as pain relieving agents. Cathepsin K inhibitors and anti-sclerostin antibodies hold, due to their disease modifying effects, promise of a pain relieving effect. NSAIDs and opioids are widely employed in the treatment of bone pain. However, recent preclinical findings demonstrating a unique neuronal innervation of bone tissue and sprouting of sensory nerve fibers open for new treatment possibilities.","author":[{"dropping-particle":"","family":"Frost","given":"Charlotte Ørsted","non-dropping-particle":"","parse-names":false,"suffix":""},{"dropping-particle":"","family":"Hansen","given":"Rikke Rie","non-dropping-particle":"","parse-names":false,"suffix":""},{"dropping-particle":"","family":"Heegaard","given":"Anne Marie","non-dropping-particle":"","parse-names":false,"suffix":""}],"container-title":"Current Opinion in Pharmacology","id":"ITEM-1","issued":{"date-parts":[["2016"]]},"page":"31-37","publisher":"Elsevier Ltd","title":"Bone pain: Current and future treatments","type":"article-journal","volume":"28"},"uris":["http://www.mendeley.com/documents/?uuid=e77a983e-e4e4-441a-8d7f-302b295beea6"]},{"id":"ITEM-2","itemData":{"DOI":"10.1007/s11916-000-0078-3","ISSN":"10695850","PMID":"10998732","abstract":"Metastatic involvement of the bone is one of the most frequent causes of pain in cancer patients and represents one of the first signs of widespread neoplastic disease. The pain may originate directly from the bone, from nerve root compression, or from muscle spasms in the area of the lesions. The mechanism of metastatic bone pain is mainly somatic (nociceptive), even though, in some cases, neuropathic and visceral stimulations may overlap. The conventional symptomatic treatment of metastatic bone pain requires the use of multidisciplinary therapies, such as radiotherapy, in association with systemic treatment (hormonotherapy, chemotherapy, radioisotopes) with the support of analgesic therapy. Recently, studies have indicated the use of bisphosphonates in the treatment of pain and in the prevention of skeletal complications in patients with metastatic bone disease. In some patients, pharmacologic treatment, radiotherapy, and radioisotopes administered alone or in association are not able to manage pain adequately. The role of neuroinvasive techniques in treating metastatic bone pain is debated. The clinical conditions of the patient, his life expectancy, and quality of life must guide the physician in the choice of the best possible therapy.","author":[{"dropping-particle":"","family":"Ripamonti","given":"C.","non-dropping-particle":"","parse-names":false,"suffix":""},{"dropping-particle":"","family":"Fulfaro","given":"F.","non-dropping-particle":"","parse-names":false,"suffix":""}],"container-title":"Current review of pain","id":"ITEM-2","issue":"3","issued":{"date-parts":[["2000"]]},"page":"187-196","title":"Malignant bone pain: pathophysiology and treatments.","type":"article-journal","volume":"4"},"uris":["http://www.mendeley.com/documents/?uuid=22eda747-25f7-4f05-9b43-ee03c0e9dd3f"]}],"mendeley":{"formattedCitation":"[3, 4]","plainTextFormattedCitation":"[3, 4]","previouslyFormattedCitation":"[3, 4]"},"properties":{"noteIndex":0},"schema":"https://github.com/citation-style-language/schema/raw/master/csl-citation.json"}</w:instrText>
      </w:r>
      <w:r w:rsidRPr="000E39AA">
        <w:rPr>
          <w:rFonts w:ascii="Arial" w:hAnsi="Arial" w:cs="Arial"/>
        </w:rPr>
        <w:fldChar w:fldCharType="separate"/>
      </w:r>
      <w:r w:rsidR="00BC139B" w:rsidRPr="00BC139B">
        <w:rPr>
          <w:rFonts w:ascii="Arial" w:hAnsi="Arial" w:cs="Arial"/>
          <w:noProof/>
        </w:rPr>
        <w:t>[3, 4]</w:t>
      </w:r>
      <w:r w:rsidRPr="000E39AA">
        <w:rPr>
          <w:rFonts w:ascii="Arial" w:hAnsi="Arial" w:cs="Arial"/>
        </w:rPr>
        <w:fldChar w:fldCharType="end"/>
      </w:r>
      <w:r w:rsidRPr="000E39AA">
        <w:rPr>
          <w:rFonts w:ascii="Arial" w:hAnsi="Arial" w:cs="Arial"/>
        </w:rPr>
        <w:t xml:space="preserve">. Thus, skeletal disorders often lead to bone fractures, resulting in extremely painful consequences for the patient  both during movement or at rest </w:t>
      </w:r>
      <w:r w:rsidRPr="000E39AA">
        <w:rPr>
          <w:rFonts w:ascii="Arial" w:hAnsi="Arial" w:cs="Arial"/>
        </w:rPr>
        <w:fldChar w:fldCharType="begin" w:fldLock="1"/>
      </w:r>
      <w:r w:rsidR="000D250C">
        <w:rPr>
          <w:rFonts w:ascii="Arial" w:hAnsi="Arial" w:cs="Arial"/>
        </w:rPr>
        <w:instrText>ADDIN CSL_CITATION {"citationItems":[{"id":"ITEM-1","itemData":{"DOI":"10.3390/ijms20236047","ISSN":"14220067","PMID":"31801267","abstract":"The skeletal system is the third most common site for cancer metastases, surpassed only by the lungs and liver. Many tumors, especially those of the breast, prostate, lungs, and kidneys, have a strong predilection to metastasize to bone, which causes pain, hypercalcemia, pathological skeletal fractures, compression of the spinal cord or other nervous structures, decreased mobility, and increased mortality. Metastatic cancer-induced bone pain (CIBP) is a type of chronic pain with unique and complex pathophysiology characterized by nociceptive and neuropathic components. Its treatment should be multimodal (pharmacological and non-pharmacological), including causal anticancer and symptomatic analgesic treatment to improve quality of life (QoL). The aim of this paper is to discuss the mechanisms involved in the occurrence and persistence of cancer-associated bone pain and to review the treatment methods recommended by experts in clinical practice. The final part of the paper reviews experimental therapeutic methods that are currently being studied and that may improve the efficacy of bone pain treatment in cancer patients in the future.","author":[{"dropping-particle":"","family":"Zajączkowska","given":"Renata","non-dropping-particle":"","parse-names":false,"suffix":""},{"dropping-particle":"","family":"Kocot-Kępska","given":"Magdalena","non-dropping-particle":"","parse-names":false,"suffix":""},{"dropping-particle":"","family":"Leppert","given":"Wojciech","non-dropping-particle":"","parse-names":false,"suffix":""},{"dropping-particle":"","family":"Wordliczek","given":"Jerzy","non-dropping-particle":"","parse-names":false,"suffix":""}],"container-title":"International Journal of Molecular Sciences","id":"ITEM-1","issue":"23","issued":{"date-parts":[["2019"]]},"page":"65-75","title":"Bone pain in cancer patients: Mechanisms and current treatment","type":"article-journal","volume":"20"},"uris":["http://www.mendeley.com/documents/?uuid=04957f85-87f3-42f9-8ada-3f266dfd66cd"]}],"mendeley":{"formattedCitation":"[5]","plainTextFormattedCitation":"[5]","previouslyFormattedCitation":"[5]"},"properties":{"noteIndex":0},"schema":"https://github.com/citation-style-language/schema/raw/master/csl-citation.json"}</w:instrText>
      </w:r>
      <w:r w:rsidRPr="000E39AA">
        <w:rPr>
          <w:rFonts w:ascii="Arial" w:hAnsi="Arial" w:cs="Arial"/>
        </w:rPr>
        <w:fldChar w:fldCharType="separate"/>
      </w:r>
      <w:r w:rsidR="00BC139B" w:rsidRPr="00BC139B">
        <w:rPr>
          <w:rFonts w:ascii="Arial" w:hAnsi="Arial" w:cs="Arial"/>
          <w:noProof/>
        </w:rPr>
        <w:t>[5]</w:t>
      </w:r>
      <w:r w:rsidRPr="000E39AA">
        <w:rPr>
          <w:rFonts w:ascii="Arial" w:hAnsi="Arial" w:cs="Arial"/>
        </w:rPr>
        <w:fldChar w:fldCharType="end"/>
      </w:r>
      <w:r w:rsidRPr="000E39AA">
        <w:rPr>
          <w:rFonts w:ascii="Arial" w:hAnsi="Arial" w:cs="Arial"/>
        </w:rPr>
        <w:t>. For instance, the</w:t>
      </w:r>
      <w:r w:rsidRPr="000E39AA" w:rsidDel="00252564">
        <w:rPr>
          <w:rFonts w:ascii="Arial" w:hAnsi="Arial" w:cs="Arial"/>
        </w:rPr>
        <w:t xml:space="preserve"> initial </w:t>
      </w:r>
      <w:r w:rsidRPr="000E39AA">
        <w:rPr>
          <w:rFonts w:ascii="Arial" w:hAnsi="Arial" w:cs="Arial"/>
        </w:rPr>
        <w:t>skeletal</w:t>
      </w:r>
      <w:r w:rsidRPr="000E39AA" w:rsidDel="00252564">
        <w:rPr>
          <w:rFonts w:ascii="Arial" w:hAnsi="Arial" w:cs="Arial"/>
        </w:rPr>
        <w:t xml:space="preserve"> damage</w:t>
      </w:r>
      <w:r w:rsidRPr="000E39AA">
        <w:rPr>
          <w:rFonts w:ascii="Arial" w:hAnsi="Arial" w:cs="Arial"/>
        </w:rPr>
        <w:t xml:space="preserve"> elicited by primary bone </w:t>
      </w:r>
      <w:r w:rsidR="000845DF" w:rsidRPr="000E39AA">
        <w:rPr>
          <w:rFonts w:ascii="Arial" w:hAnsi="Arial" w:cs="Arial"/>
        </w:rPr>
        <w:t>tumours</w:t>
      </w:r>
      <w:r w:rsidRPr="000E39AA">
        <w:rPr>
          <w:rFonts w:ascii="Arial" w:hAnsi="Arial" w:cs="Arial"/>
        </w:rPr>
        <w:t xml:space="preserve"> or metastasis</w:t>
      </w:r>
      <w:r w:rsidRPr="000E39AA" w:rsidDel="00252564">
        <w:rPr>
          <w:rFonts w:ascii="Arial" w:hAnsi="Arial" w:cs="Arial"/>
        </w:rPr>
        <w:t xml:space="preserve"> </w:t>
      </w:r>
      <w:r w:rsidRPr="000E39AA">
        <w:rPr>
          <w:rFonts w:ascii="Arial" w:hAnsi="Arial" w:cs="Arial"/>
        </w:rPr>
        <w:t xml:space="preserve">typically facilitate the fracture of diseased </w:t>
      </w:r>
      <w:r w:rsidRPr="000E39AA" w:rsidDel="00252564">
        <w:rPr>
          <w:rFonts w:ascii="Arial" w:hAnsi="Arial" w:cs="Arial"/>
        </w:rPr>
        <w:t xml:space="preserve">bone </w:t>
      </w:r>
      <w:r w:rsidRPr="000E39AA">
        <w:rPr>
          <w:rFonts w:ascii="Arial" w:hAnsi="Arial" w:cs="Arial"/>
        </w:rPr>
        <w:t>tissue with a consequent inflammation response and sudden pain. During</w:t>
      </w:r>
      <w:r w:rsidRPr="000E39AA" w:rsidDel="00252564">
        <w:rPr>
          <w:rFonts w:ascii="Arial" w:hAnsi="Arial" w:cs="Arial"/>
        </w:rPr>
        <w:t xml:space="preserve"> the progress of the pathological state, cancer bone pain </w:t>
      </w:r>
      <w:r w:rsidRPr="000E39AA">
        <w:rPr>
          <w:rFonts w:ascii="Arial" w:hAnsi="Arial" w:cs="Arial"/>
        </w:rPr>
        <w:t>becomes</w:t>
      </w:r>
      <w:r w:rsidRPr="000E39AA" w:rsidDel="00252564">
        <w:rPr>
          <w:rFonts w:ascii="Arial" w:hAnsi="Arial" w:cs="Arial"/>
        </w:rPr>
        <w:t xml:space="preserve"> more perceptible becoming progressively constant and intense</w:t>
      </w:r>
      <w:r w:rsidRPr="000E39AA">
        <w:rPr>
          <w:rFonts w:ascii="Arial" w:hAnsi="Arial" w:cs="Arial"/>
        </w:rPr>
        <w:t xml:space="preserve"> </w:t>
      </w:r>
      <w:r w:rsidRPr="000E39AA" w:rsidDel="00252564">
        <w:rPr>
          <w:rFonts w:ascii="Arial" w:hAnsi="Arial" w:cs="Arial"/>
          <w:color w:val="000000"/>
          <w:shd w:val="clear" w:color="auto" w:fill="FFFFFF"/>
        </w:rPr>
        <w:fldChar w:fldCharType="begin" w:fldLock="1"/>
      </w:r>
      <w:r w:rsidR="000D250C">
        <w:rPr>
          <w:rFonts w:ascii="Arial" w:hAnsi="Arial" w:cs="Arial"/>
          <w:color w:val="000000"/>
          <w:shd w:val="clear" w:color="auto" w:fill="FFFFFF"/>
        </w:rPr>
        <w:instrText>ADDIN CSL_CITATION {"citationItems":[{"id":"ITEM-1","itemData":{"DOI":"10.3390/ijms20236047","ISSN":"14220067","PMID":"31801267","abstract":"The skeletal system is the third most common site for cancer metastases, surpassed only by the lungs and liver. Many tumors, especially those of the breast, prostate, lungs, and kidneys, have a strong predilection to metastasize to bone, which causes pain, hypercalcemia, pathological skeletal fractures, compression of the spinal cord or other nervous structures, decreased mobility, and increased mortality. Metastatic cancer-induced bone pain (CIBP) is a type of chronic pain with unique and complex pathophysiology characterized by nociceptive and neuropathic components. Its treatment should be multimodal (pharmacological and non-pharmacological), including causal anticancer and symptomatic analgesic treatment to improve quality of life (QoL). The aim of this paper is to discuss the mechanisms involved in the occurrence and persistence of cancer-associated bone pain and to review the treatment methods recommended by experts in clinical practice. The final part of the paper reviews experimental therapeutic methods that are currently being studied and that may improve the efficacy of bone pain treatment in cancer patients in the future.","author":[{"dropping-particle":"","family":"Zajączkowska","given":"Renata","non-dropping-particle":"","parse-names":false,"suffix":""},{"dropping-particle":"","family":"Kocot-Kępska","given":"Magdalena","non-dropping-particle":"","parse-names":false,"suffix":""},{"dropping-particle":"","family":"Leppert","given":"Wojciech","non-dropping-particle":"","parse-names":false,"suffix":""},{"dropping-particle":"","family":"Wordliczek","given":"Jerzy","non-dropping-particle":"","parse-names":false,"suffix":""}],"container-title":"International Journal of Molecular Sciences","id":"ITEM-1","issue":"23","issued":{"date-parts":[["2019"]]},"page":"65-75","title":"Bone pain in cancer patients: Mechanisms and current treatment","type":"article-journal","volume":"20"},"uris":["http://www.mendeley.com/documents/?uuid=04957f85-87f3-42f9-8ada-3f266dfd66cd"]}],"mendeley":{"formattedCitation":"[5]","plainTextFormattedCitation":"[5]","previouslyFormattedCitation":"[5]"},"properties":{"noteIndex":0},"schema":"https://github.com/citation-style-language/schema/raw/master/csl-citation.json"}</w:instrText>
      </w:r>
      <w:r w:rsidRPr="000E39AA" w:rsidDel="00252564">
        <w:rPr>
          <w:rFonts w:ascii="Arial" w:hAnsi="Arial" w:cs="Arial"/>
          <w:color w:val="000000"/>
          <w:shd w:val="clear" w:color="auto" w:fill="FFFFFF"/>
        </w:rPr>
        <w:fldChar w:fldCharType="separate"/>
      </w:r>
      <w:r w:rsidR="00BC139B" w:rsidRPr="00BC139B">
        <w:rPr>
          <w:rFonts w:ascii="Arial" w:hAnsi="Arial" w:cs="Arial"/>
          <w:noProof/>
          <w:color w:val="000000"/>
          <w:shd w:val="clear" w:color="auto" w:fill="FFFFFF"/>
        </w:rPr>
        <w:t>[5]</w:t>
      </w:r>
      <w:r w:rsidRPr="000E39AA" w:rsidDel="00252564">
        <w:rPr>
          <w:rFonts w:ascii="Arial" w:hAnsi="Arial" w:cs="Arial"/>
          <w:color w:val="000000"/>
          <w:shd w:val="clear" w:color="auto" w:fill="FFFFFF"/>
        </w:rPr>
        <w:fldChar w:fldCharType="end"/>
      </w:r>
      <w:r w:rsidRPr="000E39AA" w:rsidDel="00252564">
        <w:rPr>
          <w:rFonts w:ascii="Arial" w:hAnsi="Arial" w:cs="Arial"/>
        </w:rPr>
        <w:t xml:space="preserve">. Pathological pain </w:t>
      </w:r>
      <w:r w:rsidRPr="000E39AA">
        <w:rPr>
          <w:rFonts w:ascii="Arial" w:hAnsi="Arial" w:cs="Arial"/>
        </w:rPr>
        <w:t>is generally</w:t>
      </w:r>
      <w:r w:rsidRPr="000E39AA" w:rsidDel="00252564">
        <w:rPr>
          <w:rFonts w:ascii="Arial" w:hAnsi="Arial" w:cs="Arial"/>
        </w:rPr>
        <w:t xml:space="preserve"> perceived </w:t>
      </w:r>
      <w:r w:rsidRPr="000E39AA">
        <w:rPr>
          <w:rFonts w:ascii="Arial" w:hAnsi="Arial" w:cs="Arial"/>
        </w:rPr>
        <w:t>at the site of injury</w:t>
      </w:r>
      <w:r w:rsidRPr="000E39AA" w:rsidDel="00252564">
        <w:rPr>
          <w:rFonts w:ascii="Arial" w:hAnsi="Arial" w:cs="Arial"/>
        </w:rPr>
        <w:t xml:space="preserve"> or often as referred pain with muscle spasms </w:t>
      </w:r>
      <w:r w:rsidR="00E04926">
        <w:rPr>
          <w:rFonts w:ascii="Arial" w:hAnsi="Arial" w:cs="Arial"/>
        </w:rPr>
        <w:t>together</w:t>
      </w:r>
      <w:r w:rsidRPr="000E39AA" w:rsidDel="00252564">
        <w:rPr>
          <w:rFonts w:ascii="Arial" w:hAnsi="Arial" w:cs="Arial"/>
        </w:rPr>
        <w:t xml:space="preserve"> </w:t>
      </w:r>
      <w:r w:rsidRPr="000E39AA">
        <w:rPr>
          <w:rFonts w:ascii="Arial" w:hAnsi="Arial" w:cs="Arial"/>
        </w:rPr>
        <w:t>with an extensive range of action, involving</w:t>
      </w:r>
      <w:r w:rsidRPr="000E39AA" w:rsidDel="00252564">
        <w:rPr>
          <w:rFonts w:ascii="Arial" w:hAnsi="Arial" w:cs="Arial"/>
          <w:color w:val="000000"/>
          <w:shd w:val="clear" w:color="auto" w:fill="FFFFFF"/>
        </w:rPr>
        <w:t xml:space="preserve"> multiple sites other than the </w:t>
      </w:r>
      <w:r w:rsidRPr="000E39AA">
        <w:rPr>
          <w:rFonts w:ascii="Arial" w:hAnsi="Arial" w:cs="Arial"/>
          <w:color w:val="000000"/>
          <w:shd w:val="clear" w:color="auto" w:fill="FFFFFF"/>
        </w:rPr>
        <w:t>site of lesion</w:t>
      </w:r>
      <w:r w:rsidRPr="000E39AA" w:rsidDel="00252564">
        <w:rPr>
          <w:rFonts w:ascii="Arial" w:hAnsi="Arial" w:cs="Arial"/>
        </w:rPr>
        <w:t xml:space="preserve"> </w:t>
      </w:r>
      <w:r w:rsidRPr="000E39AA" w:rsidDel="00252564">
        <w:rPr>
          <w:rFonts w:ascii="Arial" w:hAnsi="Arial" w:cs="Arial"/>
        </w:rPr>
        <w:fldChar w:fldCharType="begin" w:fldLock="1"/>
      </w:r>
      <w:r w:rsidR="000D250C">
        <w:rPr>
          <w:rFonts w:ascii="Arial" w:hAnsi="Arial" w:cs="Arial"/>
        </w:rPr>
        <w:instrText>ADDIN CSL_CITATION {"citationItems":[{"id":"ITEM-1","itemData":{"DOI":"10.1080/00016470152846682","ISSN":"00016470","PMID":"11480611","author":[{"dropping-particle":"","family":"Haegerstam","given":"Glenn A.T.","non-dropping-particle":"","parse-names":false,"suffix":""}],"container-title":"Acta Orthopaedica Scandinavica","id":"ITEM-1","issue":"3","issued":{"date-parts":[["2001"]]},"page":"308-317","title":"Pathophysiology of bone pain: A review","type":"article-journal","volume":"72"},"uris":["http://www.mendeley.com/documents/?uuid=299eb7d3-ecec-49f5-96fb-2adcc87a2843"]},{"id":"ITEM-2","itemData":{"DOI":"10.1200/JCO.2013.51.7219","ISSN":"15277755","PMID":"24799469","abstract":"Cancer pain, especially pain caused by metastasis to bone, is a severe type of pain, and unless the cause and consequences can be resolved, the pain will become chronic. As detection and survival among patients with cancer have improved, pain has become an increasing challenge, because traditional therapies are often only partially effective. Until recently, knowledge of cancer pain mechanisms was poor compared with understanding of neuropathic and inflammatory pain states. We now view cancer-induced bone pain as a complex pain state involving components of both inflammatory and neuropathic pain but also exhibiting elements that seem unique to cancer pain. In addition, the pain state is often unpredictable, and the intensity of the pain is highly variable, making it difficult to manage. The establishment of translational animal models has started to reveal some of the molecular components involved in cancer pain. We present the essential pharmacologic and neurobiologic mechanisms involved in the generation and continuance of cancer-induced bone pain and discuss these in the context of understanding and treating patients. We discuss changes in peripheral signaling in the area of tumor growth, examine spinal cord mechanisms of sensitization, and finally address central processing. Our aim is to provide a mechanistic background for the sensory characteristics of cancer-induced bone pain as a basis for better understanding and treating this condition. © 2014 by American Society of Clinical Oncology.","author":[{"dropping-particle":"","family":"Falk","given":"Sarah","non-dropping-particle":"","parse-names":false,"suffix":""},{"dropping-particle":"","family":"Dickenson","given":"Anthony H.","non-dropping-particle":"","parse-names":false,"suffix":""}],"container-title":"Journal of Clinical Oncology","id":"ITEM-2","issue":"16","issued":{"date-parts":[["2014"]]},"page":"1647-1654","title":"Pain and nociception: Mechanisms of cancer-induced bone pain","type":"article-journal","volume":"32"},"uris":["http://www.mendeley.com/documents/?uuid=0c7c5899-5923-4b87-b03a-43e4c8ab469a"]}],"mendeley":{"formattedCitation":"[6, 7]","plainTextFormattedCitation":"[6, 7]","previouslyFormattedCitation":"[6, 7]"},"properties":{"noteIndex":0},"schema":"https://github.com/citation-style-language/schema/raw/master/csl-citation.json"}</w:instrText>
      </w:r>
      <w:r w:rsidRPr="000E39AA" w:rsidDel="00252564">
        <w:rPr>
          <w:rFonts w:ascii="Arial" w:hAnsi="Arial" w:cs="Arial"/>
        </w:rPr>
        <w:fldChar w:fldCharType="separate"/>
      </w:r>
      <w:r w:rsidR="00BC139B" w:rsidRPr="00BC139B">
        <w:rPr>
          <w:rFonts w:ascii="Arial" w:hAnsi="Arial" w:cs="Arial"/>
          <w:noProof/>
        </w:rPr>
        <w:t>[6, 7]</w:t>
      </w:r>
      <w:r w:rsidRPr="000E39AA" w:rsidDel="00252564">
        <w:rPr>
          <w:rFonts w:ascii="Arial" w:hAnsi="Arial" w:cs="Arial"/>
        </w:rPr>
        <w:fldChar w:fldCharType="end"/>
      </w:r>
      <w:r w:rsidRPr="000E39AA">
        <w:rPr>
          <w:rFonts w:ascii="Arial" w:hAnsi="Arial" w:cs="Arial"/>
        </w:rPr>
        <w:t xml:space="preserve">. </w:t>
      </w:r>
    </w:p>
    <w:p w14:paraId="69586C91" w14:textId="09DA0790" w:rsidR="00F03759" w:rsidRPr="000E39AA" w:rsidRDefault="00F03759" w:rsidP="00F03759">
      <w:pPr>
        <w:autoSpaceDE w:val="0"/>
        <w:autoSpaceDN w:val="0"/>
        <w:adjustRightInd w:val="0"/>
        <w:spacing w:line="276" w:lineRule="auto"/>
        <w:jc w:val="both"/>
        <w:rPr>
          <w:rFonts w:ascii="Arial" w:hAnsi="Arial" w:cs="Arial"/>
          <w:shd w:val="clear" w:color="auto" w:fill="FFFFFF"/>
        </w:rPr>
      </w:pPr>
      <w:r w:rsidRPr="000E39AA">
        <w:rPr>
          <w:rFonts w:ascii="Arial" w:hAnsi="Arial" w:cs="Arial"/>
        </w:rPr>
        <w:t xml:space="preserve">As well as pathological conditions, bone fracture/trauma are often a consequence of  damage as a result of sporting activities </w:t>
      </w:r>
      <w:r w:rsidRPr="000E39AA">
        <w:rPr>
          <w:rFonts w:ascii="Arial" w:hAnsi="Arial" w:cs="Arial"/>
        </w:rPr>
        <w:fldChar w:fldCharType="begin" w:fldLock="1"/>
      </w:r>
      <w:r w:rsidR="000D250C">
        <w:rPr>
          <w:rFonts w:ascii="Arial" w:hAnsi="Arial" w:cs="Arial"/>
        </w:rPr>
        <w:instrText>ADDIN CSL_CITATION {"citationItems":[{"id":"ITEM-1","itemData":{"DOI":"10.1016/j.bone.2016.01.026","ISSN":"87563282","PMID":"26851411","abstract":"An increase of fracture incidence is expected for the next decades, mostly due to the undeniable increase of osteoporotic fractures, associated with the rapid population ageing. The rise in sports-related fractures affecting the young and active population also contributes to this increased fracture incidence, and further amplifies the economical burden of fractures. Fracture often results in severe pain, which is a primary symptom to be treated, not only to guarantee individual's wellbeing, but also because an efficient management of fracture pain is mandatory to ensure proper bone healing. Here, we review the available data on bone innervation and its response to fracture, and discuss putative mechanisms of fracture pain signaling. In addition, the common therapeutic approaches to treat fracture pain are discussed. Although there is still much to learn, research in fracture pain has allowed an initial insight into the mechanisms involved. During the inflammatory response to fracture, several mediators are released and will putatively activate and sensitize primary sensory neurons, in parallel, intense nerve sprouting that occurs in the fracture callus area is also suggested to be involved in pain signaling. The establishment of hyperalgesia and allodynia after fracture indicates the development of peripheral and central sensitization, still, the underlying mechanisms are largely unknown. A major concern during the treatment of fracture pain needs to be the preservation of proper bone healing. However, the most common therapeutic agents, NSAIDS and opiates, can cause significant side effects that include fracture repair impairment. The understanding of the mechanisms of fracture pain signaling will allow the development of mechanisms-based therapies to effectively and safely manage fracture pain.","author":[{"dropping-particle":"","family":"Alves","given":"Cecília J.","non-dropping-particle":"","parse-names":false,"suffix":""},{"dropping-particle":"","family":"Neto","given":"Estrela","non-dropping-particle":"","parse-names":false,"suffix":""},{"dropping-particle":"","family":"Sousa","given":"Daniela M.","non-dropping-particle":"","parse-names":false,"suffix":""},{"dropping-particle":"","family":"Leitão","given":"Luís","non-dropping-particle":"","parse-names":false,"suffix":""},{"dropping-particle":"","family":"Vasconcelos","given":"Daniel M.","non-dropping-particle":"","parse-names":false,"suffix":""},{"dropping-particle":"","family":"Ribeiro-Silva","given":"Manuel","non-dropping-particle":"","parse-names":false,"suffix":""},{"dropping-particle":"","family":"Alencastre","given":"Inês S.","non-dropping-particle":"","parse-names":false,"suffix":""},{"dropping-particle":"","family":"Lamghari","given":"Meriem","non-dropping-particle":"","parse-names":false,"suffix":""}],"container-title":"Bone","id":"ITEM-1","issued":{"date-parts":[["2016"]]},"page":"107-114","publisher":"Elsevier Inc.","title":"Fracture pain-Traveling unknown pathways","type":"article-journal","volume":"85"},"uris":["http://www.mendeley.com/documents/?uuid=fd725a60-ebf5-4df4-8595-86e687dd854f"]}],"mendeley":{"formattedCitation":"[1]","plainTextFormattedCitation":"[1]","previouslyFormattedCitation":"[1]"},"properties":{"noteIndex":0},"schema":"https://github.com/citation-style-language/schema/raw/master/csl-citation.json"}</w:instrText>
      </w:r>
      <w:r w:rsidRPr="000E39AA">
        <w:rPr>
          <w:rFonts w:ascii="Arial" w:hAnsi="Arial" w:cs="Arial"/>
        </w:rPr>
        <w:fldChar w:fldCharType="separate"/>
      </w:r>
      <w:r w:rsidR="00BC139B" w:rsidRPr="00BC139B">
        <w:rPr>
          <w:rFonts w:ascii="Arial" w:hAnsi="Arial" w:cs="Arial"/>
          <w:noProof/>
        </w:rPr>
        <w:t>[1]</w:t>
      </w:r>
      <w:r w:rsidRPr="000E39AA">
        <w:rPr>
          <w:rFonts w:ascii="Arial" w:hAnsi="Arial" w:cs="Arial"/>
        </w:rPr>
        <w:fldChar w:fldCharType="end"/>
      </w:r>
      <w:r w:rsidRPr="000E39AA">
        <w:rPr>
          <w:rFonts w:ascii="Arial" w:hAnsi="Arial" w:cs="Arial"/>
        </w:rPr>
        <w:t xml:space="preserve">. Sports-related fractures, especially in the upper limbs are currently the third leading cause of bone fractures, affecting a wide demographic including the young </w:t>
      </w:r>
      <w:r w:rsidRPr="000E39AA">
        <w:rPr>
          <w:rFonts w:ascii="Arial" w:hAnsi="Arial" w:cs="Arial"/>
        </w:rPr>
        <w:fldChar w:fldCharType="begin" w:fldLock="1"/>
      </w:r>
      <w:r w:rsidR="000D250C">
        <w:rPr>
          <w:rFonts w:ascii="Arial" w:hAnsi="Arial" w:cs="Arial"/>
        </w:rPr>
        <w:instrText>ADDIN CSL_CITATION {"citationItems":[{"id":"ITEM-1","itemData":{"DOI":"10.1016/j.injury.2008.02.004","ISSN":"00201383","PMID":"18514656","abstract":"Objective: To determine the incidence and epidemiology of acute sports-related fractures in adults. Design: Retrospective analysis of a prospectively collected database containing all in-patient and out-patient fractures in a defined patient population in 2000. Setting: Orthopaedic Trauma Unit. Results: There were 5953 fractures in 2000 of which 761 (12.8%) were caused in sporting accidents. The overall incidence was 142/105 with 261/105 in males and 35/105 in females. The mean age was 25.6 years. 41 sports caused the fractures but 10 sports accounted for 86.8% of fractures. In 40 sports the highest prevalence of fractures were in the upper limb and the commonest fractures seen were in the distal radius, metacarpus and finger phalanges although the highest prevalence was in the clavicle. Sports fractures comprised 16.5% of upper limb fractures and 7.5% of lower limb fractures. Our results suggest that there are 80,000-85,000 sports fractures annually in the United Kingdom of which about 18,000 require operative treatment. Conclusions: Sporting activities are the third most common cause of fractures. With increasing affluence it is likely that they will increase. Fractures of the wrist and hand are the most common but in some sports there are a number of higher energy fractures. Our results suggest that, even in sport, there are a number of osteoporotic fractures usually occurring in women. © 2008 Elsevier Ltd. All rights reserved.","author":[{"dropping-particle":"","family":"Court-Brown","given":"Charles M.","non-dropping-particle":"","parse-names":false,"suffix":""},{"dropping-particle":"","family":"Wood","given":"Alexander M.","non-dropping-particle":"","parse-names":false,"suffix":""},{"dropping-particle":"","family":"Aitken","given":"Stuart","non-dropping-particle":"","parse-names":false,"suffix":""}],"container-title":"Injury","id":"ITEM-1","issue":"12","issued":{"date-parts":[["2008"]]},"page":"1365-1372","title":"The epidemiology of acute sports-related fractures in adults","type":"article-journal","volume":"39"},"uris":["http://www.mendeley.com/documents/?uuid=270699e4-4eb1-42b5-a40b-d4dea4445c0d"]},{"id":"ITEM-2","itemData":{"DOI":"10.1016/j.bone.2016.01.026","ISSN":"87563282","PMID":"26851411","abstract":"An increase of fracture incidence is expected for the next decades, mostly due to the undeniable increase of osteoporotic fractures, associated with the rapid population ageing. The rise in sports-related fractures affecting the young and active population also contributes to this increased fracture incidence, and further amplifies the economical burden of fractures. Fracture often results in severe pain, which is a primary symptom to be treated, not only to guarantee individual's wellbeing, but also because an efficient management of fracture pain is mandatory to ensure proper bone healing. Here, we review the available data on bone innervation and its response to fracture, and discuss putative mechanisms of fracture pain signaling. In addition, the common therapeutic approaches to treat fracture pain are discussed. Although there is still much to learn, research in fracture pain has allowed an initial insight into the mechanisms involved. During the inflammatory response to fracture, several mediators are released and will putatively activate and sensitize primary sensory neurons, in parallel, intense nerve sprouting that occurs in the fracture callus area is also suggested to be involved in pain signaling. The establishment of hyperalgesia and allodynia after fracture indicates the development of peripheral and central sensitization, still, the underlying mechanisms are largely unknown. A major concern during the treatment of fracture pain needs to be the preservation of proper bone healing. However, the most common therapeutic agents, NSAIDS and opiates, can cause significant side effects that include fracture repair impairment. The understanding of the mechanisms of fracture pain signaling will allow the development of mechanisms-based therapies to effectively and safely manage fracture pain.","author":[{"dropping-particle":"","family":"Alves","given":"Cecília J.","non-dropping-particle":"","parse-names":false,"suffix":""},{"dropping-particle":"","family":"Neto","given":"Estrela","non-dropping-particle":"","parse-names":false,"suffix":""},{"dropping-particle":"","family":"Sousa","given":"Daniela M.","non-dropping-particle":"","parse-names":false,"suffix":""},{"dropping-particle":"","family":"Leitão","given":"Luís","non-dropping-particle":"","parse-names":false,"suffix":""},{"dropping-particle":"","family":"Vasconcelos","given":"Daniel M.","non-dropping-particle":"","parse-names":false,"suffix":""},{"dropping-particle":"","family":"Ribeiro-Silva","given":"Manuel","non-dropping-particle":"","parse-names":false,"suffix":""},{"dropping-particle":"","family":"Alencastre","given":"Inês S.","non-dropping-particle":"","parse-names":false,"suffix":""},{"dropping-particle":"","family":"Lamghari","given":"Meriem","non-dropping-particle":"","parse-names":false,"suffix":""}],"container-title":"Bone","id":"ITEM-2","issued":{"date-parts":[["2016"]]},"page":"107-114","publisher":"Elsevier Inc.","title":"Fracture pain-Traveling unknown pathways","type":"article-journal","volume":"85"},"uris":["http://www.mendeley.com/documents/?uuid=fd725a60-ebf5-4df4-8595-86e687dd854f"]}],"mendeley":{"formattedCitation":"[1, 8]","plainTextFormattedCitation":"[1, 8]","previouslyFormattedCitation":"[1, 8]"},"properties":{"noteIndex":0},"schema":"https://github.com/citation-style-language/schema/raw/master/csl-citation.json"}</w:instrText>
      </w:r>
      <w:r w:rsidRPr="000E39AA">
        <w:rPr>
          <w:rFonts w:ascii="Arial" w:hAnsi="Arial" w:cs="Arial"/>
        </w:rPr>
        <w:fldChar w:fldCharType="separate"/>
      </w:r>
      <w:r w:rsidR="00BC139B" w:rsidRPr="00BC139B">
        <w:rPr>
          <w:rFonts w:ascii="Arial" w:hAnsi="Arial" w:cs="Arial"/>
          <w:noProof/>
        </w:rPr>
        <w:t>[1, 8]</w:t>
      </w:r>
      <w:r w:rsidRPr="000E39AA">
        <w:rPr>
          <w:rFonts w:ascii="Arial" w:hAnsi="Arial" w:cs="Arial"/>
        </w:rPr>
        <w:fldChar w:fldCharType="end"/>
      </w:r>
      <w:r w:rsidRPr="000E39AA">
        <w:rPr>
          <w:rFonts w:ascii="Arial" w:hAnsi="Arial" w:cs="Arial"/>
        </w:rPr>
        <w:t>. Furthermore, reduced physical activity, poor nutrition (such as limited Vitamin D</w:t>
      </w:r>
      <w:r w:rsidRPr="000E39AA">
        <w:rPr>
          <w:rFonts w:ascii="Arial" w:hAnsi="Arial" w:cs="Arial"/>
          <w:vertAlign w:val="subscript"/>
        </w:rPr>
        <w:t>3</w:t>
      </w:r>
      <w:r w:rsidRPr="000E39AA">
        <w:rPr>
          <w:rFonts w:ascii="Arial" w:hAnsi="Arial" w:cs="Arial"/>
        </w:rPr>
        <w:t xml:space="preserve"> intake) and sedentary lifestyles can impact on bone structure, increasing the risk of bone fracture and impaired skeletal tissue</w:t>
      </w:r>
      <w:r w:rsidR="00E04926">
        <w:rPr>
          <w:rFonts w:ascii="Arial" w:hAnsi="Arial" w:cs="Arial"/>
        </w:rPr>
        <w:t xml:space="preserve"> composition</w:t>
      </w:r>
      <w:r w:rsidRPr="000E39AA">
        <w:rPr>
          <w:rFonts w:ascii="Arial" w:hAnsi="Arial" w:cs="Arial"/>
        </w:rPr>
        <w:t xml:space="preserve"> </w:t>
      </w:r>
      <w:r w:rsidRPr="000E39AA">
        <w:rPr>
          <w:rFonts w:ascii="Arial" w:hAnsi="Arial" w:cs="Arial"/>
        </w:rPr>
        <w:fldChar w:fldCharType="begin" w:fldLock="1"/>
      </w:r>
      <w:r w:rsidR="000D250C">
        <w:rPr>
          <w:rFonts w:ascii="Arial" w:hAnsi="Arial" w:cs="Arial"/>
        </w:rPr>
        <w:instrText>ADDIN CSL_CITATION {"citationItems":[{"id":"ITEM-1","itemData":{"DOI":"10.1007/s00204-020-02906-z","ISBN":"0123456789","ISSN":"14320738","PMID":"32910238","abstract":"Approx. every third hospitalized patient in Europe suffers from musculoskeletal injuries or diseases. Up to 20% of these patients need costly surgical revisions after delayed or impaired fracture healing. Reasons for this are the severity of the trauma, individual factors, e.g, the patients’ age, individual lifestyle, chronic diseases, medication, and, over 70 diseases that negatively affect the bone quality. To investigate the various disease constellations and/or develop new treatment strategies, many in vivo, ex vivo, and in vitro models can be applied. Analyzing these various models more closely, it is obvious that many of them have limits and/or restrictions. Undoubtedly, in vivo models most completely represent the biological situation. Besides possible species-specific differences, ethical concerns may question the use of in vivo models especially for large screening approaches. Challenging whether ex vivo or in vitro bone models can be used as an adequate replacement for such screenings, we here summarize the advantages and challenges of frequently used ex vivo and in vitro bone models to study disturbed bone metabolism and fracture healing. Using own examples, we discuss the common challenge of cell-specific normalization of data obtained from more complex in vitro models as one example of the analytical limits which lower the full potential of these complex model systems.","author":[{"dropping-particle":"","family":"Ehnert","given":"Sabrina","non-dropping-particle":"","parse-names":false,"suffix":""},{"dropping-particle":"","family":"Rinderknecht","given":"Helen","non-dropping-particle":"","parse-names":false,"suffix":""},{"dropping-particle":"","family":"Aspera-Werz","given":"Romina H.","non-dropping-particle":"","parse-names":false,"suffix":""},{"dropping-particle":"","family":"Häussling","given":"Victor","non-dropping-particle":"","parse-names":false,"suffix":""},{"dropping-particle":"","family":"Nussler","given":"Andreas K.","non-dropping-particle":"","parse-names":false,"suffix":""}],"container-title":"Archives of Toxicology","id":"ITEM-1","issue":"12","issued":{"date-parts":[["2020"]]},"page":"3937-3958","publisher":"Springer Berlin Heidelberg","title":"Use of in vitro bone models to screen for altered bone metabolism, osteopathies, and fracture healing: challenges of complex models","type":"article-journal","volume":"94"},"uris":["http://www.mendeley.com/documents/?uuid=6b5a8015-1455-42af-9e47-7650baa9bcb9"]},{"id":"ITEM-2","itemData":{"DOI":"10.1080/13697137.2017.1286890","ISSN":"14730804","PMID":"28286988","abstract":"Osteoporosis (low bone strength) and sarcopenia (low muscle mass, strength and/or impaired function) often co-exist (hence the term ‘sarco-osteoporosis’) and have similar health consequences with regard to disability, falls, frailty and fractures. Exercise and adequate nutrition, particularly with regard to vitamin D, calcium and protein, are key lifestyle approaches that can simultaneously optimize bone, muscle and functional outcomes in older people, if they are individually tailored and appropriately prescribed in terms of the type and dose. Not all forms of exercise are equally effective for optimizing musculoskeletal health. Regular walking alone has little or no effect on bone or muscle. Traditional progressive resistance training (PRT) is effective for improving muscle mass, size and strength, but it has mixed effects on muscle function and falls which may be due to the common prescription of slow and controlled movement patterns. At present, targeted multi-modal programs incorporating traditional and high-velocity PRT, weight-bearing impact exercises and challenging balance/mobility activities appear to be most effective for optimizing musculoskeletal health and function. Reducing and breaking up sitting time may also help attenuate muscle loss. There is also evidence to support an interaction between exercise and various nutritional factors, particularly protein and some multi-nutrient supplements, on muscle and bone health in the elderly. This review summary provides an overview of the latest evidence with regard to the optimal type and dose of exercise and the role of various nutritional factors for preventing bone and muscle loss and improving functional capacity in older people.","author":[{"dropping-particle":"","family":"Daly","given":"R. M.","non-dropping-particle":"","parse-names":false,"suffix":""}],"container-title":"Climacteric","id":"ITEM-2","issue":"2","issued":{"date-parts":[["2017"]]},"page":"119-124","title":"Exercise and nutritional approaches to prevent frail bones, falls and fractures: an update","type":"article-journal","volume":"20"},"uris":["http://www.mendeley.com/documents/?uuid=cb1ce425-8762-4e4a-b347-2064ba255701"]},{"id":"ITEM-3","itemData":{"ISSN":"1840-2445 (Electronic)","PMID":"23348155","abstract":"Bone remodeling is a lifetime process. Peak bone mass is achieved in the twenties,  and that value is very important for skeleton health in older years of life. Modern life style with its diet poor in nutrients, and very low intensity of physical activity negatively influences health in general, and bone health as well. Bones are adapting to changes in load, so applying mechanical strain to bones results in greater bone mass and hardness. That makes physical activity important in maintaining skeleton health. Numerous studies confirm good influence of regular exercising to bone health, and connection of physical activity in youth to better bone density in older age. To activate bone remodeling mechanisms, it is necessary to apply mechanical strain to bones by exercise. Considering global problem of bone loss and osteoporosis new ways of activating young people to practice sports and active stile of life are necessary to maintain skeleton health and health in general. This paper aims to review physiological mechanisms of bone remodeling that are influenced by physical exercise.","author":[{"dropping-particle":"","family":"Drenjančević","given":"Ines","non-dropping-particle":"","parse-names":false,"suffix":""},{"dropping-particle":"","family":"Davidović Cvetko","given":"Erna","non-dropping-particle":"","parse-names":false,"suffix":""}],"container-title":"Medicinski glasnik : official publication of the Medical Association of Zenica-Doboj  Canton, Bosnia and Herzegovina","id":"ITEM-3","issue":"1","issued":{"date-parts":[["2013","2"]]},"language":"eng","page":"12-19","publisher-place":"Bosnia and Herzegovina","title":"Influence of physical activity to bone metabolism.","type":"article-journal","volume":"10"},"uris":["http://www.mendeley.com/documents/?uuid=4767d91d-30a0-4a42-9009-94bd00fb6e87"]},{"id":"ITEM-4","itemData":{"DOI":"10.1371/journal.pone.0190675","ISBN":"1111111111","ISSN":"19326203","PMID":"29370213","abstract":"There is increasing evidence of persistent effects of early life vitamin D exposure on later skeletal health; linking low levels in early life to smaller bone size in childhood as well as increased fracture risk later in adulthood, independently of later vitamin D status. A major determinant of bone mass acquisition across all ages is mechanical loading. We tested the hypothesis in an animal model system that early life vitamin D depletion results in abrogation of the response to mechanical loading, with consequent reduction in bone size, mass and strength during both childhood and adulthood. A murine model was created in which pregnant dams were either vitamin D deficient or replete, and their offspring moved to a vitamin D replete diet at weaning. Tibias of the offspring were mechanically loaded and bone structure, extrinsic strength and growth measured both during growth and after skeletal maturity. Offspring of vitamin D deplete mice demonstrated lower bone mass in the non loaded limb and reduced bone mass accrual in response to loading in both the growing skeleton and after skeletal maturity. Early life vitamin D depletion led to reduced bone strength and altered bone biomechanical properties. These findings suggest early life vitamin D status may, in part, determine the propensity to osteoporosis and fracture that blights later life in many individuals.","author":[{"dropping-particle":"","family":"Borg","given":"Stephanie A.","non-dropping-particle":"","parse-names":false,"suffix":""},{"dropping-particle":"","family":"Buckley","given":"Harriet","non-dropping-particle":"","parse-names":false,"suffix":""},{"dropping-particle":"","family":"Owen","given":"Robert","non-dropping-particle":"","parse-names":false,"suffix":""},{"dropping-particle":"","family":"Marin","given":"Ana Campos","non-dropping-particle":"","parse-names":false,"suffix":""},{"dropping-particle":"","family":"Lu","given":"Yongtau","non-dropping-particle":"","parse-names":false,"suffix":""},{"dropping-particle":"","family":"Eyles","given":"Darryl","non-dropping-particle":"","parse-names":false,"suffix":""},{"dropping-particle":"","family":"Lacroix","given":"Damien","non-dropping-particle":"","parse-names":false,"suffix":""},{"dropping-particle":"","family":"Reilly","given":"Gwendolen C.","non-dropping-particle":"","parse-names":false,"suffix":""},{"dropping-particle":"","family":"Skerry","given":"Tim M.","non-dropping-particle":"","parse-names":false,"suffix":""},{"dropping-particle":"","family":"Bishop","given":"Nick J.","non-dropping-particle":"","parse-names":false,"suffix":""}],"container-title":"PLoS ONE","id":"ITEM-4","issue":"1","issued":{"date-parts":[["2018"]]},"page":"1-17","title":"Early life Vitamin D depletion alters the postnatal response to skeletal loading in growing and mature bone","type":"article-journal","volume":"13"},"uris":["http://www.mendeley.com/documents/?uuid=75346b13-2abc-47bd-9641-cf9b4446dfcd","http://www.mendeley.com/documents/?uuid=9b0b5062-f61e-49aa-b137-6a8cd45a1605"]}],"mendeley":{"formattedCitation":"[9–12]","plainTextFormattedCitation":"[9–12]","previouslyFormattedCitation":"[9–12]"},"properties":{"noteIndex":0},"schema":"https://github.com/citation-style-language/schema/raw/master/csl-citation.json"}</w:instrText>
      </w:r>
      <w:r w:rsidRPr="000E39AA">
        <w:rPr>
          <w:rFonts w:ascii="Arial" w:hAnsi="Arial" w:cs="Arial"/>
        </w:rPr>
        <w:fldChar w:fldCharType="separate"/>
      </w:r>
      <w:r w:rsidR="00BC139B" w:rsidRPr="00BC139B">
        <w:rPr>
          <w:rFonts w:ascii="Arial" w:hAnsi="Arial" w:cs="Arial"/>
          <w:noProof/>
        </w:rPr>
        <w:t>[9–12]</w:t>
      </w:r>
      <w:r w:rsidRPr="000E39AA">
        <w:rPr>
          <w:rFonts w:ascii="Arial" w:hAnsi="Arial" w:cs="Arial"/>
        </w:rPr>
        <w:fldChar w:fldCharType="end"/>
      </w:r>
      <w:r w:rsidRPr="000E39AA">
        <w:rPr>
          <w:rFonts w:ascii="Arial" w:hAnsi="Arial" w:cs="Arial"/>
        </w:rPr>
        <w:t>. There remains an unmet need for improved pain management programmes to: (</w:t>
      </w:r>
      <w:proofErr w:type="spellStart"/>
      <w:r w:rsidRPr="000E39AA">
        <w:rPr>
          <w:rFonts w:ascii="Arial" w:hAnsi="Arial" w:cs="Arial"/>
        </w:rPr>
        <w:t>i</w:t>
      </w:r>
      <w:proofErr w:type="spellEnd"/>
      <w:r w:rsidRPr="000E39AA">
        <w:rPr>
          <w:rFonts w:ascii="Arial" w:hAnsi="Arial" w:cs="Arial"/>
        </w:rPr>
        <w:t xml:space="preserve">) ease </w:t>
      </w:r>
      <w:r w:rsidR="00541087">
        <w:rPr>
          <w:rFonts w:ascii="Arial" w:hAnsi="Arial" w:cs="Arial"/>
        </w:rPr>
        <w:t xml:space="preserve">the </w:t>
      </w:r>
      <w:r w:rsidRPr="000E39AA">
        <w:rPr>
          <w:rFonts w:ascii="Arial" w:hAnsi="Arial" w:cs="Arial"/>
        </w:rPr>
        <w:t xml:space="preserve">pain, (ii) improve tissue healing and, (iii) increase the quality of the life of hospitalized patients </w:t>
      </w:r>
      <w:r w:rsidRPr="000E39AA">
        <w:rPr>
          <w:rFonts w:ascii="Arial" w:hAnsi="Arial" w:cs="Arial"/>
        </w:rPr>
        <w:fldChar w:fldCharType="begin" w:fldLock="1"/>
      </w:r>
      <w:r w:rsidR="000D250C">
        <w:rPr>
          <w:rFonts w:ascii="Arial" w:hAnsi="Arial" w:cs="Arial"/>
        </w:rPr>
        <w:instrText>ADDIN CSL_CITATION {"citationItems":[{"id":"ITEM-1","itemData":{"DOI":"10.1007/s11914-018-0446-8","ISBN":"1191401804","ISSN":"15442241","PMID":"29948820","abstract":"Purpose of Review: This paper describes recent advances in understanding the mechanisms that drive fracture pain and how these findings are helping develop new therapies to treat fracture pain. Recent Findings: Immediately following fracture, mechanosensitive nerve fibers that innervate bone are mechanically distorted. This results in these nerve fibers rapidly discharging and signaling the initial sharp fracture pain to the brain. Within minutes to hours, a host of neurotransmitters, cytokines, and nerve growth factor are released by cells at the fracture site. These factors stimulate, sensitize, and induce ectopic nerve sprouting of the sensory and sympathetic nerve fibers which drive the sharp pain upon movement and the dull aching pain at rest. If rapid and effective healing of the fracture occurs, these factors return to baseline and the pain subsides, but if not, these factors can drive chronic bone pain. Summary: New mechanism-based therapies have the potential to fundamentally change the way acute and chronic fracture pain is managed.","author":[{"dropping-particle":"","family":"Mitchell","given":"Stefanie A.T.","non-dropping-particle":"","parse-names":false,"suffix":""},{"dropping-particle":"","family":"Majuta","given":"Lisa A.","non-dropping-particle":"","parse-names":false,"suffix":""},{"dropping-particle":"","family":"Mantyh","given":"Patrick W.","non-dropping-particle":"","parse-names":false,"suffix":""}],"container-title":"Current Osteoporosis Reports","id":"ITEM-1","issue":"4","issued":{"date-parts":[["2018"]]},"page":"325-332","title":"New Insights in Understanding and Treating Bone Fracture Pain","type":"article-journal","volume":"16"},"uris":["http://www.mendeley.com/documents/?uuid=1a62e34d-5477-4ba4-aa76-63cb82ff2fc1"]}],"mendeley":{"formattedCitation":"[13]","plainTextFormattedCitation":"[13]","previouslyFormattedCitation":"[13]"},"properties":{"noteIndex":0},"schema":"https://github.com/citation-style-language/schema/raw/master/csl-citation.json"}</w:instrText>
      </w:r>
      <w:r w:rsidRPr="000E39AA">
        <w:rPr>
          <w:rFonts w:ascii="Arial" w:hAnsi="Arial" w:cs="Arial"/>
        </w:rPr>
        <w:fldChar w:fldCharType="separate"/>
      </w:r>
      <w:r w:rsidR="00BC139B" w:rsidRPr="00BC139B">
        <w:rPr>
          <w:rFonts w:ascii="Arial" w:hAnsi="Arial" w:cs="Arial"/>
          <w:noProof/>
        </w:rPr>
        <w:t>[13]</w:t>
      </w:r>
      <w:r w:rsidRPr="000E39AA">
        <w:rPr>
          <w:rFonts w:ascii="Arial" w:hAnsi="Arial" w:cs="Arial"/>
        </w:rPr>
        <w:fldChar w:fldCharType="end"/>
      </w:r>
      <w:r w:rsidRPr="000E39AA">
        <w:rPr>
          <w:rFonts w:ascii="Arial" w:hAnsi="Arial" w:cs="Arial"/>
        </w:rPr>
        <w:t xml:space="preserve">. </w:t>
      </w:r>
      <w:r w:rsidRPr="000E39AA">
        <w:rPr>
          <w:rFonts w:ascii="Arial" w:hAnsi="Arial" w:cs="Arial"/>
          <w:shd w:val="clear" w:color="auto" w:fill="FFFFFF"/>
        </w:rPr>
        <w:t xml:space="preserve">To date, the complexity of the pain process has limited </w:t>
      </w:r>
      <w:r w:rsidR="004909D7">
        <w:rPr>
          <w:rFonts w:ascii="Arial" w:hAnsi="Arial" w:cs="Arial"/>
          <w:shd w:val="clear" w:color="auto" w:fill="FFFFFF"/>
        </w:rPr>
        <w:t>clinical</w:t>
      </w:r>
      <w:r w:rsidRPr="000E39AA">
        <w:rPr>
          <w:rFonts w:ascii="Arial" w:hAnsi="Arial" w:cs="Arial"/>
          <w:shd w:val="clear" w:color="auto" w:fill="FFFFFF"/>
        </w:rPr>
        <w:t xml:space="preserve"> options</w:t>
      </w:r>
      <w:r w:rsidR="00F22E6D">
        <w:rPr>
          <w:rFonts w:ascii="Arial" w:hAnsi="Arial" w:cs="Arial"/>
          <w:shd w:val="clear" w:color="auto" w:fill="FFFFFF"/>
        </w:rPr>
        <w:t>,</w:t>
      </w:r>
      <w:r w:rsidR="004909D7">
        <w:rPr>
          <w:rFonts w:ascii="Arial" w:hAnsi="Arial" w:cs="Arial"/>
          <w:shd w:val="clear" w:color="auto" w:fill="FFFFFF"/>
        </w:rPr>
        <w:t xml:space="preserve"> as c</w:t>
      </w:r>
      <w:r w:rsidRPr="000E39AA">
        <w:rPr>
          <w:rFonts w:ascii="Arial" w:hAnsi="Arial" w:cs="Arial"/>
          <w:shd w:val="clear" w:color="auto" w:fill="FFFFFF"/>
        </w:rPr>
        <w:t xml:space="preserve">urrent therapies often aim to alleviate the discomfort rather than remove or resolve the pain </w:t>
      </w:r>
      <w:r w:rsidRPr="000E39AA">
        <w:rPr>
          <w:rFonts w:ascii="Arial" w:hAnsi="Arial" w:cs="Arial"/>
          <w:shd w:val="clear" w:color="auto" w:fill="FFFFFF"/>
        </w:rPr>
        <w:fldChar w:fldCharType="begin" w:fldLock="1"/>
      </w:r>
      <w:r w:rsidR="000D250C">
        <w:rPr>
          <w:rFonts w:ascii="Arial" w:hAnsi="Arial" w:cs="Arial"/>
          <w:shd w:val="clear" w:color="auto" w:fill="FFFFFF"/>
        </w:rPr>
        <w:instrText>ADDIN CSL_CITATION {"citationItems":[{"id":"ITEM-1","itemData":{"DOI":"10.1007/s11914-018-0446-8","ISBN":"1191401804","ISSN":"15442241","PMID":"29948820","abstract":"Purpose of Review: This paper describes recent advances in understanding the mechanisms that drive fracture pain and how these findings are helping develop new therapies to treat fracture pain. Recent Findings: Immediately following fracture, mechanosensitive nerve fibers that innervate bone are mechanically distorted. This results in these nerve fibers rapidly discharging and signaling the initial sharp fracture pain to the brain. Within minutes to hours, a host of neurotransmitters, cytokines, and nerve growth factor are released by cells at the fracture site. These factors stimulate, sensitize, and induce ectopic nerve sprouting of the sensory and sympathetic nerve fibers which drive the sharp pain upon movement and the dull aching pain at rest. If rapid and effective healing of the fracture occurs, these factors return to baseline and the pain subsides, but if not, these factors can drive chronic bone pain. Summary: New mechanism-based therapies have the potential to fundamentally change the way acute and chronic fracture pain is managed.","author":[{"dropping-particle":"","family":"Mitchell","given":"Stefanie A.T.","non-dropping-particle":"","parse-names":false,"suffix":""},{"dropping-particle":"","family":"Majuta","given":"Lisa A.","non-dropping-particle":"","parse-names":false,"suffix":""},{"dropping-particle":"","family":"Mantyh","given":"Patrick W.","non-dropping-particle":"","parse-names":false,"suffix":""}],"container-title":"Current Osteoporosis Reports","id":"ITEM-1","issue":"4","issued":{"date-parts":[["2018"]]},"page":"325-332","title":"New Insights in Understanding and Treating Bone Fracture Pain","type":"article-journal","volume":"16"},"uris":["http://www.mendeley.com/documents/?uuid=1a62e34d-5477-4ba4-aa76-63cb82ff2fc1"]}],"mendeley":{"formattedCitation":"[13]","plainTextFormattedCitation":"[13]","previouslyFormattedCitation":"[13]"},"properties":{"noteIndex":0},"schema":"https://github.com/citation-style-language/schema/raw/master/csl-citation.json"}</w:instrText>
      </w:r>
      <w:r w:rsidRPr="000E39AA">
        <w:rPr>
          <w:rFonts w:ascii="Arial" w:hAnsi="Arial" w:cs="Arial"/>
          <w:shd w:val="clear" w:color="auto" w:fill="FFFFFF"/>
        </w:rPr>
        <w:fldChar w:fldCharType="separate"/>
      </w:r>
      <w:r w:rsidR="00BC139B" w:rsidRPr="00BC139B">
        <w:rPr>
          <w:rFonts w:ascii="Arial" w:hAnsi="Arial" w:cs="Arial"/>
          <w:noProof/>
          <w:shd w:val="clear" w:color="auto" w:fill="FFFFFF"/>
        </w:rPr>
        <w:t>[13]</w:t>
      </w:r>
      <w:r w:rsidRPr="000E39AA">
        <w:rPr>
          <w:rFonts w:ascii="Arial" w:hAnsi="Arial" w:cs="Arial"/>
          <w:shd w:val="clear" w:color="auto" w:fill="FFFFFF"/>
        </w:rPr>
        <w:fldChar w:fldCharType="end"/>
      </w:r>
      <w:r w:rsidRPr="000E39AA">
        <w:rPr>
          <w:rFonts w:ascii="Arial" w:hAnsi="Arial" w:cs="Arial"/>
          <w:shd w:val="clear" w:color="auto" w:fill="FFFFFF"/>
        </w:rPr>
        <w:t xml:space="preserve">. </w:t>
      </w:r>
    </w:p>
    <w:p w14:paraId="0049F768" w14:textId="465094B1" w:rsidR="00F03759" w:rsidRPr="000E39AA" w:rsidRDefault="00F03759" w:rsidP="00F03759">
      <w:pPr>
        <w:autoSpaceDE w:val="0"/>
        <w:autoSpaceDN w:val="0"/>
        <w:adjustRightInd w:val="0"/>
        <w:spacing w:after="0" w:line="276" w:lineRule="auto"/>
        <w:jc w:val="both"/>
        <w:rPr>
          <w:rFonts w:ascii="Arial" w:hAnsi="Arial" w:cs="Arial"/>
        </w:rPr>
      </w:pPr>
      <w:r w:rsidRPr="000E39AA">
        <w:rPr>
          <w:rFonts w:ascii="Arial" w:hAnsi="Arial" w:cs="Arial"/>
        </w:rPr>
        <w:t xml:space="preserve">The current review explores the </w:t>
      </w:r>
      <w:r>
        <w:rPr>
          <w:rFonts w:ascii="Arial" w:hAnsi="Arial" w:cs="Arial"/>
        </w:rPr>
        <w:t xml:space="preserve">pathophysiology and the </w:t>
      </w:r>
      <w:r w:rsidRPr="000E39AA">
        <w:rPr>
          <w:rFonts w:ascii="Arial" w:hAnsi="Arial" w:cs="Arial"/>
        </w:rPr>
        <w:t xml:space="preserve">processes involved in pain mechanisms affecting bone tissue, from central causes related to pathological and damage-related pain to </w:t>
      </w:r>
      <w:r>
        <w:rPr>
          <w:rFonts w:ascii="Arial" w:hAnsi="Arial" w:cs="Arial"/>
        </w:rPr>
        <w:t xml:space="preserve">the </w:t>
      </w:r>
      <w:r w:rsidRPr="000E39AA">
        <w:rPr>
          <w:rFonts w:ascii="Arial" w:hAnsi="Arial" w:cs="Arial"/>
        </w:rPr>
        <w:t xml:space="preserve">evaluation of current approaches </w:t>
      </w:r>
      <w:r>
        <w:rPr>
          <w:rFonts w:ascii="Arial" w:hAnsi="Arial" w:cs="Arial"/>
        </w:rPr>
        <w:t>and</w:t>
      </w:r>
      <w:r w:rsidRPr="000E39AA">
        <w:rPr>
          <w:rFonts w:ascii="Arial" w:hAnsi="Arial" w:cs="Arial"/>
        </w:rPr>
        <w:t xml:space="preserve"> therapeutic analysis. </w:t>
      </w:r>
      <w:r>
        <w:rPr>
          <w:rFonts w:ascii="Arial" w:hAnsi="Arial" w:cs="Arial"/>
        </w:rPr>
        <w:t xml:space="preserve">Furthermore, the review examines </w:t>
      </w:r>
      <w:r w:rsidRPr="000E39AA">
        <w:rPr>
          <w:rFonts w:ascii="Arial" w:hAnsi="Arial" w:cs="Arial"/>
        </w:rPr>
        <w:t>current</w:t>
      </w:r>
      <w:r>
        <w:rPr>
          <w:rFonts w:ascii="Arial" w:hAnsi="Arial" w:cs="Arial"/>
        </w:rPr>
        <w:t>ly</w:t>
      </w:r>
      <w:r w:rsidRPr="000E39AA">
        <w:rPr>
          <w:rFonts w:ascii="Arial" w:hAnsi="Arial" w:cs="Arial"/>
        </w:rPr>
        <w:t xml:space="preserve"> available functional </w:t>
      </w:r>
      <w:r w:rsidRPr="000E39AA">
        <w:rPr>
          <w:rFonts w:ascii="Arial" w:hAnsi="Arial" w:cs="Arial"/>
          <w:i/>
          <w:iCs/>
        </w:rPr>
        <w:t xml:space="preserve">in </w:t>
      </w:r>
      <w:r>
        <w:rPr>
          <w:rFonts w:ascii="Arial" w:hAnsi="Arial" w:cs="Arial"/>
          <w:i/>
          <w:iCs/>
        </w:rPr>
        <w:t>vivo</w:t>
      </w:r>
      <w:r w:rsidRPr="000E39AA">
        <w:rPr>
          <w:rFonts w:ascii="Arial" w:hAnsi="Arial" w:cs="Arial"/>
          <w:i/>
          <w:iCs/>
        </w:rPr>
        <w:t xml:space="preserve"> </w:t>
      </w:r>
      <w:r w:rsidRPr="000E39AA">
        <w:rPr>
          <w:rFonts w:ascii="Arial" w:hAnsi="Arial" w:cs="Arial"/>
        </w:rPr>
        <w:t>and</w:t>
      </w:r>
      <w:r w:rsidRPr="000E39AA">
        <w:rPr>
          <w:rFonts w:ascii="Arial" w:hAnsi="Arial" w:cs="Arial"/>
          <w:i/>
          <w:iCs/>
        </w:rPr>
        <w:t xml:space="preserve"> </w:t>
      </w:r>
      <w:r>
        <w:rPr>
          <w:rFonts w:ascii="Arial" w:hAnsi="Arial" w:cs="Arial"/>
          <w:i/>
          <w:iCs/>
        </w:rPr>
        <w:t>in vitro</w:t>
      </w:r>
      <w:r w:rsidRPr="000E39AA">
        <w:rPr>
          <w:rFonts w:ascii="Arial" w:hAnsi="Arial" w:cs="Arial"/>
        </w:rPr>
        <w:t xml:space="preserve"> models, highlighting the most effective </w:t>
      </w:r>
      <w:r>
        <w:rPr>
          <w:rFonts w:ascii="Arial" w:hAnsi="Arial" w:cs="Arial"/>
        </w:rPr>
        <w:t>platforms</w:t>
      </w:r>
      <w:r w:rsidRPr="000E39AA">
        <w:rPr>
          <w:rFonts w:ascii="Arial" w:hAnsi="Arial" w:cs="Arial"/>
        </w:rPr>
        <w:t xml:space="preserve"> involved </w:t>
      </w:r>
      <w:r>
        <w:rPr>
          <w:rFonts w:ascii="Arial" w:hAnsi="Arial" w:cs="Arial"/>
        </w:rPr>
        <w:t xml:space="preserve">in </w:t>
      </w:r>
      <w:r w:rsidRPr="000E39AA">
        <w:rPr>
          <w:rFonts w:ascii="Arial" w:hAnsi="Arial" w:cs="Arial"/>
        </w:rPr>
        <w:t>delineating the pain process</w:t>
      </w:r>
      <w:r>
        <w:rPr>
          <w:rFonts w:ascii="Arial" w:hAnsi="Arial" w:cs="Arial"/>
        </w:rPr>
        <w:t xml:space="preserve">es. Ultimately, a focus on </w:t>
      </w:r>
      <w:r w:rsidR="00C93FCF">
        <w:rPr>
          <w:rFonts w:ascii="Arial" w:hAnsi="Arial" w:cs="Arial"/>
        </w:rPr>
        <w:t>current</w:t>
      </w:r>
      <w:r>
        <w:rPr>
          <w:rFonts w:ascii="Arial" w:hAnsi="Arial" w:cs="Arial"/>
        </w:rPr>
        <w:t xml:space="preserve"> research </w:t>
      </w:r>
      <w:r w:rsidR="00B961CA">
        <w:rPr>
          <w:rFonts w:ascii="Arial" w:hAnsi="Arial" w:cs="Arial"/>
        </w:rPr>
        <w:t>in the</w:t>
      </w:r>
      <w:r>
        <w:rPr>
          <w:rFonts w:ascii="Arial" w:hAnsi="Arial" w:cs="Arial"/>
        </w:rPr>
        <w:t xml:space="preserve"> skeletal pain modelling platforms </w:t>
      </w:r>
      <w:r w:rsidR="00627710">
        <w:rPr>
          <w:rFonts w:ascii="Arial" w:hAnsi="Arial" w:cs="Arial"/>
        </w:rPr>
        <w:t xml:space="preserve">is presented and the rich vistas of opportunity therein together with a detailed evaluation of future trends and perspectives for the engineering </w:t>
      </w:r>
      <w:r>
        <w:rPr>
          <w:rFonts w:ascii="Arial" w:hAnsi="Arial" w:cs="Arial"/>
        </w:rPr>
        <w:t xml:space="preserve">of </w:t>
      </w:r>
      <w:r>
        <w:rPr>
          <w:rFonts w:ascii="Arial" w:hAnsi="Arial" w:cs="Arial"/>
          <w:i/>
          <w:iCs/>
        </w:rPr>
        <w:t>in vitro</w:t>
      </w:r>
      <w:r>
        <w:rPr>
          <w:rFonts w:ascii="Arial" w:hAnsi="Arial" w:cs="Arial"/>
        </w:rPr>
        <w:t xml:space="preserve"> </w:t>
      </w:r>
      <w:r w:rsidRPr="000E39AA">
        <w:rPr>
          <w:rFonts w:ascii="Arial" w:hAnsi="Arial" w:cs="Arial"/>
        </w:rPr>
        <w:t>skeletal disruption</w:t>
      </w:r>
      <w:r>
        <w:rPr>
          <w:rFonts w:ascii="Arial" w:hAnsi="Arial" w:cs="Arial"/>
        </w:rPr>
        <w:t xml:space="preserve"> and pain. </w:t>
      </w:r>
      <w:r w:rsidRPr="000E39AA">
        <w:rPr>
          <w:rFonts w:ascii="Arial" w:hAnsi="Arial" w:cs="Arial"/>
        </w:rPr>
        <w:t xml:space="preserve"> </w:t>
      </w:r>
    </w:p>
    <w:p w14:paraId="30A50682" w14:textId="77777777" w:rsidR="00F03759" w:rsidRPr="000E39AA" w:rsidRDefault="00F03759" w:rsidP="00F03759">
      <w:pPr>
        <w:autoSpaceDE w:val="0"/>
        <w:autoSpaceDN w:val="0"/>
        <w:adjustRightInd w:val="0"/>
        <w:spacing w:after="0" w:line="276" w:lineRule="auto"/>
        <w:jc w:val="both"/>
        <w:rPr>
          <w:rFonts w:ascii="Arial" w:hAnsi="Arial" w:cs="Arial"/>
          <w:color w:val="1F3864" w:themeColor="accent1" w:themeShade="80"/>
        </w:rPr>
      </w:pPr>
    </w:p>
    <w:p w14:paraId="45F765C5" w14:textId="5AB2DF4A" w:rsidR="00F03759" w:rsidRPr="000E39AA" w:rsidRDefault="00F03759" w:rsidP="007478CE">
      <w:pPr>
        <w:pStyle w:val="Heading2"/>
      </w:pPr>
      <w:bookmarkStart w:id="5" w:name="_Toc98937864"/>
      <w:r w:rsidRPr="000E39AA">
        <w:t xml:space="preserve">Pathophysiology of cancer and </w:t>
      </w:r>
      <w:r w:rsidR="00F22E6D">
        <w:t>trauma</w:t>
      </w:r>
      <w:r w:rsidRPr="000E39AA">
        <w:t xml:space="preserve"> fracture bone pain</w:t>
      </w:r>
      <w:bookmarkEnd w:id="5"/>
    </w:p>
    <w:p w14:paraId="3F0815CD" w14:textId="77777777" w:rsidR="00F03759" w:rsidRPr="000E39AA" w:rsidRDefault="00F03759" w:rsidP="00F03759">
      <w:pPr>
        <w:autoSpaceDE w:val="0"/>
        <w:autoSpaceDN w:val="0"/>
        <w:adjustRightInd w:val="0"/>
        <w:spacing w:after="0" w:line="276" w:lineRule="auto"/>
        <w:jc w:val="both"/>
        <w:rPr>
          <w:rFonts w:ascii="Arial" w:hAnsi="Arial" w:cs="Arial"/>
          <w:b/>
          <w:bCs/>
        </w:rPr>
      </w:pPr>
    </w:p>
    <w:p w14:paraId="34392E25" w14:textId="22920BBF" w:rsidR="00F03759" w:rsidRPr="000E39AA" w:rsidRDefault="00F03759" w:rsidP="00F03759">
      <w:pPr>
        <w:autoSpaceDE w:val="0"/>
        <w:autoSpaceDN w:val="0"/>
        <w:adjustRightInd w:val="0"/>
        <w:spacing w:after="0" w:line="276" w:lineRule="auto"/>
        <w:jc w:val="both"/>
        <w:rPr>
          <w:rFonts w:ascii="Arial" w:hAnsi="Arial" w:cs="Arial"/>
        </w:rPr>
      </w:pPr>
      <w:r w:rsidRPr="000E39AA">
        <w:rPr>
          <w:rFonts w:ascii="Arial" w:hAnsi="Arial" w:cs="Arial"/>
        </w:rPr>
        <w:t xml:space="preserve">Unlike other types of physical discomfort, the pathogenesis of bone pain is still poorly understood due to the complexity of the underlying functional mechanisms </w:t>
      </w:r>
      <w:r w:rsidRPr="000E39AA">
        <w:rPr>
          <w:rFonts w:ascii="Arial" w:hAnsi="Arial" w:cs="Arial"/>
        </w:rPr>
        <w:fldChar w:fldCharType="begin" w:fldLock="1"/>
      </w:r>
      <w:r w:rsidR="000D250C">
        <w:rPr>
          <w:rFonts w:ascii="Arial" w:hAnsi="Arial" w:cs="Arial"/>
        </w:rPr>
        <w:instrText>ADDIN CSL_CITATION {"citationItems":[{"id":"ITEM-1","itemData":{"DOI":"10.1080/00016470152846682","ISSN":"00016470","PMID":"11480611","author":[{"dropping-particle":"","family":"Haegerstam","given":"Glenn A.T.","non-dropping-particle":"","parse-names":false,"suffix":""}],"container-title":"Acta Orthopaedica Scandinavica","id":"ITEM-1","issue":"3","issued":{"date-parts":[["2001"]]},"page":"308-317","title":"Pathophysiology of bone pain: A review","type":"article-journal","volume":"72"},"uris":["http://www.mendeley.com/documents/?uuid=299eb7d3-ecec-49f5-96fb-2adcc87a2843"]}],"mendeley":{"formattedCitation":"[6]","plainTextFormattedCitation":"[6]","previouslyFormattedCitation":"[6]"},"properties":{"noteIndex":0},"schema":"https://github.com/citation-style-language/schema/raw/master/csl-citation.json"}</w:instrText>
      </w:r>
      <w:r w:rsidRPr="000E39AA">
        <w:rPr>
          <w:rFonts w:ascii="Arial" w:hAnsi="Arial" w:cs="Arial"/>
        </w:rPr>
        <w:fldChar w:fldCharType="separate"/>
      </w:r>
      <w:r w:rsidR="00BC139B" w:rsidRPr="00BC139B">
        <w:rPr>
          <w:rFonts w:ascii="Arial" w:hAnsi="Arial" w:cs="Arial"/>
          <w:noProof/>
        </w:rPr>
        <w:t>[6]</w:t>
      </w:r>
      <w:r w:rsidRPr="000E39AA">
        <w:rPr>
          <w:rFonts w:ascii="Arial" w:hAnsi="Arial" w:cs="Arial"/>
        </w:rPr>
        <w:fldChar w:fldCharType="end"/>
      </w:r>
      <w:r w:rsidRPr="000E39AA">
        <w:rPr>
          <w:rFonts w:ascii="Arial" w:hAnsi="Arial" w:cs="Arial"/>
        </w:rPr>
        <w:t xml:space="preserve">. Indeed, pain affecting musculoskeletal system does not occur simply through a mechanical distortion of the nociceptive fibres but involves a plethora of supplementary mechanisms </w:t>
      </w:r>
      <w:r w:rsidRPr="000E39AA">
        <w:rPr>
          <w:rFonts w:ascii="Arial" w:hAnsi="Arial" w:cs="Arial"/>
        </w:rPr>
        <w:fldChar w:fldCharType="begin" w:fldLock="1"/>
      </w:r>
      <w:r w:rsidR="000D250C">
        <w:rPr>
          <w:rFonts w:ascii="Arial" w:hAnsi="Arial" w:cs="Arial"/>
        </w:rPr>
        <w:instrText>ADDIN CSL_CITATION {"citationItems":[{"id":"ITEM-1","itemData":{"DOI":"10.1007/s11914-018-0446-8","ISBN":"1191401804","ISSN":"15442241","PMID":"29948820","abstract":"Purpose of Review: This paper describes recent advances in understanding the mechanisms that drive fracture pain and how these findings are helping develop new therapies to treat fracture pain. Recent Findings: Immediately following fracture, mechanosensitive nerve fibers that innervate bone are mechanically distorted. This results in these nerve fibers rapidly discharging and signaling the initial sharp fracture pain to the brain. Within minutes to hours, a host of neurotransmitters, cytokines, and nerve growth factor are released by cells at the fracture site. These factors stimulate, sensitize, and induce ectopic nerve sprouting of the sensory and sympathetic nerve fibers which drive the sharp pain upon movement and the dull aching pain at rest. If rapid and effective healing of the fracture occurs, these factors return to baseline and the pain subsides, but if not, these factors can drive chronic bone pain. Summary: New mechanism-based therapies have the potential to fundamentally change the way acute and chronic fracture pain is managed.","author":[{"dropping-particle":"","family":"Mitchell","given":"Stefanie A.T.","non-dropping-particle":"","parse-names":false,"suffix":""},{"dropping-particle":"","family":"Majuta","given":"Lisa A.","non-dropping-particle":"","parse-names":false,"suffix":""},{"dropping-particle":"","family":"Mantyh","given":"Patrick W.","non-dropping-particle":"","parse-names":false,"suffix":""}],"container-title":"Current Osteoporosis Reports","id":"ITEM-1","issue":"4","issued":{"date-parts":[["2018"]]},"page":"325-332","title":"New Insights in Understanding and Treating Bone Fracture Pain","type":"article-journal","volume":"16"},"uris":["http://www.mendeley.com/documents/?uuid=1a62e34d-5477-4ba4-aa76-63cb82ff2fc1"]}],"mendeley":{"formattedCitation":"[13]","plainTextFormattedCitation":"[13]","previouslyFormattedCitation":"[13]"},"properties":{"noteIndex":0},"schema":"https://github.com/citation-style-language/schema/raw/master/csl-citation.json"}</w:instrText>
      </w:r>
      <w:r w:rsidRPr="000E39AA">
        <w:rPr>
          <w:rFonts w:ascii="Arial" w:hAnsi="Arial" w:cs="Arial"/>
        </w:rPr>
        <w:fldChar w:fldCharType="separate"/>
      </w:r>
      <w:r w:rsidR="00BC139B" w:rsidRPr="00BC139B">
        <w:rPr>
          <w:rFonts w:ascii="Arial" w:hAnsi="Arial" w:cs="Arial"/>
          <w:noProof/>
        </w:rPr>
        <w:t>[13]</w:t>
      </w:r>
      <w:r w:rsidRPr="000E39AA">
        <w:rPr>
          <w:rFonts w:ascii="Arial" w:hAnsi="Arial" w:cs="Arial"/>
        </w:rPr>
        <w:fldChar w:fldCharType="end"/>
      </w:r>
      <w:r w:rsidRPr="000E39AA">
        <w:rPr>
          <w:rFonts w:ascii="Arial" w:hAnsi="Arial" w:cs="Arial"/>
        </w:rPr>
        <w:t xml:space="preserve"> (</w:t>
      </w:r>
      <w:r w:rsidRPr="000E39AA">
        <w:rPr>
          <w:rFonts w:ascii="Arial" w:hAnsi="Arial" w:cs="Arial"/>
          <w:b/>
          <w:bCs/>
        </w:rPr>
        <w:t>Fig</w:t>
      </w:r>
      <w:r w:rsidR="003553F2">
        <w:rPr>
          <w:rFonts w:ascii="Arial" w:hAnsi="Arial" w:cs="Arial"/>
          <w:b/>
          <w:bCs/>
        </w:rPr>
        <w:t>.</w:t>
      </w:r>
      <w:r w:rsidRPr="000E39AA">
        <w:rPr>
          <w:rFonts w:ascii="Arial" w:hAnsi="Arial" w:cs="Arial"/>
          <w:b/>
          <w:bCs/>
        </w:rPr>
        <w:t xml:space="preserve"> 1</w:t>
      </w:r>
      <w:r w:rsidRPr="000E39AA">
        <w:rPr>
          <w:rFonts w:ascii="Arial" w:hAnsi="Arial" w:cs="Arial"/>
        </w:rPr>
        <w:t xml:space="preserve">). </w:t>
      </w:r>
    </w:p>
    <w:p w14:paraId="10ABFEA9" w14:textId="77777777" w:rsidR="00F03759" w:rsidRPr="000E39AA" w:rsidRDefault="00F03759" w:rsidP="00F03759">
      <w:pPr>
        <w:autoSpaceDE w:val="0"/>
        <w:autoSpaceDN w:val="0"/>
        <w:adjustRightInd w:val="0"/>
        <w:spacing w:after="0" w:line="276" w:lineRule="auto"/>
        <w:jc w:val="both"/>
        <w:rPr>
          <w:rFonts w:ascii="Arial" w:hAnsi="Arial" w:cs="Arial"/>
        </w:rPr>
      </w:pPr>
    </w:p>
    <w:p w14:paraId="31555C3B" w14:textId="77777777" w:rsidR="00F03759" w:rsidRPr="000E39AA" w:rsidRDefault="00F03759" w:rsidP="00F03759">
      <w:pPr>
        <w:autoSpaceDE w:val="0"/>
        <w:autoSpaceDN w:val="0"/>
        <w:adjustRightInd w:val="0"/>
        <w:spacing w:after="0" w:line="276" w:lineRule="auto"/>
        <w:jc w:val="both"/>
        <w:rPr>
          <w:rFonts w:ascii="Arial" w:hAnsi="Arial" w:cs="Arial"/>
        </w:rPr>
      </w:pPr>
    </w:p>
    <w:p w14:paraId="32C01E2C" w14:textId="77777777" w:rsidR="00F03759" w:rsidRPr="000E39AA" w:rsidRDefault="00F03759" w:rsidP="00F03759">
      <w:pPr>
        <w:autoSpaceDE w:val="0"/>
        <w:autoSpaceDN w:val="0"/>
        <w:adjustRightInd w:val="0"/>
        <w:spacing w:after="0" w:line="276" w:lineRule="auto"/>
        <w:jc w:val="both"/>
        <w:rPr>
          <w:rFonts w:ascii="Arial" w:hAnsi="Arial" w:cs="Arial"/>
        </w:rPr>
      </w:pPr>
    </w:p>
    <w:p w14:paraId="0F52568E" w14:textId="77777777" w:rsidR="00F03759" w:rsidRPr="000E39AA" w:rsidRDefault="00F03759" w:rsidP="00F03759">
      <w:pPr>
        <w:autoSpaceDE w:val="0"/>
        <w:autoSpaceDN w:val="0"/>
        <w:adjustRightInd w:val="0"/>
        <w:spacing w:after="0" w:line="276" w:lineRule="auto"/>
        <w:jc w:val="center"/>
        <w:rPr>
          <w:rFonts w:ascii="Arial" w:hAnsi="Arial" w:cs="Arial"/>
        </w:rPr>
      </w:pPr>
    </w:p>
    <w:p w14:paraId="64CF2D85" w14:textId="3EDBBDD7" w:rsidR="00F03759" w:rsidRPr="000E39AA" w:rsidRDefault="001301CD" w:rsidP="00F03759">
      <w:pPr>
        <w:keepNext/>
        <w:autoSpaceDE w:val="0"/>
        <w:autoSpaceDN w:val="0"/>
        <w:adjustRightInd w:val="0"/>
        <w:spacing w:after="0" w:line="276" w:lineRule="auto"/>
        <w:jc w:val="both"/>
      </w:pPr>
      <w:r>
        <w:rPr>
          <w:rFonts w:ascii="Arial" w:hAnsi="Arial"/>
          <w:noProof/>
        </w:rPr>
        <w:lastRenderedPageBreak/>
        <w:drawing>
          <wp:inline distT="0" distB="0" distL="0" distR="0" wp14:anchorId="5056AFF6" wp14:editId="2A9C0796">
            <wp:extent cx="5724525" cy="21240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24525" cy="2124075"/>
                    </a:xfrm>
                    <a:prstGeom prst="rect">
                      <a:avLst/>
                    </a:prstGeom>
                    <a:noFill/>
                    <a:ln>
                      <a:noFill/>
                    </a:ln>
                  </pic:spPr>
                </pic:pic>
              </a:graphicData>
            </a:graphic>
          </wp:inline>
        </w:drawing>
      </w:r>
    </w:p>
    <w:p w14:paraId="5BA2FCF3" w14:textId="0BC66EC4" w:rsidR="00BC139B" w:rsidRPr="004A37CC" w:rsidRDefault="00BC139B" w:rsidP="00BC139B">
      <w:pPr>
        <w:pStyle w:val="Caption"/>
        <w:jc w:val="both"/>
        <w:rPr>
          <w:rFonts w:ascii="Arial" w:hAnsi="Arial" w:cs="Arial"/>
          <w:i w:val="0"/>
          <w:iCs w:val="0"/>
          <w:color w:val="auto"/>
        </w:rPr>
      </w:pPr>
      <w:bookmarkStart w:id="6" w:name="_Toc98841721"/>
      <w:bookmarkStart w:id="7" w:name="_Toc98841722"/>
      <w:bookmarkStart w:id="8" w:name="_Toc98841723"/>
      <w:bookmarkStart w:id="9" w:name="_Toc98841724"/>
      <w:bookmarkStart w:id="10" w:name="_Toc98841725"/>
      <w:bookmarkStart w:id="11" w:name="_Toc98841726"/>
      <w:bookmarkStart w:id="12" w:name="_Toc98841727"/>
      <w:bookmarkStart w:id="13" w:name="_Toc98841728"/>
      <w:bookmarkStart w:id="14" w:name="_Toc98841729"/>
      <w:bookmarkStart w:id="15" w:name="_Toc98841730"/>
      <w:bookmarkStart w:id="16" w:name="_Toc98841731"/>
      <w:bookmarkStart w:id="17" w:name="_Toc98841732"/>
      <w:bookmarkStart w:id="18" w:name="_Toc98937865"/>
      <w:bookmarkEnd w:id="4"/>
      <w:bookmarkEnd w:id="6"/>
      <w:bookmarkEnd w:id="7"/>
      <w:bookmarkEnd w:id="8"/>
      <w:bookmarkEnd w:id="9"/>
      <w:bookmarkEnd w:id="10"/>
      <w:bookmarkEnd w:id="11"/>
      <w:bookmarkEnd w:id="12"/>
      <w:bookmarkEnd w:id="13"/>
      <w:bookmarkEnd w:id="14"/>
      <w:bookmarkEnd w:id="15"/>
      <w:bookmarkEnd w:id="16"/>
      <w:bookmarkEnd w:id="17"/>
      <w:r w:rsidRPr="004A37CC">
        <w:rPr>
          <w:rFonts w:ascii="Arial" w:hAnsi="Arial" w:cs="Arial"/>
          <w:b/>
          <w:bCs/>
          <w:i w:val="0"/>
          <w:iCs w:val="0"/>
          <w:color w:val="auto"/>
        </w:rPr>
        <w:t>Fig</w:t>
      </w:r>
      <w:r>
        <w:rPr>
          <w:rFonts w:ascii="Arial" w:hAnsi="Arial" w:cs="Arial"/>
          <w:b/>
          <w:bCs/>
          <w:i w:val="0"/>
          <w:iCs w:val="0"/>
          <w:color w:val="auto"/>
        </w:rPr>
        <w:t>.</w:t>
      </w:r>
      <w:r w:rsidRPr="004A37CC">
        <w:rPr>
          <w:rFonts w:ascii="Arial" w:hAnsi="Arial" w:cs="Arial"/>
          <w:b/>
          <w:bCs/>
          <w:i w:val="0"/>
          <w:iCs w:val="0"/>
          <w:color w:val="auto"/>
        </w:rPr>
        <w:t xml:space="preserve"> </w:t>
      </w:r>
      <w:r w:rsidRPr="004A37CC">
        <w:rPr>
          <w:rFonts w:ascii="Arial" w:hAnsi="Arial" w:cs="Arial"/>
          <w:b/>
          <w:bCs/>
          <w:i w:val="0"/>
          <w:iCs w:val="0"/>
          <w:color w:val="auto"/>
        </w:rPr>
        <w:fldChar w:fldCharType="begin"/>
      </w:r>
      <w:r w:rsidRPr="004A37CC">
        <w:rPr>
          <w:rFonts w:ascii="Arial" w:hAnsi="Arial" w:cs="Arial"/>
          <w:b/>
          <w:bCs/>
          <w:i w:val="0"/>
          <w:iCs w:val="0"/>
          <w:color w:val="auto"/>
        </w:rPr>
        <w:instrText xml:space="preserve"> SEQ Figure \* ARABIC </w:instrText>
      </w:r>
      <w:r w:rsidRPr="004A37CC">
        <w:rPr>
          <w:rFonts w:ascii="Arial" w:hAnsi="Arial" w:cs="Arial"/>
          <w:b/>
          <w:bCs/>
          <w:i w:val="0"/>
          <w:iCs w:val="0"/>
          <w:color w:val="auto"/>
        </w:rPr>
        <w:fldChar w:fldCharType="separate"/>
      </w:r>
      <w:r w:rsidRPr="004A37CC">
        <w:rPr>
          <w:rFonts w:ascii="Arial" w:hAnsi="Arial" w:cs="Arial"/>
          <w:b/>
          <w:bCs/>
          <w:i w:val="0"/>
          <w:iCs w:val="0"/>
          <w:noProof/>
          <w:color w:val="auto"/>
        </w:rPr>
        <w:t>1</w:t>
      </w:r>
      <w:r w:rsidRPr="004A37CC">
        <w:rPr>
          <w:rFonts w:ascii="Arial" w:hAnsi="Arial" w:cs="Arial"/>
          <w:b/>
          <w:bCs/>
          <w:i w:val="0"/>
          <w:iCs w:val="0"/>
          <w:color w:val="auto"/>
        </w:rPr>
        <w:fldChar w:fldCharType="end"/>
      </w:r>
      <w:r w:rsidRPr="004A37CC">
        <w:rPr>
          <w:rFonts w:ascii="Arial" w:hAnsi="Arial" w:cs="Arial"/>
          <w:i w:val="0"/>
          <w:iCs w:val="0"/>
          <w:color w:val="auto"/>
        </w:rPr>
        <w:t xml:space="preserve"> Bone pain mechanism. Bone pain cycle between osteoclasts, cancer cells and bone fractures in osteolytic metastases. Bone-derived growth factors promote proliferation and stimulate epithelial–mesenchymal transition (EMT) of cancer cells and the production of bone-modifying cytokines, in bone-colonizing cancer cells. These factors further stimulate osteoclastic bone resorption via activation of receptor activator of the nuclear factor-kB (RANKL)/RANK pathway in osteoblasts and osteoclasts, increasing the release of bone-stored growth factors. Osteoclasts activity induces a local acidosis increasing TRPV1 and ASIC3 ion channels activity of nociceptor fibres. The response is sent to the central nervous system (CNS) via dorsal root ganglion (DRG) together with mechanical stimulation due to the growing tumour mass-induced bone fractures</w:t>
      </w:r>
    </w:p>
    <w:p w14:paraId="7AB8A5CD" w14:textId="77777777" w:rsidR="00F03759" w:rsidRPr="000E39AA" w:rsidRDefault="00F03759" w:rsidP="00F03759">
      <w:pPr>
        <w:pStyle w:val="Heading3"/>
      </w:pPr>
      <w:r w:rsidRPr="000E39AA">
        <w:t>Mechanisms of cancer bone pain</w:t>
      </w:r>
      <w:bookmarkEnd w:id="18"/>
    </w:p>
    <w:p w14:paraId="18BDB345" w14:textId="41BC7DD5" w:rsidR="00F03759" w:rsidRPr="000E39AA" w:rsidRDefault="00F03759" w:rsidP="00F03759">
      <w:pPr>
        <w:autoSpaceDE w:val="0"/>
        <w:autoSpaceDN w:val="0"/>
        <w:adjustRightInd w:val="0"/>
        <w:spacing w:after="0" w:line="276" w:lineRule="auto"/>
        <w:jc w:val="both"/>
        <w:rPr>
          <w:rFonts w:ascii="Arial" w:hAnsi="Arial" w:cs="Arial"/>
          <w:shd w:val="clear" w:color="auto" w:fill="FFFFFF"/>
        </w:rPr>
      </w:pPr>
      <w:bookmarkStart w:id="19" w:name="_Toc98841734"/>
      <w:bookmarkStart w:id="20" w:name="_Toc98841735"/>
      <w:bookmarkStart w:id="21" w:name="_Toc98841736"/>
      <w:bookmarkStart w:id="22" w:name="_Hlk95796292"/>
      <w:bookmarkEnd w:id="19"/>
      <w:bookmarkEnd w:id="20"/>
      <w:bookmarkEnd w:id="21"/>
      <w:r w:rsidRPr="000E39AA">
        <w:rPr>
          <w:rFonts w:ascii="Arial" w:hAnsi="Arial" w:cs="Arial"/>
          <w:shd w:val="clear" w:color="auto" w:fill="FFFFFF"/>
        </w:rPr>
        <w:t xml:space="preserve">Cancer bone pain mechanisms are complex and heterogeneous typically involving elements of inflammatory and neuropathic pain, with neuro-chemical changes from peripheral, spinal and central sites </w:t>
      </w:r>
      <w:r w:rsidRPr="000E39AA">
        <w:rPr>
          <w:rFonts w:ascii="Arial" w:hAnsi="Arial" w:cs="Arial"/>
          <w:shd w:val="clear" w:color="auto" w:fill="FFFFFF"/>
        </w:rPr>
        <w:fldChar w:fldCharType="begin" w:fldLock="1"/>
      </w:r>
      <w:r w:rsidR="000D250C">
        <w:rPr>
          <w:rFonts w:ascii="Arial" w:hAnsi="Arial" w:cs="Arial"/>
          <w:shd w:val="clear" w:color="auto" w:fill="FFFFFF"/>
        </w:rPr>
        <w:instrText>ADDIN CSL_CITATION {"citationItems":[{"id":"ITEM-1","itemData":{"DOI":"10.1200/JCO.2013.51.7219","ISSN":"15277755","PMID":"24799469","abstract":"Cancer pain, especially pain caused by metastasis to bone, is a severe type of pain, and unless the cause and consequences can be resolved, the pain will become chronic. As detection and survival among patients with cancer have improved, pain has become an increasing challenge, because traditional therapies are often only partially effective. Until recently, knowledge of cancer pain mechanisms was poor compared with understanding of neuropathic and inflammatory pain states. We now view cancer-induced bone pain as a complex pain state involving components of both inflammatory and neuropathic pain but also exhibiting elements that seem unique to cancer pain. In addition, the pain state is often unpredictable, and the intensity of the pain is highly variable, making it difficult to manage. The establishment of translational animal models has started to reveal some of the molecular components involved in cancer pain. We present the essential pharmacologic and neurobiologic mechanisms involved in the generation and continuance of cancer-induced bone pain and discuss these in the context of understanding and treating patients. We discuss changes in peripheral signaling in the area of tumor growth, examine spinal cord mechanisms of sensitization, and finally address central processing. Our aim is to provide a mechanistic background for the sensory characteristics of cancer-induced bone pain as a basis for better understanding and treating this condition. © 2014 by American Society of Clinical Oncology.","author":[{"dropping-particle":"","family":"Falk","given":"Sarah","non-dropping-particle":"","parse-names":false,"suffix":""},{"dropping-particle":"","family":"Dickenson","given":"Anthony H.","non-dropping-particle":"","parse-names":false,"suffix":""}],"container-title":"Journal of Clinical Oncology","id":"ITEM-1","issue":"16","issued":{"date-parts":[["2014"]]},"page":"1647-1654","title":"Pain and nociception: Mechanisms of cancer-induced bone pain","type":"article-journal","volume":"32"},"uris":["http://www.mendeley.com/documents/?uuid=0c7c5899-5923-4b87-b03a-43e4c8ab469a"]}],"mendeley":{"formattedCitation":"[7]","plainTextFormattedCitation":"[7]","previouslyFormattedCitation":"[7]"},"properties":{"noteIndex":0},"schema":"https://github.com/citation-style-language/schema/raw/master/csl-citation.json"}</w:instrText>
      </w:r>
      <w:r w:rsidRPr="000E39AA">
        <w:rPr>
          <w:rFonts w:ascii="Arial" w:hAnsi="Arial" w:cs="Arial"/>
          <w:shd w:val="clear" w:color="auto" w:fill="FFFFFF"/>
        </w:rPr>
        <w:fldChar w:fldCharType="separate"/>
      </w:r>
      <w:r w:rsidR="00BC139B" w:rsidRPr="00BC139B">
        <w:rPr>
          <w:rFonts w:ascii="Arial" w:hAnsi="Arial" w:cs="Arial"/>
          <w:noProof/>
          <w:shd w:val="clear" w:color="auto" w:fill="FFFFFF"/>
        </w:rPr>
        <w:t>[7]</w:t>
      </w:r>
      <w:r w:rsidRPr="000E39AA">
        <w:rPr>
          <w:rFonts w:ascii="Arial" w:hAnsi="Arial" w:cs="Arial"/>
          <w:shd w:val="clear" w:color="auto" w:fill="FFFFFF"/>
        </w:rPr>
        <w:fldChar w:fldCharType="end"/>
      </w:r>
      <w:r w:rsidRPr="000E39AA">
        <w:rPr>
          <w:rFonts w:ascii="Arial" w:hAnsi="Arial" w:cs="Arial"/>
          <w:shd w:val="clear" w:color="auto" w:fill="FFFFFF"/>
        </w:rPr>
        <w:t xml:space="preserve">. The inflammatory process arising from the bone lesion produced by the growing </w:t>
      </w:r>
      <w:r w:rsidR="00DC024D" w:rsidRPr="000E39AA">
        <w:rPr>
          <w:rFonts w:ascii="Arial" w:hAnsi="Arial" w:cs="Arial"/>
          <w:shd w:val="clear" w:color="auto" w:fill="FFFFFF"/>
        </w:rPr>
        <w:t>tumour</w:t>
      </w:r>
      <w:r w:rsidRPr="000E39AA">
        <w:rPr>
          <w:rFonts w:ascii="Arial" w:hAnsi="Arial" w:cs="Arial"/>
          <w:shd w:val="clear" w:color="auto" w:fill="FFFFFF"/>
        </w:rPr>
        <w:t xml:space="preserve"> mass involves cancer cells which release pain mediators, contributing to attract additional immune cells to the lesion site further stimulating nociceptive fibres </w:t>
      </w:r>
      <w:r w:rsidRPr="000E39AA">
        <w:rPr>
          <w:rFonts w:ascii="Arial" w:hAnsi="Arial" w:cs="Arial"/>
          <w:shd w:val="clear" w:color="auto" w:fill="FFFFFF"/>
        </w:rPr>
        <w:fldChar w:fldCharType="begin" w:fldLock="1"/>
      </w:r>
      <w:r w:rsidR="000D250C">
        <w:rPr>
          <w:rFonts w:ascii="Arial" w:hAnsi="Arial" w:cs="Arial"/>
          <w:shd w:val="clear" w:color="auto" w:fill="FFFFFF"/>
        </w:rPr>
        <w:instrText>ADDIN CSL_CITATION {"citationItems":[{"id":"ITEM-1","itemData":{"DOI":"10.1200/JCO.2013.51.7219","ISSN":"15277755","PMID":"24799469","abstract":"Cancer pain, especially pain caused by metastasis to bone, is a severe type of pain, and unless the cause and consequences can be resolved, the pain will become chronic. As detection and survival among patients with cancer have improved, pain has become an increasing challenge, because traditional therapies are often only partially effective. Until recently, knowledge of cancer pain mechanisms was poor compared with understanding of neuropathic and inflammatory pain states. We now view cancer-induced bone pain as a complex pain state involving components of both inflammatory and neuropathic pain but also exhibiting elements that seem unique to cancer pain. In addition, the pain state is often unpredictable, and the intensity of the pain is highly variable, making it difficult to manage. The establishment of translational animal models has started to reveal some of the molecular components involved in cancer pain. We present the essential pharmacologic and neurobiologic mechanisms involved in the generation and continuance of cancer-induced bone pain and discuss these in the context of understanding and treating patients. We discuss changes in peripheral signaling in the area of tumor growth, examine spinal cord mechanisms of sensitization, and finally address central processing. Our aim is to provide a mechanistic background for the sensory characteristics of cancer-induced bone pain as a basis for better understanding and treating this condition. © 2014 by American Society of Clinical Oncology.","author":[{"dropping-particle":"","family":"Falk","given":"Sarah","non-dropping-particle":"","parse-names":false,"suffix":""},{"dropping-particle":"","family":"Dickenson","given":"Anthony H.","non-dropping-particle":"","parse-names":false,"suffix":""}],"container-title":"Journal of Clinical Oncology","id":"ITEM-1","issue":"16","issued":{"date-parts":[["2014"]]},"page":"1647-1654","title":"Pain and nociception: Mechanisms of cancer-induced bone pain","type":"article-journal","volume":"32"},"uris":["http://www.mendeley.com/documents/?uuid=0c7c5899-5923-4b87-b03a-43e4c8ab469a"]}],"mendeley":{"formattedCitation":"[7]","plainTextFormattedCitation":"[7]","previouslyFormattedCitation":"[7]"},"properties":{"noteIndex":0},"schema":"https://github.com/citation-style-language/schema/raw/master/csl-citation.json"}</w:instrText>
      </w:r>
      <w:r w:rsidRPr="000E39AA">
        <w:rPr>
          <w:rFonts w:ascii="Arial" w:hAnsi="Arial" w:cs="Arial"/>
          <w:shd w:val="clear" w:color="auto" w:fill="FFFFFF"/>
        </w:rPr>
        <w:fldChar w:fldCharType="separate"/>
      </w:r>
      <w:r w:rsidR="00BC139B" w:rsidRPr="00BC139B">
        <w:rPr>
          <w:rFonts w:ascii="Arial" w:hAnsi="Arial" w:cs="Arial"/>
          <w:noProof/>
          <w:shd w:val="clear" w:color="auto" w:fill="FFFFFF"/>
        </w:rPr>
        <w:t>[7]</w:t>
      </w:r>
      <w:r w:rsidRPr="000E39AA">
        <w:rPr>
          <w:rFonts w:ascii="Arial" w:hAnsi="Arial" w:cs="Arial"/>
          <w:shd w:val="clear" w:color="auto" w:fill="FFFFFF"/>
        </w:rPr>
        <w:fldChar w:fldCharType="end"/>
      </w:r>
      <w:r w:rsidRPr="000E39AA">
        <w:rPr>
          <w:rFonts w:ascii="Arial" w:hAnsi="Arial" w:cs="Arial"/>
          <w:shd w:val="clear" w:color="auto" w:fill="FFFFFF"/>
        </w:rPr>
        <w:t xml:space="preserve">. </w:t>
      </w:r>
      <w:bookmarkStart w:id="23" w:name="_Hlk98003956"/>
      <w:r w:rsidRPr="000E39AA">
        <w:rPr>
          <w:rFonts w:ascii="Arial" w:hAnsi="Arial" w:cs="Arial"/>
          <w:shd w:val="clear" w:color="auto" w:fill="FFFFFF"/>
        </w:rPr>
        <w:t xml:space="preserve">Osteolytic lesions are characterized by a rapid resorption of the bone resulting in bone fragility and subsequent fracture risk </w:t>
      </w:r>
      <w:r w:rsidRPr="000E39AA">
        <w:rPr>
          <w:rFonts w:ascii="Arial" w:hAnsi="Arial" w:cs="Arial"/>
          <w:shd w:val="clear" w:color="auto" w:fill="FFFFFF"/>
        </w:rPr>
        <w:fldChar w:fldCharType="begin" w:fldLock="1"/>
      </w:r>
      <w:r w:rsidR="000D250C">
        <w:rPr>
          <w:rFonts w:ascii="Arial" w:hAnsi="Arial" w:cs="Arial"/>
          <w:shd w:val="clear" w:color="auto" w:fill="FFFFFF"/>
        </w:rPr>
        <w:instrText>ADDIN CSL_CITATION {"citationItems":[{"id":"ITEM-1","itemData":{"DOI":"10.1016/j.euus.2005.09.006","ISSN":"15709124","abstract":"Metastatic disease is the cause of death in the majority of cancer patients. Bone marrow is a preferential site of metastasis in breast and prostate cancer, responsible for the majority of skeletal metastases. Micrometastases are often present in the bone marrow of cancer patients and may progress to overt metastases. The survival of these cells and the development of bone metastases depend on the growth support provided by the bone microenvironment and the ability of cancer cells to adapt to this environment, often mimicking the behaviour and gene expression of cells of the bone and bone marrow environment. Experimental evidence suggests that the growth support provided by the bone microenvironment is active during bone resorption. Increased bone turnover as it occurs with hormonal deprivation, therefore, might be a risk factor for developing bone metastases. Interference with bone turnover, however, offers a novel target for preventive and adjuvant therapies. In this review possible mechanisms and factors involved in the development and progression of bone metastases, as well as the molecular, biological and physiological processes of metastases, especially to the bone, are discussed. Furthermore the role of bisphosphonates in the prevention and treatment of bone metastases is reviewed. © 2005 Elsevier B.V. All rights reserved.","author":[{"dropping-particle":"","family":"Cecchini","given":"Marco G.","non-dropping-particle":"","parse-names":false,"suffix":""},{"dropping-particle":"","family":"Wetterwald","given":"Antoinette","non-dropping-particle":"","parse-names":false,"suffix":""},{"dropping-particle":"","family":"Pluijm","given":"Gabri","non-dropping-particle":"van der","parse-names":false,"suffix":""},{"dropping-particle":"","family":"Thalmann","given":"George N.","non-dropping-particle":"","parse-names":false,"suffix":""}],"container-title":"EAU Update Series","id":"ITEM-1","issue":"4","issued":{"date-parts":[["2005"]]},"page":"214-226","title":"Molecular and biological mechanisms of bone metastasis","type":"article-journal","volume":"3"},"uris":["http://www.mendeley.com/documents/?uuid=bf7b5e56-95ea-435e-bbfb-c969cf4f7744"]}],"mendeley":{"formattedCitation":"[14]","plainTextFormattedCitation":"[14]","previouslyFormattedCitation":"[14]"},"properties":{"noteIndex":0},"schema":"https://github.com/citation-style-language/schema/raw/master/csl-citation.json"}</w:instrText>
      </w:r>
      <w:r w:rsidRPr="000E39AA">
        <w:rPr>
          <w:rFonts w:ascii="Arial" w:hAnsi="Arial" w:cs="Arial"/>
          <w:shd w:val="clear" w:color="auto" w:fill="FFFFFF"/>
        </w:rPr>
        <w:fldChar w:fldCharType="separate"/>
      </w:r>
      <w:r w:rsidR="00BC139B" w:rsidRPr="00BC139B">
        <w:rPr>
          <w:rFonts w:ascii="Arial" w:hAnsi="Arial" w:cs="Arial"/>
          <w:noProof/>
          <w:shd w:val="clear" w:color="auto" w:fill="FFFFFF"/>
        </w:rPr>
        <w:t>[14]</w:t>
      </w:r>
      <w:r w:rsidRPr="000E39AA">
        <w:rPr>
          <w:rFonts w:ascii="Arial" w:hAnsi="Arial" w:cs="Arial"/>
          <w:shd w:val="clear" w:color="auto" w:fill="FFFFFF"/>
        </w:rPr>
        <w:fldChar w:fldCharType="end"/>
      </w:r>
      <w:r w:rsidRPr="000E39AA">
        <w:rPr>
          <w:rFonts w:ascii="Arial" w:hAnsi="Arial" w:cs="Arial"/>
          <w:shd w:val="clear" w:color="auto" w:fill="FFFFFF"/>
        </w:rPr>
        <w:t xml:space="preserve">. </w:t>
      </w:r>
      <w:bookmarkEnd w:id="23"/>
      <w:proofErr w:type="spellStart"/>
      <w:r w:rsidRPr="000E39AA">
        <w:rPr>
          <w:rFonts w:ascii="Arial" w:hAnsi="Arial" w:cs="Arial"/>
          <w:shd w:val="clear" w:color="auto" w:fill="FFFFFF"/>
        </w:rPr>
        <w:t>Osteoclastogenesis</w:t>
      </w:r>
      <w:proofErr w:type="spellEnd"/>
      <w:r w:rsidRPr="000E39AA">
        <w:rPr>
          <w:rFonts w:ascii="Arial" w:hAnsi="Arial" w:cs="Arial"/>
          <w:shd w:val="clear" w:color="auto" w:fill="FFFFFF"/>
        </w:rPr>
        <w:t xml:space="preserve"> is promoted by cancer cells via receptor activator of nuclear factor kappa-B ligand (RANKL) [14] stimulating osteoclast maturation, with a consequent reduction of the pH at the local micro-environment </w:t>
      </w:r>
      <w:r w:rsidRPr="000E39AA">
        <w:rPr>
          <w:rFonts w:ascii="Arial" w:hAnsi="Arial" w:cs="Arial"/>
          <w:shd w:val="clear" w:color="auto" w:fill="FFFFFF"/>
        </w:rPr>
        <w:fldChar w:fldCharType="begin" w:fldLock="1"/>
      </w:r>
      <w:r w:rsidR="000D250C">
        <w:rPr>
          <w:rFonts w:ascii="Arial" w:hAnsi="Arial" w:cs="Arial"/>
          <w:shd w:val="clear" w:color="auto" w:fill="FFFFFF"/>
        </w:rPr>
        <w:instrText>ADDIN CSL_CITATION {"citationItems":[{"id":"ITEM-1","itemData":{"DOI":"10.3390/cancers10050141","ISSN":"20726694","abstract":"Cancer-induced bone pain (CIBP) is the most common and painful complication in patients with bone metastases. It causes a significant reduction in patient quality of life. Available analgesic treatments for CIBP, such as opioids that target the central nervous system, come with severe side effects as well as the risk of abuse and addiction. Therefore, alternative treatments for CIBP are desperately needed. Although the exact mechanisms of CIBP have not been fully elucidated, recent studies using preclinical models have demonstrated the role of the bone marrow microenvironment (e.g., osteoclasts, osteoblasts, macrophages, mast cells, mesenchymal stem cells, and fibroblasts) in CIBP development. Several clinical trials have been performed based on these findings. CIBP is a complex and challenging condition that currently has no standard effective treatments other than opioids. Further studies are clearly warranted to better understand this painful condition and develop more effective and safer targeted therapies.","author":[{"dropping-particle":"","family":"Park","given":"Sun H.","non-dropping-particle":"","parse-names":false,"suffix":""},{"dropping-particle":"","family":"Eber","given":"Matthew R.","non-dropping-particle":"","parse-names":false,"suffix":""},{"dropping-particle":"","family":"Widner","given":"D. Brooke","non-dropping-particle":"","parse-names":false,"suffix":""},{"dropping-particle":"","family":"Shiozawa","given":"Yusuke","non-dropping-particle":"","parse-names":false,"suffix":""}],"container-title":"Cancers","id":"ITEM-1","issue":"5","issued":{"date-parts":[["2018"]]},"title":"Role of the bone microenvironment in the development of painful complications of skeletal metastases","type":"article-journal","volume":"10"},"uris":["http://www.mendeley.com/documents/?uuid=06e45cde-d23d-494b-9e78-c79ae75763ae"]},{"id":"ITEM-2","itemData":{"DOI":"10.1200/JCO.2013.51.7219","ISSN":"15277755","PMID":"24799469","abstract":"Cancer pain, especially pain caused by metastasis to bone, is a severe type of pain, and unless the cause and consequences can be resolved, the pain will become chronic. As detection and survival among patients with cancer have improved, pain has become an increasing challenge, because traditional therapies are often only partially effective. Until recently, knowledge of cancer pain mechanisms was poor compared with understanding of neuropathic and inflammatory pain states. We now view cancer-induced bone pain as a complex pain state involving components of both inflammatory and neuropathic pain but also exhibiting elements that seem unique to cancer pain. In addition, the pain state is often unpredictable, and the intensity of the pain is highly variable, making it difficult to manage. The establishment of translational animal models has started to reveal some of the molecular components involved in cancer pain. We present the essential pharmacologic and neurobiologic mechanisms involved in the generation and continuance of cancer-induced bone pain and discuss these in the context of understanding and treating patients. We discuss changes in peripheral signaling in the area of tumor growth, examine spinal cord mechanisms of sensitization, and finally address central processing. Our aim is to provide a mechanistic background for the sensory characteristics of cancer-induced bone pain as a basis for better understanding and treating this condition. © 2014 by American Society of Clinical Oncology.","author":[{"dropping-particle":"","family":"Falk","given":"Sarah","non-dropping-particle":"","parse-names":false,"suffix":""},{"dropping-particle":"","family":"Dickenson","given":"Anthony H.","non-dropping-particle":"","parse-names":false,"suffix":""}],"container-title":"Journal of Clinical Oncology","id":"ITEM-2","issue":"16","issued":{"date-parts":[["2014"]]},"page":"1647-1654","title":"Pain and nociception: Mechanisms of cancer-induced bone pain","type":"article-journal","volume":"32"},"uris":["http://www.mendeley.com/documents/?uuid=08a5b284-c808-4fc7-a2d3-1d74aec02f7c"]}],"mendeley":{"formattedCitation":"[7, 15]","plainTextFormattedCitation":"[7, 15]","previouslyFormattedCitation":"[7, 15]"},"properties":{"noteIndex":0},"schema":"https://github.com/citation-style-language/schema/raw/master/csl-citation.json"}</w:instrText>
      </w:r>
      <w:r w:rsidRPr="000E39AA">
        <w:rPr>
          <w:rFonts w:ascii="Arial" w:hAnsi="Arial" w:cs="Arial"/>
          <w:shd w:val="clear" w:color="auto" w:fill="FFFFFF"/>
        </w:rPr>
        <w:fldChar w:fldCharType="separate"/>
      </w:r>
      <w:r w:rsidR="00BC139B" w:rsidRPr="00BC139B">
        <w:rPr>
          <w:rFonts w:ascii="Arial" w:hAnsi="Arial" w:cs="Arial"/>
          <w:noProof/>
          <w:shd w:val="clear" w:color="auto" w:fill="FFFFFF"/>
        </w:rPr>
        <w:t>[7, 15]</w:t>
      </w:r>
      <w:r w:rsidRPr="000E39AA">
        <w:rPr>
          <w:rFonts w:ascii="Arial" w:hAnsi="Arial" w:cs="Arial"/>
          <w:shd w:val="clear" w:color="auto" w:fill="FFFFFF"/>
        </w:rPr>
        <w:fldChar w:fldCharType="end"/>
      </w:r>
      <w:r w:rsidRPr="000E39AA">
        <w:rPr>
          <w:rFonts w:ascii="Arial" w:hAnsi="Arial" w:cs="Arial"/>
          <w:shd w:val="clear" w:color="auto" w:fill="FFFFFF"/>
        </w:rPr>
        <w:t xml:space="preserve">.  </w:t>
      </w:r>
    </w:p>
    <w:p w14:paraId="4093130A" w14:textId="1DF5F70C" w:rsidR="00F03759" w:rsidRPr="000E39AA" w:rsidRDefault="00F03759" w:rsidP="00F03759">
      <w:pPr>
        <w:autoSpaceDE w:val="0"/>
        <w:autoSpaceDN w:val="0"/>
        <w:adjustRightInd w:val="0"/>
        <w:spacing w:after="0" w:line="276" w:lineRule="auto"/>
        <w:jc w:val="both"/>
        <w:rPr>
          <w:rFonts w:ascii="Arial" w:hAnsi="Arial" w:cs="Arial"/>
          <w:shd w:val="clear" w:color="auto" w:fill="FFFFFF"/>
        </w:rPr>
      </w:pPr>
      <w:r w:rsidRPr="000E39AA">
        <w:rPr>
          <w:rFonts w:ascii="Arial" w:hAnsi="Arial" w:cs="Arial"/>
          <w:shd w:val="clear" w:color="auto" w:fill="FFFFFF"/>
        </w:rPr>
        <w:t xml:space="preserve">The local acidosis, produced by osteoclast activity and cancer cell metabolism (Warburg effect), contributes to the sensitisation of the primary afferent neurons present in the bone </w:t>
      </w:r>
      <w:r w:rsidRPr="000E39AA">
        <w:rPr>
          <w:rFonts w:ascii="Arial" w:hAnsi="Arial" w:cs="Arial"/>
          <w:shd w:val="clear" w:color="auto" w:fill="FFFFFF"/>
        </w:rPr>
        <w:fldChar w:fldCharType="begin" w:fldLock="1"/>
      </w:r>
      <w:r w:rsidR="000D250C">
        <w:rPr>
          <w:rFonts w:ascii="Arial" w:hAnsi="Arial" w:cs="Arial"/>
          <w:shd w:val="clear" w:color="auto" w:fill="FFFFFF"/>
        </w:rPr>
        <w:instrText>ADDIN CSL_CITATION {"citationItems":[{"id":"ITEM-1","itemData":{"DOI":"10.1038/bonekey.2015.58","ISSN":"2047-6396","abstract":"Solid cancers and hematologic cancers frequently colonize bone and induce skeletal-related complications. Bone pain is one of the most common complications associated with cancer colonization in bone and a major cause of increased morbidity and diminished quality of life, leading to poor survival in cancer patients. Although the mechanisms responsible for cancer-associated bone pain (CABP) are poorly understood, it is likely that complex interactions among cancer cells, bone cells and peripheral nerve cells contribute to the pathophysiology of CABP. Clinical observations that specific inhibitors of osteoclasts reduce CABP indicate a critical role of osteoclasts. Osteoclasts are proton-secreting cells and acidify extracellular bone microenvironment. Cancer cell-colonized bone also releases proton/lactate to avoid intracellular acidification resulting from increased aerobic glycolysis known as the Warburg effect. Thus, extracellular microenvironment of cancer-colonized bone is acidic. Acidosis is algogenic for nociceptive sensory neurons. The bone is densely innervated by the sensory neurons that express acid-sensing nociceptors. Collectively, CABP is evoked by the activation of these nociceptors on the sensory neurons innervating bone by the acidic extracellular microenvironment created by bone-resorbing osteoclasts and bone-colonizing cancer cells. As current treatments do not satisfactorily control CABP and can elicit serious side effects, new therapeutic interventions are needed to manage CABP. Understanding of the cellular and molecular mechanism by which the acidic extracellular microenvironment is created in cancer-colonized bone and by which the expression and function of the acid-sensing nociceptors on the sensory neurons are regulated would facilitate to develop novel therapeutic approaches for the management of CABP.","author":[{"dropping-particle":"","family":"Yoneda","given":"Toshiyuki","non-dropping-particle":"","parse-names":false,"suffix":""},{"dropping-particle":"","family":"Hiasa","given":"Masahiro","non-dropping-particle":"","parse-names":false,"suffix":""},{"dropping-particle":"","family":"Nagata","given":"Yuki","non-dropping-particle":"","parse-names":false,"suffix":""},{"dropping-particle":"","family":"Okui","given":"Tatsuo","non-dropping-particle":"","parse-names":false,"suffix":""},{"dropping-particle":"","family":"White","given":"Fletcher A","non-dropping-particle":"","parse-names":false,"suffix":""}],"container-title":"BoneKEy Reports","id":"ITEM-1","issue":"May","issued":{"date-parts":[["2015"]]},"page":"1-9","publisher":"Nature Publishing Group","title":"Acidic microenvironment and bone pain in cancer-colonized bone","type":"article-journal","volume":"4"},"uris":["http://www.mendeley.com/documents/?uuid=935d6e71-ff1f-42bc-9ef1-5b4fa9904e9a"]}],"mendeley":{"formattedCitation":"[16]","plainTextFormattedCitation":"[16]","previouslyFormattedCitation":"[16]"},"properties":{"noteIndex":0},"schema":"https://github.com/citation-style-language/schema/raw/master/csl-citation.json"}</w:instrText>
      </w:r>
      <w:r w:rsidRPr="000E39AA">
        <w:rPr>
          <w:rFonts w:ascii="Arial" w:hAnsi="Arial" w:cs="Arial"/>
          <w:shd w:val="clear" w:color="auto" w:fill="FFFFFF"/>
        </w:rPr>
        <w:fldChar w:fldCharType="separate"/>
      </w:r>
      <w:r w:rsidR="00BC139B" w:rsidRPr="00BC139B">
        <w:rPr>
          <w:rFonts w:ascii="Arial" w:hAnsi="Arial" w:cs="Arial"/>
          <w:noProof/>
          <w:shd w:val="clear" w:color="auto" w:fill="FFFFFF"/>
        </w:rPr>
        <w:t>[16]</w:t>
      </w:r>
      <w:r w:rsidRPr="000E39AA">
        <w:rPr>
          <w:rFonts w:ascii="Arial" w:hAnsi="Arial" w:cs="Arial"/>
          <w:shd w:val="clear" w:color="auto" w:fill="FFFFFF"/>
        </w:rPr>
        <w:fldChar w:fldCharType="end"/>
      </w:r>
      <w:r w:rsidRPr="000E39AA">
        <w:rPr>
          <w:rFonts w:ascii="Arial" w:hAnsi="Arial" w:cs="Arial"/>
          <w:shd w:val="clear" w:color="auto" w:fill="FFFFFF"/>
        </w:rPr>
        <w:t xml:space="preserve">. The high local concentration of protons activating the sensing ion channels TRPV1 and ASIC3 of sensory neurons, increasing the nociceptive response, which is subsequently translated into an acid-evoked cancer bone pain event </w:t>
      </w:r>
      <w:r w:rsidRPr="000E39AA">
        <w:rPr>
          <w:rFonts w:ascii="Arial" w:hAnsi="Arial" w:cs="Arial"/>
          <w:shd w:val="clear" w:color="auto" w:fill="FFFFFF"/>
        </w:rPr>
        <w:fldChar w:fldCharType="begin" w:fldLock="1"/>
      </w:r>
      <w:r w:rsidR="000D250C">
        <w:rPr>
          <w:rFonts w:ascii="Arial" w:hAnsi="Arial" w:cs="Arial"/>
          <w:shd w:val="clear" w:color="auto" w:fill="FFFFFF"/>
        </w:rPr>
        <w:instrText>ADDIN CSL_CITATION {"citationItems":[{"id":"ITEM-1","itemData":{"DOI":"10.1200/JCO.2013.51.7219","ISSN":"15277755","PMID":"24799469","abstract":"Cancer pain, especially pain caused by metastasis to bone, is a severe type of pain, and unless the cause and consequences can be resolved, the pain will become chronic. As detection and survival among patients with cancer have improved, pain has become an increasing challenge, because traditional therapies are often only partially effective. Until recently, knowledge of cancer pain mechanisms was poor compared with understanding of neuropathic and inflammatory pain states. We now view cancer-induced bone pain as a complex pain state involving components of both inflammatory and neuropathic pain but also exhibiting elements that seem unique to cancer pain. In addition, the pain state is often unpredictable, and the intensity of the pain is highly variable, making it difficult to manage. The establishment of translational animal models has started to reveal some of the molecular components involved in cancer pain. We present the essential pharmacologic and neurobiologic mechanisms involved in the generation and continuance of cancer-induced bone pain and discuss these in the context of understanding and treating patients. We discuss changes in peripheral signaling in the area of tumor growth, examine spinal cord mechanisms of sensitization, and finally address central processing. Our aim is to provide a mechanistic background for the sensory characteristics of cancer-induced bone pain as a basis for better understanding and treating this condition. © 2014 by American Society of Clinical Oncology.","author":[{"dropping-particle":"","family":"Falk","given":"Sarah","non-dropping-particle":"","parse-names":false,"suffix":""},{"dropping-particle":"","family":"Dickenson","given":"Anthony H.","non-dropping-particle":"","parse-names":false,"suffix":""}],"container-title":"Journal of Clinical Oncology","id":"ITEM-1","issue":"16","issued":{"date-parts":[["2014"]]},"page":"1647-1654","title":"Pain and nociception: Mechanisms of cancer-induced bone pain","type":"article-journal","volume":"32"},"uris":["http://www.mendeley.com/documents/?uuid=08a5b284-c808-4fc7-a2d3-1d74aec02f7c"]},{"id":"ITEM-2","itemData":{"DOI":"10.1038/bonekey.2015.58","ISSN":"2047-6396","abstract":"Solid cancers and hematologic cancers frequently colonize bone and induce skeletal-related complications. Bone pain is one of the most common complications associated with cancer colonization in bone and a major cause of increased morbidity and diminished quality of life, leading to poor survival in cancer patients. Although the mechanisms responsible for cancer-associated bone pain (CABP) are poorly understood, it is likely that complex interactions among cancer cells, bone cells and peripheral nerve cells contribute to the pathophysiology of CABP. Clinical observations that specific inhibitors of osteoclasts reduce CABP indicate a critical role of osteoclasts. Osteoclasts are proton-secreting cells and acidify extracellular bone microenvironment. Cancer cell-colonized bone also releases proton/lactate to avoid intracellular acidification resulting from increased aerobic glycolysis known as the Warburg effect. Thus, extracellular microenvironment of cancer-colonized bone is acidic. Acidosis is algogenic for nociceptive sensory neurons. The bone is densely innervated by the sensory neurons that express acid-sensing nociceptors. Collectively, CABP is evoked by the activation of these nociceptors on the sensory neurons innervating bone by the acidic extracellular microenvironment created by bone-resorbing osteoclasts and bone-colonizing cancer cells. As current treatments do not satisfactorily control CABP and can elicit serious side effects, new therapeutic interventions are needed to manage CABP. Understanding of the cellular and molecular mechanism by which the acidic extracellular microenvironment is created in cancer-colonized bone and by which the expression and function of the acid-sensing nociceptors on the sensory neurons are regulated would facilitate to develop novel therapeutic approaches for the management of CABP.","author":[{"dropping-particle":"","family":"Yoneda","given":"Toshiyuki","non-dropping-particle":"","parse-names":false,"suffix":""},{"dropping-particle":"","family":"Hiasa","given":"Masahiro","non-dropping-particle":"","parse-names":false,"suffix":""},{"dropping-particle":"","family":"Nagata","given":"Yuki","non-dropping-particle":"","parse-names":false,"suffix":""},{"dropping-particle":"","family":"Okui","given":"Tatsuo","non-dropping-particle":"","parse-names":false,"suffix":""},{"dropping-particle":"","family":"White","given":"Fletcher A","non-dropping-particle":"","parse-names":false,"suffix":""}],"container-title":"BoneKEy Reports","id":"ITEM-2","issue":"May","issued":{"date-parts":[["2015"]]},"page":"1-9","publisher":"Nature Publishing Group","title":"Acidic microenvironment and bone pain in cancer-colonized bone","type":"article-journal","volume":"4"},"uris":["http://www.mendeley.com/documents/?uuid=935d6e71-ff1f-42bc-9ef1-5b4fa9904e9a"]}],"mendeley":{"formattedCitation":"[7, 16]","plainTextFormattedCitation":"[7, 16]","previouslyFormattedCitation":"[7, 16]"},"properties":{"noteIndex":0},"schema":"https://github.com/citation-style-language/schema/raw/master/csl-citation.json"}</w:instrText>
      </w:r>
      <w:r w:rsidRPr="000E39AA">
        <w:rPr>
          <w:rFonts w:ascii="Arial" w:hAnsi="Arial" w:cs="Arial"/>
          <w:shd w:val="clear" w:color="auto" w:fill="FFFFFF"/>
        </w:rPr>
        <w:fldChar w:fldCharType="separate"/>
      </w:r>
      <w:r w:rsidR="00BC139B" w:rsidRPr="00BC139B">
        <w:rPr>
          <w:rFonts w:ascii="Arial" w:hAnsi="Arial" w:cs="Arial"/>
          <w:noProof/>
          <w:shd w:val="clear" w:color="auto" w:fill="FFFFFF"/>
        </w:rPr>
        <w:t>[7, 16]</w:t>
      </w:r>
      <w:r w:rsidRPr="000E39AA">
        <w:rPr>
          <w:rFonts w:ascii="Arial" w:hAnsi="Arial" w:cs="Arial"/>
          <w:shd w:val="clear" w:color="auto" w:fill="FFFFFF"/>
        </w:rPr>
        <w:fldChar w:fldCharType="end"/>
      </w:r>
      <w:r w:rsidRPr="000E39AA">
        <w:rPr>
          <w:rFonts w:ascii="Arial" w:hAnsi="Arial" w:cs="Arial"/>
          <w:shd w:val="clear" w:color="auto" w:fill="FFFFFF"/>
        </w:rPr>
        <w:t xml:space="preserve">. </w:t>
      </w:r>
      <w:r w:rsidR="00DC024D" w:rsidRPr="000E39AA">
        <w:rPr>
          <w:rFonts w:ascii="Arial" w:hAnsi="Arial" w:cs="Arial"/>
          <w:shd w:val="clear" w:color="auto" w:fill="FFFFFF"/>
        </w:rPr>
        <w:t>Tumour</w:t>
      </w:r>
      <w:r w:rsidRPr="000E39AA">
        <w:rPr>
          <w:rFonts w:ascii="Arial" w:hAnsi="Arial" w:cs="Arial"/>
          <w:shd w:val="clear" w:color="auto" w:fill="FFFFFF"/>
        </w:rPr>
        <w:t xml:space="preserve"> expansion results in mechanical distortion of the bone including the stretching of the periosteum, the outer envelope of the cortical bone. The periosteum holds a high surface density of mechanosensitive sensory nerve fibres which, once stimulated, transmit the nociceptive response to the brain </w:t>
      </w:r>
      <w:r w:rsidRPr="000E39AA">
        <w:rPr>
          <w:rFonts w:ascii="Arial" w:hAnsi="Arial" w:cs="Arial"/>
          <w:shd w:val="clear" w:color="auto" w:fill="FFFFFF"/>
        </w:rPr>
        <w:fldChar w:fldCharType="begin" w:fldLock="1"/>
      </w:r>
      <w:r w:rsidR="000D250C">
        <w:rPr>
          <w:rFonts w:ascii="Arial" w:hAnsi="Arial" w:cs="Arial"/>
          <w:shd w:val="clear" w:color="auto" w:fill="FFFFFF"/>
        </w:rPr>
        <w:instrText>ADDIN CSL_CITATION {"citationItems":[{"id":"ITEM-1","itemData":{"DOI":"10.1007/s11914-018-0446-8","ISBN":"1191401804","ISSN":"15442241","PMID":"29948820","abstract":"Purpose of Review: This paper describes recent advances in understanding the mechanisms that drive fracture pain and how these findings are helping develop new therapies to treat fracture pain. Recent Findings: Immediately following fracture, mechanosensitive nerve fibers that innervate bone are mechanically distorted. This results in these nerve fibers rapidly discharging and signaling the initial sharp fracture pain to the brain. Within minutes to hours, a host of neurotransmitters, cytokines, and nerve growth factor are released by cells at the fracture site. These factors stimulate, sensitize, and induce ectopic nerve sprouting of the sensory and sympathetic nerve fibers which drive the sharp pain upon movement and the dull aching pain at rest. If rapid and effective healing of the fracture occurs, these factors return to baseline and the pain subsides, but if not, these factors can drive chronic bone pain. Summary: New mechanism-based therapies have the potential to fundamentally change the way acute and chronic fracture pain is managed.","author":[{"dropping-particle":"","family":"Mitchell","given":"Stefanie A.T.","non-dropping-particle":"","parse-names":false,"suffix":""},{"dropping-particle":"","family":"Majuta","given":"Lisa A.","non-dropping-particle":"","parse-names":false,"suffix":""},{"dropping-particle":"","family":"Mantyh","given":"Patrick W.","non-dropping-particle":"","parse-names":false,"suffix":""}],"container-title":"Current Osteoporosis Reports","id":"ITEM-1","issue":"4","issued":{"date-parts":[["2018"]]},"page":"325-332","title":"New Insights in Understanding and Treating Bone Fracture Pain","type":"article-journal","volume":"16"},"uris":["http://www.mendeley.com/documents/?uuid=1a62e34d-5477-4ba4-aa76-63cb82ff2fc1"]},{"id":"ITEM-2","itemData":{"DOI":"10.1016/S0306-4522(02)00165-3","ISSN":"03064522","PMID":"12123694","abstract":"Although skeletal pain plays a major role in reducing the quality of life in patients suffering from osteoarthritis, Paget's disease, sickle cell anemia and bone cancer, little is known about the mechanisms that generate and maintain this pain. To define the peripheral fibers involved in transmitting and modulating skeletal pain, we used immunohistochemistry with antigen retrieval, confocal microscopy and three-dimensional image reconstruction of the bone to examine the sensory and sympathetic innervation of mineralized bone, bone marrow and periosteum of the normal mouse femur. Thinly myelinated and unmyelinated peptidergic sensory fibers were labeled with antibodies raised against calcitonin gene-related peptide (CGRP) and the unmyelinated, non-peptidergic sensory fibers were labeled with the isolectin B4 (Bandeira simplicifolia). Myelinated sensory fibers were labeled with an antibody raised against 200-kDa neurofilament H (clone RT-97). Sympathetic fibers were labeled with an antibody raised against tyrosine hydroxylase. CGRP, RT-97, and tyrosine hydroxylase immunoreactive fibers, but not isolectin B4 positive fibers, were present throughout the bone marrow, mineralized bone and the periosteum. While the periosteum is the most densely innervated tissue, when the total volume of each tissue is considered, the bone marrow receives the greatest total number of sensory and sympathetic fibers followed by mineralized bone and then periosteum. Understanding the sensory and sympathetic innervation of bone should provide a better understanding of the mechanisms that drive bone pain and aid in developing therapeutic strategies for treating skeletal pain. © 2002 IBRO. Published by Elsevier Science Ltd. All rights reserved.","author":[{"dropping-particle":"","family":"Mach","given":"D. B.","non-dropping-particle":"","parse-names":false,"suffix":""},{"dropping-particle":"","family":"Rogers","given":"S. D.","non-dropping-particle":"","parse-names":false,"suffix":""},{"dropping-particle":"","family":"Sabino","given":"M. C.","non-dropping-particle":"","parse-names":false,"suffix":""},{"dropping-particle":"","family":"Luger","given":"N. M.","non-dropping-particle":"","parse-names":false,"suffix":""},{"dropping-particle":"","family":"Schwei","given":"M. J.","non-dropping-particle":"","parse-names":false,"suffix":""},{"dropping-particle":"","family":"Pomonis","given":"J. D.","non-dropping-particle":"","parse-names":false,"suffix":""},{"dropping-particle":"","family":"Keyser","given":"C. P.","non-dropping-particle":"","parse-names":false,"suffix":""},{"dropping-particle":"","family":"Clohisy","given":"D. R.","non-dropping-particle":"","parse-names":false,"suffix":""},{"dropping-particle":"","family":"Adams","given":"D. J.","non-dropping-particle":"","parse-names":false,"suffix":""},{"dropping-particle":"","family":"O’leary","given":"P.","non-dropping-particle":"","parse-names":false,"suffix":""},{"dropping-particle":"","family":"Mantyh","given":"P. W.","non-dropping-particle":"","parse-names":false,"suffix":""}],"container-title":"Neuroscience","id":"ITEM-2","issue":"1","issued":{"date-parts":[["2002"]]},"page":"155-166","title":"Origins of skeletal pain: Sensory and sympathetic innervation of the mouse femur","type":"article-journal","volume":"113"},"uris":["http://www.mendeley.com/documents/?uuid=324e758c-909a-420b-a1fe-ac910298b7ef"]},{"id":"ITEM-3","itemData":{"DOI":"10.1007/s11916-000-0078-3","ISSN":"10695850","PMID":"10998732","abstract":"Metastatic involvement of the bone is one of the most frequent causes of pain in cancer patients and represents one of the first signs of widespread neoplastic disease. The pain may originate directly from the bone, from nerve root compression, or from muscle spasms in the area of the lesions. The mechanism of metastatic bone pain is mainly somatic (nociceptive), even though, in some cases, neuropathic and visceral stimulations may overlap. The conventional symptomatic treatment of metastatic bone pain requires the use of multidisciplinary therapies, such as radiotherapy, in association with systemic treatment (hormonotherapy, chemotherapy, radioisotopes) with the support of analgesic therapy. Recently, studies have indicated the use of bisphosphonates in the treatment of pain and in the prevention of skeletal complications in patients with metastatic bone disease. In some patients, pharmacologic treatment, radiotherapy, and radioisotopes administered alone or in association are not able to manage pain adequately. The role of neuroinvasive techniques in treating metastatic bone pain is debated. The clinical conditions of the patient, his life expectancy, and quality of life must guide the physician in the choice of the best possible therapy.","author":[{"dropping-particle":"","family":"Ripamonti","given":"C.","non-dropping-particle":"","parse-names":false,"suffix":""},{"dropping-particle":"","family":"Fulfaro","given":"F.","non-dropping-particle":"","parse-names":false,"suffix":""}],"container-title":"Current review of pain","id":"ITEM-3","issue":"3","issued":{"date-parts":[["2000"]]},"page":"187-196","title":"Malignant bone pain: pathophysiology and treatments.","type":"article-journal","volume":"4"},"uris":["http://www.mendeley.com/documents/?uuid=756201e4-6fdc-4ba2-b69d-b2d49036462c"]}],"mendeley":{"formattedCitation":"[4, 13, 17]","plainTextFormattedCitation":"[4, 13, 17]","previouslyFormattedCitation":"[4, 13, 17]"},"properties":{"noteIndex":0},"schema":"https://github.com/citation-style-language/schema/raw/master/csl-citation.json"}</w:instrText>
      </w:r>
      <w:r w:rsidRPr="000E39AA">
        <w:rPr>
          <w:rFonts w:ascii="Arial" w:hAnsi="Arial" w:cs="Arial"/>
          <w:shd w:val="clear" w:color="auto" w:fill="FFFFFF"/>
        </w:rPr>
        <w:fldChar w:fldCharType="separate"/>
      </w:r>
      <w:r w:rsidR="00BC139B" w:rsidRPr="00BC139B">
        <w:rPr>
          <w:rFonts w:ascii="Arial" w:hAnsi="Arial" w:cs="Arial"/>
          <w:noProof/>
          <w:shd w:val="clear" w:color="auto" w:fill="FFFFFF"/>
        </w:rPr>
        <w:t>[4, 13, 17]</w:t>
      </w:r>
      <w:r w:rsidRPr="000E39AA">
        <w:rPr>
          <w:rFonts w:ascii="Arial" w:hAnsi="Arial" w:cs="Arial"/>
          <w:shd w:val="clear" w:color="auto" w:fill="FFFFFF"/>
        </w:rPr>
        <w:fldChar w:fldCharType="end"/>
      </w:r>
      <w:r w:rsidRPr="000E39AA">
        <w:rPr>
          <w:rFonts w:ascii="Arial" w:hAnsi="Arial" w:cs="Arial"/>
          <w:shd w:val="clear" w:color="auto" w:fill="FFFFFF"/>
        </w:rPr>
        <w:t xml:space="preserve">. </w:t>
      </w:r>
    </w:p>
    <w:p w14:paraId="654E5094" w14:textId="172E3251" w:rsidR="00F03759" w:rsidRPr="000E39AA" w:rsidRDefault="00F03759" w:rsidP="00F03759">
      <w:pPr>
        <w:autoSpaceDE w:val="0"/>
        <w:autoSpaceDN w:val="0"/>
        <w:adjustRightInd w:val="0"/>
        <w:spacing w:after="0" w:line="276" w:lineRule="auto"/>
        <w:jc w:val="both"/>
        <w:rPr>
          <w:rFonts w:ascii="Arial" w:hAnsi="Arial" w:cs="Arial"/>
          <w:shd w:val="clear" w:color="auto" w:fill="FFFFFF"/>
        </w:rPr>
      </w:pPr>
      <w:r w:rsidRPr="000E39AA">
        <w:rPr>
          <w:rFonts w:ascii="Arial" w:hAnsi="Arial" w:cs="Arial"/>
          <w:shd w:val="clear" w:color="auto" w:fill="FFFFFF"/>
        </w:rPr>
        <w:t xml:space="preserve">Osteoblastic lesions are typically associated with pathologies such as prostate cancer metastasis, Hodgkin's lymphoma and medulloblastoma </w:t>
      </w:r>
      <w:r w:rsidRPr="000E39AA">
        <w:rPr>
          <w:rFonts w:ascii="Arial" w:hAnsi="Arial" w:cs="Arial"/>
          <w:shd w:val="clear" w:color="auto" w:fill="FFFFFF"/>
        </w:rPr>
        <w:fldChar w:fldCharType="begin" w:fldLock="1"/>
      </w:r>
      <w:r w:rsidR="000D250C">
        <w:rPr>
          <w:rFonts w:ascii="Arial" w:hAnsi="Arial" w:cs="Arial"/>
          <w:shd w:val="clear" w:color="auto" w:fill="FFFFFF"/>
        </w:rPr>
        <w:instrText>ADDIN CSL_CITATION {"citationItems":[{"id":"ITEM-1","itemData":{"DOI":"10.1007/s11033-020-05684-0","ISBN":"0123456789","ISSN":"15734978","PMID":"32749632","abstract":"The last report of the World Health Organization (WHO) stated that approximately four million people experience bone pain due to malignant diseases. Among them, metastatic bone pain is one of the most important sources of complaint. The estimated median survival in the presence of bone metastases ranks from 10 to 12 weeks. Bone represents a potential target of distant metastases for the majority of malignant tumours. However, the exact incidence of bone metastases is unknown. Bone metastases have an important socio-economic impact, and due to the enhancement of the overall survivorship, their incidence is increasing. Malignant neoplasms such as lung, thyroid, renal cancer, multiple myeloma, and melanoma often metastasize to the bone. Bone metastases commonly localize to the spinal column, pelvis, shoulder, and distal femur. The proper treatment for painful skeletal metastases is still unknown. Hence, the purpose of this review of the literature was to update current evidence concerning the aetiogenesis, biological behaviour, and treatment algorithms for painful skeletal metastases.","author":[{"dropping-particle":"","family":"Migliorini","given":"Filippo","non-dropping-particle":"","parse-names":false,"suffix":""},{"dropping-particle":"","family":"Maffulli","given":"Nicola","non-dropping-particle":"","parse-names":false,"suffix":""},{"dropping-particle":"","family":"Trivellas","given":"Andromahi","non-dropping-particle":"","parse-names":false,"suffix":""},{"dropping-particle":"","family":"Eschweiler","given":"Jörg","non-dropping-particle":"","parse-names":false,"suffix":""},{"dropping-particle":"","family":"Tingart","given":"Markus","non-dropping-particle":"","parse-names":false,"suffix":""},{"dropping-particle":"","family":"Driessen","given":"Arne","non-dropping-particle":"","parse-names":false,"suffix":""}],"container-title":"Molecular Biology Reports","id":"ITEM-1","issue":"8","issued":{"date-parts":[["2020"]]},"page":"6337-6345","publisher":"Springer Netherlands","title":"Bone metastases: a comprehensive review of the literature","type":"article-journal","volume":"47"},"uris":["http://www.mendeley.com/documents/?uuid=c7f428bf-9cc8-4f2a-ad64-df82a0d13bd6"]}],"mendeley":{"formattedCitation":"[18]","plainTextFormattedCitation":"[18]","previouslyFormattedCitation":"[18]"},"properties":{"noteIndex":0},"schema":"https://github.com/citation-style-language/schema/raw/master/csl-citation.json"}</w:instrText>
      </w:r>
      <w:r w:rsidRPr="000E39AA">
        <w:rPr>
          <w:rFonts w:ascii="Arial" w:hAnsi="Arial" w:cs="Arial"/>
          <w:shd w:val="clear" w:color="auto" w:fill="FFFFFF"/>
        </w:rPr>
        <w:fldChar w:fldCharType="separate"/>
      </w:r>
      <w:r w:rsidR="00BC139B" w:rsidRPr="00BC139B">
        <w:rPr>
          <w:rFonts w:ascii="Arial" w:hAnsi="Arial" w:cs="Arial"/>
          <w:noProof/>
          <w:shd w:val="clear" w:color="auto" w:fill="FFFFFF"/>
        </w:rPr>
        <w:t>[18]</w:t>
      </w:r>
      <w:r w:rsidRPr="000E39AA">
        <w:rPr>
          <w:rFonts w:ascii="Arial" w:hAnsi="Arial" w:cs="Arial"/>
          <w:shd w:val="clear" w:color="auto" w:fill="FFFFFF"/>
        </w:rPr>
        <w:fldChar w:fldCharType="end"/>
      </w:r>
      <w:r w:rsidRPr="000E39AA">
        <w:rPr>
          <w:rFonts w:ascii="Arial" w:hAnsi="Arial" w:cs="Arial"/>
          <w:shd w:val="clear" w:color="auto" w:fill="FFFFFF"/>
        </w:rPr>
        <w:t xml:space="preserve">. Each of these pathologies is characterised by the deposition of new bone, typically brittle in nature in comparison to the healthy bone tissue </w:t>
      </w:r>
      <w:r w:rsidRPr="000E39AA">
        <w:rPr>
          <w:rFonts w:ascii="Arial" w:hAnsi="Arial" w:cs="Arial"/>
          <w:shd w:val="clear" w:color="auto" w:fill="FFFFFF"/>
        </w:rPr>
        <w:fldChar w:fldCharType="begin" w:fldLock="1"/>
      </w:r>
      <w:r w:rsidR="000D250C">
        <w:rPr>
          <w:rFonts w:ascii="Arial" w:hAnsi="Arial" w:cs="Arial"/>
          <w:shd w:val="clear" w:color="auto" w:fill="FFFFFF"/>
        </w:rPr>
        <w:instrText>ADDIN CSL_CITATION {"citationItems":[{"id":"ITEM-1","itemData":{"DOI":"10.4081/oncol.2017.321","ISSN":"19705565","abstract":"Bone is a frequent site of metastases and typically indicates a short-term prognosis in cancer patients. Once cancer has spread to the bones it can rarely be cured, but often it can still be treated to slow its growth. The majority of skeletal metastases are due to breast and prostate cancer. Bone metastasis is actually much more common than primary bone cancers, especially in adults. The diagnosis is based on signs, symptoms and imaging. New classes of drugs and new interventions are given a better quality of life to these patients and improved the expectancy of life. It is necessary a multidisciplinary approach to treat patients with bone metastasis. In this paper we review the types, clinical approach and treatment of bone metastases.","author":[{"dropping-particle":"","family":"Macedo","given":"Filipa","non-dropping-particle":"","parse-names":false,"suffix":""},{"dropping-particle":"","family":"Ladeira","given":"Katia","non-dropping-particle":"","parse-names":false,"suffix":""},{"dropping-particle":"","family":"Pinho","given":"Filipa","non-dropping-particle":"","parse-names":false,"suffix":""},{"dropping-particle":"","family":"Saraiva","given":"Nadine","non-dropping-particle":"","parse-names":false,"suffix":""},{"dropping-particle":"","family":"Bonito","given":"Nuno","non-dropping-particle":"","parse-names":false,"suffix":""},{"dropping-particle":"","family":"Pinto","given":"Luísa","non-dropping-particle":"","parse-names":false,"suffix":""},{"dropping-particle":"","family":"Gonçalves","given":"Francisco","non-dropping-particle":"","parse-names":false,"suffix":""}],"container-title":"Oncology Reviews","id":"ITEM-1","issue":"1","issued":{"date-parts":[["2017"]]},"title":"Bone metastases: An overview","type":"article-journal","volume":"11"},"uris":["http://www.mendeley.com/documents/?uuid=b88a3525-0bc7-46ee-849a-840870f1b9cd"]}],"mendeley":{"formattedCitation":"[19]","plainTextFormattedCitation":"[19]","previouslyFormattedCitation":"[19]"},"properties":{"noteIndex":0},"schema":"https://github.com/citation-style-language/schema/raw/master/csl-citation.json"}</w:instrText>
      </w:r>
      <w:r w:rsidRPr="000E39AA">
        <w:rPr>
          <w:rFonts w:ascii="Arial" w:hAnsi="Arial" w:cs="Arial"/>
          <w:shd w:val="clear" w:color="auto" w:fill="FFFFFF"/>
        </w:rPr>
        <w:fldChar w:fldCharType="separate"/>
      </w:r>
      <w:r w:rsidR="00BC139B" w:rsidRPr="00BC139B">
        <w:rPr>
          <w:rFonts w:ascii="Arial" w:hAnsi="Arial" w:cs="Arial"/>
          <w:noProof/>
          <w:shd w:val="clear" w:color="auto" w:fill="FFFFFF"/>
        </w:rPr>
        <w:t>[19]</w:t>
      </w:r>
      <w:r w:rsidRPr="000E39AA">
        <w:rPr>
          <w:rFonts w:ascii="Arial" w:hAnsi="Arial" w:cs="Arial"/>
          <w:shd w:val="clear" w:color="auto" w:fill="FFFFFF"/>
        </w:rPr>
        <w:fldChar w:fldCharType="end"/>
      </w:r>
      <w:r w:rsidRPr="000E39AA">
        <w:rPr>
          <w:rFonts w:ascii="Arial" w:hAnsi="Arial" w:cs="Arial"/>
          <w:shd w:val="clear" w:color="auto" w:fill="FFFFFF"/>
        </w:rPr>
        <w:t xml:space="preserve">. Moreover, the arrangement of collagen fibres has been reported to be random, indicative of woven bone with poor load distribution capacity and consequent risk of local (micro-) fractures and generation of bone pain </w:t>
      </w:r>
      <w:r w:rsidRPr="000E39AA">
        <w:rPr>
          <w:rFonts w:ascii="Arial" w:hAnsi="Arial" w:cs="Arial"/>
          <w:shd w:val="clear" w:color="auto" w:fill="FFFFFF"/>
        </w:rPr>
        <w:fldChar w:fldCharType="begin" w:fldLock="1"/>
      </w:r>
      <w:r w:rsidR="000D250C">
        <w:rPr>
          <w:rFonts w:ascii="Arial" w:hAnsi="Arial" w:cs="Arial"/>
          <w:shd w:val="clear" w:color="auto" w:fill="FFFFFF"/>
        </w:rPr>
        <w:instrText>ADDIN CSL_CITATION {"citationItems":[{"id":"ITEM-1","itemData":{"DOI":"10.3390/cancers10050141","ISSN":"20726694","abstract":"Cancer-induced bone pain (CIBP) is the most common and painful complication in patients with bone metastases. It causes a significant reduction in patient quality of life. Available analgesic treatments for CIBP, such as opioids that target the central nervous system, come with severe side effects as well as the risk of abuse and addiction. Therefore, alternative treatments for CIBP are desperately needed. Although the exact mechanisms of CIBP have not been fully elucidated, recent studies using preclinical models have demonstrated the role of the bone marrow microenvironment (e.g., osteoclasts, osteoblasts, macrophages, mast cells, mesenchymal stem cells, and fibroblasts) in CIBP development. Several clinical trials have been performed based on these findings. CIBP is a complex and challenging condition that currently has no standard effective treatments other than opioids. Further studies are clearly warranted to better understand this painful condition and develop more effective and safer targeted therapies.","author":[{"dropping-particle":"","family":"Park","given":"Sun H.","non-dropping-particle":"","parse-names":false,"suffix":""},{"dropping-particle":"","family":"Eber","given":"Matthew R.","non-dropping-particle":"","parse-names":false,"suffix":""},{"dropping-particle":"","family":"Widner","given":"D. Brooke","non-dropping-particle":"","parse-names":false,"suffix":""},{"dropping-particle":"","family":"Shiozawa","given":"Yusuke","non-dropping-particle":"","parse-names":false,"suffix":""}],"container-title":"Cancers","id":"ITEM-1","issue":"5","issued":{"date-parts":[["2018"]]},"title":"Role of the bone microenvironment in the development of painful complications of skeletal metastases","type":"article-journal","volume":"10"},"uris":["http://www.mendeley.com/documents/?uuid=06e45cde-d23d-494b-9e78-c79ae75763ae"]}],"mendeley":{"formattedCitation":"[15]","plainTextFormattedCitation":"[15]","previouslyFormattedCitation":"[15]"},"properties":{"noteIndex":0},"schema":"https://github.com/citation-style-language/schema/raw/master/csl-citation.json"}</w:instrText>
      </w:r>
      <w:r w:rsidRPr="000E39AA">
        <w:rPr>
          <w:rFonts w:ascii="Arial" w:hAnsi="Arial" w:cs="Arial"/>
          <w:shd w:val="clear" w:color="auto" w:fill="FFFFFF"/>
        </w:rPr>
        <w:fldChar w:fldCharType="separate"/>
      </w:r>
      <w:r w:rsidR="00BC139B" w:rsidRPr="00BC139B">
        <w:rPr>
          <w:rFonts w:ascii="Arial" w:hAnsi="Arial" w:cs="Arial"/>
          <w:noProof/>
          <w:shd w:val="clear" w:color="auto" w:fill="FFFFFF"/>
        </w:rPr>
        <w:t>[15]</w:t>
      </w:r>
      <w:r w:rsidRPr="000E39AA">
        <w:rPr>
          <w:rFonts w:ascii="Arial" w:hAnsi="Arial" w:cs="Arial"/>
          <w:shd w:val="clear" w:color="auto" w:fill="FFFFFF"/>
        </w:rPr>
        <w:fldChar w:fldCharType="end"/>
      </w:r>
      <w:r w:rsidRPr="000E39AA">
        <w:rPr>
          <w:rFonts w:ascii="Arial" w:hAnsi="Arial" w:cs="Arial"/>
          <w:shd w:val="clear" w:color="auto" w:fill="FFFFFF"/>
        </w:rPr>
        <w:t xml:space="preserve">. To date, the mechanisms around the development of osteoblastic metastasis remain poorly understood </w:t>
      </w:r>
      <w:r w:rsidRPr="000E39AA">
        <w:rPr>
          <w:rFonts w:ascii="Arial" w:hAnsi="Arial" w:cs="Arial"/>
          <w:shd w:val="clear" w:color="auto" w:fill="FFFFFF"/>
        </w:rPr>
        <w:fldChar w:fldCharType="begin" w:fldLock="1"/>
      </w:r>
      <w:r w:rsidR="000D250C">
        <w:rPr>
          <w:rFonts w:ascii="Arial" w:hAnsi="Arial" w:cs="Arial"/>
          <w:shd w:val="clear" w:color="auto" w:fill="FFFFFF"/>
        </w:rPr>
        <w:instrText>ADDIN CSL_CITATION {"citationItems":[{"id":"ITEM-1","itemData":{"DOI":"10.4081/oncol.2017.321","ISSN":"19705565","abstract":"Bone is a frequent site of metastases and typically indicates a short-term prognosis in cancer patients. Once cancer has spread to the bones it can rarely be cured, but often it can still be treated to slow its growth. The majority of skeletal metastases are due to breast and prostate cancer. Bone metastasis is actually much more common than primary bone cancers, especially in adults. The diagnosis is based on signs, symptoms and imaging. New classes of drugs and new interventions are given a better quality of life to these patients and improved the expectancy of life. It is necessary a multidisciplinary approach to treat patients with bone metastasis. In this paper we review the types, clinical approach and treatment of bone metastases.","author":[{"dropping-particle":"","family":"Macedo","given":"Filipa","non-dropping-particle":"","parse-names":false,"suffix":""},{"dropping-particle":"","family":"Ladeira","given":"Katia","non-dropping-particle":"","parse-names":false,"suffix":""},{"dropping-particle":"","family":"Pinho","given":"Filipa","non-dropping-particle":"","parse-names":false,"suffix":""},{"dropping-particle":"","family":"Saraiva","given":"Nadine","non-dropping-particle":"","parse-names":false,"suffix":""},{"dropping-particle":"","family":"Bonito","given":"Nuno","non-dropping-particle":"","parse-names":false,"suffix":""},{"dropping-particle":"","family":"Pinto","given":"Luísa","non-dropping-particle":"","parse-names":false,"suffix":""},{"dropping-particle":"","family":"Gonçalves","given":"Francisco","non-dropping-particle":"","parse-names":false,"suffix":""}],"container-title":"Oncology Reviews","id":"ITEM-1","issue":"1","issued":{"date-parts":[["2017"]]},"title":"Bone metastases: An overview","type":"article-journal","volume":"11"},"uris":["http://www.mendeley.com/documents/?uuid=b88a3525-0bc7-46ee-849a-840870f1b9cd"]}],"mendeley":{"formattedCitation":"[19]","plainTextFormattedCitation":"[19]","previouslyFormattedCitation":"[19]"},"properties":{"noteIndex":0},"schema":"https://github.com/citation-style-language/schema/raw/master/csl-citation.json"}</w:instrText>
      </w:r>
      <w:r w:rsidRPr="000E39AA">
        <w:rPr>
          <w:rFonts w:ascii="Arial" w:hAnsi="Arial" w:cs="Arial"/>
          <w:shd w:val="clear" w:color="auto" w:fill="FFFFFF"/>
        </w:rPr>
        <w:fldChar w:fldCharType="separate"/>
      </w:r>
      <w:r w:rsidR="00BC139B" w:rsidRPr="00BC139B">
        <w:rPr>
          <w:rFonts w:ascii="Arial" w:hAnsi="Arial" w:cs="Arial"/>
          <w:noProof/>
          <w:shd w:val="clear" w:color="auto" w:fill="FFFFFF"/>
        </w:rPr>
        <w:t>[19]</w:t>
      </w:r>
      <w:r w:rsidRPr="000E39AA">
        <w:rPr>
          <w:rFonts w:ascii="Arial" w:hAnsi="Arial" w:cs="Arial"/>
          <w:shd w:val="clear" w:color="auto" w:fill="FFFFFF"/>
        </w:rPr>
        <w:fldChar w:fldCharType="end"/>
      </w:r>
      <w:r w:rsidRPr="000E39AA">
        <w:rPr>
          <w:rFonts w:ascii="Arial" w:hAnsi="Arial" w:cs="Arial"/>
          <w:shd w:val="clear" w:color="auto" w:fill="FFFFFF"/>
        </w:rPr>
        <w:t xml:space="preserve">. The neuropathic component of bone pain may arise from cancer-induced damage to the sensory nerves caused by infiltration, compression by </w:t>
      </w:r>
      <w:r w:rsidR="00DC024D" w:rsidRPr="000E39AA">
        <w:rPr>
          <w:rFonts w:ascii="Arial" w:hAnsi="Arial" w:cs="Arial"/>
          <w:shd w:val="clear" w:color="auto" w:fill="FFFFFF"/>
        </w:rPr>
        <w:t>tumour</w:t>
      </w:r>
      <w:r w:rsidRPr="000E39AA">
        <w:rPr>
          <w:rFonts w:ascii="Arial" w:hAnsi="Arial" w:cs="Arial"/>
          <w:shd w:val="clear" w:color="auto" w:fill="FFFFFF"/>
        </w:rPr>
        <w:t xml:space="preserve"> cells, </w:t>
      </w:r>
      <w:r w:rsidR="00DC024D" w:rsidRPr="000E39AA">
        <w:rPr>
          <w:rFonts w:ascii="Arial" w:hAnsi="Arial" w:cs="Arial"/>
          <w:shd w:val="clear" w:color="auto" w:fill="FFFFFF"/>
        </w:rPr>
        <w:t>tumour</w:t>
      </w:r>
      <w:r w:rsidRPr="000E39AA">
        <w:rPr>
          <w:rFonts w:ascii="Arial" w:hAnsi="Arial" w:cs="Arial"/>
          <w:shd w:val="clear" w:color="auto" w:fill="FFFFFF"/>
        </w:rPr>
        <w:t xml:space="preserve">-induced hyper-innervation and stretching or denervation as the lesion expands and the bone degrades </w:t>
      </w:r>
      <w:r w:rsidRPr="000E39AA">
        <w:rPr>
          <w:rFonts w:ascii="Arial" w:hAnsi="Arial" w:cs="Arial"/>
          <w:shd w:val="clear" w:color="auto" w:fill="FFFFFF"/>
        </w:rPr>
        <w:fldChar w:fldCharType="begin" w:fldLock="1"/>
      </w:r>
      <w:r w:rsidR="000D250C">
        <w:rPr>
          <w:rFonts w:ascii="Arial" w:hAnsi="Arial" w:cs="Arial"/>
          <w:shd w:val="clear" w:color="auto" w:fill="FFFFFF"/>
        </w:rPr>
        <w:instrText>ADDIN CSL_CITATION {"citationItems":[{"id":"ITEM-1","itemData":{"DOI":"10.1200/JCO.2013.51.7219","ISSN":"15277755","PMID":"24799469","abstract":"Cancer pain, especially pain caused by metastasis to bone, is a severe type of pain, and unless the cause and consequences can be resolved, the pain will become chronic. As detection and survival among patients with cancer have improved, pain has become an increasing challenge, because traditional therapies are often only partially effective. Until recently, knowledge of cancer pain mechanisms was poor compared with understanding of neuropathic and inflammatory pain states. We now view cancer-induced bone pain as a complex pain state involving components of both inflammatory and neuropathic pain but also exhibiting elements that seem unique to cancer pain. In addition, the pain state is often unpredictable, and the intensity of the pain is highly variable, making it difficult to manage. The establishment of translational animal models has started to reveal some of the molecular components involved in cancer pain. We present the essential pharmacologic and neurobiologic mechanisms involved in the generation and continuance of cancer-induced bone pain and discuss these in the context of understanding and treating patients. We discuss changes in peripheral signaling in the area of tumor growth, examine spinal cord mechanisms of sensitization, and finally address central processing. Our aim is to provide a mechanistic background for the sensory characteristics of cancer-induced bone pain as a basis for better understanding and treating this condition. © 2014 by American Society of Clinical Oncology.","author":[{"dropping-particle":"","family":"Falk","given":"Sarah","non-dropping-particle":"","parse-names":false,"suffix":""},{"dropping-particle":"","family":"Dickenson","given":"Anthony H.","non-dropping-particle":"","parse-names":false,"suffix":""}],"container-title":"Journal of Clinical Oncology","id":"ITEM-1","issue":"16","issued":{"date-parts":[["2014"]]},"page":"1647-1654","title":"Pain and nociception: Mechanisms of cancer-induced bone pain","type":"article-journal","volume":"32"},"uris":["http://www.mendeley.com/documents/?uuid=08a5b284-c808-4fc7-a2d3-1d74aec02f7c"]},{"id":"ITEM-2","itemData":{"DOI":"10.1038/bonekey.2015.58","ISSN":"2047-6396","abstract":"Solid cancers and hematologic cancers frequently colonize bone and induce skeletal-related complications. Bone pain is one of the most common complications associated with cancer colonization in bone and a major cause of increased morbidity and diminished quality of life, leading to poor survival in cancer patients. Although the mechanisms responsible for cancer-associated bone pain (CABP) are poorly understood, it is likely that complex interactions among cancer cells, bone cells and peripheral nerve cells contribute to the pathophysiology of CABP. Clinical observations that specific inhibitors of osteoclasts reduce CABP indicate a critical role of osteoclasts. Osteoclasts are proton-secreting cells and acidify extracellular bone microenvironment. Cancer cell-colonized bone also releases proton/lactate to avoid intracellular acidification resulting from increased aerobic glycolysis known as the Warburg effect. Thus, extracellular microenvironment of cancer-colonized bone is acidic. Acidosis is algogenic for nociceptive sensory neurons. The bone is densely innervated by the sensory neurons that express acid-sensing nociceptors. Collectively, CABP is evoked by the activation of these nociceptors on the sensory neurons innervating bone by the acidic extracellular microenvironment created by bone-resorbing osteoclasts and bone-colonizing cancer cells. As current treatments do not satisfactorily control CABP and can elicit serious side effects, new therapeutic interventions are needed to manage CABP. Understanding of the cellular and molecular mechanism by which the acidic extracellular microenvironment is created in cancer-colonized bone and by which the expression and function of the acid-sensing nociceptors on the sensory neurons are regulated would facilitate to develop novel therapeutic approaches for the management of CABP.","author":[{"dropping-particle":"","family":"Yoneda","given":"Toshiyuki","non-dropping-particle":"","parse-names":false,"suffix":""},{"dropping-particle":"","family":"Hiasa","given":"Masahiro","non-dropping-particle":"","parse-names":false,"suffix":""},{"dropping-particle":"","family":"Nagata","given":"Yuki","non-dropping-particle":"","parse-names":false,"suffix":""},{"dropping-particle":"","family":"Okui","given":"Tatsuo","non-dropping-particle":"","parse-names":false,"suffix":""},{"dropping-particle":"","family":"White","given":"Fletcher A","non-dropping-particle":"","parse-names":false,"suffix":""}],"container-title":"BoneKEy Reports","id":"ITEM-2","issue":"May","issued":{"date-parts":[["2015"]]},"page":"1-9","publisher":"Nature Publishing Group","title":"Acidic microenvironment and bone pain in cancer-colonized bone","type":"article-journal","volume":"4"},"uris":["http://www.mendeley.com/documents/?uuid=935d6e71-ff1f-42bc-9ef1-5b4fa9904e9a"]}],"mendeley":{"formattedCitation":"[7, 16]","plainTextFormattedCitation":"[7, 16]","previouslyFormattedCitation":"[7, 16]"},"properties":{"noteIndex":0},"schema":"https://github.com/citation-style-language/schema/raw/master/csl-citation.json"}</w:instrText>
      </w:r>
      <w:r w:rsidRPr="000E39AA">
        <w:rPr>
          <w:rFonts w:ascii="Arial" w:hAnsi="Arial" w:cs="Arial"/>
          <w:shd w:val="clear" w:color="auto" w:fill="FFFFFF"/>
        </w:rPr>
        <w:fldChar w:fldCharType="separate"/>
      </w:r>
      <w:r w:rsidR="00BC139B" w:rsidRPr="00BC139B">
        <w:rPr>
          <w:rFonts w:ascii="Arial" w:hAnsi="Arial" w:cs="Arial"/>
          <w:noProof/>
          <w:shd w:val="clear" w:color="auto" w:fill="FFFFFF"/>
        </w:rPr>
        <w:t>[7, 16]</w:t>
      </w:r>
      <w:r w:rsidRPr="000E39AA">
        <w:rPr>
          <w:rFonts w:ascii="Arial" w:hAnsi="Arial" w:cs="Arial"/>
          <w:shd w:val="clear" w:color="auto" w:fill="FFFFFF"/>
        </w:rPr>
        <w:fldChar w:fldCharType="end"/>
      </w:r>
      <w:r w:rsidRPr="000E39AA">
        <w:rPr>
          <w:rFonts w:ascii="Arial" w:hAnsi="Arial" w:cs="Arial"/>
          <w:shd w:val="clear" w:color="auto" w:fill="FFFFFF"/>
        </w:rPr>
        <w:t>.</w:t>
      </w:r>
    </w:p>
    <w:p w14:paraId="087637D4" w14:textId="77777777" w:rsidR="00F03759" w:rsidRPr="000E39AA" w:rsidRDefault="00F03759" w:rsidP="00F03759">
      <w:pPr>
        <w:pStyle w:val="Heading3"/>
      </w:pPr>
      <w:r w:rsidRPr="000E39AA">
        <w:lastRenderedPageBreak/>
        <w:t xml:space="preserve"> Mechanisms of trauma fracture bone pain</w:t>
      </w:r>
    </w:p>
    <w:p w14:paraId="3A486F5F" w14:textId="439B2AF8" w:rsidR="00F03759" w:rsidRPr="000E39AA" w:rsidRDefault="00F03759" w:rsidP="00F03759">
      <w:pPr>
        <w:shd w:val="clear" w:color="auto" w:fill="FFFFFF"/>
        <w:spacing w:after="0" w:line="276" w:lineRule="auto"/>
        <w:jc w:val="both"/>
        <w:rPr>
          <w:rFonts w:ascii="Arial" w:hAnsi="Arial" w:cs="Arial"/>
        </w:rPr>
      </w:pPr>
      <w:r w:rsidRPr="000E39AA">
        <w:rPr>
          <w:rFonts w:ascii="Arial" w:hAnsi="Arial" w:cs="Arial"/>
          <w:shd w:val="clear" w:color="auto" w:fill="FCFCFC"/>
        </w:rPr>
        <w:t>Bone fracture</w:t>
      </w:r>
      <w:r w:rsidR="002B6AB8">
        <w:rPr>
          <w:rFonts w:ascii="Arial" w:hAnsi="Arial" w:cs="Arial"/>
          <w:shd w:val="clear" w:color="auto" w:fill="FCFCFC"/>
        </w:rPr>
        <w:t>s</w:t>
      </w:r>
      <w:r w:rsidRPr="000E39AA">
        <w:rPr>
          <w:rFonts w:ascii="Arial" w:hAnsi="Arial" w:cs="Arial"/>
          <w:shd w:val="clear" w:color="auto" w:fill="FCFCFC"/>
        </w:rPr>
        <w:t xml:space="preserve"> resulting from trauma </w:t>
      </w:r>
      <w:r w:rsidR="002B6AB8">
        <w:rPr>
          <w:rFonts w:ascii="Arial" w:hAnsi="Arial" w:cs="Arial"/>
          <w:shd w:val="clear" w:color="auto" w:fill="FCFCFC"/>
        </w:rPr>
        <w:t>are</w:t>
      </w:r>
      <w:r w:rsidRPr="000E39AA">
        <w:rPr>
          <w:rFonts w:ascii="Arial" w:hAnsi="Arial" w:cs="Arial"/>
          <w:shd w:val="clear" w:color="auto" w:fill="FCFCFC"/>
        </w:rPr>
        <w:t xml:space="preserve"> influenced by: </w:t>
      </w:r>
      <w:proofErr w:type="spellStart"/>
      <w:r w:rsidRPr="000E39AA">
        <w:rPr>
          <w:rFonts w:ascii="Arial" w:hAnsi="Arial" w:cs="Arial"/>
          <w:shd w:val="clear" w:color="auto" w:fill="FCFCFC"/>
        </w:rPr>
        <w:t>i</w:t>
      </w:r>
      <w:proofErr w:type="spellEnd"/>
      <w:r w:rsidRPr="000E39AA">
        <w:rPr>
          <w:rFonts w:ascii="Arial" w:hAnsi="Arial" w:cs="Arial"/>
          <w:shd w:val="clear" w:color="auto" w:fill="FCFCFC"/>
        </w:rPr>
        <w:t xml:space="preserve">) the quality and density of the bone, ii) the mechanical property of the bone affected and iii) the application of the load </w:t>
      </w:r>
      <w:r w:rsidRPr="000E39AA">
        <w:rPr>
          <w:rFonts w:ascii="Arial" w:hAnsi="Arial" w:cs="Arial"/>
          <w:shd w:val="clear" w:color="auto" w:fill="FCFCFC"/>
        </w:rPr>
        <w:fldChar w:fldCharType="begin" w:fldLock="1"/>
      </w:r>
      <w:r w:rsidR="000D250C">
        <w:rPr>
          <w:rFonts w:ascii="Arial" w:hAnsi="Arial" w:cs="Arial"/>
          <w:shd w:val="clear" w:color="auto" w:fill="FCFCFC"/>
        </w:rPr>
        <w:instrText>ADDIN CSL_CITATION {"citationItems":[{"id":"ITEM-1","itemData":{"DOI":"10.1007/s11914-020-00615-1","ISSN":"15442241","PMID":"32740775","abstract":"Purpose of Review: The goal of this review is to summarize recent advances in modeling of bone fracture using fracture mechanics–based approaches at multiple length scales spanning nano- to macroscale. Recent Findings: Despite the additional information that fracture mechanics–based models provide over strength-based ones, the application of this approach to assessing bone fracture is still somewhat limited. Macroscale fracture models of bone have demonstrated the potential of this approach in uncovering the contributions of geometry, material property variation, as well as loading mode and rate on whole bone fracture response. Cortical and cancellous microscale models of bone have advanced the understanding of individual contributions of microstructure, microarchitecture, local material properties, and material distribution on microscale fracture resistance of bone. Nano/submicroscale models have provided additional insight into the effect of specific changes in mineral, collagen, and non-collagenous proteins as well as their interaction on energy dissipation and fracture resistance at small length scales. Summary: Advanced modeling approaches based on fracture mechanics provide unique information about the underlying multiscale fracture mechanisms in bone and how these mechanisms are influenced by the structural and material constituents of bone at different length scales. Fracture mechanics–based modeling provides a powerful approach that complements experimental evaluations and advances the understanding of critical determinants of fracture risk.","author":[{"dropping-particle":"","family":"Ural","given":"Ani","non-dropping-particle":"","parse-names":false,"suffix":""}],"container-title":"Current Osteoporosis Reports","id":"ITEM-1","issue":"5","issued":{"date-parts":[["2020"]]},"page":"568-576","publisher":"Current Osteoporosis Reports","title":"Advanced Modeling Methods—Applications to Bone Fracture Mechanics","type":"article-journal","volume":"18"},"uris":["http://www.mendeley.com/documents/?uuid=ee5d8a09-ca6b-470f-a066-714fe6d58ed5","http://www.mendeley.com/documents/?uuid=08592c55-690a-44a3-854c-a0b98a79c40d"]}],"mendeley":{"formattedCitation":"[20]","plainTextFormattedCitation":"[20]","previouslyFormattedCitation":"[20]"},"properties":{"noteIndex":0},"schema":"https://github.com/citation-style-language/schema/raw/master/csl-citation.json"}</w:instrText>
      </w:r>
      <w:r w:rsidRPr="000E39AA">
        <w:rPr>
          <w:rFonts w:ascii="Arial" w:hAnsi="Arial" w:cs="Arial"/>
          <w:shd w:val="clear" w:color="auto" w:fill="FCFCFC"/>
        </w:rPr>
        <w:fldChar w:fldCharType="separate"/>
      </w:r>
      <w:r w:rsidR="00BC139B" w:rsidRPr="00BC139B">
        <w:rPr>
          <w:rFonts w:ascii="Arial" w:hAnsi="Arial" w:cs="Arial"/>
          <w:noProof/>
          <w:shd w:val="clear" w:color="auto" w:fill="FCFCFC"/>
        </w:rPr>
        <w:t>[20]</w:t>
      </w:r>
      <w:r w:rsidRPr="000E39AA">
        <w:rPr>
          <w:rFonts w:ascii="Arial" w:hAnsi="Arial" w:cs="Arial"/>
          <w:shd w:val="clear" w:color="auto" w:fill="FCFCFC"/>
        </w:rPr>
        <w:fldChar w:fldCharType="end"/>
      </w:r>
      <w:r w:rsidRPr="000E39AA">
        <w:rPr>
          <w:rFonts w:ascii="Arial" w:hAnsi="Arial" w:cs="Arial"/>
          <w:shd w:val="clear" w:color="auto" w:fill="FCFCFC"/>
        </w:rPr>
        <w:t xml:space="preserve">. During the traumatic event, especially in the case of a fall, bone is subjected to a multi-axial load condition, which can result in </w:t>
      </w:r>
      <w:r w:rsidR="00F01AFF">
        <w:rPr>
          <w:rFonts w:ascii="Arial" w:hAnsi="Arial" w:cs="Arial"/>
          <w:shd w:val="clear" w:color="auto" w:fill="FCFCFC"/>
        </w:rPr>
        <w:t>a</w:t>
      </w:r>
      <w:r w:rsidRPr="000E39AA">
        <w:rPr>
          <w:rFonts w:ascii="Arial" w:hAnsi="Arial" w:cs="Arial"/>
          <w:shd w:val="clear" w:color="auto" w:fill="FCFCFC"/>
        </w:rPr>
        <w:t xml:space="preserve"> fracture due to the multiple excess loads in an axial-torsion </w:t>
      </w:r>
      <w:r w:rsidRPr="000E39AA">
        <w:rPr>
          <w:rFonts w:ascii="Arial" w:hAnsi="Arial" w:cs="Arial"/>
        </w:rPr>
        <w:fldChar w:fldCharType="begin" w:fldLock="1"/>
      </w:r>
      <w:r w:rsidR="000D250C">
        <w:rPr>
          <w:rFonts w:ascii="Arial" w:hAnsi="Arial" w:cs="Arial"/>
        </w:rPr>
        <w:instrText>ADDIN CSL_CITATION {"citationItems":[{"id":"ITEM-1","itemData":{"DOI":"10.1016/j.bone.2005.08.002","ISSN":"8756-3282 (Print)","PMID":"16182625","abstract":"Since bone-mass-based measurements have demonstrated limited success in predicting  age-related increase in fracture incidence, recent emphasis has been placed on quantification of bone quality. Specifically, material parameters such as strength, stiffness, and toughness have been quantified to characterize bone quality through mechanical testing. This study is the first one to report multiaxial failure characteristics of bone (quality) by conducting fatigue tests on human cortical bone specimens under physiologically relevant loading involving simultaneous application of axial and torsional loading to produce previously reported in vivo shear/normal stress ratios. Our results show that, compared to uniaxial tests, multiaxial fatigue tests show up to a 20-fold reduction in the fatigue life of human cortical bone. More significantly, the susceptibility of mixed-mode failure increases bone fragility in aging human bone. Furthermore, since the magnitude of mixed-mode loading varies with physiological activities, results of this study also suggest that a reduction in the activities involving significant mixed-mode loading may lower the overall fracture incidence among older individuals.","author":[{"dropping-particle":"","family":"George","given":"W T","non-dropping-particle":"","parse-names":false,"suffix":""},{"dropping-particle":"","family":"Vashishth","given":"D","non-dropping-particle":"","parse-names":false,"suffix":""}],"container-title":"Bone","id":"ITEM-1","issue":"1","issued":{"date-parts":[["2006","1"]]},"language":"eng","page":"105-111","publisher-place":"United States","title":"Susceptibility of aging human bone to mixed-mode fracture increases bone fragility.","type":"article-journal","volume":"38"},"uris":["http://www.mendeley.com/documents/?uuid=57b23e72-7c0d-42f3-a3ba-d22652ac526e"]},{"id":"ITEM-2","itemData":{"DOI":"10.1097/j.pain.0000000000001838.Peripheral","ISBN":"2163684814","abstract":"file:///C:/Users/Marika/Desktop/università di pavia/articoli/strategie per l'infertilità/nihms964087.pdf","author":[{"dropping-particle":"","family":"Danielle X. Morales, Sara E. Grineski","given":"and Timothy W. Collins","non-dropping-particle":"","parse-names":false,"suffix":""}],"container-title":"Physiology &amp; behavior","id":"ITEM-2","issue":"1","issued":{"date-parts":[["2016"]]},"page":"139-148","title":"</w:instrText>
      </w:r>
      <w:r w:rsidR="000D250C">
        <w:rPr>
          <w:rFonts w:ascii="MS Gothic" w:eastAsia="MS Gothic" w:hAnsi="MS Gothic" w:cs="MS Gothic" w:hint="eastAsia"/>
        </w:rPr>
        <w:instrText>乳鼠心肌提取</w:instrText>
      </w:r>
      <w:r w:rsidR="000D250C">
        <w:rPr>
          <w:rFonts w:ascii="Arial" w:hAnsi="Arial" w:cs="Arial"/>
        </w:rPr>
        <w:instrText xml:space="preserve"> HHS Public Access","type":"article-journal","volume":"176"},"uris":["http://www.mendeley.com/documents/?uuid=3163032d-6663-447f-93a5-784b0dc28da2"]}],"mendeley":{"formattedCitation":"[21, 22]","plainTextFormattedCitation":"[21, 22]","previouslyFormattedCitation":"[21, 22]"},"properties":{"noteIndex":0},"schema":"https://github.com/citation-style-language/schema/raw/master/csl-citation.json"}</w:instrText>
      </w:r>
      <w:r w:rsidRPr="000E39AA">
        <w:rPr>
          <w:rFonts w:ascii="Arial" w:hAnsi="Arial" w:cs="Arial"/>
        </w:rPr>
        <w:fldChar w:fldCharType="separate"/>
      </w:r>
      <w:r w:rsidR="00BC139B" w:rsidRPr="00BC139B">
        <w:rPr>
          <w:rFonts w:ascii="Arial" w:hAnsi="Arial" w:cs="Arial"/>
          <w:noProof/>
        </w:rPr>
        <w:t>[21, 22]</w:t>
      </w:r>
      <w:r w:rsidRPr="000E39AA">
        <w:rPr>
          <w:rFonts w:ascii="Arial" w:hAnsi="Arial" w:cs="Arial"/>
        </w:rPr>
        <w:fldChar w:fldCharType="end"/>
      </w:r>
      <w:r w:rsidRPr="000E39AA">
        <w:rPr>
          <w:rFonts w:ascii="Arial" w:hAnsi="Arial" w:cs="Arial"/>
        </w:rPr>
        <w:t xml:space="preserve">. </w:t>
      </w:r>
      <w:r w:rsidRPr="000E39AA">
        <w:rPr>
          <w:rFonts w:ascii="Arial" w:hAnsi="Arial" w:cs="Arial"/>
          <w:shd w:val="clear" w:color="auto" w:fill="FCFCFC"/>
        </w:rPr>
        <w:t>Following fracture, the altered orientation of the damaged bone is perceived by mechanosensitive fibres as a mechanical stimulation</w:t>
      </w:r>
      <w:r w:rsidRPr="000E39AA">
        <w:rPr>
          <w:rFonts w:ascii="Arial" w:hAnsi="Arial" w:cs="Arial"/>
        </w:rPr>
        <w:t xml:space="preserve"> </w:t>
      </w:r>
      <w:r w:rsidRPr="000E39AA">
        <w:rPr>
          <w:rFonts w:ascii="Arial" w:hAnsi="Arial" w:cs="Arial"/>
        </w:rPr>
        <w:fldChar w:fldCharType="begin" w:fldLock="1"/>
      </w:r>
      <w:r w:rsidR="000D250C">
        <w:rPr>
          <w:rFonts w:ascii="Arial" w:hAnsi="Arial" w:cs="Arial"/>
        </w:rPr>
        <w:instrText>ADDIN CSL_CITATION {"citationItems":[{"id":"ITEM-1","itemData":{"DOI":"10.1007/s11914-018-0446-8","ISBN":"1191401804","ISSN":"15442241","PMID":"29948820","abstract":"Purpose of Review: This paper describes recent advances in understanding the mechanisms that drive fracture pain and how these findings are helping develop new therapies to treat fracture pain. Recent Findings: Immediately following fracture, mechanosensitive nerve fibers that innervate bone are mechanically distorted. This results in these nerve fibers rapidly discharging and signaling the initial sharp fracture pain to the brain. Within minutes to hours, a host of neurotransmitters, cytokines, and nerve growth factor are released by cells at the fracture site. These factors stimulate, sensitize, and induce ectopic nerve sprouting of the sensory and sympathetic nerve fibers which drive the sharp pain upon movement and the dull aching pain at rest. If rapid and effective healing of the fracture occurs, these factors return to baseline and the pain subsides, but if not, these factors can drive chronic bone pain. Summary: New mechanism-based therapies have the potential to fundamentally change the way acute and chronic fracture pain is managed.","author":[{"dropping-particle":"","family":"Mitchell","given":"Stefanie A.T.","non-dropping-particle":"","parse-names":false,"suffix":""},{"dropping-particle":"","family":"Majuta","given":"Lisa A.","non-dropping-particle":"","parse-names":false,"suffix":""},{"dropping-particle":"","family":"Mantyh","given":"Patrick W.","non-dropping-particle":"","parse-names":false,"suffix":""}],"container-title":"Current Osteoporosis Reports","id":"ITEM-1","issue":"4","issued":{"date-parts":[["2018"]]},"page":"325-332","title":"New Insights in Understanding and Treating Bone Fracture Pain","type":"article-journal","volume":"16"},"uris":["http://www.mendeley.com/documents/?uuid=1a62e34d-5477-4ba4-aa76-63cb82ff2fc1"]}],"mendeley":{"formattedCitation":"[13]","plainTextFormattedCitation":"[13]","previouslyFormattedCitation":"[13]"},"properties":{"noteIndex":0},"schema":"https://github.com/citation-style-language/schema/raw/master/csl-citation.json"}</w:instrText>
      </w:r>
      <w:r w:rsidRPr="000E39AA">
        <w:rPr>
          <w:rFonts w:ascii="Arial" w:hAnsi="Arial" w:cs="Arial"/>
        </w:rPr>
        <w:fldChar w:fldCharType="separate"/>
      </w:r>
      <w:r w:rsidR="00BC139B" w:rsidRPr="00BC139B">
        <w:rPr>
          <w:rFonts w:ascii="Arial" w:hAnsi="Arial" w:cs="Arial"/>
          <w:noProof/>
        </w:rPr>
        <w:t>[13]</w:t>
      </w:r>
      <w:r w:rsidRPr="000E39AA">
        <w:rPr>
          <w:rFonts w:ascii="Arial" w:hAnsi="Arial" w:cs="Arial"/>
        </w:rPr>
        <w:fldChar w:fldCharType="end"/>
      </w:r>
      <w:r w:rsidRPr="000E39AA">
        <w:rPr>
          <w:rFonts w:ascii="Arial" w:hAnsi="Arial" w:cs="Arial"/>
        </w:rPr>
        <w:t xml:space="preserve">. </w:t>
      </w:r>
      <w:r w:rsidRPr="000E39AA">
        <w:rPr>
          <w:rFonts w:ascii="Arial" w:hAnsi="Arial" w:cs="Arial"/>
          <w:shd w:val="clear" w:color="auto" w:fill="FCFCFC"/>
        </w:rPr>
        <w:t xml:space="preserve">The distortion of the cortical bone, or an increase in intraosseous pressure, activates the nociceptive C and </w:t>
      </w:r>
      <w:r w:rsidRPr="00813945">
        <w:rPr>
          <w:rFonts w:ascii="Arial" w:hAnsi="Arial" w:cs="Arial"/>
          <w:shd w:val="clear" w:color="auto" w:fill="FCFCFC"/>
        </w:rPr>
        <w:t>A-</w:t>
      </w:r>
      <w:r w:rsidR="00813945" w:rsidRPr="00813945">
        <w:rPr>
          <w:rFonts w:ascii="Arial" w:hAnsi="Arial" w:cs="Arial"/>
          <w:shd w:val="clear" w:color="auto" w:fill="FCFCFC"/>
        </w:rPr>
        <w:t xml:space="preserve">δ </w:t>
      </w:r>
      <w:r w:rsidRPr="00813945">
        <w:rPr>
          <w:rFonts w:ascii="Arial" w:hAnsi="Arial" w:cs="Arial"/>
          <w:shd w:val="clear" w:color="auto" w:fill="FCFCFC"/>
        </w:rPr>
        <w:t>fibres</w:t>
      </w:r>
      <w:r w:rsidRPr="000E39AA">
        <w:rPr>
          <w:rFonts w:ascii="Arial" w:hAnsi="Arial" w:cs="Arial"/>
          <w:shd w:val="clear" w:color="auto" w:fill="FCFCFC"/>
        </w:rPr>
        <w:t xml:space="preserve"> in the periosteum, responsible for the perception of dull pain and acute pain</w:t>
      </w:r>
      <w:r w:rsidR="00C919B0">
        <w:rPr>
          <w:rFonts w:ascii="Arial" w:hAnsi="Arial" w:cs="Arial"/>
          <w:shd w:val="clear" w:color="auto" w:fill="FCFCFC"/>
        </w:rPr>
        <w:t>,</w:t>
      </w:r>
      <w:r w:rsidRPr="000E39AA">
        <w:rPr>
          <w:rFonts w:ascii="Arial" w:hAnsi="Arial" w:cs="Arial"/>
          <w:shd w:val="clear" w:color="auto" w:fill="FCFCFC"/>
        </w:rPr>
        <w:t xml:space="preserve"> respectively </w:t>
      </w:r>
      <w:r w:rsidRPr="000E39AA">
        <w:rPr>
          <w:rFonts w:ascii="Arial" w:hAnsi="Arial" w:cs="Arial"/>
        </w:rPr>
        <w:fldChar w:fldCharType="begin" w:fldLock="1"/>
      </w:r>
      <w:r w:rsidR="000D250C">
        <w:rPr>
          <w:rFonts w:ascii="Arial" w:hAnsi="Arial" w:cs="Arial"/>
        </w:rPr>
        <w:instrText>ADDIN CSL_CITATION {"citationItems":[{"id":"ITEM-1","itemData":{"DOI":"10.1007/s004829700058","ISSN":"0932-433X","abstract":"INTRODUCTION Nociceptors can be defined as sensory receptors that are activated by noxious stimuli that damage or threaten the body's integrity. Nociceptors belong to the slowly conducting afferent A delta and C fibres. They are classified according to their responses to mechanical, thermal, and chemical stimuli. SKIN NOCICEPTORS In the skin, high-threshold mechano-nociceptors (HTMs) and mechano-heat nociceptors of A and C fibres (AMHs and CMHs) are frequently found. CMHs are usually called polymodal C fibres (CPMs) if they also show chemosensitive properties. Sensations of sharp pain are evoked by intraneural microstimulation of nociceptive A delta fibres, whereas stimulation of C fibres causes dull pain sensations. NOCICEPTORS OF DEEP TISSUES AND VISCERA: Slowly conducting afferents of deep tissues (muscles, joints) are primarily classified according to their mechanosensitivity. High-threshold afferents in somatic and visceral tissues are specifically activated by noxious mechanical stimuli. Many visceral afferents, however, are already activated by peristaltic contractions encoding the stimulus intensity over a wide range. High proportions of somatic and visceral nociceptors can be excited or sensitised by various irritants and inflammatory mediators such as capsaicin, bradykinin, prostaglandins, leukotrienes, serotonin, histamine, and free radicals. As a special class of nociceptors, mechano-insensitive or \"silent\" afferents have been found in nearly all tissues. Silent afferents become mechanosensitive only after long noxious stimulation, e.g., during an inflammation. FREE NERVE ENDINGS \"Free nerve endings\", which are regarded as the morphological correlatives of nociceptors, usually consist of bundles of unmyelinated fibres. With electron microscopy varicose segments of the sensory axon are visible that are characterised by free areas of axolemma, accumulations of mitochondria and vesicles, and a modified axoplasm. These presumptive receptive sites are periodically arranged along the whole course of the sensory endings at a length of up to several hundred microns. Additionally, the fine sensory endings are branched, forming tree-like structures, and frequently innervate different types of tissues. Studies correlating structure and function of articular afferents provide evidence for a close relationship between topographical and functional properties of sensory endings. High-threshold afferents (nociceptors) seem to terminate in structures of dens…","author":[{"dropping-particle":"","family":"Messlinger","given":"K","non-dropping-particle":"","parse-names":false,"suffix":""}],"container-title":"Schmerz (Berlin, Germany)","id":"ITEM-1","issue":"5","issued":{"date-parts":[["1997"]]},"page":"353-35366","title":"[What is nociceptor].","type":"article-journal","volume":"11"},"uris":["http://www.mendeley.com/documents/?uuid=161a5f8a-1c3d-4d50-9335-7d523bbece34","http://www.mendeley.com/documents/?uuid=63a45a14-63ce-40a9-b28f-3689bb92737c"]}],"mendeley":{"formattedCitation":"[23]","plainTextFormattedCitation":"[23]","previouslyFormattedCitation":"[23]"},"properties":{"noteIndex":0},"schema":"https://github.com/citation-style-language/schema/raw/master/csl-citation.json"}</w:instrText>
      </w:r>
      <w:r w:rsidRPr="000E39AA">
        <w:rPr>
          <w:rFonts w:ascii="Arial" w:hAnsi="Arial" w:cs="Arial"/>
        </w:rPr>
        <w:fldChar w:fldCharType="separate"/>
      </w:r>
      <w:r w:rsidR="00BC139B" w:rsidRPr="00BC139B">
        <w:rPr>
          <w:rFonts w:ascii="Arial" w:hAnsi="Arial" w:cs="Arial"/>
          <w:noProof/>
        </w:rPr>
        <w:t>[23]</w:t>
      </w:r>
      <w:r w:rsidRPr="000E39AA">
        <w:rPr>
          <w:rFonts w:ascii="Arial" w:hAnsi="Arial" w:cs="Arial"/>
        </w:rPr>
        <w:fldChar w:fldCharType="end"/>
      </w:r>
      <w:r w:rsidRPr="000E39AA">
        <w:rPr>
          <w:rFonts w:ascii="Arial" w:hAnsi="Arial" w:cs="Arial"/>
        </w:rPr>
        <w:t xml:space="preserve">. </w:t>
      </w:r>
      <w:r w:rsidRPr="000E39AA">
        <w:rPr>
          <w:rFonts w:ascii="Arial" w:hAnsi="Arial" w:cs="Arial"/>
          <w:shd w:val="clear" w:color="auto" w:fill="FCFCFC"/>
        </w:rPr>
        <w:t xml:space="preserve">The initial nociceptive response to injury, as in cancer bone pain, is sent to the brain, generating the sensation of pain </w:t>
      </w:r>
      <w:r w:rsidRPr="000E39AA">
        <w:rPr>
          <w:rFonts w:ascii="Arial" w:hAnsi="Arial" w:cs="Arial"/>
        </w:rPr>
        <w:fldChar w:fldCharType="begin" w:fldLock="1"/>
      </w:r>
      <w:r w:rsidR="000D250C">
        <w:rPr>
          <w:rFonts w:ascii="Arial" w:hAnsi="Arial" w:cs="Arial"/>
        </w:rPr>
        <w:instrText>ADDIN CSL_CITATION {"citationItems":[{"id":"ITEM-1","itemData":{"DOI":"10.1007/s11914-018-0446-8","ISBN":"1191401804","ISSN":"15442241","PMID":"29948820","abstract":"Purpose of Review: This paper describes recent advances in understanding the mechanisms that drive fracture pain and how these findings are helping develop new therapies to treat fracture pain. Recent Findings: Immediately following fracture, mechanosensitive nerve fibers that innervate bone are mechanically distorted. This results in these nerve fibers rapidly discharging and signaling the initial sharp fracture pain to the brain. Within minutes to hours, a host of neurotransmitters, cytokines, and nerve growth factor are released by cells at the fracture site. These factors stimulate, sensitize, and induce ectopic nerve sprouting of the sensory and sympathetic nerve fibers which drive the sharp pain upon movement and the dull aching pain at rest. If rapid and effective healing of the fracture occurs, these factors return to baseline and the pain subsides, but if not, these factors can drive chronic bone pain. Summary: New mechanism-based therapies have the potential to fundamentally change the way acute and chronic fracture pain is managed.","author":[{"dropping-particle":"","family":"Mitchell","given":"Stefanie A.T.","non-dropping-particle":"","parse-names":false,"suffix":""},{"dropping-particle":"","family":"Majuta","given":"Lisa A.","non-dropping-particle":"","parse-names":false,"suffix":""},{"dropping-particle":"","family":"Mantyh","given":"Patrick W.","non-dropping-particle":"","parse-names":false,"suffix":""}],"container-title":"Current Osteoporosis Reports","id":"ITEM-1","issue":"4","issued":{"date-parts":[["2018"]]},"page":"325-332","title":"New Insights in Understanding and Treating Bone Fracture Pain","type":"article-journal","volume":"16"},"uris":["http://www.mendeley.com/documents/?uuid=1a62e34d-5477-4ba4-aa76-63cb82ff2fc1"]},{"id":"ITEM-2","itemData":{"DOI":"10.1016/S0306-4522(02)00165-3","ISSN":"03064522","PMID":"12123694","abstract":"Although skeletal pain plays a major role in reducing the quality of life in patients suffering from osteoarthritis, Paget's disease, sickle cell anemia and bone cancer, little is known about the mechanisms that generate and maintain this pain. To define the peripheral fibers involved in transmitting and modulating skeletal pain, we used immunohistochemistry with antigen retrieval, confocal microscopy and three-dimensional image reconstruction of the bone to examine the sensory and sympathetic innervation of mineralized bone, bone marrow and periosteum of the normal mouse femur. Thinly myelinated and unmyelinated peptidergic sensory fibers were labeled with antibodies raised against calcitonin gene-related peptide (CGRP) and the unmyelinated, non-peptidergic sensory fibers were labeled with the isolectin B4 (Bandeira simplicifolia). Myelinated sensory fibers were labeled with an antibody raised against 200-kDa neurofilament H (clone RT-97). Sympathetic fibers were labeled with an antibody raised against tyrosine hydroxylase. CGRP, RT-97, and tyrosine hydroxylase immunoreactive fibers, but not isolectin B4 positive fibers, were present throughout the bone marrow, mineralized bone and the periosteum. While the periosteum is the most densely innervated tissue, when the total volume of each tissue is considered, the bone marrow receives the greatest total number of sensory and sympathetic fibers followed by mineralized bone and then periosteum. Understanding the sensory and sympathetic innervation of bone should provide a better understanding of the mechanisms that drive bone pain and aid in developing therapeutic strategies for treating skeletal pain. © 2002 IBRO. Published by Elsevier Science Ltd. All rights reserved.","author":[{"dropping-particle":"","family":"Mach","given":"D. B.","non-dropping-particle":"","parse-names":false,"suffix":""},{"dropping-particle":"","family":"Rogers","given":"S. D.","non-dropping-particle":"","parse-names":false,"suffix":""},{"dropping-particle":"","family":"Sabino","given":"M. C.","non-dropping-particle":"","parse-names":false,"suffix":""},{"dropping-particle":"","family":"Luger","given":"N. M.","non-dropping-particle":"","parse-names":false,"suffix":""},{"dropping-particle":"","family":"Schwei","given":"M. J.","non-dropping-particle":"","parse-names":false,"suffix":""},{"dropping-particle":"","family":"Pomonis","given":"J. D.","non-dropping-particle":"","parse-names":false,"suffix":""},{"dropping-particle":"","family":"Keyser","given":"C. P.","non-dropping-particle":"","parse-names":false,"suffix":""},{"dropping-particle":"","family":"Clohisy","given":"D. R.","non-dropping-particle":"","parse-names":false,"suffix":""},{"dropping-particle":"","family":"Adams","given":"D. J.","non-dropping-particle":"","parse-names":false,"suffix":""},{"dropping-particle":"","family":"O’leary","given":"P.","non-dropping-particle":"","parse-names":false,"suffix":""},{"dropping-particle":"","family":"Mantyh","given":"P. W.","non-dropping-particle":"","parse-names":false,"suffix":""}],"container-title":"Neuroscience","id":"ITEM-2","issue":"1","issued":{"date-parts":[["2002"]]},"page":"155-166","title":"Origins of skeletal pain: Sensory and sympathetic innervation of the mouse femur","type":"article-journal","volume":"113"},"uris":["http://www.mendeley.com/documents/?uuid=80890c03-2c86-4c33-b908-bd3d536ccd49"]},{"id":"ITEM-3","itemData":{"DOI":"10.1016/j.bone.2016.01.026","ISSN":"87563282","PMID":"26851411","abstract":"An increase of fracture incidence is expected for the next decades, mostly due to the undeniable increase of osteoporotic fractures, associated with the rapid population ageing. The rise in sports-related fractures affecting the young and active population also contributes to this increased fracture incidence, and further amplifies the economical burden of fractures. Fracture often results in severe pain, which is a primary symptom to be treated, not only to guarantee individual's wellbeing, but also because an efficient management of fracture pain is mandatory to ensure proper bone healing. Here, we review the available data on bone innervation and its response to fracture, and discuss putative mechanisms of fracture pain signaling. In addition, the common therapeutic approaches to treat fracture pain are discussed. Although there is still much to learn, research in fracture pain has allowed an initial insight into the mechanisms involved. During the inflammatory response to fracture, several mediators are released and will putatively activate and sensitize primary sensory neurons, in parallel, intense nerve sprouting that occurs in the fracture callus area is also suggested to be involved in pain signaling. The establishment of hyperalgesia and allodynia after fracture indicates the development of peripheral and central sensitization, still, the underlying mechanisms are largely unknown. A major concern during the treatment of fracture pain needs to be the preservation of proper bone healing. However, the most common therapeutic agents, NSAIDS and opiates, can cause significant side effects that include fracture repair impairment. The understanding of the mechanisms of fracture pain signaling will allow the development of mechanisms-based therapies to effectively and safely manage fracture pain.","author":[{"dropping-particle":"","family":"Alves","given":"Cecília J.","non-dropping-particle":"","parse-names":false,"suffix":""},{"dropping-particle":"","family":"Neto","given":"Estrela","non-dropping-particle":"","parse-names":false,"suffix":""},{"dropping-particle":"","family":"Sousa","given":"Daniela M.","non-dropping-particle":"","parse-names":false,"suffix":""},{"dropping-particle":"","family":"Leitão","given":"Luís","non-dropping-particle":"","parse-names":false,"suffix":""},{"dropping-particle":"","family":"Vasconcelos","given":"Daniel M.","non-dropping-particle":"","parse-names":false,"suffix":""},{"dropping-particle":"","family":"Ribeiro-Silva","given":"Manuel","non-dropping-particle":"","parse-names":false,"suffix":""},{"dropping-particle":"","family":"Alencastre","given":"Inês S.","non-dropping-particle":"","parse-names":false,"suffix":""},{"dropping-particle":"","family":"Lamghari","given":"Meriem","non-dropping-particle":"","parse-names":false,"suffix":""}],"container-title":"Bone","id":"ITEM-3","issued":{"date-parts":[["2016"]]},"page":"107-114","publisher":"Elsevier Inc.","title":"Fracture pain-Traveling unknown pathways","type":"article-journal","volume":"85"},"uris":["http://www.mendeley.com/documents/?uuid=fd725a60-ebf5-4df4-8595-86e687dd854f"]},{"id":"ITEM-4","itemData":{"DOI":"10.1007/s004829700058","ISSN":"0932-433X","abstract":"INTRODUCTION Nociceptors can be defined as sensory receptors that are activated by noxious stimuli that damage or threaten the body's integrity. Nociceptors belong to the slowly conducting afferent A delta and C fibres. They are classified according to their responses to mechanical, thermal, and chemical stimuli. SKIN NOCICEPTORS In the skin, high-threshold mechano-nociceptors (HTMs) and mechano-heat nociceptors of A and C fibres (AMHs and CMHs) are frequently found. CMHs are usually called polymodal C fibres (CPMs) if they also show chemosensitive properties. Sensations of sharp pain are evoked by intraneural microstimulation of nociceptive A delta fibres, whereas stimulation of C fibres causes dull pain sensations. NOCICEPTORS OF DEEP TISSUES AND VISCERA: Slowly conducting afferents of deep tissues (muscles, joints) are primarily classified according to their mechanosensitivity. High-threshold afferents in somatic and visceral tissues are specifically activated by noxious mechanical stimuli. Many visceral afferents, however, are already activated by peristaltic contractions encoding the stimulus intensity over a wide range. High proportions of somatic and visceral nociceptors can be excited or sensitised by various irritants and inflammatory mediators such as capsaicin, bradykinin, prostaglandins, leukotrienes, serotonin, histamine, and free radicals. As a special class of nociceptors, mechano-insensitive or \"silent\" afferents have been found in nearly all tissues. Silent afferents become mechanosensitive only after long noxious stimulation, e.g., during an inflammation. FREE NERVE ENDINGS \"Free nerve endings\", which are regarded as the morphological correlatives of nociceptors, usually consist of bundles of unmyelinated fibres. With electron microscopy varicose segments of the sensory axon are visible that are characterised by free areas of axolemma, accumulations of mitochondria and vesicles, and a modified axoplasm. These presumptive receptive sites are periodically arranged along the whole course of the sensory endings at a length of up to several hundred microns. Additionally, the fine sensory endings are branched, forming tree-like structures, and frequently innervate different types of tissues. Studies correlating structure and function of articular afferents provide evidence for a close relationship between topographical and functional properties of sensory endings. High-threshold afferents (nociceptors) seem to terminate in structures of dens…","author":[{"dropping-particle":"","family":"Messlinger","given":"K","non-dropping-particle":"","parse-names":false,"suffix":""}],"container-title":"Schmerz (Berlin, Germany)","id":"ITEM-4","issue":"5","issued":{"date-parts":[["1997"]]},"page":"353-35366","title":"[What is nociceptor].","type":"article-journal","volume":"11"},"uris":["http://www.mendeley.com/documents/?uuid=63a45a14-63ce-40a9-b28f-3689bb92737c","http://www.mendeley.com/documents/?uuid=161a5f8a-1c3d-4d50-9335-7d523bbece34","http://www.mendeley.com/documents/?uuid=759dfbe6-7ca4-4271-a6fd-0f84e672ec39"]}],"mendeley":{"formattedCitation":"[1, 13, 17, 23]","plainTextFormattedCitation":"[1, 13, 17, 23]","previouslyFormattedCitation":"[1, 13, 17, 23]"},"properties":{"noteIndex":0},"schema":"https://github.com/citation-style-language/schema/raw/master/csl-citation.json"}</w:instrText>
      </w:r>
      <w:r w:rsidRPr="000E39AA">
        <w:rPr>
          <w:rFonts w:ascii="Arial" w:hAnsi="Arial" w:cs="Arial"/>
        </w:rPr>
        <w:fldChar w:fldCharType="separate"/>
      </w:r>
      <w:r w:rsidR="00BC139B" w:rsidRPr="00BC139B">
        <w:rPr>
          <w:rFonts w:ascii="Arial" w:hAnsi="Arial" w:cs="Arial"/>
          <w:noProof/>
        </w:rPr>
        <w:t>[1, 13, 17, 23]</w:t>
      </w:r>
      <w:r w:rsidRPr="000E39AA">
        <w:rPr>
          <w:rFonts w:ascii="Arial" w:hAnsi="Arial" w:cs="Arial"/>
        </w:rPr>
        <w:fldChar w:fldCharType="end"/>
      </w:r>
      <w:r w:rsidRPr="000E39AA">
        <w:rPr>
          <w:rFonts w:ascii="Arial" w:hAnsi="Arial" w:cs="Arial"/>
        </w:rPr>
        <w:t xml:space="preserve">. </w:t>
      </w:r>
      <w:r w:rsidRPr="000E39AA">
        <w:rPr>
          <w:rFonts w:ascii="Arial" w:hAnsi="Arial" w:cs="Arial"/>
          <w:shd w:val="clear" w:color="auto" w:fill="FCFCFC"/>
        </w:rPr>
        <w:t xml:space="preserve">Unlike cancer bone pain, the inflammatory component is due to the formation of a hematoma following the rupture of blood vessels accompanying the bone damage </w:t>
      </w:r>
      <w:r w:rsidRPr="000E39AA">
        <w:rPr>
          <w:rFonts w:ascii="Arial" w:hAnsi="Arial" w:cs="Arial"/>
          <w:shd w:val="clear" w:color="auto" w:fill="FCFCFC"/>
        </w:rPr>
        <w:fldChar w:fldCharType="begin" w:fldLock="1"/>
      </w:r>
      <w:r w:rsidR="00920741">
        <w:rPr>
          <w:rFonts w:ascii="Arial" w:hAnsi="Arial" w:cs="Arial"/>
          <w:shd w:val="clear" w:color="auto" w:fill="FCFCFC"/>
        </w:rPr>
        <w:instrText>ADDIN CSL_CITATION {"citationItems":[{"id":"ITEM-1","itemData":{"DOI":"https://doi.org/10.1002/jor.20901","ISSN":"0736-0266","abstract":"Abstract Bone fracture leads to a cycle of inflammation, cellular migration, and proliferation to restore tissue integrity. Immune cells at the site of injury are involved especially in the early phase of the healing process, but little is known about the cells present in the initial fracture hematoma. The hypothesis of this study was that the cellular composition in a fracture hematoma differs from that found in a muscle hematoma and that these divergences get more pronounced over time. By using a reproducible osteotomy model and muscle trauma in sheep the distributions of the immune cell subpopulations were evaluated 1 and 4 h after surgery. The cell amount within the first 4 h increased in both hematoma. The number of dead cells was higher in the muscle hematoma. One hour postoperatively the initial fracture hematoma revealed a lower granulocyte percentage compared to the muscle hematoma. The ratio of T helper to cytotoxic T cells was higher in the fracture hematoma compared to the muscle hematoma at both investigated time points. B cell percentage increased in the fracture but not in the muscle hematoma from 1 to 4 h. This is the first study that compares the immune cell subpopulations of a fracture and muscle hematoma. ? 2009 Orthopaedic Research Society. Published by Wiley Periodicals, Inc. J Orthop Res","author":[{"dropping-particle":"","family":"Schmidt-Bleek","given":"Katharina","non-dropping-particle":"","parse-names":false,"suffix":""},{"dropping-particle":"","family":"Schell","given":"Hanna","non-dropping-particle":"","parse-names":false,"suffix":""},{"dropping-particle":"","family":"Kolar","given":"Paula","non-dropping-particle":"","parse-names":false,"suffix":""},{"dropping-particle":"","family":"Pfaff","given":"Michael","non-dropping-particle":"","parse-names":false,"suffix":""},{"dropping-particle":"","family":"Perka","given":"Carsten","non-dropping-particle":"","parse-names":false,"suffix":""},{"dropping-particle":"","family":"Buttgereit","given":"Frank","non-dropping-particle":"","parse-names":false,"suffix":""},{"dropping-particle":"","family":"Duda","given":"Georg","non-dropping-particle":"","parse-names":false,"suffix":""},{"dropping-particle":"","family":"Lienau","given":"Jasmin","non-dropping-particle":"","parse-names":false,"suffix":""}],"container-title":"Journal of Orthopaedic Research","id":"ITEM-1","issue":"9","issued":{"date-parts":[["2009","9","1"]]},"note":"https://doi.org/10.1002/jor.20901","page":"1147-1151","publisher":"John Wiley &amp; Sons, Ltd","title":"Cellular composition of the initial fracture hematoma compared to a muscle hematoma: A study in sheep","type":"article-journal","volume":"27"},"uris":["http://www.mendeley.com/documents/?uuid=5dde201b-1f89-481a-a0de-f08d72336c8e"]}],"mendeley":{"formattedCitation":"[24]","plainTextFormattedCitation":"[24]","previouslyFormattedCitation":"[24]"},"properties":{"noteIndex":0},"schema":"https://github.com/citation-style-language/schema/raw/master/csl-citation.json"}</w:instrText>
      </w:r>
      <w:r w:rsidRPr="000E39AA">
        <w:rPr>
          <w:rFonts w:ascii="Arial" w:hAnsi="Arial" w:cs="Arial"/>
          <w:shd w:val="clear" w:color="auto" w:fill="FCFCFC"/>
        </w:rPr>
        <w:fldChar w:fldCharType="separate"/>
      </w:r>
      <w:r w:rsidR="00BC139B" w:rsidRPr="00BC139B">
        <w:rPr>
          <w:rFonts w:ascii="Arial" w:hAnsi="Arial" w:cs="Arial"/>
          <w:noProof/>
          <w:shd w:val="clear" w:color="auto" w:fill="FCFCFC"/>
        </w:rPr>
        <w:t>[24]</w:t>
      </w:r>
      <w:r w:rsidRPr="000E39AA">
        <w:rPr>
          <w:rFonts w:ascii="Arial" w:hAnsi="Arial" w:cs="Arial"/>
          <w:shd w:val="clear" w:color="auto" w:fill="FCFCFC"/>
        </w:rPr>
        <w:fldChar w:fldCharType="end"/>
      </w:r>
      <w:r w:rsidRPr="000E39AA">
        <w:rPr>
          <w:rFonts w:ascii="Arial" w:hAnsi="Arial" w:cs="Arial"/>
          <w:shd w:val="clear" w:color="auto" w:fill="FCFCFC"/>
        </w:rPr>
        <w:t>. As in cancer bone pain, even in trauma induced fracture, inflammatory-related factors can directly activate or sensitise nociceptors</w:t>
      </w:r>
      <w:r w:rsidRPr="000E39AA">
        <w:rPr>
          <w:rFonts w:ascii="Arial" w:hAnsi="Arial" w:cs="Arial"/>
        </w:rPr>
        <w:t xml:space="preserve"> </w:t>
      </w:r>
      <w:r w:rsidRPr="000E39AA">
        <w:rPr>
          <w:rFonts w:ascii="Arial" w:hAnsi="Arial" w:cs="Arial"/>
          <w:shd w:val="clear" w:color="auto" w:fill="FCFCFC"/>
        </w:rPr>
        <w:fldChar w:fldCharType="begin" w:fldLock="1"/>
      </w:r>
      <w:r w:rsidR="000D250C">
        <w:rPr>
          <w:rFonts w:ascii="Arial" w:hAnsi="Arial" w:cs="Arial"/>
          <w:shd w:val="clear" w:color="auto" w:fill="FCFCFC"/>
        </w:rPr>
        <w:instrText>ADDIN CSL_CITATION {"citationItems":[{"id":"ITEM-1","itemData":{"DOI":"10.1007/s00005-017-0480-8","ISSN":"16614917","PMID":"28660349","abstract":"It is well known that the microenvironment of solid tumors is rich in inflammatory cells that influence tumor growth and development. Macrophages, called tumor-associated macrophages (TAMs), are the most abundant immune cell population present in tumor tissue. Several studies have demonstrated that the density of TAMs is associated with a poor prognosis and positively correlates with tumor growth. Several studies have proved that TAMs may activate and protect tumor stem cells, stimulate their proliferation as well as promote angiogenesis and metastasis. Furthermore, TAMs-derived cytokines and other proteins, such as CCL-17, CCL-22, TGF-β, IL-10, arginase 1, and galectin-3, make a significant contribution to immunosuppression. Since TAMs influence various aspects of cancer progression, there are many attempts to use them as a target for immunotherapy. The numerous studies have shown that the primary tumor growth and the number of metastatic sites can be significantly decreased by decreasing the population of macrophages in tumor tissue, for example, by blocking recruitment of monocytes or eliminating TAMs already present in the tumor tissue. Moreover, there are attempts at reprogramming TAMs into proinflammatory M1 macrophages or neutralizing the protumoral products of TAMs. Another approach uses TAMs for anticancer drug delivery into the tumor environment. In this review, we would like to summarize the clinical and preclinical trials that were focused on macrophages as a target for anticancer therapies.","author":[{"dropping-particle":"","family":"Sawa-Wejksza","given":"Katarzyna","non-dropping-particle":"","parse-names":false,"suffix":""},{"dropping-particle":"","family":"Kandefer-Szerszeń","given":"Martyna","non-dropping-particle":"","parse-names":false,"suffix":""}],"container-title":"Archivum Immunologiae et Therapiae Experimentalis","id":"ITEM-1","issue":"2","issued":{"date-parts":[["2018"]]},"page":"97-111","title":"Tumor-Associated Macrophages as Target for Antitumor Therapy","type":"article-journal","volume":"66"},"uris":["http://www.mendeley.com/documents/?uuid=19bca552-ef22-4a74-9965-51e04293c679"]},{"id":"ITEM-2","itemData":{"DOI":"10.1007/s11914-018-0446-8","ISBN":"1191401804","ISSN":"15442241","PMID":"29948820","abstract":"Purpose of Review: This paper describes recent advances in understanding the mechanisms that drive fracture pain and how these findings are helping develop new therapies to treat fracture pain. Recent Findings: Immediately following fracture, mechanosensitive nerve fibers that innervate bone are mechanically distorted. This results in these nerve fibers rapidly discharging and signaling the initial sharp fracture pain to the brain. Within minutes to hours, a host of neurotransmitters, cytokines, and nerve growth factor are released by cells at the fracture site. These factors stimulate, sensitize, and induce ectopic nerve sprouting of the sensory and sympathetic nerve fibers which drive the sharp pain upon movement and the dull aching pain at rest. If rapid and effective healing of the fracture occurs, these factors return to baseline and the pain subsides, but if not, these factors can drive chronic bone pain. Summary: New mechanism-based therapies have the potential to fundamentally change the way acute and chronic fracture pain is managed.","author":[{"dropping-particle":"","family":"Mitchell","given":"Stefanie A.T.","non-dropping-particle":"","parse-names":false,"suffix":""},{"dropping-particle":"","family":"Majuta","given":"Lisa A.","non-dropping-particle":"","parse-names":false,"suffix":""},{"dropping-particle":"","family":"Mantyh","given":"Patrick W.","non-dropping-particle":"","parse-names":false,"suffix":""}],"container-title":"Current Osteoporosis Reports","id":"ITEM-2","issue":"4","issued":{"date-parts":[["2018"]]},"page":"325-332","title":"New Insights in Understanding and Treating Bone Fracture Pain","type":"article-journal","volume":"16"},"uris":["http://www.mendeley.com/documents/?uuid=1a62e34d-5477-4ba4-aa76-63cb82ff2fc1"]}],"mendeley":{"formattedCitation":"[13, 25]","plainTextFormattedCitation":"[13, 25]","previouslyFormattedCitation":"[13, 25]"},"properties":{"noteIndex":0},"schema":"https://github.com/citation-style-language/schema/raw/master/csl-citation.json"}</w:instrText>
      </w:r>
      <w:r w:rsidRPr="000E39AA">
        <w:rPr>
          <w:rFonts w:ascii="Arial" w:hAnsi="Arial" w:cs="Arial"/>
          <w:shd w:val="clear" w:color="auto" w:fill="FCFCFC"/>
        </w:rPr>
        <w:fldChar w:fldCharType="separate"/>
      </w:r>
      <w:r w:rsidR="00BC139B" w:rsidRPr="00BC139B">
        <w:rPr>
          <w:rFonts w:ascii="Arial" w:hAnsi="Arial" w:cs="Arial"/>
          <w:noProof/>
          <w:shd w:val="clear" w:color="auto" w:fill="FCFCFC"/>
        </w:rPr>
        <w:t>[13, 25]</w:t>
      </w:r>
      <w:r w:rsidRPr="000E39AA">
        <w:rPr>
          <w:rFonts w:ascii="Arial" w:hAnsi="Arial" w:cs="Arial"/>
          <w:shd w:val="clear" w:color="auto" w:fill="FCFCFC"/>
        </w:rPr>
        <w:fldChar w:fldCharType="end"/>
      </w:r>
      <w:r w:rsidRPr="000E39AA">
        <w:rPr>
          <w:rFonts w:ascii="Arial" w:hAnsi="Arial" w:cs="Arial"/>
          <w:shd w:val="clear" w:color="auto" w:fill="FCFCFC"/>
        </w:rPr>
        <w:t xml:space="preserve">. Following bone fracture, any movement, or applied load, determines a mechanical stimulation of the sensory nerve fibres that innervate the periosteum, the mineralized bone and the bone marrow, generating a state of neuropathic pain </w:t>
      </w:r>
      <w:r w:rsidRPr="000E39AA">
        <w:rPr>
          <w:rFonts w:ascii="Arial" w:hAnsi="Arial" w:cs="Arial"/>
        </w:rPr>
        <w:fldChar w:fldCharType="begin" w:fldLock="1"/>
      </w:r>
      <w:r w:rsidR="000D250C">
        <w:rPr>
          <w:rFonts w:ascii="Arial" w:hAnsi="Arial" w:cs="Arial"/>
        </w:rPr>
        <w:instrText>ADDIN CSL_CITATION {"citationItems":[{"id":"ITEM-1","itemData":{"ISSN":"0513-5710 (Print)","PMID":"1032858","author":[{"dropping-particle":"","family":"Seike","given":"W","non-dropping-particle":"","parse-names":false,"suffix":""}],"container-title":"Yonago acta medica","id":"ITEM-1","issue":"3","issued":{"date-parts":[["1976","12"]]},"language":"eng","page":"192-211","publisher-place":"Japan","title":"Electrophysiological and histological studies on the sensibility of the bone marrow  nerve terminal.","type":"article-journal","volume":"20"},"uris":["http://www.mendeley.com/documents/?uuid=97d8fdb7-045c-49fd-8a9b-3e61c37cc4c3"]},{"id":"ITEM-2","itemData":{"DOI":"10.1007/s11914-018-0446-8","ISBN":"1191401804","ISSN":"15442241","PMID":"29948820","abstract":"Purpose of Review: This paper describes recent advances in understanding the mechanisms that drive fracture pain and how these findings are helping develop new therapies to treat fracture pain. Recent Findings: Immediately following fracture, mechanosensitive nerve fibers that innervate bone are mechanically distorted. This results in these nerve fibers rapidly discharging and signaling the initial sharp fracture pain to the brain. Within minutes to hours, a host of neurotransmitters, cytokines, and nerve growth factor are released by cells at the fracture site. These factors stimulate, sensitize, and induce ectopic nerve sprouting of the sensory and sympathetic nerve fibers which drive the sharp pain upon movement and the dull aching pain at rest. If rapid and effective healing of the fracture occurs, these factors return to baseline and the pain subsides, but if not, these factors can drive chronic bone pain. Summary: New mechanism-based therapies have the potential to fundamentally change the way acute and chronic fracture pain is managed.","author":[{"dropping-particle":"","family":"Mitchell","given":"Stefanie A.T.","non-dropping-particle":"","parse-names":false,"suffix":""},{"dropping-particle":"","family":"Majuta","given":"Lisa A.","non-dropping-particle":"","parse-names":false,"suffix":""},{"dropping-particle":"","family":"Mantyh","given":"Patrick W.","non-dropping-particle":"","parse-names":false,"suffix":""}],"container-title":"Current Osteoporosis Reports","id":"ITEM-2","issue":"4","issued":{"date-parts":[["2018"]]},"page":"325-332","title":"New Insights in Understanding and Treating Bone Fracture Pain","type":"article-journal","volume":"16"},"uris":["http://www.mendeley.com/documents/?uuid=1a62e34d-5477-4ba4-aa76-63cb82ff2fc1"]}],"mendeley":{"formattedCitation":"[13, 26]","plainTextFormattedCitation":"[13, 26]","previouslyFormattedCitation":"[13, 26]"},"properties":{"noteIndex":0},"schema":"https://github.com/citation-style-language/schema/raw/master/csl-citation.json"}</w:instrText>
      </w:r>
      <w:r w:rsidRPr="000E39AA">
        <w:rPr>
          <w:rFonts w:ascii="Arial" w:hAnsi="Arial" w:cs="Arial"/>
        </w:rPr>
        <w:fldChar w:fldCharType="separate"/>
      </w:r>
      <w:r w:rsidR="00BC139B" w:rsidRPr="00BC139B">
        <w:rPr>
          <w:rFonts w:ascii="Arial" w:hAnsi="Arial" w:cs="Arial"/>
          <w:noProof/>
        </w:rPr>
        <w:t>[13, 26]</w:t>
      </w:r>
      <w:r w:rsidRPr="000E39AA">
        <w:rPr>
          <w:rFonts w:ascii="Arial" w:hAnsi="Arial" w:cs="Arial"/>
        </w:rPr>
        <w:fldChar w:fldCharType="end"/>
      </w:r>
      <w:r w:rsidRPr="000E39AA">
        <w:rPr>
          <w:rFonts w:ascii="Arial" w:hAnsi="Arial" w:cs="Arial"/>
        </w:rPr>
        <w:t xml:space="preserve">. </w:t>
      </w:r>
    </w:p>
    <w:p w14:paraId="07E56190" w14:textId="4C8586D1" w:rsidR="00F03759" w:rsidRPr="000E39AA" w:rsidRDefault="00F03759" w:rsidP="00F03759">
      <w:pPr>
        <w:shd w:val="clear" w:color="auto" w:fill="FFFFFF"/>
        <w:spacing w:after="166" w:line="276" w:lineRule="auto"/>
        <w:jc w:val="both"/>
        <w:rPr>
          <w:rFonts w:ascii="Arial" w:hAnsi="Arial" w:cs="Arial"/>
        </w:rPr>
      </w:pPr>
      <w:r w:rsidRPr="000E39AA">
        <w:rPr>
          <w:rFonts w:ascii="Arial" w:hAnsi="Arial" w:cs="Arial"/>
          <w:shd w:val="clear" w:color="auto" w:fill="FCFCFC"/>
        </w:rPr>
        <w:t xml:space="preserve">Nerve growth factor (NGF) is involved in the sensitization and germination of nociceptor fibres </w:t>
      </w:r>
      <w:r w:rsidRPr="000E39AA">
        <w:rPr>
          <w:rFonts w:ascii="Arial" w:hAnsi="Arial" w:cs="Arial"/>
          <w:shd w:val="clear" w:color="auto" w:fill="FCFCFC"/>
        </w:rPr>
        <w:fldChar w:fldCharType="begin" w:fldLock="1"/>
      </w:r>
      <w:r w:rsidR="000D250C">
        <w:rPr>
          <w:rFonts w:ascii="Arial" w:hAnsi="Arial" w:cs="Arial"/>
          <w:shd w:val="clear" w:color="auto" w:fill="FCFCFC"/>
        </w:rPr>
        <w:instrText>ADDIN CSL_CITATION {"citationItems":[{"id":"ITEM-1","itemData":{"DOI":"10.1186/1750-1172-7-S1-S3","ISSN":"17501172","PMID":"22640953","abstract":"One of the most common complications of fibrous dysplasia of bone (FD) is bone pain. Usual pain killers are often of inadequate efficacy to control this bone pain. The mechanism of bone pain in FD remains uncertain, but by analogy with bone tumors one may consider that ectopic sprouting and formation of neuroma-like structures by sensory and sympathetic nerve fibers also occur in the dysplastic skeleton. Bone pain has been reported in up to 81% of adults and 49% of children. It affects predominantly the lower limbs and the spine. The degree of pain is highly variable and adults reports more pain than children. Bisphosphonates have been shown to reduce bone pain in uncontrolled studies. Their influence on bone strength remains unknown. In a randomized trial testing alendronate, bone pain was not significantly improved. Another trial assessing the effect of risedronate is ongoing. Possible future therapies include tocilizumab, denosumab and drugs targeting nerve growth factor and its receptor TrkA. © 2012 Chapurlat et al; licensee BioMed Central Ltd.","author":[{"dropping-particle":"","family":"Chapurlat","given":"Roland D.","non-dropping-particle":"","parse-names":false,"suffix":""},{"dropping-particle":"","family":"Gensburger","given":"Deborah","non-dropping-particle":"","parse-names":false,"suffix":""},{"dropping-particle":"","family":"Jimenez-Andrade","given":"Juan M.","non-dropping-particle":"","parse-names":false,"suffix":""},{"dropping-particle":"","family":"Ghilardi","given":"Joseph R.","non-dropping-particle":"","parse-names":false,"suffix":""},{"dropping-particle":"","family":"Kelly","given":"Marilyn","non-dropping-particle":"","parse-names":false,"suffix":""},{"dropping-particle":"","family":"Mantyh","given":"Patrick","non-dropping-particle":"","parse-names":false,"suffix":""}],"container-title":"Orphanet Journal of Rare Diseases","id":"ITEM-1","issue":"SUPPL. 1","issued":{"date-parts":[["2012"]]},"page":"1-9","title":"Pathophysiology and medical treatment of pain in fibrous dysplasia of bone","type":"article-journal","volume":"7"},"uris":["http://www.mendeley.com/documents/?uuid=24bd1ccb-c70e-4742-8158-3f40007b941a"]},{"id":"ITEM-2","itemData":{"DOI":"CliCa0604605611","ISSN":"09175857","PMID":"16582511","abstract":"Bone pain is one of the major complications of bone metastases and profoundly deteriorates quality of life in cancer patients. It has been suggested that the nerve injuries by tumor invasion and the inflammatory factors secreted by cancer cells are involved in the pathophysiology of bone pain. Recent studies including ours suggest that the activation of acid-sensing receptors by tumor-induced acidosis in bone metastases also plays a part in causing bone pain. In this review, the current understanding of the mechanisms of cancer-induced bone pain is discussed.","author":[{"dropping-particle":"","family":"Wakabayashi","given":"Hiroki","non-dropping-particle":"","parse-names":false,"suffix":""},{"dropping-particle":"","family":"Hiraga","given":"Toru","non-dropping-particle":"","parse-names":false,"suffix":""},{"dropping-particle":"","family":"Yoneda","given":"Toshiyuki","non-dropping-particle":"","parse-names":false,"suffix":""}],"container-title":"Clinical calcium","id":"ITEM-2","issue":"4","issued":{"date-parts":[["2006"]]},"page":"73-79","title":"Mechanism of cancer-induced bone pain","type":"article-journal","volume":"16"},"uris":["http://www.mendeley.com/documents/?uuid=6a894cb2-55ac-4006-99da-445ae8cdf20b"]}],"mendeley":{"formattedCitation":"[27, 28]","plainTextFormattedCitation":"[27, 28]","previouslyFormattedCitation":"[27, 28]"},"properties":{"noteIndex":0},"schema":"https://github.com/citation-style-language/schema/raw/master/csl-citation.json"}</w:instrText>
      </w:r>
      <w:r w:rsidRPr="000E39AA">
        <w:rPr>
          <w:rFonts w:ascii="Arial" w:hAnsi="Arial" w:cs="Arial"/>
          <w:shd w:val="clear" w:color="auto" w:fill="FCFCFC"/>
        </w:rPr>
        <w:fldChar w:fldCharType="separate"/>
      </w:r>
      <w:r w:rsidR="00BC139B" w:rsidRPr="00BC139B">
        <w:rPr>
          <w:rFonts w:ascii="Arial" w:hAnsi="Arial" w:cs="Arial"/>
          <w:noProof/>
          <w:shd w:val="clear" w:color="auto" w:fill="FCFCFC"/>
        </w:rPr>
        <w:t>[27, 28]</w:t>
      </w:r>
      <w:r w:rsidRPr="000E39AA">
        <w:rPr>
          <w:rFonts w:ascii="Arial" w:hAnsi="Arial" w:cs="Arial"/>
          <w:shd w:val="clear" w:color="auto" w:fill="FCFCFC"/>
        </w:rPr>
        <w:fldChar w:fldCharType="end"/>
      </w:r>
      <w:r w:rsidRPr="000E39AA">
        <w:rPr>
          <w:rFonts w:ascii="Arial" w:hAnsi="Arial" w:cs="Arial"/>
          <w:shd w:val="clear" w:color="auto" w:fill="FCFCFC"/>
        </w:rPr>
        <w:t xml:space="preserve">. Following fracture, the neurotrophic factors, released by the inflammatory and stromal cells, induce an ectopic sprouting, resulting in hyper-innervation of the marrow, the mineralized </w:t>
      </w:r>
      <w:proofErr w:type="gramStart"/>
      <w:r w:rsidRPr="000E39AA">
        <w:rPr>
          <w:rFonts w:ascii="Arial" w:hAnsi="Arial" w:cs="Arial"/>
          <w:shd w:val="clear" w:color="auto" w:fill="FCFCFC"/>
        </w:rPr>
        <w:t>bone</w:t>
      </w:r>
      <w:proofErr w:type="gramEnd"/>
      <w:r w:rsidRPr="000E39AA">
        <w:rPr>
          <w:rFonts w:ascii="Arial" w:hAnsi="Arial" w:cs="Arial"/>
          <w:shd w:val="clear" w:color="auto" w:fill="FCFCFC"/>
        </w:rPr>
        <w:t xml:space="preserve"> and the periosteum. The enhanced nervous network makes any type of normal load or movement of the bone perceived as noxious </w:t>
      </w:r>
      <w:r w:rsidRPr="000E39AA">
        <w:rPr>
          <w:rFonts w:ascii="Arial" w:hAnsi="Arial" w:cs="Arial"/>
          <w:shd w:val="clear" w:color="auto" w:fill="FCFCFC"/>
        </w:rPr>
        <w:fldChar w:fldCharType="begin" w:fldLock="1"/>
      </w:r>
      <w:r w:rsidR="000D250C">
        <w:rPr>
          <w:rFonts w:ascii="Arial" w:hAnsi="Arial" w:cs="Arial"/>
          <w:shd w:val="clear" w:color="auto" w:fill="FCFCFC"/>
        </w:rPr>
        <w:instrText>ADDIN CSL_CITATION {"citationItems":[{"id":"ITEM-1","itemData":{"DOI":"10.1007/s11914-018-0446-8","ISBN":"1191401804","ISSN":"15442241","PMID":"29948820","abstract":"Purpose of Review: This paper describes recent advances in understanding the mechanisms that drive fracture pain and how these findings are helping develop new therapies to treat fracture pain. Recent Findings: Immediately following fracture, mechanosensitive nerve fibers that innervate bone are mechanically distorted. This results in these nerve fibers rapidly discharging and signaling the initial sharp fracture pain to the brain. Within minutes to hours, a host of neurotransmitters, cytokines, and nerve growth factor are released by cells at the fracture site. These factors stimulate, sensitize, and induce ectopic nerve sprouting of the sensory and sympathetic nerve fibers which drive the sharp pain upon movement and the dull aching pain at rest. If rapid and effective healing of the fracture occurs, these factors return to baseline and the pain subsides, but if not, these factors can drive chronic bone pain. Summary: New mechanism-based therapies have the potential to fundamentally change the way acute and chronic fracture pain is managed.","author":[{"dropping-particle":"","family":"Mitchell","given":"Stefanie A.T.","non-dropping-particle":"","parse-names":false,"suffix":""},{"dropping-particle":"","family":"Majuta","given":"Lisa A.","non-dropping-particle":"","parse-names":false,"suffix":""},{"dropping-particle":"","family":"Mantyh","given":"Patrick W.","non-dropping-particle":"","parse-names":false,"suffix":""}],"container-title":"Current Osteoporosis Reports","id":"ITEM-1","issue":"4","issued":{"date-parts":[["2018"]]},"page":"325-332","title":"New Insights in Understanding and Treating Bone Fracture Pain","type":"article-journal","volume":"16"},"uris":["http://www.mendeley.com/documents/?uuid=1a62e34d-5477-4ba4-aa76-63cb82ff2fc1"]}],"mendeley":{"formattedCitation":"[13]","plainTextFormattedCitation":"[13]","previouslyFormattedCitation":"[13]"},"properties":{"noteIndex":0},"schema":"https://github.com/citation-style-language/schema/raw/master/csl-citation.json"}</w:instrText>
      </w:r>
      <w:r w:rsidRPr="000E39AA">
        <w:rPr>
          <w:rFonts w:ascii="Arial" w:hAnsi="Arial" w:cs="Arial"/>
          <w:shd w:val="clear" w:color="auto" w:fill="FCFCFC"/>
        </w:rPr>
        <w:fldChar w:fldCharType="separate"/>
      </w:r>
      <w:r w:rsidR="00BC139B" w:rsidRPr="00BC139B">
        <w:rPr>
          <w:rFonts w:ascii="Arial" w:hAnsi="Arial" w:cs="Arial"/>
          <w:noProof/>
          <w:shd w:val="clear" w:color="auto" w:fill="FCFCFC"/>
        </w:rPr>
        <w:t>[13]</w:t>
      </w:r>
      <w:r w:rsidRPr="000E39AA">
        <w:rPr>
          <w:rFonts w:ascii="Arial" w:hAnsi="Arial" w:cs="Arial"/>
          <w:shd w:val="clear" w:color="auto" w:fill="FCFCFC"/>
        </w:rPr>
        <w:fldChar w:fldCharType="end"/>
      </w:r>
      <w:r w:rsidRPr="000E39AA">
        <w:rPr>
          <w:rFonts w:ascii="Arial" w:hAnsi="Arial" w:cs="Arial"/>
          <w:shd w:val="clear" w:color="auto" w:fill="FCFCFC"/>
        </w:rPr>
        <w:t>. Fracture realignment promotes healing with the levels of NGF and sprouted nerve fibres reduced, restoring normal bone innervation and as a consequence pain relief</w:t>
      </w:r>
      <w:r w:rsidRPr="000E39AA">
        <w:rPr>
          <w:rFonts w:ascii="Arial" w:hAnsi="Arial" w:cs="Arial"/>
        </w:rPr>
        <w:t xml:space="preserve"> </w:t>
      </w:r>
      <w:r w:rsidRPr="000E39AA">
        <w:rPr>
          <w:rFonts w:ascii="Arial" w:hAnsi="Arial" w:cs="Arial"/>
          <w:shd w:val="clear" w:color="auto" w:fill="FCFCFC"/>
        </w:rPr>
        <w:fldChar w:fldCharType="begin" w:fldLock="1"/>
      </w:r>
      <w:r w:rsidR="000D250C">
        <w:rPr>
          <w:rFonts w:ascii="Arial" w:hAnsi="Arial" w:cs="Arial"/>
          <w:shd w:val="clear" w:color="auto" w:fill="FCFCFC"/>
        </w:rPr>
        <w:instrText>ADDIN CSL_CITATION {"citationItems":[{"id":"ITEM-1","itemData":{"DOI":"10.1007/s11914-018-0446-8","ISBN":"1191401804","ISSN":"15442241","PMID":"29948820","abstract":"Purpose of Review: This paper describes recent advances in understanding the mechanisms that drive fracture pain and how these findings are helping develop new therapies to treat fracture pain. Recent Findings: Immediately following fracture, mechanosensitive nerve fibers that innervate bone are mechanically distorted. This results in these nerve fibers rapidly discharging and signaling the initial sharp fracture pain to the brain. Within minutes to hours, a host of neurotransmitters, cytokines, and nerve growth factor are released by cells at the fracture site. These factors stimulate, sensitize, and induce ectopic nerve sprouting of the sensory and sympathetic nerve fibers which drive the sharp pain upon movement and the dull aching pain at rest. If rapid and effective healing of the fracture occurs, these factors return to baseline and the pain subsides, but if not, these factors can drive chronic bone pain. Summary: New mechanism-based therapies have the potential to fundamentally change the way acute and chronic fracture pain is managed.","author":[{"dropping-particle":"","family":"Mitchell","given":"Stefanie A.T.","non-dropping-particle":"","parse-names":false,"suffix":""},{"dropping-particle":"","family":"Majuta","given":"Lisa A.","non-dropping-particle":"","parse-names":false,"suffix":""},{"dropping-particle":"","family":"Mantyh","given":"Patrick W.","non-dropping-particle":"","parse-names":false,"suffix":""}],"container-title":"Current Osteoporosis Reports","id":"ITEM-1","issue":"4","issued":{"date-parts":[["2018"]]},"page":"325-332","title":"New Insights in Understanding and Treating Bone Fracture Pain","type":"article-journal","volume":"16"},"uris":["http://www.mendeley.com/documents/?uuid=1a62e34d-5477-4ba4-aa76-63cb82ff2fc1"]}],"mendeley":{"formattedCitation":"[13]","plainTextFormattedCitation":"[13]","previouslyFormattedCitation":"[13]"},"properties":{"noteIndex":0},"schema":"https://github.com/citation-style-language/schema/raw/master/csl-citation.json"}</w:instrText>
      </w:r>
      <w:r w:rsidRPr="000E39AA">
        <w:rPr>
          <w:rFonts w:ascii="Arial" w:hAnsi="Arial" w:cs="Arial"/>
          <w:shd w:val="clear" w:color="auto" w:fill="FCFCFC"/>
        </w:rPr>
        <w:fldChar w:fldCharType="separate"/>
      </w:r>
      <w:r w:rsidR="00BC139B" w:rsidRPr="00BC139B">
        <w:rPr>
          <w:rFonts w:ascii="Arial" w:hAnsi="Arial" w:cs="Arial"/>
          <w:noProof/>
          <w:shd w:val="clear" w:color="auto" w:fill="FCFCFC"/>
        </w:rPr>
        <w:t>[13]</w:t>
      </w:r>
      <w:r w:rsidRPr="000E39AA">
        <w:rPr>
          <w:rFonts w:ascii="Arial" w:hAnsi="Arial" w:cs="Arial"/>
          <w:shd w:val="clear" w:color="auto" w:fill="FCFCFC"/>
        </w:rPr>
        <w:fldChar w:fldCharType="end"/>
      </w:r>
      <w:r w:rsidRPr="000E39AA">
        <w:rPr>
          <w:rFonts w:ascii="Arial" w:hAnsi="Arial" w:cs="Arial"/>
          <w:shd w:val="clear" w:color="auto" w:fill="FCFCFC"/>
        </w:rPr>
        <w:t xml:space="preserve">. During chronic pain the concentration of inflammatory and neurotropic mediators increases, </w:t>
      </w:r>
      <w:r w:rsidR="00DC024D" w:rsidRPr="000E39AA">
        <w:rPr>
          <w:rFonts w:ascii="Arial" w:hAnsi="Arial" w:cs="Arial"/>
          <w:shd w:val="clear" w:color="auto" w:fill="FCFCFC"/>
        </w:rPr>
        <w:t>favouring</w:t>
      </w:r>
      <w:r w:rsidRPr="000E39AA">
        <w:rPr>
          <w:rFonts w:ascii="Arial" w:hAnsi="Arial" w:cs="Arial"/>
          <w:shd w:val="clear" w:color="auto" w:fill="FCFCFC"/>
        </w:rPr>
        <w:t xml:space="preserve"> excessive nerve sprouting leading to the  formation of a neuroma-like structure, highly sensitive to any type of movement (mechanical allodynia) </w:t>
      </w:r>
      <w:r w:rsidRPr="000E39AA">
        <w:rPr>
          <w:rFonts w:ascii="Arial" w:hAnsi="Arial" w:cs="Arial"/>
          <w:shd w:val="clear" w:color="auto" w:fill="FCFCFC"/>
        </w:rPr>
        <w:fldChar w:fldCharType="begin" w:fldLock="1"/>
      </w:r>
      <w:r w:rsidR="000D250C">
        <w:rPr>
          <w:rFonts w:ascii="Arial" w:hAnsi="Arial" w:cs="Arial"/>
          <w:shd w:val="clear" w:color="auto" w:fill="FCFCFC"/>
        </w:rPr>
        <w:instrText>ADDIN CSL_CITATION {"citationItems":[{"id":"ITEM-1","itemData":{"DOI":"10.1016/j.bone.2016.01.026","ISSN":"87563282","PMID":"26851411","abstract":"An increase of fracture incidence is expected for the next decades, mostly due to the undeniable increase of osteoporotic fractures, associated with the rapid population ageing. The rise in sports-related fractures affecting the young and active population also contributes to this increased fracture incidence, and further amplifies the economical burden of fractures. Fracture often results in severe pain, which is a primary symptom to be treated, not only to guarantee individual's wellbeing, but also because an efficient management of fracture pain is mandatory to ensure proper bone healing. Here, we review the available data on bone innervation and its response to fracture, and discuss putative mechanisms of fracture pain signaling. In addition, the common therapeutic approaches to treat fracture pain are discussed. Although there is still much to learn, research in fracture pain has allowed an initial insight into the mechanisms involved. During the inflammatory response to fracture, several mediators are released and will putatively activate and sensitize primary sensory neurons, in parallel, intense nerve sprouting that occurs in the fracture callus area is also suggested to be involved in pain signaling. The establishment of hyperalgesia and allodynia after fracture indicates the development of peripheral and central sensitization, still, the underlying mechanisms are largely unknown. A major concern during the treatment of fracture pain needs to be the preservation of proper bone healing. However, the most common therapeutic agents, NSAIDS and opiates, can cause significant side effects that include fracture repair impairment. The understanding of the mechanisms of fracture pain signaling will allow the development of mechanisms-based therapies to effectively and safely manage fracture pain.","author":[{"dropping-particle":"","family":"Alves","given":"Cecília J.","non-dropping-particle":"","parse-names":false,"suffix":""},{"dropping-particle":"","family":"Neto","given":"Estrela","non-dropping-particle":"","parse-names":false,"suffix":""},{"dropping-particle":"","family":"Sousa","given":"Daniela M.","non-dropping-particle":"","parse-names":false,"suffix":""},{"dropping-particle":"","family":"Leitão","given":"Luís","non-dropping-particle":"","parse-names":false,"suffix":""},{"dropping-particle":"","family":"Vasconcelos","given":"Daniel M.","non-dropping-particle":"","parse-names":false,"suffix":""},{"dropping-particle":"","family":"Ribeiro-Silva","given":"Manuel","non-dropping-particle":"","parse-names":false,"suffix":""},{"dropping-particle":"","family":"Alencastre","given":"Inês S.","non-dropping-particle":"","parse-names":false,"suffix":""},{"dropping-particle":"","family":"Lamghari","given":"Meriem","non-dropping-particle":"","parse-names":false,"suffix":""}],"container-title":"Bone","id":"ITEM-1","issued":{"date-parts":[["2016"]]},"page":"107-114","publisher":"Elsevier Inc.","title":"Fracture pain-Traveling unknown pathways","type":"article-journal","volume":"85"},"uris":["http://www.mendeley.com/documents/?uuid=fd725a60-ebf5-4df4-8595-86e687dd854f"]}],"mendeley":{"formattedCitation":"[1]","plainTextFormattedCitation":"[1]","previouslyFormattedCitation":"[1]"},"properties":{"noteIndex":0},"schema":"https://github.com/citation-style-language/schema/raw/master/csl-citation.json"}</w:instrText>
      </w:r>
      <w:r w:rsidRPr="000E39AA">
        <w:rPr>
          <w:rFonts w:ascii="Arial" w:hAnsi="Arial" w:cs="Arial"/>
          <w:shd w:val="clear" w:color="auto" w:fill="FCFCFC"/>
        </w:rPr>
        <w:fldChar w:fldCharType="separate"/>
      </w:r>
      <w:r w:rsidR="00BC139B" w:rsidRPr="00BC139B">
        <w:rPr>
          <w:rFonts w:ascii="Arial" w:hAnsi="Arial" w:cs="Arial"/>
          <w:noProof/>
          <w:shd w:val="clear" w:color="auto" w:fill="FCFCFC"/>
        </w:rPr>
        <w:t>[1]</w:t>
      </w:r>
      <w:r w:rsidRPr="000E39AA">
        <w:rPr>
          <w:rFonts w:ascii="Arial" w:hAnsi="Arial" w:cs="Arial"/>
          <w:shd w:val="clear" w:color="auto" w:fill="FCFCFC"/>
        </w:rPr>
        <w:fldChar w:fldCharType="end"/>
      </w:r>
      <w:r w:rsidRPr="000E39AA">
        <w:rPr>
          <w:rFonts w:ascii="Arial" w:hAnsi="Arial" w:cs="Arial"/>
          <w:shd w:val="clear" w:color="auto" w:fill="FCFCFC"/>
        </w:rPr>
        <w:t xml:space="preserve">. It is clear, fracture healing must occur as soon as possible in order that bone pain does not develop into a chronic pain condition.  </w:t>
      </w:r>
      <w:r w:rsidRPr="000E39AA">
        <w:rPr>
          <w:rFonts w:ascii="Arial" w:hAnsi="Arial" w:cs="Arial"/>
        </w:rPr>
        <w:t xml:space="preserve">  </w:t>
      </w:r>
    </w:p>
    <w:p w14:paraId="05DC80D2" w14:textId="77777777" w:rsidR="00F03759" w:rsidRPr="000E39AA" w:rsidRDefault="00F03759" w:rsidP="00F03759">
      <w:pPr>
        <w:pStyle w:val="Heading3"/>
      </w:pPr>
      <w:bookmarkStart w:id="24" w:name="_Toc98841738"/>
      <w:bookmarkStart w:id="25" w:name="_Toc98841739"/>
      <w:bookmarkStart w:id="26" w:name="_Toc98937867"/>
      <w:bookmarkEnd w:id="22"/>
      <w:bookmarkEnd w:id="24"/>
      <w:bookmarkEnd w:id="25"/>
      <w:r w:rsidRPr="000E39AA">
        <w:t>Therapeutics and current standard treatment approaches for cancer and fracture bone pain</w:t>
      </w:r>
      <w:bookmarkEnd w:id="26"/>
    </w:p>
    <w:p w14:paraId="7746B1E8" w14:textId="77777777" w:rsidR="00F03759" w:rsidRPr="000E39AA" w:rsidRDefault="00F03759" w:rsidP="00F03759">
      <w:pPr>
        <w:autoSpaceDE w:val="0"/>
        <w:autoSpaceDN w:val="0"/>
        <w:adjustRightInd w:val="0"/>
        <w:spacing w:after="0" w:line="276" w:lineRule="auto"/>
        <w:jc w:val="both"/>
        <w:rPr>
          <w:rFonts w:ascii="Arial" w:hAnsi="Arial" w:cs="Arial"/>
        </w:rPr>
      </w:pPr>
      <w:bookmarkStart w:id="27" w:name="_Hlk95796375"/>
      <w:r w:rsidRPr="000E39AA">
        <w:rPr>
          <w:rFonts w:ascii="Arial" w:hAnsi="Arial" w:cs="Arial"/>
        </w:rPr>
        <w:t>Optimised bone pain treatments are essential to improve patient quality of life in pathological conditions and to aid bone healing following trauma-induced bone fracture. Current pain reduction approaches include:</w:t>
      </w:r>
    </w:p>
    <w:p w14:paraId="6E240545" w14:textId="63E5C563" w:rsidR="00F03759" w:rsidRPr="000E39AA" w:rsidRDefault="00F03759" w:rsidP="00F03759">
      <w:pPr>
        <w:autoSpaceDE w:val="0"/>
        <w:autoSpaceDN w:val="0"/>
        <w:adjustRightInd w:val="0"/>
        <w:spacing w:after="0" w:line="276" w:lineRule="auto"/>
        <w:jc w:val="both"/>
        <w:rPr>
          <w:rFonts w:ascii="Arial" w:hAnsi="Arial" w:cs="Arial"/>
          <w:shd w:val="clear" w:color="auto" w:fill="FFFFFF"/>
        </w:rPr>
      </w:pPr>
      <w:r w:rsidRPr="000E39AA">
        <w:rPr>
          <w:rFonts w:ascii="Arial" w:hAnsi="Arial" w:cs="Arial"/>
          <w:i/>
        </w:rPr>
        <w:t>Radiotherapy</w:t>
      </w:r>
      <w:r w:rsidR="00504BF1">
        <w:rPr>
          <w:rFonts w:ascii="Arial" w:hAnsi="Arial" w:cs="Arial"/>
        </w:rPr>
        <w:t>.</w:t>
      </w:r>
      <w:r w:rsidRPr="000E39AA">
        <w:rPr>
          <w:rFonts w:ascii="Arial" w:hAnsi="Arial" w:cs="Arial"/>
        </w:rPr>
        <w:t xml:space="preserve"> Typically applied for single metastases. The use of radiation aims to </w:t>
      </w:r>
      <w:r w:rsidR="009B5B14">
        <w:rPr>
          <w:rFonts w:ascii="Arial" w:hAnsi="Arial" w:cs="Arial"/>
        </w:rPr>
        <w:t>resize</w:t>
      </w:r>
      <w:r w:rsidR="009B5B14" w:rsidRPr="000E39AA">
        <w:rPr>
          <w:rFonts w:ascii="Arial" w:hAnsi="Arial" w:cs="Arial"/>
        </w:rPr>
        <w:t xml:space="preserve"> </w:t>
      </w:r>
      <w:r w:rsidRPr="000E39AA">
        <w:rPr>
          <w:rFonts w:ascii="Arial" w:hAnsi="Arial" w:cs="Arial"/>
        </w:rPr>
        <w:t xml:space="preserve">the </w:t>
      </w:r>
      <w:r w:rsidR="00DC024D" w:rsidRPr="000E39AA">
        <w:rPr>
          <w:rFonts w:ascii="Arial" w:hAnsi="Arial" w:cs="Arial"/>
        </w:rPr>
        <w:t>tumour</w:t>
      </w:r>
      <w:r w:rsidRPr="000E39AA">
        <w:rPr>
          <w:rFonts w:ascii="Arial" w:hAnsi="Arial" w:cs="Arial"/>
        </w:rPr>
        <w:t xml:space="preserve"> mass to reduce the chemical mediators that mediate bone pain </w:t>
      </w:r>
      <w:r w:rsidRPr="000E39AA">
        <w:rPr>
          <w:rFonts w:ascii="Arial" w:hAnsi="Arial" w:cs="Arial"/>
          <w:shd w:val="clear" w:color="auto" w:fill="FFFFFF"/>
        </w:rPr>
        <w:fldChar w:fldCharType="begin" w:fldLock="1"/>
      </w:r>
      <w:r w:rsidR="000D250C">
        <w:rPr>
          <w:rFonts w:ascii="Arial" w:hAnsi="Arial" w:cs="Arial"/>
          <w:shd w:val="clear" w:color="auto" w:fill="FFFFFF"/>
        </w:rPr>
        <w:instrText>ADDIN CSL_CITATION {"citationItems":[{"id":"ITEM-1","itemData":{"DOI":"10.1007/s11916-000-0078-3","ISSN":"10695850","PMID":"10998732","abstract":"Metastatic involvement of the bone is one of the most frequent causes of pain in cancer patients and represents one of the first signs of widespread neoplastic disease. The pain may originate directly from the bone, from nerve root compression, or from muscle spasms in the area of the lesions. The mechanism of metastatic bone pain is mainly somatic (nociceptive), even though, in some cases, neuropathic and visceral stimulations may overlap. The conventional symptomatic treatment of metastatic bone pain requires the use of multidisciplinary therapies, such as radiotherapy, in association with systemic treatment (hormonotherapy, chemotherapy, radioisotopes) with the support of analgesic therapy. Recently, studies have indicated the use of bisphosphonates in the treatment of pain and in the prevention of skeletal complications in patients with metastatic bone disease. In some patients, pharmacologic treatment, radiotherapy, and radioisotopes administered alone or in association are not able to manage pain adequately. The role of neuroinvasive techniques in treating metastatic bone pain is debated. The clinical conditions of the patient, his life expectancy, and quality of life must guide the physician in the choice of the best possible therapy.","author":[{"dropping-particle":"","family":"Ripamonti","given":"C.","non-dropping-particle":"","parse-names":false,"suffix":""},{"dropping-particle":"","family":"Fulfaro","given":"F.","non-dropping-particle":"","parse-names":false,"suffix":""}],"container-title":"Current review of pain","id":"ITEM-1","issue":"3","issued":{"date-parts":[["2000"]]},"page":"187-196","title":"Malignant bone pain: pathophysiology and treatments.","type":"article-journal","volume":"4"},"uris":["http://www.mendeley.com/documents/?uuid=756201e4-6fdc-4ba2-b69d-b2d49036462c"]}],"mendeley":{"formattedCitation":"[4]","plainTextFormattedCitation":"[4]","previouslyFormattedCitation":"[4]"},"properties":{"noteIndex":0},"schema":"https://github.com/citation-style-language/schema/raw/master/csl-citation.json"}</w:instrText>
      </w:r>
      <w:r w:rsidRPr="000E39AA">
        <w:rPr>
          <w:rFonts w:ascii="Arial" w:hAnsi="Arial" w:cs="Arial"/>
          <w:shd w:val="clear" w:color="auto" w:fill="FFFFFF"/>
        </w:rPr>
        <w:fldChar w:fldCharType="separate"/>
      </w:r>
      <w:r w:rsidR="00BC139B" w:rsidRPr="00BC139B">
        <w:rPr>
          <w:rFonts w:ascii="Arial" w:hAnsi="Arial" w:cs="Arial"/>
          <w:noProof/>
          <w:shd w:val="clear" w:color="auto" w:fill="FFFFFF"/>
        </w:rPr>
        <w:t>[4]</w:t>
      </w:r>
      <w:r w:rsidRPr="000E39AA">
        <w:rPr>
          <w:rFonts w:ascii="Arial" w:hAnsi="Arial" w:cs="Arial"/>
          <w:shd w:val="clear" w:color="auto" w:fill="FFFFFF"/>
        </w:rPr>
        <w:fldChar w:fldCharType="end"/>
      </w:r>
      <w:r w:rsidRPr="000E39AA">
        <w:rPr>
          <w:rFonts w:ascii="Arial" w:hAnsi="Arial" w:cs="Arial"/>
          <w:shd w:val="clear" w:color="auto" w:fill="FFFFFF"/>
        </w:rPr>
        <w:t xml:space="preserve">. </w:t>
      </w:r>
      <w:r w:rsidRPr="000E39AA">
        <w:rPr>
          <w:rFonts w:ascii="Arial" w:hAnsi="Arial" w:cs="Arial"/>
        </w:rPr>
        <w:t>It has been found that 70% of patients experience partial pain relief within 2 weeks with only 25% of patients experiencing total pain relief</w:t>
      </w:r>
      <w:r w:rsidRPr="000E39AA">
        <w:rPr>
          <w:rFonts w:ascii="Arial" w:hAnsi="Arial" w:cs="Arial"/>
          <w:shd w:val="clear" w:color="auto" w:fill="FFFFFF"/>
        </w:rPr>
        <w:t xml:space="preserve"> </w:t>
      </w:r>
      <w:r w:rsidRPr="000E39AA">
        <w:rPr>
          <w:rFonts w:ascii="Arial" w:hAnsi="Arial" w:cs="Arial"/>
          <w:shd w:val="clear" w:color="auto" w:fill="FFFFFF"/>
        </w:rPr>
        <w:fldChar w:fldCharType="begin" w:fldLock="1"/>
      </w:r>
      <w:r w:rsidR="000D250C">
        <w:rPr>
          <w:rFonts w:ascii="Arial" w:hAnsi="Arial" w:cs="Arial"/>
          <w:shd w:val="clear" w:color="auto" w:fill="FFFFFF"/>
        </w:rPr>
        <w:instrText>ADDIN CSL_CITATION {"citationItems":[{"id":"ITEM-1","itemData":{"DOI":"10.3390/ijms20236047","ISSN":"14220067","PMID":"31801267","abstract":"The skeletal system is the third most common site for cancer metastases, surpassed only by the lungs and liver. Many tumors, especially those of the breast, prostate, lungs, and kidneys, have a strong predilection to metastasize to bone, which causes pain, hypercalcemia, pathological skeletal fractures, compression of the spinal cord or other nervous structures, decreased mobility, and increased mortality. Metastatic cancer-induced bone pain (CIBP) is a type of chronic pain with unique and complex pathophysiology characterized by nociceptive and neuropathic components. Its treatment should be multimodal (pharmacological and non-pharmacological), including causal anticancer and symptomatic analgesic treatment to improve quality of life (QoL). The aim of this paper is to discuss the mechanisms involved in the occurrence and persistence of cancer-associated bone pain and to review the treatment methods recommended by experts in clinical practice. The final part of the paper reviews experimental therapeutic methods that are currently being studied and that may improve the efficacy of bone pain treatment in cancer patients in the future.","author":[{"dropping-particle":"","family":"Zajączkowska","given":"Renata","non-dropping-particle":"","parse-names":false,"suffix":""},{"dropping-particle":"","family":"Kocot-Kępska","given":"Magdalena","non-dropping-particle":"","parse-names":false,"suffix":""},{"dropping-particle":"","family":"Leppert","given":"Wojciech","non-dropping-particle":"","parse-names":false,"suffix":""},{"dropping-particle":"","family":"Wordliczek","given":"Jerzy","non-dropping-particle":"","parse-names":false,"suffix":""}],"container-title":"International Journal of Molecular Sciences","id":"ITEM-1","issue":"23","issued":{"date-parts":[["2019"]]},"page":"65-75","title":"Bone pain in cancer patients: Mechanisms and current treatment","type":"article-journal","volume":"20"},"uris":["http://www.mendeley.com/documents/?uuid=04957f85-87f3-42f9-8ada-3f266dfd66cd"]}],"mendeley":{"formattedCitation":"[5]","plainTextFormattedCitation":"[5]","previouslyFormattedCitation":"[5]"},"properties":{"noteIndex":0},"schema":"https://github.com/citation-style-language/schema/raw/master/csl-citation.json"}</w:instrText>
      </w:r>
      <w:r w:rsidRPr="000E39AA">
        <w:rPr>
          <w:rFonts w:ascii="Arial" w:hAnsi="Arial" w:cs="Arial"/>
          <w:shd w:val="clear" w:color="auto" w:fill="FFFFFF"/>
        </w:rPr>
        <w:fldChar w:fldCharType="separate"/>
      </w:r>
      <w:r w:rsidR="00BC139B" w:rsidRPr="00BC139B">
        <w:rPr>
          <w:rFonts w:ascii="Arial" w:hAnsi="Arial" w:cs="Arial"/>
          <w:noProof/>
          <w:shd w:val="clear" w:color="auto" w:fill="FFFFFF"/>
        </w:rPr>
        <w:t>[5]</w:t>
      </w:r>
      <w:r w:rsidRPr="000E39AA">
        <w:rPr>
          <w:rFonts w:ascii="Arial" w:hAnsi="Arial" w:cs="Arial"/>
          <w:shd w:val="clear" w:color="auto" w:fill="FFFFFF"/>
        </w:rPr>
        <w:fldChar w:fldCharType="end"/>
      </w:r>
      <w:r w:rsidRPr="000E39AA">
        <w:rPr>
          <w:rFonts w:ascii="Arial" w:hAnsi="Arial" w:cs="Arial"/>
          <w:shd w:val="clear" w:color="auto" w:fill="FFFFFF"/>
        </w:rPr>
        <w:t>.</w:t>
      </w:r>
      <w:r w:rsidRPr="000E39AA">
        <w:rPr>
          <w:rFonts w:ascii="Arial" w:hAnsi="Arial" w:cs="Arial"/>
          <w:color w:val="000000"/>
          <w:shd w:val="clear" w:color="auto" w:fill="FFFFFF"/>
        </w:rPr>
        <w:t xml:space="preserve"> </w:t>
      </w:r>
    </w:p>
    <w:p w14:paraId="76EB08CC" w14:textId="181CB184" w:rsidR="00F03759" w:rsidRPr="000E39AA" w:rsidRDefault="00F03759" w:rsidP="00F03759">
      <w:pPr>
        <w:autoSpaceDE w:val="0"/>
        <w:autoSpaceDN w:val="0"/>
        <w:adjustRightInd w:val="0"/>
        <w:spacing w:after="0" w:line="276" w:lineRule="auto"/>
        <w:jc w:val="both"/>
        <w:rPr>
          <w:rFonts w:ascii="Arial" w:hAnsi="Arial" w:cs="Arial"/>
          <w:color w:val="000000"/>
          <w:shd w:val="clear" w:color="auto" w:fill="FFFFFF"/>
        </w:rPr>
      </w:pPr>
      <w:r w:rsidRPr="000E39AA">
        <w:rPr>
          <w:rFonts w:ascii="Arial" w:hAnsi="Arial" w:cs="Arial"/>
          <w:i/>
        </w:rPr>
        <w:t>Bisphosphonates</w:t>
      </w:r>
      <w:r w:rsidR="00504BF1">
        <w:rPr>
          <w:rFonts w:ascii="Arial" w:hAnsi="Arial" w:cs="Arial"/>
        </w:rPr>
        <w:t>.</w:t>
      </w:r>
      <w:r w:rsidRPr="000E39AA">
        <w:rPr>
          <w:rFonts w:ascii="Arial" w:hAnsi="Arial" w:cs="Arial"/>
        </w:rPr>
        <w:t xml:space="preserve"> Bisphosphonates (BPs) are often administered in combination with radiotherapy or, in cases where the pain is not localized </w:t>
      </w:r>
      <w:r w:rsidRPr="000E39AA">
        <w:rPr>
          <w:rFonts w:ascii="Arial" w:hAnsi="Arial" w:cs="Arial"/>
          <w:color w:val="000000"/>
          <w:shd w:val="clear" w:color="auto" w:fill="FFFFFF"/>
        </w:rPr>
        <w:fldChar w:fldCharType="begin" w:fldLock="1"/>
      </w:r>
      <w:r w:rsidR="000D250C">
        <w:rPr>
          <w:rFonts w:ascii="Arial" w:hAnsi="Arial" w:cs="Arial"/>
          <w:color w:val="000000"/>
          <w:shd w:val="clear" w:color="auto" w:fill="FFFFFF"/>
        </w:rPr>
        <w:instrText>ADDIN CSL_CITATION {"citationItems":[{"id":"ITEM-1","itemData":{"DOI":"10.3390/ijms20236047","ISSN":"14220067","PMID":"31801267","abstract":"The skeletal system is the third most common site for cancer metastases, surpassed only by the lungs and liver. Many tumors, especially those of the breast, prostate, lungs, and kidneys, have a strong predilection to metastasize to bone, which causes pain, hypercalcemia, pathological skeletal fractures, compression of the spinal cord or other nervous structures, decreased mobility, and increased mortality. Metastatic cancer-induced bone pain (CIBP) is a type of chronic pain with unique and complex pathophysiology characterized by nociceptive and neuropathic components. Its treatment should be multimodal (pharmacological and non-pharmacological), including causal anticancer and symptomatic analgesic treatment to improve quality of life (QoL). The aim of this paper is to discuss the mechanisms involved in the occurrence and persistence of cancer-associated bone pain and to review the treatment methods recommended by experts in clinical practice. The final part of the paper reviews experimental therapeutic methods that are currently being studied and that may improve the efficacy of bone pain treatment in cancer patients in the future.","author":[{"dropping-particle":"","family":"Zajączkowska","given":"Renata","non-dropping-particle":"","parse-names":false,"suffix":""},{"dropping-particle":"","family":"Kocot-Kępska","given":"Magdalena","non-dropping-particle":"","parse-names":false,"suffix":""},{"dropping-particle":"","family":"Leppert","given":"Wojciech","non-dropping-particle":"","parse-names":false,"suffix":""},{"dropping-particle":"","family":"Wordliczek","given":"Jerzy","non-dropping-particle":"","parse-names":false,"suffix":""}],"container-title":"International Journal of Molecular Sciences","id":"ITEM-1","issue":"23","issued":{"date-parts":[["2019"]]},"page":"65-75","title":"Bone pain in cancer patients: Mechanisms and current treatment","type":"article-journal","volume":"20"},"uris":["http://www.mendeley.com/documents/?uuid=04957f85-87f3-42f9-8ada-3f266dfd66cd"]}],"mendeley":{"formattedCitation":"[5]","plainTextFormattedCitation":"[5]","previouslyFormattedCitation":"[5]"},"properties":{"noteIndex":0},"schema":"https://github.com/citation-style-language/schema/raw/master/csl-citation.json"}</w:instrText>
      </w:r>
      <w:r w:rsidRPr="000E39AA">
        <w:rPr>
          <w:rFonts w:ascii="Arial" w:hAnsi="Arial" w:cs="Arial"/>
          <w:color w:val="000000"/>
          <w:shd w:val="clear" w:color="auto" w:fill="FFFFFF"/>
        </w:rPr>
        <w:fldChar w:fldCharType="separate"/>
      </w:r>
      <w:r w:rsidR="00BC139B" w:rsidRPr="00BC139B">
        <w:rPr>
          <w:rFonts w:ascii="Arial" w:hAnsi="Arial" w:cs="Arial"/>
          <w:noProof/>
          <w:color w:val="000000"/>
          <w:shd w:val="clear" w:color="auto" w:fill="FFFFFF"/>
        </w:rPr>
        <w:t>[5]</w:t>
      </w:r>
      <w:r w:rsidRPr="000E39AA">
        <w:rPr>
          <w:rFonts w:ascii="Arial" w:hAnsi="Arial" w:cs="Arial"/>
          <w:color w:val="000000"/>
          <w:shd w:val="clear" w:color="auto" w:fill="FFFFFF"/>
        </w:rPr>
        <w:fldChar w:fldCharType="end"/>
      </w:r>
      <w:r w:rsidRPr="000E39AA">
        <w:rPr>
          <w:rFonts w:ascii="Arial" w:hAnsi="Arial" w:cs="Arial"/>
          <w:color w:val="000000"/>
          <w:shd w:val="clear" w:color="auto" w:fill="FFFFFF"/>
        </w:rPr>
        <w:t>.</w:t>
      </w:r>
      <w:r w:rsidRPr="000E39AA">
        <w:rPr>
          <w:rFonts w:ascii="Arial" w:hAnsi="Arial" w:cs="Arial"/>
          <w:shd w:val="clear" w:color="auto" w:fill="FFFFFF"/>
        </w:rPr>
        <w:t xml:space="preserve"> </w:t>
      </w:r>
      <w:r w:rsidRPr="000E39AA">
        <w:rPr>
          <w:rFonts w:ascii="Arial" w:hAnsi="Arial" w:cs="Arial"/>
        </w:rPr>
        <w:t xml:space="preserve">BPs can be used in addition to analgesics and in other metabolic bone diseases to reduce or prevent disease progression and to decrease disease symptoms and complications </w:t>
      </w:r>
      <w:r w:rsidRPr="000E39AA">
        <w:rPr>
          <w:rFonts w:ascii="Arial" w:hAnsi="Arial" w:cs="Arial"/>
          <w:color w:val="000000"/>
          <w:shd w:val="clear" w:color="auto" w:fill="FFFFFF"/>
        </w:rPr>
        <w:fldChar w:fldCharType="begin" w:fldLock="1"/>
      </w:r>
      <w:r w:rsidR="000D250C">
        <w:rPr>
          <w:rFonts w:ascii="Arial" w:hAnsi="Arial" w:cs="Arial"/>
          <w:color w:val="000000"/>
          <w:shd w:val="clear" w:color="auto" w:fill="FFFFFF"/>
        </w:rPr>
        <w:instrText>ADDIN CSL_CITATION {"citationItems":[{"id":"ITEM-1","itemData":{"DOI":"10.1016/j.coph.2016.02.007","ISSN":"14714973","PMID":"26940053","abstract":"Skeletal conditions are common causes of chronic pain and there is an unmet medical need for improved treatment options. Bone pain is currently managed with disease modifying agents and/or analgesics depending on the condition. Disease modifying agents affect the underlying pathophysiology of the disease and reduce as a secondary effect bone pain. Antiresorptive and anabolic agents, such as bisphosphonates and intermittent parathyroid hormone (1-34), respectively, have proven effective as pain relieving agents. Cathepsin K inhibitors and anti-sclerostin antibodies hold, due to their disease modifying effects, promise of a pain relieving effect. NSAIDs and opioids are widely employed in the treatment of bone pain. However, recent preclinical findings demonstrating a unique neuronal innervation of bone tissue and sprouting of sensory nerve fibers open for new treatment possibilities.","author":[{"dropping-particle":"","family":"Frost","given":"Charlotte Ørsted","non-dropping-particle":"","parse-names":false,"suffix":""},{"dropping-particle":"","family":"Hansen","given":"Rikke Rie","non-dropping-particle":"","parse-names":false,"suffix":""},{"dropping-particle":"","family":"Heegaard","given":"Anne Marie","non-dropping-particle":"","parse-names":false,"suffix":""}],"container-title":"Current Opinion in Pharmacology","id":"ITEM-1","issued":{"date-parts":[["2016"]]},"page":"31-37","publisher":"Elsevier Ltd","title":"Bone pain: Current and future treatments","type":"article-journal","volume":"28"},"uris":["http://www.mendeley.com/documents/?uuid=e77a983e-e4e4-441a-8d7f-302b295beea6"]},{"id":"ITEM-2","itemData":{"DOI":"10.1016/s0093-7754(01)90260-x","ISSN":"00937754","abstract":"Recent developments in the colloidal synthesis of high quality nanocrystals have opened up new routes for the fabrication of low-cost efficient photovoltaic devices. Previously, we demonstrated the utility of CuInSe(2) nanocrystals in the fabrication of CuInSe(2) thin film solar cells. In those devices, sintering the nanocrystal film yields a relatively dense CuInSe(2) film with some void space inclusions. Here, we present a general approach toward eliminating void space in sintered nanocrystal films by utilizing reactions that yield a controlled volume expansion of the film. This is demonstrated by first synthesizing a nanocrystal ink composed of Cu(In(1-x)Ga(x))S(2) (CIGS). After nanocrystal film formation, the nanocrystals are exposed to selenium vapor during which most of the sulfur is replaced by selenium. Full replacement produces a approximately 14.6% volume expansion and reproducibly leads to good dense device-quality CIGSSe absorber films with reduced inclusion of void space. Solar cells made using the CIGSSe absorber films fabricated by this method showed a power conversion efficiency of 4.76% (5.55% based on the active nonshadowed area) under standard AM1.5 illumination.","author":[{"dropping-particle":"","family":"COLEMAN","given":"R","non-dropping-particle":"","parse-names":false,"suffix":""}],"container-title":"Seminars in Oncology","id":"ITEM-2","issued":{"date-parts":[["2001"]]},"page":"11-16","title":"The role of zoledronic acid in cancer: Clinical studies in the treatment and prevention of bone metastases","type":"article-journal","volume":"28"},"uris":["http://www.mendeley.com/documents/?uuid=f662bf53-e03e-4340-a92b-0b8d220cf70a"]},{"id":"ITEM-3","itemData":{"DOI":"10.1038/ncponc1323","ISSN":"17434254","PMID":"19190592","abstract":"Bone is the most common organ for tumor metastasis, especially in patients with cancers of the breast or prostate. Bone metastases disrupt skeletal metabolism and result in considerable skeletal morbidity, including intractable, chronic bone pain, hypercalcemia of malignancy, pathologic fracture and spinal-cord compression. In addition to the chronic pain caused by bone metastases, skeletal-related events (SREs) such as pathologic fractures and spinal-cord compression can result in acute increases in pain. These effects can severely impair mobility and contribute to a general decrease in quality of life. Palliative options to treat bone metastases include radiotherapy, analgesics, surgery and bisphosphonates. These drugs bind to the surface of the bone and impair osteoclast-mediated bone resorption, and reduce the tumor-associated osteolysis that is initiated by the development of skeletal metastases. In addition to preventing SREs, bisphosphonates can palliate bone pain caused by a variety of solid tumors. This Review summarizes the clinical trial data of bisphosphonates for the prevention of SREs and the palliation of bone pain. Among these agents, nitrogen-containing bisphosphonates are recognized as the most effective, and zoledronic acid has demonstrated the broadest clinical utility.","author":[{"dropping-particle":"","family":"Costa","given":"Luis","non-dropping-particle":"","parse-names":false,"suffix":""},{"dropping-particle":"","family":"Major","given":"Pierre P.","non-dropping-particle":"","parse-names":false,"suffix":""}],"container-title":"Nature Clinical Practice Oncology","id":"ITEM-3","issue":"3","issued":{"date-parts":[["2009"]]},"page":"163-174","title":"Effect of bisphosphonates on pain and quality of life in patients with bone metastases","type":"article-journal","volume":"6"},"uris":["http://www.mendeley.com/documents/?uuid=f9bdfa37-f078-4888-971a-7d1dbd511dbe"]}],"mendeley":{"formattedCitation":"[3, 29, 30]","plainTextFormattedCitation":"[3, 29, 30]","previouslyFormattedCitation":"[3, 29, 30]"},"properties":{"noteIndex":0},"schema":"https://github.com/citation-style-language/schema/raw/master/csl-citation.json"}</w:instrText>
      </w:r>
      <w:r w:rsidRPr="000E39AA">
        <w:rPr>
          <w:rFonts w:ascii="Arial" w:hAnsi="Arial" w:cs="Arial"/>
          <w:color w:val="000000"/>
          <w:shd w:val="clear" w:color="auto" w:fill="FFFFFF"/>
        </w:rPr>
        <w:fldChar w:fldCharType="separate"/>
      </w:r>
      <w:r w:rsidR="00BC139B" w:rsidRPr="00BC139B">
        <w:rPr>
          <w:rFonts w:ascii="Arial" w:hAnsi="Arial" w:cs="Arial"/>
          <w:noProof/>
          <w:color w:val="000000"/>
          <w:shd w:val="clear" w:color="auto" w:fill="FFFFFF"/>
        </w:rPr>
        <w:t>[3, 29, 30]</w:t>
      </w:r>
      <w:r w:rsidRPr="000E39AA">
        <w:rPr>
          <w:rFonts w:ascii="Arial" w:hAnsi="Arial" w:cs="Arial"/>
          <w:color w:val="000000"/>
          <w:shd w:val="clear" w:color="auto" w:fill="FFFFFF"/>
        </w:rPr>
        <w:fldChar w:fldCharType="end"/>
      </w:r>
      <w:r w:rsidRPr="000E39AA">
        <w:rPr>
          <w:rFonts w:ascii="Arial" w:hAnsi="Arial" w:cs="Arial"/>
          <w:color w:val="000000"/>
          <w:shd w:val="clear" w:color="auto" w:fill="FFFFFF"/>
        </w:rPr>
        <w:t xml:space="preserve">. </w:t>
      </w:r>
      <w:r w:rsidRPr="000E39AA">
        <w:rPr>
          <w:rFonts w:ascii="Arial" w:hAnsi="Arial" w:cs="Arial"/>
        </w:rPr>
        <w:t xml:space="preserve">However, BP administration is accompanied by a number of side effects including flu-like symptoms (fever, arthralgia, myalgia and weakness), </w:t>
      </w:r>
      <w:r w:rsidR="00A31F9D" w:rsidRPr="000E39AA">
        <w:rPr>
          <w:rFonts w:ascii="Arial" w:hAnsi="Arial" w:cs="Arial"/>
        </w:rPr>
        <w:t>anaemia</w:t>
      </w:r>
      <w:r w:rsidRPr="000E39AA">
        <w:rPr>
          <w:rFonts w:ascii="Arial" w:hAnsi="Arial" w:cs="Arial"/>
        </w:rPr>
        <w:t xml:space="preserve">, nausea, </w:t>
      </w:r>
      <w:r w:rsidR="00FA6A9A" w:rsidRPr="000E39AA">
        <w:rPr>
          <w:rFonts w:ascii="Arial" w:hAnsi="Arial" w:cs="Arial"/>
        </w:rPr>
        <w:t>dyspnoea</w:t>
      </w:r>
      <w:r w:rsidRPr="000E39AA">
        <w:rPr>
          <w:rFonts w:ascii="Arial" w:hAnsi="Arial" w:cs="Arial"/>
        </w:rPr>
        <w:t xml:space="preserve">, peripheral </w:t>
      </w:r>
      <w:proofErr w:type="spellStart"/>
      <w:r w:rsidRPr="000E39AA">
        <w:rPr>
          <w:rFonts w:ascii="Arial" w:hAnsi="Arial" w:cs="Arial"/>
        </w:rPr>
        <w:t>edema</w:t>
      </w:r>
      <w:proofErr w:type="spellEnd"/>
      <w:r w:rsidRPr="000E39AA">
        <w:rPr>
          <w:rFonts w:ascii="Arial" w:hAnsi="Arial" w:cs="Arial"/>
        </w:rPr>
        <w:t xml:space="preserve"> and, in rare cases, osteonecrosis of the jaw</w:t>
      </w:r>
      <w:r w:rsidRPr="000E39AA">
        <w:rPr>
          <w:rFonts w:ascii="Arial" w:hAnsi="Arial" w:cs="Arial"/>
          <w:shd w:val="clear" w:color="auto" w:fill="FFFFFF"/>
        </w:rPr>
        <w:t xml:space="preserve"> </w:t>
      </w:r>
      <w:r w:rsidRPr="000E39AA">
        <w:rPr>
          <w:rFonts w:ascii="Arial" w:hAnsi="Arial" w:cs="Arial"/>
          <w:shd w:val="clear" w:color="auto" w:fill="FFFFFF"/>
        </w:rPr>
        <w:fldChar w:fldCharType="begin" w:fldLock="1"/>
      </w:r>
      <w:r w:rsidR="000D250C">
        <w:rPr>
          <w:rFonts w:ascii="Arial" w:hAnsi="Arial" w:cs="Arial"/>
          <w:shd w:val="clear" w:color="auto" w:fill="FFFFFF"/>
        </w:rPr>
        <w:instrText>ADDIN CSL_CITATION {"citationItems":[{"id":"ITEM-1","itemData":{"DOI":"10.4081/oncol.2017.321","ISSN":"19705565","abstract":"Bone is a frequent site of metastases and typically indicates a short-term prognosis in cancer patients. Once cancer has spread to the bones it can rarely be cured, but often it can still be treated to slow its growth. The majority of skeletal metastases are due to breast and prostate cancer. Bone metastasis is actually much more common than primary bone cancers, especially in adults. The diagnosis is based on signs, symptoms and imaging. New classes of drugs and new interventions are given a better quality of life to these patients and improved the expectancy of life. It is necessary a multidisciplinary approach to treat patients with bone metastasis. In this paper we review the types, clinical approach and treatment of bone metastases.","author":[{"dropping-particle":"","family":"Macedo","given":"Filipa","non-dropping-particle":"","parse-names":false,"suffix":""},{"dropping-particle":"","family":"Ladeira","given":"Katia","non-dropping-particle":"","parse-names":false,"suffix":""},{"dropping-particle":"","family":"Pinho","given":"Filipa","non-dropping-particle":"","parse-names":false,"suffix":""},{"dropping-particle":"","family":"Saraiva","given":"Nadine","non-dropping-particle":"","parse-names":false,"suffix":""},{"dropping-particle":"","family":"Bonito","given":"Nuno","non-dropping-particle":"","parse-names":false,"suffix":""},{"dropping-particle":"","family":"Pinto","given":"Luísa","non-dropping-particle":"","parse-names":false,"suffix":""},{"dropping-particle":"","family":"Gonçalves","given":"Francisco","non-dropping-particle":"","parse-names":false,"suffix":""}],"container-title":"Oncology Reviews","id":"ITEM-1","issue":"1","issued":{"date-parts":[["2017"]]},"title":"Bone metastases: An overview","type":"article-journal","volume":"11"},"uris":["http://www.mendeley.com/documents/?uuid=b88a3525-0bc7-46ee-849a-840870f1b9cd"]},{"id":"ITEM-2","itemData":{"DOI":"10.1038/ncponc1323","ISSN":"17434254","PMID":"19190592","abstract":"Bone is the most common organ for tumor metastasis, especially in patients with cancers of the breast or prostate. Bone metastases disrupt skeletal metabolism and result in considerable skeletal morbidity, including intractable, chronic bone pain, hypercalcemia of malignancy, pathologic fracture and spinal-cord compression. In addition to the chronic pain caused by bone metastases, skeletal-related events (SREs) such as pathologic fractures and spinal-cord compression can result in acute increases in pain. These effects can severely impair mobility and contribute to a general decrease in quality of life. Palliative options to treat bone metastases include radiotherapy, analgesics, surgery and bisphosphonates. These drugs bind to the surface of the bone and impair osteoclast-mediated bone resorption, and reduce the tumor-associated osteolysis that is initiated by the development of skeletal metastases. In addition to preventing SREs, bisphosphonates can palliate bone pain caused by a variety of solid tumors. This Review summarizes the clinical trial data of bisphosphonates for the prevention of SREs and the palliation of bone pain. Among these agents, nitrogen-containing bisphosphonates are recognized as the most effective, and zoledronic acid has demonstrated the broadest clinical utility.","author":[{"dropping-particle":"","family":"Costa","given":"Luis","non-dropping-particle":"","parse-names":false,"suffix":""},{"dropping-particle":"","family":"Major","given":"Pierre P.","non-dropping-particle":"","parse-names":false,"suffix":""}],"container-title":"Nature Clinical Practice Oncology","id":"ITEM-2","issue":"3","issued":{"date-parts":[["2009"]]},"page":"163-174","title":"Effect of bisphosphonates on pain and quality of life in patients with bone metastases","type":"article-journal","volume":"6"},"uris":["http://www.mendeley.com/documents/?uuid=f9bdfa37-f078-4888-971a-7d1dbd511dbe"]}],"mendeley":{"formattedCitation":"[19, 30]","plainTextFormattedCitation":"[19, 30]","previouslyFormattedCitation":"[19, 30]"},"properties":{"noteIndex":0},"schema":"https://github.com/citation-style-language/schema/raw/master/csl-citation.json"}</w:instrText>
      </w:r>
      <w:r w:rsidRPr="000E39AA">
        <w:rPr>
          <w:rFonts w:ascii="Arial" w:hAnsi="Arial" w:cs="Arial"/>
          <w:shd w:val="clear" w:color="auto" w:fill="FFFFFF"/>
        </w:rPr>
        <w:fldChar w:fldCharType="separate"/>
      </w:r>
      <w:r w:rsidR="00BC139B" w:rsidRPr="00BC139B">
        <w:rPr>
          <w:rFonts w:ascii="Arial" w:hAnsi="Arial" w:cs="Arial"/>
          <w:noProof/>
          <w:shd w:val="clear" w:color="auto" w:fill="FFFFFF"/>
        </w:rPr>
        <w:t>[19, 30]</w:t>
      </w:r>
      <w:r w:rsidRPr="000E39AA">
        <w:rPr>
          <w:rFonts w:ascii="Arial" w:hAnsi="Arial" w:cs="Arial"/>
          <w:shd w:val="clear" w:color="auto" w:fill="FFFFFF"/>
        </w:rPr>
        <w:fldChar w:fldCharType="end"/>
      </w:r>
      <w:r w:rsidRPr="000E39AA">
        <w:rPr>
          <w:rFonts w:ascii="Arial" w:hAnsi="Arial" w:cs="Arial"/>
          <w:shd w:val="clear" w:color="auto" w:fill="FFFFFF"/>
        </w:rPr>
        <w:t xml:space="preserve">. </w:t>
      </w:r>
    </w:p>
    <w:p w14:paraId="31BD6722" w14:textId="74827414" w:rsidR="00F03759" w:rsidRPr="000E39AA" w:rsidRDefault="00F03759" w:rsidP="00F03759">
      <w:pPr>
        <w:autoSpaceDE w:val="0"/>
        <w:autoSpaceDN w:val="0"/>
        <w:adjustRightInd w:val="0"/>
        <w:spacing w:after="0" w:line="276" w:lineRule="auto"/>
        <w:jc w:val="both"/>
        <w:rPr>
          <w:rFonts w:ascii="Arial" w:hAnsi="Arial" w:cs="Arial"/>
        </w:rPr>
      </w:pPr>
      <w:r w:rsidRPr="000E39AA">
        <w:rPr>
          <w:rFonts w:ascii="Arial" w:hAnsi="Arial" w:cs="Arial"/>
          <w:i/>
        </w:rPr>
        <w:lastRenderedPageBreak/>
        <w:t>Monoclonal antibodies</w:t>
      </w:r>
      <w:r w:rsidRPr="000E39AA">
        <w:rPr>
          <w:rFonts w:ascii="Arial" w:hAnsi="Arial" w:cs="Arial"/>
        </w:rPr>
        <w:t xml:space="preserve"> </w:t>
      </w:r>
      <w:r w:rsidRPr="00504BF1">
        <w:rPr>
          <w:rFonts w:ascii="Arial" w:hAnsi="Arial" w:cs="Arial"/>
          <w:i/>
          <w:iCs/>
        </w:rPr>
        <w:t>(</w:t>
      </w:r>
      <w:proofErr w:type="spellStart"/>
      <w:r w:rsidRPr="00504BF1">
        <w:rPr>
          <w:rFonts w:ascii="Arial" w:hAnsi="Arial" w:cs="Arial"/>
          <w:i/>
          <w:iCs/>
        </w:rPr>
        <w:t>mAbs</w:t>
      </w:r>
      <w:proofErr w:type="spellEnd"/>
      <w:r w:rsidRPr="00504BF1">
        <w:rPr>
          <w:rFonts w:ascii="Arial" w:hAnsi="Arial" w:cs="Arial"/>
          <w:i/>
          <w:iCs/>
        </w:rPr>
        <w:t>)</w:t>
      </w:r>
      <w:r w:rsidR="00504BF1" w:rsidRPr="00504BF1">
        <w:rPr>
          <w:rFonts w:ascii="Arial" w:hAnsi="Arial" w:cs="Arial"/>
          <w:i/>
          <w:iCs/>
        </w:rPr>
        <w:t>.</w:t>
      </w:r>
      <w:r w:rsidRPr="000E39AA">
        <w:rPr>
          <w:rFonts w:ascii="Arial" w:hAnsi="Arial" w:cs="Arial"/>
        </w:rPr>
        <w:t xml:space="preserve"> Denosumab binds to RANKL preventing the interaction with the receptor on the osteoclasts and thus preventing osteoclast maturation and function and is one of the most successful </w:t>
      </w:r>
      <w:proofErr w:type="spellStart"/>
      <w:r w:rsidRPr="000E39AA">
        <w:rPr>
          <w:rFonts w:ascii="Arial" w:hAnsi="Arial" w:cs="Arial"/>
        </w:rPr>
        <w:t>mAbs</w:t>
      </w:r>
      <w:proofErr w:type="spellEnd"/>
      <w:r w:rsidRPr="000E39AA">
        <w:rPr>
          <w:rFonts w:ascii="Arial" w:hAnsi="Arial" w:cs="Arial"/>
        </w:rPr>
        <w:t xml:space="preserve"> treatment options available </w:t>
      </w:r>
      <w:r w:rsidRPr="000E39AA">
        <w:rPr>
          <w:rFonts w:ascii="Arial" w:hAnsi="Arial" w:cs="Arial"/>
        </w:rPr>
        <w:fldChar w:fldCharType="begin" w:fldLock="1"/>
      </w:r>
      <w:r w:rsidR="000D250C">
        <w:rPr>
          <w:rFonts w:ascii="Arial" w:hAnsi="Arial" w:cs="Arial"/>
        </w:rPr>
        <w:instrText>ADDIN CSL_CITATION {"citationItems":[{"id":"ITEM-1","itemData":{"ISSN":"11087161","PMID":"15615497","abstract":"Cancer-induced bone diseases are common and can have a devastating impact at the end of life. One of the most difficult sequelae of cancer is metastases to the skeleton, an event that results in bone destruction and bone cancer pain. Bone cancer pain is usually progressive as the disease advances, and is particularly difficult to treat. Recently, experimental models of bone cancer pain have been developed and have provided seminal insight in understanding the pathophysiology of bone cancer pain. Animal models of bone cancer provided the finding that bone destruction (osteolysis) is associated with pain, and it has been determined that cancer-induced osteolysis is mediated by osteoclasts. Having established that RANK ligand contributed to cancer-induced osteoclastogenesis, it was determined that disruption of the RANKL-RANK axis with OPG inhibited tumor-induced osteoclastogenesis and decreased bone cancer pain.","author":[{"dropping-particle":"","family":"Clohisy","given":"Denis R.","non-dropping-particle":"","parse-names":false,"suffix":""},{"dropping-particle":"","family":"Mantyh","given":"P. W.","non-dropping-particle":"","parse-names":false,"suffix":""}],"container-title":"Journal of Musculoskeletal Neuronal Interactions","id":"ITEM-1","issue":"3","issued":{"date-parts":[["2004"]]},"page":"293-300","title":"Bone cancer pain and the role of RANKL/OPG","type":"article-journal","volume":"4"},"uris":["http://www.mendeley.com/documents/?uuid=12389b16-fa13-4232-8149-00fba3da4962"]},{"id":"ITEM-2","itemData":{"DOI":"10.1097/SPC.0b013e32830baac2","ISSN":"1751-4266 (Electronic)","PMID":"18685421","abstract":"PURPOSE OF REVIEW: Bone metastases are common in patients with advanced malignancies  and are associated with skeletal-related events, cancer progression, and death. Receptor activator of nuclear factor kappa beta ligand (RANKL) and its receptor, RANK, key mediators of osteoclast differentiation and function, play a pivotal role in bone destruction induced by metastatic bone tumors. The present review summarizes the contribution of RANKL to pathologic bone disease and presents early clinical data on RANKL inhibition in human metastatic cancer. RECENT FINDINGS: RANKL/RANK interactions are essential for normal bone homeostasis. Binding of RANKL to RANK induces osteolytic bone resorption, a process that occurs in excess when tumor cells are present in bone. In cancer patients, increased tumor-induced osteolysis that is measurable using bone resorption markers can be used to monitor response to treatment or predict tumor progression. Denosumab, a novel, fully human monoclonal antibody specific to RANKL, suppresses bone resorption markers in patients with a variety of metastatic tumors and is being investigated in multiple clinical trials for the prevention and treatment of bone metastases. SUMMARY: RANKL is an appropriate target to reduce the osteolytic bone damage caused by bone metastases. Clinical trials are ongoing to assess the safety and efficacy of denosumab for the treatment of bone resorption in patients with metastatic cancers.","author":[{"dropping-particle":"","family":"Lipton","given":"Allan","non-dropping-particle":"","parse-names":false,"suffix":""},{"dropping-particle":"","family":"Jun","given":"Susie","non-dropping-particle":"","parse-names":false,"suffix":""}],"container-title":"Current opinion in supportive and palliative care","id":"ITEM-2","issue":"3","issued":{"date-parts":[["2008","9"]]},"language":"eng","page":"197-203","publisher-place":"United States","title":"RANKL inhibition in the treatment of bone metastases.","type":"article-journal","volume":"2"},"uris":["http://www.mendeley.com/documents/?uuid=ea2d5acd-9420-4267-9954-b1e3578f5a38"]},{"id":"ITEM-3","itemData":{"DOI":"10.3390/ijms20236047","ISSN":"14220067","PMID":"31801267","abstract":"The skeletal system is the third most common site for cancer metastases, surpassed only by the lungs and liver. Many tumors, especially those of the breast, prostate, lungs, and kidneys, have a strong predilection to metastasize to bone, which causes pain, hypercalcemia, pathological skeletal fractures, compression of the spinal cord or other nervous structures, decreased mobility, and increased mortality. Metastatic cancer-induced bone pain (CIBP) is a type of chronic pain with unique and complex pathophysiology characterized by nociceptive and neuropathic components. Its treatment should be multimodal (pharmacological and non-pharmacological), including causal anticancer and symptomatic analgesic treatment to improve quality of life (QoL). The aim of this paper is to discuss the mechanisms involved in the occurrence and persistence of cancer-associated bone pain and to review the treatment methods recommended by experts in clinical practice. The final part of the paper reviews experimental therapeutic methods that are currently being studied and that may improve the efficacy of bone pain treatment in cancer patients in the future.","author":[{"dropping-particle":"","family":"Zajączkowska","given":"Renata","non-dropping-particle":"","parse-names":false,"suffix":""},{"dropping-particle":"","family":"Kocot-Kępska","given":"Magdalena","non-dropping-particle":"","parse-names":false,"suffix":""},{"dropping-particle":"","family":"Leppert","given":"Wojciech","non-dropping-particle":"","parse-names":false,"suffix":""},{"dropping-particle":"","family":"Wordliczek","given":"Jerzy","non-dropping-particle":"","parse-names":false,"suffix":""}],"container-title":"International Journal of Molecular Sciences","id":"ITEM-3","issue":"23","issued":{"date-parts":[["2019"]]},"page":"65-75","title":"Bone pain in cancer patients: Mechanisms and current treatment","type":"article-journal","volume":"20"},"uris":["http://www.mendeley.com/documents/?uuid=04957f85-87f3-42f9-8ada-3f266dfd66cd"]},{"id":"ITEM-4","itemData":{"DOI":"10.4081/oncol.2017.321","ISSN":"19705565","abstract":"Bone is a frequent site of metastases and typically indicates a short-term prognosis in cancer patients. Once cancer has spread to the bones it can rarely be cured, but often it can still be treated to slow its growth. The majority of skeletal metastases are due to breast and prostate cancer. Bone metastasis is actually much more common than primary bone cancers, especially in adults. The diagnosis is based on signs, symptoms and imaging. New classes of drugs and new interventions are given a better quality of life to these patients and improved the expectancy of life. It is necessary a multidisciplinary approach to treat patients with bone metastasis. In this paper we review the types, clinical approach and treatment of bone metastases.","author":[{"dropping-particle":"","family":"Macedo","given":"Filipa","non-dropping-particle":"","parse-names":false,"suffix":""},{"dropping-particle":"","family":"Ladeira","given":"Katia","non-dropping-particle":"","parse-names":false,"suffix":""},{"dropping-particle":"","family":"Pinho","given":"Filipa","non-dropping-particle":"","parse-names":false,"suffix":""},{"dropping-particle":"","family":"Saraiva","given":"Nadine","non-dropping-particle":"","parse-names":false,"suffix":""},{"dropping-particle":"","family":"Bonito","given":"Nuno","non-dropping-particle":"","parse-names":false,"suffix":""},{"dropping-particle":"","family":"Pinto","given":"Luísa","non-dropping-particle":"","parse-names":false,"suffix":""},{"dropping-particle":"","family":"Gonçalves","given":"Francisco","non-dropping-particle":"","parse-names":false,"suffix":""}],"container-title":"Oncology Reviews","id":"ITEM-4","issue":"1","issued":{"date-parts":[["2017"]]},"title":"Bone metastases: An overview","type":"article-journal","volume":"11"},"uris":["http://www.mendeley.com/documents/?uuid=b88a3525-0bc7-46ee-849a-840870f1b9cd"]}],"mendeley":{"formattedCitation":"[5, 19, 31, 32]","plainTextFormattedCitation":"[5, 19, 31, 32]","previouslyFormattedCitation":"[5, 19, 31, 32]"},"properties":{"noteIndex":0},"schema":"https://github.com/citation-style-language/schema/raw/master/csl-citation.json"}</w:instrText>
      </w:r>
      <w:r w:rsidRPr="000E39AA">
        <w:rPr>
          <w:rFonts w:ascii="Arial" w:hAnsi="Arial" w:cs="Arial"/>
        </w:rPr>
        <w:fldChar w:fldCharType="separate"/>
      </w:r>
      <w:r w:rsidR="00BC139B" w:rsidRPr="00BC139B">
        <w:rPr>
          <w:rFonts w:ascii="Arial" w:hAnsi="Arial" w:cs="Arial"/>
          <w:noProof/>
        </w:rPr>
        <w:t>[5, 19, 31, 32]</w:t>
      </w:r>
      <w:r w:rsidRPr="000E39AA">
        <w:rPr>
          <w:rFonts w:ascii="Arial" w:hAnsi="Arial" w:cs="Arial"/>
        </w:rPr>
        <w:fldChar w:fldCharType="end"/>
      </w:r>
      <w:r w:rsidRPr="000E39AA">
        <w:rPr>
          <w:rFonts w:ascii="Arial" w:hAnsi="Arial" w:cs="Arial"/>
        </w:rPr>
        <w:t>. Tanezumab treatment is a potential alternative to Denosumab</w:t>
      </w:r>
      <w:r w:rsidR="00EB1F9A">
        <w:rPr>
          <w:rFonts w:ascii="Arial" w:hAnsi="Arial" w:cs="Arial"/>
        </w:rPr>
        <w:t>, binding</w:t>
      </w:r>
      <w:r w:rsidRPr="000E39AA">
        <w:rPr>
          <w:rFonts w:ascii="Arial" w:hAnsi="Arial" w:cs="Arial"/>
        </w:rPr>
        <w:t xml:space="preserve"> to NGF to prevent interaction with </w:t>
      </w:r>
      <w:proofErr w:type="spellStart"/>
      <w:r w:rsidRPr="000E39AA">
        <w:rPr>
          <w:rFonts w:ascii="Arial" w:hAnsi="Arial" w:cs="Arial"/>
        </w:rPr>
        <w:t>TrkA</w:t>
      </w:r>
      <w:proofErr w:type="spellEnd"/>
      <w:r w:rsidRPr="000E39AA">
        <w:rPr>
          <w:rFonts w:ascii="Arial" w:hAnsi="Arial" w:cs="Arial"/>
        </w:rPr>
        <w:t xml:space="preserve"> and p75 receptors </w:t>
      </w:r>
      <w:r w:rsidRPr="000E39AA">
        <w:rPr>
          <w:rFonts w:ascii="Arial" w:hAnsi="Arial" w:cs="Arial"/>
        </w:rPr>
        <w:fldChar w:fldCharType="begin" w:fldLock="1"/>
      </w:r>
      <w:r w:rsidR="000D250C">
        <w:rPr>
          <w:rFonts w:ascii="Arial" w:hAnsi="Arial" w:cs="Arial"/>
        </w:rPr>
        <w:instrText>ADDIN CSL_CITATION {"citationItems":[{"id":"ITEM-1","itemData":{"DOI":"10.1111/bcp.13801","ISSN":"13652125","PMID":"30357885","abstract":"Disorders of the skeleton are frequently accompanied by bone pain and a decline in the functional status of the patient. Bone pain occurs following a variety of injuries and diseases including bone fracture, osteoarthritis, low back pain, orthopedic surgery, fibrous dysplasia, rare bone diseases, sickle cell disease and bone cancer. In the past 2 decades, significant progress has been made in understanding the unique population of sensory and sympathetic nerves that innervate bone and the mechanisms that drive bone pain. Following physical injury of bone, mechanotranducers expressed by sensory nerve fibres that innervate bone are activated and sensitized so that even normally non-noxious loading or movement of bone is now being perceived as noxious. Injury of the bone also causes release of factors that; directly excite and sensitize sensory nerve fibres, upregulate proalgesic neurotransmitters, receptors and ion channels expressed by sensory neurons, induce ectopic sprouting of sensory and sympathetic nerve fibres resulting in a hyper-innervation of bone, and central sensitization in the brain that amplifies pain. Many of these mechanisms appear to be involved in driving both nonmalignant and malignant bone pain. Results from human clinical trials suggest that mechanism-based therapies that attenuate one type of bone pain are often effective in attenuating pain in other seemingly unrelated bone diseases. Understanding the specific mechanisms that drive bone pain in different diseases and developing mechanism-based therapies to control this pain has the potential to fundamentally change the quality of life and functional status of patients suffering from bone pain.","author":[{"dropping-particle":"","family":"Mantyh","given":"Patrick W.","non-dropping-particle":"","parse-names":false,"suffix":""}],"container-title":"British Journal of Clinical Pharmacology","id":"ITEM-1","issue":"6","issued":{"date-parts":[["2019"]]},"page":"1103-1113","title":"Mechanisms that drive bone pain across the lifespan","type":"article-journal","volume":"85"},"uris":["http://www.mendeley.com/documents/?uuid=6c0e9d78-e1fb-469d-af73-6be24f64c4b6"]},{"id":"ITEM-2","itemData":{"DOI":"10.3390/ijms20236047","ISSN":"14220067","PMID":"31801267","abstract":"The skeletal system is the third most common site for cancer metastases, surpassed only by the lungs and liver. Many tumors, especially those of the breast, prostate, lungs, and kidneys, have a strong predilection to metastasize to bone, which causes pain, hypercalcemia, pathological skeletal fractures, compression of the spinal cord or other nervous structures, decreased mobility, and increased mortality. Metastatic cancer-induced bone pain (CIBP) is a type of chronic pain with unique and complex pathophysiology characterized by nociceptive and neuropathic components. Its treatment should be multimodal (pharmacological and non-pharmacological), including causal anticancer and symptomatic analgesic treatment to improve quality of life (QoL). The aim of this paper is to discuss the mechanisms involved in the occurrence and persistence of cancer-associated bone pain and to review the treatment methods recommended by experts in clinical practice. The final part of the paper reviews experimental therapeutic methods that are currently being studied and that may improve the efficacy of bone pain treatment in cancer patients in the future.","author":[{"dropping-particle":"","family":"Zajączkowska","given":"Renata","non-dropping-particle":"","parse-names":false,"suffix":""},{"dropping-particle":"","family":"Kocot-Kępska","given":"Magdalena","non-dropping-particle":"","parse-names":false,"suffix":""},{"dropping-particle":"","family":"Leppert","given":"Wojciech","non-dropping-particle":"","parse-names":false,"suffix":""},{"dropping-particle":"","family":"Wordliczek","given":"Jerzy","non-dropping-particle":"","parse-names":false,"suffix":""}],"container-title":"International Journal of Molecular Sciences","id":"ITEM-2","issue":"23","issued":{"date-parts":[["2019"]]},"page":"65-75","title":"Bone pain in cancer patients: Mechanisms and current treatment","type":"article-journal","volume":"20"},"uris":["http://www.mendeley.com/documents/?uuid=04957f85-87f3-42f9-8ada-3f266dfd66cd"]}],"mendeley":{"formattedCitation":"[5, 33]","plainTextFormattedCitation":"[5, 33]","previouslyFormattedCitation":"[5, 33]"},"properties":{"noteIndex":0},"schema":"https://github.com/citation-style-language/schema/raw/master/csl-citation.json"}</w:instrText>
      </w:r>
      <w:r w:rsidRPr="000E39AA">
        <w:rPr>
          <w:rFonts w:ascii="Arial" w:hAnsi="Arial" w:cs="Arial"/>
        </w:rPr>
        <w:fldChar w:fldCharType="separate"/>
      </w:r>
      <w:r w:rsidR="00BC139B" w:rsidRPr="00BC139B">
        <w:rPr>
          <w:rFonts w:ascii="Arial" w:hAnsi="Arial" w:cs="Arial"/>
          <w:noProof/>
        </w:rPr>
        <w:t>[5, 33]</w:t>
      </w:r>
      <w:r w:rsidRPr="000E39AA">
        <w:rPr>
          <w:rFonts w:ascii="Arial" w:hAnsi="Arial" w:cs="Arial"/>
        </w:rPr>
        <w:fldChar w:fldCharType="end"/>
      </w:r>
      <w:r w:rsidR="00EB1F9A">
        <w:rPr>
          <w:rFonts w:ascii="Arial" w:hAnsi="Arial" w:cs="Arial"/>
        </w:rPr>
        <w:t>.</w:t>
      </w:r>
      <w:r w:rsidRPr="000E39AA">
        <w:rPr>
          <w:rFonts w:ascii="Arial" w:hAnsi="Arial" w:cs="Arial"/>
        </w:rPr>
        <w:t xml:space="preserve"> </w:t>
      </w:r>
      <w:r w:rsidR="00EB1F9A">
        <w:rPr>
          <w:rFonts w:ascii="Arial" w:hAnsi="Arial" w:cs="Arial"/>
        </w:rPr>
        <w:t>H</w:t>
      </w:r>
      <w:r w:rsidRPr="000E39AA">
        <w:rPr>
          <w:rFonts w:ascii="Arial" w:hAnsi="Arial" w:cs="Arial"/>
        </w:rPr>
        <w:t xml:space="preserve">owever, Tanezumab is still under initial clinical assessment and </w:t>
      </w:r>
      <w:r w:rsidR="00ED3CE7">
        <w:rPr>
          <w:rFonts w:ascii="Arial" w:hAnsi="Arial" w:cs="Arial"/>
        </w:rPr>
        <w:t>has not yet been</w:t>
      </w:r>
      <w:r w:rsidRPr="000E39AA">
        <w:rPr>
          <w:rFonts w:ascii="Arial" w:hAnsi="Arial" w:cs="Arial"/>
        </w:rPr>
        <w:t xml:space="preserve"> cleared for safe therapeutic application </w:t>
      </w:r>
      <w:r w:rsidRPr="000E39AA">
        <w:rPr>
          <w:rFonts w:ascii="Arial" w:hAnsi="Arial" w:cs="Arial"/>
        </w:rPr>
        <w:fldChar w:fldCharType="begin" w:fldLock="1"/>
      </w:r>
      <w:r w:rsidR="000D250C">
        <w:rPr>
          <w:rFonts w:ascii="Arial" w:hAnsi="Arial" w:cs="Arial"/>
        </w:rPr>
        <w:instrText>ADDIN CSL_CITATION {"citationItems":[{"id":"ITEM-1","itemData":{"DOI":"10.4103/joacp.JOACP","ISSN":"0970-9185","PMID":"29643629","abstract":"Background and Aims Intraoperative neurophysiological monitoring (IONM) is the standard of care during many spinal, vascular, and intracranial surgeries. High-quality perioperative care requires the communication and cooperation of several multidisciplinary teams. One of these multidisciplinary services is intraoperative neuromonitoring (IONM), while other teams represent anesthesia and surgery. Few studies have investigated the IONM team's objective communication with anesthesia providers. We conducted a retrospective review of IONM-related quality assurance data to identify how changes in the evoked potentials observed during the surgery were communicated within our IONM-anesthesia team and determined the resulting qualitative outcomes. Material and Methods Quality assurance records of 3,112 patients who underwent surgical procedures with IONM (from 2010 to 2015) were reviewed. We examined communications regarding perioperative evoked potential or electroencephalography (EEG) fluctuations that prompted neurophysiologists to alert/notify the anesthesia team to consider alteration of anesthetic depth/drug regimen or patient positioning and analyzed the outcomes of these interventions. Results Of the total of 1280 (41.13%) communications issued, there were 347 notifications and 11 alerts made by the neurophysiologist to the anesthesia team for various types of neuro/orthopedic surgeries. Prompt communication led to resolution of 90% of alerts and 80% of notifications after corrective measures were executed by the anesthesiologists. Notifications mainly related to limb malpositioning and extravasation of intravenous fluid. Conclusion Based on our institutions' protocol and algorithm for intervention during IONM-supported surgeries, our findings of resolution in alerts and notifications indicate that successful communications between the two teams could potentially lead to improved anesthetic care and patient safety.","author":[{"dropping-particle":"","family":"Upadhya R","given":"Kavya","non-dropping-particle":"","parse-names":false,"suffix":""},{"dropping-particle":"","family":"Shenoy","given":"Laxmi","non-dropping-particle":"","parse-names":false,"suffix":""},{"dropping-particle":"","family":"Venkateswaran","given":"Ramkumar","non-dropping-particle":"","parse-names":false,"suffix":""}],"container-title":"Journal of Anaesthesiology Clinical Pharmacology","id":"ITEM-1","issue":"3","issued":{"date-parts":[["2018"]]},"page":"46-50","title":"Effect of intravenous dexmedetomidine administered as bolus or as bolus-plus-infusion on subarachnoid anesthesia with hyperbaric bupivacaine","type":"article-journal","volume":"34"},"uris":["http://www.mendeley.com/documents/?uuid=405f7efa-f0b2-4d64-ab46-305a5aa6ba3c"]}],"mendeley":{"formattedCitation":"[34]","plainTextFormattedCitation":"[34]","previouslyFormattedCitation":"[34]"},"properties":{"noteIndex":0},"schema":"https://github.com/citation-style-language/schema/raw/master/csl-citation.json"}</w:instrText>
      </w:r>
      <w:r w:rsidRPr="000E39AA">
        <w:rPr>
          <w:rFonts w:ascii="Arial" w:hAnsi="Arial" w:cs="Arial"/>
        </w:rPr>
        <w:fldChar w:fldCharType="separate"/>
      </w:r>
      <w:r w:rsidR="00BC139B" w:rsidRPr="00BC139B">
        <w:rPr>
          <w:rFonts w:ascii="Arial" w:hAnsi="Arial" w:cs="Arial"/>
          <w:noProof/>
        </w:rPr>
        <w:t>[34]</w:t>
      </w:r>
      <w:r w:rsidRPr="000E39AA">
        <w:rPr>
          <w:rFonts w:ascii="Arial" w:hAnsi="Arial" w:cs="Arial"/>
        </w:rPr>
        <w:fldChar w:fldCharType="end"/>
      </w:r>
      <w:r w:rsidRPr="000E39AA">
        <w:rPr>
          <w:rFonts w:ascii="Arial" w:hAnsi="Arial" w:cs="Arial"/>
        </w:rPr>
        <w:t xml:space="preserve">. </w:t>
      </w:r>
    </w:p>
    <w:p w14:paraId="4A2A41EB" w14:textId="3FD18EB8" w:rsidR="00F03759" w:rsidRPr="000E39AA" w:rsidRDefault="00F03759" w:rsidP="00F03759">
      <w:pPr>
        <w:autoSpaceDE w:val="0"/>
        <w:autoSpaceDN w:val="0"/>
        <w:adjustRightInd w:val="0"/>
        <w:spacing w:after="0" w:line="276" w:lineRule="auto"/>
        <w:jc w:val="both"/>
        <w:rPr>
          <w:rFonts w:ascii="Arial" w:hAnsi="Arial" w:cs="Arial"/>
        </w:rPr>
      </w:pPr>
      <w:r w:rsidRPr="000E39AA">
        <w:rPr>
          <w:rFonts w:ascii="Arial" w:hAnsi="Arial" w:cs="Arial"/>
          <w:i/>
        </w:rPr>
        <w:t>Analgesics</w:t>
      </w:r>
      <w:r w:rsidRPr="000E39AA">
        <w:rPr>
          <w:rFonts w:ascii="Arial" w:hAnsi="Arial" w:cs="Arial"/>
        </w:rPr>
        <w:t xml:space="preserve">: Non-steroidal anti-inflammatory drugs (NSAIDs) are administered in patients with mild or moderate bone pain </w:t>
      </w:r>
      <w:r w:rsidRPr="000E39AA">
        <w:rPr>
          <w:rFonts w:ascii="Arial" w:hAnsi="Arial" w:cs="Arial"/>
        </w:rPr>
        <w:fldChar w:fldCharType="begin" w:fldLock="1"/>
      </w:r>
      <w:r w:rsidR="000D250C">
        <w:rPr>
          <w:rFonts w:ascii="Arial" w:hAnsi="Arial" w:cs="Arial"/>
        </w:rPr>
        <w:instrText>ADDIN CSL_CITATION {"citationItems":[{"id":"ITEM-1","itemData":{"DOI":"10.1016/j.coph.2016.02.007","ISSN":"14714973","PMID":"26940053","abstract":"Skeletal conditions are common causes of chronic pain and there is an unmet medical need for improved treatment options. Bone pain is currently managed with disease modifying agents and/or analgesics depending on the condition. Disease modifying agents affect the underlying pathophysiology of the disease and reduce as a secondary effect bone pain. Antiresorptive and anabolic agents, such as bisphosphonates and intermittent parathyroid hormone (1-34), respectively, have proven effective as pain relieving agents. Cathepsin K inhibitors and anti-sclerostin antibodies hold, due to their disease modifying effects, promise of a pain relieving effect. NSAIDs and opioids are widely employed in the treatment of bone pain. However, recent preclinical findings demonstrating a unique neuronal innervation of bone tissue and sprouting of sensory nerve fibers open for new treatment possibilities.","author":[{"dropping-particle":"","family":"Frost","given":"Charlotte Ørsted","non-dropping-particle":"","parse-names":false,"suffix":""},{"dropping-particle":"","family":"Hansen","given":"Rikke Rie","non-dropping-particle":"","parse-names":false,"suffix":""},{"dropping-particle":"","family":"Heegaard","given":"Anne Marie","non-dropping-particle":"","parse-names":false,"suffix":""}],"container-title":"Current Opinion in Pharmacology","id":"ITEM-1","issued":{"date-parts":[["2016"]]},"page":"31-37","publisher":"Elsevier Ltd","title":"Bone pain: Current and future treatments","type":"article-journal","volume":"28"},"uris":["http://www.mendeley.com/documents/?uuid=e77a983e-e4e4-441a-8d7f-302b295beea6"]}],"mendeley":{"formattedCitation":"[3]","plainTextFormattedCitation":"[3]","previouslyFormattedCitation":"[3]"},"properties":{"noteIndex":0},"schema":"https://github.com/citation-style-language/schema/raw/master/csl-citation.json"}</w:instrText>
      </w:r>
      <w:r w:rsidRPr="000E39AA">
        <w:rPr>
          <w:rFonts w:ascii="Arial" w:hAnsi="Arial" w:cs="Arial"/>
        </w:rPr>
        <w:fldChar w:fldCharType="separate"/>
      </w:r>
      <w:r w:rsidR="00BC139B" w:rsidRPr="00BC139B">
        <w:rPr>
          <w:rFonts w:ascii="Arial" w:hAnsi="Arial" w:cs="Arial"/>
          <w:noProof/>
        </w:rPr>
        <w:t>[3]</w:t>
      </w:r>
      <w:r w:rsidRPr="000E39AA">
        <w:rPr>
          <w:rFonts w:ascii="Arial" w:hAnsi="Arial" w:cs="Arial"/>
        </w:rPr>
        <w:fldChar w:fldCharType="end"/>
      </w:r>
      <w:r w:rsidRPr="000E39AA">
        <w:rPr>
          <w:rFonts w:ascii="Arial" w:hAnsi="Arial" w:cs="Arial"/>
        </w:rPr>
        <w:t xml:space="preserve">. NSAIDs inhibit prostaglandin (PG) synthesis acting on cyclooxygenase, reducing local </w:t>
      </w:r>
      <w:proofErr w:type="spellStart"/>
      <w:r w:rsidRPr="000E39AA">
        <w:rPr>
          <w:rFonts w:ascii="Arial" w:hAnsi="Arial" w:cs="Arial"/>
        </w:rPr>
        <w:t>edema</w:t>
      </w:r>
      <w:proofErr w:type="spellEnd"/>
      <w:r w:rsidRPr="000E39AA">
        <w:rPr>
          <w:rFonts w:ascii="Arial" w:hAnsi="Arial" w:cs="Arial"/>
        </w:rPr>
        <w:t xml:space="preserve"> and PG-induced nociceptor sensitization and local inflammation </w:t>
      </w:r>
      <w:r w:rsidRPr="000E39AA">
        <w:rPr>
          <w:rFonts w:ascii="Arial" w:hAnsi="Arial" w:cs="Arial"/>
        </w:rPr>
        <w:fldChar w:fldCharType="begin" w:fldLock="1"/>
      </w:r>
      <w:r w:rsidR="000D250C">
        <w:rPr>
          <w:rFonts w:ascii="Arial" w:hAnsi="Arial" w:cs="Arial"/>
        </w:rPr>
        <w:instrText>ADDIN CSL_CITATION {"citationItems":[{"id":"ITEM-1","itemData":{"DOI":"10.3390/ijms20236047","ISSN":"14220067","PMID":"31801267","abstract":"The skeletal system is the third most common site for cancer metastases, surpassed only by the lungs and liver. Many tumors, especially those of the breast, prostate, lungs, and kidneys, have a strong predilection to metastasize to bone, which causes pain, hypercalcemia, pathological skeletal fractures, compression of the spinal cord or other nervous structures, decreased mobility, and increased mortality. Metastatic cancer-induced bone pain (CIBP) is a type of chronic pain with unique and complex pathophysiology characterized by nociceptive and neuropathic components. Its treatment should be multimodal (pharmacological and non-pharmacological), including causal anticancer and symptomatic analgesic treatment to improve quality of life (QoL). The aim of this paper is to discuss the mechanisms involved in the occurrence and persistence of cancer-associated bone pain and to review the treatment methods recommended by experts in clinical practice. The final part of the paper reviews experimental therapeutic methods that are currently being studied and that may improve the efficacy of bone pain treatment in cancer patients in the future.","author":[{"dropping-particle":"","family":"Zajączkowska","given":"Renata","non-dropping-particle":"","parse-names":false,"suffix":""},{"dropping-particle":"","family":"Kocot-Kępska","given":"Magdalena","non-dropping-particle":"","parse-names":false,"suffix":""},{"dropping-particle":"","family":"Leppert","given":"Wojciech","non-dropping-particle":"","parse-names":false,"suffix":""},{"dropping-particle":"","family":"Wordliczek","given":"Jerzy","non-dropping-particle":"","parse-names":false,"suffix":""}],"container-title":"International Journal of Molecular Sciences","id":"ITEM-1","issue":"23","issued":{"date-parts":[["2019"]]},"page":"65-75","title":"Bone pain in cancer patients: Mechanisms and current treatment","type":"article-journal","volume":"20"},"uris":["http://www.mendeley.com/documents/?uuid=04957f85-87f3-42f9-8ada-3f266dfd66cd"]},{"id":"ITEM-2","itemData":{"DOI":"10.1016/j.coph.2016.02.007","ISSN":"14714973","PMID":"26940053","abstract":"Skeletal conditions are common causes of chronic pain and there is an unmet medical need for improved treatment options. Bone pain is currently managed with disease modifying agents and/or analgesics depending on the condition. Disease modifying agents affect the underlying pathophysiology of the disease and reduce as a secondary effect bone pain. Antiresorptive and anabolic agents, such as bisphosphonates and intermittent parathyroid hormone (1-34), respectively, have proven effective as pain relieving agents. Cathepsin K inhibitors and anti-sclerostin antibodies hold, due to their disease modifying effects, promise of a pain relieving effect. NSAIDs and opioids are widely employed in the treatment of bone pain. However, recent preclinical findings demonstrating a unique neuronal innervation of bone tissue and sprouting of sensory nerve fibers open for new treatment possibilities.","author":[{"dropping-particle":"","family":"Frost","given":"Charlotte Ørsted","non-dropping-particle":"","parse-names":false,"suffix":""},{"dropping-particle":"","family":"Hansen","given":"Rikke Rie","non-dropping-particle":"","parse-names":false,"suffix":""},{"dropping-particle":"","family":"Heegaard","given":"Anne Marie","non-dropping-particle":"","parse-names":false,"suffix":""}],"container-title":"Current Opinion in Pharmacology","id":"ITEM-2","issued":{"date-parts":[["2016"]]},"page":"31-37","publisher":"Elsevier Ltd","title":"Bone pain: Current and future treatments","type":"article-journal","volume":"28"},"uris":["http://www.mendeley.com/documents/?uuid=e77a983e-e4e4-441a-8d7f-302b295beea6"]},{"id":"ITEM-3","itemData":{"DOI":"10.1100/2012/606404","ISSN":"1537744X","PMID":"22272177","abstract":"Nonsteroidal anti-inflammatory drugs (NSAIDs) play an essential part in our approach to control pain in the posttraumatic setting. Over the last decades, several studies suggested that NSAIDs interfere with bone healing while others contradict these findings. Although their analgesic potency is well proven, clinicians remain puzzled over the potential safety issues. We have systematically reviewed the available literature, analyzing and presenting the available in vitro animal and clinical studies on this field. Our comprehensive review reveals the great diversity of the presented data in all groups of studies. Animal and in vitro studies present so conflicting data that even studies with identical parameters have opposing results. Basic science research defining the exact mechanism with which NSAIDs could interfere with bone cells and also the conduction of well-randomized prospective clinical trials are warranted. In the absence of robust clinical or scientific evidence, clinicians should treat NSAIDs as a risk factor for bone healing impairment, and their administration should be avoided in high-risk patients. Copyright 2012 Ippokratis Pountos et al.","author":[{"dropping-particle":"","family":"Pountos","given":"Ippokratis","non-dropping-particle":"","parse-names":false,"suffix":""},{"dropping-particle":"","family":"Georgouli","given":"Theodora","non-dropping-particle":"","parse-names":false,"suffix":""},{"dropping-particle":"","family":"Calori","given":"Giorgio M.","non-dropping-particle":"","parse-names":false,"suffix":""},{"dropping-particle":"V.","family":"Giannoudis","given":"Peter","non-dropping-particle":"","parse-names":false,"suffix":""}],"container-title":"TheScientificWorldJournal","id":"ITEM-3","issued":{"date-parts":[["2012"]]},"title":"Do nonsteroidal anti-inflammatory drugs affect bone healing? A critical analysis","type":"article-journal","volume":"2012"},"uris":["http://www.mendeley.com/documents/?uuid=485baec1-7a7a-43fc-8055-a225099ce4c0"]}],"mendeley":{"formattedCitation":"[3, 5, 35]","plainTextFormattedCitation":"[3, 5, 35]","previouslyFormattedCitation":"[3, 5, 35]"},"properties":{"noteIndex":0},"schema":"https://github.com/citation-style-language/schema/raw/master/csl-citation.json"}</w:instrText>
      </w:r>
      <w:r w:rsidRPr="000E39AA">
        <w:rPr>
          <w:rFonts w:ascii="Arial" w:hAnsi="Arial" w:cs="Arial"/>
        </w:rPr>
        <w:fldChar w:fldCharType="separate"/>
      </w:r>
      <w:r w:rsidR="00BC139B" w:rsidRPr="00BC139B">
        <w:rPr>
          <w:rFonts w:ascii="Arial" w:hAnsi="Arial" w:cs="Arial"/>
          <w:noProof/>
        </w:rPr>
        <w:t>[3, 5, 35]</w:t>
      </w:r>
      <w:r w:rsidRPr="000E39AA">
        <w:rPr>
          <w:rFonts w:ascii="Arial" w:hAnsi="Arial" w:cs="Arial"/>
        </w:rPr>
        <w:fldChar w:fldCharType="end"/>
      </w:r>
      <w:r w:rsidRPr="000E39AA">
        <w:rPr>
          <w:rFonts w:ascii="Arial" w:hAnsi="Arial" w:cs="Arial"/>
        </w:rPr>
        <w:t xml:space="preserve">. Following NSAIDs therapies moderate or severe pain was reduced to mild pain after 2 weeks in 51% of patients [5]. Nevertheless, long-term treatments with NSAIDs can have significant detrimental effects on skeletal health as a consequence of inhibition of osteoblast growth due to cell cycle arrest and apoptosis induction </w:t>
      </w:r>
      <w:r w:rsidRPr="000E39AA">
        <w:rPr>
          <w:rFonts w:ascii="Arial" w:hAnsi="Arial" w:cs="Arial"/>
        </w:rPr>
        <w:fldChar w:fldCharType="begin" w:fldLock="1"/>
      </w:r>
      <w:r w:rsidR="000D250C">
        <w:rPr>
          <w:rFonts w:ascii="Arial" w:hAnsi="Arial" w:cs="Arial"/>
        </w:rPr>
        <w:instrText>ADDIN CSL_CITATION {"citationItems":[{"id":"ITEM-1","itemData":{"DOI":"10.1097/oi9.0000000000000092","ISBN":"0000000000000","abstract":"Objectives: \n\nTo determine whether nonsteroidal anti-inflammatory drugs (NSAIDs) have an adverse effect on bone healing by evaluating all available human randomized controlled trials (RCTs) on this subject.\n\nData Sources:\n\nA comprehensive search of electronic databases (PubMed, MEDLINE, and Cross-References) until October 2018 comparing the occurrence of nonunion in patients who received NSAIDs to the control group through RCTs.\n\nStudy Selection:\n\nInclusion criteria were English-only studies, and the type of studies was restricted to RCTs.\n\nData Extraction:\n\nTwo authors independently extracted data from the selected studies, and the data collected were compared to verify agreement.\n\nData Synthesis:\n\nNonunion was the main outcome evaluated in each study. Regression analysis was used to estimate the relative risk comparing the duration and the type of NSAIDs by calculating the odds ratio (OR) for dichotomous variables. Studies were weighed by the inverse of the variance of the outcome, and a fixed-effects model was used for all analyses.\n\nConclusions:\n\nSix RCTs (609 patients) were included. The risk of nonunion was higher in the patients who were given NSAIDs after the fracture with an OR of 3.47. However, once the studies were categorized into the duration of treatment with NSAIDs, those who received NSAIDs for a short period (&lt;2 weeks) did not show any significant risk of nonunion compared to those who received NSAIDs for a long period (&gt;4 weeks). Indomethacin was associated with a significant higher nonunion rate and OR ranging from 1.66 to 9.03 compared with other NSAIDs that did not show a significant nonunion risk.","author":[{"dropping-particle":"","family":"Farii","given":"Humaid","non-dropping-particle":"Al","parse-names":false,"suffix":""},{"dropping-particle":"","family":"Farahdel","given":"Leila","non-dropping-particle":"","parse-names":false,"suffix":""},{"dropping-particle":"","family":"Frazer","given":"Abbey","non-dropping-particle":"","parse-names":false,"suffix":""},{"dropping-particle":"","family":"Salimi","given":"Ali","non-dropping-particle":"","parse-names":false,"suffix":""},{"dropping-particle":"","family":"Bernstein","given":"Mitchell","non-dropping-particle":"","parse-names":false,"suffix":""}],"container-title":"OTA International: The Open Access Journal of Orthopaedic Trauma","id":"ITEM-1","issue":"2","issued":{"date-parts":[["2021"]]},"page":"e092","title":"The effect of NSAIDs on postfracture bone healing: a meta-analysis of randomized controlled trials","type":"article-journal","volume":"4"},"uris":["http://www.mendeley.com/documents/?uuid=da79a6ff-cb54-4e79-be5e-7016e5704e43"]},{"id":"ITEM-2","itemData":{"DOI":"10.1016/j.coph.2016.02.007","ISSN":"14714973","PMID":"26940053","abstract":"Skeletal conditions are common causes of chronic pain and there is an unmet medical need for improved treatment options. Bone pain is currently managed with disease modifying agents and/or analgesics depending on the condition. Disease modifying agents affect the underlying pathophysiology of the disease and reduce as a secondary effect bone pain. Antiresorptive and anabolic agents, such as bisphosphonates and intermittent parathyroid hormone (1-34), respectively, have proven effective as pain relieving agents. Cathepsin K inhibitors and anti-sclerostin antibodies hold, due to their disease modifying effects, promise of a pain relieving effect. NSAIDs and opioids are widely employed in the treatment of bone pain. However, recent preclinical findings demonstrating a unique neuronal innervation of bone tissue and sprouting of sensory nerve fibers open for new treatment possibilities.","author":[{"dropping-particle":"","family":"Frost","given":"Charlotte Ørsted","non-dropping-particle":"","parse-names":false,"suffix":""},{"dropping-particle":"","family":"Hansen","given":"Rikke Rie","non-dropping-particle":"","parse-names":false,"suffix":""},{"dropping-particle":"","family":"Heegaard","given":"Anne Marie","non-dropping-particle":"","parse-names":false,"suffix":""}],"container-title":"Current Opinion in Pharmacology","id":"ITEM-2","issued":{"date-parts":[["2016"]]},"page":"31-37","publisher":"Elsevier Ltd","title":"Bone pain: Current and future treatments","type":"article-journal","volume":"28"},"uris":["http://www.mendeley.com/documents/?uuid=e77a983e-e4e4-441a-8d7f-302b295beea6"]}],"mendeley":{"formattedCitation":"[3, 36]","plainTextFormattedCitation":"[3, 36]","previouslyFormattedCitation":"[3, 36]"},"properties":{"noteIndex":0},"schema":"https://github.com/citation-style-language/schema/raw/master/csl-citation.json"}</w:instrText>
      </w:r>
      <w:r w:rsidRPr="000E39AA">
        <w:rPr>
          <w:rFonts w:ascii="Arial" w:hAnsi="Arial" w:cs="Arial"/>
        </w:rPr>
        <w:fldChar w:fldCharType="separate"/>
      </w:r>
      <w:r w:rsidR="00BC139B" w:rsidRPr="00BC139B">
        <w:rPr>
          <w:rFonts w:ascii="Arial" w:hAnsi="Arial" w:cs="Arial"/>
          <w:noProof/>
        </w:rPr>
        <w:t>[3, 36]</w:t>
      </w:r>
      <w:r w:rsidRPr="000E39AA">
        <w:rPr>
          <w:rFonts w:ascii="Arial" w:hAnsi="Arial" w:cs="Arial"/>
        </w:rPr>
        <w:fldChar w:fldCharType="end"/>
      </w:r>
      <w:r w:rsidRPr="000E39AA">
        <w:rPr>
          <w:rFonts w:ascii="Arial" w:hAnsi="Arial" w:cs="Arial"/>
        </w:rPr>
        <w:t>.</w:t>
      </w:r>
    </w:p>
    <w:p w14:paraId="522FA18C" w14:textId="241ED842" w:rsidR="00F03759" w:rsidRPr="000E39AA" w:rsidRDefault="00F03759" w:rsidP="00F03759">
      <w:pPr>
        <w:autoSpaceDE w:val="0"/>
        <w:autoSpaceDN w:val="0"/>
        <w:adjustRightInd w:val="0"/>
        <w:spacing w:after="0" w:line="276" w:lineRule="auto"/>
        <w:jc w:val="both"/>
        <w:rPr>
          <w:rFonts w:ascii="Arial" w:hAnsi="Arial" w:cs="Arial"/>
        </w:rPr>
      </w:pPr>
      <w:r w:rsidRPr="000E39AA">
        <w:rPr>
          <w:rFonts w:ascii="Arial" w:hAnsi="Arial" w:cs="Arial"/>
          <w:i/>
        </w:rPr>
        <w:t>Corticosteroids</w:t>
      </w:r>
      <w:r w:rsidR="00504BF1">
        <w:rPr>
          <w:rFonts w:ascii="Arial" w:hAnsi="Arial" w:cs="Arial"/>
        </w:rPr>
        <w:t>.</w:t>
      </w:r>
      <w:r w:rsidRPr="000E39AA">
        <w:rPr>
          <w:rFonts w:ascii="Arial" w:hAnsi="Arial" w:cs="Arial"/>
        </w:rPr>
        <w:t xml:space="preserve"> Dexamethasone (</w:t>
      </w:r>
      <w:proofErr w:type="spellStart"/>
      <w:r w:rsidRPr="000E39AA">
        <w:rPr>
          <w:rFonts w:ascii="Arial" w:hAnsi="Arial" w:cs="Arial"/>
        </w:rPr>
        <w:t>Dex</w:t>
      </w:r>
      <w:proofErr w:type="spellEnd"/>
      <w:r w:rsidRPr="000E39AA">
        <w:rPr>
          <w:rFonts w:ascii="Arial" w:hAnsi="Arial" w:cs="Arial"/>
        </w:rPr>
        <w:t xml:space="preserve">) has been routinely used for the management of metastatic bone pain, neuropathic pain from infiltration or compression of neural structures </w:t>
      </w:r>
      <w:r w:rsidRPr="000E39AA">
        <w:rPr>
          <w:rFonts w:ascii="Arial" w:hAnsi="Arial" w:cs="Arial"/>
        </w:rPr>
        <w:fldChar w:fldCharType="begin" w:fldLock="1"/>
      </w:r>
      <w:r w:rsidR="000D250C">
        <w:rPr>
          <w:rFonts w:ascii="Arial" w:hAnsi="Arial" w:cs="Arial"/>
        </w:rPr>
        <w:instrText>ADDIN CSL_CITATION {"citationItems":[{"id":"ITEM-1","itemData":{"DOI":"10.1016/0885-3924(94)90200-3","ISSN":"08853924","PMID":"7822883","abstract":"Corticosteroids have multiple effects as adjuvant drugs in pain management. Their pharmacologic characteristics will be described. Studies documenting the efficacy of corticosteroids for different pain syndromes and other cancer-related symptoms will be reviewed. Practical guidelines will be given and directions for future research suggested. © 1994.","author":[{"dropping-particle":"","family":"Watanabe","given":"Sharon","non-dropping-particle":"","parse-names":false,"suffix":""},{"dropping-particle":"","family":"Bruera","given":"Eduardo","non-dropping-particle":"","parse-names":false,"suffix":""}],"container-title":"Journal of Pain and Symptom Management","id":"ITEM-1","issue":"7","issued":{"date-parts":[["1994"]]},"page":"442-445","title":"Corticosteroids as adjuvant analgesics","type":"article-journal","volume":"9"},"uris":["http://www.mendeley.com/documents/?uuid=33cc3738-fed8-45ef-96c1-eb1569e395e8"]},{"id":"ITEM-2","itemData":{"DOI":"10.3390/ijms20236047","ISSN":"14220067","PMID":"31801267","abstract":"The skeletal system is the third most common site for cancer metastases, surpassed only by the lungs and liver. Many tumors, especially those of the breast, prostate, lungs, and kidneys, have a strong predilection to metastasize to bone, which causes pain, hypercalcemia, pathological skeletal fractures, compression of the spinal cord or other nervous structures, decreased mobility, and increased mortality. Metastatic cancer-induced bone pain (CIBP) is a type of chronic pain with unique and complex pathophysiology characterized by nociceptive and neuropathic components. Its treatment should be multimodal (pharmacological and non-pharmacological), including causal anticancer and symptomatic analgesic treatment to improve quality of life (QoL). The aim of this paper is to discuss the mechanisms involved in the occurrence and persistence of cancer-associated bone pain and to review the treatment methods recommended by experts in clinical practice. The final part of the paper reviews experimental therapeutic methods that are currently being studied and that may improve the efficacy of bone pain treatment in cancer patients in the future.","author":[{"dropping-particle":"","family":"Zajączkowska","given":"Renata","non-dropping-particle":"","parse-names":false,"suffix":""},{"dropping-particle":"","family":"Kocot-Kępska","given":"Magdalena","non-dropping-particle":"","parse-names":false,"suffix":""},{"dropping-particle":"","family":"Leppert","given":"Wojciech","non-dropping-particle":"","parse-names":false,"suffix":""},{"dropping-particle":"","family":"Wordliczek","given":"Jerzy","non-dropping-particle":"","parse-names":false,"suffix":""}],"container-title":"International Journal of Molecular Sciences","id":"ITEM-2","issue":"23","issued":{"date-parts":[["2019"]]},"page":"65-75","title":"Bone pain in cancer patients: Mechanisms and current treatment","type":"article-journal","volume":"20"},"uris":["http://www.mendeley.com/documents/?uuid=04957f85-87f3-42f9-8ada-3f266dfd66cd"]}],"mendeley":{"formattedCitation":"[5, 37]","plainTextFormattedCitation":"[5, 37]","previouslyFormattedCitation":"[5, 37]"},"properties":{"noteIndex":0},"schema":"https://github.com/citation-style-language/schema/raw/master/csl-citation.json"}</w:instrText>
      </w:r>
      <w:r w:rsidRPr="000E39AA">
        <w:rPr>
          <w:rFonts w:ascii="Arial" w:hAnsi="Arial" w:cs="Arial"/>
        </w:rPr>
        <w:fldChar w:fldCharType="separate"/>
      </w:r>
      <w:r w:rsidR="00BC139B" w:rsidRPr="00BC139B">
        <w:rPr>
          <w:rFonts w:ascii="Arial" w:hAnsi="Arial" w:cs="Arial"/>
          <w:noProof/>
        </w:rPr>
        <w:t>[5, 37]</w:t>
      </w:r>
      <w:r w:rsidRPr="000E39AA">
        <w:rPr>
          <w:rFonts w:ascii="Arial" w:hAnsi="Arial" w:cs="Arial"/>
        </w:rPr>
        <w:fldChar w:fldCharType="end"/>
      </w:r>
      <w:r w:rsidRPr="000E39AA">
        <w:rPr>
          <w:rFonts w:ascii="Arial" w:hAnsi="Arial" w:cs="Arial"/>
        </w:rPr>
        <w:t xml:space="preserve">. Corticosteroids exert potent anti-inflammatory effects and can directly decrease the </w:t>
      </w:r>
      <w:r w:rsidR="00531CBF">
        <w:rPr>
          <w:rFonts w:ascii="Arial" w:hAnsi="Arial" w:cs="Arial"/>
        </w:rPr>
        <w:t>impaired</w:t>
      </w:r>
      <w:r w:rsidRPr="000E39AA">
        <w:rPr>
          <w:rFonts w:ascii="Arial" w:hAnsi="Arial" w:cs="Arial"/>
        </w:rPr>
        <w:t xml:space="preserve"> electrical activity of damaged peripheral neurons, decreasing the intensity of pain </w:t>
      </w:r>
      <w:r w:rsidRPr="000E39AA">
        <w:rPr>
          <w:rFonts w:ascii="Arial" w:hAnsi="Arial" w:cs="Arial"/>
        </w:rPr>
        <w:fldChar w:fldCharType="begin" w:fldLock="1"/>
      </w:r>
      <w:r w:rsidR="000D250C">
        <w:rPr>
          <w:rFonts w:ascii="Arial" w:hAnsi="Arial" w:cs="Arial"/>
        </w:rPr>
        <w:instrText>ADDIN CSL_CITATION {"citationItems":[{"id":"ITEM-1","itemData":{"DOI":"10.1016/j.psyneuen.2009.06.004","ISSN":"1873-3360 (Electronic)","PMID":"19577851","abstract":"Neurotransmitters such as glutamate, substance P, serotonin and gamma-aminobutyric  acid pivotally control pain mechanisms. It is also well known that inflammatory and/or neuropathic pain may depend on the action of diverse cytokines and other molecules including eicosanoids, endorphins, calcitonin-gene related peptide, free radicals and transcription factors. Because steroids control the development, activities and plasticity of the nervous system, these compounds are of particular interest in the modulation of pain. The paper discusses various data supporting the existence of key regulatory effects of steroids in the control of pain. In particular, we analyzed three categories of observations which historically contributed to demonstrate that endogenous and synthetic steroids play a crucial role in the regulation of neurobiological processes involved in pain sensation. The first series of data, which present the chemical characteristics enabling steroids to act on several tissues, also summarize pertinent results supporting the modulation of pain sensation by steroidal compounds. The second category of data evokes psychosocial, fundamental and clinical results suggesting the existence of sex steroid-based differences in pain perception. Finally, we discuss recent evidence showing the endogenous production of neurosteroids and their effects in the spinal cord which crucially controls pain transmission. Taken together, the data reviewed herein suggest that future investigations aiming to develop effective steroid-based strategies against chronic pain must integrate in a complementary manner anti-inflammatory properties of steroids, sex steroid-induced dimorphism in pain perception and regulatory effects exerted by endogenous neurosteroids in pain neural circuits.","author":[{"dropping-particle":"","family":"Mensah-Nyagan","given":"Ayikoe G","non-dropping-particle":"","parse-names":false,"suffix":""},{"dropping-particle":"","family":"Meyer","given":"Laurence","non-dropping-particle":"","parse-names":false,"suffix":""},{"dropping-particle":"","family":"Schaeffer","given":"Véronique","non-dropping-particle":"","parse-names":false,"suffix":""},{"dropping-particle":"","family":"Kibaly","given":"Cherkaouia","non-dropping-particle":"","parse-names":false,"suffix":""},{"dropping-particle":"","family":"Patte-Mensah","given":"Christine","non-dropping-particle":"","parse-names":false,"suffix":""}],"container-title":"Psychoneuroendocrinology","id":"ITEM-1","issued":{"date-parts":[["2009","12"]]},"language":"eng","page":"S169-77","publisher-place":"England","title":"Evidence for a key role of steroids in the modulation of pain.","type":"article-journal","volume":"34 Suppl 1"},"uris":["http://www.mendeley.com/documents/?uuid=a3c188c3-1354-4f0d-9174-d3bf92ddf3d8"]}],"mendeley":{"formattedCitation":"[38]","plainTextFormattedCitation":"[38]","previouslyFormattedCitation":"[38]"},"properties":{"noteIndex":0},"schema":"https://github.com/citation-style-language/schema/raw/master/csl-citation.json"}</w:instrText>
      </w:r>
      <w:r w:rsidRPr="000E39AA">
        <w:rPr>
          <w:rFonts w:ascii="Arial" w:hAnsi="Arial" w:cs="Arial"/>
        </w:rPr>
        <w:fldChar w:fldCharType="separate"/>
      </w:r>
      <w:r w:rsidR="00BC139B" w:rsidRPr="00BC139B">
        <w:rPr>
          <w:rFonts w:ascii="Arial" w:hAnsi="Arial" w:cs="Arial"/>
          <w:noProof/>
        </w:rPr>
        <w:t>[38]</w:t>
      </w:r>
      <w:r w:rsidRPr="000E39AA">
        <w:rPr>
          <w:rFonts w:ascii="Arial" w:hAnsi="Arial" w:cs="Arial"/>
        </w:rPr>
        <w:fldChar w:fldCharType="end"/>
      </w:r>
      <w:r w:rsidRPr="000E39AA">
        <w:rPr>
          <w:rFonts w:ascii="Arial" w:hAnsi="Arial" w:cs="Arial"/>
        </w:rPr>
        <w:t>. However</w:t>
      </w:r>
      <w:r w:rsidR="00B760CB">
        <w:rPr>
          <w:rFonts w:ascii="Arial" w:hAnsi="Arial" w:cs="Arial"/>
        </w:rPr>
        <w:t>,</w:t>
      </w:r>
      <w:r w:rsidRPr="000E39AA">
        <w:rPr>
          <w:rFonts w:ascii="Arial" w:hAnsi="Arial" w:cs="Arial"/>
        </w:rPr>
        <w:t xml:space="preserve"> there remains a paucity of data on the efficacy of corticosteroids and current therapies are typically administered over limited time frames </w:t>
      </w:r>
      <w:r w:rsidRPr="000E39AA">
        <w:rPr>
          <w:rFonts w:ascii="Arial" w:hAnsi="Arial" w:cs="Arial"/>
        </w:rPr>
        <w:fldChar w:fldCharType="begin" w:fldLock="1"/>
      </w:r>
      <w:r w:rsidR="000D250C">
        <w:rPr>
          <w:rFonts w:ascii="Arial" w:hAnsi="Arial" w:cs="Arial"/>
        </w:rPr>
        <w:instrText>ADDIN CSL_CITATION {"citationItems":[{"id":"ITEM-1","itemData":{"DOI":"10.3390/ijms20236047","ISSN":"14220067","PMID":"31801267","abstract":"The skeletal system is the third most common site for cancer metastases, surpassed only by the lungs and liver. Many tumors, especially those of the breast, prostate, lungs, and kidneys, have a strong predilection to metastasize to bone, which causes pain, hypercalcemia, pathological skeletal fractures, compression of the spinal cord or other nervous structures, decreased mobility, and increased mortality. Metastatic cancer-induced bone pain (CIBP) is a type of chronic pain with unique and complex pathophysiology characterized by nociceptive and neuropathic components. Its treatment should be multimodal (pharmacological and non-pharmacological), including causal anticancer and symptomatic analgesic treatment to improve quality of life (QoL). The aim of this paper is to discuss the mechanisms involved in the occurrence and persistence of cancer-associated bone pain and to review the treatment methods recommended by experts in clinical practice. The final part of the paper reviews experimental therapeutic methods that are currently being studied and that may improve the efficacy of bone pain treatment in cancer patients in the future.","author":[{"dropping-particle":"","family":"Zajączkowska","given":"Renata","non-dropping-particle":"","parse-names":false,"suffix":""},{"dropping-particle":"","family":"Kocot-Kępska","given":"Magdalena","non-dropping-particle":"","parse-names":false,"suffix":""},{"dropping-particle":"","family":"Leppert","given":"Wojciech","non-dropping-particle":"","parse-names":false,"suffix":""},{"dropping-particle":"","family":"Wordliczek","given":"Jerzy","non-dropping-particle":"","parse-names":false,"suffix":""}],"container-title":"International Journal of Molecular Sciences","id":"ITEM-1","issue":"23","issued":{"date-parts":[["2019"]]},"page":"65-75","title":"Bone pain in cancer patients: Mechanisms and current treatment","type":"article-journal","volume":"20"},"uris":["http://www.mendeley.com/documents/?uuid=04957f85-87f3-42f9-8ada-3f266dfd66cd"]}],"mendeley":{"formattedCitation":"[5]","plainTextFormattedCitation":"[5]","previouslyFormattedCitation":"[5]"},"properties":{"noteIndex":0},"schema":"https://github.com/citation-style-language/schema/raw/master/csl-citation.json"}</w:instrText>
      </w:r>
      <w:r w:rsidRPr="000E39AA">
        <w:rPr>
          <w:rFonts w:ascii="Arial" w:hAnsi="Arial" w:cs="Arial"/>
        </w:rPr>
        <w:fldChar w:fldCharType="separate"/>
      </w:r>
      <w:r w:rsidR="00BC139B" w:rsidRPr="00BC139B">
        <w:rPr>
          <w:rFonts w:ascii="Arial" w:hAnsi="Arial" w:cs="Arial"/>
          <w:noProof/>
        </w:rPr>
        <w:t>[5]</w:t>
      </w:r>
      <w:r w:rsidRPr="000E39AA">
        <w:rPr>
          <w:rFonts w:ascii="Arial" w:hAnsi="Arial" w:cs="Arial"/>
        </w:rPr>
        <w:fldChar w:fldCharType="end"/>
      </w:r>
      <w:r w:rsidRPr="000E39AA">
        <w:rPr>
          <w:rFonts w:ascii="Arial" w:hAnsi="Arial" w:cs="Arial"/>
        </w:rPr>
        <w:t xml:space="preserve">. </w:t>
      </w:r>
    </w:p>
    <w:p w14:paraId="08555526" w14:textId="2B91B3F8" w:rsidR="00F03759" w:rsidRPr="000E39AA" w:rsidRDefault="00F03759" w:rsidP="00F03759">
      <w:pPr>
        <w:autoSpaceDE w:val="0"/>
        <w:autoSpaceDN w:val="0"/>
        <w:adjustRightInd w:val="0"/>
        <w:spacing w:after="0" w:line="276" w:lineRule="auto"/>
        <w:jc w:val="both"/>
        <w:rPr>
          <w:rFonts w:ascii="Arial" w:hAnsi="Arial" w:cs="Arial"/>
        </w:rPr>
      </w:pPr>
      <w:r w:rsidRPr="000E39AA">
        <w:rPr>
          <w:rFonts w:ascii="Arial" w:hAnsi="Arial" w:cs="Arial"/>
        </w:rPr>
        <w:t xml:space="preserve">The complexity of the pain mechanism and the plethora of unsuccessful therapeutic approaches together with varied </w:t>
      </w:r>
      <w:r w:rsidR="00A31F9D" w:rsidRPr="000E39AA">
        <w:rPr>
          <w:rFonts w:ascii="Arial" w:hAnsi="Arial" w:cs="Arial"/>
        </w:rPr>
        <w:t>and</w:t>
      </w:r>
      <w:r w:rsidRPr="000E39AA">
        <w:rPr>
          <w:rFonts w:ascii="Arial" w:hAnsi="Arial" w:cs="Arial"/>
        </w:rPr>
        <w:t xml:space="preserve"> often patient subjective response to pain, necessitate new modelling and evaluation platforms. Development of appropriate modelling platforms offer new avenues to evaluate the safety and efficacy of novel drugs that, could improve patient quality of life.</w:t>
      </w:r>
    </w:p>
    <w:p w14:paraId="2256E064" w14:textId="77777777" w:rsidR="00F03759" w:rsidRPr="000E39AA" w:rsidRDefault="00F03759" w:rsidP="00F03759">
      <w:pPr>
        <w:autoSpaceDE w:val="0"/>
        <w:autoSpaceDN w:val="0"/>
        <w:adjustRightInd w:val="0"/>
        <w:spacing w:after="0" w:line="276" w:lineRule="auto"/>
        <w:jc w:val="both"/>
        <w:rPr>
          <w:rFonts w:ascii="Arial" w:hAnsi="Arial" w:cs="Arial"/>
        </w:rPr>
      </w:pPr>
    </w:p>
    <w:p w14:paraId="79EB156C" w14:textId="77777777" w:rsidR="00F03759" w:rsidRPr="000E39AA" w:rsidRDefault="00F03759" w:rsidP="007478CE">
      <w:pPr>
        <w:pStyle w:val="Heading2"/>
      </w:pPr>
      <w:bookmarkStart w:id="28" w:name="_Toc98841741"/>
      <w:bookmarkStart w:id="29" w:name="_Toc96964241"/>
      <w:bookmarkStart w:id="30" w:name="_Toc96964313"/>
      <w:bookmarkStart w:id="31" w:name="_Toc96964353"/>
      <w:bookmarkStart w:id="32" w:name="_Toc96964242"/>
      <w:bookmarkStart w:id="33" w:name="_Toc96964314"/>
      <w:bookmarkStart w:id="34" w:name="_Toc96964354"/>
      <w:bookmarkStart w:id="35" w:name="_Toc96964243"/>
      <w:bookmarkStart w:id="36" w:name="_Toc96964315"/>
      <w:bookmarkStart w:id="37" w:name="_Toc96964355"/>
      <w:bookmarkStart w:id="38" w:name="_Toc96964250"/>
      <w:bookmarkStart w:id="39" w:name="_Toc96964322"/>
      <w:bookmarkStart w:id="40" w:name="_Toc96964362"/>
      <w:bookmarkStart w:id="41" w:name="_Toc98937868"/>
      <w:bookmarkStart w:id="42" w:name="_Hlk92636523"/>
      <w:bookmarkEnd w:id="27"/>
      <w:bookmarkEnd w:id="28"/>
      <w:bookmarkEnd w:id="29"/>
      <w:bookmarkEnd w:id="30"/>
      <w:bookmarkEnd w:id="31"/>
      <w:bookmarkEnd w:id="32"/>
      <w:bookmarkEnd w:id="33"/>
      <w:bookmarkEnd w:id="34"/>
      <w:bookmarkEnd w:id="35"/>
      <w:bookmarkEnd w:id="36"/>
      <w:bookmarkEnd w:id="37"/>
      <w:bookmarkEnd w:id="38"/>
      <w:bookmarkEnd w:id="39"/>
      <w:bookmarkEnd w:id="40"/>
      <w:r w:rsidRPr="000E39AA">
        <w:t>Tissue engineering models</w:t>
      </w:r>
      <w:bookmarkEnd w:id="41"/>
    </w:p>
    <w:p w14:paraId="4AA1B9CF" w14:textId="28DAC332" w:rsidR="00F03759" w:rsidRPr="000E39AA" w:rsidRDefault="00F03759" w:rsidP="00F03759">
      <w:pPr>
        <w:pStyle w:val="NormalWeb"/>
        <w:spacing w:before="80" w:beforeAutospacing="0" w:after="80" w:afterAutospacing="0" w:line="276" w:lineRule="auto"/>
        <w:jc w:val="both"/>
        <w:rPr>
          <w:rFonts w:ascii="Arial" w:hAnsi="Arial" w:cs="Arial"/>
          <w:sz w:val="22"/>
          <w:szCs w:val="22"/>
        </w:rPr>
      </w:pPr>
      <w:r w:rsidRPr="000E39AA">
        <w:rPr>
          <w:rFonts w:ascii="Arial" w:hAnsi="Arial" w:cs="Arial"/>
          <w:sz w:val="22"/>
          <w:szCs w:val="22"/>
        </w:rPr>
        <w:t>Tissue engineering (TE) seeks to harness cells, engineering, materials together with biochemical and physico</w:t>
      </w:r>
      <w:r w:rsidR="00A26DB9">
        <w:rPr>
          <w:rFonts w:ascii="Arial" w:hAnsi="Arial" w:cs="Arial"/>
          <w:sz w:val="22"/>
          <w:szCs w:val="22"/>
        </w:rPr>
        <w:t>-</w:t>
      </w:r>
      <w:r w:rsidRPr="000E39AA">
        <w:rPr>
          <w:rFonts w:ascii="Arial" w:hAnsi="Arial" w:cs="Arial"/>
          <w:sz w:val="22"/>
          <w:szCs w:val="22"/>
        </w:rPr>
        <w:t xml:space="preserve">chemical cues to restore, maintain, improve, or replace tissues of interest. Cells in combination with 3D scaffolds offer a physiologically relevant environment to examine  cell fate, tissue maturation, or </w:t>
      </w:r>
      <w:r w:rsidRPr="000E39AA">
        <w:rPr>
          <w:rFonts w:ascii="Arial" w:hAnsi="Arial" w:cs="Arial"/>
          <w:i/>
          <w:iCs/>
          <w:sz w:val="22"/>
          <w:szCs w:val="22"/>
        </w:rPr>
        <w:t>in situ</w:t>
      </w:r>
      <w:r w:rsidRPr="000E39AA">
        <w:rPr>
          <w:rFonts w:ascii="Arial" w:hAnsi="Arial" w:cs="Arial"/>
          <w:sz w:val="22"/>
          <w:szCs w:val="22"/>
        </w:rPr>
        <w:t xml:space="preserve"> regeneration as well as drug screening </w:t>
      </w:r>
      <w:r w:rsidRPr="000E39AA">
        <w:rPr>
          <w:rFonts w:ascii="Arial" w:hAnsi="Arial" w:cs="Arial"/>
          <w:i/>
          <w:sz w:val="22"/>
          <w:szCs w:val="22"/>
        </w:rPr>
        <w:t xml:space="preserve">in vitro, ex vivo </w:t>
      </w:r>
      <w:r w:rsidRPr="000E39AA">
        <w:rPr>
          <w:rFonts w:ascii="Arial" w:hAnsi="Arial" w:cs="Arial"/>
          <w:sz w:val="22"/>
          <w:szCs w:val="22"/>
        </w:rPr>
        <w:t>and</w:t>
      </w:r>
      <w:r w:rsidRPr="000E39AA">
        <w:rPr>
          <w:rFonts w:ascii="Arial" w:hAnsi="Arial" w:cs="Arial"/>
          <w:i/>
          <w:sz w:val="22"/>
          <w:szCs w:val="22"/>
        </w:rPr>
        <w:t xml:space="preserve"> in vivo</w:t>
      </w:r>
      <w:r w:rsidRPr="000E39AA">
        <w:rPr>
          <w:rFonts w:ascii="Arial" w:hAnsi="Arial" w:cs="Arial"/>
          <w:sz w:val="22"/>
          <w:szCs w:val="22"/>
        </w:rPr>
        <w:t xml:space="preserve"> </w:t>
      </w:r>
      <w:r w:rsidRPr="000E39AA">
        <w:rPr>
          <w:rFonts w:ascii="Arial" w:hAnsi="Arial" w:cs="Arial"/>
          <w:i/>
          <w:iCs/>
          <w:sz w:val="22"/>
          <w:szCs w:val="22"/>
        </w:rPr>
        <w:fldChar w:fldCharType="begin" w:fldLock="1"/>
      </w:r>
      <w:r w:rsidR="000D250C">
        <w:rPr>
          <w:rFonts w:ascii="Arial" w:hAnsi="Arial" w:cs="Arial"/>
          <w:i/>
          <w:iCs/>
          <w:sz w:val="22"/>
          <w:szCs w:val="22"/>
        </w:rPr>
        <w:instrText>ADDIN CSL_CITATION {"citationItems":[{"id":"ITEM-1","itemData":{"DOI":"10.1007/s10439-014-1022-8","ISSN":"15739686","PMID":"24809723","abstract":"In vitro tissue engineering enables the fabrication of functional tissues for tissue replacement. In addition, it allows us to build useful physiological and pathological models for mechanistic studies. However, the translation of in vitro tissue engineering into clinical therapies presents a number of technical and regulatory challenges. It is possible to circumvent the complexity of developing functional tissues in vitro by taking an in situ tissue engineering approach that uses the body as a native bioreactor to regenerate tissues. This approach harnesses the innate regenerative potential of the body and directs the appropriate cells to the site of injury. This review surveys the biomaterial-, cell-, and chemical factor-based strategies to engineer tissue in vitro and in situ. © 2014 Biomedical Engineering Society.","author":[{"dropping-particle":"","family":"Sengupta","given":"Debanti","non-dropping-particle":"","parse-names":false,"suffix":""},{"dropping-particle":"","family":"Waldman","given":"Stephen D.","non-dropping-particle":"","parse-names":false,"suffix":""},{"dropping-particle":"","family":"Li","given":"Song","non-dropping-particle":"","parse-names":false,"suffix":""}],"container-title":"Annals of Biomedical Engineering","id":"ITEM-1","issue":"7","issued":{"date-parts":[["2014"]]},"page":"1537-1545","title":"From in vitro to in situ tissue engineering","type":"article-journal","volume":"42"},"uris":["http://www.mendeley.com/documents/?uuid=8e36e1d2-b6d9-4eb3-ae44-fbb121386cb6"]},{"id":"ITEM-2","itemData":{"DOI":"10.1016/j.copbio.2016.03.014","ISSN":"18790429","PMID":"27043763","abstract":"3D printing is emerging as a powerful tool for tissue engineering by enabling 3D cell culture within complex 3D biomimetic architectures. This review discusses the prevailing 3D printing techniques and their most recent applications in building tissue constructs. The work associated with relatively well-known inkjet and extrusion-based bioprinting is presented with the latest advances in the fields. Emphasis is put on introducing two relatively new light-assisted bioprinting techniques, including digital light processing (DLP)-based bioprinting and laser based two photon polymerization (TPP) bioprinting. 3D bioprinting of vasculature network is particularly discussed for its foremost significance in maintaining tissue viability and promoting functional maturation. Limitations to current bioprinting approaches, as well as future directions of bioprinting functional tissues are also discussed.","author":[{"dropping-particle":"","family":"Zhu","given":"Wei","non-dropping-particle":"","parse-names":false,"suffix":""},{"dropping-particle":"","family":"Ma","given":"Xuanyi","non-dropping-particle":"","parse-names":false,"suffix":""},{"dropping-particle":"","family":"Gou","given":"Maling","non-dropping-particle":"","parse-names":false,"suffix":""},{"dropping-particle":"","family":"Mei","given":"Deqing","non-dropping-particle":"","parse-names":false,"suffix":""},{"dropping-particle":"","family":"Zhang","given":"Kang","non-dropping-particle":"","parse-names":false,"suffix":""},{"dropping-particle":"","family":"Chen","given":"Shaochen","non-dropping-particle":"","parse-names":false,"suffix":""}],"container-title":"Current Opinion in Biotechnology","id":"ITEM-2","issued":{"date-parts":[["2016"]]},"page":"103-112","publisher":"Elsevier Ltd","title":"3D printing of functional biomaterials for tissue engineering","type":"article-journal","volume":"40"},"uris":["http://www.mendeley.com/documents/?uuid=70014f88-f902-44a3-a021-b2bf5c3816d6"]}],"mendeley":{"formattedCitation":"[39, 40]","plainTextFormattedCitation":"[39, 40]","previouslyFormattedCitation":"[39, 40]"},"properties":{"noteIndex":0},"schema":"https://github.com/citation-style-language/schema/raw/master/csl-citation.json"}</w:instrText>
      </w:r>
      <w:r w:rsidRPr="000E39AA">
        <w:rPr>
          <w:rFonts w:ascii="Arial" w:hAnsi="Arial" w:cs="Arial"/>
          <w:i/>
          <w:iCs/>
          <w:sz w:val="22"/>
          <w:szCs w:val="22"/>
        </w:rPr>
        <w:fldChar w:fldCharType="separate"/>
      </w:r>
      <w:r w:rsidR="00BC139B" w:rsidRPr="00BC139B">
        <w:rPr>
          <w:rFonts w:ascii="Arial" w:hAnsi="Arial" w:cs="Arial"/>
          <w:iCs/>
          <w:noProof/>
          <w:sz w:val="22"/>
          <w:szCs w:val="22"/>
        </w:rPr>
        <w:t>[39, 40]</w:t>
      </w:r>
      <w:r w:rsidRPr="000E39AA">
        <w:rPr>
          <w:rFonts w:ascii="Arial" w:hAnsi="Arial" w:cs="Arial"/>
          <w:i/>
          <w:iCs/>
          <w:sz w:val="22"/>
          <w:szCs w:val="22"/>
        </w:rPr>
        <w:fldChar w:fldCharType="end"/>
      </w:r>
      <w:r w:rsidRPr="000E39AA">
        <w:rPr>
          <w:rFonts w:ascii="Arial" w:hAnsi="Arial" w:cs="Arial"/>
          <w:i/>
          <w:iCs/>
          <w:sz w:val="22"/>
          <w:szCs w:val="22"/>
        </w:rPr>
        <w:t>.</w:t>
      </w:r>
      <w:r w:rsidRPr="000E39AA">
        <w:rPr>
          <w:rFonts w:ascii="Arial" w:hAnsi="Arial" w:cs="Arial"/>
          <w:sz w:val="22"/>
          <w:szCs w:val="22"/>
        </w:rPr>
        <w:t xml:space="preserve"> Cell approaches include incorporation of primary cells (</w:t>
      </w:r>
      <w:r w:rsidR="005E56DA" w:rsidRPr="000E39AA">
        <w:rPr>
          <w:rFonts w:ascii="Arial" w:hAnsi="Arial" w:cs="Arial"/>
          <w:sz w:val="22"/>
          <w:szCs w:val="22"/>
        </w:rPr>
        <w:t>terminally differentiated</w:t>
      </w:r>
      <w:r w:rsidRPr="000E39AA">
        <w:rPr>
          <w:rFonts w:ascii="Arial" w:hAnsi="Arial" w:cs="Arial"/>
          <w:sz w:val="22"/>
          <w:szCs w:val="22"/>
        </w:rPr>
        <w:t xml:space="preserve"> or stem cells) from patients that can be expanded </w:t>
      </w:r>
      <w:r w:rsidRPr="000E39AA">
        <w:rPr>
          <w:rFonts w:ascii="Arial" w:hAnsi="Arial" w:cs="Arial"/>
          <w:i/>
          <w:iCs/>
          <w:sz w:val="22"/>
          <w:szCs w:val="22"/>
        </w:rPr>
        <w:t>in vitro</w:t>
      </w:r>
      <w:r w:rsidRPr="000E39AA">
        <w:rPr>
          <w:rFonts w:ascii="Arial" w:hAnsi="Arial" w:cs="Arial"/>
          <w:sz w:val="22"/>
          <w:szCs w:val="22"/>
        </w:rPr>
        <w:t xml:space="preserve"> and encapsulated in biocompatible water-based matrices, called hydrogels</w:t>
      </w:r>
      <w:r w:rsidRPr="000E39AA">
        <w:rPr>
          <w:rFonts w:ascii="Arial" w:hAnsi="Arial" w:cs="Arial"/>
          <w:i/>
          <w:iCs/>
          <w:sz w:val="22"/>
          <w:szCs w:val="22"/>
        </w:rPr>
        <w:t xml:space="preserve">. </w:t>
      </w:r>
      <w:r w:rsidRPr="000E39AA">
        <w:rPr>
          <w:rFonts w:ascii="Arial" w:hAnsi="Arial" w:cs="Arial"/>
          <w:iCs/>
          <w:sz w:val="22"/>
          <w:szCs w:val="22"/>
        </w:rPr>
        <w:t>Thus, b</w:t>
      </w:r>
      <w:r w:rsidRPr="000E39AA">
        <w:rPr>
          <w:rFonts w:ascii="Arial" w:hAnsi="Arial" w:cs="Arial"/>
          <w:sz w:val="22"/>
          <w:szCs w:val="22"/>
        </w:rPr>
        <w:t xml:space="preserve">iomimetic models capable of resembling the complex pathophysiological state of tissues are an important goal for the tissue engineer to generate physiologically relevant models and tissue constructs. </w:t>
      </w:r>
    </w:p>
    <w:p w14:paraId="3962117E" w14:textId="77777777" w:rsidR="00F03759" w:rsidRPr="000E39AA" w:rsidRDefault="00F03759" w:rsidP="00F03759">
      <w:pPr>
        <w:pStyle w:val="Heading3"/>
      </w:pPr>
      <w:bookmarkStart w:id="43" w:name="_Toc98937869"/>
      <w:r w:rsidRPr="000E39AA">
        <w:t>Cell sources</w:t>
      </w:r>
      <w:bookmarkEnd w:id="43"/>
      <w:r w:rsidRPr="000E39AA">
        <w:t xml:space="preserve"> </w:t>
      </w:r>
    </w:p>
    <w:p w14:paraId="0245D9B5" w14:textId="0C408B09" w:rsidR="00F03759" w:rsidRPr="000E39AA" w:rsidRDefault="00F03759" w:rsidP="00F03759">
      <w:pPr>
        <w:pStyle w:val="NormalWeb"/>
        <w:spacing w:before="80" w:beforeAutospacing="0" w:after="80" w:afterAutospacing="0" w:line="276" w:lineRule="auto"/>
        <w:jc w:val="both"/>
        <w:rPr>
          <w:rFonts w:ascii="Arial" w:hAnsi="Arial" w:cs="Arial"/>
          <w:sz w:val="22"/>
          <w:szCs w:val="22"/>
        </w:rPr>
      </w:pPr>
      <w:r w:rsidRPr="000E39AA">
        <w:rPr>
          <w:rFonts w:ascii="Arial" w:hAnsi="Arial" w:cs="Arial"/>
          <w:sz w:val="22"/>
          <w:szCs w:val="22"/>
        </w:rPr>
        <w:t>To closely mimic and recreate the tissue micro-environment, 3D models an appropriate cell source is pivotal. Human bone marrow stromal cells (HBMSCs) are commonly used for bone tissue engineering purposes given their ready availability. HBMSCs contain a subset of cells, skeletal stem cells, that can self-renew and differentiate into cells of the stromal</w:t>
      </w:r>
      <w:r w:rsidRPr="000E39AA">
        <w:rPr>
          <w:rFonts w:ascii="Arial" w:hAnsi="Arial"/>
          <w:sz w:val="22"/>
        </w:rPr>
        <w:t xml:space="preserve"> lineage </w:t>
      </w:r>
      <w:r w:rsidRPr="000E39AA">
        <w:rPr>
          <w:rFonts w:ascii="Arial" w:hAnsi="Arial" w:cs="Arial"/>
          <w:sz w:val="22"/>
          <w:szCs w:val="22"/>
        </w:rPr>
        <w:t xml:space="preserve">namely, chondrocytes, osteoblasts and adipocytes </w:t>
      </w:r>
      <w:r w:rsidRPr="000E39AA">
        <w:rPr>
          <w:rFonts w:ascii="Arial" w:hAnsi="Arial" w:cs="Arial"/>
          <w:sz w:val="22"/>
          <w:szCs w:val="22"/>
        </w:rPr>
        <w:fldChar w:fldCharType="begin" w:fldLock="1"/>
      </w:r>
      <w:r w:rsidR="0062132B">
        <w:rPr>
          <w:rFonts w:ascii="Arial" w:hAnsi="Arial" w:cs="Arial"/>
          <w:sz w:val="22"/>
          <w:szCs w:val="22"/>
        </w:rPr>
        <w:instrText>ADDIN CSL_CITATION {"citationItems":[{"id":"ITEM-1","itemData":{"DOI":"https://doi.org/10.1016/j.transproceed.2012.05.091","ISSN":"0041-1345","abstract":"Aims\nThe use of bone marrow mononuclear cells (BMMNCs) as a source of mesenchymal stem cells (MSCs) for therapy has recently attracted the attention of researchers because BMMNCs can be easily obtained and do not require in vitro expansion before their use. This study was designed to quantify the MSC population in bone marrow (BM) samples obtained for cell therapy using flow cytometry to detect the CD271 antigen.\nMaterial and Methods\nAutologous BM was obtained by posterior superior iliac crest aspiration under topical anesthesia. Mononuclear cells isolated from the BM aspirate on a Ficoll density gradient were used to treat patients with pressure ulcer (n = 13) bone nonunions (n = 3) or diabetic foot ulcers (n = 5).\nResults\nOur flow cytometry data revealed a low percentage as well as a high variability among patients of CD271+CD45− cells (range, 0.0017 to 0.0201%). All cultured MSC adhered to plastic dishes showing a capacity to differentiate into adipogenic and osteogenic lineages.\nConclusions\nOur findings suggested that the success of cell therapy was independent of the number of MSCs present in the BM aspirate used for autologous cell therapy.","author":[{"dropping-particle":"","family":"Alvarez-Viejo","given":"M","non-dropping-particle":"","parse-names":false,"suffix":""},{"dropping-particle":"","family":"Menendez-Menendez","given":"Y","non-dropping-particle":"","parse-names":false,"suffix":""},{"dropping-particle":"","family":"Blanco-Gelaz","given":"M A","non-dropping-particle":"","parse-names":false,"suffix":""},{"dropping-particle":"","family":"Ferrero-Gutierrez","given":"A","non-dropping-particle":"","parse-names":false,"suffix":""},{"dropping-particle":"","family":"Fernandez-Rodriguez","given":"M A","non-dropping-particle":"","parse-names":false,"suffix":""},{"dropping-particle":"","family":"Gala","given":"J","non-dropping-particle":"","parse-names":false,"suffix":""},{"dropping-particle":"","family":"Otero-Hernandez","given":"J","non-dropping-particle":"","parse-names":false,"suffix":""}],"container-title":"Transplantation Proceedings","id":"ITEM-1","issue":"1","issued":{"date-parts":[["2013"]]},"page":"434-439","title":"Quantifying Mesenchymal Stem Cells in the Mononuclear Cell Fraction of Bone Marrow Samples Obtained for Cell Therapy","type":"article-journal","volume":"45"},"uris":["http://www.mendeley.com/documents/?uuid=ae50a548-b7e0-4a3b-82a3-c98892459a2d"]},{"id":"ITEM-2","itemData":{"DOI":"10.1016/j.actbio.2020.03.043","ISSN":"18787568","PMID":"32251782","abstract":"Bone is an extremely dynamic tissue, undergoing continuous remodeling for its whole lifetime, but its regeneration or augmentation due to bone loss or defects are not always easy to obtain. Bone tissue engineering (BTE) is a promising approach, and its success often relies on a “smart” scaffold, as a support to host and guide bone formation through bone cell precursors. Bone homeostasis is maintained by osteoblasts (OBs) and osteoclasts (OCs) within the basic multicellular unit, in a consecutive cycle of resorption and formation. Therefore, a functional scaffold should allow the best possible OB/OC cooperation for bone remodeling, as happens within the bone extracellular matrix in the body. In the present work OB/OC co-culture models, with and without scaffolds, are reviewed. These experimental systems are intended for different targets, including bone remodeling simulation, drug testing and the assessment of biomaterials and 3D scaffolds for BTE. As a consequence, several parameters, such as cell type, cell ratio, culture medium and inducers, culture times and setpoints, assay methods, etc. vary greatly. This review identifies and systematically reports the in vitro methods explored up to now, which, as they allow cellular communication, more closely resemble bone remodeling and/or the regeneration process in the framework of BTE. Statement of significance: Bone is a dynamic tissue under continuous remodeling, but spontaneous healing may fail in the case of excessive bone loss which often requires valid alternatives to conventional treatments to restore bone integrity, like bone tissue engineering (BTE). Pre-clinical evaluation of scaffolds for BTE requires in vitro testing where co-cultures combining innovative materials with osteoblasts (OBs) and osteoclasts (OCs) closely mimic the in vivo repair process. This review considers the direct and indirect OB/OC co-cultures relevant to BTE, from the early mouse-cell models to the recent bone regenerative systems. The co-culture modeling of bone microenvironment provides reliable information on bone cell cross-talk. Starting from improved knowledge on bone remodeling, bone disease mechanisms may be understood and new BTE solutions are designed.","author":[{"dropping-particle":"","family":"Borciani","given":"Giorgia","non-dropping-particle":"","parse-names":false,"suffix":""},{"dropping-particle":"","family":"Montalbano","given":"Giorgia","non-dropping-particle":"","parse-names":false,"suffix":""},{"dropping-particle":"","family":"Baldini","given":"Nicola","non-dropping-particle":"","parse-names":false,"suffix":""},{"dropping-particle":"","family":"Cerqueni","given":"Giorgia","non-dropping-particle":"","parse-names":false,"suffix":""},{"dropping-particle":"","family":"Vitale-Brovarone","given":"Chiara","non-dropping-particle":"","parse-names":false,"suffix":""},{"dropping-particle":"","family":"Ciapetti","given":"Gabriela","non-dropping-particle":"","parse-names":false,"suffix":""}],"container-title":"Acta Biomaterialia","id":"ITEM-2","issued":{"date-parts":[["2020"]]},"page":"22-45","publisher":"Elsevier Ltd","title":"Co–culture systems of osteoblasts and osteoclasts: Simulating in vitro bone remodeling in regenerative approaches","type":"article-journal","volume":"108"},"uris":["http://www.mendeley.com/documents/?uuid=0b0d0dbc-7d93-4fb2-a73e-b5c3ea805754"]},{"id":"ITEM-3","itemData":{"DOI":"10.1038/35102181","ISBN":"0028-0836","ISSN":"0028-0836","PMID":"11689957","abstract":"The concept of producing 'spare parts' of the body for replacement of damaged or lost organs lies at the core of the varied biotechnological practices referred to generally as tissue engineering. Use of postnatal stem cells has the potential to significantly alter the perspective of tissue engineering. Successful long-term restoration of continuously self-renewing tissues such as skin, for example, depends on the use of extensively self-renewing stem cells. The identification and isolation of stem cells from a number of tissues provides appropriate targets for prospective gene therapies.","author":[{"dropping-particle":"","family":"Bianco","given":"Paolo","non-dropping-particle":"","parse-names":false,"suffix":""},{"dropping-particle":"","family":"Robey","given":"Pamela Gehron","non-dropping-particle":"","parse-names":false,"suffix":""}],"container-title":"Nature","id":"ITEM-3","issue":"6859","issued":{"date-parts":[["2001","11"]]},"note":"Bianco et al. wrote about extensive review about stem cells approach in tissue enginering specifically about skin and bone regeneration. \n\nThe list of tissues with the potential to be engineered is growing steadily. Tissues that can now be engineered using stem cells compreise a diverse range from epithelial surgaces to skeletal tissues.\n\nEngineering the skeleton\nSkeletal stem cells (SSCs; also known as bone-marrow stromal stem cells, or mesenchymal stem cells) are found in the subset of clonogenic adherent marrow-derived cells, and are able to undergo extensive replication in culture. ). SSCs obtained in culture must be combined with appropriate carriers before transplantation. Many suitable materials are being generated and perfected, including synthetic hydroxyapatite/tricalcium phosphates (Figs 1b and 2a), and polyglycolic and polylactic acids12,13. Most are effective in supporting bone regeneration, either alone or in conjunction with growth factors such as bone morphogenetic proteins. In the simplest procedure for bone reconstruction, SSCs isolated in culture from a limited volume of bone marrow are expanded ex vivo, loaded onto an appropriate carrier, and locally transplanted.\nAn alternative approach has led to the generation of fully vascularized bone flaps of the desired shape in vivo, prior to their use for local transplantation (Fig. 2d, e). In these experiments, SSCs loaded into appropriate carriers and transplanted into a non-skeletal site surrounding an artery and vein; here they generate a vascularized segment of bone, the size and shape of which are dictated by the carrier geometry. Here, the concept of using SSCs to replace misfunctioning bone cells with normal ones meets another set of important obstacles, which further illustrate the diversity of the skeleton and its stem cells compared with other stem cell-based systems.\n\nAnother pertinent point is that renewal in a postnatal skeleton is\nmarkedly slower than in skin or blood (the whole skeleton being completely replaced only about three times in a lifetime, whereas the skin is replaced once a month). Consequently, we would expect replacement of skeletal tissue with infused SSCs to occur over longer timescales compared to rapidly self-renewing tissues, even if issues related to efficient cell delivery and systemic engraftment were resolved.\n\nCells capable of regenerating blood vessels, skeletal muscle and cardiac muscle are found in the marrow.","page":"118-121","title":"Stem cells in tissue engineering","type":"article-journal","volume":"414"},"uris":["http://www.mendeley.com/documents/?uuid=eff57a8d-7ded-4c1b-8707-57021195b58c"]}],"mendeley":{"formattedCitation":"[41–43]","plainTextFormattedCitation":"[41–43]","previouslyFormattedCitation":"[41–43]"},"properties":{"noteIndex":0},"schema":"https://github.com/citation-style-language/schema/raw/master/csl-citation.json"}</w:instrText>
      </w:r>
      <w:r w:rsidRPr="000E39AA">
        <w:rPr>
          <w:rFonts w:ascii="Arial" w:hAnsi="Arial" w:cs="Arial"/>
          <w:sz w:val="22"/>
          <w:szCs w:val="22"/>
        </w:rPr>
        <w:fldChar w:fldCharType="separate"/>
      </w:r>
      <w:r w:rsidR="00BC139B" w:rsidRPr="00BC139B">
        <w:rPr>
          <w:rFonts w:ascii="Arial" w:hAnsi="Arial" w:cs="Arial"/>
          <w:noProof/>
          <w:sz w:val="22"/>
          <w:szCs w:val="22"/>
        </w:rPr>
        <w:t>[41–43]</w:t>
      </w:r>
      <w:r w:rsidRPr="000E39AA">
        <w:rPr>
          <w:rFonts w:ascii="Arial" w:hAnsi="Arial" w:cs="Arial"/>
          <w:sz w:val="22"/>
          <w:szCs w:val="22"/>
        </w:rPr>
        <w:fldChar w:fldCharType="end"/>
      </w:r>
      <w:r w:rsidRPr="000E39AA">
        <w:rPr>
          <w:rFonts w:ascii="Arial" w:hAnsi="Arial" w:cs="Arial"/>
          <w:sz w:val="22"/>
          <w:szCs w:val="22"/>
        </w:rPr>
        <w:t>. Differentiated skeletal populations present a window into cellular changes due to specific pathologies from the affected donor although cell numbers are naturally limited given limited expansion capacity</w:t>
      </w:r>
      <w:r w:rsidR="002A5D58">
        <w:rPr>
          <w:rFonts w:ascii="Arial" w:hAnsi="Arial" w:cs="Arial"/>
          <w:sz w:val="22"/>
          <w:szCs w:val="22"/>
        </w:rPr>
        <w:t xml:space="preserve"> of a differentiated cell population</w:t>
      </w:r>
      <w:r w:rsidRPr="000E39AA">
        <w:rPr>
          <w:rFonts w:ascii="Arial" w:hAnsi="Arial" w:cs="Arial"/>
          <w:sz w:val="22"/>
          <w:szCs w:val="22"/>
        </w:rPr>
        <w:t xml:space="preserve"> </w:t>
      </w:r>
      <w:r w:rsidRPr="000E39AA">
        <w:rPr>
          <w:rFonts w:ascii="Arial" w:hAnsi="Arial" w:cs="Arial"/>
          <w:sz w:val="22"/>
          <w:szCs w:val="22"/>
        </w:rPr>
        <w:fldChar w:fldCharType="begin" w:fldLock="1"/>
      </w:r>
      <w:r w:rsidR="000D250C">
        <w:rPr>
          <w:rFonts w:ascii="Arial" w:hAnsi="Arial" w:cs="Arial"/>
          <w:sz w:val="22"/>
          <w:szCs w:val="22"/>
        </w:rPr>
        <w:instrText>ADDIN CSL_CITATION {"citationItems":[{"id":"ITEM-1","itemData":{"DOI":"10.1016/j.actbio.2020.03.043","ISSN":"18787568","PMID":"32251782","abstract":"Bone is an extremely dynamic tissue, undergoing continuous remodeling for its whole lifetime, but its regeneration or augmentation due to bone loss or defects are not always easy to obtain. Bone tissue engineering (BTE) is a promising approach, and its success often relies on a “smart” scaffold, as a support to host and guide bone formation through bone cell precursors. Bone homeostasis is maintained by osteoblasts (OBs) and osteoclasts (OCs) within the basic multicellular unit, in a consecutive cycle of resorption and formation. Therefore, a functional scaffold should allow the best possible OB/OC cooperation for bone remodeling, as happens within the bone extracellular matrix in the body. In the present work OB/OC co-culture models, with and without scaffolds, are reviewed. These experimental systems are intended for different targets, including bone remodeling simulation, drug testing and the assessment of biomaterials and 3D scaffolds for BTE. As a consequence, several parameters, such as cell type, cell ratio, culture medium and inducers, culture times and setpoints, assay methods, etc. vary greatly. This review identifies and systematically reports the in vitro methods explored up to now, which, as they allow cellular communication, more closely resemble bone remodeling and/or the regeneration process in the framework of BTE. Statement of significance: Bone is a dynamic tissue under continuous remodeling, but spontaneous healing may fail in the case of excessive bone loss which often requires valid alternatives to conventional treatments to restore bone integrity, like bone tissue engineering (BTE). Pre-clinical evaluation of scaffolds for BTE requires in vitro testing where co-cultures combining innovative materials with osteoblasts (OBs) and osteoclasts (OCs) closely mimic the in vivo repair process. This review considers the direct and indirect OB/OC co-cultures relevant to BTE, from the early mouse-cell models to the recent bone regenerative systems. The co-culture modeling of bone microenvironment provides reliable information on bone cell cross-talk. Starting from improved knowledge on bone remodeling, bone disease mechanisms may be understood and new BTE solutions are designed.","author":[{"dropping-particle":"","family":"Borciani","given":"Giorgia","non-dropping-particle":"","parse-names":false,"suffix":""},{"dropping-particle":"","family":"Montalbano","given":"Giorgia","non-dropping-particle":"","parse-names":false,"suffix":""},{"dropping-particle":"","family":"Baldini","given":"Nicola","non-dropping-particle":"","parse-names":false,"suffix":""},{"dropping-particle":"","family":"Cerqueni","given":"Giorgia","non-dropping-particle":"","parse-names":false,"suffix":""},{"dropping-particle":"","family":"Vitale-Brovarone","given":"Chiara","non-dropping-particle":"","parse-names":false,"suffix":""},{"dropping-particle":"","family":"Ciapetti","given":"Gabriela","non-dropping-particle":"","parse-names":false,"suffix":""}],"container-title":"Acta Biomaterialia","id":"ITEM-1","issued":{"date-parts":[["2020"]]},"page":"22-45","publisher":"Elsevier Ltd","title":"Co–culture systems of osteoblasts and osteoclasts: Simulating in vitro bone remodeling in regenerative approaches","type":"article-journal","volume":"108"},"uris":["http://www.mendeley.com/documents/?uuid=0b0d0dbc-7d93-4fb2-a73e-b5c3ea805754"]}],"mendeley":{"formattedCitation":"[42]","plainTextFormattedCitation":"[42]","previouslyFormattedCitation":"[42]"},"properties":{"noteIndex":0},"schema":"https://github.com/citation-style-language/schema/raw/master/csl-citation.json"}</w:instrText>
      </w:r>
      <w:r w:rsidRPr="000E39AA">
        <w:rPr>
          <w:rFonts w:ascii="Arial" w:hAnsi="Arial" w:cs="Arial"/>
          <w:sz w:val="22"/>
          <w:szCs w:val="22"/>
        </w:rPr>
        <w:fldChar w:fldCharType="separate"/>
      </w:r>
      <w:r w:rsidR="00BC139B" w:rsidRPr="00BC139B">
        <w:rPr>
          <w:rFonts w:ascii="Arial" w:hAnsi="Arial" w:cs="Arial"/>
          <w:noProof/>
          <w:sz w:val="22"/>
          <w:szCs w:val="22"/>
        </w:rPr>
        <w:t>[42]</w:t>
      </w:r>
      <w:r w:rsidRPr="000E39AA">
        <w:rPr>
          <w:rFonts w:ascii="Arial" w:hAnsi="Arial" w:cs="Arial"/>
          <w:sz w:val="22"/>
          <w:szCs w:val="22"/>
        </w:rPr>
        <w:fldChar w:fldCharType="end"/>
      </w:r>
      <w:r w:rsidRPr="000E39AA">
        <w:rPr>
          <w:rFonts w:ascii="Arial" w:hAnsi="Arial" w:cs="Arial"/>
          <w:sz w:val="22"/>
          <w:szCs w:val="22"/>
        </w:rPr>
        <w:t xml:space="preserve">. </w:t>
      </w:r>
    </w:p>
    <w:p w14:paraId="4CBD9A71" w14:textId="46E90CE8" w:rsidR="00F03759" w:rsidRPr="000E39AA" w:rsidRDefault="00F03759" w:rsidP="00F03759">
      <w:pPr>
        <w:spacing w:line="276" w:lineRule="auto"/>
        <w:jc w:val="both"/>
        <w:rPr>
          <w:rFonts w:ascii="Arial" w:hAnsi="Arial" w:cs="Arial"/>
        </w:rPr>
      </w:pPr>
      <w:r w:rsidRPr="000E39AA">
        <w:rPr>
          <w:rFonts w:ascii="Arial" w:hAnsi="Arial" w:cs="Arial"/>
        </w:rPr>
        <w:lastRenderedPageBreak/>
        <w:t>The limited availability and paucity of robust methodologies for the isolation of neurons human brain tissue has brought stem cells, specifically pluripotent stem cells (embryonic and induced pluripotent stem cells (ES and iPSCs)</w:t>
      </w:r>
      <w:r w:rsidR="00FA6A9A">
        <w:rPr>
          <w:rFonts w:ascii="Arial" w:hAnsi="Arial" w:cs="Arial"/>
        </w:rPr>
        <w:t>)</w:t>
      </w:r>
      <w:r w:rsidR="00F63A2B">
        <w:rPr>
          <w:rFonts w:ascii="Arial" w:hAnsi="Arial" w:cs="Arial"/>
        </w:rPr>
        <w:t>,</w:t>
      </w:r>
      <w:r w:rsidRPr="000E39AA">
        <w:rPr>
          <w:rFonts w:ascii="Arial" w:hAnsi="Arial" w:cs="Arial"/>
        </w:rPr>
        <w:t xml:space="preserve"> to the fore as a pathway to derive and differentiate neuronal populations and for the generation of novel and functional </w:t>
      </w:r>
      <w:r w:rsidRPr="000E39AA">
        <w:rPr>
          <w:rFonts w:ascii="Arial" w:hAnsi="Arial" w:cs="Arial"/>
          <w:i/>
          <w:iCs/>
        </w:rPr>
        <w:t xml:space="preserve">in vitro </w:t>
      </w:r>
      <w:r w:rsidRPr="000E39AA">
        <w:rPr>
          <w:rFonts w:ascii="Arial" w:hAnsi="Arial" w:cs="Arial"/>
        </w:rPr>
        <w:t xml:space="preserve">models </w:t>
      </w:r>
      <w:r w:rsidRPr="000E39AA">
        <w:rPr>
          <w:rFonts w:ascii="Arial" w:hAnsi="Arial" w:cs="Arial"/>
        </w:rPr>
        <w:fldChar w:fldCharType="begin" w:fldLock="1"/>
      </w:r>
      <w:r w:rsidR="0062132B">
        <w:rPr>
          <w:rFonts w:ascii="Arial" w:hAnsi="Arial" w:cs="Arial"/>
        </w:rPr>
        <w:instrText>ADDIN CSL_CITATION {"citationItems":[{"id":"ITEM-1","itemData":{"DOI":"10.1038/35102181","ISBN":"0028-0836","ISSN":"0028-0836","PMID":"11689957","abstract":"The concept of producing 'spare parts' of the body for replacement of damaged or lost organs lies at the core of the varied biotechnological practices referred to generally as tissue engineering. Use of postnatal stem cells has the potential to significantly alter the perspective of tissue engineering. Successful long-term restoration of continuously self-renewing tissues such as skin, for example, depends on the use of extensively self-renewing stem cells. The identification and isolation of stem cells from a number of tissues provides appropriate targets for prospective gene therapies.","author":[{"dropping-particle":"","family":"Bianco","given":"Paolo","non-dropping-particle":"","parse-names":false,"suffix":""},{"dropping-particle":"","family":"Robey","given":"Pamela Gehron","non-dropping-particle":"","parse-names":false,"suffix":""}],"container-title":"Nature","id":"ITEM-1","issue":"6859","issued":{"date-parts":[["2001","11"]]},"note":"Bianco et al. wrote about extensive review about stem cells approach in tissue enginering specifically about skin and bone regeneration. \n\nThe list of tissues with the potential to be engineered is growing steadily. Tissues that can now be engineered using stem cells compreise a diverse range from epithelial surgaces to skeletal tissues.\n\nEngineering the skeleton\nSkeletal stem cells (SSCs; also known as bone-marrow stromal stem cells, or mesenchymal stem cells) are found in the subset of clonogenic adherent marrow-derived cells, and are able to undergo extensive replication in culture. ). SSCs obtained in culture must be combined with appropriate carriers before transplantation. Many suitable materials are being generated and perfected, including synthetic hydroxyapatite/tricalcium phosphates (Figs 1b and 2a), and polyglycolic and polylactic acids12,13. Most are effective in supporting bone regeneration, either alone or in conjunction with growth factors such as bone morphogenetic proteins. In the simplest procedure for bone reconstruction, SSCs isolated in culture from a limited volume of bone marrow are expanded ex vivo, loaded onto an appropriate carrier, and locally transplanted.\nAn alternative approach has led to the generation of fully vascularized bone flaps of the desired shape in vivo, prior to their use for local transplantation (Fig. 2d, e). In these experiments, SSCs loaded into appropriate carriers and transplanted into a non-skeletal site surrounding an artery and vein; here they generate a vascularized segment of bone, the size and shape of which are dictated by the carrier geometry. Here, the concept of using SSCs to replace misfunctioning bone cells with normal ones meets another set of important obstacles, which further illustrate the diversity of the skeleton and its stem cells compared with other stem cell-based systems.\n\nAnother pertinent point is that renewal in a postnatal skeleton is\nmarkedly slower than in skin or blood (the whole skeleton being completely replaced only about three times in a lifetime, whereas the skin is replaced once a month). Consequently, we would expect replacement of skeletal tissue with infused SSCs to occur over longer timescales compared to rapidly self-renewing tissues, even if issues related to efficient cell delivery and systemic engraftment were resolved.\n\nCells capable of regenerating blood vessels, skeletal muscle and cardiac muscle are found in the marrow.","page":"118-121","title":"Stem cells in tissue engineering","type":"article-journal","volume":"414"},"uris":["http://www.mendeley.com/documents/?uuid=eff57a8d-7ded-4c1b-8707-57021195b58c"]}],"mendeley":{"formattedCitation":"[43]","plainTextFormattedCitation":"[43]","previouslyFormattedCitation":"[43]"},"properties":{"noteIndex":0},"schema":"https://github.com/citation-style-language/schema/raw/master/csl-citation.json"}</w:instrText>
      </w:r>
      <w:r w:rsidRPr="000E39AA">
        <w:rPr>
          <w:rFonts w:ascii="Arial" w:hAnsi="Arial" w:cs="Arial"/>
        </w:rPr>
        <w:fldChar w:fldCharType="separate"/>
      </w:r>
      <w:r w:rsidR="0062132B" w:rsidRPr="0062132B">
        <w:rPr>
          <w:rFonts w:ascii="Arial" w:hAnsi="Arial" w:cs="Arial"/>
          <w:noProof/>
        </w:rPr>
        <w:t>[43]</w:t>
      </w:r>
      <w:r w:rsidRPr="000E39AA">
        <w:rPr>
          <w:rFonts w:ascii="Arial" w:hAnsi="Arial" w:cs="Arial"/>
        </w:rPr>
        <w:fldChar w:fldCharType="end"/>
      </w:r>
      <w:r w:rsidRPr="000E39AA">
        <w:rPr>
          <w:rFonts w:ascii="Arial" w:hAnsi="Arial" w:cs="Arial"/>
        </w:rPr>
        <w:t xml:space="preserve">. </w:t>
      </w:r>
    </w:p>
    <w:p w14:paraId="20DAC8E8" w14:textId="7DF66520" w:rsidR="00F03759" w:rsidRPr="000E39AA" w:rsidRDefault="00F03759" w:rsidP="00F03759">
      <w:pPr>
        <w:spacing w:line="276" w:lineRule="auto"/>
        <w:jc w:val="both"/>
        <w:rPr>
          <w:rFonts w:ascii="Arial" w:hAnsi="Arial" w:cs="Arial"/>
        </w:rPr>
      </w:pPr>
      <w:r w:rsidRPr="000E39AA">
        <w:rPr>
          <w:rFonts w:ascii="Arial" w:hAnsi="Arial" w:cs="Arial"/>
        </w:rPr>
        <w:t xml:space="preserve">iPSCs have garnered significant interest given their potential as a novel cell source, avoiding crucial ethical issues, reproducibility and challenging isolation and expansion protocols. Indeed, iPSCs can be readily derived from human skin biopsies from patients and donors and with </w:t>
      </w:r>
      <w:r w:rsidRPr="000E39AA">
        <w:rPr>
          <w:rFonts w:ascii="Arial" w:hAnsi="Arial" w:cs="Arial"/>
          <w:i/>
          <w:iCs/>
        </w:rPr>
        <w:t>ex vivo</w:t>
      </w:r>
      <w:r w:rsidRPr="000E39AA">
        <w:rPr>
          <w:rFonts w:ascii="Arial" w:hAnsi="Arial" w:cs="Arial"/>
        </w:rPr>
        <w:t xml:space="preserve"> induction towards an embryonic-like cell state, iPSCs can subsequently differentiate into a wide spectrum of tissues </w:t>
      </w:r>
      <w:r w:rsidRPr="000E39AA">
        <w:rPr>
          <w:rFonts w:ascii="Arial" w:hAnsi="Arial" w:cs="Arial"/>
        </w:rPr>
        <w:fldChar w:fldCharType="begin" w:fldLock="1"/>
      </w:r>
      <w:r w:rsidR="00A445D5">
        <w:rPr>
          <w:rFonts w:ascii="Arial" w:hAnsi="Arial" w:cs="Arial"/>
        </w:rPr>
        <w:instrText>ADDIN CSL_CITATION {"citationItems":[{"id":"ITEM-1","itemData":{"DOI":"10.1016/j.ynpai.2021.100063","ISSN":"2452073X","abstract":"In vitro models fill a vital niche in preclinical pain research, allowing detailed study of molecular pathways, and in the case of humanised systems, providing a translational bridge between in vivo animal models and human patients. Significant advances in cellular technology available to basic pain researchers have occurred in the last decade, including developing protocols to differentiate sensory neuron-like cells from stem cells and greater access to human dorsal root ganglion tissue. In this review, we discuss the use of both models in preclinical pain research: What can a human sensory neuron in a dish tell us that rodent in vivo models cannot? How similar are these models to their endogenous counterparts, and how should we judge them? What limitations do we need to consider? How can we leverage cell models to improve translational success? In vitro human sensory neuron models equip pain researchers with a valuable tool to investigate human nociception. With continual development, consideration for their advantages and limitations, and effective integration with other experimental strategies, they could become a driving force for the pain field's advancement.","author":[{"dropping-particle":"","family":"Chrysostomidou","given":"Lina","non-dropping-particle":"","parse-names":false,"suffix":""},{"dropping-particle":"","family":"Cooper","given":"Andrew H.","non-dropping-particle":"","parse-names":false,"suffix":""},{"dropping-particle":"","family":"Weir","given":"Greg A.","non-dropping-particle":"","parse-names":false,"suffix":""}],"container-title":"Neurobiology of Pain","id":"ITEM-1","issue":"May","issued":{"date-parts":[["2021"]]},"page":"100063","publisher":"Elsevier Inc.","title":"Cellular models of pain: New technologies and their potential to progress preclinical research","type":"article-journal","volume":"10"},"uris":["http://www.mendeley.com/documents/?uuid=4367ba68-a03e-402b-85df-48f1292638c7"]},{"id":"ITEM-2","itemData":{"DOI":"10.1038/35102181","ISBN":"0028-0836","ISSN":"0028-0836","PMID":"11689957","abstract":"The concept of producing 'spare parts' of the body for replacement of damaged or lost organs lies at the core of the varied biotechnological practices referred to generally as tissue engineering. Use of postnatal stem cells has the potential to significantly alter the perspective of tissue engineering. Successful long-term restoration of continuously self-renewing tissues such as skin, for example, depends on the use of extensively self-renewing stem cells. The identification and isolation of stem cells from a number of tissues provides appropriate targets for prospective gene therapies.","author":[{"dropping-particle":"","family":"Bianco","given":"Paolo","non-dropping-particle":"","parse-names":false,"suffix":""},{"dropping-particle":"","family":"Robey","given":"Pamela Gehron","non-dropping-particle":"","parse-names":false,"suffix":""}],"container-title":"Nature","id":"ITEM-2","issue":"6859","issued":{"date-parts":[["2001","11"]]},"note":"Bianco et al. wrote about extensive review about stem cells approach in tissue enginering specifically about skin and bone regeneration. \n\nThe list of tissues with the potential to be engineered is growing steadily. Tissues that can now be engineered using stem cells compreise a diverse range from epithelial surgaces to skeletal tissues.\n\nEngineering the skeleton\nSkeletal stem cells (SSCs; also known as bone-marrow stromal stem cells, or mesenchymal stem cells) are found in the subset of clonogenic adherent marrow-derived cells, and are able to undergo extensive replication in culture. ). SSCs obtained in culture must be combined with appropriate carriers before transplantation. Many suitable materials are being generated and perfected, including synthetic hydroxyapatite/tricalcium phosphates (Figs 1b and 2a), and polyglycolic and polylactic acids12,13. Most are effective in supporting bone regeneration, either alone or in conjunction with growth factors such as bone morphogenetic proteins. In the simplest procedure for bone reconstruction, SSCs isolated in culture from a limited volume of bone marrow are expanded ex vivo, loaded onto an appropriate carrier, and locally transplanted.\nAn alternative approach has led to the generation of fully vascularized bone flaps of the desired shape in vivo, prior to their use for local transplantation (Fig. 2d, e). In these experiments, SSCs loaded into appropriate carriers and transplanted into a non-skeletal site surrounding an artery and vein; here they generate a vascularized segment of bone, the size and shape of which are dictated by the carrier geometry. Here, the concept of using SSCs to replace misfunctioning bone cells with normal ones meets another set of important obstacles, which further illustrate the diversity of the skeleton and its stem cells compared with other stem cell-based systems.\n\nAnother pertinent point is that renewal in a postnatal skeleton is\nmarkedly slower than in skin or blood (the whole skeleton being completely replaced only about three times in a lifetime, whereas the skin is replaced once a month). Consequently, we would expect replacement of skeletal tissue with infused SSCs to occur over longer timescales compared to rapidly self-renewing tissues, even if issues related to efficient cell delivery and systemic engraftment were resolved.\n\nCells capable of regenerating blood vessels, skeletal muscle and cardiac muscle are found in the marrow.","page":"118-121","title":"Stem cells in tissue engineering","type":"article-journal","volume":"414"},"uris":["http://www.mendeley.com/documents/?uuid=eff57a8d-7ded-4c1b-8707-57021195b58c"]}],"mendeley":{"formattedCitation":"[43, 44]","plainTextFormattedCitation":"[43, 44]","previouslyFormattedCitation":"[43, 44]"},"properties":{"noteIndex":0},"schema":"https://github.com/citation-style-language/schema/raw/master/csl-citation.json"}</w:instrText>
      </w:r>
      <w:r w:rsidRPr="000E39AA">
        <w:rPr>
          <w:rFonts w:ascii="Arial" w:hAnsi="Arial" w:cs="Arial"/>
        </w:rPr>
        <w:fldChar w:fldCharType="separate"/>
      </w:r>
      <w:r w:rsidR="0062132B" w:rsidRPr="0062132B">
        <w:rPr>
          <w:rFonts w:ascii="Arial" w:hAnsi="Arial" w:cs="Arial"/>
          <w:noProof/>
        </w:rPr>
        <w:t>[43, 44]</w:t>
      </w:r>
      <w:r w:rsidRPr="000E39AA">
        <w:rPr>
          <w:rFonts w:ascii="Arial" w:hAnsi="Arial" w:cs="Arial"/>
        </w:rPr>
        <w:fldChar w:fldCharType="end"/>
      </w:r>
      <w:r w:rsidRPr="000E39AA">
        <w:rPr>
          <w:rFonts w:ascii="Arial" w:hAnsi="Arial" w:cs="Arial"/>
        </w:rPr>
        <w:t xml:space="preserve">. iPSCs are typically differentiated into neuroectodermal and neuronal cells </w:t>
      </w:r>
      <w:r w:rsidRPr="000E39AA">
        <w:rPr>
          <w:rFonts w:ascii="Arial" w:hAnsi="Arial" w:cs="Arial"/>
        </w:rPr>
        <w:fldChar w:fldCharType="begin" w:fldLock="1"/>
      </w:r>
      <w:r w:rsidR="00A445D5">
        <w:rPr>
          <w:rFonts w:ascii="Arial" w:hAnsi="Arial" w:cs="Arial"/>
        </w:rPr>
        <w:instrText>ADDIN CSL_CITATION {"citationItems":[{"id":"ITEM-1","itemData":{"DOI":"10.1038/nprot.2010.35","ISSN":"1750-2799 (Electronic)","PMID":"20360764","abstract":"Human pluripotent stem cell (hPSC)-derived neural crest (NC) cells present a  valuable tool for modeling aspects of human NC development, including cell fate specification, multipotency and cell migration. hPSC-derived NC cells are also suitable for modeling human disease and as a renewable cell source for applications in regenerative medicine. Here we provide protocols for the step-wise differentiation of human embryonic stem cells (hESCs) or human induced pluripotent stem cells (hiPSCs) into neuroectodermal and NC cells using either the MS5 coculture system or a novel defined culture method based on pharmacological inhibition of bone morphogenetic protein and transforming growth factor-beta signaling pathways. Furthermore, we present protocols for the purification and propagation of hPSC-NC cells using flow cytometry and defined in vitro culture conditions. Our protocol has been validated in multiple independent hESC and hiPSC lines. The average time required for generating purified hPSC-NC precursors using this protocol is 2-5 weeks.","author":[{"dropping-particle":"","family":"Lee","given":"Gabsang","non-dropping-particle":"","parse-names":false,"suffix":""},{"dropping-particle":"","family":"Chambers","given":"Stuart M","non-dropping-particle":"","parse-names":false,"suffix":""},{"dropping-particle":"","family":"Tomishima","given":"Mark J","non-dropping-particle":"","parse-names":false,"suffix":""},{"dropping-particle":"","family":"Studer","given":"Lorenz","non-dropping-particle":"","parse-names":false,"suffix":""}],"container-title":"Nature protocols","id":"ITEM-1","issue":"4","issued":{"date-parts":[["2010","4"]]},"language":"eng","page":"688-701","publisher-place":"England","title":"Derivation of neural crest cells from human pluripotent stem cells.","type":"article-journal","volume":"5"},"uris":["http://www.mendeley.com/documents/?uuid=331f8db8-caec-405c-9d5b-989bf6cbcf82"]},{"id":"ITEM-2","itemData":{"DOI":"10.1016/j.ynpai.2021.100063","ISSN":"2452073X","abstract":"In vitro models fill a vital niche in preclinical pain research, allowing detailed study of molecular pathways, and in the case of humanised systems, providing a translational bridge between in vivo animal models and human patients. Significant advances in cellular technology available to basic pain researchers have occurred in the last decade, including developing protocols to differentiate sensory neuron-like cells from stem cells and greater access to human dorsal root ganglion tissue. In this review, we discuss the use of both models in preclinical pain research: What can a human sensory neuron in a dish tell us that rodent in vivo models cannot? How similar are these models to their endogenous counterparts, and how should we judge them? What limitations do we need to consider? How can we leverage cell models to improve translational success? In vitro human sensory neuron models equip pain researchers with a valuable tool to investigate human nociception. With continual development, consideration for their advantages and limitations, and effective integration with other experimental strategies, they could become a driving force for the pain field's advancement.","author":[{"dropping-particle":"","family":"Chrysostomidou","given":"Lina","non-dropping-particle":"","parse-names":false,"suffix":""},{"dropping-particle":"","family":"Cooper","given":"Andrew H.","non-dropping-particle":"","parse-names":false,"suffix":""},{"dropping-particle":"","family":"Weir","given":"Greg A.","non-dropping-particle":"","parse-names":false,"suffix":""}],"container-title":"Neurobiology of Pain","id":"ITEM-2","issue":"May","issued":{"date-parts":[["2021"]]},"page":"100063","publisher":"Elsevier Inc.","title":"Cellular models of pain: New technologies and their potential to progress preclinical research","type":"article-journal","volume":"10"},"uris":["http://www.mendeley.com/documents/?uuid=4367ba68-a03e-402b-85df-48f1292638c7"]}],"mendeley":{"formattedCitation":"[44, 45]","plainTextFormattedCitation":"[44, 45]","previouslyFormattedCitation":"[44, 45]"},"properties":{"noteIndex":0},"schema":"https://github.com/citation-style-language/schema/raw/master/csl-citation.json"}</w:instrText>
      </w:r>
      <w:r w:rsidRPr="000E39AA">
        <w:rPr>
          <w:rFonts w:ascii="Arial" w:hAnsi="Arial" w:cs="Arial"/>
        </w:rPr>
        <w:fldChar w:fldCharType="separate"/>
      </w:r>
      <w:r w:rsidR="0062132B" w:rsidRPr="0062132B">
        <w:rPr>
          <w:rFonts w:ascii="Arial" w:hAnsi="Arial" w:cs="Arial"/>
          <w:noProof/>
        </w:rPr>
        <w:t>[44, 45]</w:t>
      </w:r>
      <w:r w:rsidRPr="000E39AA">
        <w:rPr>
          <w:rFonts w:ascii="Arial" w:hAnsi="Arial" w:cs="Arial"/>
        </w:rPr>
        <w:fldChar w:fldCharType="end"/>
      </w:r>
      <w:r w:rsidRPr="000E39AA">
        <w:rPr>
          <w:rFonts w:ascii="Arial" w:hAnsi="Arial" w:cs="Arial"/>
        </w:rPr>
        <w:t xml:space="preserve">, with limited proven potential to differentiate into sensory cells </w:t>
      </w:r>
      <w:r w:rsidRPr="000E39AA">
        <w:rPr>
          <w:rFonts w:ascii="Arial" w:hAnsi="Arial" w:cs="Arial"/>
        </w:rPr>
        <w:fldChar w:fldCharType="begin" w:fldLock="1"/>
      </w:r>
      <w:r w:rsidR="00A445D5">
        <w:rPr>
          <w:rFonts w:ascii="Arial" w:hAnsi="Arial" w:cs="Arial"/>
        </w:rPr>
        <w:instrText>ADDIN CSL_CITATION {"citationItems":[{"id":"ITEM-1","itemData":{"DOI":"10.1016/j.ynpai.2021.100063","ISSN":"2452073X","abstract":"In vitro models fill a vital niche in preclinical pain research, allowing detailed study of molecular pathways, and in the case of humanised systems, providing a translational bridge between in vivo animal models and human patients. Significant advances in cellular technology available to basic pain researchers have occurred in the last decade, including developing protocols to differentiate sensory neuron-like cells from stem cells and greater access to human dorsal root ganglion tissue. In this review, we discuss the use of both models in preclinical pain research: What can a human sensory neuron in a dish tell us that rodent in vivo models cannot? How similar are these models to their endogenous counterparts, and how should we judge them? What limitations do we need to consider? How can we leverage cell models to improve translational success? In vitro human sensory neuron models equip pain researchers with a valuable tool to investigate human nociception. With continual development, consideration for their advantages and limitations, and effective integration with other experimental strategies, they could become a driving force for the pain field's advancement.","author":[{"dropping-particle":"","family":"Chrysostomidou","given":"Lina","non-dropping-particle":"","parse-names":false,"suffix":""},{"dropping-particle":"","family":"Cooper","given":"Andrew H.","non-dropping-particle":"","parse-names":false,"suffix":""},{"dropping-particle":"","family":"Weir","given":"Greg A.","non-dropping-particle":"","parse-names":false,"suffix":""}],"container-title":"Neurobiology of Pain","id":"ITEM-1","issue":"May","issued":{"date-parts":[["2021"]]},"page":"100063","publisher":"Elsevier Inc.","title":"Cellular models of pain: New technologies and their potential to progress preclinical research","type":"article-journal","volume":"10"},"uris":["http://www.mendeley.com/documents/?uuid=4367ba68-a03e-402b-85df-48f1292638c7"]}],"mendeley":{"formattedCitation":"[44]","plainTextFormattedCitation":"[44]","previouslyFormattedCitation":"[44]"},"properties":{"noteIndex":0},"schema":"https://github.com/citation-style-language/schema/raw/master/csl-citation.json"}</w:instrText>
      </w:r>
      <w:r w:rsidRPr="000E39AA">
        <w:rPr>
          <w:rFonts w:ascii="Arial" w:hAnsi="Arial" w:cs="Arial"/>
        </w:rPr>
        <w:fldChar w:fldCharType="separate"/>
      </w:r>
      <w:r w:rsidR="0062132B" w:rsidRPr="0062132B">
        <w:rPr>
          <w:rFonts w:ascii="Arial" w:hAnsi="Arial" w:cs="Arial"/>
          <w:noProof/>
        </w:rPr>
        <w:t>[44]</w:t>
      </w:r>
      <w:r w:rsidRPr="000E39AA">
        <w:rPr>
          <w:rFonts w:ascii="Arial" w:hAnsi="Arial" w:cs="Arial"/>
        </w:rPr>
        <w:fldChar w:fldCharType="end"/>
      </w:r>
      <w:r w:rsidRPr="000E39AA">
        <w:rPr>
          <w:rFonts w:ascii="Arial" w:hAnsi="Arial" w:cs="Arial"/>
        </w:rPr>
        <w:t xml:space="preserve">. Terminally-differentiated cells such as dorsal root ganglion (DRG) offer an alternative to iPSCs-induced neurons for </w:t>
      </w:r>
      <w:r w:rsidRPr="000E39AA">
        <w:rPr>
          <w:rFonts w:ascii="Arial" w:hAnsi="Arial"/>
          <w:i/>
        </w:rPr>
        <w:t>in vitro</w:t>
      </w:r>
      <w:r w:rsidRPr="000E39AA">
        <w:rPr>
          <w:rFonts w:ascii="Arial" w:hAnsi="Arial" w:cs="Arial"/>
        </w:rPr>
        <w:t xml:space="preserve"> studies and have been used in the detection of noxious stimuli and pain mechanisms </w:t>
      </w:r>
      <w:r w:rsidRPr="000E39AA">
        <w:rPr>
          <w:rFonts w:ascii="Arial" w:hAnsi="Arial" w:cs="Arial"/>
        </w:rPr>
        <w:fldChar w:fldCharType="begin" w:fldLock="1"/>
      </w:r>
      <w:r w:rsidR="00A445D5">
        <w:rPr>
          <w:rFonts w:ascii="Arial" w:hAnsi="Arial" w:cs="Arial"/>
        </w:rPr>
        <w:instrText>ADDIN CSL_CITATION {"citationItems":[{"id":"ITEM-1","itemData":{"DOI":"10.1097/j.pain.0000000000001890","ISBN":"0000000000","ISSN":"18726623","PMID":"32332252","abstract":"ABSTRACT: Pain is a principal contributor to the global burden of arthritis with peripheral sensitization being a major cause of arthritis-related pain. Within the knee joint, distal endings of dorsal root ganglion neurons (knee neurons) interact with fibroblast-like synoviocytes (FLS) and the inflammatory mediators they secrete, which are thought to promote peripheral sensitization. Correspondingly, RNA sequencing has demonstrated detectable levels of proinflammatory genes in FLS derived from arthritis patients. This study confirms that stimulation with tumor necrosis factor (TNF-α) results in expression of proinflammatory genes in mouse and human FLS (derived from osteoarthritis and rheumatoid arthritis patients), as well as increased secretion of cytokines from mouse TNF-α-stimulated FLS (TNF-FLS). Electrophysiological recordings from retrograde labelled knee neurons cocultured with TNF-FLS, or supernatant derived from TNF-FLS, revealed a depolarized resting membrane potential, increased spontaneous action potential firing, and enhanced TRPV1 function, all consistent with a role for FLS in mediating the sensitization of pain-sensing nerves in arthritis. Therefore, data from this study demonstrate the ability of FLS activated by TNF-α to promote neuronal sensitization, results that highlight the importance of both nonneuronal and neuronal cells to the development of pain in arthritis.","author":[{"dropping-particle":"","family":"Chakrabarti","given":"Sampurna","non-dropping-particle":"","parse-names":false,"suffix":""},{"dropping-particle":"","family":"Hore","given":"Zoe","non-dropping-particle":"","parse-names":false,"suffix":""},{"dropping-particle":"","family":"Pattison","given":"Luke A.","non-dropping-particle":"","parse-names":false,"suffix":""},{"dropping-particle":"","family":"Lalnunhlimi","given":"Sylvine","non-dropping-particle":"","parse-names":false,"suffix":""},{"dropping-particle":"","family":"Bhebhe","given":"Charity N.","non-dropping-particle":"","parse-names":false,"suffix":""},{"dropping-particle":"","family":"Callejo","given":"Gerard","non-dropping-particle":"","parse-names":false,"suffix":""},{"dropping-particle":"","family":"Bulmer","given":"David C.","non-dropping-particle":"","parse-names":false,"suffix":""},{"dropping-particle":"","family":"Taams","given":"Leonie S.","non-dropping-particle":"","parse-names":false,"suffix":""},{"dropping-particle":"","family":"Denk","given":"Franziska","non-dropping-particle":"","parse-names":false,"suffix":""},{"dropping-particle":"","family":"Smith","given":"Ewan St John","non-dropping-particle":"","parse-names":false,"suffix":""}],"container-title":"Pain","id":"ITEM-1","issue":"9","issued":{"date-parts":[["2020"]]},"page":"2129-2141","title":"Sensitization of knee-innervating sensory neurons by tumor necrosis factor-α-activated fibroblast-like synoviocytes: an in vitro, coculture model of inflammatory pain","type":"article-journal","volume":"161"},"uris":["http://www.mendeley.com/documents/?uuid=5901047b-7bf6-4ea2-9520-dc81a40fc1df"]}],"mendeley":{"formattedCitation":"[46]","plainTextFormattedCitation":"[46]","previouslyFormattedCitation":"[46]"},"properties":{"noteIndex":0},"schema":"https://github.com/citation-style-language/schema/raw/master/csl-citation.json"}</w:instrText>
      </w:r>
      <w:r w:rsidRPr="000E39AA">
        <w:rPr>
          <w:rFonts w:ascii="Arial" w:hAnsi="Arial" w:cs="Arial"/>
        </w:rPr>
        <w:fldChar w:fldCharType="separate"/>
      </w:r>
      <w:r w:rsidR="0062132B" w:rsidRPr="0062132B">
        <w:rPr>
          <w:rFonts w:ascii="Arial" w:hAnsi="Arial" w:cs="Arial"/>
          <w:noProof/>
        </w:rPr>
        <w:t>[46]</w:t>
      </w:r>
      <w:r w:rsidRPr="000E39AA">
        <w:rPr>
          <w:rFonts w:ascii="Arial" w:hAnsi="Arial" w:cs="Arial"/>
        </w:rPr>
        <w:fldChar w:fldCharType="end"/>
      </w:r>
      <w:r w:rsidRPr="000E39AA">
        <w:rPr>
          <w:rFonts w:ascii="Arial" w:hAnsi="Arial" w:cs="Arial"/>
        </w:rPr>
        <w:t xml:space="preserve">. Mouse DRGs are relatively easy to dissect and culture, however, it is important to note human DRGs display different responses to analgesics compared to rodent DRGs </w:t>
      </w:r>
      <w:r w:rsidRPr="000E39AA">
        <w:rPr>
          <w:rFonts w:ascii="Arial" w:hAnsi="Arial" w:cs="Arial"/>
        </w:rPr>
        <w:fldChar w:fldCharType="begin" w:fldLock="1"/>
      </w:r>
      <w:r w:rsidR="00A445D5">
        <w:rPr>
          <w:rFonts w:ascii="Arial" w:hAnsi="Arial" w:cs="Arial"/>
        </w:rPr>
        <w:instrText>ADDIN CSL_CITATION {"citationItems":[{"id":"ITEM-1","itemData":{"DOI":"10.1016/j.ynpai.2021.100063","ISSN":"2452073X","abstract":"In vitro models fill a vital niche in preclinical pain research, allowing detailed study of molecular pathways, and in the case of humanised systems, providing a translational bridge between in vivo animal models and human patients. Significant advances in cellular technology available to basic pain researchers have occurred in the last decade, including developing protocols to differentiate sensory neuron-like cells from stem cells and greater access to human dorsal root ganglion tissue. In this review, we discuss the use of both models in preclinical pain research: What can a human sensory neuron in a dish tell us that rodent in vivo models cannot? How similar are these models to their endogenous counterparts, and how should we judge them? What limitations do we need to consider? How can we leverage cell models to improve translational success? In vitro human sensory neuron models equip pain researchers with a valuable tool to investigate human nociception. With continual development, consideration for their advantages and limitations, and effective integration with other experimental strategies, they could become a driving force for the pain field's advancement.","author":[{"dropping-particle":"","family":"Chrysostomidou","given":"Lina","non-dropping-particle":"","parse-names":false,"suffix":""},{"dropping-particle":"","family":"Cooper","given":"Andrew H.","non-dropping-particle":"","parse-names":false,"suffix":""},{"dropping-particle":"","family":"Weir","given":"Greg A.","non-dropping-particle":"","parse-names":false,"suffix":""}],"container-title":"Neurobiology of Pain","id":"ITEM-1","issue":"May","issued":{"date-parts":[["2021"]]},"page":"100063","publisher":"Elsevier Inc.","title":"Cellular models of pain: New technologies and their potential to progress preclinical research","type":"article-journal","volume":"10"},"uris":["http://www.mendeley.com/documents/?uuid=4367ba68-a03e-402b-85df-48f1292638c7"]}],"mendeley":{"formattedCitation":"[44]","plainTextFormattedCitation":"[44]","previouslyFormattedCitation":"[44]"},"properties":{"noteIndex":0},"schema":"https://github.com/citation-style-language/schema/raw/master/csl-citation.json"}</w:instrText>
      </w:r>
      <w:r w:rsidRPr="000E39AA">
        <w:rPr>
          <w:rFonts w:ascii="Arial" w:hAnsi="Arial" w:cs="Arial"/>
        </w:rPr>
        <w:fldChar w:fldCharType="separate"/>
      </w:r>
      <w:r w:rsidR="0062132B" w:rsidRPr="0062132B">
        <w:rPr>
          <w:rFonts w:ascii="Arial" w:hAnsi="Arial" w:cs="Arial"/>
          <w:noProof/>
        </w:rPr>
        <w:t>[44]</w:t>
      </w:r>
      <w:r w:rsidRPr="000E39AA">
        <w:rPr>
          <w:rFonts w:ascii="Arial" w:hAnsi="Arial" w:cs="Arial"/>
        </w:rPr>
        <w:fldChar w:fldCharType="end"/>
      </w:r>
      <w:r w:rsidR="00333FA5">
        <w:rPr>
          <w:rFonts w:ascii="Arial" w:hAnsi="Arial" w:cs="Arial"/>
        </w:rPr>
        <w:t xml:space="preserve"> </w:t>
      </w:r>
      <w:r w:rsidR="00333FA5">
        <w:rPr>
          <w:rFonts w:ascii="Arial" w:hAnsi="Arial" w:cs="Arial"/>
          <w:noProof/>
        </w:rPr>
        <w:t>as this remains applicable to a wide variety of tissues. Indeed, animal cells will always produce a biased response to drugs that are designed to target human-specific diseases. Thus, the optimisation and validation of human cell isolation for skeletal disease and pain simulation remains of utmost importance.</w:t>
      </w:r>
    </w:p>
    <w:p w14:paraId="045A2D53" w14:textId="77777777" w:rsidR="00F03759" w:rsidRPr="000E39AA" w:rsidRDefault="00F03759" w:rsidP="00F03759">
      <w:pPr>
        <w:pStyle w:val="Heading3"/>
      </w:pPr>
      <w:bookmarkStart w:id="44" w:name="_Toc98937870"/>
      <w:r w:rsidRPr="000E39AA">
        <w:t>Biomaterials</w:t>
      </w:r>
      <w:bookmarkEnd w:id="44"/>
      <w:r w:rsidRPr="000E39AA">
        <w:t xml:space="preserve"> </w:t>
      </w:r>
    </w:p>
    <w:p w14:paraId="12896FBE" w14:textId="6B259E4D" w:rsidR="00F03759" w:rsidRPr="000E39AA" w:rsidRDefault="00F03759" w:rsidP="00F03759">
      <w:pPr>
        <w:autoSpaceDE w:val="0"/>
        <w:autoSpaceDN w:val="0"/>
        <w:adjustRightInd w:val="0"/>
        <w:spacing w:after="0" w:line="276" w:lineRule="auto"/>
        <w:jc w:val="both"/>
        <w:rPr>
          <w:rFonts w:ascii="Arial" w:hAnsi="Arial" w:cs="Arial"/>
          <w:color w:val="000000"/>
        </w:rPr>
      </w:pPr>
      <w:r w:rsidRPr="000E39AA">
        <w:rPr>
          <w:rFonts w:ascii="Arial" w:hAnsi="Arial" w:cs="Arial"/>
        </w:rPr>
        <w:t xml:space="preserve">The mechanical properties of scaffolds at a macroscopic and microscopic scale play a crucial role in regulating cell </w:t>
      </w:r>
      <w:r w:rsidR="00A31F9D" w:rsidRPr="000E39AA">
        <w:rPr>
          <w:rFonts w:ascii="Arial" w:hAnsi="Arial" w:cs="Arial"/>
        </w:rPr>
        <w:t>behaviour</w:t>
      </w:r>
      <w:r w:rsidRPr="000E39AA">
        <w:rPr>
          <w:rFonts w:ascii="Arial" w:hAnsi="Arial" w:cs="Arial"/>
        </w:rPr>
        <w:t xml:space="preserve"> </w:t>
      </w:r>
      <w:r w:rsidRPr="000E39AA">
        <w:rPr>
          <w:rFonts w:ascii="Arial" w:hAnsi="Arial" w:cs="Arial"/>
        </w:rPr>
        <w:fldChar w:fldCharType="begin" w:fldLock="1"/>
      </w:r>
      <w:r w:rsidR="00A445D5">
        <w:rPr>
          <w:rFonts w:ascii="Arial" w:hAnsi="Arial" w:cs="Arial"/>
        </w:rPr>
        <w:instrText>ADDIN CSL_CITATION {"citationItems":[{"id":"ITEM-1","itemData":{"DOI":"10.1016/j.actbio.2017.07.028","ISSN":"18787568","PMID":"28736220","abstract":"Hydrogels have been recognized as crucial biomaterials in the field of tissue engineering, regenerative medicine, and drug delivery applications due to their specific characteristics. These biomaterials benefit from retaining a large amount of water, effective mass transfer, similarity to natural tissues and the ability to form different shapes. However, having relatively poor mechanical properties is a limiting factor associated with hydrogel biomaterials. Controlling the biomechanical properties of hydrogels is of paramount importance. In this work, firstly, mechanical characteristics of hydrogels and methods employed for characterizing these properties are explored. Subsequently, the most common approaches used for tuning mechanical properties of hydrogels including but are not limited to, interpenetrating polymer networks, nanocomposites, self-assembly techniques, and co-polymerization are discussed. The performance of different techniques used for tuning biomechanical properties of hydrogels is further compared. Such techniques involve lithography techniques for replication of tissues with complex mechanical profiles; microfluidic techniques applicable for generating gradients of mechanical properties in hydrogel biomaterials for engineering complex human tissues like intervertebral discs, osteochondral tissues, blood vessels and skin layers; and electrospinning techniques for synthesis of hybrid hydrogels and highly ordered fibers with tunable mechanical and biological properties. We finally discuss future perspectives and challenges for controlling biomimetic hydrogel materials possessing proper biomechanical properties. Statement of Significance Hydrogels biomaterials are essential constituting components of engineered tissues with the applications in regenerative medicine and drug delivery. The mechanical properties of hydrogels play crucial roles in regulating the interactions between cells and extracellular matrix and directing the cells phenotype and genotype. Despite significant advances in developing methods and techniques with the ability of tuning the biomechanical properties of hydrogels, there are still challenges regarding the synthesis of hydrogels with complex mechanical profiles as well as limitations in vascularization and patterning of complex structures of natural tissues which barricade the production of sophisticated organs. Therefore, in addition to a review on advanced methods and techniques for measuring a variety of differ…","author":[{"dropping-particle":"","family":"Vedadghavami","given":"Armin","non-dropping-particle":"","parse-names":false,"suffix":""},{"dropping-particle":"","family":"Minooei","given":"Farnaz","non-dropping-particle":"","parse-names":false,"suffix":""},{"dropping-particle":"","family":"Mohammadi","given":"Mohammad Hossein","non-dropping-particle":"","parse-names":false,"suffix":""},{"dropping-particle":"","family":"Khetani","given":"Sultan","non-dropping-particle":"","parse-names":false,"suffix":""},{"dropping-particle":"","family":"Rezaei Kolahchi","given":"Ahmad","non-dropping-particle":"","parse-names":false,"suffix":""},{"dropping-particle":"","family":"Mashayekhan","given":"Shohreh","non-dropping-particle":"","parse-names":false,"suffix":""},{"dropping-particle":"","family":"Sanati-Nezhad","given":"Amir","non-dropping-particle":"","parse-names":false,"suffix":""}],"container-title":"Acta Biomaterialia","id":"ITEM-1","issued":{"date-parts":[["2017"]]},"page":"42-63","publisher":"Acta Materialia Inc.","title":"Manufacturing of hydrogel biomaterials with controlled mechanical properties for tissue engineering applications","type":"article-journal","volume":"62"},"uris":["http://www.mendeley.com/documents/?uuid=aaf06aa5-8f89-4b91-a200-aefac62265d4"]}],"mendeley":{"formattedCitation":"[47]","plainTextFormattedCitation":"[47]","previouslyFormattedCitation":"[47]"},"properties":{"noteIndex":0},"schema":"https://github.com/citation-style-language/schema/raw/master/csl-citation.json"}</w:instrText>
      </w:r>
      <w:r w:rsidRPr="000E39AA">
        <w:rPr>
          <w:rFonts w:ascii="Arial" w:hAnsi="Arial" w:cs="Arial"/>
        </w:rPr>
        <w:fldChar w:fldCharType="separate"/>
      </w:r>
      <w:r w:rsidR="0062132B" w:rsidRPr="0062132B">
        <w:rPr>
          <w:rFonts w:ascii="Arial" w:hAnsi="Arial" w:cs="Arial"/>
          <w:noProof/>
        </w:rPr>
        <w:t>[47]</w:t>
      </w:r>
      <w:r w:rsidRPr="000E39AA">
        <w:rPr>
          <w:rFonts w:ascii="Arial" w:hAnsi="Arial" w:cs="Arial"/>
        </w:rPr>
        <w:fldChar w:fldCharType="end"/>
      </w:r>
      <w:r w:rsidRPr="000E39AA">
        <w:rPr>
          <w:rFonts w:ascii="Arial" w:hAnsi="Arial" w:cs="Arial"/>
        </w:rPr>
        <w:t xml:space="preserve"> and, typically, vary dependent</w:t>
      </w:r>
      <w:r w:rsidR="007967A5">
        <w:rPr>
          <w:rFonts w:ascii="Arial" w:hAnsi="Arial" w:cs="Arial"/>
        </w:rPr>
        <w:t>ly</w:t>
      </w:r>
      <w:r w:rsidRPr="000E39AA">
        <w:rPr>
          <w:rFonts w:ascii="Arial" w:hAnsi="Arial" w:cs="Arial"/>
        </w:rPr>
        <w:t xml:space="preserve"> on the biomaterial system of choice. Hydrogels display exceptional biocompatibility, hydrophilicity, degradability and oxygen/nutrient permeability together with structural stability </w:t>
      </w:r>
      <w:r w:rsidRPr="000E39AA">
        <w:rPr>
          <w:rFonts w:ascii="Arial" w:hAnsi="Arial" w:cs="Arial"/>
        </w:rPr>
        <w:fldChar w:fldCharType="begin" w:fldLock="1"/>
      </w:r>
      <w:r w:rsidR="00A445D5">
        <w:rPr>
          <w:rFonts w:ascii="Arial" w:hAnsi="Arial" w:cs="Arial"/>
        </w:rPr>
        <w:instrText>ADDIN CSL_CITATION {"citationItems":[{"id":"ITEM-1","itemData":{"DOI":"10.1016/j.biomaterials.2017.10.002","ISSN":"0142-9612","author":[{"dropping-particle":"","family":"Zhuang","given":"Pei","non-dropping-particle":"","parse-names":false,"suffix":""},{"dropping-particle":"","family":"Xuyang","given":"Alfred","non-dropping-particle":"","parse-names":false,"suffix":""},{"dropping-particle":"","family":"An","given":"Jia","non-dropping-particle":"","parse-names":false,"suffix":""},{"dropping-particle":"","family":"Kai","given":"Chee","non-dropping-particle":"","parse-names":false,"suffix":""},{"dropping-particle":"","family":"Yian","given":"Sing","non-dropping-particle":"","parse-names":false,"suffix":""}],"container-title":"Biomaterials","id":"ITEM-1","issued":{"date-parts":[["2018"]]},"page":"113-133","publisher":"Elsevier Ltd","title":"Biomaterials 3D neural tissue models : From spheroids to bioprinting","type":"article-journal","volume":"154"},"uris":["http://www.mendeley.com/documents/?uuid=b121a430-6018-4b21-81ba-a80f373d87fa"]}],"mendeley":{"formattedCitation":"[48]","plainTextFormattedCitation":"[48]","previouslyFormattedCitation":"[48]"},"properties":{"noteIndex":0},"schema":"https://github.com/citation-style-language/schema/raw/master/csl-citation.json"}</w:instrText>
      </w:r>
      <w:r w:rsidRPr="000E39AA">
        <w:rPr>
          <w:rFonts w:ascii="Arial" w:hAnsi="Arial" w:cs="Arial"/>
        </w:rPr>
        <w:fldChar w:fldCharType="separate"/>
      </w:r>
      <w:r w:rsidR="0062132B" w:rsidRPr="0062132B">
        <w:rPr>
          <w:rFonts w:ascii="Arial" w:hAnsi="Arial" w:cs="Arial"/>
          <w:noProof/>
        </w:rPr>
        <w:t>[48]</w:t>
      </w:r>
      <w:r w:rsidRPr="000E39AA">
        <w:rPr>
          <w:rFonts w:ascii="Arial" w:hAnsi="Arial" w:cs="Arial"/>
        </w:rPr>
        <w:fldChar w:fldCharType="end"/>
      </w:r>
      <w:r w:rsidRPr="000E39AA">
        <w:rPr>
          <w:rFonts w:ascii="Arial" w:hAnsi="Arial" w:cs="Arial"/>
        </w:rPr>
        <w:t xml:space="preserve">. A number of studies have shown that mechanical properties of biomaterials influence and guide HBMSCs differentiation along the different stromal lineages depending on the particular Young’s moduli (or elastic modulus, E) of the material </w:t>
      </w:r>
      <w:r w:rsidRPr="000E39AA">
        <w:rPr>
          <w:rFonts w:ascii="Arial" w:hAnsi="Arial" w:cs="Arial"/>
        </w:rPr>
        <w:fldChar w:fldCharType="begin" w:fldLock="1"/>
      </w:r>
      <w:r w:rsidR="00A445D5">
        <w:rPr>
          <w:rFonts w:ascii="Arial" w:hAnsi="Arial" w:cs="Arial"/>
        </w:rPr>
        <w:instrText>ADDIN CSL_CITATION {"citationItems":[{"id":"ITEM-1","itemData":{"DOI":"10.1016/j.biomaterials.2016.05.004","ISSN":"01429612","abstract":"file:///C:/Users/Marika/Desktop/università di pavia/articoli/strategie per l'infertilità/nihms964087.pdf","author":[{"dropping-particle":"","family":"Mao","given":"Angelo S.","non-dropping-particle":"","parse-names":false,"suffix":""},{"dropping-particle":"","family":"Shin","given":"Jae-Won","non-dropping-particle":"","parse-names":false,"suffix":""},{"dropping-particle":"","family":"Mooney","given":"David J.","non-dropping-particle":"","parse-names":false,"suffix":""}],"container-title":"Biomaterials","id":"ITEM-1","issue":"3","issued":{"date-parts":[["2016","8"]]},"page":"184-191","title":"Effects of substrate stiffness and cell-cell contact on mesenchymal stem cell differentiation","type":"article-journal","volume":"98"},"uris":["http://www.mendeley.com/documents/?uuid=a77b81d3-7bc0-4ee4-a555-3890160bb606"]}],"mendeley":{"formattedCitation":"[49]","plainTextFormattedCitation":"[49]","previouslyFormattedCitation":"[49]"},"properties":{"noteIndex":0},"schema":"https://github.com/citation-style-language/schema/raw/master/csl-citation.json"}</w:instrText>
      </w:r>
      <w:r w:rsidRPr="000E39AA">
        <w:rPr>
          <w:rFonts w:ascii="Arial" w:hAnsi="Arial" w:cs="Arial"/>
        </w:rPr>
        <w:fldChar w:fldCharType="separate"/>
      </w:r>
      <w:r w:rsidR="0062132B" w:rsidRPr="0062132B">
        <w:rPr>
          <w:rFonts w:ascii="Arial" w:hAnsi="Arial" w:cs="Arial"/>
          <w:noProof/>
        </w:rPr>
        <w:t>[49]</w:t>
      </w:r>
      <w:r w:rsidRPr="000E39AA">
        <w:rPr>
          <w:rFonts w:ascii="Arial" w:hAnsi="Arial" w:cs="Arial"/>
        </w:rPr>
        <w:fldChar w:fldCharType="end"/>
      </w:r>
      <w:r w:rsidRPr="000E39AA">
        <w:rPr>
          <w:rFonts w:ascii="Arial" w:hAnsi="Arial" w:cs="Arial"/>
        </w:rPr>
        <w:t xml:space="preserve">. </w:t>
      </w:r>
      <w:proofErr w:type="spellStart"/>
      <w:r w:rsidRPr="000E39AA">
        <w:rPr>
          <w:rFonts w:ascii="Arial" w:hAnsi="Arial" w:cs="Arial"/>
        </w:rPr>
        <w:t>Osteoconductivity</w:t>
      </w:r>
      <w:proofErr w:type="spellEnd"/>
      <w:r w:rsidRPr="000E39AA">
        <w:rPr>
          <w:rFonts w:ascii="Arial" w:hAnsi="Arial" w:cs="Arial"/>
        </w:rPr>
        <w:t xml:space="preserve"> and </w:t>
      </w:r>
      <w:proofErr w:type="spellStart"/>
      <w:r w:rsidRPr="000E39AA">
        <w:rPr>
          <w:rFonts w:ascii="Arial" w:hAnsi="Arial" w:cs="Arial"/>
        </w:rPr>
        <w:t>osteoinductivity</w:t>
      </w:r>
      <w:proofErr w:type="spellEnd"/>
      <w:r w:rsidRPr="000E39AA">
        <w:rPr>
          <w:rFonts w:ascii="Arial" w:hAnsi="Arial" w:cs="Arial"/>
        </w:rPr>
        <w:t xml:space="preserve"> are additional properties given a bone biomaterial platform will ideally </w:t>
      </w:r>
      <w:r w:rsidRPr="000E39AA">
        <w:rPr>
          <w:rFonts w:ascii="Arial" w:hAnsi="Arial" w:cs="Arial"/>
          <w:color w:val="000000"/>
        </w:rPr>
        <w:t xml:space="preserve">promote bone formation and guide autologous and skeletal-residing stem cells to differentiate into bone cells </w:t>
      </w:r>
      <w:r w:rsidRPr="000E39AA">
        <w:rPr>
          <w:rFonts w:ascii="Arial" w:hAnsi="Arial" w:cs="Arial"/>
        </w:rPr>
        <w:fldChar w:fldCharType="begin" w:fldLock="1"/>
      </w:r>
      <w:r w:rsidR="00A445D5">
        <w:rPr>
          <w:rFonts w:ascii="Arial" w:hAnsi="Arial" w:cs="Arial"/>
        </w:rPr>
        <w:instrText>ADDIN CSL_CITATION {"citationItems":[{"id":"ITEM-1","itemData":{"DOI":"10.1016/j.bone.2015.07.007","ISSN":"87563282","PMID":"26163110","abstract":"Regeneration of bone defects caused by trauma, infection, tumours or inherent genetic disorders is a clinical challenge that usually necessitates bone grafting materials. Autologous bone or autograft is still considered the clinical \"gold standard\" and the most effective method for bone regeneration. However, limited bone supply and donor site morbidity are the most important disadvantages of autografting. Improved biomaterials are needed to match the performance of autograft as this is still superior to that of synthetic bone grafts. Osteoinductive materials would be the perfect candidates for achieving this task. The aim of this article is to review the different groups of bone substitutes in terms of their most recently reported osteoinductive properties. The different factors influencing osteoinductivity by biomaterials as well as the mechanisms behind this phenomenon are also presented, showing that it is very limited compared to osteoinductivity shown by bone morphogenetic proteins (BMPs). Therefore, a new term to describe osteoinductivity by biomaterials is proposed. Different strategies for adding osteoinductivity (BMPs, stem cells) to bone substitutes are also discussed. The overall objective of this paper is to gather the current knowledge on osteoinductivity of bone grafting materials for the effective development of new graft substitutes that enhance bone regeneration.","author":[{"dropping-particle":"","family":"García-Gareta","given":"Elena","non-dropping-particle":"","parse-names":false,"suffix":""},{"dropping-particle":"","family":"Coathup","given":"Melanie J.","non-dropping-particle":"","parse-names":false,"suffix":""},{"dropping-particle":"","family":"Blunn","given":"Gordon W.","non-dropping-particle":"","parse-names":false,"suffix":""}],"container-title":"Bone","id":"ITEM-1","issued":{"date-parts":[["2015"]]},"page":"112-121","publisher":"Elsevier Inc.","title":"Osteoinduction of bone grafting materials for bone repair and regeneration","type":"article-journal","volume":"81"},"uris":["http://www.mendeley.com/documents/?uuid=4af77c53-3b02-4231-ba7a-90cfdb763c5d"]}],"mendeley":{"formattedCitation":"[50]","plainTextFormattedCitation":"[50]","previouslyFormattedCitation":"[50]"},"properties":{"noteIndex":0},"schema":"https://github.com/citation-style-language/schema/raw/master/csl-citation.json"}</w:instrText>
      </w:r>
      <w:r w:rsidRPr="000E39AA">
        <w:rPr>
          <w:rFonts w:ascii="Arial" w:hAnsi="Arial" w:cs="Arial"/>
        </w:rPr>
        <w:fldChar w:fldCharType="separate"/>
      </w:r>
      <w:r w:rsidR="0062132B" w:rsidRPr="0062132B">
        <w:rPr>
          <w:rFonts w:ascii="Arial" w:hAnsi="Arial" w:cs="Arial"/>
          <w:noProof/>
        </w:rPr>
        <w:t>[50]</w:t>
      </w:r>
      <w:r w:rsidRPr="000E39AA">
        <w:rPr>
          <w:rFonts w:ascii="Arial" w:hAnsi="Arial" w:cs="Arial"/>
        </w:rPr>
        <w:fldChar w:fldCharType="end"/>
      </w:r>
      <w:r w:rsidRPr="000E39AA">
        <w:rPr>
          <w:rFonts w:ascii="Arial" w:hAnsi="Arial" w:cs="Arial"/>
        </w:rPr>
        <w:t xml:space="preserve">. In contrast, biomaterials with a low elastic modulus are required for the regeneration of neural tissues. To guide the repair of neural tissue, the biomaterial system needs to facilitate and foster neural network formation, mimicking the same function of the neural extracellular matrix (ECM) </w:t>
      </w:r>
      <w:r w:rsidRPr="000E39AA">
        <w:rPr>
          <w:rFonts w:ascii="Arial" w:hAnsi="Arial" w:cs="Arial"/>
          <w:color w:val="000000"/>
        </w:rPr>
        <w:fldChar w:fldCharType="begin" w:fldLock="1"/>
      </w:r>
      <w:r w:rsidR="00A445D5">
        <w:rPr>
          <w:rFonts w:ascii="Arial" w:hAnsi="Arial" w:cs="Arial"/>
          <w:color w:val="000000"/>
        </w:rPr>
        <w:instrText>ADDIN CSL_CITATION {"citationItems":[{"id":"ITEM-1","itemData":{"DOI":"10.1016/j.biomaterials.2015.07.022","ISSN":"18785905","PMID":"26231917","abstract":"The brain is an enormously complex organ structured into various regions of layered tissue. Researchers have attempted to study the brain by modeling the architecture using two dimensional (2D) in vitro cell culturing methods. While those platforms attempt to mimic the in vivo environment, they do not truly resemble the three dimensional (3D) microstructure of neuronal tissues. Development of an accurate in vitro model of the brain remains a significant obstacle to our understanding of the functioning of the brain at the tissue or organ level. To address these obstacles, we demonstrate a new method to bioprint 3D brain-like structures consisting of discrete layers of primary neural cells encapsulated in hydrogels. Brain-like structures were constructed using a bio-ink consisting of a novel peptide-modified biopolymer, gellan gum-RGD (RGD-GG), combined with primary cortical neurons. The ink was optimized for a modified reactive printing process and developed for use in traditional cell culturing facilities without the need for extensive bioprinting equipment. Furthermore the peptide modification of the gellan gum hydrogel was found to have a profound positive effect on primary cell proliferation and network formation. The neural cell viability combined with the support of neural network formation demonstrated the cell supportive nature of the matrix. The facile ability to form discrete cell-containing layers validates the application of this novel printing technique to form complex, layered and viable 3D cell structures. These brain-like structures offer the opportunity to reproduce more accurate 3D in vitro microstructures with applications ranging from cell behavior studies to improving our understanding of brain injuries and neurodegenerative diseases.","author":[{"dropping-particle":"","family":"Lozano","given":"Rodrigo","non-dropping-particle":"","parse-names":false,"suffix":""},{"dropping-particle":"","family":"Stevens","given":"Leo","non-dropping-particle":"","parse-names":false,"suffix":""},{"dropping-particle":"","family":"Thompson","given":"Brianna C.","non-dropping-particle":"","parse-names":false,"suffix":""},{"dropping-particle":"","family":"Gilmore","given":"Kerry J.","non-dropping-particle":"","parse-names":false,"suffix":""},{"dropping-particle":"","family":"Gorkin","given":"Robert","non-dropping-particle":"","parse-names":false,"suffix":""},{"dropping-particle":"","family":"Stewart","given":"Elise M.","non-dropping-particle":"","parse-names":false,"suffix":""},{"dropping-particle":"","family":"Panhuis","given":"Marc","non-dropping-particle":"in het","parse-names":false,"suffix":""},{"dropping-particle":"","family":"Romero-Ortega","given":"Mario","non-dropping-particle":"","parse-names":false,"suffix":""},{"dropping-particle":"","family":"Wallace","given":"Gordon G.","non-dropping-particle":"","parse-names":false,"suffix":""}],"container-title":"Biomaterials","id":"ITEM-1","issued":{"date-parts":[["2015"]]},"page":"264-273","publisher":"Elsevier Ltd","title":"3D printing of layered brain-like structures using peptide modified gellan gum substrates","type":"article-journal","volume":"67"},"uris":["http://www.mendeley.com/documents/?uuid=f57a7ead-5508-4fa1-a7df-c9913e4d4908"]}],"mendeley":{"formattedCitation":"[51]","plainTextFormattedCitation":"[51]","previouslyFormattedCitation":"[51]"},"properties":{"noteIndex":0},"schema":"https://github.com/citation-style-language/schema/raw/master/csl-citation.json"}</w:instrText>
      </w:r>
      <w:r w:rsidRPr="000E39AA">
        <w:rPr>
          <w:rFonts w:ascii="Arial" w:hAnsi="Arial" w:cs="Arial"/>
          <w:color w:val="000000"/>
        </w:rPr>
        <w:fldChar w:fldCharType="separate"/>
      </w:r>
      <w:r w:rsidR="0062132B" w:rsidRPr="0062132B">
        <w:rPr>
          <w:rFonts w:ascii="Arial" w:hAnsi="Arial" w:cs="Arial"/>
          <w:noProof/>
          <w:color w:val="000000"/>
        </w:rPr>
        <w:t>[51]</w:t>
      </w:r>
      <w:r w:rsidRPr="000E39AA">
        <w:rPr>
          <w:rFonts w:ascii="Arial" w:hAnsi="Arial" w:cs="Arial"/>
          <w:color w:val="000000"/>
        </w:rPr>
        <w:fldChar w:fldCharType="end"/>
      </w:r>
      <w:r w:rsidRPr="000E39AA">
        <w:rPr>
          <w:rFonts w:ascii="Arial" w:hAnsi="Arial" w:cs="Arial"/>
        </w:rPr>
        <w:t>. Thus,  differences in Young’s moduli impact on cell fate: a biomaterial with E &lt; 1 kPa facilitating brain tissue development with iPSCs induced to differentiate into neurons, while E in the range of 90-230 kPa may be suitable for the spinal cord tissue development</w:t>
      </w:r>
      <w:r w:rsidRPr="000E39AA">
        <w:rPr>
          <w:rFonts w:ascii="Arial" w:hAnsi="Arial" w:cs="Arial"/>
          <w:color w:val="000000"/>
        </w:rPr>
        <w:t xml:space="preserve"> </w:t>
      </w:r>
      <w:r w:rsidRPr="000E39AA">
        <w:rPr>
          <w:rFonts w:ascii="Arial" w:hAnsi="Arial" w:cs="Arial"/>
          <w:color w:val="000000"/>
        </w:rPr>
        <w:fldChar w:fldCharType="begin" w:fldLock="1"/>
      </w:r>
      <w:r w:rsidR="00A445D5">
        <w:rPr>
          <w:rFonts w:ascii="Arial" w:hAnsi="Arial" w:cs="Arial"/>
          <w:color w:val="000000"/>
        </w:rPr>
        <w:instrText>ADDIN CSL_CITATION {"citationItems":[{"id":"ITEM-1","itemData":{"DOI":"10.1529/biophysj.108.132217","ISSN":"15420086","PMID":"18658232","abstract":"Although biochemical signals that modulate stem cell self-renewal and differentiation were extensively studied, only recently were the mechanical properties of a stem cell's microenvironment shown to regulate its behavior. It would be desirable to have independent control over biochemical and mechanical cues, to analyze their relative and combined effects on stem-cell function. We developed a synthetic, interfacial hydrogel culture system, termed variable moduli interpenetrating polymer networks (vmIPNs), to assess the effects of soluble signals, adhesion ligand presentation, and material moduli from 10-10,000 Pa on adult neural stem-cell (aNSC) behavior. The aNSCs proliferated when cultured in serum-free growth media on peptide-modified vmIPNs with moduli of ≥100 Pa. In serum-free neuronal differentiation media, a peak level of the neuronal marker, β-tubulin III, was observed on vmIPNs of 500 Pa, near the physiological stiffness of brain tissue. Furthermore, under mixed differentiation conditions with serum, softer gels (</w:instrText>
      </w:r>
      <w:r w:rsidR="00A445D5">
        <w:rPr>
          <w:rFonts w:ascii="Cambria Math" w:hAnsi="Cambria Math" w:cs="Cambria Math"/>
          <w:color w:val="000000"/>
        </w:rPr>
        <w:instrText>∼</w:instrText>
      </w:r>
      <w:r w:rsidR="00A445D5">
        <w:rPr>
          <w:rFonts w:ascii="Arial" w:hAnsi="Arial" w:cs="Arial"/>
          <w:color w:val="000000"/>
        </w:rPr>
        <w:instrText>100-500 Pa) greatly favored neurons, whereas harder gels (</w:instrText>
      </w:r>
      <w:r w:rsidR="00A445D5">
        <w:rPr>
          <w:rFonts w:ascii="Cambria Math" w:hAnsi="Cambria Math" w:cs="Cambria Math"/>
          <w:color w:val="000000"/>
        </w:rPr>
        <w:instrText>∼</w:instrText>
      </w:r>
      <w:r w:rsidR="00A445D5">
        <w:rPr>
          <w:rFonts w:ascii="Arial" w:hAnsi="Arial" w:cs="Arial"/>
          <w:color w:val="000000"/>
        </w:rPr>
        <w:instrText xml:space="preserve">1,000-10,000 Pa) promoted glial cultures. In contrast, cell spreading, self-renewal, and differentiation were inhibited on substrata with moduli of </w:instrText>
      </w:r>
      <w:r w:rsidR="00A445D5">
        <w:rPr>
          <w:rFonts w:ascii="Cambria Math" w:hAnsi="Cambria Math" w:cs="Cambria Math"/>
          <w:color w:val="000000"/>
        </w:rPr>
        <w:instrText>∼</w:instrText>
      </w:r>
      <w:r w:rsidR="00A445D5">
        <w:rPr>
          <w:rFonts w:ascii="Arial" w:hAnsi="Arial" w:cs="Arial"/>
          <w:color w:val="000000"/>
        </w:rPr>
        <w:instrText>10 Pa. This work demonstrates that the mechanical and biochemical properties of an aNSC microenvironment can be tuned to regulate the self-renewal and differentiation of aNSCs. © 2008 by the Biophysical Society.","author":[{"dropping-particle":"","family":"Saha","given":"Krishanu","non-dropping-particle":"","parse-names":false,"suffix":""},{"dropping-particle":"","family":"Keung","given":"Albert J.","non-dropping-particle":"","parse-names":false,"suffix":""},{"dropping-particle":"","family":"Irwin","given":"Elizabeth F.","non-dropping-particle":"","parse-names":false,"suffix":""},{"dropping-particle":"","family":"Li","given":"Yang","non-dropping-particle":"","parse-names":false,"suffix":""},{"dropping-particle":"","family":"Little","given":"Lauren","non-dropping-particle":"","parse-names":false,"suffix":""},{"dropping-particle":"V.","family":"Schaffer","given":"David","non-dropping-particle":"","parse-names":false,"suffix":""},{"dropping-particle":"","family":"Healy","given":"Kevin E.","non-dropping-particle":"","parse-names":false,"suffix":""}],"container-title":"Biophysical Journal","id":"ITEM-1","issue":"9","issued":{"date-parts":[["2008"]]},"page":"4426-4438","publisher":"Elsevier","title":"Substrate modulus directs neural stem cell behavior","type":"article-journal","volume":"95"},"uris":["http://www.mendeley.com/documents/?uuid=6caa93be-d82c-4a62-a513-21901b343f38"]},{"id":"ITEM-2","itemData":{"DOI":"10.1016/j.biomaterials.2017.10.002","ISSN":"0142-9612","author":[{"dropping-particle":"","family":"Zhuang","given":"Pei","non-dropping-particle":"","parse-names":false,"suffix":""},{"dropping-particle":"","family":"Xuyang","given":"Alfred","non-dropping-particle":"","parse-names":false,"suffix":""},{"dropping-particle":"","family":"An","given":"Jia","non-dropping-particle":"","parse-names":false,"suffix":""},{"dropping-particle":"","family":"Kai","given":"Chee","non-dropping-particle":"","parse-names":false,"suffix":""},{"dropping-particle":"","family":"Yian","given":"Sing","non-dropping-particle":"","parse-names":false,"suffix":""}],"container-title":"Biomaterials","id":"ITEM-2","issued":{"date-parts":[["2018"]]},"page":"113-133","publisher":"Elsevier Ltd","title":"Biomaterials 3D neural tissue models : From spheroids to bioprinting","type":"article-journal","volume":"154"},"uris":["http://www.mendeley.com/documents/?uuid=b121a430-6018-4b21-81ba-a80f373d87fa"]}],"mendeley":{"formattedCitation":"[48, 52]","plainTextFormattedCitation":"[48, 52]","previouslyFormattedCitation":"[48, 52]"},"properties":{"noteIndex":0},"schema":"https://github.com/citation-style-language/schema/raw/master/csl-citation.json"}</w:instrText>
      </w:r>
      <w:r w:rsidRPr="000E39AA">
        <w:rPr>
          <w:rFonts w:ascii="Arial" w:hAnsi="Arial" w:cs="Arial"/>
          <w:color w:val="000000"/>
        </w:rPr>
        <w:fldChar w:fldCharType="separate"/>
      </w:r>
      <w:r w:rsidR="0062132B" w:rsidRPr="0062132B">
        <w:rPr>
          <w:rFonts w:ascii="Arial" w:hAnsi="Arial" w:cs="Arial"/>
          <w:noProof/>
          <w:color w:val="000000"/>
        </w:rPr>
        <w:t>[48, 52]</w:t>
      </w:r>
      <w:r w:rsidRPr="000E39AA">
        <w:rPr>
          <w:rFonts w:ascii="Arial" w:hAnsi="Arial" w:cs="Arial"/>
          <w:color w:val="000000"/>
        </w:rPr>
        <w:fldChar w:fldCharType="end"/>
      </w:r>
      <w:r w:rsidRPr="000E39AA">
        <w:rPr>
          <w:rFonts w:ascii="Arial" w:hAnsi="Arial" w:cs="Arial"/>
          <w:color w:val="000000"/>
        </w:rPr>
        <w:t xml:space="preserve">.  </w:t>
      </w:r>
    </w:p>
    <w:p w14:paraId="3D909468" w14:textId="77777777" w:rsidR="00F03759" w:rsidRPr="000E39AA" w:rsidRDefault="00F03759" w:rsidP="00F03759">
      <w:pPr>
        <w:pStyle w:val="Heading3"/>
      </w:pPr>
      <w:bookmarkStart w:id="45" w:name="_Toc98937871"/>
      <w:r w:rsidRPr="000E39AA">
        <w:t>TE 3D models and technologies</w:t>
      </w:r>
      <w:bookmarkEnd w:id="45"/>
    </w:p>
    <w:p w14:paraId="6E9A1F16" w14:textId="77777777" w:rsidR="00F03759" w:rsidRPr="000E39AA" w:rsidRDefault="00F03759" w:rsidP="00F03759">
      <w:pPr>
        <w:autoSpaceDE w:val="0"/>
        <w:autoSpaceDN w:val="0"/>
        <w:adjustRightInd w:val="0"/>
        <w:spacing w:after="0" w:line="276" w:lineRule="auto"/>
        <w:jc w:val="both"/>
        <w:rPr>
          <w:rFonts w:ascii="Arial" w:hAnsi="Arial" w:cs="Arial"/>
        </w:rPr>
      </w:pPr>
      <w:r w:rsidRPr="000E39AA">
        <w:rPr>
          <w:rFonts w:ascii="Arial" w:hAnsi="Arial" w:cs="Arial"/>
        </w:rPr>
        <w:t xml:space="preserve">3D </w:t>
      </w:r>
      <w:r w:rsidRPr="000E39AA">
        <w:rPr>
          <w:rFonts w:ascii="Arial" w:hAnsi="Arial" w:cs="Arial"/>
          <w:i/>
          <w:iCs/>
        </w:rPr>
        <w:t>in vitro</w:t>
      </w:r>
      <w:r w:rsidRPr="000E39AA">
        <w:rPr>
          <w:rFonts w:ascii="Arial" w:hAnsi="Arial" w:cs="Arial"/>
        </w:rPr>
        <w:t xml:space="preserve"> models offer novel tools for the evaluation of drug safety and efficacy. Two-dimensional culture of different cell types has allowed the generation of models able to explore diseases from a multi-tissue perspective. Nevertheless, the inability to fully recapitulate the complexity of the disease micro-environment and architectural functionality has proved detrimental and limiting. 3D models have thus in recent years attracted much interest as reliable and reproducible approaches for the fabrication of new biomimetic models for drug screening. </w:t>
      </w:r>
    </w:p>
    <w:p w14:paraId="29A78FDF" w14:textId="4B37CA5C" w:rsidR="00F03759" w:rsidRPr="000E39AA" w:rsidRDefault="001301CD" w:rsidP="00F03759">
      <w:pPr>
        <w:keepNext/>
        <w:autoSpaceDE w:val="0"/>
        <w:autoSpaceDN w:val="0"/>
        <w:adjustRightInd w:val="0"/>
        <w:spacing w:after="0" w:line="276" w:lineRule="auto"/>
        <w:jc w:val="center"/>
      </w:pPr>
      <w:r>
        <w:rPr>
          <w:noProof/>
          <w:lang w:eastAsia="en-GB"/>
        </w:rPr>
        <w:lastRenderedPageBreak/>
        <w:drawing>
          <wp:inline distT="0" distB="0" distL="0" distR="0" wp14:anchorId="7D234F83" wp14:editId="7CEB4151">
            <wp:extent cx="4648200" cy="3307527"/>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52492" cy="3310581"/>
                    </a:xfrm>
                    <a:prstGeom prst="rect">
                      <a:avLst/>
                    </a:prstGeom>
                    <a:noFill/>
                    <a:ln>
                      <a:noFill/>
                    </a:ln>
                  </pic:spPr>
                </pic:pic>
              </a:graphicData>
            </a:graphic>
          </wp:inline>
        </w:drawing>
      </w:r>
    </w:p>
    <w:p w14:paraId="1B3A8A1D" w14:textId="24E80D47" w:rsidR="00BC139B" w:rsidRPr="004A37CC" w:rsidRDefault="00BC139B" w:rsidP="00BC139B">
      <w:pPr>
        <w:pStyle w:val="Caption"/>
        <w:jc w:val="both"/>
        <w:rPr>
          <w:rFonts w:ascii="Arial" w:hAnsi="Arial" w:cs="Arial"/>
          <w:i w:val="0"/>
          <w:iCs w:val="0"/>
          <w:color w:val="auto"/>
        </w:rPr>
      </w:pPr>
      <w:r w:rsidRPr="004A37CC">
        <w:rPr>
          <w:rFonts w:ascii="Arial" w:hAnsi="Arial" w:cs="Arial"/>
          <w:b/>
          <w:bCs/>
          <w:i w:val="0"/>
          <w:iCs w:val="0"/>
          <w:color w:val="auto"/>
        </w:rPr>
        <w:t>Fig</w:t>
      </w:r>
      <w:r>
        <w:rPr>
          <w:rFonts w:ascii="Arial" w:hAnsi="Arial" w:cs="Arial"/>
          <w:b/>
          <w:bCs/>
          <w:i w:val="0"/>
          <w:iCs w:val="0"/>
          <w:color w:val="auto"/>
        </w:rPr>
        <w:t>.</w:t>
      </w:r>
      <w:r w:rsidRPr="004A37CC">
        <w:rPr>
          <w:rFonts w:ascii="Arial" w:hAnsi="Arial" w:cs="Arial"/>
          <w:b/>
          <w:bCs/>
          <w:i w:val="0"/>
          <w:iCs w:val="0"/>
          <w:color w:val="auto"/>
        </w:rPr>
        <w:t xml:space="preserve"> </w:t>
      </w:r>
      <w:r w:rsidRPr="004A37CC">
        <w:rPr>
          <w:rFonts w:ascii="Arial" w:hAnsi="Arial" w:cs="Arial"/>
          <w:b/>
          <w:bCs/>
          <w:i w:val="0"/>
          <w:iCs w:val="0"/>
          <w:color w:val="auto"/>
        </w:rPr>
        <w:fldChar w:fldCharType="begin"/>
      </w:r>
      <w:r w:rsidRPr="004A37CC">
        <w:rPr>
          <w:rFonts w:ascii="Arial" w:hAnsi="Arial" w:cs="Arial"/>
          <w:b/>
          <w:bCs/>
          <w:i w:val="0"/>
          <w:iCs w:val="0"/>
          <w:color w:val="auto"/>
        </w:rPr>
        <w:instrText xml:space="preserve"> SEQ Figure \* ARABIC </w:instrText>
      </w:r>
      <w:r w:rsidRPr="004A37CC">
        <w:rPr>
          <w:rFonts w:ascii="Arial" w:hAnsi="Arial" w:cs="Arial"/>
          <w:b/>
          <w:bCs/>
          <w:i w:val="0"/>
          <w:iCs w:val="0"/>
          <w:color w:val="auto"/>
        </w:rPr>
        <w:fldChar w:fldCharType="separate"/>
      </w:r>
      <w:r w:rsidRPr="004A37CC">
        <w:rPr>
          <w:rFonts w:ascii="Arial" w:hAnsi="Arial" w:cs="Arial"/>
          <w:b/>
          <w:bCs/>
          <w:i w:val="0"/>
          <w:iCs w:val="0"/>
          <w:noProof/>
          <w:color w:val="auto"/>
        </w:rPr>
        <w:t>2</w:t>
      </w:r>
      <w:r w:rsidRPr="004A37CC">
        <w:rPr>
          <w:rFonts w:ascii="Arial" w:hAnsi="Arial" w:cs="Arial"/>
          <w:b/>
          <w:bCs/>
          <w:i w:val="0"/>
          <w:iCs w:val="0"/>
          <w:color w:val="auto"/>
        </w:rPr>
        <w:fldChar w:fldCharType="end"/>
      </w:r>
      <w:r w:rsidR="0043351E">
        <w:rPr>
          <w:rFonts w:ascii="Arial" w:hAnsi="Arial" w:cs="Arial"/>
          <w:b/>
          <w:bCs/>
          <w:i w:val="0"/>
          <w:iCs w:val="0"/>
          <w:color w:val="auto"/>
        </w:rPr>
        <w:t xml:space="preserve"> </w:t>
      </w:r>
      <w:r w:rsidRPr="004A37CC">
        <w:rPr>
          <w:rFonts w:ascii="Arial" w:hAnsi="Arial" w:cs="Arial"/>
          <w:i w:val="0"/>
          <w:iCs w:val="0"/>
          <w:color w:val="auto"/>
        </w:rPr>
        <w:t xml:space="preserve">Tissue Engineering platforms for </w:t>
      </w:r>
      <w:r w:rsidRPr="004A37CC">
        <w:rPr>
          <w:rFonts w:ascii="Arial" w:hAnsi="Arial" w:cs="Arial"/>
          <w:color w:val="auto"/>
        </w:rPr>
        <w:t>in vitro</w:t>
      </w:r>
      <w:r w:rsidRPr="004A37CC">
        <w:rPr>
          <w:rFonts w:ascii="Arial" w:hAnsi="Arial" w:cs="Arial"/>
          <w:i w:val="0"/>
          <w:iCs w:val="0"/>
          <w:color w:val="auto"/>
        </w:rPr>
        <w:t xml:space="preserve"> disease modelling. Modelling platforms for the recapitulation of bone-neuro pathological conditions include: (a) 3D Bioprinting, (b) microfluidics and (c) organoids. These systems hold great potential in mimicking the disease conditions present in bone and neural tissue. 3D Bioprinting technologies offer the ability to pattern functional architectures and design as well as the ability to 3D print scalable and complex tissues. Microfluidics, lack the above listed abilities, but can precisely control small volumes of liquid required to create compartmentalised micro-environments for the development of in vitro models. Organoids, in contrast, offer biomaterial-free approaches with application of self-assembling properties of different type of cells to build and recapitulate physiologically functional tissue substitutes/models</w:t>
      </w:r>
    </w:p>
    <w:p w14:paraId="0A36E968" w14:textId="77777777" w:rsidR="00F03759" w:rsidRPr="000E39AA" w:rsidRDefault="00F03759" w:rsidP="00BC139B">
      <w:pPr>
        <w:pStyle w:val="Caption"/>
        <w:rPr>
          <w:rFonts w:ascii="Arial" w:hAnsi="Arial" w:cs="Arial"/>
        </w:rPr>
      </w:pPr>
    </w:p>
    <w:p w14:paraId="77A4E6E9" w14:textId="77777777" w:rsidR="00F03759" w:rsidRPr="000E39AA" w:rsidRDefault="00F03759" w:rsidP="003B434C">
      <w:pPr>
        <w:pStyle w:val="Heading4"/>
      </w:pPr>
      <w:bookmarkStart w:id="46" w:name="_Toc98937872"/>
      <w:r w:rsidRPr="000E39AA">
        <w:t>3.3.1 3D Bioprinting</w:t>
      </w:r>
      <w:bookmarkEnd w:id="46"/>
    </w:p>
    <w:p w14:paraId="0C3B7853" w14:textId="1EB29753" w:rsidR="00F03759" w:rsidRPr="000E39AA" w:rsidRDefault="00F03759" w:rsidP="00F03759">
      <w:pPr>
        <w:autoSpaceDE w:val="0"/>
        <w:autoSpaceDN w:val="0"/>
        <w:adjustRightInd w:val="0"/>
        <w:spacing w:after="0" w:line="276" w:lineRule="auto"/>
        <w:jc w:val="both"/>
        <w:rPr>
          <w:rFonts w:ascii="Arial" w:hAnsi="Arial" w:cs="Arial"/>
          <w:i/>
          <w:iCs/>
        </w:rPr>
      </w:pPr>
      <w:r w:rsidRPr="000E39AA">
        <w:rPr>
          <w:rFonts w:ascii="Arial" w:hAnsi="Arial" w:cs="Arial"/>
        </w:rPr>
        <w:t xml:space="preserve">Additive manufacturing (AM) technologies support the layering of materials to print objects from three-dimensional model data, layer upon layer, facilitating the manufacture of structures with a predefined geometry and size </w:t>
      </w:r>
      <w:r w:rsidRPr="000E39AA">
        <w:rPr>
          <w:rFonts w:ascii="Arial" w:hAnsi="Arial" w:cs="Arial"/>
        </w:rPr>
        <w:fldChar w:fldCharType="begin" w:fldLock="1"/>
      </w:r>
      <w:r w:rsidR="00A445D5">
        <w:rPr>
          <w:rFonts w:ascii="Arial" w:hAnsi="Arial" w:cs="Arial"/>
        </w:rPr>
        <w:instrText>ADDIN CSL_CITATION {"citationItems":[{"id":"ITEM-1","itemData":{"DOI":"10.1002/term.1635","ISSN":"1932-7005 (Electronic)","PMID":"23172792","abstract":"'Additive manufacturing' (AM) refers to a class of manufacturing processes based on  the building of a solid object from three-dimensional (3D) model data by joining materials, usually layer upon layer. Among the vast array of techniques developed for the production of tissue-engineering (TE) scaffolds, AM techniques are gaining great interest for their suitability in achieving complex shapes and microstructures with a high degree of automation, good accuracy and reproducibility. In addition, the possibility of rapidly producing tissue-engineered constructs meeting patient's specific requirements, in terms of tissue defect size and geometry as well as autologous biological features, makes them a powerful way of enhancing clinical routine procedures. This paper gives an extensive overview of different AM techniques classes (i.e. stereolithography, selective laser sintering, 3D printing, melt-extrusion-based techniques, solution/slurry extrusion-based techniques, and tissue and organ printing) employed for the development of tissue-engineered constructs made of different materials (i.e. polymeric, ceramic and composite, alone or in combination with bioactive agents), by highlighting their principles and technological solutions.","author":[{"dropping-particle":"","family":"Mota","given":"Carlos","non-dropping-particle":"","parse-names":false,"suffix":""},{"dropping-particle":"","family":"Puppi","given":"Dario","non-dropping-particle":"","parse-names":false,"suffix":""},{"dropping-particle":"","family":"Chiellini","given":"Federica","non-dropping-particle":"","parse-names":false,"suffix":""},{"dropping-particle":"","family":"Chiellini","given":"Emo","non-dropping-particle":"","parse-names":false,"suffix":""}],"container-title":"Journal of tissue engineering and regenerative medicine","id":"ITEM-1","issue":"3","issued":{"date-parts":[["2015","3"]]},"language":"eng","page":"174-190","publisher-place":"England","title":"Additive manufacturing techniques for the production of tissue engineering  constructs.","type":"article-journal","volume":"9"},"uris":["http://www.mendeley.com/documents/?uuid=b5908cb6-757b-40f4-8b98-ca5370f423ee"]}],"mendeley":{"formattedCitation":"[53]","plainTextFormattedCitation":"[53]","previouslyFormattedCitation":"[53]"},"properties":{"noteIndex":0},"schema":"https://github.com/citation-style-language/schema/raw/master/csl-citation.json"}</w:instrText>
      </w:r>
      <w:r w:rsidRPr="000E39AA">
        <w:rPr>
          <w:rFonts w:ascii="Arial" w:hAnsi="Arial" w:cs="Arial"/>
        </w:rPr>
        <w:fldChar w:fldCharType="separate"/>
      </w:r>
      <w:r w:rsidR="0062132B" w:rsidRPr="0062132B">
        <w:rPr>
          <w:rFonts w:ascii="Arial" w:hAnsi="Arial" w:cs="Arial"/>
          <w:noProof/>
        </w:rPr>
        <w:t>[53]</w:t>
      </w:r>
      <w:r w:rsidRPr="000E39AA">
        <w:rPr>
          <w:rFonts w:ascii="Arial" w:hAnsi="Arial" w:cs="Arial"/>
        </w:rPr>
        <w:fldChar w:fldCharType="end"/>
      </w:r>
      <w:r w:rsidRPr="000E39AA">
        <w:rPr>
          <w:rFonts w:ascii="Arial" w:hAnsi="Arial" w:cs="Arial"/>
        </w:rPr>
        <w:t xml:space="preserve">. 3D bioprinting is a widely used AM technology to produce functional cell-laden scaffolds using polymeric bio-inks. </w:t>
      </w:r>
      <w:r w:rsidRPr="000E39AA">
        <w:rPr>
          <w:rFonts w:ascii="Arial" w:hAnsi="Arial" w:cs="Arial"/>
        </w:rPr>
        <w:fldChar w:fldCharType="begin" w:fldLock="1"/>
      </w:r>
      <w:r w:rsidR="00A445D5">
        <w:rPr>
          <w:rFonts w:ascii="Arial" w:hAnsi="Arial" w:cs="Arial"/>
        </w:rPr>
        <w:instrText>ADDIN CSL_CITATION {"citationItems":[{"id":"ITEM-1","itemData":{"DOI":"10.1186/s13287-018-0847-8","ISBN":"1328701808","ISSN":"17576512","PMID":"29678192","abstract":"The production of veritable in-vitro models of bone tissue is essential to understand the biology of bone and its surrounding environment, to analyze the pathogenesis of bone diseases (e.g., osteoporosis, osteoarthritis, osteomyelitis, etc.), to develop effective therapeutic drug screening, and to test potential therapeutic strategies. Dysregulated interactions between vasculature and bone cells are often related to the aforementioned pathologies, underscoring the need for a bone model that contains engineered vasculature. Due to ethical restraints and limited prediction power of animal models, human stem cell-based tissue engineering has gained increasing relevance as a candidate approach to overcome the limitations of animals and to serve as preclinical models for drug testing. Since bone is a highly vascularized tissue, the concomitant development of vasculature and mineralized matrix requires a synergistic interaction between osteogenic and endothelial precursors. A number of experimental approaches have been used to achieve this goal, such as the combination of angiogenic factors and three-dimensional scaffolds, prevascularization strategies, and coculture systems. In this review, we present an overview of the current models and approaches to generate in-vitro stem cell-based vascularized bone, with emphasis on the main challenges of vasculature engineering. These challenges are related to the choice of biomaterials, scaffold fabrication techniques, and cells, as well as the type of culturing conditions required, and specifically the application of dynamic culture systems using bioreactors.","author":[{"dropping-particle":"","family":"Pirosa","given":"Alessandro","non-dropping-particle":"","parse-names":false,"suffix":""},{"dropping-particle":"","family":"Gottardi","given":"Riccardo","non-dropping-particle":"","parse-names":false,"suffix":""},{"dropping-particle":"","family":"Alexander","given":"Peter G.","non-dropping-particle":"","parse-names":false,"suffix":""},{"dropping-particle":"","family":"Tuan","given":"Rocky S.","non-dropping-particle":"","parse-names":false,"suffix":""}],"container-title":"Stem Cell Research and Therapy","id":"ITEM-1","issue":"1","issued":{"date-parts":[["2018"]]},"publisher":"Stem Cell Research &amp; Therapy","title":"Engineering in-vitro stem cell-based vascularized bone models for drug screening and predictive toxicology","type":"article-journal","volume":"9"},"uris":["http://www.mendeley.com/documents/?uuid=8535910d-0b79-4233-9358-b91e57a66466"]},{"id":"ITEM-2","itemData":{"DOI":"10.1002/term.1635","ISSN":"1932-7005 (Electronic)","PMID":"23172792","abstract":"'Additive manufacturing' (AM) refers to a class of manufacturing processes based on  the building of a solid object from three-dimensional (3D) model data by joining materials, usually layer upon layer. Among the vast array of techniques developed for the production of tissue-engineering (TE) scaffolds, AM techniques are gaining great interest for their suitability in achieving complex shapes and microstructures with a high degree of automation, good accuracy and reproducibility. In addition, the possibility of rapidly producing tissue-engineered constructs meeting patient's specific requirements, in terms of tissue defect size and geometry as well as autologous biological features, makes them a powerful way of enhancing clinical routine procedures. This paper gives an extensive overview of different AM techniques classes (i.e. stereolithography, selective laser sintering, 3D printing, melt-extrusion-based techniques, solution/slurry extrusion-based techniques, and tissue and organ printing) employed for the development of tissue-engineered constructs made of different materials (i.e. polymeric, ceramic and composite, alone or in combination with bioactive agents), by highlighting their principles and technological solutions.","author":[{"dropping-particle":"","family":"Mota","given":"Carlos","non-dropping-particle":"","parse-names":false,"suffix":""},{"dropping-particle":"","family":"Puppi","given":"Dario","non-dropping-particle":"","parse-names":false,"suffix":""},{"dropping-particle":"","family":"Chiellini","given":"Federica","non-dropping-particle":"","parse-names":false,"suffix":""},{"dropping-particle":"","family":"Chiellini","given":"Emo","non-dropping-particle":"","parse-names":false,"suffix":""}],"container-title":"Journal of tissue engineering and regenerative medicine","id":"ITEM-2","issue":"3","issued":{"date-parts":[["2015","3"]]},"language":"eng","page":"174-190","publisher-place":"England","title":"Additive manufacturing techniques for the production of tissue engineering  constructs.","type":"article-journal","volume":"9"},"uris":["http://www.mendeley.com/documents/?uuid=b5908cb6-757b-40f4-8b98-ca5370f423ee"]}],"mendeley":{"formattedCitation":"[53, 54]","plainTextFormattedCitation":"[53, 54]","previouslyFormattedCitation":"[53, 54]"},"properties":{"noteIndex":0},"schema":"https://github.com/citation-style-language/schema/raw/master/csl-citation.json"}</w:instrText>
      </w:r>
      <w:r w:rsidRPr="000E39AA">
        <w:rPr>
          <w:rFonts w:ascii="Arial" w:hAnsi="Arial" w:cs="Arial"/>
        </w:rPr>
        <w:fldChar w:fldCharType="separate"/>
      </w:r>
      <w:r w:rsidR="0062132B" w:rsidRPr="0062132B">
        <w:rPr>
          <w:rFonts w:ascii="Arial" w:hAnsi="Arial" w:cs="Arial"/>
          <w:noProof/>
        </w:rPr>
        <w:t>[53, 54]</w:t>
      </w:r>
      <w:r w:rsidRPr="000E39AA">
        <w:rPr>
          <w:rFonts w:ascii="Arial" w:hAnsi="Arial" w:cs="Arial"/>
        </w:rPr>
        <w:fldChar w:fldCharType="end"/>
      </w:r>
      <w:r w:rsidRPr="000E39AA">
        <w:rPr>
          <w:rFonts w:ascii="Arial" w:hAnsi="Arial" w:cs="Arial"/>
        </w:rPr>
        <w:t xml:space="preserve">. Generally, a 3D bioprinted scaffold for </w:t>
      </w:r>
      <w:r w:rsidRPr="000E39AA">
        <w:rPr>
          <w:rFonts w:ascii="Arial" w:hAnsi="Arial" w:cs="Arial"/>
          <w:i/>
          <w:iCs/>
        </w:rPr>
        <w:t>in vitro</w:t>
      </w:r>
      <w:r w:rsidRPr="000E39AA">
        <w:rPr>
          <w:rFonts w:ascii="Arial" w:hAnsi="Arial" w:cs="Arial"/>
        </w:rPr>
        <w:t xml:space="preserve"> culture needs to present specific properties such as biocompatibility, controlled kinetics of biodegradability and comparable structural/mechanical properties to the native tissue to permit </w:t>
      </w:r>
      <w:r w:rsidRPr="000E39AA">
        <w:rPr>
          <w:rFonts w:ascii="Arial" w:hAnsi="Arial"/>
        </w:rPr>
        <w:t xml:space="preserve">adequate </w:t>
      </w:r>
      <w:r w:rsidRPr="000E39AA">
        <w:rPr>
          <w:rFonts w:ascii="Arial" w:hAnsi="Arial" w:cs="Arial"/>
        </w:rPr>
        <w:t xml:space="preserve">oxygenation, mass transfer, nutrient exchange and vascularisation </w:t>
      </w:r>
      <w:r w:rsidRPr="000E39AA">
        <w:rPr>
          <w:rFonts w:ascii="Arial" w:hAnsi="Arial" w:cs="Arial"/>
        </w:rPr>
        <w:fldChar w:fldCharType="begin" w:fldLock="1"/>
      </w:r>
      <w:r w:rsidR="00A445D5">
        <w:rPr>
          <w:rFonts w:ascii="Arial" w:hAnsi="Arial" w:cs="Arial"/>
        </w:rPr>
        <w:instrText>ADDIN CSL_CITATION {"citationItems":[{"id":"ITEM-1","itemData":{"DOI":"10.1016/j.biomaterials.2017.10.002","ISSN":"0142-9612","author":[{"dropping-particle":"","family":"Zhuang","given":"Pei","non-dropping-particle":"","parse-names":false,"suffix":""},{"dropping-particle":"","family":"Xuyang","given":"Alfred","non-dropping-particle":"","parse-names":false,"suffix":""},{"dropping-particle":"","family":"An","given":"Jia","non-dropping-particle":"","parse-names":false,"suffix":""},{"dropping-particle":"","family":"Kai","given":"Chee","non-dropping-particle":"","parse-names":false,"suffix":""},{"dropping-particle":"","family":"Yian","given":"Sing","non-dropping-particle":"","parse-names":false,"suffix":""}],"container-title":"Biomaterials","id":"ITEM-1","issued":{"date-parts":[["2018"]]},"page":"113-133","publisher":"Elsevier Ltd","title":"Biomaterials 3D neural tissue models : From spheroids to bioprinting","type":"article-journal","volume":"154"},"uris":["http://www.mendeley.com/documents/?uuid=b121a430-6018-4b21-81ba-a80f373d87fa"]},{"id":"ITEM-2","itemData":{"DOI":"10.1002/term.1635","ISSN":"1932-7005 (Electronic)","PMID":"23172792","abstract":"'Additive manufacturing' (AM) refers to a class of manufacturing processes based on  the building of a solid object from three-dimensional (3D) model data by joining materials, usually layer upon layer. Among the vast array of techniques developed for the production of tissue-engineering (TE) scaffolds, AM techniques are gaining great interest for their suitability in achieving complex shapes and microstructures with a high degree of automation, good accuracy and reproducibility. In addition, the possibility of rapidly producing tissue-engineered constructs meeting patient's specific requirements, in terms of tissue defect size and geometry as well as autologous biological features, makes them a powerful way of enhancing clinical routine procedures. This paper gives an extensive overview of different AM techniques classes (i.e. stereolithography, selective laser sintering, 3D printing, melt-extrusion-based techniques, solution/slurry extrusion-based techniques, and tissue and organ printing) employed for the development of tissue-engineered constructs made of different materials (i.e. polymeric, ceramic and composite, alone or in combination with bioactive agents), by highlighting their principles and technological solutions.","author":[{"dropping-particle":"","family":"Mota","given":"Carlos","non-dropping-particle":"","parse-names":false,"suffix":""},{"dropping-particle":"","family":"Puppi","given":"Dario","non-dropping-particle":"","parse-names":false,"suffix":""},{"dropping-particle":"","family":"Chiellini","given":"Federica","non-dropping-particle":"","parse-names":false,"suffix":""},{"dropping-particle":"","family":"Chiellini","given":"Emo","non-dropping-particle":"","parse-names":false,"suffix":""}],"container-title":"Journal of tissue engineering and regenerative medicine","id":"ITEM-2","issue":"3","issued":{"date-parts":[["2015","3"]]},"language":"eng","page":"174-190","publisher-place":"England","title":"Additive manufacturing techniques for the production of tissue engineering  constructs.","type":"article-journal","volume":"9"},"uris":["http://www.mendeley.com/documents/?uuid=b5908cb6-757b-40f4-8b98-ca5370f423ee"]},{"id":"ITEM-3","itemData":{"DOI":"10.1186/s13287-018-0847-8","ISBN":"1328701808","ISSN":"17576512","PMID":"29678192","abstract":"The production of veritable in-vitro models of bone tissue is essential to understand the biology of bone and its surrounding environment, to analyze the pathogenesis of bone diseases (e.g., osteoporosis, osteoarthritis, osteomyelitis, etc.), to develop effective therapeutic drug screening, and to test potential therapeutic strategies. Dysregulated interactions between vasculature and bone cells are often related to the aforementioned pathologies, underscoring the need for a bone model that contains engineered vasculature. Due to ethical restraints and limited prediction power of animal models, human stem cell-based tissue engineering has gained increasing relevance as a candidate approach to overcome the limitations of animals and to serve as preclinical models for drug testing. Since bone is a highly vascularized tissue, the concomitant development of vasculature and mineralized matrix requires a synergistic interaction between osteogenic and endothelial precursors. A number of experimental approaches have been used to achieve this goal, such as the combination of angiogenic factors and three-dimensional scaffolds, prevascularization strategies, and coculture systems. In this review, we present an overview of the current models and approaches to generate in-vitro stem cell-based vascularized bone, with emphasis on the main challenges of vasculature engineering. These challenges are related to the choice of biomaterials, scaffold fabrication techniques, and cells, as well as the type of culturing conditions required, and specifically the application of dynamic culture systems using bioreactors.","author":[{"dropping-particle":"","family":"Pirosa","given":"Alessandro","non-dropping-particle":"","parse-names":false,"suffix":""},{"dropping-particle":"","family":"Gottardi","given":"Riccardo","non-dropping-particle":"","parse-names":false,"suffix":""},{"dropping-particle":"","family":"Alexander","given":"Peter G.","non-dropping-particle":"","parse-names":false,"suffix":""},{"dropping-particle":"","family":"Tuan","given":"Rocky S.","non-dropping-particle":"","parse-names":false,"suffix":""}],"container-title":"Stem Cell Research and Therapy","id":"ITEM-3","issue":"1","issued":{"date-parts":[["2018"]]},"publisher":"Stem Cell Research &amp; Therapy","title":"Engineering in-vitro stem cell-based vascularized bone models for drug screening and predictive toxicology","type":"article-journal","volume":"9"},"uris":["http://www.mendeley.com/documents/?uuid=8535910d-0b79-4233-9358-b91e57a66466"]}],"mendeley":{"formattedCitation":"[48, 53, 54]","plainTextFormattedCitation":"[48, 53, 54]","previouslyFormattedCitation":"[48, 53, 54]"},"properties":{"noteIndex":0},"schema":"https://github.com/citation-style-language/schema/raw/master/csl-citation.json"}</w:instrText>
      </w:r>
      <w:r w:rsidRPr="000E39AA">
        <w:rPr>
          <w:rFonts w:ascii="Arial" w:hAnsi="Arial" w:cs="Arial"/>
        </w:rPr>
        <w:fldChar w:fldCharType="separate"/>
      </w:r>
      <w:r w:rsidR="0062132B" w:rsidRPr="0062132B">
        <w:rPr>
          <w:rFonts w:ascii="Arial" w:hAnsi="Arial" w:cs="Arial"/>
          <w:noProof/>
        </w:rPr>
        <w:t>[48, 53, 54]</w:t>
      </w:r>
      <w:r w:rsidRPr="000E39AA">
        <w:rPr>
          <w:rFonts w:ascii="Arial" w:hAnsi="Arial" w:cs="Arial"/>
        </w:rPr>
        <w:fldChar w:fldCharType="end"/>
      </w:r>
      <w:r w:rsidRPr="000E39AA">
        <w:rPr>
          <w:rFonts w:ascii="Arial" w:hAnsi="Arial" w:cs="Arial"/>
        </w:rPr>
        <w:t xml:space="preserve">. </w:t>
      </w:r>
      <w:r w:rsidR="00255C8F">
        <w:rPr>
          <w:rFonts w:ascii="Arial" w:hAnsi="Arial" w:cs="Arial"/>
        </w:rPr>
        <w:t>Thus, v</w:t>
      </w:r>
      <w:r w:rsidRPr="000E39AA">
        <w:rPr>
          <w:rFonts w:ascii="Arial" w:hAnsi="Arial" w:cs="Arial"/>
        </w:rPr>
        <w:t xml:space="preserve">ascularisation, while still a major challenge, is essential to recreate the natural metabolic functions of tissues, such as nutrient transportation and waste removal </w:t>
      </w:r>
      <w:r w:rsidRPr="000E39AA">
        <w:rPr>
          <w:rFonts w:ascii="Arial" w:hAnsi="Arial" w:cs="Arial"/>
        </w:rPr>
        <w:fldChar w:fldCharType="begin" w:fldLock="1"/>
      </w:r>
      <w:r w:rsidR="00A445D5">
        <w:rPr>
          <w:rFonts w:ascii="Arial" w:hAnsi="Arial" w:cs="Arial"/>
        </w:rPr>
        <w:instrText>ADDIN CSL_CITATION {"citationItems":[{"id":"ITEM-1","itemData":{"DOI":"10.1016/j.actbio.2021.01.012","ISSN":"18787568","PMID":"33454383","abstract":"The development of sufficient vascular networks is crucial for the successful fabrication of tissue constructs for regenerative medicine, as vascularization is essential to perform the metabolic functions of tissues, such as nutrient transportation and waste removal. In recent years, efforts to 3D print vascularized bone have gained substantial attention, as bone disorders and defects have a marked impact on the older generations of society. However, conventional and previous 3D printed bone studies have been plagued by the difficulty in obtaining the nanoscale geometrical precision necessary to recapitulate the distinct characteristics of natural bone. Additionally, the process of developing truly biomimetic vascularized bone tissue has been historically complex. In this study, a biomimetic nano-bone tissue construct with a perfusable, endothelialized vessel channel was developed using a combination of simple stereolithography (SLA) and fused deposition modeling (FDM) 3D printing systems. The perfusable vessel channel was created within the SLA printed bone scaffold using an FDM printed polyvinyl alcohol (PVA) sacrificial template. Within the fabricated constructs, bone tissue was formed through the osteogenic differentiation of human bone marrow mesenchymal stem cells (hMSCs), and distinct capillaries sprouted through the angiogenesis of the endothelialized vessel channel after human umbilical vein endothelial cells (HUVECs) had been perfused throughout. Furthermore, the fabricated constructs were evaluated in physiologically relevant culture conditions to predict tissue development after implantation in the human body. The experimental results revealed that the custom-designed bioreactor with an hMSC-HUVEC co-culture system enhanced the formation of vascular networks and the osteogenic maturation of the constructs for up to 20 days of observation.","author":[{"dropping-particle":"","family":"Hann","given":"Sung Yun","non-dropping-particle":"","parse-names":false,"suffix":""},{"dropping-particle":"","family":"Cui","given":"Haitao","non-dropping-particle":"","parse-names":false,"suffix":""},{"dropping-particle":"","family":"Esworthy","given":"Timothy","non-dropping-particle":"","parse-names":false,"suffix":""},{"dropping-particle":"","family":"Zhou","given":"Xuan","non-dropping-particle":"","parse-names":false,"suffix":""},{"dropping-particle":"","family":"Lee","given":"Se jun","non-dropping-particle":"","parse-names":false,"suffix":""},{"dropping-particle":"","family":"Plesniak","given":"Michael W.","non-dropping-particle":"","parse-names":false,"suffix":""},{"dropping-particle":"","family":"Zhang","given":"Lijie Grace","non-dropping-particle":"","parse-names":false,"suffix":""}],"container-title":"Acta Biomaterialia","id":"ITEM-1","issued":{"date-parts":[["2021"]]},"page":"263-274","publisher":"Elsevier Ltd","title":"Dual 3D printing for vascularized bone tissue regeneration","type":"article-journal","volume":"123"},"uris":["http://www.mendeley.com/documents/?uuid=8d579cee-8a2c-41b8-9281-b99e0580a484"]}],"mendeley":{"formattedCitation":"[55]","plainTextFormattedCitation":"[55]","previouslyFormattedCitation":"[55]"},"properties":{"noteIndex":0},"schema":"https://github.com/citation-style-language/schema/raw/master/csl-citation.json"}</w:instrText>
      </w:r>
      <w:r w:rsidRPr="000E39AA">
        <w:rPr>
          <w:rFonts w:ascii="Arial" w:hAnsi="Arial" w:cs="Arial"/>
        </w:rPr>
        <w:fldChar w:fldCharType="separate"/>
      </w:r>
      <w:r w:rsidR="0062132B" w:rsidRPr="0062132B">
        <w:rPr>
          <w:rFonts w:ascii="Arial" w:hAnsi="Arial" w:cs="Arial"/>
          <w:noProof/>
        </w:rPr>
        <w:t>[55]</w:t>
      </w:r>
      <w:r w:rsidRPr="000E39AA">
        <w:rPr>
          <w:rFonts w:ascii="Arial" w:hAnsi="Arial" w:cs="Arial"/>
        </w:rPr>
        <w:fldChar w:fldCharType="end"/>
      </w:r>
      <w:r w:rsidRPr="000E39AA">
        <w:rPr>
          <w:rFonts w:ascii="Arial" w:hAnsi="Arial" w:cs="Arial"/>
        </w:rPr>
        <w:t>.</w:t>
      </w:r>
      <w:r w:rsidRPr="000E39AA">
        <w:rPr>
          <w:rFonts w:ascii="Arial" w:hAnsi="Arial" w:cs="Arial"/>
          <w:color w:val="000000"/>
        </w:rPr>
        <w:t xml:space="preserve"> </w:t>
      </w:r>
      <w:r w:rsidRPr="000E39AA">
        <w:rPr>
          <w:rFonts w:ascii="Arial" w:hAnsi="Arial" w:cs="Arial"/>
        </w:rPr>
        <w:t xml:space="preserve">Harnessing 3D </w:t>
      </w:r>
      <w:r w:rsidR="00255C8F">
        <w:rPr>
          <w:rFonts w:ascii="Arial" w:hAnsi="Arial" w:cs="Arial"/>
        </w:rPr>
        <w:t>b</w:t>
      </w:r>
      <w:r w:rsidRPr="000E39AA">
        <w:rPr>
          <w:rFonts w:ascii="Arial" w:hAnsi="Arial" w:cs="Arial"/>
        </w:rPr>
        <w:t xml:space="preserve">ioprinting approaches, it is possible to deposit cells, layer by layer, to produce three-dimensional complex cellular structures using computer-aided design (CAD) </w:t>
      </w:r>
      <w:r w:rsidRPr="000E39AA">
        <w:rPr>
          <w:rFonts w:ascii="Arial" w:hAnsi="Arial" w:cs="Arial"/>
        </w:rPr>
        <w:fldChar w:fldCharType="begin" w:fldLock="1"/>
      </w:r>
      <w:r w:rsidR="00A445D5">
        <w:rPr>
          <w:rFonts w:ascii="Arial" w:hAnsi="Arial" w:cs="Arial"/>
        </w:rPr>
        <w:instrText>ADDIN CSL_CITATION {"citationItems":[{"id":"ITEM-1","itemData":{"DOI":"10.1016/j.tibtech.2004.05.005","ISSN":"0167-7799 (Print)","PMID":"15245908","abstract":"One of the milestones in tissue engineering has been the development of 3D scaffolds  that guide cells to form functional tissue. Recently, mouldless manufacturing techniques, known as solid free-form fabrication (SFF), or rapid prototyping, have been successfully used to fabricate complex scaffolds. Similarly, to achieve simultaneous addition of cells during the scaffold fabrication, novel robotic assembly and automated 3D cell encapsulation techniques are being developed. As a result of these technologies, tissue-engineered constructs can be prepared that contain a controlled spatial distribution of cells and growth factors, as well as engineered gradients of scaffold materials with a predicted microstructure. Here, we review the application, advancement and future directions of SFF techniques in the design and creation of scaffolds for use in clinically driven tissue engineering.","author":[{"dropping-particle":"","family":"Hutmacher","given":"Dietmar W","non-dropping-particle":"","parse-names":false,"suffix":""},{"dropping-particle":"","family":"Sittinger","given":"Michael","non-dropping-particle":"","parse-names":false,"suffix":""},{"dropping-particle":"V","family":"Risbud","given":"Makarand","non-dropping-particle":"","parse-names":false,"suffix":""}],"container-title":"Trends in biotechnology","id":"ITEM-1","issue":"7","issued":{"date-parts":[["2004","7"]]},"language":"eng","page":"354-362","publisher-place":"England","title":"Scaffold-based tissue engineering: rationale for computer-aided design and solid  free-form fabrication systems.","type":"article-journal","volume":"22"},"uris":["http://www.mendeley.com/documents/?uuid=d275e8d1-a0a7-428d-a25a-291cc7a59dc4"]},{"id":"ITEM-2","itemData":{"DOI":"10.1002/term.1635","ISSN":"1932-7005 (Electronic)","PMID":"23172792","abstract":"'Additive manufacturing' (AM) refers to a class of manufacturing processes based on  the building of a solid object from three-dimensional (3D) model data by joining materials, usually layer upon layer. Among the vast array of techniques developed for the production of tissue-engineering (TE) scaffolds, AM techniques are gaining great interest for their suitability in achieving complex shapes and microstructures with a high degree of automation, good accuracy and reproducibility. In addition, the possibility of rapidly producing tissue-engineered constructs meeting patient's specific requirements, in terms of tissue defect size and geometry as well as autologous biological features, makes them a powerful way of enhancing clinical routine procedures. This paper gives an extensive overview of different AM techniques classes (i.e. stereolithography, selective laser sintering, 3D printing, melt-extrusion-based techniques, solution/slurry extrusion-based techniques, and tissue and organ printing) employed for the development of tissue-engineered constructs made of different materials (i.e. polymeric, ceramic and composite, alone or in combination with bioactive agents), by highlighting their principles and technological solutions.","author":[{"dropping-particle":"","family":"Mota","given":"Carlos","non-dropping-particle":"","parse-names":false,"suffix":""},{"dropping-particle":"","family":"Puppi","given":"Dario","non-dropping-particle":"","parse-names":false,"suffix":""},{"dropping-particle":"","family":"Chiellini","given":"Federica","non-dropping-particle":"","parse-names":false,"suffix":""},{"dropping-particle":"","family":"Chiellini","given":"Emo","non-dropping-particle":"","parse-names":false,"suffix":""}],"container-title":"Journal of tissue engineering and regenerative medicine","id":"ITEM-2","issue":"3","issued":{"date-parts":[["2015","3"]]},"language":"eng","page":"174-190","publisher-place":"England","title":"Additive manufacturing techniques for the production of tissue engineering  constructs.","type":"article-journal","volume":"9"},"uris":["http://www.mendeley.com/documents/?uuid=b5908cb6-757b-40f4-8b98-ca5370f423ee"]}],"mendeley":{"formattedCitation":"[53, 56]","plainTextFormattedCitation":"[53, 56]","previouslyFormattedCitation":"[53, 56]"},"properties":{"noteIndex":0},"schema":"https://github.com/citation-style-language/schema/raw/master/csl-citation.json"}</w:instrText>
      </w:r>
      <w:r w:rsidRPr="000E39AA">
        <w:rPr>
          <w:rFonts w:ascii="Arial" w:hAnsi="Arial" w:cs="Arial"/>
        </w:rPr>
        <w:fldChar w:fldCharType="separate"/>
      </w:r>
      <w:r w:rsidR="0062132B" w:rsidRPr="0062132B">
        <w:rPr>
          <w:rFonts w:ascii="Arial" w:hAnsi="Arial" w:cs="Arial"/>
          <w:noProof/>
        </w:rPr>
        <w:t>[53, 56]</w:t>
      </w:r>
      <w:r w:rsidRPr="000E39AA">
        <w:rPr>
          <w:rFonts w:ascii="Arial" w:hAnsi="Arial" w:cs="Arial"/>
        </w:rPr>
        <w:fldChar w:fldCharType="end"/>
      </w:r>
      <w:r w:rsidRPr="000E39AA">
        <w:rPr>
          <w:rFonts w:ascii="Arial" w:hAnsi="Arial" w:cs="Arial"/>
        </w:rPr>
        <w:t xml:space="preserve">. </w:t>
      </w:r>
      <w:r w:rsidRPr="000E39AA">
        <w:rPr>
          <w:rFonts w:ascii="Arial" w:hAnsi="Arial" w:cs="Arial"/>
          <w:color w:val="212121"/>
          <w:shd w:val="clear" w:color="auto" w:fill="FFFFFF"/>
        </w:rPr>
        <w:t xml:space="preserve">Moreover, 3D bioprinting technologies offer the advantage of building complex and hierarchical microstructures with </w:t>
      </w:r>
      <w:r w:rsidRPr="000E39AA">
        <w:rPr>
          <w:rFonts w:ascii="Arial" w:hAnsi="Arial" w:cs="Arial"/>
        </w:rPr>
        <w:t>high resolution and reproducibility,</w:t>
      </w:r>
      <w:r w:rsidRPr="000E39AA">
        <w:rPr>
          <w:rFonts w:ascii="Arial" w:hAnsi="Arial" w:cs="Arial"/>
          <w:color w:val="212121"/>
          <w:shd w:val="clear" w:color="auto" w:fill="FFFFFF"/>
        </w:rPr>
        <w:t xml:space="preserve"> suitable for cell survival, proliferation and maturation (</w:t>
      </w:r>
      <w:r w:rsidRPr="000E39AA">
        <w:rPr>
          <w:rFonts w:ascii="Arial" w:hAnsi="Arial" w:cs="Arial"/>
          <w:b/>
          <w:bCs/>
          <w:color w:val="212121"/>
          <w:shd w:val="clear" w:color="auto" w:fill="FFFFFF"/>
        </w:rPr>
        <w:t>Fig</w:t>
      </w:r>
      <w:r w:rsidR="003553F2">
        <w:rPr>
          <w:rFonts w:ascii="Arial" w:hAnsi="Arial" w:cs="Arial"/>
          <w:b/>
          <w:bCs/>
          <w:color w:val="212121"/>
          <w:shd w:val="clear" w:color="auto" w:fill="FFFFFF"/>
        </w:rPr>
        <w:t>.</w:t>
      </w:r>
      <w:r w:rsidRPr="000E39AA">
        <w:rPr>
          <w:rFonts w:ascii="Arial" w:hAnsi="Arial" w:cs="Arial"/>
          <w:b/>
          <w:bCs/>
          <w:color w:val="212121"/>
          <w:shd w:val="clear" w:color="auto" w:fill="FFFFFF"/>
        </w:rPr>
        <w:t xml:space="preserve"> 2a</w:t>
      </w:r>
      <w:r w:rsidRPr="000E39AA">
        <w:rPr>
          <w:rFonts w:ascii="Arial" w:hAnsi="Arial" w:cs="Arial"/>
          <w:color w:val="212121"/>
          <w:shd w:val="clear" w:color="auto" w:fill="FFFFFF"/>
        </w:rPr>
        <w:t xml:space="preserve">) </w:t>
      </w:r>
      <w:r w:rsidRPr="000E39AA">
        <w:rPr>
          <w:rFonts w:ascii="Arial" w:hAnsi="Arial" w:cs="Arial"/>
          <w:color w:val="212121"/>
          <w:shd w:val="clear" w:color="auto" w:fill="FFFFFF"/>
        </w:rPr>
        <w:fldChar w:fldCharType="begin" w:fldLock="1"/>
      </w:r>
      <w:r w:rsidR="00A445D5">
        <w:rPr>
          <w:rFonts w:ascii="Arial" w:hAnsi="Arial" w:cs="Arial"/>
          <w:color w:val="212121"/>
          <w:shd w:val="clear" w:color="auto" w:fill="FFFFFF"/>
        </w:rPr>
        <w:instrText>ADDIN CSL_CITATION {"citationItems":[{"id":"ITEM-1","itemData":{"DOI":"10.1021/acsbiomaterials.8b00399","ISSN":"23739878","PMID":"33435052","abstract":"Combining the advantages of 3D bioprinting technology and biological characteristics of stem cells, bioprinting of stem cells is recognized as a novel technology with broad applications in biological study, drug testing, tissue engineering, regenerative medicine, etc. However, the biological performance and functional reconstruction of stem cells are greatly influenced by both the bioprinting process and post-bioprinting culture conditions, which are critical factors to consider for further applications. Here we review the recent development of stem cell bioprinting technology and conclude on the major factors regulating stem cell viability, proliferation, differentiation, and function from the aspects of the choice of bioprinting techniques, the modulation of bioprinting parameters, and the regulation of the stem cell niche in the whole lifespan of bioprinting practices. We aim to provide a comprehensive consideration and guidance regarding the bioprinting of stem cells for optimization of this promising technology in biological and medical applications.","author":[{"dropping-particle":"","family":"Ding","given":"Supeng","non-dropping-particle":"","parse-names":false,"suffix":""},{"dropping-particle":"","family":"Feng","given":"Lu","non-dropping-particle":"","parse-names":false,"suffix":""},{"dropping-particle":"","family":"Wu","given":"Jiayang","non-dropping-particle":"","parse-names":false,"suffix":""},{"dropping-particle":"","family":"Zhu","given":"Fei","non-dropping-particle":"","parse-names":false,"suffix":""},{"dropping-particle":"","family":"Tan","given":"Ze'En","non-dropping-particle":"","parse-names":false,"suffix":""},{"dropping-particle":"","family":"Yao","given":"Rui","non-dropping-particle":"","parse-names":false,"suffix":""}],"container-title":"ACS Biomaterials Science and Engineering","id":"ITEM-1","issue":"9","issued":{"date-parts":[["2018"]]},"page":"3108-3124","title":"Bioprinting of Stem Cells: Interplay of Bioprinting Process, Bioinks, and Stem Cell Properties","type":"article-journal","volume":"4"},"uris":["http://www.mendeley.com/documents/?uuid=10500a9b-0608-414b-9de5-7351c6abf323"]},{"id":"ITEM-2","itemData":{"DOI":"10.1002/term.1635","ISSN":"1932-7005 (Electronic)","PMID":"23172792","abstract":"'Additive manufacturing' (AM) refers to a class of manufacturing processes based on  the building of a solid object from three-dimensional (3D) model data by joining materials, usually layer upon layer. Among the vast array of techniques developed for the production of tissue-engineering (TE) scaffolds, AM techniques are gaining great interest for their suitability in achieving complex shapes and microstructures with a high degree of automation, good accuracy and reproducibility. In addition, the possibility of rapidly producing tissue-engineered constructs meeting patient's specific requirements, in terms of tissue defect size and geometry as well as autologous biological features, makes them a powerful way of enhancing clinical routine procedures. This paper gives an extensive overview of different AM techniques classes (i.e. stereolithography, selective laser sintering, 3D printing, melt-extrusion-based techniques, solution/slurry extrusion-based techniques, and tissue and organ printing) employed for the development of tissue-engineered constructs made of different materials (i.e. polymeric, ceramic and composite, alone or in combination with bioactive agents), by highlighting their principles and technological solutions.","author":[{"dropping-particle":"","family":"Mota","given":"Carlos","non-dropping-particle":"","parse-names":false,"suffix":""},{"dropping-particle":"","family":"Puppi","given":"Dario","non-dropping-particle":"","parse-names":false,"suffix":""},{"dropping-particle":"","family":"Chiellini","given":"Federica","non-dropping-particle":"","parse-names":false,"suffix":""},{"dropping-particle":"","family":"Chiellini","given":"Emo","non-dropping-particle":"","parse-names":false,"suffix":""}],"container-title":"Journal of tissue engineering and regenerative medicine","id":"ITEM-2","issue":"3","issued":{"date-parts":[["2015","3"]]},"language":"eng","page":"174-190","publisher-place":"England","title":"Additive manufacturing techniques for the production of tissue engineering  constructs.","type":"article-journal","volume":"9"},"uris":["http://www.mendeley.com/documents/?uuid=b5908cb6-757b-40f4-8b98-ca5370f423ee"]}],"mendeley":{"formattedCitation":"[53, 57]","plainTextFormattedCitation":"[53, 57]","previouslyFormattedCitation":"[53, 57]"},"properties":{"noteIndex":0},"schema":"https://github.com/citation-style-language/schema/raw/master/csl-citation.json"}</w:instrText>
      </w:r>
      <w:r w:rsidRPr="000E39AA">
        <w:rPr>
          <w:rFonts w:ascii="Arial" w:hAnsi="Arial" w:cs="Arial"/>
          <w:color w:val="212121"/>
          <w:shd w:val="clear" w:color="auto" w:fill="FFFFFF"/>
        </w:rPr>
        <w:fldChar w:fldCharType="separate"/>
      </w:r>
      <w:r w:rsidR="0062132B" w:rsidRPr="0062132B">
        <w:rPr>
          <w:rFonts w:ascii="Arial" w:hAnsi="Arial" w:cs="Arial"/>
          <w:noProof/>
          <w:color w:val="212121"/>
          <w:shd w:val="clear" w:color="auto" w:fill="FFFFFF"/>
        </w:rPr>
        <w:t>[53, 57]</w:t>
      </w:r>
      <w:r w:rsidRPr="000E39AA">
        <w:rPr>
          <w:rFonts w:ascii="Arial" w:hAnsi="Arial" w:cs="Arial"/>
          <w:color w:val="212121"/>
          <w:shd w:val="clear" w:color="auto" w:fill="FFFFFF"/>
        </w:rPr>
        <w:fldChar w:fldCharType="end"/>
      </w:r>
      <w:r w:rsidRPr="000E39AA">
        <w:rPr>
          <w:rFonts w:ascii="Arial" w:hAnsi="Arial" w:cs="Arial"/>
          <w:color w:val="212121"/>
          <w:shd w:val="clear" w:color="auto" w:fill="FFFFFF"/>
        </w:rPr>
        <w:t xml:space="preserve">. </w:t>
      </w:r>
    </w:p>
    <w:p w14:paraId="6083CF68" w14:textId="77777777" w:rsidR="00F03759" w:rsidRPr="000E39AA" w:rsidRDefault="00F03759" w:rsidP="003B434C">
      <w:pPr>
        <w:pStyle w:val="Heading4"/>
      </w:pPr>
      <w:bookmarkStart w:id="47" w:name="_Toc98937873"/>
      <w:r w:rsidRPr="000E39AA">
        <w:t>3.3.2 Microfluidics</w:t>
      </w:r>
      <w:bookmarkEnd w:id="47"/>
    </w:p>
    <w:p w14:paraId="3BB8BF05" w14:textId="02E9CE71" w:rsidR="00F03759" w:rsidRPr="000E39AA" w:rsidRDefault="00F03759" w:rsidP="00F03759">
      <w:pPr>
        <w:pStyle w:val="NormalWeb"/>
        <w:spacing w:before="80" w:beforeAutospacing="0" w:after="0" w:afterAutospacing="0" w:line="276" w:lineRule="auto"/>
        <w:jc w:val="both"/>
        <w:rPr>
          <w:rFonts w:ascii="Arial" w:eastAsiaTheme="minorHAnsi" w:hAnsi="Arial" w:cs="Arial"/>
          <w:sz w:val="22"/>
          <w:szCs w:val="22"/>
          <w:lang w:eastAsia="en-US"/>
        </w:rPr>
      </w:pPr>
      <w:r w:rsidRPr="000E39AA">
        <w:rPr>
          <w:rFonts w:ascii="Arial" w:eastAsiaTheme="minorHAnsi" w:hAnsi="Arial" w:cs="Arial"/>
          <w:sz w:val="22"/>
          <w:szCs w:val="22"/>
          <w:lang w:eastAsia="en-US"/>
        </w:rPr>
        <w:t xml:space="preserve">TE has benefited from advancements in microfluidic-based technologies, in particular from the development of organ-on-a-chip </w:t>
      </w:r>
      <w:r w:rsidR="002F38E8">
        <w:rPr>
          <w:rFonts w:ascii="Arial" w:eastAsiaTheme="minorHAnsi" w:hAnsi="Arial" w:cs="Arial"/>
          <w:sz w:val="22"/>
          <w:szCs w:val="22"/>
          <w:lang w:eastAsia="en-US"/>
        </w:rPr>
        <w:t>platforms</w:t>
      </w:r>
      <w:r w:rsidRPr="000E39AA">
        <w:rPr>
          <w:rFonts w:ascii="Arial" w:eastAsiaTheme="minorHAnsi" w:hAnsi="Arial" w:cs="Arial"/>
          <w:sz w:val="22"/>
          <w:szCs w:val="22"/>
          <w:lang w:eastAsia="en-US"/>
        </w:rPr>
        <w:t xml:space="preserve"> </w:t>
      </w:r>
      <w:r w:rsidRPr="000E39AA">
        <w:rPr>
          <w:rFonts w:ascii="Arial" w:eastAsiaTheme="minorHAnsi" w:hAnsi="Arial" w:cs="Arial"/>
          <w:sz w:val="22"/>
          <w:szCs w:val="22"/>
          <w:lang w:eastAsia="en-US"/>
        </w:rPr>
        <w:fldChar w:fldCharType="begin" w:fldLock="1"/>
      </w:r>
      <w:r w:rsidR="00A445D5">
        <w:rPr>
          <w:rFonts w:ascii="Arial" w:eastAsiaTheme="minorHAnsi" w:hAnsi="Arial" w:cs="Arial"/>
          <w:sz w:val="22"/>
          <w:szCs w:val="22"/>
          <w:lang w:eastAsia="en-US"/>
        </w:rPr>
        <w:instrText>ADDIN CSL_CITATION {"citationItems":[{"id":"ITEM-1","itemData":{"DOI":"10.1038/nature05058","ISSN":"1476-4687","abstract":"The manipulation of fluids in channels with dimensions of tens of micrometres — microfluidics — has emerged as a distinct new field. Microfluidics has the potential to influence subject areas from chemical synthesis and biological analysis to optics and information technology. But the field is still at an early stage of development. Even as the basic science and technological demonstrations develop, other problems must be addressed: choosing and focusing on initial applications, and developing strategies to complete the cycle of development, including commercialization. The solutions to these problems will require imagination and ingenuity.","author":[{"dropping-particle":"","family":"Whitesides","given":"George M","non-dropping-particle":"","parse-names":false,"suffix":""}],"container-title":"Nature","id":"ITEM-1","issue":"7101","issued":{"date-parts":[["2006"]]},"page":"368-373","title":"The origins and the future of microfluidics","type":"article-journal","volume":"442"},"uris":["http://www.mendeley.com/documents/?uuid=879ce917-e983-4ebe-b216-c69b1133013c"]},{"id":"ITEM-2","itemData":{"DOI":"10.1038/nmeth.2938","ISSN":"15487105","PMID":"24793454","abstract":"Current in vitro hematopoiesis models fail to demonstrate the cellular diversity and complex functions of living bone marrow; hence, most translational studies relevant to the hematologic system are conducted in live animals. Here we describe a method for fabricating 'bone marrow-on-a-chip' that permits culture of living marrow with a functional hematopoietic niche in vitro by first engineering new bone in vivo, removing it whole and perfusing it with culture medium in a microfluidic device. The engineered bone marrow (eBM) retains hematopoietic stem and progenitor cells in normal in vivo-like proportions for at least 1 week in culture. eBM models organ-level marrow toxicity responses and protective effects of radiation countermeasure drugs, whereas conventional bone marrow culture methods do not. This biomimetic microdevice offers a new approach for analysis of drug responses and toxicities in bone marrow as well as for study of hematopoiesis and hematologic diseases in vitro. © 2014 Nature America, Inc.","author":[{"dropping-particle":"","family":"Torisawa","given":"Yu Suke","non-dropping-particle":"","parse-names":false,"suffix":""},{"dropping-particle":"","family":"Spina","given":"Catherine S.","non-dropping-particle":"","parse-names":false,"suffix":""},{"dropping-particle":"","family":"Mammoto","given":"Tadanori","non-dropping-particle":"","parse-names":false,"suffix":""},{"dropping-particle":"","family":"Mammoto","given":"Akiko","non-dropping-particle":"","parse-names":false,"suffix":""},{"dropping-particle":"","family":"Weaver","given":"James C.","non-dropping-particle":"","parse-names":false,"suffix":""},{"dropping-particle":"","family":"Tat","given":"Tracy","non-dropping-particle":"","parse-names":false,"suffix":""},{"dropping-particle":"","family":"Collins","given":"James J.","non-dropping-particle":"","parse-names":false,"suffix":""},{"dropping-particle":"","family":"Ingber","given":"Donald E.","non-dropping-particle":"","parse-names":false,"suffix":""}],"container-title":"Nature Methods","id":"ITEM-2","issue":"6","issued":{"date-parts":[["2014"]]},"page":"663-669","title":"Bone marrow-on-a-chip replicates hematopoietic niche physiology in vitro","type":"article-journal","volume":"11"},"uris":["http://www.mendeley.com/documents/?uuid=00efb573-4b0d-407b-b8a6-13947c9ac63c"]},{"id":"ITEM-3","itemData":{"DOI":"10.1038/nmeth.3697","ISSN":"15487105","PMID":"26689262","abstract":"Here we describe the development of a human lung 'small airway-on-a-chip' containing a differentiated, mucociliary bronchiolar epithelium and an underlying microvascular endothelium that experiences fluid flow, which allows for analysis of organ-level lung pathophysiology in vitro. Exposure of the epithelium to interleukin-13 (IL-13) reconstituted the goblet cell hyperplasia, cytokine hypersecretion and decreased ciliary function of asthmatics. Small airway chips lined with epithelial cells from individuals with chronic obstructive pulmonary disease recapitulated features of the disease such as selective cytokine hypersecretion, increased neutrophil recruitment and clinical exacerbation by exposure to viral and bacterial infections. With this robust in vitro method for modeling human lung inflammatory disorders, it is possible to detect synergistic effects of lung endothelium and epithelium on cytokine secretion, identify new biomarkers of disease exacerbation and measure responses to anti-inflammatory compounds that inhibit cytokine-induced recruitment of circulating neutrophils under flow.","author":[{"dropping-particle":"","family":"Benam","given":"Kambez H.","non-dropping-particle":"","parse-names":false,"suffix":""},{"dropping-particle":"","family":"Villenave","given":"Remi","non-dropping-particle":"","parse-names":false,"suffix":""},{"dropping-particle":"","family":"Lucchesi","given":"Carolina","non-dropping-particle":"","parse-names":false,"suffix":""},{"dropping-particle":"","family":"Varone","given":"Antonio","non-dropping-particle":"","parse-names":false,"suffix":""},{"dropping-particle":"","family":"Hubeau","given":"Cedric","non-dropping-particle":"","parse-names":false,"suffix":""},{"dropping-particle":"","family":"Lee","given":"Hyun Hee","non-dropping-particle":"","parse-names":false,"suffix":""},{"dropping-particle":"","family":"Alves","given":"Stephen E.","non-dropping-particle":"","parse-names":false,"suffix":""},{"dropping-particle":"","family":"Salmon","given":"Michael","non-dropping-particle":"","parse-names":false,"suffix":""},{"dropping-particle":"","family":"Ferrante","given":"Thomas C.","non-dropping-particle":"","parse-names":false,"suffix":""},{"dropping-particle":"","family":"Weaver","given":"James C.","non-dropping-particle":"","parse-names":false,"suffix":""},{"dropping-particle":"","family":"Bahinski","given":"Anthony","non-dropping-particle":"","parse-names":false,"suffix":""},{"dropping-particle":"","family":"Hamilton","given":"Geraldine A.","non-dropping-particle":"","parse-names":false,"suffix":""},{"dropping-particle":"","family":"Ingber","given":"Donald E.","non-dropping-particle":"","parse-names":false,"suffix":""}],"container-title":"Nature Methods","id":"ITEM-3","issue":"2","issued":{"date-parts":[["2016"]]},"page":"151-157","title":"Small airway-on-a-chip enables analysis of human lung inflammation and drug responses in vitro","type":"article-journal","volume":"13"},"uris":["http://www.mendeley.com/documents/?uuid=e9abec44-c13c-48d3-a641-ca82c7864560"]}],"mendeley":{"formattedCitation":"[58–60]","plainTextFormattedCitation":"[58–60]","previouslyFormattedCitation":"[58–60]"},"properties":{"noteIndex":0},"schema":"https://github.com/citation-style-language/schema/raw/master/csl-citation.json"}</w:instrText>
      </w:r>
      <w:r w:rsidRPr="000E39AA">
        <w:rPr>
          <w:rFonts w:ascii="Arial" w:eastAsiaTheme="minorHAnsi" w:hAnsi="Arial" w:cs="Arial"/>
          <w:sz w:val="22"/>
          <w:szCs w:val="22"/>
          <w:lang w:eastAsia="en-US"/>
        </w:rPr>
        <w:fldChar w:fldCharType="separate"/>
      </w:r>
      <w:r w:rsidR="0062132B" w:rsidRPr="0062132B">
        <w:rPr>
          <w:rFonts w:ascii="Arial" w:eastAsiaTheme="minorHAnsi" w:hAnsi="Arial" w:cs="Arial"/>
          <w:noProof/>
          <w:sz w:val="22"/>
          <w:szCs w:val="22"/>
          <w:lang w:eastAsia="en-US"/>
        </w:rPr>
        <w:t>[58–60]</w:t>
      </w:r>
      <w:r w:rsidRPr="000E39AA">
        <w:rPr>
          <w:rFonts w:ascii="Arial" w:eastAsiaTheme="minorHAnsi" w:hAnsi="Arial" w:cs="Arial"/>
          <w:sz w:val="22"/>
          <w:szCs w:val="22"/>
          <w:lang w:eastAsia="en-US"/>
        </w:rPr>
        <w:fldChar w:fldCharType="end"/>
      </w:r>
      <w:r w:rsidRPr="000E39AA">
        <w:rPr>
          <w:rFonts w:ascii="Arial" w:eastAsiaTheme="minorHAnsi" w:hAnsi="Arial" w:cs="Arial"/>
          <w:sz w:val="22"/>
          <w:szCs w:val="22"/>
          <w:lang w:eastAsia="en-US"/>
        </w:rPr>
        <w:t xml:space="preserve">. Such devices are designed to house 3D multi-cell culture within interconnected channels and/or chambers, where the transport of nutrients and biochemical cues is precisely controlled by laminar flows. </w:t>
      </w:r>
      <w:r w:rsidR="00C130A8">
        <w:rPr>
          <w:rFonts w:ascii="Arial" w:eastAsiaTheme="minorHAnsi" w:hAnsi="Arial" w:cs="Arial"/>
          <w:sz w:val="22"/>
          <w:szCs w:val="22"/>
          <w:lang w:eastAsia="en-US"/>
        </w:rPr>
        <w:t>S</w:t>
      </w:r>
      <w:r w:rsidRPr="000E39AA">
        <w:rPr>
          <w:rFonts w:ascii="Arial" w:eastAsiaTheme="minorHAnsi" w:hAnsi="Arial" w:cs="Arial"/>
          <w:sz w:val="22"/>
          <w:szCs w:val="22"/>
          <w:lang w:eastAsia="en-US"/>
        </w:rPr>
        <w:t xml:space="preserve">pecifically, the geometry of the device combined with the tuning of fluidic parameters allows for fine </w:t>
      </w:r>
      <w:r w:rsidRPr="000E39AA">
        <w:rPr>
          <w:rFonts w:ascii="Arial" w:eastAsiaTheme="minorHAnsi" w:hAnsi="Arial" w:cs="Arial"/>
          <w:sz w:val="22"/>
          <w:szCs w:val="22"/>
          <w:lang w:eastAsia="en-US"/>
        </w:rPr>
        <w:lastRenderedPageBreak/>
        <w:t>spatiotemporal patterning of chemical, physical, and mechanical properties, resulting in the reproduction of a biomimetic tissue microenvironment. The ability to integrate micro-actuators,  and the application of external stimuli (</w:t>
      </w:r>
      <w:r w:rsidR="00531CBF">
        <w:rPr>
          <w:rFonts w:ascii="Arial" w:eastAsiaTheme="minorHAnsi" w:hAnsi="Arial" w:cs="Arial"/>
          <w:sz w:val="22"/>
          <w:szCs w:val="22"/>
          <w:lang w:eastAsia="en-US"/>
        </w:rPr>
        <w:t>e.g.,</w:t>
      </w:r>
      <w:r w:rsidRPr="000E39AA">
        <w:rPr>
          <w:rFonts w:ascii="Arial" w:eastAsiaTheme="minorHAnsi" w:hAnsi="Arial" w:cs="Arial"/>
          <w:sz w:val="22"/>
          <w:szCs w:val="22"/>
          <w:lang w:eastAsia="en-US"/>
        </w:rPr>
        <w:t xml:space="preserve"> mechanical </w:t>
      </w:r>
      <w:r w:rsidRPr="000E39AA">
        <w:rPr>
          <w:rFonts w:ascii="Arial" w:eastAsiaTheme="minorHAnsi" w:hAnsi="Arial" w:cs="Arial"/>
          <w:sz w:val="22"/>
          <w:szCs w:val="22"/>
          <w:lang w:eastAsia="en-US"/>
        </w:rPr>
        <w:fldChar w:fldCharType="begin" w:fldLock="1"/>
      </w:r>
      <w:r w:rsidR="00A445D5">
        <w:rPr>
          <w:rFonts w:ascii="Arial" w:eastAsiaTheme="minorHAnsi" w:hAnsi="Arial" w:cs="Arial"/>
          <w:sz w:val="22"/>
          <w:szCs w:val="22"/>
          <w:lang w:eastAsia="en-US"/>
        </w:rPr>
        <w:instrText xml:space="preserve">ADDIN CSL_CITATION {"citationItems":[{"id":"ITEM-1","itemData":{"DOI":"10.1038/nprot.2013.137","ISSN":"17542189","PMID":"24113786","abstract":"'Organs-on-chips' are microengineered biomimetic systems containing microfluidic channels lined by living human cells, which replicate key functional units of living organs to reconstitute integrated human organ-level pathophysiology in vitro. These microdevices can be used to test efficacy and toxicity of drugs and chemicals, and to create in vitro models of human disease. Thus, they potentially represent low-cost alternatives to conventional animal models for pharmaceutical, chemical and environmental applications. Here we describe a protocol for the fabrication, microengineering and operation of these microfluidic organ-on-chip systems. First, microengineering is used to fabricate a multilayered microfluidic device that contains two parallel elastomeric microchannels separated by a thin porous flexible membrane, along with two full-height, hollow vacuum chambers on either side; this requires </w:instrText>
      </w:r>
      <w:r w:rsidR="00A445D5">
        <w:rPr>
          <w:rFonts w:ascii="Cambria Math" w:eastAsiaTheme="minorHAnsi" w:hAnsi="Cambria Math" w:cs="Cambria Math"/>
          <w:sz w:val="22"/>
          <w:szCs w:val="22"/>
          <w:lang w:eastAsia="en-US"/>
        </w:rPr>
        <w:instrText>∼</w:instrText>
      </w:r>
      <w:r w:rsidR="00A445D5">
        <w:rPr>
          <w:rFonts w:ascii="Arial" w:eastAsiaTheme="minorHAnsi" w:hAnsi="Arial" w:cs="Arial"/>
          <w:sz w:val="22"/>
          <w:szCs w:val="22"/>
          <w:lang w:eastAsia="en-US"/>
        </w:rPr>
        <w:instrText>3.5 d to complete. To create a 'breathing' lung-on-a-chip that mimics the mechanically active alveolar-capillary interface of the living human lung, human alveolar epithelial cells and microvascular endothelial cells are cultured in the microdevice with physiological flow and cyclic suction applied to the side chambers to reproduce rhythmic breathing movements. We describe how this protocol can be easily adapted to develop other human organ chips, such as a gut-on-a-chip lined by human intestinal epithelial cells that experiences peristalsis-like motions and trickling fluid flow. Also, we discuss experimental techniques that can be used to analyze the cells in these organ-on-chip devices.","author":[{"dropping-particle":"","family":"Huh","given":"Dongeun","non-dropping-particle":"","parse-names":false,"suffix":""},{"dropping-particle":"","family":"Kim","given":"Hyun Jung","non-dropping-particle":"","parse-names":false,"suffix":""},{"dropping-particle":"","family":"Fraser","given":"Jacob P.","non-dropping-particle":"","parse-names":false,"suffix":""},{"dropping-particle":"","family":"Shea","given":"Daniel E.","non-dropping-particle":"","parse-names":false,"suffix":""},{"dropping-particle":"","family":"Khan","given":"Mohammed","non-dropping-particle":"","parse-names":false,"suffix":""},{"dropping-particle":"","family":"Bahinski","given":"Anthony","non-dropping-particle":"","parse-names":false,"suffix":""},{"dropping-particle":"","family":"Hamilton","given":"Geraldine A.","non-dropping-particle":"","parse-names":false,"suffix":""},{"dropping-particle":"","family":"Ingber","given":"Donald E.","non-dropping-particle":"","parse-names":false,"suffix":""}],"container-title":"Nature Protocols","id":"ITEM-1","issue":"11","issued":{"date-parts":[["2013","11"]]},"language":"eng","page":"2135-2157","publisher-place":"England","title":"Microfabrication of human organs-on-chips","type":"article-journal","volume":"8"},"uris":["http://www.mendeley.com/documents/?uuid=fc50e499-778f-4d63-8c60-bf496d3d2918"]}],"mendeley":{"formattedCitation":"[61]","plainTextFormattedCitation":"[61]","previouslyFormattedCitation":"[61]"},"properties":{"noteIndex":0},"schema":"https://github.com/citation-style-language/schema/raw/master/csl-citation.json"}</w:instrText>
      </w:r>
      <w:r w:rsidRPr="000E39AA">
        <w:rPr>
          <w:rFonts w:ascii="Arial" w:eastAsiaTheme="minorHAnsi" w:hAnsi="Arial" w:cs="Arial"/>
          <w:sz w:val="22"/>
          <w:szCs w:val="22"/>
          <w:lang w:eastAsia="en-US"/>
        </w:rPr>
        <w:fldChar w:fldCharType="separate"/>
      </w:r>
      <w:r w:rsidR="0062132B" w:rsidRPr="0062132B">
        <w:rPr>
          <w:rFonts w:ascii="Arial" w:eastAsiaTheme="minorHAnsi" w:hAnsi="Arial" w:cs="Arial"/>
          <w:noProof/>
          <w:sz w:val="22"/>
          <w:szCs w:val="22"/>
          <w:lang w:eastAsia="en-US"/>
        </w:rPr>
        <w:t>[61]</w:t>
      </w:r>
      <w:r w:rsidRPr="000E39AA">
        <w:rPr>
          <w:rFonts w:ascii="Arial" w:eastAsiaTheme="minorHAnsi" w:hAnsi="Arial" w:cs="Arial"/>
          <w:sz w:val="22"/>
          <w:szCs w:val="22"/>
          <w:lang w:eastAsia="en-US"/>
        </w:rPr>
        <w:fldChar w:fldCharType="end"/>
      </w:r>
      <w:r w:rsidRPr="000E39AA">
        <w:rPr>
          <w:rFonts w:ascii="Arial" w:eastAsiaTheme="minorHAnsi" w:hAnsi="Arial" w:cs="Arial"/>
          <w:sz w:val="22"/>
          <w:szCs w:val="22"/>
          <w:lang w:eastAsia="en-US"/>
        </w:rPr>
        <w:t xml:space="preserve">, acoustic </w:t>
      </w:r>
      <w:r w:rsidRPr="000E39AA">
        <w:rPr>
          <w:rFonts w:ascii="Arial" w:eastAsiaTheme="minorHAnsi" w:hAnsi="Arial" w:cs="Arial"/>
          <w:sz w:val="22"/>
          <w:szCs w:val="22"/>
          <w:lang w:eastAsia="en-US"/>
        </w:rPr>
        <w:fldChar w:fldCharType="begin" w:fldLock="1"/>
      </w:r>
      <w:r w:rsidR="00A445D5">
        <w:rPr>
          <w:rFonts w:ascii="Arial" w:eastAsiaTheme="minorHAnsi" w:hAnsi="Arial" w:cs="Arial"/>
          <w:sz w:val="22"/>
          <w:szCs w:val="22"/>
          <w:lang w:eastAsia="en-US"/>
        </w:rPr>
        <w:instrText>ADDIN CSL_CITATION {"citationItems":[{"id":"ITEM-1","itemData":{"DOI":"10.1002/smll.201905375","ISSN":"1613-6810","abstract":"Targeting pharmaceuticals through the endothelial barrier is crucial for drug delivery. In this context, cavitation-assisted permeation shows promise for effective and reversible opening of intercellular junctions. A vessel-on-a-chip is exploited to investigate and quantify the effect of ultrasound-excited microbubbles—stable cavitation—on endothelial integrity. In the vessel-on-a-chip, the endothelial cells form a complete lumen under physiological shear stress, resulting in intercellular junctions that exhibit barrier functionality. Immunofluorescence microscopy is exploited to monitor vascular integrity following vascular endothelial cadherin staining. It is shown that microbubbles amplify the ultrasound effect, leading to the formation of interendothelial gaps that cause barrier permeabilization. The total gap area significantly increases with pressure amplitude compared to the control. Gap opening is fully reversible with gap area distribution returning to the control levels 45 min after insonication. The proposed integrated platform allows for precise and repeatable in vitro measurements of cavitation-enhanced endothelium permeability and shows potential for validating irradiation protocols for in vivo applications.","author":[{"dropping-particle":"","family":"Silvani","given":"Giulia","non-dropping-particle":"","parse-names":false,"suffix":""},{"dropping-particle":"","family":"Scognamiglio","given":"Chiara","non-dropping-particle":"","parse-names":false,"suffix":""},{"dropping-particle":"","family":"Caprini","given":"Davide","non-dropping-particle":"","parse-names":false,"suffix":""},{"dropping-particle":"","family":"Marino","given":"Luca","non-dropping-particle":"","parse-names":false,"suffix":""},{"dropping-particle":"","family":"Chinappi","given":"Mauro","non-dropping-particle":"","parse-names":false,"suffix":""},{"dropping-particle":"","family":"Sinibaldi","given":"Giorgia","non-dropping-particle":"","parse-names":false,"suffix":""},{"dropping-particle":"","family":"Peruzzi","given":"Giovanna","non-dropping-particle":"","parse-names":false,"suffix":""},{"dropping-particle":"","family":"Kiani","given":"Mohammad F.","non-dropping-particle":"","parse-names":false,"suffix":""},{"dropping-particle":"","family":"Casciola","given":"Carlo M.","non-dropping-particle":"","parse-names":false,"suffix":""}],"container-title":"Small","id":"ITEM-1","issue":"51","issued":{"date-parts":[["2019","12","25"]]},"page":"1905375","title":"Reversible Cavitation</w:instrText>
      </w:r>
      <w:r w:rsidR="00A445D5">
        <w:rPr>
          <w:rFonts w:ascii="Cambria Math" w:eastAsiaTheme="minorHAnsi" w:hAnsi="Cambria Math" w:cs="Cambria Math"/>
          <w:sz w:val="22"/>
          <w:szCs w:val="22"/>
          <w:lang w:eastAsia="en-US"/>
        </w:rPr>
        <w:instrText>‐</w:instrText>
      </w:r>
      <w:r w:rsidR="00A445D5">
        <w:rPr>
          <w:rFonts w:ascii="Arial" w:eastAsiaTheme="minorHAnsi" w:hAnsi="Arial" w:cs="Arial"/>
          <w:sz w:val="22"/>
          <w:szCs w:val="22"/>
          <w:lang w:eastAsia="en-US"/>
        </w:rPr>
        <w:instrText>Induced Junctional Opening in an Artificial Endothelial Layer","type":"article-journal","volume":"15"},"uris":["http://www.mendeley.com/documents/?uuid=9aa81b71-6875-4290-acaa-e4b62ee48862"]}],"mendeley":{"formattedCitation":"[62]","plainTextFormattedCitation":"[62]","previouslyFormattedCitation":"[62]"},"properties":{"noteIndex":0},"schema":"https://github.com/citation-style-language/schema/raw/master/csl-citation.json"}</w:instrText>
      </w:r>
      <w:r w:rsidRPr="000E39AA">
        <w:rPr>
          <w:rFonts w:ascii="Arial" w:eastAsiaTheme="minorHAnsi" w:hAnsi="Arial" w:cs="Arial"/>
          <w:sz w:val="22"/>
          <w:szCs w:val="22"/>
          <w:lang w:eastAsia="en-US"/>
        </w:rPr>
        <w:fldChar w:fldCharType="separate"/>
      </w:r>
      <w:r w:rsidR="0062132B" w:rsidRPr="0062132B">
        <w:rPr>
          <w:rFonts w:ascii="Arial" w:eastAsiaTheme="minorHAnsi" w:hAnsi="Arial" w:cs="Arial"/>
          <w:noProof/>
          <w:sz w:val="22"/>
          <w:szCs w:val="22"/>
          <w:lang w:eastAsia="en-US"/>
        </w:rPr>
        <w:t>[62]</w:t>
      </w:r>
      <w:r w:rsidRPr="000E39AA">
        <w:rPr>
          <w:rFonts w:ascii="Arial" w:eastAsiaTheme="minorHAnsi" w:hAnsi="Arial" w:cs="Arial"/>
          <w:sz w:val="22"/>
          <w:szCs w:val="22"/>
          <w:lang w:eastAsia="en-US"/>
        </w:rPr>
        <w:fldChar w:fldCharType="end"/>
      </w:r>
      <w:r w:rsidRPr="000E39AA">
        <w:rPr>
          <w:rFonts w:ascii="Arial" w:eastAsiaTheme="minorHAnsi" w:hAnsi="Arial" w:cs="Arial"/>
          <w:sz w:val="22"/>
          <w:szCs w:val="22"/>
          <w:lang w:eastAsia="en-US"/>
        </w:rPr>
        <w:t xml:space="preserve"> and electrical </w:t>
      </w:r>
      <w:r w:rsidRPr="000E39AA">
        <w:rPr>
          <w:rFonts w:ascii="Arial" w:eastAsiaTheme="minorHAnsi" w:hAnsi="Arial" w:cs="Arial"/>
          <w:sz w:val="22"/>
          <w:szCs w:val="22"/>
          <w:lang w:eastAsia="en-US"/>
        </w:rPr>
        <w:fldChar w:fldCharType="begin" w:fldLock="1"/>
      </w:r>
      <w:r w:rsidR="00A445D5">
        <w:rPr>
          <w:rFonts w:ascii="Arial" w:eastAsiaTheme="minorHAnsi" w:hAnsi="Arial" w:cs="Arial"/>
          <w:sz w:val="22"/>
          <w:szCs w:val="22"/>
          <w:lang w:eastAsia="en-US"/>
        </w:rPr>
        <w:instrText>ADDIN CSL_CITATION {"citationItems":[{"id":"ITEM-1","itemData":{"DOI":"10.1039/C2LC40954B","ISSN":"1473-0197","abstract":"Electrical stimulation of nervous tissue is used clinically for the treatment of multiple neurological disorders and experimentally for basic research. With the increase of optical probes to record neuronal activity, simple and user-friendly methods are desired to stimulate neurons and their subcellular compartments for biological experimentation. Here we describe the novel integration of liquid metal electrodes with microfluidic culture platforms to accomplish this goal. We integrated electrode and cell channels into a single poly(dimethylsiloxane) (PDMS) chip, eliminating entirely the need to align electrodes with microchannels. We designed the electrode channels such that the metal can be injected by hand and when the device is non-covalently bound to glass. We demonstrated the biocompatibility of the electrodes for long-term cultures (12 days) using hippocampal neurons. We demonstrated the use of these electrodes to depolarize neurons and recorded neuronal activity using the calcium indicator dye, Fluo-4. We established optimal stimulation parameters that induce neuronal spiking without inducing damage. We showed that the liquid metal electrode evoked larger calcium responses in somata than bath electrodes using the same stimulus parameters. Lastly we demonstrated the use of these liquid metal electrodes to target and depolarize axons. In summary, the integration of liquid metal electrodes with neuronal culture platforms provides a user-friendly and targeted method to stimulate neurons and their subcellular compartments, thus providing a novel tool for future biological investigations.","author":[{"dropping-particle":"","family":"Hallfors","given":"Nicholas","non-dropping-particle":"","parse-names":false,"suffix":""},{"dropping-particle":"","family":"Khan","given":"Asif","non-dropping-particle":"","parse-names":false,"suffix":""},{"dropping-particle":"","family":"Dickey","given":"Michael D","non-dropping-particle":"","parse-names":false,"suffix":""},{"dropping-particle":"","family":"Taylor","given":"Anne Marion","non-dropping-particle":"","parse-names":false,"suffix":""}],"container-title":"Lab on a Chip","id":"ITEM-1","issue":"4","issued":{"date-parts":[["2013"]]},"page":"522-526","publisher":"The Royal Society of Chemistry","title":"Integration of pre-aligned liquid metal electrodes for neural stimulation within a user-friendly microfluidic platform","type":"article-journal","volume":"13"},"uris":["http://www.mendeley.com/documents/?uuid=1de5fcec-8388-4e93-ba6d-83f92530f94b"]}],"mendeley":{"formattedCitation":"[63]","plainTextFormattedCitation":"[63]","previouslyFormattedCitation":"[63]"},"properties":{"noteIndex":0},"schema":"https://github.com/citation-style-language/schema/raw/master/csl-citation.json"}</w:instrText>
      </w:r>
      <w:r w:rsidRPr="000E39AA">
        <w:rPr>
          <w:rFonts w:ascii="Arial" w:eastAsiaTheme="minorHAnsi" w:hAnsi="Arial" w:cs="Arial"/>
          <w:sz w:val="22"/>
          <w:szCs w:val="22"/>
          <w:lang w:eastAsia="en-US"/>
        </w:rPr>
        <w:fldChar w:fldCharType="separate"/>
      </w:r>
      <w:r w:rsidR="0062132B" w:rsidRPr="0062132B">
        <w:rPr>
          <w:rFonts w:ascii="Arial" w:eastAsiaTheme="minorHAnsi" w:hAnsi="Arial" w:cs="Arial"/>
          <w:noProof/>
          <w:sz w:val="22"/>
          <w:szCs w:val="22"/>
          <w:lang w:eastAsia="en-US"/>
        </w:rPr>
        <w:t>[63]</w:t>
      </w:r>
      <w:r w:rsidRPr="000E39AA">
        <w:rPr>
          <w:rFonts w:ascii="Arial" w:eastAsiaTheme="minorHAnsi" w:hAnsi="Arial" w:cs="Arial"/>
          <w:sz w:val="22"/>
          <w:szCs w:val="22"/>
          <w:lang w:eastAsia="en-US"/>
        </w:rPr>
        <w:fldChar w:fldCharType="end"/>
      </w:r>
      <w:r w:rsidRPr="000E39AA">
        <w:rPr>
          <w:rFonts w:ascii="Arial" w:eastAsiaTheme="minorHAnsi" w:hAnsi="Arial" w:cs="Arial"/>
          <w:sz w:val="22"/>
          <w:szCs w:val="22"/>
          <w:lang w:eastAsia="en-US"/>
        </w:rPr>
        <w:t xml:space="preserve">), have enhanced the ability to recreate pathophysiological conditions, providing microfluidic devices as a  superior alternative to conventional </w:t>
      </w:r>
      <w:r w:rsidRPr="000E39AA">
        <w:rPr>
          <w:rFonts w:ascii="Arial" w:eastAsiaTheme="minorHAnsi" w:hAnsi="Arial" w:cs="Arial"/>
          <w:i/>
          <w:iCs/>
          <w:sz w:val="22"/>
          <w:szCs w:val="22"/>
          <w:lang w:eastAsia="en-US"/>
        </w:rPr>
        <w:t>in vitro</w:t>
      </w:r>
      <w:r w:rsidRPr="000E39AA">
        <w:rPr>
          <w:rFonts w:ascii="Arial" w:eastAsiaTheme="minorHAnsi" w:hAnsi="Arial" w:cs="Arial"/>
          <w:sz w:val="22"/>
          <w:szCs w:val="22"/>
          <w:lang w:eastAsia="en-US"/>
        </w:rPr>
        <w:t xml:space="preserve"> models.  </w:t>
      </w:r>
    </w:p>
    <w:p w14:paraId="3984EE6B" w14:textId="4C545E4B" w:rsidR="00F03759" w:rsidRPr="000E39AA" w:rsidRDefault="00F03759" w:rsidP="00F03759">
      <w:pPr>
        <w:autoSpaceDE w:val="0"/>
        <w:autoSpaceDN w:val="0"/>
        <w:adjustRightInd w:val="0"/>
        <w:spacing w:after="0" w:line="276" w:lineRule="auto"/>
        <w:jc w:val="both"/>
        <w:rPr>
          <w:rFonts w:ascii="Arial" w:hAnsi="Arial" w:cs="Arial"/>
        </w:rPr>
      </w:pPr>
      <w:r w:rsidRPr="000E39AA">
        <w:rPr>
          <w:rFonts w:ascii="Arial" w:hAnsi="Arial" w:cs="Arial"/>
        </w:rPr>
        <w:t xml:space="preserve">High-throughput analysis, enhanced reproducibility as well as cost reduction are additional advantages of microfluidic platforms </w:t>
      </w:r>
      <w:r w:rsidRPr="000E39AA">
        <w:rPr>
          <w:rFonts w:ascii="Arial" w:hAnsi="Arial" w:cs="Arial"/>
          <w:color w:val="000000"/>
        </w:rPr>
        <w:fldChar w:fldCharType="begin" w:fldLock="1"/>
      </w:r>
      <w:r w:rsidR="00A445D5">
        <w:rPr>
          <w:rFonts w:ascii="Arial" w:hAnsi="Arial" w:cs="Arial"/>
          <w:color w:val="000000"/>
        </w:rPr>
        <w:instrText>ADDIN CSL_CITATION {"citationItems":[{"id":"ITEM-1","itemData":{"DOI":"10.1016/j.copbio.2013.10.005","ISSN":"18790429","PMID":"24484886","abstract":"Microfluidic techniques allow precise control of fluids and particles at the nanoliter scale and facilitate simultaneous manipulation and analysis of cultured cells, starting from a single cell to larger populations and to intact tissues. The use of integrated microfluidic devices has considerably advanced the fields of quantitative and systems biology. In this review, we survey the recent developments in microfluidic cell culture, and discuss not only the advantages but also limitations of using such systems, and give an outlook on potential future developments. © 2013 Elsevier Ltd.","author":[{"dropping-particle":"","family":"Mehling","given":"Matthias","non-dropping-particle":"","parse-names":false,"suffix":""},{"dropping-particle":"","family":"Tay","given":"Savaş","non-dropping-particle":"","parse-names":false,"suffix":""}],"container-title":"Current Opinion in Biotechnology","id":"ITEM-1","issued":{"date-parts":[["2014"]]},"page":"95-102","title":"Microfluidic cell culture","type":"article-journal","volume":"25"},"uris":["http://www.mendeley.com/documents/?uuid=3f0a7b5a-5f79-4236-900b-a222a6df40dc"]}],"mendeley":{"formattedCitation":"[64]","plainTextFormattedCitation":"[64]","previouslyFormattedCitation":"[64]"},"properties":{"noteIndex":0},"schema":"https://github.com/citation-style-language/schema/raw/master/csl-citation.json"}</w:instrText>
      </w:r>
      <w:r w:rsidRPr="000E39AA">
        <w:rPr>
          <w:rFonts w:ascii="Arial" w:hAnsi="Arial" w:cs="Arial"/>
          <w:color w:val="000000"/>
        </w:rPr>
        <w:fldChar w:fldCharType="separate"/>
      </w:r>
      <w:r w:rsidR="0062132B" w:rsidRPr="0062132B">
        <w:rPr>
          <w:rFonts w:ascii="Arial" w:hAnsi="Arial" w:cs="Arial"/>
          <w:noProof/>
          <w:color w:val="000000"/>
        </w:rPr>
        <w:t>[64]</w:t>
      </w:r>
      <w:r w:rsidRPr="000E39AA">
        <w:rPr>
          <w:rFonts w:ascii="Arial" w:hAnsi="Arial" w:cs="Arial"/>
          <w:color w:val="000000"/>
        </w:rPr>
        <w:fldChar w:fldCharType="end"/>
      </w:r>
      <w:r w:rsidRPr="000E39AA">
        <w:rPr>
          <w:rFonts w:ascii="Arial" w:hAnsi="Arial" w:cs="Arial"/>
          <w:color w:val="000000"/>
        </w:rPr>
        <w:t xml:space="preserve">. </w:t>
      </w:r>
      <w:r w:rsidRPr="000E39AA">
        <w:rPr>
          <w:rFonts w:ascii="Arial" w:hAnsi="Arial" w:cs="Arial"/>
        </w:rPr>
        <w:t xml:space="preserve">However, the use of microfluidic devices for cell culture is still not widespread due the challenging fabrication procedures and the expensive instrumentation typically required. Moreover, microfluidic platforms suffer from poor scalability and can only partially replicate, at the micro-scale, the pathophysiological damage at the tissue macro-scale level relevant for clinical applications </w:t>
      </w:r>
      <w:r w:rsidRPr="000E39AA">
        <w:rPr>
          <w:rFonts w:ascii="Arial" w:hAnsi="Arial" w:cs="Arial"/>
          <w:color w:val="212121"/>
          <w:shd w:val="clear" w:color="auto" w:fill="FFFFFF"/>
        </w:rPr>
        <w:t>(</w:t>
      </w:r>
      <w:r w:rsidRPr="000E39AA">
        <w:rPr>
          <w:rFonts w:ascii="Arial" w:hAnsi="Arial" w:cs="Arial"/>
          <w:b/>
          <w:bCs/>
          <w:color w:val="212121"/>
          <w:shd w:val="clear" w:color="auto" w:fill="FFFFFF"/>
        </w:rPr>
        <w:t>Fig</w:t>
      </w:r>
      <w:r w:rsidR="003553F2">
        <w:rPr>
          <w:rFonts w:ascii="Arial" w:hAnsi="Arial" w:cs="Arial"/>
          <w:b/>
          <w:bCs/>
          <w:color w:val="212121"/>
          <w:shd w:val="clear" w:color="auto" w:fill="FFFFFF"/>
        </w:rPr>
        <w:t>.</w:t>
      </w:r>
      <w:r w:rsidRPr="000E39AA">
        <w:rPr>
          <w:rFonts w:ascii="Arial" w:hAnsi="Arial" w:cs="Arial"/>
          <w:b/>
          <w:bCs/>
          <w:color w:val="212121"/>
          <w:shd w:val="clear" w:color="auto" w:fill="FFFFFF"/>
        </w:rPr>
        <w:t xml:space="preserve"> 2b</w:t>
      </w:r>
      <w:r w:rsidRPr="000E39AA">
        <w:rPr>
          <w:rFonts w:ascii="Arial" w:hAnsi="Arial" w:cs="Arial"/>
          <w:color w:val="212121"/>
          <w:shd w:val="clear" w:color="auto" w:fill="FFFFFF"/>
        </w:rPr>
        <w:t>)</w:t>
      </w:r>
      <w:r w:rsidRPr="000E39AA">
        <w:rPr>
          <w:rFonts w:ascii="Arial" w:hAnsi="Arial" w:cs="Arial"/>
        </w:rPr>
        <w:t xml:space="preserve"> </w:t>
      </w:r>
      <w:r w:rsidRPr="000E39AA">
        <w:rPr>
          <w:rFonts w:ascii="Arial" w:hAnsi="Arial" w:cs="Arial"/>
        </w:rPr>
        <w:fldChar w:fldCharType="begin" w:fldLock="1"/>
      </w:r>
      <w:r w:rsidR="00A445D5">
        <w:rPr>
          <w:rFonts w:ascii="Arial" w:hAnsi="Arial" w:cs="Arial"/>
        </w:rPr>
        <w:instrText>ADDIN CSL_CITATION {"citationItems":[{"id":"ITEM-1","itemData":{"DOI":"10.1016/j.biomaterials.2017.10.002","ISSN":"0142-9612","author":[{"dropping-particle":"","family":"Zhuang","given":"Pei","non-dropping-particle":"","parse-names":false,"suffix":""},{"dropping-particle":"","family":"Xuyang","given":"Alfred","non-dropping-particle":"","parse-names":false,"suffix":""},{"dropping-particle":"","family":"An","given":"Jia","non-dropping-particle":"","parse-names":false,"suffix":""},{"dropping-particle":"","family":"Kai","given":"Chee","non-dropping-particle":"","parse-names":false,"suffix":""},{"dropping-particle":"","family":"Yian","given":"Sing","non-dropping-particle":"","parse-names":false,"suffix":""}],"container-title":"Biomaterials","id":"ITEM-1","issued":{"date-parts":[["2018"]]},"page":"113-133","publisher":"Elsevier Ltd","title":"Biomaterials 3D neural tissue models : From spheroids to bioprinting","type":"article-journal","volume":"154"},"uris":["http://www.mendeley.com/documents/?uuid=a46a58d3-b396-4283-b0a4-6ab5dd831aeb"]}],"mendeley":{"formattedCitation":"[48]","plainTextFormattedCitation":"[48]","previouslyFormattedCitation":"[48]"},"properties":{"noteIndex":0},"schema":"https://github.com/citation-style-language/schema/raw/master/csl-citation.json"}</w:instrText>
      </w:r>
      <w:r w:rsidRPr="000E39AA">
        <w:rPr>
          <w:rFonts w:ascii="Arial" w:hAnsi="Arial" w:cs="Arial"/>
        </w:rPr>
        <w:fldChar w:fldCharType="separate"/>
      </w:r>
      <w:r w:rsidR="0062132B" w:rsidRPr="0062132B">
        <w:rPr>
          <w:rFonts w:ascii="Arial" w:hAnsi="Arial" w:cs="Arial"/>
          <w:noProof/>
        </w:rPr>
        <w:t>[48]</w:t>
      </w:r>
      <w:r w:rsidRPr="000E39AA">
        <w:rPr>
          <w:rFonts w:ascii="Arial" w:hAnsi="Arial" w:cs="Arial"/>
        </w:rPr>
        <w:fldChar w:fldCharType="end"/>
      </w:r>
      <w:r w:rsidRPr="000E39AA">
        <w:rPr>
          <w:rFonts w:ascii="Arial" w:hAnsi="Arial" w:cs="Arial"/>
        </w:rPr>
        <w:t>.</w:t>
      </w:r>
    </w:p>
    <w:p w14:paraId="3BBB6347" w14:textId="77777777" w:rsidR="00F03759" w:rsidRPr="000E39AA" w:rsidRDefault="00F03759" w:rsidP="003B434C">
      <w:pPr>
        <w:pStyle w:val="Heading4"/>
      </w:pPr>
      <w:bookmarkStart w:id="48" w:name="_Toc98937874"/>
      <w:r w:rsidRPr="000E39AA">
        <w:t>3.3.3 Organoids</w:t>
      </w:r>
      <w:bookmarkEnd w:id="48"/>
    </w:p>
    <w:p w14:paraId="1EDC5D8E" w14:textId="4EB49C21" w:rsidR="00F03759" w:rsidRPr="000E39AA" w:rsidRDefault="00F03759" w:rsidP="00F03759">
      <w:pPr>
        <w:autoSpaceDE w:val="0"/>
        <w:autoSpaceDN w:val="0"/>
        <w:adjustRightInd w:val="0"/>
        <w:spacing w:after="0" w:line="276" w:lineRule="auto"/>
        <w:jc w:val="both"/>
        <w:rPr>
          <w:rFonts w:ascii="Arial" w:hAnsi="Arial" w:cs="Arial"/>
          <w:color w:val="000000"/>
          <w:shd w:val="clear" w:color="auto" w:fill="FFFFFF"/>
        </w:rPr>
      </w:pPr>
      <w:r w:rsidRPr="000E39AA">
        <w:rPr>
          <w:rFonts w:ascii="Arial" w:hAnsi="Arial" w:cs="Arial"/>
        </w:rPr>
        <w:t xml:space="preserve">Organoids are three-dimensional </w:t>
      </w:r>
      <w:r w:rsidRPr="000E39AA">
        <w:rPr>
          <w:rFonts w:ascii="Arial" w:hAnsi="Arial" w:cs="Arial"/>
          <w:i/>
          <w:iCs/>
        </w:rPr>
        <w:t>in vitro</w:t>
      </w:r>
      <w:r w:rsidRPr="000E39AA">
        <w:rPr>
          <w:rFonts w:ascii="Arial" w:hAnsi="Arial" w:cs="Arial"/>
        </w:rPr>
        <w:t xml:space="preserve"> cell models that consist of clusters of cells, such as iPSCs, ESC</w:t>
      </w:r>
      <w:r w:rsidR="00255C8F">
        <w:rPr>
          <w:rFonts w:ascii="Arial" w:hAnsi="Arial" w:cs="Arial"/>
        </w:rPr>
        <w:t>s</w:t>
      </w:r>
      <w:r w:rsidRPr="000E39AA">
        <w:rPr>
          <w:rFonts w:ascii="Arial" w:hAnsi="Arial" w:cs="Arial"/>
        </w:rPr>
        <w:t xml:space="preserve"> or adult stem cells (ASC) that self-organise spatially and differentiate into functional mini-organs using a scaffold</w:t>
      </w:r>
      <w:r w:rsidR="00106799">
        <w:rPr>
          <w:rFonts w:ascii="Arial" w:hAnsi="Arial" w:cs="Arial"/>
        </w:rPr>
        <w:t>-</w:t>
      </w:r>
      <w:r w:rsidRPr="000E39AA">
        <w:rPr>
          <w:rFonts w:ascii="Arial" w:hAnsi="Arial" w:cs="Arial"/>
        </w:rPr>
        <w:t xml:space="preserve">free approach. The mature structures are able to recapitulate, to some degree, the cellular composition, architecture and functions of a native organ </w:t>
      </w:r>
      <w:r w:rsidRPr="000E39AA">
        <w:rPr>
          <w:rFonts w:ascii="Arial" w:hAnsi="Arial" w:cs="Arial"/>
          <w:color w:val="000000"/>
        </w:rPr>
        <w:fldChar w:fldCharType="begin" w:fldLock="1"/>
      </w:r>
      <w:r w:rsidR="00A445D5">
        <w:rPr>
          <w:rFonts w:ascii="Arial" w:hAnsi="Arial" w:cs="Arial"/>
          <w:color w:val="000000"/>
        </w:rPr>
        <w:instrText>ADDIN CSL_CITATION {"citationItems":[{"id":"ITEM-1","itemData":{"DOI":"10.1002/adma.201705684","ISSN":"15214095","PMID":"29573284","abstract":"Neuron regeneration from pluripotent stem cells (PSCs) differentiation or somatic cells trans-differentiation is a promising approach for cell replacement in neurodegenerative diseases and provides a powerful tool for investigating neural development, modeling neurological diseases, and uncovering the mechanisms that underlie diseases. Advancing the materials that are applied in neural differentiation and trans-differentiation promotes the safety, efficiency, and efficacy of neuron regeneration. In the neural differentiation process, matrix materials, either natural or synthetic, not only provide a structural and biochemical support for the monolayer or three-dimensional (3D) cultured cells but also assist in cell adhesion and cell-to-cell communication. They play important roles in directing the differentiation of PSCs into neural cells and modeling neurological diseases. For the trans-differentiation of neural cells, several materials have been used to make the conversion feasible for future therapy. Here, the most current applications of materials for neural differentiation for PSCs, neuronal trans-differentiation, and neurological disease modeling is summarized and discussed.","author":[{"dropping-particle":"","family":"Gong","given":"Lulu","non-dropping-particle":"","parse-names":false,"suffix":""},{"dropping-particle":"","family":"Cao","given":"Lining","non-dropping-particle":"","parse-names":false,"suffix":""},{"dropping-particle":"","family":"Shen","given":"Zhenmin","non-dropping-particle":"","parse-names":false,"suffix":""},{"dropping-particle":"","family":"Shao","given":"Li","non-dropping-particle":"","parse-names":false,"suffix":""},{"dropping-particle":"","family":"Gao","given":"Shaorong","non-dropping-particle":"","parse-names":false,"suffix":""},{"dropping-particle":"","family":"Zhang","given":"Chao","non-dropping-particle":"","parse-names":false,"suffix":""},{"dropping-particle":"","family":"Lu","given":"Jianfeng","non-dropping-particle":"","parse-names":false,"suffix":""},{"dropping-particle":"","family":"Li","given":"Weida","non-dropping-particle":"","parse-names":false,"suffix":""}],"container-title":"Advanced Materials","id":"ITEM-1","issue":"17","issued":{"date-parts":[["2018"]]},"title":"Materials for Neural Differentiation, Trans-Differentiation, and Modeling of Neurological Disease","type":"article-journal","volume":"30"},"uris":["http://www.mendeley.com/documents/?uuid=3a22115e-27e5-4bb7-b760-aba5a8d6b190"]},{"id":"ITEM-2","itemData":{"DOI":"10.1016/j.biomaterials.2017.10.002","ISSN":"0142-9612","author":[{"dropping-particle":"","family":"Zhuang","given":"Pei","non-dropping-particle":"","parse-names":false,"suffix":""},{"dropping-particle":"","family":"Xuyang","given":"Alfred","non-dropping-particle":"","parse-names":false,"suffix":""},{"dropping-particle":"","family":"An","given":"Jia","non-dropping-particle":"","parse-names":false,"suffix":""},{"dropping-particle":"","family":"Kai","given":"Chee","non-dropping-particle":"","parse-names":false,"suffix":""},{"dropping-particle":"","family":"Yian","given":"Sing","non-dropping-particle":"","parse-names":false,"suffix":""}],"container-title":"Biomaterials","id":"ITEM-2","issued":{"date-parts":[["2018"]]},"page":"113-133","publisher":"Elsevier Ltd","title":"Biomaterials 3D neural tissue models : From spheroids to bioprinting","type":"article-journal","volume":"154"},"uris":["http://www.mendeley.com/documents/?uuid=a46a58d3-b396-4283-b0a4-6ab5dd831aeb"]},{"id":"ITEM-3","itemData":{"DOI":"10.1093/BRAIN/AWAA268","ISSN":"14602156","PMID":"33020798","abstract":"The complexity of the human brain poses a substantial challenge for the development of models of the CNS. Current animal models lack many essential human characteristics (in addition to raising operational challenges and ethical concerns), and conventional in vitro models, in turn, are limited in their capacity to provide information regarding many functional and systemic responses. Indeed, these challenges may underlie the notoriously low success rates of CNS drug development efforts. During the past 5 years, there has been a leap in the complexity and functionality of in vitro systems of the CNS, which have the potential to overcome many of the limitations of traditional model systems. The availability of human-derived induced pluripotent stem cell technology has further increased the translational potential of these systems. Yet, the adoption of state-of-the-art in vitro platforms within the CNS research community is limited. This may be attributable to the high costs or the immaturity of the systems. Nevertheless, the costs of fabrication have decreased, and there are tremendous ongoing efforts to improve the quality of cell differentiation. Herein, we aim to raise awareness of the capabilities and accessibility of advanced in vitro CNS technologies. We provide an overview of some of the main recent developments (since 2015) in in vitro CNS models. In particular, we focus on engineered in vitro models based on cell culture systems combined with microfluidic platforms (e.g. 'organ-on-a-chip' systems). We delve into the fundamental principles underlying these systems and review several applications of these platforms for the study of the CNS in health and disease. Our discussion further addresses the challenges that hinder the implementation of advanced in vitro platforms in personalized medicine or in large-scale industrial settings, and outlines the existing differentiation protocols and industrial cell sources. We conclude by providing practical guidelines for laboratories that are considering adopting organ-on-a-chip technologies.","author":[{"dropping-particle":"","family":"Nikolakopoulou","given":"Polyxeni","non-dropping-particle":"","parse-names":false,"suffix":""},{"dropping-particle":"","family":"Rauti","given":"Rossana","non-dropping-particle":"","parse-names":false,"suffix":""},{"dropping-particle":"","family":"Voulgaris","given":"Dimitrios","non-dropping-particle":"","parse-names":false,"suffix":""},{"dropping-particle":"","family":"Shlomy","given":"Iftach","non-dropping-particle":"","parse-names":false,"suffix":""},{"dropping-particle":"","family":"Maoz","given":"Ben M.","non-dropping-particle":"","parse-names":false,"suffix":""},{"dropping-particle":"","family":"Herland","given":"Anna","non-dropping-particle":"","parse-names":false,"suffix":""}],"container-title":"Brain","id":"ITEM-3","issue":"11","issued":{"date-parts":[["2021"]]},"page":"3181-3213","title":"Recent progress in translational engineered in vitro models of the central nervous system","type":"article-journal","volume":"143"},"uris":["http://www.mendeley.com/documents/?uuid=5afe0aac-7285-453e-98d8-8b37df890084"]},{"id":"ITEM-4","itemData":{"DOI":"10.1152/ajpcell.00120.2020","ISSN":"15221563","PMID":"32459504","abstract":"In vitro cell cultures are crucial research tools for modeling human development and diseases. Although the conventional mono-layer cell cultures have been widely used in the past, the lack of tissue architecture and complexity of such model fails to inform the true biological processes in vivo. Recent advances in the organoid technology have revolutionized the in vitro culture tools for biomedical research by creating powerful three-dimensional (3D) models to recapitulate the cellular heterogeneity, structure, and functions of the primary tissues. Such organoid technology enables researchers to recreate human organs and diseases in a dish and thus holds great promises for many translational applications such as regenerative medicine, drug discovery, and precision medicine. In this review, we provide an overview of the organoid history and development. We discuss the strengths and limitations of organoids as well as their potential applications in the laboratory and the clinic.","author":[{"dropping-particle":"","family":"Corrò","given":"Claudia","non-dropping-particle":"","parse-names":false,"suffix":""},{"dropping-particle":"","family":"Novellasdemunt","given":"Laura","non-dropping-particle":"","parse-names":false,"suffix":""},{"dropping-particle":"","family":"Li","given":"Vivian S.W.","non-dropping-particle":"","parse-names":false,"suffix":""}],"container-title":"American Journal of Physiology - Cell Physiology","id":"ITEM-4","issue":"1","issued":{"date-parts":[["2020"]]},"page":"C151-C165","title":"A brief history of organoids","type":"article-journal","volume":"319"},"uris":["http://www.mendeley.com/documents/?uuid=a2e05254-d5da-4f6b-85a1-30fb731bd121"]}],"mendeley":{"formattedCitation":"[48, 65–67]","plainTextFormattedCitation":"[48, 65–67]","previouslyFormattedCitation":"[48, 65–67]"},"properties":{"noteIndex":0},"schema":"https://github.com/citation-style-language/schema/raw/master/csl-citation.json"}</w:instrText>
      </w:r>
      <w:r w:rsidRPr="000E39AA">
        <w:rPr>
          <w:rFonts w:ascii="Arial" w:hAnsi="Arial" w:cs="Arial"/>
          <w:color w:val="000000"/>
        </w:rPr>
        <w:fldChar w:fldCharType="separate"/>
      </w:r>
      <w:r w:rsidR="0062132B" w:rsidRPr="0062132B">
        <w:rPr>
          <w:rFonts w:ascii="Arial" w:hAnsi="Arial" w:cs="Arial"/>
          <w:noProof/>
          <w:color w:val="000000"/>
        </w:rPr>
        <w:t>[48, 65–67]</w:t>
      </w:r>
      <w:r w:rsidRPr="000E39AA">
        <w:rPr>
          <w:rFonts w:ascii="Arial" w:hAnsi="Arial" w:cs="Arial"/>
          <w:color w:val="000000"/>
        </w:rPr>
        <w:fldChar w:fldCharType="end"/>
      </w:r>
      <w:r w:rsidRPr="000E39AA">
        <w:rPr>
          <w:rFonts w:ascii="Arial" w:hAnsi="Arial"/>
          <w:color w:val="000000"/>
        </w:rPr>
        <w:t>, thus used</w:t>
      </w:r>
      <w:r w:rsidRPr="000E39AA">
        <w:rPr>
          <w:rFonts w:ascii="Arial" w:hAnsi="Arial" w:cs="Arial"/>
        </w:rPr>
        <w:t xml:space="preserve"> for </w:t>
      </w:r>
      <w:r w:rsidRPr="000E39AA">
        <w:rPr>
          <w:rFonts w:ascii="Arial" w:hAnsi="Arial" w:cs="Arial"/>
          <w:i/>
          <w:iCs/>
        </w:rPr>
        <w:t>in vitro</w:t>
      </w:r>
      <w:r w:rsidRPr="000E39AA">
        <w:rPr>
          <w:rFonts w:ascii="Arial" w:hAnsi="Arial" w:cs="Arial"/>
        </w:rPr>
        <w:t xml:space="preserve"> disease </w:t>
      </w:r>
      <w:r w:rsidR="00B426BD" w:rsidRPr="000E39AA">
        <w:rPr>
          <w:rFonts w:ascii="Arial" w:hAnsi="Arial" w:cs="Arial"/>
        </w:rPr>
        <w:t>modelling</w:t>
      </w:r>
      <w:r w:rsidRPr="000E39AA">
        <w:rPr>
          <w:rFonts w:ascii="Arial" w:hAnsi="Arial" w:cs="Arial"/>
        </w:rPr>
        <w:t xml:space="preserve"> </w:t>
      </w:r>
      <w:r w:rsidRPr="000E39AA">
        <w:rPr>
          <w:rFonts w:ascii="Arial" w:hAnsi="Arial" w:cs="Arial"/>
          <w:color w:val="212121"/>
          <w:shd w:val="clear" w:color="auto" w:fill="FFFFFF"/>
        </w:rPr>
        <w:t>(</w:t>
      </w:r>
      <w:r w:rsidRPr="000E39AA">
        <w:rPr>
          <w:rFonts w:ascii="Arial" w:hAnsi="Arial" w:cs="Arial"/>
          <w:b/>
          <w:bCs/>
          <w:color w:val="212121"/>
          <w:shd w:val="clear" w:color="auto" w:fill="FFFFFF"/>
        </w:rPr>
        <w:t>Fig</w:t>
      </w:r>
      <w:r w:rsidR="003553F2">
        <w:rPr>
          <w:rFonts w:ascii="Arial" w:hAnsi="Arial" w:cs="Arial"/>
          <w:b/>
          <w:bCs/>
          <w:color w:val="212121"/>
          <w:shd w:val="clear" w:color="auto" w:fill="FFFFFF"/>
        </w:rPr>
        <w:t>.</w:t>
      </w:r>
      <w:r w:rsidRPr="000E39AA">
        <w:rPr>
          <w:rFonts w:ascii="Arial" w:hAnsi="Arial" w:cs="Arial"/>
          <w:b/>
          <w:bCs/>
          <w:color w:val="212121"/>
          <w:shd w:val="clear" w:color="auto" w:fill="FFFFFF"/>
        </w:rPr>
        <w:t xml:space="preserve"> 2c</w:t>
      </w:r>
      <w:r w:rsidRPr="000E39AA">
        <w:rPr>
          <w:rFonts w:ascii="Arial" w:hAnsi="Arial" w:cs="Arial"/>
          <w:color w:val="212121"/>
          <w:shd w:val="clear" w:color="auto" w:fill="FFFFFF"/>
        </w:rPr>
        <w:t>)</w:t>
      </w:r>
      <w:r w:rsidRPr="000E39AA">
        <w:rPr>
          <w:rFonts w:ascii="Arial" w:hAnsi="Arial" w:cs="Arial"/>
        </w:rPr>
        <w:t xml:space="preserve">. Organoids are particularly useful for the identification and testing of new therapeutic treatments given organoids can adapt to any </w:t>
      </w:r>
      <w:r w:rsidRPr="000E39AA">
        <w:rPr>
          <w:rFonts w:ascii="Arial" w:hAnsi="Arial" w:cs="Arial"/>
          <w:i/>
          <w:iCs/>
        </w:rPr>
        <w:t>in</w:t>
      </w:r>
      <w:r w:rsidR="007E6764">
        <w:rPr>
          <w:rFonts w:ascii="Arial" w:hAnsi="Arial" w:cs="Arial"/>
          <w:i/>
          <w:iCs/>
        </w:rPr>
        <w:t xml:space="preserve"> </w:t>
      </w:r>
      <w:r w:rsidRPr="000E39AA">
        <w:rPr>
          <w:rFonts w:ascii="Arial" w:hAnsi="Arial" w:cs="Arial"/>
          <w:i/>
          <w:iCs/>
        </w:rPr>
        <w:t>vitro</w:t>
      </w:r>
      <w:r w:rsidRPr="000E39AA">
        <w:rPr>
          <w:rFonts w:ascii="Arial" w:hAnsi="Arial" w:cs="Arial"/>
        </w:rPr>
        <w:t xml:space="preserve"> genome modification or gene therapy </w:t>
      </w:r>
      <w:r w:rsidRPr="000E39AA">
        <w:rPr>
          <w:rFonts w:ascii="Arial" w:hAnsi="Arial" w:cs="Arial"/>
          <w:color w:val="000000"/>
          <w:shd w:val="clear" w:color="auto" w:fill="FFFFFF"/>
        </w:rPr>
        <w:fldChar w:fldCharType="begin" w:fldLock="1"/>
      </w:r>
      <w:r w:rsidR="00A445D5">
        <w:rPr>
          <w:rFonts w:ascii="Arial" w:hAnsi="Arial" w:cs="Arial"/>
          <w:color w:val="000000"/>
          <w:shd w:val="clear" w:color="auto" w:fill="FFFFFF"/>
        </w:rPr>
        <w:instrText>ADDIN CSL_CITATION {"citationItems":[{"id":"ITEM-1","itemData":{"DOI":"10.1093/BRAIN/AWAA268","ISSN":"14602156","PMID":"33020798","abstract":"The complexity of the human brain poses a substantial challenge for the development of models of the CNS. Current animal models lack many essential human characteristics (in addition to raising operational challenges and ethical concerns), and conventional in vitro models, in turn, are limited in their capacity to provide information regarding many functional and systemic responses. Indeed, these challenges may underlie the notoriously low success rates of CNS drug development efforts. During the past 5 years, there has been a leap in the complexity and functionality of in vitro systems of the CNS, which have the potential to overcome many of the limitations of traditional model systems. The availability of human-derived induced pluripotent stem cell technology has further increased the translational potential of these systems. Yet, the adoption of state-of-the-art in vitro platforms within the CNS research community is limited. This may be attributable to the high costs or the immaturity of the systems. Nevertheless, the costs of fabrication have decreased, and there are tremendous ongoing efforts to improve the quality of cell differentiation. Herein, we aim to raise awareness of the capabilities and accessibility of advanced in vitro CNS technologies. We provide an overview of some of the main recent developments (since 2015) in in vitro CNS models. In particular, we focus on engineered in vitro models based on cell culture systems combined with microfluidic platforms (e.g. 'organ-on-a-chip' systems). We delve into the fundamental principles underlying these systems and review several applications of these platforms for the study of the CNS in health and disease. Our discussion further addresses the challenges that hinder the implementation of advanced in vitro platforms in personalized medicine or in large-scale industrial settings, and outlines the existing differentiation protocols and industrial cell sources. We conclude by providing practical guidelines for laboratories that are considering adopting organ-on-a-chip technologies.","author":[{"dropping-particle":"","family":"Nikolakopoulou","given":"Polyxeni","non-dropping-particle":"","parse-names":false,"suffix":""},{"dropping-particle":"","family":"Rauti","given":"Rossana","non-dropping-particle":"","parse-names":false,"suffix":""},{"dropping-particle":"","family":"Voulgaris","given":"Dimitrios","non-dropping-particle":"","parse-names":false,"suffix":""},{"dropping-particle":"","family":"Shlomy","given":"Iftach","non-dropping-particle":"","parse-names":false,"suffix":""},{"dropping-particle":"","family":"Maoz","given":"Ben M.","non-dropping-particle":"","parse-names":false,"suffix":""},{"dropping-particle":"","family":"Herland","given":"Anna","non-dropping-particle":"","parse-names":false,"suffix":""}],"container-title":"Brain","id":"ITEM-1","issue":"11","issued":{"date-parts":[["2021"]]},"page":"3181-3213","title":"Recent progress in translational engineered in vitro models of the central nervous system","type":"article-journal","volume":"143"},"uris":["http://www.mendeley.com/documents/?uuid=5afe0aac-7285-453e-98d8-8b37df890084"]}],"mendeley":{"formattedCitation":"[66]","plainTextFormattedCitation":"[66]","previouslyFormattedCitation":"[66]"},"properties":{"noteIndex":0},"schema":"https://github.com/citation-style-language/schema/raw/master/csl-citation.json"}</w:instrText>
      </w:r>
      <w:r w:rsidRPr="000E39AA">
        <w:rPr>
          <w:rFonts w:ascii="Arial" w:hAnsi="Arial" w:cs="Arial"/>
          <w:color w:val="000000"/>
          <w:shd w:val="clear" w:color="auto" w:fill="FFFFFF"/>
        </w:rPr>
        <w:fldChar w:fldCharType="separate"/>
      </w:r>
      <w:r w:rsidR="0062132B" w:rsidRPr="0062132B">
        <w:rPr>
          <w:rFonts w:ascii="Arial" w:hAnsi="Arial" w:cs="Arial"/>
          <w:noProof/>
          <w:color w:val="000000"/>
          <w:shd w:val="clear" w:color="auto" w:fill="FFFFFF"/>
        </w:rPr>
        <w:t>[66]</w:t>
      </w:r>
      <w:r w:rsidRPr="000E39AA">
        <w:rPr>
          <w:rFonts w:ascii="Arial" w:hAnsi="Arial" w:cs="Arial"/>
          <w:color w:val="000000"/>
          <w:shd w:val="clear" w:color="auto" w:fill="FFFFFF"/>
        </w:rPr>
        <w:fldChar w:fldCharType="end"/>
      </w:r>
      <w:r w:rsidRPr="000E39AA">
        <w:rPr>
          <w:rFonts w:ascii="Arial" w:hAnsi="Arial" w:cs="Arial"/>
          <w:color w:val="000000"/>
          <w:shd w:val="clear" w:color="auto" w:fill="FFFFFF"/>
        </w:rPr>
        <w:t>. To date</w:t>
      </w:r>
      <w:r w:rsidRPr="000E39AA">
        <w:rPr>
          <w:rFonts w:ascii="Arial" w:hAnsi="Arial"/>
          <w:color w:val="000000"/>
          <w:shd w:val="clear" w:color="auto" w:fill="FFFFFF"/>
        </w:rPr>
        <w:t xml:space="preserve">, </w:t>
      </w:r>
      <w:r w:rsidRPr="000E39AA">
        <w:rPr>
          <w:rFonts w:ascii="Arial" w:hAnsi="Arial" w:cs="Arial"/>
        </w:rPr>
        <w:t xml:space="preserve">reproducibility has proved a major issue, due to significant intra- and inter-batch differences in terms of size and cell organization and composition. Furthermore, organoids lack vascular perfusion, mechanical signals, long-term stability and circulating immune cells, essential for physiological function </w:t>
      </w:r>
      <w:r w:rsidRPr="000E39AA">
        <w:rPr>
          <w:rFonts w:ascii="Arial" w:hAnsi="Arial" w:cs="Arial"/>
          <w:color w:val="000000"/>
          <w:shd w:val="clear" w:color="auto" w:fill="FFFFFF"/>
        </w:rPr>
        <w:fldChar w:fldCharType="begin" w:fldLock="1"/>
      </w:r>
      <w:r w:rsidR="00A445D5">
        <w:rPr>
          <w:rFonts w:ascii="Arial" w:hAnsi="Arial" w:cs="Arial"/>
          <w:color w:val="000000"/>
          <w:shd w:val="clear" w:color="auto" w:fill="FFFFFF"/>
        </w:rPr>
        <w:instrText>ADDIN CSL_CITATION {"citationItems":[{"id":"ITEM-1","itemData":{"DOI":"10.1016/j.cell.2016.02.049","ISSN":"1097-4172 (Electronic)","PMID":"26967278","abstract":"While studies of cultured cells have led to new insights into biological control,  greater understanding of human pathophysiology requires the development of experimental systems that permit analysis of intercellular communications and tissue-tissue interactions in a more relevant organ context. Human organs-on-chips offer a potentially powerful new approach to confront this long-standing problem.","author":[{"dropping-particle":"","family":"Ingber","given":"Donald E","non-dropping-particle":"","parse-names":false,"suffix":""}],"container-title":"Cell","id":"ITEM-1","issue":"6","issued":{"date-parts":[["2016","3"]]},"language":"eng","page":"1105-1109","publisher-place":"United States","title":"Reverse Engineering Human Pathophysiology with Organs-on-Chips.","type":"article-journal","volume":"164"},"uris":["http://www.mendeley.com/documents/?uuid=4e92278a-d824-48b8-9225-2c9c696a7125"]},{"id":"ITEM-2","itemData":{"DOI":"10.1093/BRAIN/AWAA268","ISSN":"14602156","PMID":"33020798","abstract":"The complexity of the human brain poses a substantial challenge for the development of models of the CNS. Current animal models lack many essential human characteristics (in addition to raising operational challenges and ethical concerns), and conventional in vitro models, in turn, are limited in their capacity to provide information regarding many functional and systemic responses. Indeed, these challenges may underlie the notoriously low success rates of CNS drug development efforts. During the past 5 years, there has been a leap in the complexity and functionality of in vitro systems of the CNS, which have the potential to overcome many of the limitations of traditional model systems. The availability of human-derived induced pluripotent stem cell technology has further increased the translational potential of these systems. Yet, the adoption of state-of-the-art in vitro platforms within the CNS research community is limited. This may be attributable to the high costs or the immaturity of the systems. Nevertheless, the costs of fabrication have decreased, and there are tremendous ongoing efforts to improve the quality of cell differentiation. Herein, we aim to raise awareness of the capabilities and accessibility of advanced in vitro CNS technologies. We provide an overview of some of the main recent developments (since 2015) in in vitro CNS models. In particular, we focus on engineered in vitro models based on cell culture systems combined with microfluidic platforms (e.g. 'organ-on-a-chip' systems). We delve into the fundamental principles underlying these systems and review several applications of these platforms for the study of the CNS in health and disease. Our discussion further addresses the challenges that hinder the implementation of advanced in vitro platforms in personalized medicine or in large-scale industrial settings, and outlines the existing differentiation protocols and industrial cell sources. We conclude by providing practical guidelines for laboratories that are considering adopting organ-on-a-chip technologies.","author":[{"dropping-particle":"","family":"Nikolakopoulou","given":"Polyxeni","non-dropping-particle":"","parse-names":false,"suffix":""},{"dropping-particle":"","family":"Rauti","given":"Rossana","non-dropping-particle":"","parse-names":false,"suffix":""},{"dropping-particle":"","family":"Voulgaris","given":"Dimitrios","non-dropping-particle":"","parse-names":false,"suffix":""},{"dropping-particle":"","family":"Shlomy","given":"Iftach","non-dropping-particle":"","parse-names":false,"suffix":""},{"dropping-particle":"","family":"Maoz","given":"Ben M.","non-dropping-particle":"","parse-names":false,"suffix":""},{"dropping-particle":"","family":"Herland","given":"Anna","non-dropping-particle":"","parse-names":false,"suffix":""}],"container-title":"Brain","id":"ITEM-2","issue":"11","issued":{"date-parts":[["2021"]]},"page":"3181-3213","title":"Recent progress in translational engineered in vitro models of the central nervous system","type":"article-journal","volume":"143"},"uris":["http://www.mendeley.com/documents/?uuid=5afe0aac-7285-453e-98d8-8b37df890084"]}],"mendeley":{"formattedCitation":"[66, 68]","plainTextFormattedCitation":"[66, 68]","previouslyFormattedCitation":"[66, 68]"},"properties":{"noteIndex":0},"schema":"https://github.com/citation-style-language/schema/raw/master/csl-citation.json"}</w:instrText>
      </w:r>
      <w:r w:rsidRPr="000E39AA">
        <w:rPr>
          <w:rFonts w:ascii="Arial" w:hAnsi="Arial" w:cs="Arial"/>
          <w:color w:val="000000"/>
          <w:shd w:val="clear" w:color="auto" w:fill="FFFFFF"/>
        </w:rPr>
        <w:fldChar w:fldCharType="separate"/>
      </w:r>
      <w:r w:rsidR="0062132B" w:rsidRPr="0062132B">
        <w:rPr>
          <w:rFonts w:ascii="Arial" w:hAnsi="Arial" w:cs="Arial"/>
          <w:noProof/>
          <w:color w:val="000000"/>
          <w:shd w:val="clear" w:color="auto" w:fill="FFFFFF"/>
        </w:rPr>
        <w:t>[66, 68]</w:t>
      </w:r>
      <w:r w:rsidRPr="000E39AA">
        <w:rPr>
          <w:rFonts w:ascii="Arial" w:hAnsi="Arial" w:cs="Arial"/>
          <w:color w:val="000000"/>
          <w:shd w:val="clear" w:color="auto" w:fill="FFFFFF"/>
        </w:rPr>
        <w:fldChar w:fldCharType="end"/>
      </w:r>
      <w:r w:rsidRPr="000E39AA">
        <w:rPr>
          <w:rFonts w:ascii="Arial" w:hAnsi="Arial" w:cs="Arial"/>
          <w:color w:val="000000"/>
          <w:shd w:val="clear" w:color="auto" w:fill="FFFFFF"/>
        </w:rPr>
        <w:t>.</w:t>
      </w:r>
    </w:p>
    <w:p w14:paraId="06FDE45C" w14:textId="77777777" w:rsidR="00F03759" w:rsidRPr="000E39AA" w:rsidRDefault="00F03759" w:rsidP="00F03759">
      <w:pPr>
        <w:autoSpaceDE w:val="0"/>
        <w:autoSpaceDN w:val="0"/>
        <w:adjustRightInd w:val="0"/>
        <w:spacing w:after="0" w:line="276" w:lineRule="auto"/>
        <w:jc w:val="both"/>
        <w:rPr>
          <w:rFonts w:ascii="Arial" w:hAnsi="Arial" w:cs="Arial"/>
        </w:rPr>
      </w:pPr>
    </w:p>
    <w:p w14:paraId="552E53BE" w14:textId="77777777" w:rsidR="00F03759" w:rsidRPr="000E39AA" w:rsidRDefault="00F03759" w:rsidP="007478CE">
      <w:pPr>
        <w:pStyle w:val="Heading2"/>
      </w:pPr>
      <w:bookmarkStart w:id="49" w:name="_Toc98937875"/>
      <w:r w:rsidRPr="000E39AA">
        <w:t>Towards development of bone pain models</w:t>
      </w:r>
      <w:bookmarkEnd w:id="49"/>
    </w:p>
    <w:p w14:paraId="6D4F944F" w14:textId="77777777" w:rsidR="00F03759" w:rsidRPr="000E39AA" w:rsidRDefault="00F03759" w:rsidP="00F03759">
      <w:pPr>
        <w:autoSpaceDE w:val="0"/>
        <w:autoSpaceDN w:val="0"/>
        <w:adjustRightInd w:val="0"/>
        <w:spacing w:after="0" w:line="276" w:lineRule="auto"/>
        <w:jc w:val="both"/>
        <w:rPr>
          <w:rFonts w:ascii="Arial" w:hAnsi="Arial" w:cs="Arial"/>
          <w:i/>
          <w:iCs/>
          <w:color w:val="C00000"/>
        </w:rPr>
      </w:pPr>
    </w:p>
    <w:p w14:paraId="15A84CB9" w14:textId="5E5F50E0" w:rsidR="00F03759" w:rsidRPr="000E39AA" w:rsidRDefault="00F03759" w:rsidP="00CC5B90">
      <w:pPr>
        <w:autoSpaceDE w:val="0"/>
        <w:autoSpaceDN w:val="0"/>
        <w:adjustRightInd w:val="0"/>
        <w:spacing w:after="0" w:line="276" w:lineRule="auto"/>
        <w:jc w:val="both"/>
        <w:rPr>
          <w:rFonts w:ascii="Arial" w:hAnsi="Arial" w:cs="Arial"/>
        </w:rPr>
      </w:pPr>
      <w:r w:rsidRPr="000E39AA">
        <w:rPr>
          <w:rFonts w:ascii="Arial" w:hAnsi="Arial" w:cs="Arial"/>
        </w:rPr>
        <w:t xml:space="preserve">Currently, animal models are the most widely used platform for drug discovery and screening, despite significant issues associated with reproducibility, availability and ethical considerations </w:t>
      </w:r>
      <w:r w:rsidRPr="000E39AA">
        <w:rPr>
          <w:rFonts w:ascii="Arial" w:hAnsi="Arial" w:cs="Arial"/>
        </w:rPr>
        <w:fldChar w:fldCharType="begin" w:fldLock="1"/>
      </w:r>
      <w:r w:rsidR="000D250C">
        <w:rPr>
          <w:rFonts w:ascii="Arial" w:hAnsi="Arial" w:cs="Arial"/>
        </w:rPr>
        <w:instrText>ADDIN CSL_CITATION {"citationItems":[{"id":"ITEM-1","itemData":{"DOI":"10.1007/s00204-020-02906-z","ISBN":"0123456789","ISSN":"14320738","PMID":"32910238","abstract":"Approx. every third hospitalized patient in Europe suffers from musculoskeletal injuries or diseases. Up to 20% of these patients need costly surgical revisions after delayed or impaired fracture healing. Reasons for this are the severity of the trauma, individual factors, e.g, the patients’ age, individual lifestyle, chronic diseases, medication, and, over 70 diseases that negatively affect the bone quality. To investigate the various disease constellations and/or develop new treatment strategies, many in vivo, ex vivo, and in vitro models can be applied. Analyzing these various models more closely, it is obvious that many of them have limits and/or restrictions. Undoubtedly, in vivo models most completely represent the biological situation. Besides possible species-specific differences, ethical concerns may question the use of in vivo models especially for large screening approaches. Challenging whether ex vivo or in vitro bone models can be used as an adequate replacement for such screenings, we here summarize the advantages and challenges of frequently used ex vivo and in vitro bone models to study disturbed bone metabolism and fracture healing. Using own examples, we discuss the common challenge of cell-specific normalization of data obtained from more complex in vitro models as one example of the analytical limits which lower the full potential of these complex model systems.","author":[{"dropping-particle":"","family":"Ehnert","given":"Sabrina","non-dropping-particle":"","parse-names":false,"suffix":""},{"dropping-particle":"","family":"Rinderknecht","given":"Helen","non-dropping-particle":"","parse-names":false,"suffix":""},{"dropping-particle":"","family":"Aspera-Werz","given":"Romina H.","non-dropping-particle":"","parse-names":false,"suffix":""},{"dropping-particle":"","family":"Häussling","given":"Victor","non-dropping-particle":"","parse-names":false,"suffix":""},{"dropping-particle":"","family":"Nussler","given":"Andreas K.","non-dropping-particle":"","parse-names":false,"suffix":""}],"container-title":"Archives of Toxicology","id":"ITEM-1","issue":"12","issued":{"date-parts":[["2020"]]},"page":"3937-3958","publisher":"Springer Berlin Heidelberg","title":"Use of in vitro bone models to screen for altered bone metabolism, osteopathies, and fracture healing: challenges of complex models","type":"article-journal","volume":"94"},"uris":["http://www.mendeley.com/documents/?uuid=6b5a8015-1455-42af-9e47-7650baa9bcb9"]}],"mendeley":{"formattedCitation":"[9]","plainTextFormattedCitation":"[9]","previouslyFormattedCitation":"[9]"},"properties":{"noteIndex":0},"schema":"https://github.com/citation-style-language/schema/raw/master/csl-citation.json"}</w:instrText>
      </w:r>
      <w:r w:rsidRPr="000E39AA">
        <w:rPr>
          <w:rFonts w:ascii="Arial" w:hAnsi="Arial" w:cs="Arial"/>
        </w:rPr>
        <w:fldChar w:fldCharType="separate"/>
      </w:r>
      <w:r w:rsidR="00BC139B" w:rsidRPr="00BC139B">
        <w:rPr>
          <w:rFonts w:ascii="Arial" w:hAnsi="Arial" w:cs="Arial"/>
          <w:noProof/>
        </w:rPr>
        <w:t>[9]</w:t>
      </w:r>
      <w:r w:rsidRPr="000E39AA">
        <w:rPr>
          <w:rFonts w:ascii="Arial" w:hAnsi="Arial" w:cs="Arial"/>
        </w:rPr>
        <w:fldChar w:fldCharType="end"/>
      </w:r>
      <w:r w:rsidRPr="000E39AA">
        <w:rPr>
          <w:rFonts w:ascii="Arial" w:hAnsi="Arial" w:cs="Arial"/>
        </w:rPr>
        <w:t xml:space="preserve">. An alternative is provided by </w:t>
      </w:r>
      <w:r w:rsidRPr="000E39AA">
        <w:rPr>
          <w:rFonts w:ascii="Arial" w:hAnsi="Arial" w:cs="Arial"/>
          <w:i/>
          <w:iCs/>
        </w:rPr>
        <w:t>ex vivo</w:t>
      </w:r>
      <w:r w:rsidRPr="000E39AA">
        <w:rPr>
          <w:rFonts w:ascii="Arial" w:hAnsi="Arial" w:cs="Arial"/>
        </w:rPr>
        <w:t xml:space="preserve"> models: explants of human or animal tissue that contain the cellular and extra-cellular composition needed to replicate the </w:t>
      </w:r>
      <w:r w:rsidRPr="000E39AA">
        <w:rPr>
          <w:rFonts w:ascii="Arial" w:hAnsi="Arial" w:cs="Arial"/>
          <w:i/>
          <w:iCs/>
        </w:rPr>
        <w:t>in vivo</w:t>
      </w:r>
      <w:r w:rsidRPr="000E39AA">
        <w:rPr>
          <w:rFonts w:ascii="Arial" w:hAnsi="Arial" w:cs="Arial"/>
        </w:rPr>
        <w:t xml:space="preserve"> conditions </w:t>
      </w:r>
      <w:r w:rsidRPr="000E39AA">
        <w:rPr>
          <w:rFonts w:ascii="Arial" w:hAnsi="Arial" w:cs="Arial"/>
        </w:rPr>
        <w:fldChar w:fldCharType="begin" w:fldLock="1"/>
      </w:r>
      <w:r w:rsidR="000D250C">
        <w:rPr>
          <w:rFonts w:ascii="Arial" w:hAnsi="Arial" w:cs="Arial"/>
        </w:rPr>
        <w:instrText>ADDIN CSL_CITATION {"citationItems":[{"id":"ITEM-1","itemData":{"DOI":"10.1007/s00204-020-02906-z","ISBN":"0123456789","ISSN":"14320738","PMID":"32910238","abstract":"Approx. every third hospitalized patient in Europe suffers from musculoskeletal injuries or diseases. Up to 20% of these patients need costly surgical revisions after delayed or impaired fracture healing. Reasons for this are the severity of the trauma, individual factors, e.g, the patients’ age, individual lifestyle, chronic diseases, medication, and, over 70 diseases that negatively affect the bone quality. To investigate the various disease constellations and/or develop new treatment strategies, many in vivo, ex vivo, and in vitro models can be applied. Analyzing these various models more closely, it is obvious that many of them have limits and/or restrictions. Undoubtedly, in vivo models most completely represent the biological situation. Besides possible species-specific differences, ethical concerns may question the use of in vivo models especially for large screening approaches. Challenging whether ex vivo or in vitro bone models can be used as an adequate replacement for such screenings, we here summarize the advantages and challenges of frequently used ex vivo and in vitro bone models to study disturbed bone metabolism and fracture healing. Using own examples, we discuss the common challenge of cell-specific normalization of data obtained from more complex in vitro models as one example of the analytical limits which lower the full potential of these complex model systems.","author":[{"dropping-particle":"","family":"Ehnert","given":"Sabrina","non-dropping-particle":"","parse-names":false,"suffix":""},{"dropping-particle":"","family":"Rinderknecht","given":"Helen","non-dropping-particle":"","parse-names":false,"suffix":""},{"dropping-particle":"","family":"Aspera-Werz","given":"Romina H.","non-dropping-particle":"","parse-names":false,"suffix":""},{"dropping-particle":"","family":"Häussling","given":"Victor","non-dropping-particle":"","parse-names":false,"suffix":""},{"dropping-particle":"","family":"Nussler","given":"Andreas K.","non-dropping-particle":"","parse-names":false,"suffix":""}],"container-title":"Archives of Toxicology","id":"ITEM-1","issue":"12","issued":{"date-parts":[["2020"]]},"page":"3937-3958","publisher":"Springer Berlin Heidelberg","title":"Use of in vitro bone models to screen for altered bone metabolism, osteopathies, and fracture healing: challenges of complex models","type":"article-journal","volume":"94"},"uris":["http://www.mendeley.com/documents/?uuid=6b5a8015-1455-42af-9e47-7650baa9bcb9"]}],"mendeley":{"formattedCitation":"[9]","plainTextFormattedCitation":"[9]","previouslyFormattedCitation":"[9]"},"properties":{"noteIndex":0},"schema":"https://github.com/citation-style-language/schema/raw/master/csl-citation.json"}</w:instrText>
      </w:r>
      <w:r w:rsidRPr="000E39AA">
        <w:rPr>
          <w:rFonts w:ascii="Arial" w:hAnsi="Arial" w:cs="Arial"/>
        </w:rPr>
        <w:fldChar w:fldCharType="separate"/>
      </w:r>
      <w:r w:rsidR="00BC139B" w:rsidRPr="00BC139B">
        <w:rPr>
          <w:rFonts w:ascii="Arial" w:hAnsi="Arial" w:cs="Arial"/>
          <w:noProof/>
        </w:rPr>
        <w:t>[9]</w:t>
      </w:r>
      <w:r w:rsidRPr="000E39AA">
        <w:rPr>
          <w:rFonts w:ascii="Arial" w:hAnsi="Arial" w:cs="Arial"/>
        </w:rPr>
        <w:fldChar w:fldCharType="end"/>
      </w:r>
      <w:r w:rsidRPr="000E39AA">
        <w:rPr>
          <w:rFonts w:ascii="Arial" w:hAnsi="Arial" w:cs="Arial"/>
        </w:rPr>
        <w:t xml:space="preserve"> and can be applied</w:t>
      </w:r>
      <w:r w:rsidRPr="000E39AA">
        <w:rPr>
          <w:rFonts w:ascii="Arial" w:hAnsi="Arial"/>
        </w:rPr>
        <w:t xml:space="preserve"> for th</w:t>
      </w:r>
      <w:r w:rsidRPr="000E39AA">
        <w:rPr>
          <w:rFonts w:ascii="Arial" w:hAnsi="Arial" w:cs="Arial"/>
        </w:rPr>
        <w:t xml:space="preserve">e screening of new drugs for safety and efficacy </w:t>
      </w:r>
      <w:r w:rsidRPr="000E39AA">
        <w:rPr>
          <w:rFonts w:ascii="Arial" w:hAnsi="Arial" w:cs="Arial"/>
        </w:rPr>
        <w:fldChar w:fldCharType="begin" w:fldLock="1"/>
      </w:r>
      <w:r w:rsidR="00A445D5">
        <w:rPr>
          <w:rFonts w:ascii="Arial" w:hAnsi="Arial" w:cs="Arial"/>
        </w:rPr>
        <w:instrText>ADDIN CSL_CITATION {"citationItems":[{"id":"ITEM-1","itemData":{"DOI":"10.1089/ten.tea.2008.0501","ISSN":"1937335X","PMID":"19292676","abstract":"There is increasing interest in developing new in vitro tissue models using typical tissue engineering approaches. This study was designed to (1) develop a novel three-dimensional (3D) in vitro model of bone by seeding murine primary osteoblasts and osteoclast precursors on a resorbable porous ceramic scaffold based on silicon-stabilized tricalcium phosphate (Skelite), and (2) investigate bone cell interactions in a 3D environment mimicking an in vivo condition and compare it to traditional two-dimensional (2D) cultures. Murine primary osteoblasts from C57Bl6/J mice and osteoclast precursors from C57Bl/6-Tg(ACTB-EGFP)1Osb/J mice were co-cultured on 3D Skelite scaffolds and on standard plastic culture dishes. The differentiation of these cells in both culture conditions was compared by histology (hematoxylin-eosin staining and polarized light analysis), immunohistochemistry (collagen type I), and gene expression analysis by real-time PCR for Runt-related transcription factor 2, osterix, osteocalcin, cathepsin K, and tartrate resistant acid phosphatase. To analyze and compare bone turnover in 3D and 2D co-cultures, we evaluated the modulation of RANKL and OPG mRNA expression. We observed an enhancement of osteoblast differentiation in the 3D mineralized environment that in turn promoted earlier osteoclast differentiation. In this paper, we also report that the increased osteoblast differentiation in the 3D model led to a deposition of extracellular matrix that faithfully reflected the morphology of bone tissue.","author":[{"dropping-particle":"","family":"Tortelli","given":"Federico","non-dropping-particle":"","parse-names":false,"suffix":""},{"dropping-particle":"","family":"Pujic","given":"Natalija","non-dropping-particle":"","parse-names":false,"suffix":""},{"dropping-particle":"","family":"Liu","given":"Y.","non-dropping-particle":"","parse-names":false,"suffix":""},{"dropping-particle":"","family":"Laroche","given":"Norbert","non-dropping-particle":"","parse-names":false,"suffix":""},{"dropping-particle":"","family":"Vico","given":"Laurence","non-dropping-particle":"","parse-names":false,"suffix":""},{"dropping-particle":"","family":"Cancedda","given":"Ranieri","non-dropping-particle":"","parse-names":false,"suffix":""}],"container-title":"Tissue engineering. Part A","id":"ITEM-1","issue":"9","issued":{"date-parts":[["2009"]]},"page":"2373-2383","title":"Osteoblast and osteoclast differentiation in an in vitro three-dimensional model of bone.","type":"article-journal","volume":"15"},"uris":["http://www.mendeley.com/documents/?uuid=8de5a8a6-65ef-4dc8-8418-198b98d51865"]}],"mendeley":{"formattedCitation":"[69]","plainTextFormattedCitation":"[69]","previouslyFormattedCitation":"[69]"},"properties":{"noteIndex":0},"schema":"https://github.com/citation-style-language/schema/raw/master/csl-citation.json"}</w:instrText>
      </w:r>
      <w:r w:rsidRPr="000E39AA">
        <w:rPr>
          <w:rFonts w:ascii="Arial" w:hAnsi="Arial" w:cs="Arial"/>
        </w:rPr>
        <w:fldChar w:fldCharType="separate"/>
      </w:r>
      <w:r w:rsidR="0062132B" w:rsidRPr="0062132B">
        <w:rPr>
          <w:rFonts w:ascii="Arial" w:hAnsi="Arial" w:cs="Arial"/>
          <w:noProof/>
        </w:rPr>
        <w:t>[69]</w:t>
      </w:r>
      <w:r w:rsidRPr="000E39AA">
        <w:rPr>
          <w:rFonts w:ascii="Arial" w:hAnsi="Arial" w:cs="Arial"/>
        </w:rPr>
        <w:fldChar w:fldCharType="end"/>
      </w:r>
      <w:r w:rsidRPr="000E39AA">
        <w:rPr>
          <w:rFonts w:ascii="Arial" w:hAnsi="Arial" w:cs="Arial"/>
        </w:rPr>
        <w:t xml:space="preserve">. The following section details the most effective models for simulating bone and neuro tissues, as well as their close interaction within a pathological state. </w:t>
      </w:r>
    </w:p>
    <w:p w14:paraId="7494144B" w14:textId="77777777" w:rsidR="00F03759" w:rsidRPr="000E39AA" w:rsidRDefault="00F03759" w:rsidP="00F03759">
      <w:pPr>
        <w:pStyle w:val="Heading3"/>
      </w:pPr>
      <w:bookmarkStart w:id="50" w:name="_Toc98937876"/>
      <w:r w:rsidRPr="000E39AA">
        <w:t>Bone models</w:t>
      </w:r>
      <w:bookmarkEnd w:id="50"/>
    </w:p>
    <w:p w14:paraId="6FDB7F33" w14:textId="672B88E3" w:rsidR="00F03759" w:rsidRDefault="00F03759" w:rsidP="00F03759">
      <w:pPr>
        <w:jc w:val="both"/>
        <w:rPr>
          <w:rFonts w:ascii="Arial" w:hAnsi="Arial" w:cs="Arial"/>
        </w:rPr>
      </w:pPr>
      <w:r w:rsidRPr="000E39AA">
        <w:rPr>
          <w:rFonts w:ascii="Arial" w:hAnsi="Arial" w:cs="Arial"/>
        </w:rPr>
        <w:t xml:space="preserve">Bone is a complex dynamic tissue, capable of regeneration following damage. However, </w:t>
      </w:r>
      <w:proofErr w:type="gramStart"/>
      <w:r w:rsidRPr="000E39AA">
        <w:rPr>
          <w:rFonts w:ascii="Arial" w:hAnsi="Arial" w:cs="Arial"/>
        </w:rPr>
        <w:t>the majority of</w:t>
      </w:r>
      <w:proofErr w:type="gramEnd"/>
      <w:r w:rsidRPr="000E39AA">
        <w:rPr>
          <w:rFonts w:ascii="Arial" w:hAnsi="Arial" w:cs="Arial"/>
        </w:rPr>
        <w:t xml:space="preserve"> pathologies associated with skeletal tissue remain unresolved with TE addressing some of the challenges through development of viable models for the recapitulation and study of such skeletal pathologies. </w:t>
      </w:r>
    </w:p>
    <w:p w14:paraId="0C2F5209" w14:textId="0E6ACBBC" w:rsidR="000D250C" w:rsidRDefault="000D250C" w:rsidP="00F03759">
      <w:pPr>
        <w:jc w:val="both"/>
        <w:rPr>
          <w:rFonts w:ascii="Arial" w:hAnsi="Arial" w:cs="Arial"/>
        </w:rPr>
      </w:pPr>
    </w:p>
    <w:p w14:paraId="3216A212" w14:textId="0E129C96" w:rsidR="000D250C" w:rsidRDefault="000D250C" w:rsidP="00F03759">
      <w:pPr>
        <w:jc w:val="both"/>
        <w:rPr>
          <w:rFonts w:ascii="Arial" w:hAnsi="Arial" w:cs="Arial"/>
        </w:rPr>
      </w:pPr>
    </w:p>
    <w:p w14:paraId="7B0DDA30" w14:textId="610C0DEC" w:rsidR="000D250C" w:rsidRDefault="000D250C" w:rsidP="00F03759">
      <w:pPr>
        <w:jc w:val="both"/>
        <w:rPr>
          <w:rFonts w:ascii="Arial" w:hAnsi="Arial" w:cs="Arial"/>
        </w:rPr>
      </w:pPr>
    </w:p>
    <w:p w14:paraId="267EFA2B" w14:textId="15EBE081" w:rsidR="000D250C" w:rsidRDefault="000D250C" w:rsidP="00F03759">
      <w:pPr>
        <w:jc w:val="both"/>
        <w:rPr>
          <w:rFonts w:ascii="Arial" w:hAnsi="Arial" w:cs="Arial"/>
        </w:rPr>
      </w:pPr>
    </w:p>
    <w:p w14:paraId="118E93FE" w14:textId="77777777" w:rsidR="000D250C" w:rsidRDefault="000D250C" w:rsidP="000D250C">
      <w:pPr>
        <w:spacing w:after="0" w:line="276" w:lineRule="auto"/>
        <w:jc w:val="both"/>
        <w:rPr>
          <w:rFonts w:ascii="Arial" w:hAnsi="Arial" w:cs="Arial"/>
        </w:rPr>
      </w:pPr>
    </w:p>
    <w:p w14:paraId="25D041E7" w14:textId="40AB078F" w:rsidR="000D250C" w:rsidRDefault="00656045" w:rsidP="0023525D">
      <w:pPr>
        <w:spacing w:after="0" w:line="276" w:lineRule="auto"/>
        <w:jc w:val="center"/>
        <w:rPr>
          <w:rFonts w:ascii="Arial" w:hAnsi="Arial" w:cs="Arial"/>
        </w:rPr>
      </w:pPr>
      <w:r>
        <w:rPr>
          <w:rFonts w:ascii="Arial" w:hAnsi="Arial" w:cs="Arial"/>
          <w:noProof/>
        </w:rPr>
        <w:drawing>
          <wp:inline distT="0" distB="0" distL="0" distR="0" wp14:anchorId="746374C3" wp14:editId="0039DCEB">
            <wp:extent cx="4232969" cy="507238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38945" cy="5079541"/>
                    </a:xfrm>
                    <a:prstGeom prst="rect">
                      <a:avLst/>
                    </a:prstGeom>
                    <a:noFill/>
                  </pic:spPr>
                </pic:pic>
              </a:graphicData>
            </a:graphic>
          </wp:inline>
        </w:drawing>
      </w:r>
    </w:p>
    <w:p w14:paraId="7613ADD6" w14:textId="77777777" w:rsidR="000D250C" w:rsidRDefault="000D250C" w:rsidP="000D250C">
      <w:pPr>
        <w:spacing w:after="0" w:line="276" w:lineRule="auto"/>
        <w:jc w:val="both"/>
        <w:rPr>
          <w:rFonts w:ascii="Arial" w:hAnsi="Arial" w:cs="Arial"/>
        </w:rPr>
      </w:pPr>
    </w:p>
    <w:p w14:paraId="140F3E01" w14:textId="46A44DCE" w:rsidR="00682C71" w:rsidRDefault="000D250C" w:rsidP="00A0570A">
      <w:pPr>
        <w:spacing w:after="0" w:line="276" w:lineRule="auto"/>
        <w:jc w:val="both"/>
        <w:rPr>
          <w:rFonts w:ascii="Arial" w:hAnsi="Arial" w:cs="Arial"/>
        </w:rPr>
      </w:pPr>
      <w:r w:rsidRPr="00CE5DE8">
        <w:rPr>
          <w:rFonts w:ascii="Arial" w:hAnsi="Arial" w:cs="Arial"/>
          <w:b/>
          <w:bCs/>
          <w:sz w:val="18"/>
          <w:szCs w:val="18"/>
          <w:lang w:val="it-IT"/>
        </w:rPr>
        <w:t>Fig</w:t>
      </w:r>
      <w:r w:rsidR="00584B3C">
        <w:rPr>
          <w:rFonts w:ascii="Arial" w:hAnsi="Arial" w:cs="Arial"/>
          <w:b/>
          <w:bCs/>
          <w:sz w:val="18"/>
          <w:szCs w:val="18"/>
          <w:lang w:val="it-IT"/>
        </w:rPr>
        <w:t>.</w:t>
      </w:r>
      <w:r w:rsidRPr="00CE5DE8">
        <w:rPr>
          <w:rFonts w:ascii="Arial" w:hAnsi="Arial" w:cs="Arial"/>
          <w:b/>
          <w:bCs/>
          <w:sz w:val="18"/>
          <w:szCs w:val="18"/>
          <w:lang w:val="it-IT"/>
        </w:rPr>
        <w:t xml:space="preserve"> </w:t>
      </w:r>
      <w:r>
        <w:rPr>
          <w:rFonts w:ascii="Arial" w:hAnsi="Arial" w:cs="Arial"/>
          <w:b/>
          <w:bCs/>
          <w:sz w:val="18"/>
          <w:szCs w:val="18"/>
          <w:lang w:val="it-IT"/>
        </w:rPr>
        <w:t>3</w:t>
      </w:r>
      <w:r w:rsidRPr="00CE5DE8">
        <w:rPr>
          <w:rFonts w:ascii="Arial" w:hAnsi="Arial" w:cs="Arial"/>
          <w:b/>
          <w:bCs/>
          <w:sz w:val="18"/>
          <w:szCs w:val="18"/>
          <w:lang w:val="it-IT"/>
        </w:rPr>
        <w:t xml:space="preserve"> </w:t>
      </w:r>
      <w:r w:rsidRPr="00CE5DE8">
        <w:rPr>
          <w:rFonts w:ascii="Arial" w:hAnsi="Arial" w:cs="Arial"/>
          <w:i/>
          <w:iCs/>
          <w:sz w:val="18"/>
          <w:szCs w:val="18"/>
          <w:lang w:val="it-IT"/>
        </w:rPr>
        <w:t xml:space="preserve">In </w:t>
      </w:r>
      <w:r>
        <w:rPr>
          <w:rFonts w:ascii="Arial" w:hAnsi="Arial" w:cs="Arial"/>
          <w:i/>
          <w:iCs/>
          <w:sz w:val="18"/>
          <w:szCs w:val="18"/>
          <w:lang w:val="it-IT"/>
        </w:rPr>
        <w:t>vivo</w:t>
      </w:r>
      <w:r w:rsidRPr="00CE5DE8">
        <w:rPr>
          <w:rFonts w:ascii="Arial" w:hAnsi="Arial" w:cs="Arial"/>
          <w:i/>
          <w:iCs/>
          <w:sz w:val="18"/>
          <w:szCs w:val="18"/>
          <w:lang w:val="it-IT"/>
        </w:rPr>
        <w:t xml:space="preserve"> </w:t>
      </w:r>
      <w:r w:rsidRPr="0023525D">
        <w:rPr>
          <w:rFonts w:ascii="Arial" w:hAnsi="Arial" w:cs="Arial"/>
          <w:sz w:val="18"/>
          <w:szCs w:val="18"/>
          <w:lang w:val="it-IT"/>
        </w:rPr>
        <w:t>and</w:t>
      </w:r>
      <w:r>
        <w:rPr>
          <w:rFonts w:ascii="Arial" w:hAnsi="Arial" w:cs="Arial"/>
          <w:i/>
          <w:iCs/>
          <w:sz w:val="18"/>
          <w:szCs w:val="18"/>
          <w:lang w:val="it-IT"/>
        </w:rPr>
        <w:t xml:space="preserve"> in vitro </w:t>
      </w:r>
      <w:r w:rsidRPr="00CE5DE8">
        <w:rPr>
          <w:rFonts w:ascii="Arial" w:hAnsi="Arial" w:cs="Arial"/>
          <w:sz w:val="18"/>
          <w:szCs w:val="18"/>
          <w:lang w:val="it-IT"/>
        </w:rPr>
        <w:t xml:space="preserve">bone models. </w:t>
      </w:r>
      <w:r w:rsidRPr="00CE5DE8">
        <w:rPr>
          <w:rFonts w:ascii="Arial" w:hAnsi="Arial" w:cs="Arial"/>
          <w:sz w:val="18"/>
          <w:szCs w:val="18"/>
          <w:lang w:val="en-US"/>
        </w:rPr>
        <w:t>(a)</w:t>
      </w:r>
      <w:r w:rsidR="001E68A1">
        <w:rPr>
          <w:rFonts w:ascii="Arial" w:hAnsi="Arial" w:cs="Arial"/>
          <w:i/>
          <w:iCs/>
          <w:sz w:val="18"/>
          <w:szCs w:val="18"/>
          <w:lang w:val="en-US"/>
        </w:rPr>
        <w:t xml:space="preserve"> In vivo models. </w:t>
      </w:r>
      <w:r w:rsidR="00656045" w:rsidRPr="00CE5DE8">
        <w:rPr>
          <w:rFonts w:ascii="Arial" w:hAnsi="Arial" w:cs="Arial"/>
          <w:sz w:val="18"/>
          <w:szCs w:val="18"/>
          <w:lang w:val="en-US"/>
        </w:rPr>
        <w:t>(</w:t>
      </w:r>
      <w:r w:rsidR="00656045">
        <w:rPr>
          <w:rFonts w:ascii="Arial" w:hAnsi="Arial" w:cs="Arial"/>
          <w:sz w:val="18"/>
          <w:szCs w:val="18"/>
          <w:lang w:val="en-US"/>
        </w:rPr>
        <w:t>a-</w:t>
      </w:r>
      <w:proofErr w:type="spellStart"/>
      <w:r w:rsidR="00656045">
        <w:rPr>
          <w:rFonts w:ascii="Arial" w:hAnsi="Arial" w:cs="Arial"/>
          <w:sz w:val="18"/>
          <w:szCs w:val="18"/>
          <w:lang w:val="en-US"/>
        </w:rPr>
        <w:t>i</w:t>
      </w:r>
      <w:proofErr w:type="spellEnd"/>
      <w:r w:rsidR="00656045" w:rsidRPr="00CE5DE8">
        <w:rPr>
          <w:rFonts w:ascii="Arial" w:hAnsi="Arial" w:cs="Arial"/>
          <w:sz w:val="18"/>
          <w:szCs w:val="18"/>
          <w:lang w:val="en-US"/>
        </w:rPr>
        <w:t xml:space="preserve">) </w:t>
      </w:r>
      <w:r w:rsidR="00656045" w:rsidRPr="00CC542B">
        <w:rPr>
          <w:rFonts w:ascii="Arial" w:hAnsi="Arial" w:cs="Arial"/>
          <w:sz w:val="18"/>
          <w:szCs w:val="18"/>
        </w:rPr>
        <w:t xml:space="preserve">A novel osteoporotic mouse model developed using an innovative movable and non-invasive unloading device (ULD). Micro-CT scan images (yellow highlighted analysis region) of the trabecular and cortical structures of mice femurs from control, tail suspension and 3D-ULD groups; adapted from </w:t>
      </w:r>
      <w:r w:rsidR="00656045" w:rsidRPr="00CC542B">
        <w:rPr>
          <w:rFonts w:ascii="Arial" w:hAnsi="Arial" w:cs="Arial"/>
          <w:i/>
          <w:iCs/>
          <w:sz w:val="18"/>
          <w:szCs w:val="18"/>
        </w:rPr>
        <w:fldChar w:fldCharType="begin" w:fldLock="1"/>
      </w:r>
      <w:r w:rsidR="00A445D5">
        <w:rPr>
          <w:rFonts w:ascii="Arial" w:hAnsi="Arial" w:cs="Arial"/>
          <w:i/>
          <w:iCs/>
          <w:sz w:val="18"/>
          <w:szCs w:val="18"/>
        </w:rPr>
        <w:instrText>ADDIN CSL_CITATION {"citationItems":[{"id":"ITEM-1","itemData":{"DOI":"10.1016/j.jot.2021.11.009","ISSN":"2214031X","abstract":"Objective: Disuse osteoporosis is a major type of bone loss disease characterized by regional bone loss and microstructure alterations. The condition is induced by a marked decrease in weight bearing over time, which usually occurs due to limb immobilization, therapeutic bed rest or space flight. To date, the most commonly used mouse model of disuse osteoporosis is constructed using the classical tail suspension method, which causes tail injury, movement inconvenience and mental stress. This study aimed to propose a noninvasive and effective method for the establishment of a mouse model of disuse osteoporosis and compared this method with the tail suspension method. Methods: 3D printing technology was applied to construct a movable unloading device. A movable noninvasive 3D-printed unloading device (3D-ULD) was used to unload the hindlimbs of the mice. The bone microstructure and bone volume of unloaded femurs were analysed through micro-CT and H&amp;E staining, and von Kossa staining was performed for the detection of bone mineralization in the femurs. TRAP staining, IHC-CTSK and Q-PCR were performed for evaluation of the bone resorption ability, and double labelling, IHC-DMP1, ALP staining and Q-PCR assays were conducted to assess the osteogenic ability. The mechanical properties of disused bone were detected using the three-point bending test. The body, thymus and spleen weights of the mice were recorded, and the serum corticosterone level of the mice was assayed by enzyme-linked immunosorbent assay (ELISA). Results: The micro-CT results showed significant trabecular bone loss, and 3D-ULD induced cortical bone loss in disused femurs as well as a decrease in the bone mineral density in the unloaded mice. TRAP staining and IHC-CTSK staining results indicated increases in the osteoclast number per bone perimeter (Oc.N/B.Pm) and the osteoclast surface per bone surface (Oc.S/BS) in the unloaded mice. The Ctsk, Trap and Mmp9 expression levels were significantly increased in the unloaded mice. Decreases in the ratio of the mineral surface to bone surface (MS/BS), mineral apposition rate (MAR) and bone formation rate per bone surface (BFR/BS) were found in unloaded mice in the 3D-ULD by double labelling. The IHC-DMP1 and ALP staining results showed decreases in the osteoblast number per bone perimeter (Ob.N/B.Pm) and osteoblast surface per bone surface (Ob. S/BS) in the mice unloaded in the 3D-ULD, and these mice also showed decreased Runx2, Alp and Dmp1 express…","author":[{"dropping-particle":"","family":"Li","given":"Junhui","non-dropping-particle":"","parse-names":false,"suffix":""},{"dropping-particle":"","family":"Geng","given":"Jiangyu","non-dropping-particle":"","parse-names":false,"suffix":""},{"dropping-particle":"","family":"Lin","given":"Tingting","non-dropping-particle":"","parse-names":false,"suffix":""},{"dropping-particle":"","family":"Cai","given":"Mingxiang","non-dropping-particle":"","parse-names":false,"suffix":""},{"dropping-particle":"","family":"Sun","given":"Yao","non-dropping-particle":"","parse-names":false,"suffix":""}],"container-title":"Journal of Orthopaedic Translation","id":"ITEM-1","issue":"August 2021","issued":{"date-parts":[["2022"]]},"page":"1-12","publisher":"The Authors","title":"A mouse model of disuse osteoporosis based on a movable noninvasive 3D-printed unloading device","type":"article-journal","volume":"33"},"uris":["http://www.mendeley.com/documents/?uuid=fab2a99e-7ea9-4b6b-a698-42b3db8ce977"]}],"mendeley":{"formattedCitation":"[70]","plainTextFormattedCitation":"[70]","previouslyFormattedCitation":"[70]"},"properties":{"noteIndex":0},"schema":"https://github.com/citation-style-language/schema/raw/master/csl-citation.json"}</w:instrText>
      </w:r>
      <w:r w:rsidR="00656045" w:rsidRPr="00CC542B">
        <w:rPr>
          <w:rFonts w:ascii="Arial" w:hAnsi="Arial" w:cs="Arial"/>
          <w:i/>
          <w:iCs/>
          <w:sz w:val="18"/>
          <w:szCs w:val="18"/>
        </w:rPr>
        <w:fldChar w:fldCharType="separate"/>
      </w:r>
      <w:r w:rsidR="0062132B" w:rsidRPr="0062132B">
        <w:rPr>
          <w:rFonts w:ascii="Arial" w:hAnsi="Arial" w:cs="Arial"/>
          <w:iCs/>
          <w:noProof/>
          <w:sz w:val="18"/>
          <w:szCs w:val="18"/>
        </w:rPr>
        <w:t>[70]</w:t>
      </w:r>
      <w:r w:rsidR="00656045" w:rsidRPr="00CC542B">
        <w:rPr>
          <w:rFonts w:ascii="Arial" w:hAnsi="Arial" w:cs="Arial"/>
          <w:i/>
          <w:iCs/>
          <w:sz w:val="18"/>
          <w:szCs w:val="18"/>
        </w:rPr>
        <w:fldChar w:fldCharType="end"/>
      </w:r>
      <w:r w:rsidR="00656045" w:rsidRPr="00CC542B">
        <w:rPr>
          <w:rFonts w:ascii="Arial" w:hAnsi="Arial" w:cs="Arial"/>
          <w:sz w:val="18"/>
          <w:szCs w:val="18"/>
        </w:rPr>
        <w:t xml:space="preserve"> Copyright © 2021. This is an open-access article distributed under the terms of the Creative Commons Attribution License (CC BY).</w:t>
      </w:r>
      <w:r w:rsidR="00656045" w:rsidRPr="000E39AA">
        <w:rPr>
          <w:rFonts w:ascii="Arial" w:hAnsi="Arial" w:cs="Arial"/>
        </w:rPr>
        <w:t xml:space="preserve"> </w:t>
      </w:r>
      <w:r w:rsidR="001E68A1">
        <w:rPr>
          <w:rFonts w:ascii="Arial" w:hAnsi="Arial" w:cs="Arial"/>
          <w:sz w:val="18"/>
          <w:szCs w:val="18"/>
          <w:lang w:val="en-US"/>
        </w:rPr>
        <w:t>(a-</w:t>
      </w:r>
      <w:r w:rsidR="00656045">
        <w:rPr>
          <w:rFonts w:ascii="Arial" w:hAnsi="Arial" w:cs="Arial"/>
          <w:sz w:val="18"/>
          <w:szCs w:val="18"/>
          <w:lang w:val="en-US"/>
        </w:rPr>
        <w:t>i</w:t>
      </w:r>
      <w:r w:rsidR="001E68A1">
        <w:rPr>
          <w:rFonts w:ascii="Arial" w:hAnsi="Arial" w:cs="Arial"/>
          <w:sz w:val="18"/>
          <w:szCs w:val="18"/>
          <w:lang w:val="en-US"/>
        </w:rPr>
        <w:t>i) T</w:t>
      </w:r>
      <w:r w:rsidRPr="00CE5DE8">
        <w:rPr>
          <w:rFonts w:ascii="Arial" w:hAnsi="Arial" w:cs="Arial"/>
          <w:sz w:val="18"/>
          <w:szCs w:val="18"/>
          <w:lang w:val="en-US"/>
        </w:rPr>
        <w:t xml:space="preserve">he similarities between the anatomical and biomechanical characteristics of the sheep spine and the human spine allows to study chronic cervical spinal cord compression. </w:t>
      </w:r>
      <w:r w:rsidR="006B35EF">
        <w:rPr>
          <w:rFonts w:ascii="Arial" w:hAnsi="Arial" w:cs="Arial"/>
          <w:sz w:val="18"/>
          <w:szCs w:val="18"/>
          <w:lang w:val="en-US"/>
        </w:rPr>
        <w:t>A</w:t>
      </w:r>
      <w:r w:rsidRPr="00CE5DE8">
        <w:rPr>
          <w:rFonts w:ascii="Arial" w:hAnsi="Arial" w:cs="Arial"/>
          <w:sz w:val="18"/>
          <w:szCs w:val="18"/>
          <w:lang w:val="en-US"/>
        </w:rPr>
        <w:t xml:space="preserve"> digital remote controlled intervertebral compression device (IVCD) </w:t>
      </w:r>
      <w:r w:rsidR="006B35EF">
        <w:rPr>
          <w:rFonts w:ascii="Arial" w:hAnsi="Arial" w:cs="Arial"/>
          <w:sz w:val="18"/>
          <w:szCs w:val="18"/>
          <w:lang w:val="en-US"/>
        </w:rPr>
        <w:t>allowed the application of</w:t>
      </w:r>
      <w:r w:rsidRPr="00CE5DE8">
        <w:rPr>
          <w:rFonts w:ascii="Arial" w:hAnsi="Arial" w:cs="Arial"/>
          <w:sz w:val="18"/>
          <w:szCs w:val="18"/>
          <w:lang w:val="en-US"/>
        </w:rPr>
        <w:t xml:space="preserve"> a progressive compression for 1, 5, 10, and 20 weeks, simulating a human cervical spinal cord compression</w:t>
      </w:r>
      <w:r>
        <w:rPr>
          <w:rFonts w:ascii="Arial" w:hAnsi="Arial" w:cs="Arial"/>
          <w:sz w:val="18"/>
          <w:szCs w:val="18"/>
          <w:lang w:val="en-US"/>
        </w:rPr>
        <w:t xml:space="preserve"> </w:t>
      </w:r>
      <w:r>
        <w:rPr>
          <w:rFonts w:ascii="Arial" w:hAnsi="Arial" w:cs="Arial"/>
          <w:sz w:val="18"/>
          <w:szCs w:val="18"/>
          <w:lang w:val="en-US"/>
        </w:rPr>
        <w:fldChar w:fldCharType="begin" w:fldLock="1"/>
      </w:r>
      <w:r w:rsidR="00A445D5">
        <w:rPr>
          <w:rFonts w:ascii="Arial" w:hAnsi="Arial" w:cs="Arial"/>
          <w:sz w:val="18"/>
          <w:szCs w:val="18"/>
          <w:lang w:val="en-US"/>
        </w:rPr>
        <w:instrText>ADDIN CSL_CITATION {"citationItems":[{"id":"ITEM-1","itemData":{"DOI":"10.1007/s00586-022-07138-6","ISBN":"0123456789","ISSN":"0940-6719","PMID":"35192070","abstract":"Purpose: This study aimed to establish an animal model in which we can precisely displace the spinal cord and therefore mimic the chronic spinal compression of cervical spondylotic myelopathy. Methods: In vivo intervertebral compression devices (IVCDs) connected with subcutaneous control modules (SCCMs) were implanted into the C2-3 intervertebral disk spaces of sheep and connected by Bluetooth to an in vitro control system. Sixteen sheep were divided into four groups: (Group A) control; (Group B) 10-week progressive compression, then held; (Group C) 20-week progressive compression, then held; and (Group D) 20-week progressive compression, then decompression. Electrophysiological analysis (latency and amplitude of the N1-P1-N2 wave in somatosensory evoked potentials, SEP), behavioral changes (Tarlov score), imaging test (encroachment ratio (ER) of intraspinal invasion determined by X-ray and CT scan), and histological examinations (hematoxylin and eosin, Nissl, and TUNEL staining) were performed to assess the efficacy of our model. Results: Tarlov scores gradually decreased as compression increased with time and partially recovered after decompression. The Pearson correlation coefficient between ER and time was r = 0.993 (p &lt; 0.001) in Group B at 10 weeks and Groups C and D at 20 weeks. And ER was negatively correlated with the Tarlov score (r = -0.878, p &lt; 0.001). As compression progressed, the SEP latency was significantly extended (p &lt; 0.001), and the amplitude significantly decreased (p &lt; 0.001), while they were both partially restored after decompression. The number of abnormal motor neurons and TUNEL-positive cells increased significantly (p &lt; 0.001) with compression. Conclusion: Our implantable and wireless intervertebral compression model demonstrated outstanding controllability and reproducibility in simulating chronic cervical spinal cord compression in animals.","author":[{"dropping-particle":"","family":"Li","given":"Zihe","non-dropping-particle":"","parse-names":false,"suffix":""},{"dropping-particle":"","family":"Zhai","given":"Shuheng","non-dropping-particle":"","parse-names":false,"suffix":""},{"dropping-particle":"","family":"Liu","given":"Shanshan","non-dropping-particle":"","parse-names":false,"suffix":""},{"dropping-particle":"","family":"Chen","given":"Chunhua","non-dropping-particle":"","parse-names":false,"suffix":""},{"dropping-particle":"","family":"Guo","given":"Xinhu","non-dropping-particle":"","parse-names":false,"suffix":""},{"dropping-particle":"","family":"Hu","given":"Panpan","non-dropping-particle":"","parse-names":false,"suffix":""},{"dropping-particle":"","family":"Wang","given":"Ben","non-dropping-particle":"","parse-names":false,"suffix":""},{"dropping-particle":"","family":"Zhang","given":"Youyu","non-dropping-particle":"","parse-names":false,"suffix":""},{"dropping-particle":"","family":"Wei","given":"Feng","non-dropping-particle":"","parse-names":false,"suffix":""},{"dropping-particle":"","family":"Liu","given":"Zhongjun","non-dropping-particle":"","parse-names":false,"suffix":""}],"container-title":"European Spine Journal","id":"ITEM-1","issued":{"date-parts":[["2022"]]},"publisher":"Springer Berlin Heidelberg","title":"A sheep model of chronic cervical compressive myelopathy via an implantable wireless compression device","type":"article-journal"},"uris":["http://www.mendeley.com/documents/?uuid=9891961b-7664-4886-b046-b52dd67ae83c"]}],"mendeley":{"formattedCitation":"[71]","plainTextFormattedCitation":"[71]","previouslyFormattedCitation":"[71]"},"properties":{"noteIndex":0},"schema":"https://github.com/citation-style-language/schema/raw/master/csl-citation.json"}</w:instrText>
      </w:r>
      <w:r>
        <w:rPr>
          <w:rFonts w:ascii="Arial" w:hAnsi="Arial" w:cs="Arial"/>
          <w:sz w:val="18"/>
          <w:szCs w:val="18"/>
          <w:lang w:val="en-US"/>
        </w:rPr>
        <w:fldChar w:fldCharType="separate"/>
      </w:r>
      <w:r w:rsidR="0062132B" w:rsidRPr="0062132B">
        <w:rPr>
          <w:rFonts w:ascii="Arial" w:hAnsi="Arial" w:cs="Arial"/>
          <w:noProof/>
          <w:sz w:val="18"/>
          <w:szCs w:val="18"/>
          <w:lang w:val="en-US"/>
        </w:rPr>
        <w:t>[71]</w:t>
      </w:r>
      <w:r>
        <w:rPr>
          <w:rFonts w:ascii="Arial" w:hAnsi="Arial" w:cs="Arial"/>
          <w:sz w:val="18"/>
          <w:szCs w:val="18"/>
          <w:lang w:val="en-US"/>
        </w:rPr>
        <w:fldChar w:fldCharType="end"/>
      </w:r>
      <w:r w:rsidR="00BD671B">
        <w:rPr>
          <w:rFonts w:ascii="Arial" w:hAnsi="Arial" w:cs="Arial"/>
          <w:sz w:val="18"/>
          <w:szCs w:val="18"/>
          <w:lang w:val="en-US"/>
        </w:rPr>
        <w:t>.</w:t>
      </w:r>
      <w:r w:rsidRPr="00CE5DE8">
        <w:rPr>
          <w:rFonts w:ascii="Arial" w:hAnsi="Arial" w:cs="Arial"/>
          <w:sz w:val="18"/>
          <w:szCs w:val="18"/>
          <w:lang w:val="en-US"/>
        </w:rPr>
        <w:t xml:space="preserve"> </w:t>
      </w:r>
      <w:r w:rsidR="00A0570A" w:rsidRPr="00A0570A">
        <w:rPr>
          <w:rFonts w:ascii="Arial" w:hAnsi="Arial" w:cs="Arial"/>
          <w:sz w:val="18"/>
          <w:szCs w:val="18"/>
          <w:lang w:val="en-US"/>
        </w:rPr>
        <w:t>This is an open access article distributed under the terms of the Creative Commons CC BY license</w:t>
      </w:r>
      <w:r w:rsidR="00A0570A">
        <w:rPr>
          <w:rFonts w:ascii="Arial" w:hAnsi="Arial" w:cs="Arial"/>
          <w:sz w:val="18"/>
          <w:szCs w:val="18"/>
          <w:lang w:val="en-US"/>
        </w:rPr>
        <w:t>.</w:t>
      </w:r>
      <w:r w:rsidRPr="00CE5DE8">
        <w:rPr>
          <w:rFonts w:ascii="Arial" w:hAnsi="Arial" w:cs="Arial"/>
          <w:sz w:val="18"/>
          <w:szCs w:val="18"/>
          <w:lang w:val="en-US"/>
        </w:rPr>
        <w:t xml:space="preserve"> </w:t>
      </w:r>
    </w:p>
    <w:p w14:paraId="706A2ACA" w14:textId="0C33AA1C" w:rsidR="000D250C" w:rsidRPr="00CE5DE8" w:rsidRDefault="00682C71" w:rsidP="00A0570A">
      <w:pPr>
        <w:spacing w:after="0" w:line="276" w:lineRule="auto"/>
        <w:jc w:val="both"/>
        <w:rPr>
          <w:rFonts w:ascii="Arial" w:hAnsi="Arial" w:cs="Arial"/>
          <w:sz w:val="18"/>
          <w:szCs w:val="18"/>
          <w:lang w:val="en-US"/>
        </w:rPr>
      </w:pPr>
      <w:r w:rsidRPr="00CE5DE8">
        <w:rPr>
          <w:rFonts w:ascii="Arial" w:hAnsi="Arial" w:cs="Arial"/>
          <w:sz w:val="18"/>
          <w:szCs w:val="18"/>
          <w:lang w:val="en-US"/>
        </w:rPr>
        <w:t>(</w:t>
      </w:r>
      <w:r>
        <w:rPr>
          <w:rFonts w:ascii="Arial" w:hAnsi="Arial" w:cs="Arial"/>
          <w:sz w:val="18"/>
          <w:szCs w:val="18"/>
          <w:lang w:val="en-US"/>
        </w:rPr>
        <w:t>b</w:t>
      </w:r>
      <w:r w:rsidRPr="00CE5DE8">
        <w:rPr>
          <w:rFonts w:ascii="Arial" w:hAnsi="Arial" w:cs="Arial"/>
          <w:sz w:val="18"/>
          <w:szCs w:val="18"/>
          <w:lang w:val="en-US"/>
        </w:rPr>
        <w:t>)</w:t>
      </w:r>
      <w:r>
        <w:rPr>
          <w:rFonts w:ascii="Arial" w:hAnsi="Arial" w:cs="Arial"/>
          <w:i/>
          <w:iCs/>
          <w:sz w:val="18"/>
          <w:szCs w:val="18"/>
          <w:lang w:val="en-US"/>
        </w:rPr>
        <w:t xml:space="preserve"> In vitro models. </w:t>
      </w:r>
      <w:r w:rsidR="008C228C">
        <w:rPr>
          <w:rFonts w:ascii="Arial" w:hAnsi="Arial" w:cs="Arial"/>
          <w:sz w:val="18"/>
          <w:szCs w:val="18"/>
          <w:lang w:val="en-US"/>
        </w:rPr>
        <w:t>(b-</w:t>
      </w:r>
      <w:proofErr w:type="spellStart"/>
      <w:r w:rsidR="008C228C">
        <w:rPr>
          <w:rFonts w:ascii="Arial" w:hAnsi="Arial" w:cs="Arial"/>
          <w:sz w:val="18"/>
          <w:szCs w:val="18"/>
          <w:lang w:val="en-US"/>
        </w:rPr>
        <w:t>i</w:t>
      </w:r>
      <w:proofErr w:type="spellEnd"/>
      <w:r w:rsidR="008C228C">
        <w:rPr>
          <w:rFonts w:ascii="Arial" w:hAnsi="Arial" w:cs="Arial"/>
          <w:sz w:val="18"/>
          <w:szCs w:val="18"/>
          <w:lang w:val="en-US"/>
        </w:rPr>
        <w:t>)</w:t>
      </w:r>
      <w:r w:rsidR="008C228C" w:rsidRPr="0023525D">
        <w:rPr>
          <w:rFonts w:ascii="Arial" w:hAnsi="Arial" w:cs="Arial"/>
          <w:sz w:val="18"/>
          <w:szCs w:val="18"/>
        </w:rPr>
        <w:t xml:space="preserve"> Harnessing nanoclay-based material, a 3D mineralising micro-environment for HBMSCs to proliferate and differentiate can studies </w:t>
      </w:r>
      <w:r w:rsidR="008C228C" w:rsidRPr="0023525D">
        <w:rPr>
          <w:rFonts w:ascii="Arial" w:hAnsi="Arial"/>
          <w:sz w:val="18"/>
          <w:szCs w:val="18"/>
        </w:rPr>
        <w:t>in vitro</w:t>
      </w:r>
      <w:r w:rsidR="008C228C" w:rsidRPr="0023525D">
        <w:rPr>
          <w:rFonts w:ascii="Arial" w:hAnsi="Arial" w:cs="Arial"/>
          <w:sz w:val="18"/>
          <w:szCs w:val="18"/>
        </w:rPr>
        <w:t xml:space="preserve">, capable of developing a functional bone model in 21 days. ALP and Von </w:t>
      </w:r>
      <w:proofErr w:type="spellStart"/>
      <w:r w:rsidR="008C228C" w:rsidRPr="0023525D">
        <w:rPr>
          <w:rFonts w:ascii="Arial" w:hAnsi="Arial" w:cs="Arial"/>
          <w:sz w:val="18"/>
          <w:szCs w:val="18"/>
        </w:rPr>
        <w:t>Kossa</w:t>
      </w:r>
      <w:proofErr w:type="spellEnd"/>
      <w:r w:rsidR="008C228C" w:rsidRPr="0023525D">
        <w:rPr>
          <w:rFonts w:ascii="Arial" w:hAnsi="Arial" w:cs="Arial"/>
          <w:sz w:val="18"/>
          <w:szCs w:val="18"/>
        </w:rPr>
        <w:t xml:space="preserve"> staining for HBMSC-laden 3D bioprinted scaffolds cultured in basal and osteogenic conditioned media. Adapted from </w:t>
      </w:r>
      <w:r w:rsidR="008C228C" w:rsidRPr="0023525D">
        <w:rPr>
          <w:rFonts w:ascii="Arial" w:hAnsi="Arial" w:cs="Arial"/>
          <w:i/>
          <w:iCs/>
          <w:sz w:val="18"/>
          <w:szCs w:val="18"/>
        </w:rPr>
        <w:fldChar w:fldCharType="begin" w:fldLock="1"/>
      </w:r>
      <w:r w:rsidR="00A445D5">
        <w:rPr>
          <w:rFonts w:ascii="Arial" w:hAnsi="Arial" w:cs="Arial"/>
          <w:i/>
          <w:iCs/>
          <w:sz w:val="18"/>
          <w:szCs w:val="18"/>
        </w:rPr>
        <w:instrText>ADDIN CSL_CITATION {"citationItems":[{"id":"ITEM-1","itemData":{"DOI":"10.1088/1758-5090/ab8753","ISSN":"1758-5090 (Electronic)","PMID":"32259804","abstract":"Acellular soft hydrogels are not ideal for hard tissue engineering given their poor  mechanical stability, however, in combination with cellular components offer significant promise for tissue regeneration. Indeed, nanocomposite bioinks provide an attractive platform to deliver human bone marrow stromal cells (HBMSCs) in three dimensions producing cell-laden constructs that aim to facilitate bone repair and functionality. Here we present the in vitro, ex vivo and in vivo investigation of bioprinted HBMSCs encapsulated in a nanoclay-based bioink to produce viable and functional three-dimensional constructs. HBMSC-laden constructs remained viable over 21 d in vitro and immediately functional when conditioned with osteogenic media. 3D scaffolds seeded with human umbilical vein endothelial cells (HUVECs) and loaded with vascular endothelial growth factor (VEGF) implanted ex vivo into a chick chorioallantoic membrane (CAM) model showed integration and vascularisation after 7 d of incubation. In a pre-clinical in vivo application of a nanoclay-based bioink to regenerate skeletal tissue, we demonstrated bone morphogenetic protein-2 (BMP-2) absorbed scaffolds produced extensive mineralisation after 4 weeks (p &lt; 0.0001) compared to the drug-free and alginate controls. In addition, HBMSC-laden 3D printed scaffolds were found to significantly (p &lt; 0.0001) support bone tissue formation in vivo compared to acellular and cast scaffolds. These studies illustrate the potential of nanoclay-based bioink, to produce viable and functional constructs for clinically relevant skeletal tissue regeneration.","author":[{"dropping-particle":"","family":"Cidonio","given":"Gianluca","non-dropping-particle":"","parse-names":false,"suffix":""},{"dropping-particle":"","family":"Glinka","given":"Michael","non-dropping-particle":"","parse-names":false,"suffix":""},{"dropping-particle":"","family":"Kim","given":"Yang-Hee","non-dropping-particle":"","parse-names":false,"suffix":""},{"dropping-particle":"","family":"Kanczler","given":"Janos M","non-dropping-particle":"","parse-names":false,"suffix":""},{"dropping-particle":"","family":"Lanham","given":"Stuart A","non-dropping-particle":"","parse-names":false,"suffix":""},{"dropping-particle":"","family":"Ahlfeld","given":"Tilman","non-dropping-particle":"","parse-names":false,"suffix":""},{"dropping-particle":"","family":"Lode","given":"Anja","non-dropping-particle":"","parse-names":false,"suffix":""},{"dropping-particle":"","family":"Dawson","given":"Jonathan I","non-dropping-particle":"","parse-names":false,"suffix":""},{"dropping-particle":"","family":"Gelinsky","given":"Michael","non-dropping-particle":"","parse-names":false,"suffix":""},{"dropping-particle":"","family":"Oreffo","given":"Richard O C","non-dropping-particle":"","parse-names":false,"suffix":""}],"container-title":"Biofabrication","id":"ITEM-1","issue":"3","issued":{"date-parts":[["2020","5"]]},"language":"eng","page":"35010","publisher-place":"England","title":"Nanoclay-based 3D printed scaffolds promote vascular ingrowth ex vivo and generate  bone mineral tissue in vitro and in vivo.","type":"article-journal","volume":"12"},"uris":["http://www.mendeley.com/documents/?uuid=532202b5-a7e9-4763-b335-8cf37b99ca16"]}],"mendeley":{"formattedCitation":"[72]","plainTextFormattedCitation":"[72]","previouslyFormattedCitation":"[72]"},"properties":{"noteIndex":0},"schema":"https://github.com/citation-style-language/schema/raw/master/csl-citation.json"}</w:instrText>
      </w:r>
      <w:r w:rsidR="008C228C" w:rsidRPr="0023525D">
        <w:rPr>
          <w:rFonts w:ascii="Arial" w:hAnsi="Arial" w:cs="Arial"/>
          <w:i/>
          <w:iCs/>
          <w:sz w:val="18"/>
          <w:szCs w:val="18"/>
        </w:rPr>
        <w:fldChar w:fldCharType="separate"/>
      </w:r>
      <w:r w:rsidR="0062132B" w:rsidRPr="0062132B">
        <w:rPr>
          <w:rFonts w:ascii="Arial" w:hAnsi="Arial" w:cs="Arial"/>
          <w:noProof/>
          <w:sz w:val="18"/>
          <w:szCs w:val="18"/>
        </w:rPr>
        <w:t>[72]</w:t>
      </w:r>
      <w:r w:rsidR="008C228C" w:rsidRPr="0023525D">
        <w:rPr>
          <w:rFonts w:ascii="Arial" w:hAnsi="Arial" w:cs="Arial"/>
          <w:i/>
          <w:iCs/>
          <w:sz w:val="18"/>
          <w:szCs w:val="18"/>
        </w:rPr>
        <w:fldChar w:fldCharType="end"/>
      </w:r>
      <w:r w:rsidR="008C228C" w:rsidRPr="0023525D">
        <w:rPr>
          <w:rFonts w:ascii="Arial" w:hAnsi="Arial" w:cs="Arial"/>
          <w:sz w:val="18"/>
          <w:szCs w:val="18"/>
        </w:rPr>
        <w:t>; Copyright © 2020. This is an open-access article distributed under the terms of the Creative Commons Attribution License (CC BY).</w:t>
      </w:r>
      <w:r w:rsidR="008C228C" w:rsidRPr="000E39AA">
        <w:rPr>
          <w:rFonts w:ascii="Arial" w:hAnsi="Arial" w:cs="Arial"/>
        </w:rPr>
        <w:t xml:space="preserve"> </w:t>
      </w:r>
      <w:r w:rsidR="000D250C" w:rsidRPr="00CE5DE8">
        <w:rPr>
          <w:rFonts w:ascii="Arial" w:hAnsi="Arial" w:cs="Arial"/>
          <w:sz w:val="18"/>
          <w:szCs w:val="18"/>
        </w:rPr>
        <w:t>(b</w:t>
      </w:r>
      <w:r w:rsidR="008C228C">
        <w:rPr>
          <w:rFonts w:ascii="Arial" w:hAnsi="Arial" w:cs="Arial"/>
          <w:sz w:val="18"/>
          <w:szCs w:val="18"/>
        </w:rPr>
        <w:t>-ii</w:t>
      </w:r>
      <w:r w:rsidR="000D250C" w:rsidRPr="00CE5DE8">
        <w:rPr>
          <w:rFonts w:ascii="Arial" w:hAnsi="Arial" w:cs="Arial"/>
          <w:sz w:val="18"/>
          <w:szCs w:val="18"/>
        </w:rPr>
        <w:t xml:space="preserve">) </w:t>
      </w:r>
      <w:r w:rsidR="004251CF">
        <w:rPr>
          <w:rFonts w:ascii="Arial" w:hAnsi="Arial" w:cs="Arial"/>
          <w:sz w:val="18"/>
          <w:szCs w:val="18"/>
        </w:rPr>
        <w:t>The ability of</w:t>
      </w:r>
      <w:r w:rsidR="00CB77CF">
        <w:rPr>
          <w:rFonts w:ascii="Arial" w:hAnsi="Arial" w:cs="Arial"/>
          <w:sz w:val="18"/>
          <w:szCs w:val="18"/>
        </w:rPr>
        <w:t xml:space="preserve"> nanoclay to foster BMSCs differentiation towards bone, the</w:t>
      </w:r>
      <w:r w:rsidR="005406F8">
        <w:rPr>
          <w:rFonts w:ascii="Arial" w:hAnsi="Arial" w:cs="Arial"/>
          <w:sz w:val="18"/>
          <w:szCs w:val="18"/>
        </w:rPr>
        <w:t xml:space="preserve"> culturing in</w:t>
      </w:r>
      <w:r w:rsidR="00CB77CF">
        <w:rPr>
          <w:rFonts w:ascii="Arial" w:hAnsi="Arial" w:cs="Arial"/>
          <w:sz w:val="18"/>
          <w:szCs w:val="18"/>
        </w:rPr>
        <w:t xml:space="preserve"> osteogenic media conditioning </w:t>
      </w:r>
      <w:r w:rsidR="005406F8">
        <w:rPr>
          <w:rFonts w:ascii="Arial" w:hAnsi="Arial" w:cs="Arial"/>
          <w:sz w:val="18"/>
          <w:szCs w:val="18"/>
        </w:rPr>
        <w:t xml:space="preserve">demonstrate the ability of Laponite-based constructs to generate a bone 3D model </w:t>
      </w:r>
      <w:r w:rsidR="001026F6">
        <w:rPr>
          <w:rFonts w:ascii="Arial" w:hAnsi="Arial" w:cs="Arial"/>
          <w:sz w:val="18"/>
          <w:szCs w:val="18"/>
        </w:rPr>
        <w:t xml:space="preserve">in a shorter time (D1) with significantly increased ALP deposition </w:t>
      </w:r>
      <w:r w:rsidR="00B578F2">
        <w:rPr>
          <w:rFonts w:ascii="Arial" w:hAnsi="Arial" w:cs="Arial"/>
          <w:sz w:val="18"/>
          <w:szCs w:val="18"/>
        </w:rPr>
        <w:fldChar w:fldCharType="begin" w:fldLock="1"/>
      </w:r>
      <w:r w:rsidR="00A445D5">
        <w:rPr>
          <w:rFonts w:ascii="Arial" w:hAnsi="Arial" w:cs="Arial"/>
          <w:sz w:val="18"/>
          <w:szCs w:val="18"/>
        </w:rPr>
        <w:instrText>ADDIN CSL_CITATION {"citationItems":[{"id":"ITEM-1","itemData":{"DOI":"10.1016/j.mtbio.2019.100028","ISSN":"25900064","abstract":"Free-form printing offers a novel biofabrication approach to generate complex shapes by depositing hydrogel materials within a temporary supportive environment. However, printed hydrogels typically lack the requisite mechanical properties and functionality of the desired tissue, limiting application and, more importantly, safety and efficacy of the implant. The study authors have developed an innovative nanoclay-based bioink to print high shape fidelity functional constructs for potential skeletal application. Laponite® (LAP) nanoclay was combined with gellan gum (GG) to generate a printable hydrogel that was highly stable in vitro, displayed limited swelling ability compared with the silicate-free control and remained stable over time. An agarose fluid gel was found to provide the requisite support for the deposition of the material ink and preservation of the printed structure before crosslinking. Printed C2C12 myoblasts remained viable and displayed extensive proliferation over 21 days in culture. Cell-laden scaffolds demonstrated functionality within 1 day of culture in vitro and that was preserved over 3 weeks. Analysis of absorption and release mechanisms from LAP-GG using model proteins (lysozyme and bovine serum albumin) demonstrated the retention capability of the clay-based materials for compound localisation and absence of burst release. Vascular endothelial growth factor ​was loaded within the agarose fluid gel and absorbed by the material ink via absorption during deposition. The 3D-printed constructs were implanted on the chorioallantoic membrane of a 10-day-old developing chick. Extensive and preferential vasculature infiltration was observed in LAP-GG–loaded vascular endothelial growth factor constructs compared with controls (p&lt;0.01 and p&lt;0.0001) after only 7 days of incubation. The current studies demonstrate, for the first time, the application of innovative LAP-GG 3D constructs in the generation of growth factor–loaded 3D constructs for potential application in skeletal tissue repair.","author":[{"dropping-particle":"","family":"Cidonio","given":"G.","non-dropping-particle":"","parse-names":false,"suffix":""},{"dropping-particle":"","family":"Cooke","given":"M.","non-dropping-particle":"","parse-names":false,"suffix":""},{"dropping-particle":"","family":"Glinka","given":"M.","non-dropping-particle":"","parse-names":false,"suffix":""},{"dropping-particle":"","family":"Dawson","given":"J. I.","non-dropping-particle":"","parse-names":false,"suffix":""},{"dropping-particle":"","family":"Grover","given":"L.","non-dropping-particle":"","parse-names":false,"suffix":""},{"dropping-particle":"","family":"Oreffo","given":"R. O.C.","non-dropping-particle":"","parse-names":false,"suffix":""}],"container-title":"Materials Today Bio","id":"ITEM-1","issue":"September","issued":{"date-parts":[["2019"]]},"publisher":"Elsevier Ltd","title":"Printing bone in a gel: using nanocomposite bioink to print functionalised bone scaffolds","type":"article-journal","volume":"4"},"uris":["http://www.mendeley.com/documents/?uuid=fc9f9b86-7d04-4cc7-8a3e-d9d19832d662"]}],"mendeley":{"formattedCitation":"[73]","plainTextFormattedCitation":"[73]","previouslyFormattedCitation":"[73]"},"properties":{"noteIndex":0},"schema":"https://github.com/citation-style-language/schema/raw/master/csl-citation.json"}</w:instrText>
      </w:r>
      <w:r w:rsidR="00B578F2">
        <w:rPr>
          <w:rFonts w:ascii="Arial" w:hAnsi="Arial" w:cs="Arial"/>
          <w:sz w:val="18"/>
          <w:szCs w:val="18"/>
        </w:rPr>
        <w:fldChar w:fldCharType="separate"/>
      </w:r>
      <w:r w:rsidR="0062132B" w:rsidRPr="0062132B">
        <w:rPr>
          <w:rFonts w:ascii="Arial" w:hAnsi="Arial" w:cs="Arial"/>
          <w:noProof/>
          <w:sz w:val="18"/>
          <w:szCs w:val="18"/>
        </w:rPr>
        <w:t>[73]</w:t>
      </w:r>
      <w:r w:rsidR="00B578F2">
        <w:rPr>
          <w:rFonts w:ascii="Arial" w:hAnsi="Arial" w:cs="Arial"/>
          <w:sz w:val="18"/>
          <w:szCs w:val="18"/>
        </w:rPr>
        <w:fldChar w:fldCharType="end"/>
      </w:r>
      <w:r w:rsidR="001026F6">
        <w:rPr>
          <w:rFonts w:ascii="Arial" w:hAnsi="Arial" w:cs="Arial"/>
          <w:sz w:val="18"/>
          <w:szCs w:val="18"/>
        </w:rPr>
        <w:t>.</w:t>
      </w:r>
      <w:r w:rsidR="00257D4E">
        <w:rPr>
          <w:rFonts w:ascii="Arial" w:hAnsi="Arial" w:cs="Arial"/>
          <w:sz w:val="18"/>
          <w:szCs w:val="18"/>
        </w:rPr>
        <w:t xml:space="preserve"> </w:t>
      </w:r>
      <w:r w:rsidR="00257D4E" w:rsidRPr="00CC542B">
        <w:rPr>
          <w:rFonts w:ascii="Arial" w:hAnsi="Arial" w:cs="Arial"/>
          <w:sz w:val="18"/>
          <w:szCs w:val="18"/>
        </w:rPr>
        <w:t>This is an open-access article distributed under the terms of the Creative Commons Attribution License (CC BY).</w:t>
      </w:r>
      <w:r w:rsidR="00257D4E" w:rsidRPr="000E39AA">
        <w:rPr>
          <w:rFonts w:ascii="Arial" w:hAnsi="Arial" w:cs="Arial"/>
        </w:rPr>
        <w:t xml:space="preserve"> </w:t>
      </w:r>
      <w:r w:rsidR="000D250C" w:rsidRPr="00CE5DE8">
        <w:rPr>
          <w:rFonts w:ascii="Arial" w:hAnsi="Arial" w:cs="Arial"/>
          <w:sz w:val="18"/>
          <w:szCs w:val="18"/>
        </w:rPr>
        <w:t>(</w:t>
      </w:r>
      <w:r w:rsidR="001E54AB">
        <w:rPr>
          <w:rFonts w:ascii="Arial" w:hAnsi="Arial" w:cs="Arial"/>
          <w:sz w:val="18"/>
          <w:szCs w:val="18"/>
        </w:rPr>
        <w:t>b-iii</w:t>
      </w:r>
      <w:r w:rsidR="000D250C" w:rsidRPr="00CE5DE8">
        <w:rPr>
          <w:rFonts w:ascii="Arial" w:hAnsi="Arial" w:cs="Arial"/>
          <w:sz w:val="18"/>
          <w:szCs w:val="18"/>
        </w:rPr>
        <w:t>) A high shape fidelity of nanoclay-based bioprinted construct can be obtained by temporary increasing the ink viscosity with the use of methylcellulose (</w:t>
      </w:r>
      <w:proofErr w:type="spellStart"/>
      <w:r w:rsidR="000D250C" w:rsidRPr="00CE5DE8">
        <w:rPr>
          <w:rFonts w:ascii="Arial" w:hAnsi="Arial" w:cs="Arial"/>
          <w:sz w:val="18"/>
          <w:szCs w:val="18"/>
        </w:rPr>
        <w:t>i</w:t>
      </w:r>
      <w:proofErr w:type="spellEnd"/>
      <w:r w:rsidR="000D250C" w:rsidRPr="00CE5DE8">
        <w:rPr>
          <w:rFonts w:ascii="Arial" w:hAnsi="Arial" w:cs="Arial"/>
          <w:sz w:val="18"/>
          <w:szCs w:val="18"/>
        </w:rPr>
        <w:t>-ii), ensuring a stable cell viability over the time (iii). Furthermore, the nanoclay content can be exploited for a controlled release of biological active agents able to allow the development of bone tissue.</w:t>
      </w:r>
      <w:r w:rsidR="001D5AC8">
        <w:rPr>
          <w:rFonts w:ascii="Arial" w:hAnsi="Arial" w:cs="Arial"/>
          <w:sz w:val="18"/>
          <w:szCs w:val="18"/>
        </w:rPr>
        <w:t xml:space="preserve"> </w:t>
      </w:r>
      <w:r w:rsidR="001D5AC8">
        <w:rPr>
          <w:rFonts w:ascii="Arial" w:hAnsi="Arial" w:cs="Arial"/>
          <w:sz w:val="18"/>
          <w:szCs w:val="18"/>
        </w:rPr>
        <w:fldChar w:fldCharType="begin" w:fldLock="1"/>
      </w:r>
      <w:r w:rsidR="00A445D5">
        <w:rPr>
          <w:rFonts w:ascii="Arial" w:hAnsi="Arial" w:cs="Arial"/>
          <w:sz w:val="18"/>
          <w:szCs w:val="18"/>
        </w:rPr>
        <w:instrText>ADDIN CSL_CITATION {"citationItems":[{"id":"ITEM-1","itemData":{"DOI":"10.1088/1758-5090/aa7e96","ISBN":"1758-5090","ISSN":"1758-5090","PMID":"28691691","abstract":"Three-dimensional printing of cell-laden hydrogels has evolved as a promising approach on the route to patient-specific or complex tissue-engineered constructs. However, it is still challenging to print structures with both, high shape fidelity and cell vitality. Herein, we used a synthetic nanosilicate clay, called Laponite, to build up scaffolds utilising the extrusion-based method 3D plotting. By blending with alginate and methylcellulose, a bioink was developed which allowed easy extrusion, achieving scaffolds with high printing fidelity. Following extrusion, approximately 70%-75% of printed immortalised human mesenchymal stem cells survived and cell viability was maintained over 21 days within the plotted constructs. Mechanical properties of scaffolds comprised of the composite bioink decreased over time when stored under cell culture conditions. Nevertheless, shape of the plotted constructs was preserved even over longer cultivation periods. Laponite is known for its favourable drug delivery properties. Two model proteins, bovine serum albumin and vascular endothelial growth factor were loaded into the bioink. We demonstrate that the release of both growth factors significantly changed to a more sustained profile by inclusion of Laponite in comparison to an alginate-methylcellulose blend in the absence of Laponite. In summary, addition of a synthetic clay, Laponite, improved printability, increased shape fidelity and was beneficial for controlled release of biologically active agents such as growth factors.","author":[{"dropping-particle":"","family":"Ahlfeld","given":"T.","non-dropping-particle":"","parse-names":false,"suffix":""},{"dropping-particle":"","family":"Cidonio","given":"G.","non-dropping-particle":"","parse-names":false,"suffix":""},{"dropping-particle":"","family":"Kilian","given":"D.","non-dropping-particle":"","parse-names":false,"suffix":""},{"dropping-particle":"","family":"Duin","given":"S.","non-dropping-particle":"","parse-names":false,"suffix":""},{"dropping-particle":"","family":"Akkineni","given":"A. R.","non-dropping-particle":"","parse-names":false,"suffix":""},{"dropping-particle":"","family":"Dawson","given":"J. I.","non-dropping-particle":"","parse-names":false,"suffix":""},{"dropping-particle":"","family":"Yang","given":"S.","non-dropping-particle":"","parse-names":false,"suffix":""},{"dropping-particle":"","family":"Lode","given":"A.","non-dropping-particle":"","parse-names":false,"suffix":""},{"dropping-particle":"","family":"Oreffo","given":"R O C","non-dropping-particle":"","parse-names":false,"suffix":""},{"dropping-particle":"","family":"Gelinsky","given":"M.","non-dropping-particle":"","parse-names":false,"suffix":""}],"container-title":"Biofabrication","id":"ITEM-1","issue":"3","issued":{"date-parts":[["2017","7","25"]]},"page":"034103","publisher":"IOP Publishing","title":"Development of a clay based bioink for 3D cell printing for skeletal application","type":"article-journal","volume":"9"},"uris":["http://www.mendeley.com/documents/?uuid=23131421-aaf8-42d5-b49d-6ee614725638"]}],"mendeley":{"formattedCitation":"[74]","plainTextFormattedCitation":"[74]","previouslyFormattedCitation":"[74]"},"properties":{"noteIndex":0},"schema":"https://github.com/citation-style-language/schema/raw/master/csl-citation.json"}</w:instrText>
      </w:r>
      <w:r w:rsidR="001D5AC8">
        <w:rPr>
          <w:rFonts w:ascii="Arial" w:hAnsi="Arial" w:cs="Arial"/>
          <w:sz w:val="18"/>
          <w:szCs w:val="18"/>
        </w:rPr>
        <w:fldChar w:fldCharType="separate"/>
      </w:r>
      <w:r w:rsidR="0062132B" w:rsidRPr="0062132B">
        <w:rPr>
          <w:rFonts w:ascii="Arial" w:hAnsi="Arial" w:cs="Arial"/>
          <w:noProof/>
          <w:sz w:val="18"/>
          <w:szCs w:val="18"/>
        </w:rPr>
        <w:t>[74]</w:t>
      </w:r>
      <w:r w:rsidR="001D5AC8">
        <w:rPr>
          <w:rFonts w:ascii="Arial" w:hAnsi="Arial" w:cs="Arial"/>
          <w:sz w:val="18"/>
          <w:szCs w:val="18"/>
        </w:rPr>
        <w:fldChar w:fldCharType="end"/>
      </w:r>
      <w:r w:rsidR="000D250C" w:rsidRPr="00CE5DE8">
        <w:rPr>
          <w:rFonts w:ascii="Arial" w:hAnsi="Arial" w:cs="Arial"/>
          <w:sz w:val="18"/>
          <w:szCs w:val="18"/>
        </w:rPr>
        <w:t xml:space="preserve"> [</w:t>
      </w:r>
      <w:r w:rsidR="000D250C" w:rsidRPr="00CE5DE8">
        <w:rPr>
          <w:rFonts w:ascii="Arial" w:hAnsi="Arial" w:cs="Arial"/>
          <w:sz w:val="18"/>
          <w:szCs w:val="18"/>
          <w:lang w:val="en-US"/>
        </w:rPr>
        <w:t>Development of a clay based bioink for 3D cell printing for skeletal application]</w:t>
      </w:r>
    </w:p>
    <w:p w14:paraId="52ABAE67" w14:textId="77777777" w:rsidR="00F03759" w:rsidRPr="000E39AA" w:rsidRDefault="00F03759" w:rsidP="003B434C">
      <w:pPr>
        <w:pStyle w:val="Heading4"/>
      </w:pPr>
      <w:bookmarkStart w:id="51" w:name="_Toc98937877"/>
      <w:r w:rsidRPr="000E39AA">
        <w:lastRenderedPageBreak/>
        <w:t>4.1.1 In vivo</w:t>
      </w:r>
      <w:bookmarkEnd w:id="51"/>
      <w:r w:rsidRPr="000E39AA">
        <w:t xml:space="preserve"> </w:t>
      </w:r>
    </w:p>
    <w:p w14:paraId="1F4E8E65" w14:textId="0FF63FD0" w:rsidR="00F03759" w:rsidRDefault="00F03759" w:rsidP="00F03759">
      <w:pPr>
        <w:spacing w:after="0" w:line="276" w:lineRule="auto"/>
        <w:jc w:val="both"/>
        <w:rPr>
          <w:rFonts w:ascii="Arial" w:hAnsi="Arial" w:cs="Arial"/>
        </w:rPr>
      </w:pPr>
      <w:r w:rsidRPr="000E39AA">
        <w:rPr>
          <w:rFonts w:ascii="Arial" w:hAnsi="Arial" w:cs="Arial"/>
          <w:i/>
          <w:iCs/>
        </w:rPr>
        <w:t>In vivo</w:t>
      </w:r>
      <w:r w:rsidRPr="000E39AA">
        <w:rPr>
          <w:rFonts w:ascii="Arial" w:hAnsi="Arial" w:cs="Arial"/>
        </w:rPr>
        <w:t xml:space="preserve"> bone models allow the examination of pathologies with a comparable degree of cell, biophysical and biochemical signalling observed in the human body </w:t>
      </w:r>
      <w:r w:rsidRPr="000E39AA">
        <w:rPr>
          <w:rFonts w:ascii="Arial" w:hAnsi="Arial" w:cs="Arial"/>
        </w:rPr>
        <w:fldChar w:fldCharType="begin" w:fldLock="1"/>
      </w:r>
      <w:r w:rsidR="00A445D5">
        <w:rPr>
          <w:rFonts w:ascii="Arial" w:hAnsi="Arial" w:cs="Arial"/>
        </w:rPr>
        <w:instrText>ADDIN CSL_CITATION {"citationItems":[{"id":"ITEM-1","itemData":{"DOI":"10.3389/fbioe.2020.00972","ISSN":"22964185","abstract":"Rapid developments in Regenerative Medicine and Tissue Engineering has witnessed an increasing drive toward clinical translation of breakthrough technologies. However, the progression of promising preclinical data to achieve successful clinical market authorisation remains a bottleneck. One hurdle for progress to the clinic is the transition from small animal research to advanced preclinical studies in large animals to test safety and efficacy of products. Notwithstanding this, to draw meaningful and reliable conclusions from animal experiments it is critical that the species and disease model of choice is relevant to answer the research question as well as the clinical problem. Selecting the most appropriate animal model requires in-depth knowledge of specific species and breeds to ascertain the adequacy of the model and outcome measures that closely mirror the clinical situation. Traditional reductionist approaches in animal experiments, which often do not sufficiently reflect the studied disease, are still the norm and can result in a disconnect in outcomes observed between animal studies and clinical trials. To address these concerns a reconsideration in approach will be required. This should include a stepwise approach using in vitro and ex vivo experiments as well as in silico modeling to minimize the need for in vivo studies for screening and early development studies, followed by large animal models which more closely resemble human disease. Naturally occurring, or spontaneous diseases in large animals remain a largely untapped resource, and given the similarities in pathophysiology to humans they not only allow for studying new treatment strategies but also disease etiology and prevention. Naturally occurring disease models, particularly for longer lived large animal species, allow for studying disorders at an age when the disease is most prevalent. As these diseases are usually also a concern in the chosen veterinary species they would be beneficiaries of newly developed therapies. Improved awareness of the progress in animal models is mutually beneficial for animals, researchers, human and veterinary patients. In this overview we describe advantages and disadvantages of various animal models including domesticated and companion animals used in regenerative medicine and tissue engineering to provide an informed choice of disease-relevant animal models.","author":[{"dropping-particle":"","family":"Ribitsch","given":"Iris","non-dropping-particle":"","parse-names":false,"suffix":""},{"dropping-particle":"","family":"Baptista","given":"Pedro M.","non-dropping-particle":"","parse-names":false,"suffix":""},{"dropping-particle":"","family":"Lange-Consiglio","given":"Anna","non-dropping-particle":"","parse-names":false,"suffix":""},{"dropping-particle":"","family":"Melotti","given":"Luca","non-dropping-particle":"","parse-names":false,"suffix":""},{"dropping-particle":"","family":"Patruno","given":"Marco","non-dropping-particle":"","parse-names":false,"suffix":""},{"dropping-particle":"","family":"Jenner","given":"Florien","non-dropping-particle":"","parse-names":false,"suffix":""},{"dropping-particle":"","family":"Schnabl-Feichter","given":"Eva","non-dropping-particle":"","parse-names":false,"suffix":""},{"dropping-particle":"","family":"Dutton","given":"Luke C.","non-dropping-particle":"","parse-names":false,"suffix":""},{"dropping-particle":"","family":"Connolly","given":"David J.","non-dropping-particle":"","parse-names":false,"suffix":""},{"dropping-particle":"","family":"Steenbeek","given":"Frank G.","non-dropping-particle":"van","parse-names":false,"suffix":""},{"dropping-particle":"","family":"Dudhia","given":"Jayesh","non-dropping-particle":"","parse-names":false,"suffix":""},{"dropping-particle":"","family":"Penning","given":"Louis C.","non-dropping-particle":"","parse-names":false,"suffix":""}],"container-title":"Frontiers in Bioengineering and Biotechnology","id":"ITEM-1","issue":"August","issued":{"date-parts":[["2020"]]},"page":"1-28","title":"Large Animal Models in Regenerative Medicine and Tissue Engineering: To Do or Not to Do","type":"article-journal","volume":"8"},"uris":["http://www.mendeley.com/documents/?uuid=f0fc7f3f-8c75-4399-bdd7-75e091bcf415"]},{"id":"ITEM-2","itemData":{"author":[{"dropping-particle":"","family":"Nicole Gabriele Sommer, David Hahn, Begüm Okutan","given":"Romy Marek and Annelie-Martina Weinberg","non-dropping-particle":"","parse-names":false,"suffix":""}],"id":"ITEM-2","issued":{"date-parts":[["2019"]]},"page":"0-19","title":"We are IntechOpen , the world ’ s leading publisher of Open Access books Built by scientists , for scientists TOP 1 % Animal Models in Orthopedic Research : The Proper Animal Model to Answer Fundamental Questions on Bone Healing Depending on Pathology and","type":"article-journal"},"uris":["http://www.mendeley.com/documents/?uuid=9f390221-9005-40d7-b56a-7740fcbfe8c2"]}],"mendeley":{"formattedCitation":"[75, 76]","plainTextFormattedCitation":"[75, 76]","previouslyFormattedCitation":"[75, 76]"},"properties":{"noteIndex":0},"schema":"https://github.com/citation-style-language/schema/raw/master/csl-citation.json"}</w:instrText>
      </w:r>
      <w:r w:rsidRPr="000E39AA">
        <w:rPr>
          <w:rFonts w:ascii="Arial" w:hAnsi="Arial" w:cs="Arial"/>
        </w:rPr>
        <w:fldChar w:fldCharType="separate"/>
      </w:r>
      <w:r w:rsidR="0062132B" w:rsidRPr="0062132B">
        <w:rPr>
          <w:rFonts w:ascii="Arial" w:hAnsi="Arial" w:cs="Arial"/>
          <w:noProof/>
        </w:rPr>
        <w:t>[75, 76]</w:t>
      </w:r>
      <w:r w:rsidRPr="000E39AA">
        <w:rPr>
          <w:rFonts w:ascii="Arial" w:hAnsi="Arial" w:cs="Arial"/>
        </w:rPr>
        <w:fldChar w:fldCharType="end"/>
      </w:r>
      <w:r w:rsidRPr="000E39AA">
        <w:rPr>
          <w:rFonts w:ascii="Arial" w:hAnsi="Arial" w:cs="Arial"/>
        </w:rPr>
        <w:t xml:space="preserve">. The selection of a specific </w:t>
      </w:r>
      <w:r w:rsidRPr="000E39AA">
        <w:rPr>
          <w:rFonts w:ascii="Arial" w:hAnsi="Arial" w:cs="Arial"/>
          <w:i/>
          <w:iCs/>
        </w:rPr>
        <w:t>in vivo</w:t>
      </w:r>
      <w:r w:rsidRPr="000E39AA">
        <w:rPr>
          <w:rFonts w:ascii="Arial" w:hAnsi="Arial" w:cs="Arial"/>
        </w:rPr>
        <w:t xml:space="preserve"> skeletal model</w:t>
      </w:r>
      <w:r w:rsidR="00BF3809">
        <w:rPr>
          <w:rFonts w:ascii="Arial" w:hAnsi="Arial" w:cs="Arial"/>
        </w:rPr>
        <w:t xml:space="preserve"> </w:t>
      </w:r>
      <w:r w:rsidRPr="000E39AA">
        <w:rPr>
          <w:rFonts w:ascii="Arial" w:hAnsi="Arial" w:cs="Arial"/>
        </w:rPr>
        <w:t>is not without challenges from consideration of the pathophysiology of the skeletal disease, species differences, timelines and variations in bone</w:t>
      </w:r>
      <w:r w:rsidR="00BF3809">
        <w:rPr>
          <w:rFonts w:ascii="Arial" w:hAnsi="Arial" w:cs="Arial"/>
        </w:rPr>
        <w:t xml:space="preserve"> </w:t>
      </w:r>
      <w:r w:rsidRPr="000E39AA">
        <w:rPr>
          <w:rFonts w:ascii="Arial" w:hAnsi="Arial" w:cs="Arial"/>
        </w:rPr>
        <w:t xml:space="preserve"> properties (density, hardness, architecture, porosity and bone turnover) across species </w:t>
      </w:r>
      <w:r w:rsidRPr="000E39AA">
        <w:rPr>
          <w:rFonts w:ascii="Arial" w:hAnsi="Arial" w:cs="Arial"/>
        </w:rPr>
        <w:fldChar w:fldCharType="begin" w:fldLock="1"/>
      </w:r>
      <w:r w:rsidR="00A445D5">
        <w:rPr>
          <w:rFonts w:ascii="Arial" w:hAnsi="Arial" w:cs="Arial"/>
        </w:rPr>
        <w:instrText>ADDIN CSL_CITATION {"citationItems":[{"id":"ITEM-1","itemData":{"DOI":"10.1038/nprot.2017.002","ISBN":"1750-2799","ISSN":"1754-2189","PMID":"28253234","abstract":"This protocol describes how to design 3D-printed scaffolds via melt electrospinning writing for bone tissue engineering applications and how to engineer humanized bone for the study of cancer metastasis in vivo.","author":[{"dropping-particle":"","family":"Martine","given":"Laure C.","non-dropping-particle":"","parse-names":false,"suffix":""},{"dropping-particle":"","family":"Holzapfel","given":"Boris M.","non-dropping-particle":"","parse-names":false,"suffix":""},{"dropping-particle":"","family":"McGovern","given":"Jacqui A.","non-dropping-particle":"","parse-names":false,"suffix":""},{"dropping-particle":"","family":"Wagner","given":"Ferdinand","non-dropping-particle":"","parse-names":false,"suffix":""},{"dropping-particle":"","family":"Quent","given":"Verena M.","non-dropping-particle":"","parse-names":false,"suffix":""},{"dropping-particle":"","family":"Hesami","given":"Parisa","non-dropping-particle":"","parse-names":false,"suffix":""},{"dropping-particle":"","family":"Wunner","given":"Felix M.","non-dropping-particle":"","parse-names":false,"suffix":""},{"dropping-particle":"","family":"Vaquette","given":"Cedryck","non-dropping-particle":"","parse-names":false,"suffix":""},{"dropping-particle":"","family":"De-Juan-Pardo","given":"Elena M.","non-dropping-particle":"","parse-names":false,"suffix":""},{"dropping-particle":"","family":"Brown","given":"Toby D.","non-dropping-particle":"","parse-names":false,"suffix":""},{"dropping-particle":"","family":"Nowlan","given":"Bianca","non-dropping-particle":"","parse-names":false,"suffix":""},{"dropping-particle":"","family":"Wu","given":"Dan Jing","non-dropping-particle":"","parse-names":false,"suffix":""},{"dropping-particle":"","family":"Hutmacher","given":"Cosmo Orlando","non-dropping-particle":"","parse-names":false,"suffix":""},{"dropping-particle":"","family":"Moi","given":"Davide","non-dropping-particle":"","parse-names":false,"suffix":""},{"dropping-particle":"","family":"Oussenko","given":"Tatiana","non-dropping-particle":"","parse-names":false,"suffix":""},{"dropping-particle":"","family":"Piccinini","given":"Elia","non-dropping-particle":"","parse-names":false,"suffix":""},{"dropping-particle":"","family":"Zandstra","given":"Peter W.","non-dropping-particle":"","parse-names":false,"suffix":""},{"dropping-particle":"","family":"Mazzieri","given":"Roberta","non-dropping-particle":"","parse-names":false,"suffix":""},{"dropping-particle":"","family":"Lévesque","given":"Jean-Pierre","non-dropping-particle":"","parse-names":false,"suffix":""},{"dropping-particle":"","family":"Dalton","given":"Paul D.","non-dropping-particle":"","parse-names":false,"suffix":""},{"dropping-particle":"V.","family":"Taubenberger","given":"Anna","non-dropping-particle":"","parse-names":false,"suffix":""},{"dropping-particle":"","family":"Hutmacher","given":"Dietmar W.","non-dropping-particle":"","parse-names":false,"suffix":""}],"container-title":"Nature Protocols","id":"ITEM-1","issue":"4","issued":{"date-parts":[["2017","4","2"]]},"page":"639-663","title":"Engineering a humanized bone organ model in mice to study bone metastases","type":"article-journal","volume":"12"},"uris":["http://www.mendeley.com/documents/?uuid=58ebea2b-f560-460e-a527-c3566a50166c"]}],"mendeley":{"formattedCitation":"[77]","plainTextFormattedCitation":"[77]","previouslyFormattedCitation":"[77]"},"properties":{"noteIndex":0},"schema":"https://github.com/citation-style-language/schema/raw/master/csl-citation.json"}</w:instrText>
      </w:r>
      <w:r w:rsidRPr="000E39AA">
        <w:rPr>
          <w:rFonts w:ascii="Arial" w:hAnsi="Arial" w:cs="Arial"/>
        </w:rPr>
        <w:fldChar w:fldCharType="separate"/>
      </w:r>
      <w:r w:rsidR="0062132B" w:rsidRPr="0062132B">
        <w:rPr>
          <w:rFonts w:ascii="Arial" w:hAnsi="Arial" w:cs="Arial"/>
          <w:noProof/>
        </w:rPr>
        <w:t>[77]</w:t>
      </w:r>
      <w:r w:rsidRPr="000E39AA">
        <w:rPr>
          <w:rFonts w:ascii="Arial" w:hAnsi="Arial" w:cs="Arial"/>
        </w:rPr>
        <w:fldChar w:fldCharType="end"/>
      </w:r>
      <w:r w:rsidRPr="000E39AA">
        <w:rPr>
          <w:rFonts w:ascii="Arial" w:hAnsi="Arial" w:cs="Arial"/>
        </w:rPr>
        <w:t xml:space="preserve">  </w:t>
      </w:r>
      <w:r w:rsidRPr="000E39AA">
        <w:rPr>
          <w:rFonts w:ascii="Arial" w:hAnsi="Arial" w:cs="Arial"/>
        </w:rPr>
        <w:fldChar w:fldCharType="begin" w:fldLock="1"/>
      </w:r>
      <w:r w:rsidR="00A445D5">
        <w:rPr>
          <w:rFonts w:ascii="Arial" w:hAnsi="Arial" w:cs="Arial"/>
        </w:rPr>
        <w:instrText>ADDIN CSL_CITATION {"citationItems":[{"id":"ITEM-1","itemData":{"DOI":"10.3389/fbioe.2020.00972","ISSN":"22964185","abstract":"Rapid developments in Regenerative Medicine and Tissue Engineering has witnessed an increasing drive toward clinical translation of breakthrough technologies. However, the progression of promising preclinical data to achieve successful clinical market authorisation remains a bottleneck. One hurdle for progress to the clinic is the transition from small animal research to advanced preclinical studies in large animals to test safety and efficacy of products. Notwithstanding this, to draw meaningful and reliable conclusions from animal experiments it is critical that the species and disease model of choice is relevant to answer the research question as well as the clinical problem. Selecting the most appropriate animal model requires in-depth knowledge of specific species and breeds to ascertain the adequacy of the model and outcome measures that closely mirror the clinical situation. Traditional reductionist approaches in animal experiments, which often do not sufficiently reflect the studied disease, are still the norm and can result in a disconnect in outcomes observed between animal studies and clinical trials. To address these concerns a reconsideration in approach will be required. This should include a stepwise approach using in vitro and ex vivo experiments as well as in silico modeling to minimize the need for in vivo studies for screening and early development studies, followed by large animal models which more closely resemble human disease. Naturally occurring, or spontaneous diseases in large animals remain a largely untapped resource, and given the similarities in pathophysiology to humans they not only allow for studying new treatment strategies but also disease etiology and prevention. Naturally occurring disease models, particularly for longer lived large animal species, allow for studying disorders at an age when the disease is most prevalent. As these diseases are usually also a concern in the chosen veterinary species they would be beneficiaries of newly developed therapies. Improved awareness of the progress in animal models is mutually beneficial for animals, researchers, human and veterinary patients. In this overview we describe advantages and disadvantages of various animal models including domesticated and companion animals used in regenerative medicine and tissue engineering to provide an informed choice of disease-relevant animal models.","author":[{"dropping-particle":"","family":"Ribitsch","given":"Iris","non-dropping-particle":"","parse-names":false,"suffix":""},{"dropping-particle":"","family":"Baptista","given":"Pedro M.","non-dropping-particle":"","parse-names":false,"suffix":""},{"dropping-particle":"","family":"Lange-Consiglio","given":"Anna","non-dropping-particle":"","parse-names":false,"suffix":""},{"dropping-particle":"","family":"Melotti","given":"Luca","non-dropping-particle":"","parse-names":false,"suffix":""},{"dropping-particle":"","family":"Patruno","given":"Marco","non-dropping-particle":"","parse-names":false,"suffix":""},{"dropping-particle":"","family":"Jenner","given":"Florien","non-dropping-particle":"","parse-names":false,"suffix":""},{"dropping-particle":"","family":"Schnabl-Feichter","given":"Eva","non-dropping-particle":"","parse-names":false,"suffix":""},{"dropping-particle":"","family":"Dutton","given":"Luke C.","non-dropping-particle":"","parse-names":false,"suffix":""},{"dropping-particle":"","family":"Connolly","given":"David J.","non-dropping-particle":"","parse-names":false,"suffix":""},{"dropping-particle":"","family":"Steenbeek","given":"Frank G.","non-dropping-particle":"van","parse-names":false,"suffix":""},{"dropping-particle":"","family":"Dudhia","given":"Jayesh","non-dropping-particle":"","parse-names":false,"suffix":""},{"dropping-particle":"","family":"Penning","given":"Louis C.","non-dropping-particle":"","parse-names":false,"suffix":""}],"container-title":"Frontiers in Bioengineering and Biotechnology","id":"ITEM-1","issue":"August","issued":{"date-parts":[["2020"]]},"page":"1-28","title":"Large Animal Models in Regenerative Medicine and Tissue Engineering: To Do or Not to Do","type":"article-journal","volume":"8"},"uris":["http://www.mendeley.com/documents/?uuid=f0fc7f3f-8c75-4399-bdd7-75e091bcf415"]}],"mendeley":{"formattedCitation":"[75]","plainTextFormattedCitation":"[75]","previouslyFormattedCitation":"[75]"},"properties":{"noteIndex":0},"schema":"https://github.com/citation-style-language/schema/raw/master/csl-citation.json"}</w:instrText>
      </w:r>
      <w:r w:rsidRPr="000E39AA">
        <w:rPr>
          <w:rFonts w:ascii="Arial" w:hAnsi="Arial" w:cs="Arial"/>
        </w:rPr>
        <w:fldChar w:fldCharType="separate"/>
      </w:r>
      <w:r w:rsidR="0062132B" w:rsidRPr="0062132B">
        <w:rPr>
          <w:rFonts w:ascii="Arial" w:hAnsi="Arial" w:cs="Arial"/>
          <w:noProof/>
        </w:rPr>
        <w:t>[75]</w:t>
      </w:r>
      <w:r w:rsidRPr="000E39AA">
        <w:rPr>
          <w:rFonts w:ascii="Arial" w:hAnsi="Arial" w:cs="Arial"/>
        </w:rPr>
        <w:fldChar w:fldCharType="end"/>
      </w:r>
      <w:r w:rsidRPr="000E39AA">
        <w:rPr>
          <w:rFonts w:ascii="Arial" w:hAnsi="Arial" w:cs="Arial"/>
        </w:rPr>
        <w:t xml:space="preserve">. </w:t>
      </w:r>
      <w:r w:rsidRPr="000E39AA">
        <w:rPr>
          <w:rFonts w:ascii="Arial" w:hAnsi="Arial" w:cs="Arial"/>
          <w:i/>
          <w:iCs/>
        </w:rPr>
        <w:t>Small</w:t>
      </w:r>
      <w:r w:rsidRPr="000E39AA">
        <w:rPr>
          <w:rFonts w:ascii="Arial" w:hAnsi="Arial" w:cs="Arial"/>
        </w:rPr>
        <w:t xml:space="preserve"> animal models (rodent) for bone-related diseases (</w:t>
      </w:r>
      <w:r w:rsidRPr="000E39AA">
        <w:rPr>
          <w:rFonts w:ascii="Arial" w:hAnsi="Arial" w:cs="Arial"/>
          <w:b/>
          <w:bCs/>
        </w:rPr>
        <w:t>Fig</w:t>
      </w:r>
      <w:r w:rsidR="003553F2">
        <w:rPr>
          <w:rFonts w:ascii="Arial" w:hAnsi="Arial" w:cs="Arial"/>
          <w:b/>
          <w:bCs/>
        </w:rPr>
        <w:t>.</w:t>
      </w:r>
      <w:r w:rsidRPr="000E39AA">
        <w:rPr>
          <w:rFonts w:ascii="Arial" w:hAnsi="Arial" w:cs="Arial"/>
          <w:b/>
          <w:bCs/>
        </w:rPr>
        <w:t xml:space="preserve"> </w:t>
      </w:r>
      <w:r w:rsidR="00CC5B90">
        <w:rPr>
          <w:rFonts w:ascii="Arial" w:hAnsi="Arial" w:cs="Arial"/>
          <w:b/>
          <w:bCs/>
        </w:rPr>
        <w:t>3</w:t>
      </w:r>
      <w:r w:rsidRPr="000E39AA">
        <w:rPr>
          <w:rFonts w:ascii="Arial" w:hAnsi="Arial" w:cs="Arial"/>
          <w:b/>
          <w:bCs/>
        </w:rPr>
        <w:t>a</w:t>
      </w:r>
      <w:r w:rsidR="00F3491E">
        <w:rPr>
          <w:rFonts w:ascii="Arial" w:hAnsi="Arial" w:cs="Arial"/>
          <w:b/>
          <w:bCs/>
        </w:rPr>
        <w:t>-i</w:t>
      </w:r>
      <w:r w:rsidRPr="000E39AA">
        <w:rPr>
          <w:rFonts w:ascii="Arial" w:hAnsi="Arial" w:cs="Arial"/>
        </w:rPr>
        <w:t xml:space="preserve">) are widely used given the associated low cost and their accelerated metabolism </w:t>
      </w:r>
      <w:r w:rsidRPr="000E39AA">
        <w:rPr>
          <w:rFonts w:ascii="Arial" w:hAnsi="Arial" w:cs="Arial"/>
        </w:rPr>
        <w:fldChar w:fldCharType="begin" w:fldLock="1"/>
      </w:r>
      <w:r w:rsidR="00A445D5">
        <w:rPr>
          <w:rFonts w:ascii="Arial" w:hAnsi="Arial" w:cs="Arial"/>
        </w:rPr>
        <w:instrText>ADDIN CSL_CITATION {"citationItems":[{"id":"ITEM-1","itemData":{"DOI":"10.1016/j.jot.2021.11.009","ISSN":"2214031X","abstract":"Objective: Disuse osteoporosis is a major type of bone loss disease characterized by regional bone loss and microstructure alterations. The condition is induced by a marked decrease in weight bearing over time, which usually occurs due to limb immobilization, therapeutic bed rest or space flight. To date, the most commonly used mouse model of disuse osteoporosis is constructed using the classical tail suspension method, which causes tail injury, movement inconvenience and mental stress. This study aimed to propose a noninvasive and effective method for the establishment of a mouse model of disuse osteoporosis and compared this method with the tail suspension method. Methods: 3D printing technology was applied to construct a movable unloading device. A movable noninvasive 3D-printed unloading device (3D-ULD) was used to unload the hindlimbs of the mice. The bone microstructure and bone volume of unloaded femurs were analysed through micro-CT and H&amp;E staining, and von Kossa staining was performed for the detection of bone mineralization in the femurs. TRAP staining, IHC-CTSK and Q-PCR were performed for evaluation of the bone resorption ability, and double labelling, IHC-DMP1, ALP staining and Q-PCR assays were conducted to assess the osteogenic ability. The mechanical properties of disused bone were detected using the three-point bending test. The body, thymus and spleen weights of the mice were recorded, and the serum corticosterone level of the mice was assayed by enzyme-linked immunosorbent assay (ELISA). Results: The micro-CT results showed significant trabecular bone loss, and 3D-ULD induced cortical bone loss in disused femurs as well as a decrease in the bone mineral density in the unloaded mice. TRAP staining and IHC-CTSK staining results indicated increases in the osteoclast number per bone perimeter (Oc.N/B.Pm) and the osteoclast surface per bone surface (Oc.S/BS) in the unloaded mice. The Ctsk, Trap and Mmp9 expression levels were significantly increased in the unloaded mice. Decreases in the ratio of the mineral surface to bone surface (MS/BS), mineral apposition rate (MAR) and bone formation rate per bone surface (BFR/BS) were found in unloaded mice in the 3D-ULD by double labelling. The IHC-DMP1 and ALP staining results showed decreases in the osteoblast number per bone perimeter (Ob.N/B.Pm) and osteoblast surface per bone surface (Ob. S/BS) in the mice unloaded in the 3D-ULD, and these mice also showed decreased Runx2, Alp and Dmp1 express…","author":[{"dropping-particle":"","family":"Li","given":"Junhui","non-dropping-particle":"","parse-names":false,"suffix":""},{"dropping-particle":"","family":"Geng","given":"Jiangyu","non-dropping-particle":"","parse-names":false,"suffix":""},{"dropping-particle":"","family":"Lin","given":"Tingting","non-dropping-particle":"","parse-names":false,"suffix":""},{"dropping-particle":"","family":"Cai","given":"Mingxiang","non-dropping-particle":"","parse-names":false,"suffix":""},{"dropping-particle":"","family":"Sun","given":"Yao","non-dropping-particle":"","parse-names":false,"suffix":""}],"container-title":"Journal of Orthopaedic Translation","id":"ITEM-1","issue":"August 2021","issued":{"date-parts":[["2022"]]},"page":"1-12","publisher":"The Authors","title":"A mouse model of disuse osteoporosis based on a movable noninvasive 3D-printed unloading device","type":"article-journal","volume":"33"},"uris":["http://www.mendeley.com/documents/?uuid=fab2a99e-7ea9-4b6b-a698-42b3db8ce977","http://www.mendeley.com/documents/?uuid=9a2f2151-2d36-4181-bb21-494bb0fedab3"]}],"mendeley":{"formattedCitation":"[70]","plainTextFormattedCitation":"[70]","previouslyFormattedCitation":"[70]"},"properties":{"noteIndex":0},"schema":"https://github.com/citation-style-language/schema/raw/master/csl-citation.json"}</w:instrText>
      </w:r>
      <w:r w:rsidRPr="000E39AA">
        <w:rPr>
          <w:rFonts w:ascii="Arial" w:hAnsi="Arial" w:cs="Arial"/>
        </w:rPr>
        <w:fldChar w:fldCharType="separate"/>
      </w:r>
      <w:r w:rsidR="0062132B" w:rsidRPr="0062132B">
        <w:rPr>
          <w:rFonts w:ascii="Arial" w:hAnsi="Arial" w:cs="Arial"/>
          <w:noProof/>
        </w:rPr>
        <w:t>[70]</w:t>
      </w:r>
      <w:r w:rsidRPr="000E39AA">
        <w:rPr>
          <w:rFonts w:ascii="Arial" w:hAnsi="Arial" w:cs="Arial"/>
        </w:rPr>
        <w:fldChar w:fldCharType="end"/>
      </w:r>
      <w:r w:rsidRPr="000E39AA">
        <w:rPr>
          <w:rFonts w:ascii="Arial" w:hAnsi="Arial" w:cs="Arial"/>
        </w:rPr>
        <w:t xml:space="preserve">. Rodents and small animals are generally indicated for the study of bone metabolism and regeneration related to age, fractures, osteoporosis and osteoarthritis </w:t>
      </w:r>
      <w:r w:rsidRPr="000E39AA">
        <w:rPr>
          <w:rFonts w:ascii="Arial" w:hAnsi="Arial" w:cs="Arial"/>
        </w:rPr>
        <w:fldChar w:fldCharType="begin" w:fldLock="1"/>
      </w:r>
      <w:r w:rsidR="00A445D5">
        <w:rPr>
          <w:rFonts w:ascii="Arial" w:hAnsi="Arial" w:cs="Arial"/>
        </w:rPr>
        <w:instrText>ADDIN CSL_CITATION {"citationItems":[{"id":"ITEM-1","itemData":{"DOI":"10.1016/j.exger.2018.09.023","ISSN":"1873-6815 (Electronic)","PMID":"30267870","abstract":"Recently, it has been suggested that oxytocin (OT) might play a role in the control  of bone remodeling and in bone health of young and adult females. The purpose of this study was to evaluate the effect of osteogenic medium (OM) plus OT (OM + OT; 100 nmol/L) on osteoblastic differentiation of bone marrow mesenchymal stem cells (BMMSCs) from cyclic adult (12 months old) and acyclic aging (24 months old) female Wistar rats. After 14 days, OM + OT increased the oxytocin and oxytocin receptor in the BMMSCs from animals of both age groups relative to OM controls. Alkaline phosphatase activity was higher in the OM + OT than OM group in BMMSCs from 24-month-old female rats. OM + OT improved osteogenic differentiation, observed by anticipated mineralization and increased gene expression of bone morphogenetic protein 2, bone sialoprotein, osteopontin and osteocalcin in both aged relative to OM controls. These findings suggest a role for OT as an adjuvant to induce osteoblastic differentiation of BMMSCs from aged female rat.","author":[{"dropping-particle":"","family":"Santos","given":"Leandro Figueiredo","non-dropping-particle":"","parse-names":false,"suffix":""},{"dropping-particle":"","family":"Singulani","given":"Monique Patricio","non-dropping-particle":"","parse-names":false,"suffix":""},{"dropping-particle":"","family":"Stringhetta-Garcia","given":"Camila Tami","non-dropping-particle":"","parse-names":false,"suffix":""},{"dropping-particle":"","family":"Oliveira","given":"Sandra Helena Penha","non-dropping-particle":"","parse-names":false,"suffix":""},{"dropping-particle":"","family":"Chaves-Neto","given":"Antonio Hernandes","non-dropping-particle":"","parse-names":false,"suffix":""},{"dropping-particle":"","family":"Dornelles","given":"Rita Cássia Menegati","non-dropping-particle":"","parse-names":false,"suffix":""}],"container-title":"Experimental gerontology","id":"ITEM-1","issued":{"date-parts":[["2018","11"]]},"language":"eng","page":"58-63","publisher-place":"England","title":"Oxytocin effects on osteoblastic differentiation of Bone Marrow Mesenchymal Stem  Cells from adult and aging female Wistar rats.","type":"article-journal","volume":"113"},"uris":["http://www.mendeley.com/documents/?uuid=2ad60613-3d85-4e11-82bc-3e3e53fb2d56"]},{"id":"ITEM-2","itemData":{"DOI":"10.1007/s00223-008-9144-3","ISSN":"0171967X","PMID":"18528610","abstract":"Quantitative trait locus analysis can be used to identify genes critically involved in biological processes. No such analysis has been applied to identifying genes that control bone fracture healing. To determine the feasibility of such an approach, healing of femur fractures was measured between C57BL/6, DBA/2, and C3H inbred strains of mice. Healing was assessed by radiography and histology and measured by histomorphometry and biomechanical testing. In all strains, radiographic bridging of the fracture was apparent after 3 weeks of healing. Histology showed that healing occurred through endochondral ossification in all strains. Histomorphometric measurements found more bone in the C57BL/6 fracture calluses 7 and 10 days after fracture. In contrast, more cartilage was present after 7 days in the C3H callus, which rapidly declined to levels less than those of C57BL/6 or DBA/2 mice by 14 days after fracture. An endochondral ossification index was calculated by multiplying the callus percent cartilage and bone areas as a measure of endochondral ossification. At 7 and 10 days after fracture, this value was higher in C57BL/6 mice. Using torsional mechanical testing, normalized structural and material properties of the C57BL/6 healing femurs were higher than values from the DBA/2 or C3H mice 4 weeks after fracture. The data indicate that fracture healing proceeds more rapidly in C57BL/6 mice and demonstrate that genetic variability significantly contributes to the process of bone regeneration. Large enough differences exist between C57BL/6 and DBA/2 or C3H mice to permit a quantitative trait locus analysis to identify genes controlling bone regeneration. © 2008 Springer Science+Business Media, LLC.","author":[{"dropping-particle":"","family":"Manigrasso","given":"Michaele B.","non-dropping-particle":"","parse-names":false,"suffix":""},{"dropping-particle":"","family":"O'Connor","given":"J. Patrick","non-dropping-particle":"","parse-names":false,"suffix":""}],"container-title":"Calcified Tissue International","id":"ITEM-2","issue":"6","issued":{"date-parts":[["2008"]]},"page":"465-474","title":"Comparison of fracture healing among different inbred mouse strains","type":"article-journal","volume":"82"},"uris":["http://www.mendeley.com/documents/?uuid=45cfd9cd-08c7-462b-a6f2-445015efe4b3"]},{"id":"ITEM-3","itemData":{"DOI":"10.3390/ijms222313016","ISSN":"14220067","PMID":"34884821","abstract":"Reconstruction of bone due to surgical removal or disease-related bony defects is a clinical challenge. It is known that the immune system exerts positive immunomodulatory effects on tissue repair and regeneration. In this study, we evaluated the in vivo efficacy of autologous neutrophils on bone regeneration using a rabbit calvarial defect model. Methods: Twelve rabbits, each with two surgically created calvarial bone defects (10 mm diameter), were randomly divided into two groups; (i) single application of neutrophils (SA-NP) vs. SA-NP control, and (ii) repetitive application of neutrophils (RA-NP) vs. RA-NP control. The animals were euthanized at 4 and 8 weeks post-operatively and the treatment outcomes were evaluated by micro-computed tomography, histology, and histomorphometric analyses. Results: The micro-CT analysis showed a significantly higher bone volume fraction (bone volume/total volume) in the neutrophil-treated groups, i.e., median interquartile range (IQR) SA-NP (18) and RA-NP (24), compared with the untreated controls, i.e., SA-NP (7) and RA-NP (14) at 4 weeks (p &lt; 0.05). Similarly, new bone area fraction (bone area/total area) was significantly higher in neutrophil-treated groups at 4 weeks (p &lt; 0.05). Both SA-NP and RA-NP had a considerably higher bone volume and bone area at 8 weeks, although the difference was not statistically significant. In addition, immunohistochemical analysis at 8 weeks revealed a higher expression of osteocalcin in both SA-NP and RA-NP groups. Conclusions: The present study provides first hand evidence that autologous neutrophils may have a positive effect on promoting new bone formation. Future studies should be performed with a larger sample size in non-human primate models. If proven feasible, this new promising strategy could bring clinical benefits for bone defects to the field of oral and maxillofacial surgery.","author":[{"dropping-particle":"","family":"Herath","given":"Thanuja D.K.","non-dropping-particle":"","parse-names":false,"suffix":""},{"dropping-particle":"","family":"Saigo","given":"Leonardo","non-dropping-particle":"","parse-names":false,"suffix":""},{"dropping-particle":"","family":"Schaller","given":"Benoit","non-dropping-particle":"","parse-names":false,"suffix":""},{"dropping-particle":"","family":"Larbi","given":"Anis","non-dropping-particle":"","parse-names":false,"suffix":""},{"dropping-particle":"","family":"Teoh","given":"Swee Hin","non-dropping-particle":"","parse-names":false,"suffix":""},{"dropping-particle":"","family":"Kirkpatrick","given":"Charles James","non-dropping-particle":"","parse-names":false,"suffix":""},{"dropping-particle":"","family":"Goh","given":"Bee Tin","non-dropping-particle":"","parse-names":false,"suffix":""}],"container-title":"International Journal of Molecular Sciences","id":"ITEM-3","issue":"23","issued":{"date-parts":[["2021"]]},"title":"In vivo efficacy of neutrophil-mediated bone regeneration using a rabbit calvarial defect model","type":"article-journal","volume":"22"},"uris":["http://www.mendeley.com/documents/?uuid=10c84227-3fdf-45b8-b96c-dd58a995bbe2"]}],"mendeley":{"formattedCitation":"[78–80]","plainTextFormattedCitation":"[78–80]","previouslyFormattedCitation":"[78–80]"},"properties":{"noteIndex":0},"schema":"https://github.com/citation-style-language/schema/raw/master/csl-citation.json"}</w:instrText>
      </w:r>
      <w:r w:rsidRPr="000E39AA">
        <w:rPr>
          <w:rFonts w:ascii="Arial" w:hAnsi="Arial" w:cs="Arial"/>
        </w:rPr>
        <w:fldChar w:fldCharType="separate"/>
      </w:r>
      <w:r w:rsidR="0062132B" w:rsidRPr="0062132B">
        <w:rPr>
          <w:rFonts w:ascii="Arial" w:hAnsi="Arial" w:cs="Arial"/>
          <w:noProof/>
        </w:rPr>
        <w:t>[78–80]</w:t>
      </w:r>
      <w:r w:rsidRPr="000E39AA">
        <w:rPr>
          <w:rFonts w:ascii="Arial" w:hAnsi="Arial" w:cs="Arial"/>
        </w:rPr>
        <w:fldChar w:fldCharType="end"/>
      </w:r>
      <w:r w:rsidRPr="000E39AA">
        <w:rPr>
          <w:rFonts w:ascii="Arial" w:hAnsi="Arial" w:cs="Arial"/>
        </w:rPr>
        <w:t xml:space="preserve">. </w:t>
      </w:r>
      <w:r w:rsidRPr="000E39AA">
        <w:rPr>
          <w:rFonts w:ascii="Arial" w:hAnsi="Arial" w:cs="Arial"/>
          <w:i/>
          <w:iCs/>
        </w:rPr>
        <w:t>Large</w:t>
      </w:r>
      <w:r w:rsidRPr="000E39AA">
        <w:rPr>
          <w:rFonts w:ascii="Arial" w:hAnsi="Arial" w:cs="Arial"/>
        </w:rPr>
        <w:t xml:space="preserve"> animal pre-clinical models</w:t>
      </w:r>
      <w:r w:rsidR="003E359B">
        <w:rPr>
          <w:rFonts w:ascii="Arial" w:hAnsi="Arial" w:cs="Arial"/>
        </w:rPr>
        <w:t xml:space="preserve"> </w:t>
      </w:r>
      <w:r w:rsidR="003E359B" w:rsidRPr="000E39AA">
        <w:rPr>
          <w:rFonts w:ascii="Arial" w:hAnsi="Arial" w:cs="Arial"/>
        </w:rPr>
        <w:t>(</w:t>
      </w:r>
      <w:r w:rsidR="003E359B" w:rsidRPr="000E39AA">
        <w:rPr>
          <w:rFonts w:ascii="Arial" w:hAnsi="Arial" w:cs="Arial"/>
          <w:b/>
          <w:bCs/>
        </w:rPr>
        <w:t>Fig</w:t>
      </w:r>
      <w:r w:rsidR="003E359B">
        <w:rPr>
          <w:rFonts w:ascii="Arial" w:hAnsi="Arial" w:cs="Arial"/>
          <w:b/>
          <w:bCs/>
        </w:rPr>
        <w:t>.</w:t>
      </w:r>
      <w:r w:rsidR="003E359B" w:rsidRPr="000E39AA">
        <w:rPr>
          <w:rFonts w:ascii="Arial" w:hAnsi="Arial" w:cs="Arial"/>
          <w:b/>
          <w:bCs/>
        </w:rPr>
        <w:t xml:space="preserve"> </w:t>
      </w:r>
      <w:r w:rsidR="003E359B">
        <w:rPr>
          <w:rFonts w:ascii="Arial" w:hAnsi="Arial" w:cs="Arial"/>
          <w:b/>
          <w:bCs/>
        </w:rPr>
        <w:t>3</w:t>
      </w:r>
      <w:r w:rsidR="003E359B" w:rsidRPr="000E39AA">
        <w:rPr>
          <w:rFonts w:ascii="Arial" w:hAnsi="Arial" w:cs="Arial"/>
          <w:b/>
          <w:bCs/>
        </w:rPr>
        <w:t>a</w:t>
      </w:r>
      <w:r w:rsidR="003E359B">
        <w:rPr>
          <w:rFonts w:ascii="Arial" w:hAnsi="Arial" w:cs="Arial"/>
          <w:b/>
          <w:bCs/>
        </w:rPr>
        <w:t>-i</w:t>
      </w:r>
      <w:r w:rsidR="00656045">
        <w:rPr>
          <w:rFonts w:ascii="Arial" w:hAnsi="Arial" w:cs="Arial"/>
          <w:b/>
          <w:bCs/>
        </w:rPr>
        <w:t>i</w:t>
      </w:r>
      <w:r w:rsidR="003E359B" w:rsidRPr="000E39AA">
        <w:rPr>
          <w:rFonts w:ascii="Arial" w:hAnsi="Arial" w:cs="Arial"/>
        </w:rPr>
        <w:t>)</w:t>
      </w:r>
      <w:r w:rsidRPr="000E39AA">
        <w:rPr>
          <w:rFonts w:ascii="Arial" w:hAnsi="Arial" w:cs="Arial"/>
        </w:rPr>
        <w:t xml:space="preserve">, such as sheep </w:t>
      </w:r>
      <w:r w:rsidRPr="000E39AA">
        <w:rPr>
          <w:rFonts w:ascii="Arial" w:hAnsi="Arial" w:cs="Arial"/>
        </w:rPr>
        <w:fldChar w:fldCharType="begin" w:fldLock="1"/>
      </w:r>
      <w:r w:rsidR="00A445D5">
        <w:rPr>
          <w:rFonts w:ascii="Arial" w:hAnsi="Arial" w:cs="Arial"/>
        </w:rPr>
        <w:instrText>ADDIN CSL_CITATION {"citationItems":[{"id":"ITEM-1","itemData":{"DOI":"10.1007/s00586-022-07138-6","ISBN":"0123456789","ISSN":"0940-6719","PMID":"35192070","abstract":"Purpose: This study aimed to establish an animal model in which we can precisely displace the spinal cord and therefore mimic the chronic spinal compression of cervical spondylotic myelopathy. Methods: In vivo intervertebral compression devices (IVCDs) connected with subcutaneous control modules (SCCMs) were implanted into the C2-3 intervertebral disk spaces of sheep and connected by Bluetooth to an in vitro control system. Sixteen sheep were divided into four groups: (Group A) control; (Group B) 10-week progressive compression, then held; (Group C) 20-week progressive compression, then held; and (Group D) 20-week progressive compression, then decompression. Electrophysiological analysis (latency and amplitude of the N1-P1-N2 wave in somatosensory evoked potentials, SEP), behavioral changes (Tarlov score), imaging test (encroachment ratio (ER) of intraspinal invasion determined by X-ray and CT scan), and histological examinations (hematoxylin and eosin, Nissl, and TUNEL staining) were performed to assess the efficacy of our model. Results: Tarlov scores gradually decreased as compression increased with time and partially recovered after decompression. The Pearson correlation coefficient between ER and time was r = 0.993 (p &lt; 0.001) in Group B at 10 weeks and Groups C and D at 20 weeks. And ER was negatively correlated with the Tarlov score (r = -0.878, p &lt; 0.001). As compression progressed, the SEP latency was significantly extended (p &lt; 0.001), and the amplitude significantly decreased (p &lt; 0.001), while they were both partially restored after decompression. The number of abnormal motor neurons and TUNEL-positive cells increased significantly (p &lt; 0.001) with compression. Conclusion: Our implantable and wireless intervertebral compression model demonstrated outstanding controllability and reproducibility in simulating chronic cervical spinal cord compression in animals.","author":[{"dropping-particle":"","family":"Li","given":"Zihe","non-dropping-particle":"","parse-names":false,"suffix":""},{"dropping-particle":"","family":"Zhai","given":"Shuheng","non-dropping-particle":"","parse-names":false,"suffix":""},{"dropping-particle":"","family":"Liu","given":"Shanshan","non-dropping-particle":"","parse-names":false,"suffix":""},{"dropping-particle":"","family":"Chen","given":"Chunhua","non-dropping-particle":"","parse-names":false,"suffix":""},{"dropping-particle":"","family":"Guo","given":"Xinhu","non-dropping-particle":"","parse-names":false,"suffix":""},{"dropping-particle":"","family":"Hu","given":"Panpan","non-dropping-particle":"","parse-names":false,"suffix":""},{"dropping-particle":"","family":"Wang","given":"Ben","non-dropping-particle":"","parse-names":false,"suffix":""},{"dropping-particle":"","family":"Zhang","given":"Youyu","non-dropping-particle":"","parse-names":false,"suffix":""},{"dropping-particle":"","family":"Wei","given":"Feng","non-dropping-particle":"","parse-names":false,"suffix":""},{"dropping-particle":"","family":"Liu","given":"Zhongjun","non-dropping-particle":"","parse-names":false,"suffix":""}],"container-title":"European Spine Journal","id":"ITEM-1","issued":{"date-parts":[["2022"]]},"publisher":"Springer Berlin Heidelberg","title":"A sheep model of chronic cervical compressive myelopathy via an implantable wireless compression device","type":"article-journal"},"uris":["http://www.mendeley.com/documents/?uuid=9891961b-7664-4886-b046-b52dd67ae83c"]}],"mendeley":{"formattedCitation":"[71]","plainTextFormattedCitation":"[71]","previouslyFormattedCitation":"[71]"},"properties":{"noteIndex":0},"schema":"https://github.com/citation-style-language/schema/raw/master/csl-citation.json"}</w:instrText>
      </w:r>
      <w:r w:rsidRPr="000E39AA">
        <w:rPr>
          <w:rFonts w:ascii="Arial" w:hAnsi="Arial" w:cs="Arial"/>
        </w:rPr>
        <w:fldChar w:fldCharType="separate"/>
      </w:r>
      <w:r w:rsidR="0062132B" w:rsidRPr="0062132B">
        <w:rPr>
          <w:rFonts w:ascii="Arial" w:hAnsi="Arial" w:cs="Arial"/>
          <w:noProof/>
        </w:rPr>
        <w:t>[71]</w:t>
      </w:r>
      <w:r w:rsidRPr="000E39AA">
        <w:rPr>
          <w:rFonts w:ascii="Arial" w:hAnsi="Arial" w:cs="Arial"/>
        </w:rPr>
        <w:fldChar w:fldCharType="end"/>
      </w:r>
      <w:r w:rsidRPr="000E39AA">
        <w:rPr>
          <w:rFonts w:ascii="Arial" w:hAnsi="Arial" w:cs="Arial"/>
        </w:rPr>
        <w:t xml:space="preserve">, dogs </w:t>
      </w:r>
      <w:r w:rsidRPr="000E39AA">
        <w:rPr>
          <w:rFonts w:ascii="Arial" w:hAnsi="Arial" w:cs="Arial"/>
        </w:rPr>
        <w:fldChar w:fldCharType="begin" w:fldLock="1"/>
      </w:r>
      <w:r w:rsidR="00A445D5">
        <w:rPr>
          <w:rFonts w:ascii="Arial" w:hAnsi="Arial" w:cs="Arial"/>
        </w:rPr>
        <w:instrText>ADDIN CSL_CITATION {"citationItems":[{"id":"ITEM-1","itemData":{"DOI":"10.1186/s40729-022-00403-9","ISSN":"2198-4034","author":[{"dropping-particle":"","family":"Sato","given":"Ryo","non-dropping-particle":"","parse-names":false,"suffix":""},{"dropping-particle":"","family":"Matsuura","given":"Takanori","non-dropping-particle":"","parse-names":false,"suffix":""},{"dropping-particle":"","family":"Akizuki","given":"Tatsuya","non-dropping-particle":"","parse-names":false,"suffix":""},{"dropping-particle":"","family":"Fukuba","given":"Shunsuke","non-dropping-particle":"","parse-names":false,"suffix":""},{"dropping-particle":"","family":"Okada","given":"Munehiro","non-dropping-particle":"","parse-names":false,"suffix":""},{"dropping-particle":"","family":"Nohara","given":"Kohei","non-dropping-particle":"","parse-names":false,"suffix":""},{"dropping-particle":"","family":"Takeuchi","given":"Shunsuke","non-dropping-particle":"","parse-names":false,"suffix":""},{"dropping-particle":"","family":"Hoshi","given":"Shu","non-dropping-particle":"","parse-names":false,"suffix":""},{"dropping-particle":"","family":"Ono","given":"Wataru","non-dropping-particle":"","parse-names":false,"suffix":""},{"dropping-particle":"","family":"Maruyama","given":"Kiichi","non-dropping-particle":"","parse-names":false,"suffix":""},{"dropping-particle":"","family":"Izumi","given":"Yuichi","non-dropping-particle":"","parse-names":false,"suffix":""},{"dropping-particle":"","family":"Iwata","given":"Takanori","non-dropping-particle":"","parse-names":false,"suffix":""}],"container-title":"International Journal of Implant Dentistry","id":"ITEM-1","issue":"1","issued":{"date-parts":[["2022"]]},"publisher":"Springer Berlin Heidelberg","title":"Influence of the bone graft materials used for guided bone regeneration on subsequent peri-implant inflammation: an experimental ligature-induced peri-implantitis model in Beagle dogs","type":"article-journal","volume":"8"},"uris":["http://www.mendeley.com/documents/?uuid=fdac03c8-2ed5-4ff3-b967-c9cf0f09f942"]}],"mendeley":{"formattedCitation":"[81]","plainTextFormattedCitation":"[81]","previouslyFormattedCitation":"[81]"},"properties":{"noteIndex":0},"schema":"https://github.com/citation-style-language/schema/raw/master/csl-citation.json"}</w:instrText>
      </w:r>
      <w:r w:rsidRPr="000E39AA">
        <w:rPr>
          <w:rFonts w:ascii="Arial" w:hAnsi="Arial" w:cs="Arial"/>
        </w:rPr>
        <w:fldChar w:fldCharType="separate"/>
      </w:r>
      <w:r w:rsidR="0062132B" w:rsidRPr="0062132B">
        <w:rPr>
          <w:rFonts w:ascii="Arial" w:hAnsi="Arial" w:cs="Arial"/>
          <w:noProof/>
        </w:rPr>
        <w:t>[81]</w:t>
      </w:r>
      <w:r w:rsidRPr="000E39AA">
        <w:rPr>
          <w:rFonts w:ascii="Arial" w:hAnsi="Arial" w:cs="Arial"/>
        </w:rPr>
        <w:fldChar w:fldCharType="end"/>
      </w:r>
      <w:r w:rsidRPr="000E39AA">
        <w:rPr>
          <w:rFonts w:ascii="Arial" w:hAnsi="Arial" w:cs="Arial"/>
        </w:rPr>
        <w:t xml:space="preserve"> and pigs </w:t>
      </w:r>
      <w:r w:rsidRPr="000E39AA">
        <w:rPr>
          <w:rFonts w:ascii="Arial" w:hAnsi="Arial" w:cs="Arial"/>
        </w:rPr>
        <w:fldChar w:fldCharType="begin" w:fldLock="1"/>
      </w:r>
      <w:r w:rsidR="00A445D5">
        <w:rPr>
          <w:rFonts w:ascii="Arial" w:hAnsi="Arial" w:cs="Arial"/>
        </w:rPr>
        <w:instrText>ADDIN CSL_CITATION {"citationItems":[{"id":"ITEM-1","itemData":{"DOI":"10.1002/mabi.202100398","ISSN":"16165195","PMID":"35023297","abstract":"A major challenge with extensive craniomaxillofacial bone reconstruction is the limited donor-site availability to reconstruct defects predictably and accurately according to the anatomical shape of the patient. Here, patient-specific composite bioimplants, consisting of cross-linked poly(trimethylene carbonate) (PTMC) networks and β-tricalcium phosphate (β-TCP), are tested in vivo in twelve Göttingen minipigs in a large mandibular continuity defect model. The 25 mm defects are supported by patient-specific titanium reconstruction plates and receive either osteoconductive composite bioimplants (PTMC+TCP), neat polymer network bioimplants (PTMC), autologous bone segments (positive control), or are left empty (negative control). Postoperatively, defects treated with bioimplants show evident ossification at 24 weeks. Histopathologic evaluation reveals that neat PTMC bioimplant surfaces are largely covered with fibrous tissue, while in the PTMC+TCP bioimplants, bone attached directly to the implant surface shows good osteoconduction and histological signs of osteoinductivity. However, PTMC+TCP bioimplants are associated with high incidence of necrosis and infection, possibly due to rapid resorption and/or particle size of the used β-TCP. The study highlights the importance of testing bone regeneration implants in a clinically relevant large animal model and at the in situ reconstruction site, since results on small animal models and studies in nonloadbearing areas do not translate directly.","author":[{"dropping-particle":"","family":"Dienel","given":"Kasper","non-dropping-particle":"","parse-names":false,"suffix":""},{"dropping-particle":"","family":"Abu-Shahba","given":"Ahmed","non-dropping-particle":"","parse-names":false,"suffix":""},{"dropping-particle":"","family":"Kornilov","given":"Roman","non-dropping-particle":"","parse-names":false,"suffix":""},{"dropping-particle":"","family":"Björkstrand","given":"Roy","non-dropping-particle":"","parse-names":false,"suffix":""},{"dropping-particle":"","family":"Bochove","given":"Bas","non-dropping-particle":"van","parse-names":false,"suffix":""},{"dropping-particle":"","family":"Snäll","given":"Johanna","non-dropping-particle":"","parse-names":false,"suffix":""},{"dropping-particle":"","family":"Wilkman","given":"Tommy","non-dropping-particle":"","parse-names":false,"suffix":""},{"dropping-particle":"","family":"Mesimäki","given":"Karri","non-dropping-particle":"","parse-names":false,"suffix":""},{"dropping-particle":"","family":"Meller","given":"Anna","non-dropping-particle":"","parse-names":false,"suffix":""},{"dropping-particle":"","family":"Lindén","given":"Jere","non-dropping-particle":"","parse-names":false,"suffix":""},{"dropping-particle":"","family":"Lappalainen","given":"Anu","non-dropping-particle":"","parse-names":false,"suffix":""},{"dropping-particle":"","family":"Partanen","given":"Jouni","non-dropping-particle":"","parse-names":false,"suffix":""},{"dropping-particle":"","family":"Seppänen-Kaijansinkko","given":"Riitta","non-dropping-particle":"","parse-names":false,"suffix":""},{"dropping-particle":"","family":"Seppälä","given":"Jukka","non-dropping-particle":"","parse-names":false,"suffix":""},{"dropping-particle":"","family":"Mannerström","given":"Bettina","non-dropping-particle":"","parse-names":false,"suffix":""}],"container-title":"Macromolecular Bioscience","id":"ITEM-1","issued":{"date-parts":[["2022"]]},"page":"1-15","title":"Patient-Specific Bioimplants and Reconstruction Plates for Mandibular Defects: Production Workflow and In Vivo Large Animal Model Study","type":"article-journal","volume":"2100398"},"uris":["http://www.mendeley.com/documents/?uuid=cc6fe91c-c036-4ef3-8c65-cdf687bb9237"]}],"mendeley":{"formattedCitation":"[82]","plainTextFormattedCitation":"[82]","previouslyFormattedCitation":"[82]"},"properties":{"noteIndex":0},"schema":"https://github.com/citation-style-language/schema/raw/master/csl-citation.json"}</w:instrText>
      </w:r>
      <w:r w:rsidRPr="000E39AA">
        <w:rPr>
          <w:rFonts w:ascii="Arial" w:hAnsi="Arial" w:cs="Arial"/>
        </w:rPr>
        <w:fldChar w:fldCharType="separate"/>
      </w:r>
      <w:r w:rsidR="0062132B" w:rsidRPr="0062132B">
        <w:rPr>
          <w:rFonts w:ascii="Arial" w:hAnsi="Arial" w:cs="Arial"/>
          <w:noProof/>
        </w:rPr>
        <w:t>[82]</w:t>
      </w:r>
      <w:r w:rsidRPr="000E39AA">
        <w:rPr>
          <w:rFonts w:ascii="Arial" w:hAnsi="Arial" w:cs="Arial"/>
        </w:rPr>
        <w:fldChar w:fldCharType="end"/>
      </w:r>
      <w:r w:rsidRPr="000E39AA">
        <w:rPr>
          <w:rFonts w:ascii="Arial" w:hAnsi="Arial" w:cs="Arial"/>
        </w:rPr>
        <w:t xml:space="preserve">, are </w:t>
      </w:r>
      <w:r w:rsidR="00BC47E9">
        <w:rPr>
          <w:rFonts w:ascii="Arial" w:hAnsi="Arial" w:cs="Arial"/>
        </w:rPr>
        <w:t>typically</w:t>
      </w:r>
      <w:r w:rsidR="00BC47E9" w:rsidRPr="000E39AA">
        <w:rPr>
          <w:rFonts w:ascii="Arial" w:hAnsi="Arial" w:cs="Arial"/>
        </w:rPr>
        <w:t xml:space="preserve"> </w:t>
      </w:r>
      <w:r w:rsidRPr="000E39AA">
        <w:rPr>
          <w:rFonts w:ascii="Arial" w:hAnsi="Arial" w:cs="Arial"/>
        </w:rPr>
        <w:t xml:space="preserve">used to study size-related processes or metabolic characteristics, which can be comparable to the human </w:t>
      </w:r>
      <w:r w:rsidR="007D53B0">
        <w:rPr>
          <w:rFonts w:ascii="Arial" w:hAnsi="Arial" w:cs="Arial"/>
        </w:rPr>
        <w:t>pathophysiology</w:t>
      </w:r>
      <w:r w:rsidRPr="000E39AA">
        <w:rPr>
          <w:rFonts w:ascii="Arial" w:hAnsi="Arial" w:cs="Arial"/>
        </w:rPr>
        <w:t xml:space="preserve">, as in the case of long-term diseases, biomechanics or bone healing efficiency. The domestic sheep has found application as a model for orthopaedics and traumatology research given their similar weight to the human body </w:t>
      </w:r>
      <w:r w:rsidRPr="000E39AA">
        <w:rPr>
          <w:rFonts w:ascii="Arial" w:hAnsi="Arial" w:cs="Arial"/>
        </w:rPr>
        <w:fldChar w:fldCharType="begin" w:fldLock="1"/>
      </w:r>
      <w:r w:rsidR="00A445D5">
        <w:rPr>
          <w:rFonts w:ascii="Arial" w:hAnsi="Arial" w:cs="Arial"/>
        </w:rPr>
        <w:instrText>ADDIN CSL_CITATION {"citationItems":[{"id":"ITEM-1","itemData":{"DOI":"10.3389/fbioe.2020.00972","ISSN":"22964185","abstract":"Rapid developments in Regenerative Medicine and Tissue Engineering has witnessed an increasing drive toward clinical translation of breakthrough technologies. However, the progression of promising preclinical data to achieve successful clinical market authorisation remains a bottleneck. One hurdle for progress to the clinic is the transition from small animal research to advanced preclinical studies in large animals to test safety and efficacy of products. Notwithstanding this, to draw meaningful and reliable conclusions from animal experiments it is critical that the species and disease model of choice is relevant to answer the research question as well as the clinical problem. Selecting the most appropriate animal model requires in-depth knowledge of specific species and breeds to ascertain the adequacy of the model and outcome measures that closely mirror the clinical situation. Traditional reductionist approaches in animal experiments, which often do not sufficiently reflect the studied disease, are still the norm and can result in a disconnect in outcomes observed between animal studies and clinical trials. To address these concerns a reconsideration in approach will be required. This should include a stepwise approach using in vitro and ex vivo experiments as well as in silico modeling to minimize the need for in vivo studies for screening and early development studies, followed by large animal models which more closely resemble human disease. Naturally occurring, or spontaneous diseases in large animals remain a largely untapped resource, and given the similarities in pathophysiology to humans they not only allow for studying new treatment strategies but also disease etiology and prevention. Naturally occurring disease models, particularly for longer lived large animal species, allow for studying disorders at an age when the disease is most prevalent. As these diseases are usually also a concern in the chosen veterinary species they would be beneficiaries of newly developed therapies. Improved awareness of the progress in animal models is mutually beneficial for animals, researchers, human and veterinary patients. In this overview we describe advantages and disadvantages of various animal models including domesticated and companion animals used in regenerative medicine and tissue engineering to provide an informed choice of disease-relevant animal models.","author":[{"dropping-particle":"","family":"Ribitsch","given":"Iris","non-dropping-particle":"","parse-names":false,"suffix":""},{"dropping-particle":"","family":"Baptista","given":"Pedro M.","non-dropping-particle":"","parse-names":false,"suffix":""},{"dropping-particle":"","family":"Lange-Consiglio","given":"Anna","non-dropping-particle":"","parse-names":false,"suffix":""},{"dropping-particle":"","family":"Melotti","given":"Luca","non-dropping-particle":"","parse-names":false,"suffix":""},{"dropping-particle":"","family":"Patruno","given":"Marco","non-dropping-particle":"","parse-names":false,"suffix":""},{"dropping-particle":"","family":"Jenner","given":"Florien","non-dropping-particle":"","parse-names":false,"suffix":""},{"dropping-particle":"","family":"Schnabl-Feichter","given":"Eva","non-dropping-particle":"","parse-names":false,"suffix":""},{"dropping-particle":"","family":"Dutton","given":"Luke C.","non-dropping-particle":"","parse-names":false,"suffix":""},{"dropping-particle":"","family":"Connolly","given":"David J.","non-dropping-particle":"","parse-names":false,"suffix":""},{"dropping-particle":"","family":"Steenbeek","given":"Frank G.","non-dropping-particle":"van","parse-names":false,"suffix":""},{"dropping-particle":"","family":"Dudhia","given":"Jayesh","non-dropping-particle":"","parse-names":false,"suffix":""},{"dropping-particle":"","family":"Penning","given":"Louis C.","non-dropping-particle":"","parse-names":false,"suffix":""}],"container-title":"Frontiers in Bioengineering and Biotechnology","id":"ITEM-1","issue":"August","issued":{"date-parts":[["2020"]]},"page":"1-28","title":"Large Animal Models in Regenerative Medicine and Tissue Engineering: To Do or Not to Do","type":"article-journal","volume":"8"},"uris":["http://www.mendeley.com/documents/?uuid=f0fc7f3f-8c75-4399-bdd7-75e091bcf415"]}],"mendeley":{"formattedCitation":"[75]","plainTextFormattedCitation":"[75]","previouslyFormattedCitation":"[75]"},"properties":{"noteIndex":0},"schema":"https://github.com/citation-style-language/schema/raw/master/csl-citation.json"}</w:instrText>
      </w:r>
      <w:r w:rsidRPr="000E39AA">
        <w:rPr>
          <w:rFonts w:ascii="Arial" w:hAnsi="Arial" w:cs="Arial"/>
        </w:rPr>
        <w:fldChar w:fldCharType="separate"/>
      </w:r>
      <w:r w:rsidR="0062132B" w:rsidRPr="0062132B">
        <w:rPr>
          <w:rFonts w:ascii="Arial" w:hAnsi="Arial" w:cs="Arial"/>
          <w:noProof/>
        </w:rPr>
        <w:t>[75]</w:t>
      </w:r>
      <w:r w:rsidRPr="000E39AA">
        <w:rPr>
          <w:rFonts w:ascii="Arial" w:hAnsi="Arial" w:cs="Arial"/>
        </w:rPr>
        <w:fldChar w:fldCharType="end"/>
      </w:r>
      <w:r w:rsidRPr="000E39AA">
        <w:rPr>
          <w:rFonts w:ascii="Arial" w:hAnsi="Arial" w:cs="Arial"/>
        </w:rPr>
        <w:t xml:space="preserve">. In terms of organic, inorganic volatile fraction, water and ash content, studies indicate canine models are able to recapitulate the human physiological state </w:t>
      </w:r>
      <w:r w:rsidRPr="000E39AA">
        <w:rPr>
          <w:rFonts w:ascii="Arial" w:hAnsi="Arial" w:cs="Arial"/>
        </w:rPr>
        <w:fldChar w:fldCharType="begin" w:fldLock="1"/>
      </w:r>
      <w:r w:rsidR="00A445D5">
        <w:rPr>
          <w:rFonts w:ascii="Arial" w:hAnsi="Arial" w:cs="Arial"/>
        </w:rPr>
        <w:instrText>ADDIN CSL_CITATION {"citationItems":[{"id":"ITEM-1","itemData":{"DOI":"10.3390/biomedicines9111538","ISSN":"22279059","abstract":"Biomedical research seeks to generate experimental results for translation to clinical settings. In order to improve the transition from bench to bedside, researchers must draw justifiable conclusions based on data from an appropriate model. Animal testing, as a prerequisite to human clinical exposure, is performed in a range of species, from laboratory mice to larger animals (such as dogs or non-human primates). Minipigs appear to be the animal of choice for studying bone surgery around intraoral dental implants. Dog models, well-known in the field of dental implant research, tend now to be used for studies conducted under compromised oral conditions (biofilm). Regarding small animal models, research studies mostly use rodents, with interest in rabbit models declining. Mouse models remain a reference for genetic studies. On the other hand, over the last decade, scientific advances and government guidelines have led to the replacement, reduction, and refinement of the use of all animal models in dental implant research. In new development strategies, some in vivo experiments are being progressively replaced by in vitro or biomaterial approaches. In this review, we summarize the key information on the animal models currently available for dental implant research and highlight (i) the pros and cons of each type, (ii) new levels of decisional procedures regarding study objectives, and (iii) the outlook for animal research, discussing possible non-animal options.","author":[{"dropping-particle":"","family":"Blanc-Sylvestre","given":"Nicolas","non-dropping-particle":"","parse-names":false,"suffix":""},{"dropping-particle":"","family":"Bouchard","given":"Philippe","non-dropping-particle":"","parse-names":false,"suffix":""},{"dropping-particle":"","family":"Chaussain","given":"Catherine","non-dropping-particle":"","parse-names":false,"suffix":""},{"dropping-particle":"","family":"Bardet","given":"Claire","non-dropping-particle":"","parse-names":false,"suffix":""}],"container-title":"Biomedicines","id":"ITEM-1","issue":"11","issued":{"date-parts":[["2021"]]},"title":"Pre-clinical models in implant dentistry: Past, present, future","type":"article-journal","volume":"9"},"uris":["http://www.mendeley.com/documents/?uuid=9a01bc01-8f92-4dc8-b429-98bd3ef35531"]},{"id":"ITEM-2","itemData":{"author":[{"dropping-particle":"","family":"Nicole Gabriele Sommer, David Hahn, Begüm Okutan","given":"Romy Marek and Annelie-Martina Weinberg","non-dropping-particle":"","parse-names":false,"suffix":""}],"id":"ITEM-2","issued":{"date-parts":[["2019"]]},"page":"0-19","title":"We are IntechOpen , the world ’ s leading publisher of Open Access books Built by scientists , for scientists TOP 1 % Animal Models in Orthopedic Research : The Proper Animal Model to Answer Fundamental Questions on Bone Healing Depending on Pathology and","type":"article-journal"},"uris":["http://www.mendeley.com/documents/?uuid=4d4932a8-7dd4-4696-9b6e-10d97cf0c294"]}],"mendeley":{"formattedCitation":"[76, 83]","plainTextFormattedCitation":"[76, 83]","previouslyFormattedCitation":"[76, 83]"},"properties":{"noteIndex":0},"schema":"https://github.com/citation-style-language/schema/raw/master/csl-citation.json"}</w:instrText>
      </w:r>
      <w:r w:rsidRPr="000E39AA">
        <w:rPr>
          <w:rFonts w:ascii="Arial" w:hAnsi="Arial" w:cs="Arial"/>
        </w:rPr>
        <w:fldChar w:fldCharType="separate"/>
      </w:r>
      <w:r w:rsidR="0062132B" w:rsidRPr="0062132B">
        <w:rPr>
          <w:rFonts w:ascii="Arial" w:hAnsi="Arial" w:cs="Arial"/>
          <w:noProof/>
        </w:rPr>
        <w:t>[76, 83]</w:t>
      </w:r>
      <w:r w:rsidRPr="000E39AA">
        <w:rPr>
          <w:rFonts w:ascii="Arial" w:hAnsi="Arial" w:cs="Arial"/>
        </w:rPr>
        <w:fldChar w:fldCharType="end"/>
      </w:r>
      <w:r w:rsidRPr="000E39AA">
        <w:rPr>
          <w:rFonts w:ascii="Arial" w:hAnsi="Arial" w:cs="Arial"/>
        </w:rPr>
        <w:t xml:space="preserve">, and thus have found application  in examination of joint disorders, especially osteoarthritis </w:t>
      </w:r>
      <w:r w:rsidRPr="000E39AA">
        <w:rPr>
          <w:rFonts w:ascii="Arial" w:hAnsi="Arial" w:cs="Arial"/>
        </w:rPr>
        <w:fldChar w:fldCharType="begin" w:fldLock="1"/>
      </w:r>
      <w:r w:rsidR="00A445D5">
        <w:rPr>
          <w:rFonts w:ascii="Arial" w:hAnsi="Arial" w:cs="Arial"/>
        </w:rPr>
        <w:instrText>ADDIN CSL_CITATION {"citationItems":[{"id":"ITEM-1","itemData":{"DOI":"10.3389/fbioe.2020.00972","ISSN":"22964185","abstract":"Rapid developments in Regenerative Medicine and Tissue Engineering has witnessed an increasing drive toward clinical translation of breakthrough technologies. However, the progression of promising preclinical data to achieve successful clinical market authorisation remains a bottleneck. One hurdle for progress to the clinic is the transition from small animal research to advanced preclinical studies in large animals to test safety and efficacy of products. Notwithstanding this, to draw meaningful and reliable conclusions from animal experiments it is critical that the species and disease model of choice is relevant to answer the research question as well as the clinical problem. Selecting the most appropriate animal model requires in-depth knowledge of specific species and breeds to ascertain the adequacy of the model and outcome measures that closely mirror the clinical situation. Traditional reductionist approaches in animal experiments, which often do not sufficiently reflect the studied disease, are still the norm and can result in a disconnect in outcomes observed between animal studies and clinical trials. To address these concerns a reconsideration in approach will be required. This should include a stepwise approach using in vitro and ex vivo experiments as well as in silico modeling to minimize the need for in vivo studies for screening and early development studies, followed by large animal models which more closely resemble human disease. Naturally occurring, or spontaneous diseases in large animals remain a largely untapped resource, and given the similarities in pathophysiology to humans they not only allow for studying new treatment strategies but also disease etiology and prevention. Naturally occurring disease models, particularly for longer lived large animal species, allow for studying disorders at an age when the disease is most prevalent. As these diseases are usually also a concern in the chosen veterinary species they would be beneficiaries of newly developed therapies. Improved awareness of the progress in animal models is mutually beneficial for animals, researchers, human and veterinary patients. In this overview we describe advantages and disadvantages of various animal models including domesticated and companion animals used in regenerative medicine and tissue engineering to provide an informed choice of disease-relevant animal models.","author":[{"dropping-particle":"","family":"Ribitsch","given":"Iris","non-dropping-particle":"","parse-names":false,"suffix":""},{"dropping-particle":"","family":"Baptista","given":"Pedro M.","non-dropping-particle":"","parse-names":false,"suffix":""},{"dropping-particle":"","family":"Lange-Consiglio","given":"Anna","non-dropping-particle":"","parse-names":false,"suffix":""},{"dropping-particle":"","family":"Melotti","given":"Luca","non-dropping-particle":"","parse-names":false,"suffix":""},{"dropping-particle":"","family":"Patruno","given":"Marco","non-dropping-particle":"","parse-names":false,"suffix":""},{"dropping-particle":"","family":"Jenner","given":"Florien","non-dropping-particle":"","parse-names":false,"suffix":""},{"dropping-particle":"","family":"Schnabl-Feichter","given":"Eva","non-dropping-particle":"","parse-names":false,"suffix":""},{"dropping-particle":"","family":"Dutton","given":"Luke C.","non-dropping-particle":"","parse-names":false,"suffix":""},{"dropping-particle":"","family":"Connolly","given":"David J.","non-dropping-particle":"","parse-names":false,"suffix":""},{"dropping-particle":"","family":"Steenbeek","given":"Frank G.","non-dropping-particle":"van","parse-names":false,"suffix":""},{"dropping-particle":"","family":"Dudhia","given":"Jayesh","non-dropping-particle":"","parse-names":false,"suffix":""},{"dropping-particle":"","family":"Penning","given":"Louis C.","non-dropping-particle":"","parse-names":false,"suffix":""}],"container-title":"Frontiers in Bioengineering and Biotechnology","id":"ITEM-1","issue":"August","issued":{"date-parts":[["2020"]]},"page":"1-28","title":"Large Animal Models in Regenerative Medicine and Tissue Engineering: To Do or Not to Do","type":"article-journal","volume":"8"},"uris":["http://www.mendeley.com/documents/?uuid=f0fc7f3f-8c75-4399-bdd7-75e091bcf415"]}],"mendeley":{"formattedCitation":"[75]","plainTextFormattedCitation":"[75]","previouslyFormattedCitation":"[75]"},"properties":{"noteIndex":0},"schema":"https://github.com/citation-style-language/schema/raw/master/csl-citation.json"}</w:instrText>
      </w:r>
      <w:r w:rsidRPr="000E39AA">
        <w:rPr>
          <w:rFonts w:ascii="Arial" w:hAnsi="Arial" w:cs="Arial"/>
        </w:rPr>
        <w:fldChar w:fldCharType="separate"/>
      </w:r>
      <w:r w:rsidR="0062132B" w:rsidRPr="0062132B">
        <w:rPr>
          <w:rFonts w:ascii="Arial" w:hAnsi="Arial" w:cs="Arial"/>
          <w:noProof/>
        </w:rPr>
        <w:t>[75]</w:t>
      </w:r>
      <w:r w:rsidRPr="000E39AA">
        <w:rPr>
          <w:rFonts w:ascii="Arial" w:hAnsi="Arial" w:cs="Arial"/>
        </w:rPr>
        <w:fldChar w:fldCharType="end"/>
      </w:r>
      <w:r w:rsidRPr="000E39AA">
        <w:rPr>
          <w:rFonts w:ascii="Arial" w:hAnsi="Arial" w:cs="Arial"/>
        </w:rPr>
        <w:t xml:space="preserve">. Nevertheless, the use of preclinical animal models is currently widely accepted as replaceable, with extensive effort in providing new alternatives to reduce and ultimately, replace animal models. </w:t>
      </w:r>
    </w:p>
    <w:p w14:paraId="34B5E5C8" w14:textId="77777777" w:rsidR="00CC5B90" w:rsidRPr="003B434C" w:rsidRDefault="00CC5B90" w:rsidP="00F03759">
      <w:pPr>
        <w:spacing w:after="0" w:line="276" w:lineRule="auto"/>
        <w:jc w:val="both"/>
        <w:rPr>
          <w:rFonts w:ascii="Arial" w:hAnsi="Arial" w:cs="Arial"/>
        </w:rPr>
      </w:pPr>
    </w:p>
    <w:p w14:paraId="23B97E87" w14:textId="77777777" w:rsidR="00F03759" w:rsidRPr="000E39AA" w:rsidRDefault="00F03759" w:rsidP="003B434C">
      <w:pPr>
        <w:pStyle w:val="Heading4"/>
      </w:pPr>
      <w:bookmarkStart w:id="52" w:name="_Toc98937878"/>
      <w:r w:rsidRPr="000E39AA">
        <w:t>4.1.2 In vitro</w:t>
      </w:r>
      <w:bookmarkEnd w:id="52"/>
      <w:r w:rsidRPr="000E39AA">
        <w:t xml:space="preserve"> </w:t>
      </w:r>
    </w:p>
    <w:p w14:paraId="1E37BF9C" w14:textId="7676C16F" w:rsidR="00F03759" w:rsidRPr="000E39AA" w:rsidRDefault="00F03759" w:rsidP="00CC5B90">
      <w:pPr>
        <w:pStyle w:val="NormalWeb"/>
        <w:spacing w:before="0" w:beforeAutospacing="0" w:line="276" w:lineRule="auto"/>
        <w:jc w:val="both"/>
        <w:rPr>
          <w:rFonts w:ascii="Arial" w:hAnsi="Arial" w:cs="Arial"/>
          <w:sz w:val="22"/>
          <w:szCs w:val="22"/>
        </w:rPr>
      </w:pPr>
      <w:r w:rsidRPr="000E39AA">
        <w:rPr>
          <w:rFonts w:ascii="Arial" w:hAnsi="Arial" w:cs="Arial"/>
          <w:i/>
          <w:iCs/>
          <w:sz w:val="22"/>
          <w:szCs w:val="22"/>
        </w:rPr>
        <w:t>In vitro</w:t>
      </w:r>
      <w:r w:rsidRPr="000E39AA">
        <w:rPr>
          <w:rFonts w:ascii="Arial" w:hAnsi="Arial" w:cs="Arial"/>
          <w:sz w:val="22"/>
          <w:szCs w:val="22"/>
        </w:rPr>
        <w:t xml:space="preserve"> models using stem cells can generate specific tissue platforms with the appropriate conditioning and </w:t>
      </w:r>
      <w:r w:rsidRPr="000E39AA">
        <w:rPr>
          <w:rFonts w:ascii="Arial" w:hAnsi="Arial" w:cs="Arial"/>
          <w:i/>
          <w:iCs/>
          <w:sz w:val="22"/>
          <w:szCs w:val="22"/>
        </w:rPr>
        <w:t xml:space="preserve">in vitro </w:t>
      </w:r>
      <w:r w:rsidRPr="000E39AA">
        <w:rPr>
          <w:rFonts w:ascii="Arial" w:hAnsi="Arial" w:cs="Arial"/>
          <w:sz w:val="22"/>
          <w:szCs w:val="22"/>
        </w:rPr>
        <w:t xml:space="preserve">stimulation with HBMSCs </w:t>
      </w:r>
      <w:r w:rsidR="00B57C2A">
        <w:rPr>
          <w:rFonts w:ascii="Arial" w:hAnsi="Arial" w:cs="Arial"/>
          <w:sz w:val="22"/>
          <w:szCs w:val="22"/>
        </w:rPr>
        <w:t xml:space="preserve">has been </w:t>
      </w:r>
      <w:r w:rsidRPr="000E39AA">
        <w:rPr>
          <w:rFonts w:ascii="Arial" w:hAnsi="Arial" w:cs="Arial"/>
          <w:sz w:val="22"/>
          <w:szCs w:val="22"/>
        </w:rPr>
        <w:t>widely used as</w:t>
      </w:r>
      <w:r w:rsidR="00B57C2A">
        <w:rPr>
          <w:rFonts w:ascii="Arial" w:hAnsi="Arial" w:cs="Arial"/>
          <w:sz w:val="22"/>
          <w:szCs w:val="22"/>
        </w:rPr>
        <w:t xml:space="preserve"> a</w:t>
      </w:r>
      <w:r w:rsidRPr="000E39AA">
        <w:rPr>
          <w:rFonts w:ascii="Arial" w:hAnsi="Arial" w:cs="Arial"/>
          <w:sz w:val="22"/>
          <w:szCs w:val="22"/>
        </w:rPr>
        <w:t xml:space="preserve"> building block for 3D complex constructs that aim to explore bone repair and regeneration. </w:t>
      </w:r>
    </w:p>
    <w:p w14:paraId="5BBE90D9" w14:textId="77777777" w:rsidR="00F03759" w:rsidRPr="000E39AA" w:rsidRDefault="00F03759" w:rsidP="00F03759">
      <w:pPr>
        <w:pStyle w:val="Heading5"/>
        <w:rPr>
          <w:lang w:val="en-GB"/>
        </w:rPr>
      </w:pPr>
      <w:bookmarkStart w:id="53" w:name="_Toc98937879"/>
      <w:r w:rsidRPr="000E39AA">
        <w:rPr>
          <w:lang w:val="en-GB"/>
        </w:rPr>
        <w:t>4.1.3.1 3D Bioprinting</w:t>
      </w:r>
      <w:bookmarkEnd w:id="53"/>
    </w:p>
    <w:p w14:paraId="38C7B21E" w14:textId="15D70C53" w:rsidR="00F03759" w:rsidRPr="000E39AA" w:rsidRDefault="00F03759" w:rsidP="00F03759">
      <w:pPr>
        <w:spacing w:after="0" w:line="276" w:lineRule="auto"/>
        <w:jc w:val="both"/>
        <w:rPr>
          <w:rFonts w:ascii="Arial" w:hAnsi="Arial" w:cs="Arial"/>
          <w:shd w:val="clear" w:color="auto" w:fill="FFFFFF"/>
        </w:rPr>
      </w:pPr>
      <w:r w:rsidRPr="000E39AA">
        <w:rPr>
          <w:rFonts w:ascii="Arial" w:hAnsi="Arial" w:cs="Arial"/>
          <w:color w:val="000000"/>
        </w:rPr>
        <w:t>The use 3D bioprinting of</w:t>
      </w:r>
      <w:r w:rsidRPr="000E39AA">
        <w:rPr>
          <w:rFonts w:ascii="Arial" w:hAnsi="Arial"/>
          <w:color w:val="000000"/>
        </w:rPr>
        <w:t xml:space="preserve"> b</w:t>
      </w:r>
      <w:r w:rsidRPr="000E39AA">
        <w:rPr>
          <w:rFonts w:ascii="Arial" w:hAnsi="Arial" w:cs="Arial"/>
        </w:rPr>
        <w:t>ioactive and biodegradable materials in combination with stem cells has garnered significant interest for the fabrication of functional skeletal models. Natural and synthetic biomaterials have been extensively explored for the printing and modelling of diseased bone tissue. However, as detailed above</w:t>
      </w:r>
      <w:r w:rsidRPr="000E39AA">
        <w:rPr>
          <w:rFonts w:ascii="Arial" w:hAnsi="Arial"/>
        </w:rPr>
        <w:t xml:space="preserve">, these </w:t>
      </w:r>
      <w:r w:rsidRPr="000E39AA">
        <w:rPr>
          <w:rFonts w:ascii="Arial" w:hAnsi="Arial" w:cs="Arial"/>
        </w:rPr>
        <w:t>approaches still cannot</w:t>
      </w:r>
      <w:r w:rsidRPr="000E39AA">
        <w:rPr>
          <w:rFonts w:ascii="Arial" w:hAnsi="Arial" w:cs="Arial"/>
          <w:color w:val="000000"/>
        </w:rPr>
        <w:t xml:space="preserve"> recapitulate the complex skeletal micro-environment </w:t>
      </w:r>
      <w:r w:rsidRPr="000E39AA">
        <w:rPr>
          <w:rFonts w:ascii="Arial" w:hAnsi="Arial" w:cs="Arial"/>
          <w:color w:val="000000"/>
        </w:rPr>
        <w:fldChar w:fldCharType="begin" w:fldLock="1"/>
      </w:r>
      <w:r w:rsidR="00A445D5">
        <w:rPr>
          <w:rFonts w:ascii="Arial" w:hAnsi="Arial" w:cs="Arial"/>
          <w:color w:val="000000"/>
        </w:rPr>
        <w:instrText>ADDIN CSL_CITATION {"citationItems":[{"id":"ITEM-1","itemData":{"DOI":"10.1089/107632701300003269","ISSN":"10763279","PMID":"11224921","abstract":"Scaffolding plays pivotal role in tissue engineering. In this work, a novel processing technique has been developed to create three-dimensional biodegradable polymer scaffolds with well-controlled interconnected spherical pores. Paraffin spheres were fabricated with a dispersion method, and were bonded together through a heat treatment to form a three-dimensional assembly in a mold. Biodegradable polymers such as PLLA and PLGA were dissolved in a solvent and cast onto the paraffin sphere assembly. After dissolving the paraffin, a porous polymer scaffold was formed. The fabrication parameters were studied in relation to the pore shape, interpore connectivity, pore wall morphology, and mechanical properties of the polymer scaffolds. The compressive modulus of the scaffolds decreased with increasing porosity. Longer heat treatment time of the paraffin spheres resulted in larger openings between the pores of the scaffolds. Foams of smaller pore size (100-200 μm) resulted in significantly lower compressive modulus than that of larger pore sizes (250-350 or 420-500 μm). The PLLA foams had a skeletal structure consisting of small platelets, whereas PLGA foams had homogeneous skeletal structure. The new processing technique can tailor the polymer scaffolds for a variety of potential tissue engineering applications because of the well-controlled architecture, interpore connectivity, and mechanical properties.","author":[{"dropping-particle":"","family":"Ma","given":"P. X.","non-dropping-particle":"","parse-names":false,"suffix":""},{"dropping-particle":"","family":"Choi","given":"J. W.","non-dropping-particle":"","parse-names":false,"suffix":""}],"container-title":"Tissue Engineering","id":"ITEM-1","issue":"1","issued":{"date-parts":[["2001"]]},"page":"23-33","title":"Biodegradable polymer scaffolds with well-defined interconnected spherical pore network","type":"article-journal","volume":"7"},"uris":["http://www.mendeley.com/documents/?uuid=060d8d88-7b03-4283-9f12-a36199d8655b"]},{"id":"ITEM-2","itemData":{"DOI":"10.1016/j.actbio.2018.11.039","ISSN":"18787568","PMID":"30481607","abstract":"Critical-sized bone defect repair remains a substantial challenge in clinical settings and requires bone grafts or bone substitute materials. However, existing biomaterials often do not meet the clinical requirements of structural support, osteoinductive property, and controllable biodegradability. To treat large-scale bone defects, the development of three-dimensional (3D) porous scaffolds has received considerable focus within bone engineering. A variety of biomaterials and manufacturing methods, including 3D printing, have emerged to fabricate patient-specific bioactive scaffolds that possess controlled micro-architectures for bridging bone defects in complex configurations. During the last decade, with the development of the 3D printing industry, a large number of tissue-engineered scaffolds have been created for preclinical and clinical applications using novel materials and innovative technologies. Thus, this review provides a brief overview of current progress in existing biomaterials and tissue engineering scaffolds prepared by 3D printing technologies, with an emphasis on the material selection, scaffold design optimization, and their preclinical and clinical applications in the repair of critical-sized bone defects. Furthermore, it will elaborate on the current limitations and potential future prospects of 3D printing technology. Statement of Significance: 3D printing has emerged as a critical fabrication process for bone engineering due to its ability to control bulk geometry and internal structure of tissue scaffolds. The advancement of bioprinting methods and compatible ink materials for bone engineering have been a major focus to develop optimal 3D scaffolds for bone defect repair. Achieving a successful balance of cellular function, cellular viability, and mechanical integrity under load-bearing conditions is critical. Hybridization of natural and synthetic polymer-based materials is a promising approach to create novel tissue engineered scaffolds that combines the advantages of both materials and meets various requirements, including biological activity, mechanical strength, easy fabrication and controllable degradation. 3D printing is linked to the future of bone grafts to create on-demand patient-specific scaffolds.","author":[{"dropping-particle":"","family":"Zhang","given":"Lei","non-dropping-particle":"","parse-names":false,"suffix":""},{"dropping-particle":"","family":"Yang","given":"Guojing","non-dropping-particle":"","parse-names":false,"suffix":""},{"dropping-particle":"","family":"Johnson","given":"Blake N.","non-dropping-particle":"","parse-names":false,"suffix":""},{"dropping-particle":"","family":"Jia","given":"Xiaofeng","non-dropping-particle":"","parse-names":false,"suffix":""}],"container-title":"Acta Biomaterialia","id":"ITEM-2","issued":{"date-parts":[["2019"]]},"page":"16-33","publisher":"Acta Materialia Inc.","title":"Three-dimensional (3D) printed scaffold and material selection for bone repair","type":"article-journal","volume":"84"},"uris":["http://www.mendeley.com/documents/?uuid=698d4ee4-ec6b-4eb6-b3b1-0962e1055344"]}],"mendeley":{"formattedCitation":"[84, 85]","plainTextFormattedCitation":"[84, 85]","previouslyFormattedCitation":"[84, 85]"},"properties":{"noteIndex":0},"schema":"https://github.com/citation-style-language/schema/raw/master/csl-citation.json"}</w:instrText>
      </w:r>
      <w:r w:rsidRPr="000E39AA">
        <w:rPr>
          <w:rFonts w:ascii="Arial" w:hAnsi="Arial" w:cs="Arial"/>
          <w:color w:val="000000"/>
        </w:rPr>
        <w:fldChar w:fldCharType="separate"/>
      </w:r>
      <w:r w:rsidR="0062132B" w:rsidRPr="0062132B">
        <w:rPr>
          <w:rFonts w:ascii="Arial" w:hAnsi="Arial" w:cs="Arial"/>
          <w:noProof/>
          <w:color w:val="000000"/>
        </w:rPr>
        <w:t>[84, 85]</w:t>
      </w:r>
      <w:r w:rsidRPr="000E39AA">
        <w:rPr>
          <w:rFonts w:ascii="Arial" w:hAnsi="Arial" w:cs="Arial"/>
          <w:color w:val="000000"/>
        </w:rPr>
        <w:fldChar w:fldCharType="end"/>
      </w:r>
      <w:r w:rsidRPr="000E39AA">
        <w:rPr>
          <w:rFonts w:ascii="Arial" w:hAnsi="Arial" w:cs="Arial"/>
          <w:color w:val="000000"/>
        </w:rPr>
        <w:t xml:space="preserve">. An alternative is provided by the use of a combination of polymeric biomaterials with calcium phosphate cements </w:t>
      </w:r>
      <w:r w:rsidRPr="000E39AA">
        <w:rPr>
          <w:rFonts w:ascii="Arial" w:hAnsi="Arial" w:cs="Arial"/>
          <w:color w:val="000000"/>
        </w:rPr>
        <w:fldChar w:fldCharType="begin" w:fldLock="1"/>
      </w:r>
      <w:r w:rsidR="00A445D5">
        <w:rPr>
          <w:rFonts w:ascii="Arial" w:hAnsi="Arial" w:cs="Arial"/>
          <w:color w:val="000000"/>
        </w:rPr>
        <w:instrText>ADDIN CSL_CITATION {"citationItems":[{"id":"ITEM-1","itemData":{"DOI":"10.1088/1758-5090/aad36d","ISSN":"1758-5090","author":[{"dropping-particle":"","family":"Ahlfeld","given":"Tilman","non-dropping-particle":"","parse-names":false,"suffix":""},{"dropping-particle":"","family":"Doberenz","given":"Falko","non-dropping-particle":"","parse-names":false,"suffix":""},{"dropping-particle":"","family":"Kilian","given":"David","non-dropping-particle":"","parse-names":false,"suffix":""},{"dropping-particle":"","family":"Vater","given":"Corina","non-dropping-particle":"","parse-names":false,"suffix":""},{"dropping-particle":"","family":"Korn","given":"Paula","non-dropping-particle":"","parse-names":false,"suffix":""},{"dropping-particle":"","family":"Lauer","given":"Günter","non-dropping-particle":"","parse-names":false,"suffix":""},{"dropping-particle":"","family":"Lode","given":"Anja","non-dropping-particle":"","parse-names":false,"suffix":""},{"dropping-particle":"","family":"Gelinsky","given":"Michael","non-dropping-particle":"","parse-names":false,"suffix":""}],"container-title":"Biofabrication","id":"ITEM-1","issue":"4","issued":{"date-parts":[["2018","7","27"]]},"page":"045002","publisher":"IOP Publishing","title":"Bioprinting of mineralized constructs utilizing multichannel plotting of a self-setting calcium phosphate cement and a cell-laden bioink","type":"article-journal","volume":"10"},"uris":["http://www.mendeley.com/documents/?uuid=2ced7e6b-4dc8-43da-a1be-079ba571d0f8"]}],"mendeley":{"formattedCitation":"[86]","plainTextFormattedCitation":"[86]","previouslyFormattedCitation":"[86]"},"properties":{"noteIndex":0},"schema":"https://github.com/citation-style-language/schema/raw/master/csl-citation.json"}</w:instrText>
      </w:r>
      <w:r w:rsidRPr="000E39AA">
        <w:rPr>
          <w:rFonts w:ascii="Arial" w:hAnsi="Arial" w:cs="Arial"/>
          <w:color w:val="000000"/>
        </w:rPr>
        <w:fldChar w:fldCharType="separate"/>
      </w:r>
      <w:r w:rsidR="0062132B" w:rsidRPr="0062132B">
        <w:rPr>
          <w:rFonts w:ascii="Arial" w:hAnsi="Arial" w:cs="Arial"/>
          <w:noProof/>
          <w:color w:val="000000"/>
        </w:rPr>
        <w:t>[86]</w:t>
      </w:r>
      <w:r w:rsidRPr="000E39AA">
        <w:rPr>
          <w:rFonts w:ascii="Arial" w:hAnsi="Arial" w:cs="Arial"/>
          <w:color w:val="000000"/>
        </w:rPr>
        <w:fldChar w:fldCharType="end"/>
      </w:r>
      <w:r w:rsidRPr="000E39AA">
        <w:rPr>
          <w:rFonts w:ascii="Arial" w:hAnsi="Arial" w:cs="Arial"/>
          <w:color w:val="000000"/>
        </w:rPr>
        <w:t xml:space="preserve">, hydroxyapatite </w:t>
      </w:r>
      <w:r w:rsidRPr="000E39AA">
        <w:rPr>
          <w:rFonts w:ascii="Arial" w:hAnsi="Arial" w:cs="Arial"/>
          <w:color w:val="000000"/>
        </w:rPr>
        <w:fldChar w:fldCharType="begin" w:fldLock="1"/>
      </w:r>
      <w:r w:rsidR="00A445D5">
        <w:rPr>
          <w:rFonts w:ascii="Arial" w:hAnsi="Arial" w:cs="Arial"/>
          <w:color w:val="000000"/>
        </w:rPr>
        <w:instrText>ADDIN CSL_CITATION {"citationItems":[{"id":"ITEM-1","itemData":{"DOI":"10.1177/00220345211024634","ISSN":"15440591","PMID":"34334009","abstract":"To establish an ideal microenvironment for regenerating maxillofacial defects, recent research interests have concentrated on developing scaffolds with intricate configurations and manipulating the stiffness of extracellular matrix toward osteogenesis. Herein, we propose to infuse a degradable RGD-functionalized alginate matrix (RAM) with osteoid-like stiffness, as an artificial extracellular matrix, to a rigid 3D-printed hydroxyapatite scaffold for maxillofacial regeneration. The 3D-printed hydroxyapatite scaffold was produced by microextrusion technology and showed good dimensional stability with consistent microporous detail. RAM was crosslinked by calcium sulfate to manipulate the stiffness, and its degradation was accelerated by partial oxidation using sodium periodate. The results revealed that viability of bone marrow stem cells was significantly improved on the RAM and was promoted on the oxidized RAM. In addition, the migration and osteogenic differentiation of bone marrow stem cells were promoted on the RAM with osteoid-like stiffness, specifically on the oxidized RAM. The in vivo evidence revealed that nonoxidized RAM with osteoid-like stiffness upregulated osteogenic genes but prevented ingrowth of newly formed bone, leading to limited regeneration. Oxidized RAM with osteoid-like stiffness facilitated collagen synthesis, angiogenesis, and osteogenesis and induced robust bone formation, thereby significantly promoting maxillofacial regeneration. Overall, this study supported that in the stabilized microenvironment, oxidized RAM with osteoid-like stiffness offered requisite mechanical cues for osteogenesis and an appropriate degradation profile to facilitate bone formation. Combining the 3D-printed hydroxyapatite scaffold and oxidized RAM with osteoid-like stiffness may be an advantageous approach for maxillofacial regeneration.","author":[{"dropping-particle":"","family":"Chang","given":"P. C.","non-dropping-particle":"","parse-names":false,"suffix":""},{"dropping-particle":"","family":"Lin","given":"Z. J.","non-dropping-particle":"","parse-names":false,"suffix":""},{"dropping-particle":"","family":"Luo","given":"H. T.","non-dropping-particle":"","parse-names":false,"suffix":""},{"dropping-particle":"","family":"Tu","given":"C. C.","non-dropping-particle":"","parse-names":false,"suffix":""},{"dropping-particle":"","family":"Tai","given":"W. C.","non-dropping-particle":"","parse-names":false,"suffix":""},{"dropping-particle":"","family":"Chang","given":"C. H.","non-dropping-particle":"","parse-names":false,"suffix":""},{"dropping-particle":"","family":"Chang","given":"Y. C.","non-dropping-particle":"","parse-names":false,"suffix":""}],"container-title":"Journal of Dental Research","id":"ITEM-1","issue":"10","issued":{"date-parts":[["2021"]]},"page":"1109-1117","title":"Degradable RGD-Functionalized 3D-Printed Scaffold Promotes Osteogenesis","type":"article-journal","volume":"100"},"uris":["http://www.mendeley.com/documents/?uuid=1d961b54-03c3-4bc2-861f-2ed9fdc64f54"]}],"mendeley":{"formattedCitation":"[87]","plainTextFormattedCitation":"[87]","previouslyFormattedCitation":"[87]"},"properties":{"noteIndex":0},"schema":"https://github.com/citation-style-language/schema/raw/master/csl-citation.json"}</w:instrText>
      </w:r>
      <w:r w:rsidRPr="000E39AA">
        <w:rPr>
          <w:rFonts w:ascii="Arial" w:hAnsi="Arial" w:cs="Arial"/>
          <w:color w:val="000000"/>
        </w:rPr>
        <w:fldChar w:fldCharType="separate"/>
      </w:r>
      <w:r w:rsidR="0062132B" w:rsidRPr="0062132B">
        <w:rPr>
          <w:rFonts w:ascii="Arial" w:hAnsi="Arial" w:cs="Arial"/>
          <w:noProof/>
          <w:color w:val="000000"/>
        </w:rPr>
        <w:t>[87]</w:t>
      </w:r>
      <w:r w:rsidRPr="000E39AA">
        <w:rPr>
          <w:rFonts w:ascii="Arial" w:hAnsi="Arial" w:cs="Arial"/>
          <w:color w:val="000000"/>
        </w:rPr>
        <w:fldChar w:fldCharType="end"/>
      </w:r>
      <w:r w:rsidRPr="000E39AA">
        <w:rPr>
          <w:rFonts w:ascii="Arial" w:hAnsi="Arial" w:cs="Arial"/>
          <w:color w:val="000000"/>
        </w:rPr>
        <w:t xml:space="preserve">, </w:t>
      </w:r>
      <w:r w:rsidRPr="000E39AA">
        <w:rPr>
          <w:rFonts w:ascii="Arial" w:hAnsi="Arial" w:cs="Arial"/>
        </w:rPr>
        <w:t>β tri-calcium phosphate (β-TCP)</w:t>
      </w:r>
      <w:r w:rsidRPr="000E39AA">
        <w:rPr>
          <w:rFonts w:ascii="Arial" w:hAnsi="Arial" w:cs="Arial"/>
          <w:color w:val="000000"/>
        </w:rPr>
        <w:t xml:space="preserve"> </w:t>
      </w:r>
      <w:r w:rsidRPr="000E39AA">
        <w:rPr>
          <w:rFonts w:ascii="Arial" w:hAnsi="Arial" w:cs="Arial"/>
          <w:color w:val="000000"/>
        </w:rPr>
        <w:fldChar w:fldCharType="begin" w:fldLock="1"/>
      </w:r>
      <w:r w:rsidR="00A445D5">
        <w:rPr>
          <w:rFonts w:ascii="Arial" w:hAnsi="Arial" w:cs="Arial"/>
          <w:color w:val="000000"/>
        </w:rPr>
        <w:instrText>ADDIN CSL_CITATION {"citationItems":[{"id":"ITEM-1","itemData":{"DOI":"10.1002/term.1811","ISBN":"1932-6254","ISSN":"19326254","PMID":"20801416","abstract":"Cell-based therapies with embryonic or adult stem cells, including induced pluripotent stem cells, have emerged as potential novel approaches for several devastating and otherwise incurable lung diseases, including emphysema, pulmonary fibrosis, pulmonary hypertension, and the acute respiratory distress syndrome. Although initial studies suggested engraftment of exogenously administered stem cells in lung, this is now generally felt to be a rare occurrence of uncertain physiologic significance. However, more recent studies have demonstrated paracrine effects of administered cells, including stimulation of angiogenesis and modulation of local inflammatory and immune responses in mouse lung disease models. Based on these studies and on safety and initial efficacy data from trials of adult stem cells in other diseases, groundbreaking clinical trials of cell-based therapy have been initiated for pulmonary hypertension and for chronic obstructive pulmonary disease. In parallel, the identity and role of endogenous lung progenitor cells in development and in repair from injury and potential contribution as lung cancer stem cells continue to be elucidated. Most recently, novel bioengineering approaches have been applied to develop functional lung tissue ex vivo. Advances in each of these areas will be described in this review with particular reference to animal models. ?? 2010 Mosby, Inc. All rights reserved.","author":[{"dropping-particle":"","family":"Liao","given":"Han-Tsung","non-dropping-particle":"","parse-names":false,"suffix":""},{"dropping-particle":"","family":"Lee","given":"Ming-Yih","non-dropping-particle":"","parse-names":false,"suffix":""},{"dropping-particle":"","family":"Tsai","given":"Wen-Wei","non-dropping-particle":"","parse-names":false,"suffix":""},{"dropping-particle":"","family":"Wang","given":"Hsiu-Chen","non-dropping-particle":"","parse-names":false,"suffix":""},{"dropping-particle":"","family":"Lu","given":"Wei-Chieh","non-dropping-particle":"","parse-names":false,"suffix":""}],"container-title":"Journal of Tissue Engineering and Regenerative Medicine","id":"ITEM-1","issue":"10","issued":{"date-parts":[["2016","10"]]},"page":"E337-E353","title":"Osteogenesis of adipose-derived stem cells on polycaprolactone- β -tricalcium phosphate scaffold fabricated via selective laser sintering and surface coating with collagen type I","type":"article-journal","volume":"10"},"uris":["http://www.mendeley.com/documents/?uuid=ac099ae5-ad0f-433f-b229-90b0cdf45530"]}],"mendeley":{"formattedCitation":"[88]","plainTextFormattedCitation":"[88]","previouslyFormattedCitation":"[88]"},"properties":{"noteIndex":0},"schema":"https://github.com/citation-style-language/schema/raw/master/csl-citation.json"}</w:instrText>
      </w:r>
      <w:r w:rsidRPr="000E39AA">
        <w:rPr>
          <w:rFonts w:ascii="Arial" w:hAnsi="Arial" w:cs="Arial"/>
          <w:color w:val="000000"/>
        </w:rPr>
        <w:fldChar w:fldCharType="separate"/>
      </w:r>
      <w:r w:rsidR="0062132B" w:rsidRPr="0062132B">
        <w:rPr>
          <w:rFonts w:ascii="Arial" w:hAnsi="Arial" w:cs="Arial"/>
          <w:noProof/>
          <w:color w:val="000000"/>
        </w:rPr>
        <w:t>[88]</w:t>
      </w:r>
      <w:r w:rsidRPr="000E39AA">
        <w:rPr>
          <w:rFonts w:ascii="Arial" w:hAnsi="Arial" w:cs="Arial"/>
          <w:color w:val="000000"/>
        </w:rPr>
        <w:fldChar w:fldCharType="end"/>
      </w:r>
      <w:r w:rsidRPr="000E39AA">
        <w:rPr>
          <w:rFonts w:ascii="Arial" w:hAnsi="Arial" w:cs="Arial"/>
        </w:rPr>
        <w:t xml:space="preserve"> or bio-glasses </w:t>
      </w:r>
      <w:r w:rsidRPr="000E39AA">
        <w:rPr>
          <w:rFonts w:ascii="Arial" w:hAnsi="Arial" w:cs="Arial"/>
        </w:rPr>
        <w:fldChar w:fldCharType="begin" w:fldLock="1"/>
      </w:r>
      <w:r w:rsidR="00A445D5">
        <w:rPr>
          <w:rFonts w:ascii="Arial" w:hAnsi="Arial" w:cs="Arial"/>
        </w:rPr>
        <w:instrText>ADDIN CSL_CITATION {"citationItems":[{"id":"ITEM-1","itemData":{"DOI":"10.1016/j.bioactmat.2020.10.022","ISSN":"2452199X","abstract":"Large bone defects face a high risk of pathogen exposure due to open wounds, which leads to high infection rates and delayed bone union. To promote successful repair of infectious bone defects, fabrication of a scaffold with dual functions of osteo-induction and bacterial inhibition is required. This study describes creation of an engineered progenitor cell line (C3H10T1/2) capable of doxycycline (DOX)-mediated release of bone morphogenetic protein-2 (BMP2). Three-dimensional bioprinting technology enabled creation of scaffolds, comprising polycaprolactone/mesoporous bioactive glass/DOX and bioink, containing these engineered cells. In vivo and in vitro experiments confirmed that the scaffold could actively secrete BMP2 to significantly promote osteoblast differentiation and induce ectopic bone formation. Additionally, the scaffold exhibited broad-spectrum antibacterial capacity, thereby ensuring the survival of embedded engineered cells when facing high risk of infection. These findings demonstrated the efficacy of this bioprinted scaffold to release BMP2 in a controlled manner and prevent the occurrence of infection; thus, showing its potential for repairing infectious bone defects.","author":[{"dropping-particle":"","family":"Wang","given":"Minqi","non-dropping-particle":"","parse-names":false,"suffix":""},{"dropping-particle":"","family":"Li","given":"Hanjun","non-dropping-particle":"","parse-names":false,"suffix":""},{"dropping-particle":"","family":"Yang","given":"Yiqi","non-dropping-particle":"","parse-names":false,"suffix":""},{"dropping-particle":"","family":"Yuan","given":"Kai","non-dropping-particle":"","parse-names":false,"suffix":""},{"dropping-particle":"","family":"Zhou","given":"Feng","non-dropping-particle":"","parse-names":false,"suffix":""},{"dropping-particle":"","family":"Liu","given":"Haibei","non-dropping-particle":"","parse-names":false,"suffix":""},{"dropping-particle":"","family":"Zhou","given":"Qinghui","non-dropping-particle":"","parse-names":false,"suffix":""},{"dropping-particle":"","family":"Yang","given":"Shengbing","non-dropping-particle":"","parse-names":false,"suffix":""},{"dropping-particle":"","family":"Tang","given":"Tingting","non-dropping-particle":"","parse-names":false,"suffix":""}],"container-title":"Bioactive Materials","id":"ITEM-1","issue":"5","issued":{"date-parts":[["2021"]]},"page":"1318-1329","publisher":"KeAi Communications Co., Ltd","title":"A 3D-bioprinted scaffold with doxycycline-controlled BMP2-expressing cells for inducing bone regeneration and inhibiting bacterial infection","type":"article-journal","volume":"6"},"uris":["http://www.mendeley.com/documents/?uuid=7fe63a05-61a7-4093-8875-6f15751704c8"]}],"mendeley":{"formattedCitation":"[89]","plainTextFormattedCitation":"[89]","previouslyFormattedCitation":"[89]"},"properties":{"noteIndex":0},"schema":"https://github.com/citation-style-language/schema/raw/master/csl-citation.json"}</w:instrText>
      </w:r>
      <w:r w:rsidRPr="000E39AA">
        <w:rPr>
          <w:rFonts w:ascii="Arial" w:hAnsi="Arial" w:cs="Arial"/>
        </w:rPr>
        <w:fldChar w:fldCharType="separate"/>
      </w:r>
      <w:r w:rsidR="0062132B" w:rsidRPr="0062132B">
        <w:rPr>
          <w:rFonts w:ascii="Arial" w:hAnsi="Arial" w:cs="Arial"/>
          <w:noProof/>
        </w:rPr>
        <w:t>[89]</w:t>
      </w:r>
      <w:r w:rsidRPr="000E39AA">
        <w:rPr>
          <w:rFonts w:ascii="Arial" w:hAnsi="Arial" w:cs="Arial"/>
        </w:rPr>
        <w:fldChar w:fldCharType="end"/>
      </w:r>
      <w:r w:rsidRPr="000E39AA">
        <w:rPr>
          <w:rFonts w:ascii="Arial" w:hAnsi="Arial" w:cs="Arial"/>
        </w:rPr>
        <w:t>,</w:t>
      </w:r>
      <w:r w:rsidRPr="000E39AA">
        <w:rPr>
          <w:rFonts w:ascii="Arial" w:hAnsi="Arial" w:cs="Arial"/>
          <w:color w:val="000000"/>
        </w:rPr>
        <w:t xml:space="preserve"> to produce composite scaffolds</w:t>
      </w:r>
      <w:r w:rsidRPr="000E39AA">
        <w:rPr>
          <w:rFonts w:ascii="Arial" w:hAnsi="Arial" w:cs="Arial"/>
        </w:rPr>
        <w:t xml:space="preserve"> improving the binding interaction and mechanical properties of the material during the </w:t>
      </w:r>
      <w:r w:rsidR="007D53B0">
        <w:rPr>
          <w:rFonts w:ascii="Arial" w:hAnsi="Arial" w:cs="Arial"/>
        </w:rPr>
        <w:t>3D printing</w:t>
      </w:r>
      <w:r w:rsidRPr="000E39AA">
        <w:rPr>
          <w:rFonts w:ascii="Arial" w:hAnsi="Arial" w:cs="Arial"/>
        </w:rPr>
        <w:t xml:space="preserve"> process. Such composites offer, potentially,</w:t>
      </w:r>
      <w:r w:rsidRPr="000E39AA">
        <w:rPr>
          <w:rFonts w:ascii="Arial" w:hAnsi="Arial"/>
        </w:rPr>
        <w:t xml:space="preserve"> an </w:t>
      </w:r>
      <w:r w:rsidRPr="000E39AA">
        <w:rPr>
          <w:rFonts w:ascii="Arial" w:hAnsi="Arial" w:cs="Arial"/>
          <w:shd w:val="clear" w:color="auto" w:fill="FFFFFF"/>
        </w:rPr>
        <w:t xml:space="preserve">initial mineralized </w:t>
      </w:r>
      <w:proofErr w:type="spellStart"/>
      <w:r w:rsidRPr="000E39AA">
        <w:rPr>
          <w:rFonts w:ascii="Arial" w:hAnsi="Arial" w:cs="Arial"/>
          <w:shd w:val="clear" w:color="auto" w:fill="FFFFFF"/>
        </w:rPr>
        <w:t>osteoinductive</w:t>
      </w:r>
      <w:proofErr w:type="spellEnd"/>
      <w:r w:rsidR="00211C9C">
        <w:rPr>
          <w:rFonts w:ascii="Arial" w:hAnsi="Arial" w:cs="Arial"/>
          <w:shd w:val="clear" w:color="auto" w:fill="FFFFFF"/>
        </w:rPr>
        <w:t>, as well as osteoconductive,</w:t>
      </w:r>
      <w:r w:rsidRPr="000E39AA">
        <w:rPr>
          <w:rFonts w:ascii="Arial" w:hAnsi="Arial" w:cs="Arial"/>
          <w:shd w:val="clear" w:color="auto" w:fill="FFFFFF"/>
        </w:rPr>
        <w:t xml:space="preserve"> support for encapsulated skeletal cells </w:t>
      </w:r>
      <w:r w:rsidRPr="000E39AA">
        <w:rPr>
          <w:rFonts w:ascii="Arial" w:hAnsi="Arial" w:cs="Arial"/>
          <w:color w:val="000000"/>
          <w:shd w:val="clear" w:color="auto" w:fill="FFFFFF"/>
        </w:rPr>
        <w:fldChar w:fldCharType="begin" w:fldLock="1"/>
      </w:r>
      <w:r w:rsidR="00A445D5">
        <w:rPr>
          <w:rFonts w:ascii="Arial" w:hAnsi="Arial" w:cs="Arial"/>
          <w:color w:val="000000"/>
          <w:shd w:val="clear" w:color="auto" w:fill="FFFFFF"/>
        </w:rPr>
        <w:instrText>ADDIN CSL_CITATION {"citationItems":[{"id":"ITEM-1","itemData":{"DOI":"10.1016/j.bprint.2020.e00103","ISSN":"2405-8866 (Electronic)","PMID":"34853818","abstract":"In the era of personalised medicine, novel therapeutic approaches raise increasing  hopes to address currently unmet medical needs by developing patient-customised treatments. Three-dimensional (3D) bioprinting is rapidly evolving and has the potential to obtain personalised tissue constructs and overcome some limitations of standard tissue engineering approaches. Bioprinting could support a wide range of biomedical applications, such as drug testing, tissue repair or organ transplantation. There is a growing interest for 3D bioprinting in the orthopaedic field, with remarkable scientific and technical advances. However, the full exploitation of 3D bioprinting in medical applications still requires efforts to anticipate the upcoming challenges in translating bioprinted products from bench to bedside. In this review we summarised current trends, advances and challenges in the application of 3D bioprinting for bone and cartilage tissue engineering. Moreover, we provided a detailed analysis of the applicable regulations through the 3D bioprinting process and an overview of available standards covering bioprinting and additive manufacturing.","author":[{"dropping-particle":"","family":"Stanco","given":"D","non-dropping-particle":"","parse-names":false,"suffix":""},{"dropping-particle":"","family":"Urbán","given":"P","non-dropping-particle":"","parse-names":false,"suffix":""},{"dropping-particle":"","family":"Tirendi","given":"S","non-dropping-particle":"","parse-names":false,"suffix":""},{"dropping-particle":"","family":"Ciardelli","given":"G","non-dropping-particle":"","parse-names":false,"suffix":""},{"dropping-particle":"","family":"Barrero","given":"J","non-dropping-particle":"","parse-names":false,"suffix":""}],"container-title":"Bioprinting (Amsterdam, Netherlands)","id":"ITEM-1","issued":{"date-parts":[["2020","12"]]},"language":"eng","page":"None","title":"3D bioprinting for orthopaedic applications: Current advances, challenges and  regulatory considerations.","type":"article-journal","volume":"20"},"uris":["http://www.mendeley.com/documents/?uuid=05747a2e-0584-4d01-8740-71e803f136c2"]},{"id":"ITEM-2","itemData":{"DOI":"10.1186/s13287-018-0847-8","ISBN":"1328701808","ISSN":"17576512","PMID":"29678192","abstract":"The production of veritable in-vitro models of bone tissue is essential to understand the biology of bone and its surrounding environment, to analyze the pathogenesis of bone diseases (e.g., osteoporosis, osteoarthritis, osteomyelitis, etc.), to develop effective therapeutic drug screening, and to test potential therapeutic strategies. Dysregulated interactions between vasculature and bone cells are often related to the aforementioned pathologies, underscoring the need for a bone model that contains engineered vasculature. Due to ethical restraints and limited prediction power of animal models, human stem cell-based tissue engineering has gained increasing relevance as a candidate approach to overcome the limitations of animals and to serve as preclinical models for drug testing. Since bone is a highly vascularized tissue, the concomitant development of vasculature and mineralized matrix requires a synergistic interaction between osteogenic and endothelial precursors. A number of experimental approaches have been used to achieve this goal, such as the combination of angiogenic factors and three-dimensional scaffolds, prevascularization strategies, and coculture systems. In this review, we present an overview of the current models and approaches to generate in-vitro stem cell-based vascularized bone, with emphasis on the main challenges of vasculature engineering. These challenges are related to the choice of biomaterials, scaffold fabrication techniques, and cells, as well as the type of culturing conditions required, and specifically the application of dynamic culture systems using bioreactors.","author":[{"dropping-particle":"","family":"Pirosa","given":"Alessandro","non-dropping-particle":"","parse-names":false,"suffix":""},{"dropping-particle":"","family":"Gottardi","given":"Riccardo","non-dropping-particle":"","parse-names":false,"suffix":""},{"dropping-particle":"","family":"Alexander","given":"Peter G.","non-dropping-particle":"","parse-names":false,"suffix":""},{"dropping-particle":"","family":"Tuan","given":"Rocky S.","non-dropping-particle":"","parse-names":false,"suffix":""}],"container-title":"Stem Cell Research and Therapy","id":"ITEM-2","issue":"1","issued":{"date-parts":[["2018"]]},"publisher":"Stem Cell Research &amp; Therapy","title":"Engineering in-vitro stem cell-based vascularized bone models for drug screening and predictive toxicology","type":"article-journal","volume":"9"},"uris":["http://www.mendeley.com/documents/?uuid=8535910d-0b79-4233-9358-b91e57a66466"]},{"id":"ITEM-3","itemData":{"DOI":"10.1016/j.actbio.2018.11.039","ISSN":"18787568","PMID":"30481607","abstract":"Critical-sized bone defect repair remains a substantial challenge in clinical settings and requires bone grafts or bone substitute materials. However, existing biomaterials often do not meet the clinical requirements of structural support, osteoinductive property, and controllable biodegradability. To treat large-scale bone defects, the development of three-dimensional (3D) porous scaffolds has received considerable focus within bone engineering. A variety of biomaterials and manufacturing methods, including 3D printing, have emerged to fabricate patient-specific bioactive scaffolds that possess controlled micro-architectures for bridging bone defects in complex configurations. During the last decade, with the development of the 3D printing industry, a large number of tissue-engineered scaffolds have been created for preclinical and clinical applications using novel materials and innovative technologies. Thus, this review provides a brief overview of current progress in existing biomaterials and tissue engineering scaffolds prepared by 3D printing technologies, with an emphasis on the material selection, scaffold design optimization, and their preclinical and clinical applications in the repair of critical-sized bone defects. Furthermore, it will elaborate on the current limitations and potential future prospects of 3D printing technology. Statement of Significance: 3D printing has emerged as a critical fabrication process for bone engineering due to its ability to control bulk geometry and internal structure of tissue scaffolds. The advancement of bioprinting methods and compatible ink materials for bone engineering have been a major focus to develop optimal 3D scaffolds for bone defect repair. Achieving a successful balance of cellular function, cellular viability, and mechanical integrity under load-bearing conditions is critical. Hybridization of natural and synthetic polymer-based materials is a promising approach to create novel tissue engineered scaffolds that combines the advantages of both materials and meets various requirements, including biological activity, mechanical strength, easy fabrication and controllable degradation. 3D printing is linked to the future of bone grafts to create on-demand patient-specific scaffolds.","author":[{"dropping-particle":"","family":"Zhang","given":"Lei","non-dropping-particle":"","parse-names":false,"suffix":""},{"dropping-particle":"","family":"Yang","given":"Guojing","non-dropping-particle":"","parse-names":false,"suffix":""},{"dropping-particle":"","family":"Johnson","given":"Blake N.","non-dropping-particle":"","parse-names":false,"suffix":""},{"dropping-particle":"","family":"Jia","given":"Xiaofeng","non-dropping-particle":"","parse-names":false,"suffix":""}],"container-title":"Acta Biomaterialia","id":"ITEM-3","issued":{"date-parts":[["2019"]]},"page":"16-33","publisher":"Acta Materialia Inc.","title":"Three-dimensional (3D) printed scaffold and material selection for bone repair","type":"article-journal","volume":"84"},"uris":["http://www.mendeley.com/documents/?uuid=698d4ee4-ec6b-4eb6-b3b1-0962e1055344"]},{"id":"ITEM-4","itemData":{"DOI":"10.1038/ncponc1323","ISSN":"17434254","PMID":"19190592","abstract":"Bone is the most common organ for tumor metastasis, especially in patients with cancers of the breast or prostate. Bone metastases disrupt skeletal metabolism and result in considerable skeletal morbidity, including intractable, chronic bone pain, hypercalcemia of malignancy, pathologic fracture and spinal-cord compression. In addition to the chronic pain caused by bone metastases, skeletal-related events (SREs) such as pathologic fractures and spinal-cord compression can result in acute increases in pain. These effects can severely impair mobility and contribute to a general decrease in quality of life. Palliative options to treat bone metastases include radiotherapy, analgesics, surgery and bisphosphonates. These drugs bind to the surface of the bone and impair osteoclast-mediated bone resorption, and reduce the tumor-associated osteolysis that is initiated by the development of skeletal metastases. In addition to preventing SREs, bisphosphonates can palliate bone pain caused by a variety of solid tumors. This Review summarizes the clinical trial data of bisphosphonates for the prevention of SREs and the palliation of bone pain. Among these agents, nitrogen-containing bisphosphonates are recognized as the most effective, and zoledronic acid has demonstrated the broadest clinical utility.","author":[{"dropping-particle":"","family":"Costa","given":"Luis","non-dropping-particle":"","parse-names":false,"suffix":""},{"dropping-particle":"","family":"Major","given":"Pierre P.","non-dropping-particle":"","parse-names":false,"suffix":""}],"container-title":"Nature Clinical Practice Oncology","id":"ITEM-4","issue":"3","issued":{"date-parts":[["2009"]]},"page":"163-174","title":"Effect of bisphosphonates on pain and quality of life in patients with bone metastases","type":"article-journal","volume":"6"},"uris":["http://www.mendeley.com/documents/?uuid=f9bdfa37-f078-4888-971a-7d1dbd511dbe"]}],"mendeley":{"formattedCitation":"[30, 54, 85, 90]","plainTextFormattedCitation":"[30, 54, 85, 90]","previouslyFormattedCitation":"[30, 54, 85, 90]"},"properties":{"noteIndex":0},"schema":"https://github.com/citation-style-language/schema/raw/master/csl-citation.json"}</w:instrText>
      </w:r>
      <w:r w:rsidRPr="000E39AA">
        <w:rPr>
          <w:rFonts w:ascii="Arial" w:hAnsi="Arial" w:cs="Arial"/>
          <w:color w:val="000000"/>
          <w:shd w:val="clear" w:color="auto" w:fill="FFFFFF"/>
        </w:rPr>
        <w:fldChar w:fldCharType="separate"/>
      </w:r>
      <w:r w:rsidR="0062132B" w:rsidRPr="0062132B">
        <w:rPr>
          <w:rFonts w:ascii="Arial" w:hAnsi="Arial" w:cs="Arial"/>
          <w:noProof/>
          <w:color w:val="000000"/>
          <w:shd w:val="clear" w:color="auto" w:fill="FFFFFF"/>
        </w:rPr>
        <w:t>[30, 54, 85, 90]</w:t>
      </w:r>
      <w:r w:rsidRPr="000E39AA">
        <w:rPr>
          <w:rFonts w:ascii="Arial" w:hAnsi="Arial" w:cs="Arial"/>
          <w:color w:val="000000"/>
          <w:shd w:val="clear" w:color="auto" w:fill="FFFFFF"/>
        </w:rPr>
        <w:fldChar w:fldCharType="end"/>
      </w:r>
      <w:r w:rsidRPr="000E39AA">
        <w:rPr>
          <w:rFonts w:ascii="Arial" w:hAnsi="Arial" w:cs="Arial"/>
          <w:color w:val="000000"/>
          <w:shd w:val="clear" w:color="auto" w:fill="FFFFFF"/>
        </w:rPr>
        <w:t>.</w:t>
      </w:r>
      <w:r w:rsidRPr="000E39AA">
        <w:rPr>
          <w:rFonts w:ascii="Arial" w:hAnsi="Arial" w:cs="Arial"/>
          <w:color w:val="000000"/>
        </w:rPr>
        <w:t xml:space="preserve"> </w:t>
      </w:r>
      <w:r w:rsidRPr="000E39AA">
        <w:rPr>
          <w:rFonts w:ascii="Arial" w:hAnsi="Arial" w:cs="Arial"/>
          <w:shd w:val="clear" w:color="auto" w:fill="FFFFFF"/>
        </w:rPr>
        <w:t>Recent studies have examined the use of bioinks with nanocomposites such as the synthetic nanosilicate clay (Laponite</w:t>
      </w:r>
      <w:r w:rsidR="00C05C18" w:rsidRPr="00C05C18">
        <w:rPr>
          <w:rFonts w:ascii="Arial" w:hAnsi="Arial" w:cs="Arial"/>
          <w:shd w:val="clear" w:color="auto" w:fill="FFFFFF"/>
          <w:vertAlign w:val="superscript"/>
        </w:rPr>
        <w:t>®</w:t>
      </w:r>
      <w:r w:rsidRPr="000E39AA">
        <w:rPr>
          <w:rFonts w:ascii="Arial" w:hAnsi="Arial" w:cs="Arial"/>
          <w:shd w:val="clear" w:color="auto" w:fill="FFFFFF"/>
        </w:rPr>
        <w:t xml:space="preserve"> (LAP)) </w:t>
      </w:r>
      <w:r w:rsidRPr="000E39AA">
        <w:rPr>
          <w:rFonts w:ascii="Arial" w:hAnsi="Arial" w:cs="Arial"/>
          <w:shd w:val="clear" w:color="auto" w:fill="FFFFFF"/>
        </w:rPr>
        <w:fldChar w:fldCharType="begin" w:fldLock="1"/>
      </w:r>
      <w:r w:rsidR="00A445D5">
        <w:rPr>
          <w:rFonts w:ascii="Arial" w:hAnsi="Arial" w:cs="Arial"/>
          <w:shd w:val="clear" w:color="auto" w:fill="FFFFFF"/>
        </w:rPr>
        <w:instrText>ADDIN CSL_CITATION {"citationItems":[{"id":"ITEM-1","itemData":{"DOI":"10.1088/1758-5090/aa7e96","ISBN":"1758-5090","ISSN":"1758-5090","PMID":"28691691","abstract":"Three-dimensional printing of cell-laden hydrogels has evolved as a promising approach on the route to patient-specific or complex tissue-engineered constructs. However, it is still challenging to print structures with both, high shape fidelity and cell vitality. Herein, we used a synthetic nanosilicate clay, called Laponite, to build up scaffolds utilising the extrusion-based method 3D plotting. By blending with alginate and methylcellulose, a bioink was developed which allowed easy extrusion, achieving scaffolds with high printing fidelity. Following extrusion, approximately 70%-75% of printed immortalised human mesenchymal stem cells survived and cell viability was maintained over 21 days within the plotted constructs. Mechanical properties of scaffolds comprised of the composite bioink decreased over time when stored under cell culture conditions. Nevertheless, shape of the plotted constructs was preserved even over longer cultivation periods. Laponite is known for its favourable drug delivery properties. Two model proteins, bovine serum albumin and vascular endothelial growth factor were loaded into the bioink. We demonstrate that the release of both growth factors significantly changed to a more sustained profile by inclusion of Laponite in comparison to an alginate-methylcellulose blend in the absence of Laponite. In summary, addition of a synthetic clay, Laponite, improved printability, increased shape fidelity and was beneficial for controlled release of biologically active agents such as growth factors.","author":[{"dropping-particle":"","family":"Ahlfeld","given":"T.","non-dropping-particle":"","parse-names":false,"suffix":""},{"dropping-particle":"","family":"Cidonio","given":"G.","non-dropping-particle":"","parse-names":false,"suffix":""},{"dropping-particle":"","family":"Kilian","given":"D.","non-dropping-particle":"","parse-names":false,"suffix":""},{"dropping-particle":"","family":"Duin","given":"S.","non-dropping-particle":"","parse-names":false,"suffix":""},{"dropping-particle":"","family":"Akkineni","given":"A. R.","non-dropping-particle":"","parse-names":false,"suffix":""},{"dropping-particle":"","family":"Dawson","given":"J. I.","non-dropping-particle":"","parse-names":false,"suffix":""},{"dropping-particle":"","family":"Yang","given":"S.","non-dropping-particle":"","parse-names":false,"suffix":""},{"dropping-particle":"","family":"Lode","given":"A.","non-dropping-particle":"","parse-names":false,"suffix":""},{"dropping-particle":"","family":"Oreffo","given":"R O C","non-dropping-particle":"","parse-names":false,"suffix":""},{"dropping-particle":"","family":"Gelinsky","given":"M.","non-dropping-particle":"","parse-names":false,"suffix":""}],"container-title":"Biofabrication","id":"ITEM-1","issue":"3","issued":{"date-parts":[["2017","7","25"]]},"page":"034103","publisher":"IOP Publishing","title":"Development of a clay based bioink for 3D cell printing for skeletal application","type":"article-journal","volume":"9"},"uris":["http://www.mendeley.com/documents/?uuid=23131421-aaf8-42d5-b49d-6ee614725638"]}],"mendeley":{"formattedCitation":"[74]","plainTextFormattedCitation":"[74]","previouslyFormattedCitation":"[74]"},"properties":{"noteIndex":0},"schema":"https://github.com/citation-style-language/schema/raw/master/csl-citation.json"}</w:instrText>
      </w:r>
      <w:r w:rsidRPr="000E39AA">
        <w:rPr>
          <w:rFonts w:ascii="Arial" w:hAnsi="Arial" w:cs="Arial"/>
          <w:shd w:val="clear" w:color="auto" w:fill="FFFFFF"/>
        </w:rPr>
        <w:fldChar w:fldCharType="separate"/>
      </w:r>
      <w:r w:rsidR="0062132B" w:rsidRPr="0062132B">
        <w:rPr>
          <w:rFonts w:ascii="Arial" w:hAnsi="Arial" w:cs="Arial"/>
          <w:noProof/>
          <w:shd w:val="clear" w:color="auto" w:fill="FFFFFF"/>
        </w:rPr>
        <w:t>[74]</w:t>
      </w:r>
      <w:r w:rsidRPr="000E39AA">
        <w:rPr>
          <w:rFonts w:ascii="Arial" w:hAnsi="Arial" w:cs="Arial"/>
          <w:shd w:val="clear" w:color="auto" w:fill="FFFFFF"/>
        </w:rPr>
        <w:fldChar w:fldCharType="end"/>
      </w:r>
      <w:r w:rsidRPr="000E39AA">
        <w:rPr>
          <w:rFonts w:ascii="Arial" w:hAnsi="Arial" w:cs="Arial"/>
          <w:shd w:val="clear" w:color="auto" w:fill="FFFFFF"/>
        </w:rPr>
        <w:t xml:space="preserve">. LAP displays a capacity to promote the differentiation of HBMSCs in osteogenic cells both </w:t>
      </w:r>
      <w:r w:rsidRPr="000E39AA">
        <w:rPr>
          <w:rFonts w:ascii="Arial" w:hAnsi="Arial" w:cs="Arial"/>
          <w:i/>
          <w:iCs/>
          <w:shd w:val="clear" w:color="auto" w:fill="FFFFFF"/>
        </w:rPr>
        <w:t xml:space="preserve">in vitro </w:t>
      </w:r>
      <w:r w:rsidRPr="000E39AA">
        <w:rPr>
          <w:rFonts w:ascii="Arial" w:hAnsi="Arial" w:cs="Arial"/>
          <w:shd w:val="clear" w:color="auto" w:fill="FFFFFF"/>
        </w:rPr>
        <w:t>(</w:t>
      </w:r>
      <w:r w:rsidRPr="000E39AA">
        <w:rPr>
          <w:rFonts w:ascii="Arial" w:hAnsi="Arial" w:cs="Arial"/>
          <w:b/>
          <w:bCs/>
          <w:shd w:val="clear" w:color="auto" w:fill="FFFFFF"/>
        </w:rPr>
        <w:t>Fig</w:t>
      </w:r>
      <w:r w:rsidR="003553F2">
        <w:rPr>
          <w:rFonts w:ascii="Arial" w:hAnsi="Arial" w:cs="Arial"/>
          <w:b/>
          <w:bCs/>
          <w:shd w:val="clear" w:color="auto" w:fill="FFFFFF"/>
        </w:rPr>
        <w:t>.</w:t>
      </w:r>
      <w:r w:rsidRPr="000E39AA">
        <w:rPr>
          <w:rFonts w:ascii="Arial" w:hAnsi="Arial" w:cs="Arial"/>
          <w:b/>
          <w:bCs/>
          <w:shd w:val="clear" w:color="auto" w:fill="FFFFFF"/>
        </w:rPr>
        <w:t xml:space="preserve"> </w:t>
      </w:r>
      <w:r w:rsidR="00CC5B90">
        <w:rPr>
          <w:rFonts w:ascii="Arial" w:hAnsi="Arial" w:cs="Arial"/>
          <w:b/>
          <w:bCs/>
          <w:shd w:val="clear" w:color="auto" w:fill="FFFFFF"/>
        </w:rPr>
        <w:t>3</w:t>
      </w:r>
      <w:r w:rsidRPr="000E39AA">
        <w:rPr>
          <w:rFonts w:ascii="Arial" w:hAnsi="Arial" w:cs="Arial"/>
          <w:b/>
          <w:bCs/>
          <w:shd w:val="clear" w:color="auto" w:fill="FFFFFF"/>
        </w:rPr>
        <w:t>b</w:t>
      </w:r>
      <w:r w:rsidR="003E359B">
        <w:rPr>
          <w:rFonts w:ascii="Arial" w:hAnsi="Arial" w:cs="Arial"/>
          <w:b/>
          <w:bCs/>
          <w:shd w:val="clear" w:color="auto" w:fill="FFFFFF"/>
        </w:rPr>
        <w:t>-i</w:t>
      </w:r>
      <w:r w:rsidRPr="000E39AA">
        <w:rPr>
          <w:rFonts w:ascii="Arial" w:hAnsi="Arial" w:cs="Arial"/>
          <w:shd w:val="clear" w:color="auto" w:fill="FFFFFF"/>
        </w:rPr>
        <w:t>) and</w:t>
      </w:r>
      <w:r w:rsidRPr="000E39AA">
        <w:rPr>
          <w:rFonts w:ascii="Arial" w:hAnsi="Arial" w:cs="Arial"/>
          <w:i/>
          <w:iCs/>
          <w:shd w:val="clear" w:color="auto" w:fill="FFFFFF"/>
        </w:rPr>
        <w:t xml:space="preserve"> in vivo</w:t>
      </w:r>
      <w:r w:rsidRPr="000E39AA">
        <w:rPr>
          <w:rFonts w:ascii="Arial" w:hAnsi="Arial" w:cs="Arial"/>
          <w:color w:val="000000"/>
          <w:shd w:val="clear" w:color="auto" w:fill="FFFFFF"/>
        </w:rPr>
        <w:t xml:space="preserve"> </w:t>
      </w:r>
      <w:r w:rsidRPr="000E39AA">
        <w:rPr>
          <w:rFonts w:ascii="Arial" w:hAnsi="Arial" w:cs="Arial"/>
          <w:color w:val="000000"/>
          <w:shd w:val="clear" w:color="auto" w:fill="FFFFFF"/>
        </w:rPr>
        <w:fldChar w:fldCharType="begin" w:fldLock="1"/>
      </w:r>
      <w:r w:rsidR="00A445D5">
        <w:rPr>
          <w:rFonts w:ascii="Arial" w:hAnsi="Arial" w:cs="Arial"/>
          <w:color w:val="000000"/>
          <w:shd w:val="clear" w:color="auto" w:fill="FFFFFF"/>
        </w:rPr>
        <w:instrText>ADDIN CSL_CITATION {"citationItems":[{"id":"ITEM-1","itemData":{"DOI":"10.1088/1758-5090/ab8753","ISSN":"1758-5090 (Electronic)","PMID":"32259804","abstract":"Acellular soft hydrogels are not ideal for hard tissue engineering given their poor  mechanical stability, however, in combination with cellular components offer significant promise for tissue regeneration. Indeed, nanocomposite bioinks provide an attractive platform to deliver human bone marrow stromal cells (HBMSCs) in three dimensions producing cell-laden constructs that aim to facilitate bone repair and functionality. Here we present the in vitro, ex vivo and in vivo investigation of bioprinted HBMSCs encapsulated in a nanoclay-based bioink to produce viable and functional three-dimensional constructs. HBMSC-laden constructs remained viable over 21 d in vitro and immediately functional when conditioned with osteogenic media. 3D scaffolds seeded with human umbilical vein endothelial cells (HUVECs) and loaded with vascular endothelial growth factor (VEGF) implanted ex vivo into a chick chorioallantoic membrane (CAM) model showed integration and vascularisation after 7 d of incubation. In a pre-clinical in vivo application of a nanoclay-based bioink to regenerate skeletal tissue, we demonstrated bone morphogenetic protein-2 (BMP-2) absorbed scaffolds produced extensive mineralisation after 4 weeks (p &lt; 0.0001) compared to the drug-free and alginate controls. In addition, HBMSC-laden 3D printed scaffolds were found to significantly (p &lt; 0.0001) support bone tissue formation in vivo compared to acellular and cast scaffolds. These studies illustrate the potential of nanoclay-based bioink, to produce viable and functional constructs for clinically relevant skeletal tissue regeneration.","author":[{"dropping-particle":"","family":"Cidonio","given":"Gianluca","non-dropping-particle":"","parse-names":false,"suffix":""},{"dropping-particle":"","family":"Glinka","given":"Michael","non-dropping-particle":"","parse-names":false,"suffix":""},{"dropping-particle":"","family":"Kim","given":"Yang-Hee","non-dropping-particle":"","parse-names":false,"suffix":""},{"dropping-particle":"","family":"Kanczler","given":"Janos M","non-dropping-particle":"","parse-names":false,"suffix":""},{"dropping-particle":"","family":"Lanham","given":"Stuart A","non-dropping-particle":"","parse-names":false,"suffix":""},{"dropping-particle":"","family":"Ahlfeld","given":"Tilman","non-dropping-particle":"","parse-names":false,"suffix":""},{"dropping-particle":"","family":"Lode","given":"Anja","non-dropping-particle":"","parse-names":false,"suffix":""},{"dropping-particle":"","family":"Dawson","given":"Jonathan I","non-dropping-particle":"","parse-names":false,"suffix":""},{"dropping-particle":"","family":"Gelinsky","given":"Michael","non-dropping-particle":"","parse-names":false,"suffix":""},{"dropping-particle":"","family":"Oreffo","given":"Richard O C","non-dropping-particle":"","parse-names":false,"suffix":""}],"container-title":"Biofabrication","id":"ITEM-1","issue":"3","issued":{"date-parts":[["2020","5"]]},"language":"eng","page":"35010","publisher-place":"England","title":"Nanoclay-based 3D printed scaffolds promote vascular ingrowth ex vivo and generate  bone mineral tissue in vitro and in vivo.","type":"article-journal","volume":"12"},"uris":["http://www.mendeley.com/documents/?uuid=a7f7ed2b-9ed9-4346-a4f1-92ee6093d637","http://www.mendeley.com/documents/?uuid=532202b5-a7e9-4763-b335-8cf37b99ca16"]}],"mendeley":{"formattedCitation":"[72]","plainTextFormattedCitation":"[72]","previouslyFormattedCitation":"[72]"},"properties":{"noteIndex":0},"schema":"https://github.com/citation-style-language/schema/raw/master/csl-citation.json"}</w:instrText>
      </w:r>
      <w:r w:rsidRPr="000E39AA">
        <w:rPr>
          <w:rFonts w:ascii="Arial" w:hAnsi="Arial" w:cs="Arial"/>
          <w:color w:val="000000"/>
          <w:shd w:val="clear" w:color="auto" w:fill="FFFFFF"/>
        </w:rPr>
        <w:fldChar w:fldCharType="separate"/>
      </w:r>
      <w:r w:rsidR="0062132B" w:rsidRPr="0062132B">
        <w:rPr>
          <w:rFonts w:ascii="Arial" w:hAnsi="Arial" w:cs="Arial"/>
          <w:noProof/>
          <w:color w:val="000000"/>
          <w:shd w:val="clear" w:color="auto" w:fill="FFFFFF"/>
        </w:rPr>
        <w:t>[72]</w:t>
      </w:r>
      <w:r w:rsidRPr="000E39AA">
        <w:rPr>
          <w:rFonts w:ascii="Arial" w:hAnsi="Arial" w:cs="Arial"/>
          <w:color w:val="000000"/>
          <w:shd w:val="clear" w:color="auto" w:fill="FFFFFF"/>
        </w:rPr>
        <w:fldChar w:fldCharType="end"/>
      </w:r>
      <w:r w:rsidRPr="000E39AA">
        <w:rPr>
          <w:rFonts w:ascii="Arial" w:hAnsi="Arial" w:cs="Arial"/>
          <w:color w:val="000000"/>
          <w:shd w:val="clear" w:color="auto" w:fill="FFFFFF"/>
        </w:rPr>
        <w:t xml:space="preserve"> </w:t>
      </w:r>
      <w:r w:rsidRPr="000E39AA">
        <w:rPr>
          <w:rFonts w:ascii="Arial" w:hAnsi="Arial" w:cs="Arial"/>
          <w:shd w:val="clear" w:color="auto" w:fill="FFFFFF"/>
        </w:rPr>
        <w:t xml:space="preserve">and can be used in combination with polymeric materials </w:t>
      </w:r>
      <w:r w:rsidR="006362C6">
        <w:rPr>
          <w:rFonts w:ascii="Arial" w:hAnsi="Arial" w:cs="Arial"/>
          <w:shd w:val="clear" w:color="auto" w:fill="FFFFFF"/>
        </w:rPr>
        <w:t>such as</w:t>
      </w:r>
      <w:r w:rsidRPr="000E39AA">
        <w:rPr>
          <w:rFonts w:ascii="Arial" w:hAnsi="Arial" w:cs="Arial"/>
          <w:shd w:val="clear" w:color="auto" w:fill="FFFFFF"/>
        </w:rPr>
        <w:t xml:space="preserve"> gellan gum (GG) </w:t>
      </w:r>
      <w:r w:rsidRPr="000E39AA">
        <w:rPr>
          <w:rFonts w:ascii="Arial" w:hAnsi="Arial" w:cs="Arial"/>
          <w:shd w:val="clear" w:color="auto" w:fill="FFFFFF"/>
        </w:rPr>
        <w:fldChar w:fldCharType="begin" w:fldLock="1"/>
      </w:r>
      <w:r w:rsidR="00A445D5">
        <w:rPr>
          <w:rFonts w:ascii="Arial" w:hAnsi="Arial" w:cs="Arial"/>
          <w:shd w:val="clear" w:color="auto" w:fill="FFFFFF"/>
        </w:rPr>
        <w:instrText>ADDIN CSL_CITATION {"citationItems":[{"id":"ITEM-1","itemData":{"DOI":"10.1016/j.mtbio.2019.100028","ISSN":"25900064","abstract":"Free-form printing offers a novel biofabrication approach to generate complex shapes by depositing hydrogel materials within a temporary supportive environment. However, printed hydrogels typically lack the requisite mechanical properties and functionality of the desired tissue, limiting application and, more importantly, safety and efficacy of the implant. The study authors have developed an innovative nanoclay-based bioink to print high shape fidelity functional constructs for potential skeletal application. Laponite® (LAP) nanoclay was combined with gellan gum (GG) to generate a printable hydrogel that was highly stable in vitro, displayed limited swelling ability compared with the silicate-free control and remained stable over time. An agarose fluid gel was found to provide the requisite support for the deposition of the material ink and preservation of the printed structure before crosslinking. Printed C2C12 myoblasts remained viable and displayed extensive proliferation over 21 days in culture. Cell-laden scaffolds demonstrated functionality within 1 day of culture in vitro and that was preserved over 3 weeks. Analysis of absorption and release mechanisms from LAP-GG using model proteins (lysozyme and bovine serum albumin) demonstrated the retention capability of the clay-based materials for compound localisation and absence of burst release. Vascular endothelial growth factor ​was loaded within the agarose fluid gel and absorbed by the material ink via absorption during deposition. The 3D-printed constructs were implanted on the chorioallantoic membrane of a 10-day-old developing chick. Extensive and preferential vasculature infiltration was observed in LAP-GG–loaded vascular endothelial growth factor constructs compared with controls (p&lt;0.01 and p&lt;0.0001) after only 7 days of incubation. The current studies demonstrate, for the first time, the application of innovative LAP-GG 3D constructs in the generation of growth factor–loaded 3D constructs for potential application in skeletal tissue repair.","author":[{"dropping-particle":"","family":"Cidonio","given":"G.","non-dropping-particle":"","parse-names":false,"suffix":""},{"dropping-particle":"","family":"Cooke","given":"M.","non-dropping-particle":"","parse-names":false,"suffix":""},{"dropping-particle":"","family":"Glinka","given":"M.","non-dropping-particle":"","parse-names":false,"suffix":""},{"dropping-particle":"","family":"Dawson","given":"J. I.","non-dropping-particle":"","parse-names":false,"suffix":""},{"dropping-particle":"","family":"Grover","given":"L.","non-dropping-particle":"","parse-names":false,"suffix":""},{"dropping-particle":"","family":"Oreffo","given":"R. O.C.","non-dropping-particle":"","parse-names":false,"suffix":""}],"container-title":"Materials Today Bio","id":"ITEM-1","issue":"September","issued":{"date-parts":[["2019"]]},"publisher":"Elsevier Ltd","title":"Printing bone in a gel: using nanocomposite bioink to print functionalised bone scaffolds","type":"article-journal","volume":"4"},"uris":["http://www.mendeley.com/documents/?uuid=fc9f9b86-7d04-4cc7-8a3e-d9d19832d662"]}],"mendeley":{"formattedCitation":"[73]","plainTextFormattedCitation":"[73]","previouslyFormattedCitation":"[73]"},"properties":{"noteIndex":0},"schema":"https://github.com/citation-style-language/schema/raw/master/csl-citation.json"}</w:instrText>
      </w:r>
      <w:r w:rsidRPr="000E39AA">
        <w:rPr>
          <w:rFonts w:ascii="Arial" w:hAnsi="Arial" w:cs="Arial"/>
          <w:shd w:val="clear" w:color="auto" w:fill="FFFFFF"/>
        </w:rPr>
        <w:fldChar w:fldCharType="separate"/>
      </w:r>
      <w:r w:rsidR="0062132B" w:rsidRPr="0062132B">
        <w:rPr>
          <w:rFonts w:ascii="Arial" w:hAnsi="Arial" w:cs="Arial"/>
          <w:noProof/>
          <w:shd w:val="clear" w:color="auto" w:fill="FFFFFF"/>
        </w:rPr>
        <w:t>[73]</w:t>
      </w:r>
      <w:r w:rsidRPr="000E39AA">
        <w:rPr>
          <w:rFonts w:ascii="Arial" w:hAnsi="Arial" w:cs="Arial"/>
          <w:shd w:val="clear" w:color="auto" w:fill="FFFFFF"/>
        </w:rPr>
        <w:fldChar w:fldCharType="end"/>
      </w:r>
      <w:r w:rsidR="0049554C">
        <w:rPr>
          <w:rFonts w:ascii="Arial" w:hAnsi="Arial" w:cs="Arial"/>
          <w:shd w:val="clear" w:color="auto" w:fill="FFFFFF"/>
        </w:rPr>
        <w:t xml:space="preserve"> </w:t>
      </w:r>
      <w:r w:rsidR="0049554C" w:rsidRPr="000E39AA">
        <w:rPr>
          <w:rFonts w:ascii="Arial" w:hAnsi="Arial" w:cs="Arial"/>
        </w:rPr>
        <w:t>(</w:t>
      </w:r>
      <w:r w:rsidR="0049554C" w:rsidRPr="000E39AA">
        <w:rPr>
          <w:rFonts w:ascii="Arial" w:hAnsi="Arial" w:cs="Arial"/>
          <w:b/>
          <w:bCs/>
        </w:rPr>
        <w:t>Fig</w:t>
      </w:r>
      <w:r w:rsidR="0049554C">
        <w:rPr>
          <w:rFonts w:ascii="Arial" w:hAnsi="Arial" w:cs="Arial"/>
          <w:b/>
          <w:bCs/>
        </w:rPr>
        <w:t>.</w:t>
      </w:r>
      <w:r w:rsidR="0049554C" w:rsidRPr="000E39AA">
        <w:rPr>
          <w:rFonts w:ascii="Arial" w:hAnsi="Arial" w:cs="Arial"/>
          <w:b/>
          <w:bCs/>
        </w:rPr>
        <w:t xml:space="preserve"> </w:t>
      </w:r>
      <w:r w:rsidR="0049554C">
        <w:rPr>
          <w:rFonts w:ascii="Arial" w:hAnsi="Arial" w:cs="Arial"/>
          <w:b/>
          <w:bCs/>
        </w:rPr>
        <w:t>3b-ii</w:t>
      </w:r>
      <w:r w:rsidR="0049554C" w:rsidRPr="000E39AA">
        <w:rPr>
          <w:rFonts w:ascii="Arial" w:hAnsi="Arial" w:cs="Arial"/>
        </w:rPr>
        <w:t>)</w:t>
      </w:r>
      <w:r w:rsidRPr="000E39AA">
        <w:rPr>
          <w:rFonts w:ascii="Arial" w:hAnsi="Arial" w:cs="Arial"/>
          <w:shd w:val="clear" w:color="auto" w:fill="FFFFFF"/>
        </w:rPr>
        <w:t xml:space="preserve">, gelatin methacryloyl (GelMA) </w:t>
      </w:r>
      <w:r w:rsidRPr="000E39AA">
        <w:rPr>
          <w:rFonts w:ascii="Arial" w:hAnsi="Arial" w:cs="Arial"/>
          <w:shd w:val="clear" w:color="auto" w:fill="FFFFFF"/>
        </w:rPr>
        <w:fldChar w:fldCharType="begin" w:fldLock="1"/>
      </w:r>
      <w:r w:rsidR="00A445D5">
        <w:rPr>
          <w:rFonts w:ascii="Arial" w:hAnsi="Arial" w:cs="Arial"/>
          <w:shd w:val="clear" w:color="auto" w:fill="FFFFFF"/>
        </w:rPr>
        <w:instrText>ADDIN CSL_CITATION {"citationItems":[{"id":"ITEM-1","itemData":{"DOI":"10.1088/1758-5090/ab19fd","ISSN":"1758-5090","abstract":"Bioprinting of living cells is rapidly developing as an advanced biofabrication approach to engineer tissues. Bioinks can be extruded in three-dimensions (3D) to fabricate complex and hierarchical constructs for implantation. However, a lack of functionality can often be attributed to poor bioink properties. Indeed, advanced bioinks encapsulating living cells should: (i) present optimal rheological properties and retain 3D structure post fabrication, (ii) promote cell viability and support cell differentiation, and (iii) localise proteins of interest (e.g. vascular endothelial growth factor (VEGF)) to stimulate encapsulated cell activity and tissue ingrowth upon implantation. In this study, we present the results of the inclusion of a synthetic nanoclay, Laponite® (LPN) together with a gelatin methacryloyl (GelMA) bioink and the development of a functional cell-instructive bioink. A nanocomposite bioink displaying enhanced shape fidelity retention and interconnected porosity within extrusion-bioprinted fibres was observed. Human bone marrow stromal cell (HBMSC) viability within the nanocomposite showed no significant changes over 21 days of culture in LPN-GelMA (85.60 ± 10.27%), compared to a significant decrease in GelMA from 7 (95.88 ± 2.90%) to 21 days (55.54 ± 14.72%) (p &lt; 0.01). HBMSCs were observed to proliferate in LPN-GelMA with a significant increase in cell number over 21 days (p &lt; 0.0001) compared to GelMA alone. HBMSC-laden LPN-GelMA scaffolds supported osteogenic differentiation evidenced by mineralised nodule formation, including in the absence of the osteogenic drug dexamethasone. Ex vivo implantation in a chick chorioallantoic membrane model, demonstrated excellent integration of the bioink constructs in the vascular chick embryo after 7 days of incubation. VEGF-loaded LPN-GelMA constructs demonstrated significantly higher vessel penetration than GelMA-VEGF (p &lt; 0.0001) scaffolds. Integration and vascularisation was directly related to increased drug absorption and retention by LPN-GelMA compared to LPN-free GelMA. In summary, a novel light-curable nanocomposite bioink for 3D skeletal regeneration supportive of cell growth and growth factor retention and delivery, evidenced by ex vivo vasculogenesis, was developed with potential application in hard and soft tissue reparation.","author":[{"dropping-particle":"","family":"Cidonio","given":"Gianluca","non-dropping-particle":"","parse-names":false,"suffix":""},{"dropping-particle":"","family":"Alcala-Orozco","given":"Cesar R.","non-dropping-particle":"","parse-names":false,"suffix":""},{"dropping-particle":"","family":"Lim","given":"Khoon S.","non-dropping-particle":"","parse-names":false,"suffix":""},{"dropping-particle":"","family":"Glinka","given":"Michael","non-dropping-particle":"","parse-names":false,"suffix":""},{"dropping-particle":"","family":"Mutreja","given":"Isha","non-dropping-particle":"","parse-names":false,"suffix":""},{"dropping-particle":"","family":"Kim","given":"Yang-Hee","non-dropping-particle":"","parse-names":false,"suffix":""},{"dropping-particle":"","family":"Dawson","given":"Jonathan I.","non-dropping-particle":"","parse-names":false,"suffix":""},{"dropping-particle":"","family":"Woodfield","given":"Tim B F","non-dropping-particle":"","parse-names":false,"suffix":""},{"dropping-particle":"","family":"Oreffo","given":"Richard O C","non-dropping-particle":"","parse-names":false,"suffix":""}],"container-title":"Biofabrication","id":"ITEM-1","issue":"3","issued":{"date-parts":[["2019","6","12"]]},"page":"035027","title":"Osteogenic and angiogenic tissue formation in high fidelity nanocomposite Laponite-gelatin bioinks","type":"article-journal","volume":"11"},"uris":["http://www.mendeley.com/documents/?uuid=f5f7f02e-951a-4101-99ca-e10f10f6d3a4"]}],"mendeley":{"formattedCitation":"[91]","plainTextFormattedCitation":"[91]","previouslyFormattedCitation":"[91]"},"properties":{"noteIndex":0},"schema":"https://github.com/citation-style-language/schema/raw/master/csl-citation.json"}</w:instrText>
      </w:r>
      <w:r w:rsidRPr="000E39AA">
        <w:rPr>
          <w:rFonts w:ascii="Arial" w:hAnsi="Arial" w:cs="Arial"/>
          <w:shd w:val="clear" w:color="auto" w:fill="FFFFFF"/>
        </w:rPr>
        <w:fldChar w:fldCharType="separate"/>
      </w:r>
      <w:r w:rsidR="0062132B" w:rsidRPr="0062132B">
        <w:rPr>
          <w:rFonts w:ascii="Arial" w:hAnsi="Arial" w:cs="Arial"/>
          <w:noProof/>
          <w:shd w:val="clear" w:color="auto" w:fill="FFFFFF"/>
        </w:rPr>
        <w:t>[91]</w:t>
      </w:r>
      <w:r w:rsidRPr="000E39AA">
        <w:rPr>
          <w:rFonts w:ascii="Arial" w:hAnsi="Arial" w:cs="Arial"/>
          <w:shd w:val="clear" w:color="auto" w:fill="FFFFFF"/>
        </w:rPr>
        <w:fldChar w:fldCharType="end"/>
      </w:r>
      <w:r w:rsidRPr="000E39AA">
        <w:rPr>
          <w:rFonts w:ascii="Arial" w:hAnsi="Arial" w:cs="Arial"/>
          <w:shd w:val="clear" w:color="auto" w:fill="FFFFFF"/>
        </w:rPr>
        <w:t xml:space="preserve"> and alginate-</w:t>
      </w:r>
      <w:r w:rsidR="00A51C4A" w:rsidRPr="000E39AA">
        <w:rPr>
          <w:rFonts w:ascii="Arial" w:hAnsi="Arial" w:cs="Arial"/>
          <w:shd w:val="clear" w:color="auto" w:fill="FFFFFF"/>
        </w:rPr>
        <w:t>methylcellulose</w:t>
      </w:r>
      <w:r w:rsidRPr="000E39AA">
        <w:rPr>
          <w:rFonts w:ascii="Arial" w:hAnsi="Arial" w:cs="Arial"/>
          <w:shd w:val="clear" w:color="auto" w:fill="FFFFFF"/>
        </w:rPr>
        <w:t xml:space="preserve"> </w:t>
      </w:r>
      <w:r w:rsidRPr="000E39AA">
        <w:rPr>
          <w:rFonts w:ascii="Arial" w:hAnsi="Arial" w:cs="Arial"/>
          <w:shd w:val="clear" w:color="auto" w:fill="FFFFFF"/>
        </w:rPr>
        <w:fldChar w:fldCharType="begin" w:fldLock="1"/>
      </w:r>
      <w:r w:rsidR="00A445D5">
        <w:rPr>
          <w:rFonts w:ascii="Arial" w:hAnsi="Arial" w:cs="Arial"/>
          <w:shd w:val="clear" w:color="auto" w:fill="FFFFFF"/>
        </w:rPr>
        <w:instrText>ADDIN CSL_CITATION {"citationItems":[{"id":"ITEM-1","itemData":{"DOI":"10.1088/1758-5090/aa7e96","ISBN":"1758-5090","ISSN":"1758-5090","PMID":"28691691","abstract":"Three-dimensional printing of cell-laden hydrogels has evolved as a promising approach on the route to patient-specific or complex tissue-engineered constructs. However, it is still challenging to print structures with both, high shape fidelity and cell vitality. Herein, we used a synthetic nanosilicate clay, called Laponite, to build up scaffolds utilising the extrusion-based method 3D plotting. By blending with alginate and methylcellulose, a bioink was developed which allowed easy extrusion, achieving scaffolds with high printing fidelity. Following extrusion, approximately 70%-75% of printed immortalised human mesenchymal stem cells survived and cell viability was maintained over 21 days within the plotted constructs. Mechanical properties of scaffolds comprised of the composite bioink decreased over time when stored under cell culture conditions. Nevertheless, shape of the plotted constructs was preserved even over longer cultivation periods. Laponite is known for its favourable drug delivery properties. Two model proteins, bovine serum albumin and vascular endothelial growth factor were loaded into the bioink. We demonstrate that the release of both growth factors significantly changed to a more sustained profile by inclusion of Laponite in comparison to an alginate-methylcellulose blend in the absence of Laponite. In summary, addition of a synthetic clay, Laponite, improved printability, increased shape fidelity and was beneficial for controlled release of biologically active agents such as growth factors.","author":[{"dropping-particle":"","family":"Ahlfeld","given":"T.","non-dropping-particle":"","parse-names":false,"suffix":""},{"dropping-particle":"","family":"Cidonio","given":"G.","non-dropping-particle":"","parse-names":false,"suffix":""},{"dropping-particle":"","family":"Kilian","given":"D.","non-dropping-particle":"","parse-names":false,"suffix":""},{"dropping-particle":"","family":"Duin","given":"S.","non-dropping-particle":"","parse-names":false,"suffix":""},{"dropping-particle":"","family":"Akkineni","given":"A. R.","non-dropping-particle":"","parse-names":false,"suffix":""},{"dropping-particle":"","family":"Dawson","given":"J. I.","non-dropping-particle":"","parse-names":false,"suffix":""},{"dropping-particle":"","family":"Yang","given":"S.","non-dropping-particle":"","parse-names":false,"suffix":""},{"dropping-particle":"","family":"Lode","given":"A.","non-dropping-particle":"","parse-names":false,"suffix":""},{"dropping-particle":"","family":"Oreffo","given":"R O C","non-dropping-particle":"","parse-names":false,"suffix":""},{"dropping-particle":"","family":"Gelinsky","given":"M.","non-dropping-particle":"","parse-names":false,"suffix":""}],"container-title":"Biofabrication","id":"ITEM-1","issue":"3","issued":{"date-parts":[["2017","7","25"]]},"page":"034103","publisher":"IOP Publishing","title":"Development of a clay based bioink for 3D cell printing for skeletal application","type":"article-journal","volume":"9"},"uris":["http://www.mendeley.com/documents/?uuid=23131421-aaf8-42d5-b49d-6ee614725638"]},{"id":"ITEM-2","itemData":{"DOI":"10.1088/1758-5090/ab8753","ISSN":"17585090","PMID":"32259804","abstract":"Acellular soft hydrogels are not ideal for hard tissue engineering given their poor mechanical stability, however, in combination with cellular components offer significant promise for tissue regeneration. Indeed, nanocomposite bioinks provide an attractive platform to deliver human bone marrow stromal cells (HBMSCs) in three dimensions producing cell-laden constructs that aim to facilitate bone repair and functionality. Here we present the in vitro, ex vivo and in vivo investigation of bioprinted HBMSCs encapsulated in a nanoclay-based bioink to produce viable and functional three-dimensional constructs. HBMSC-laden constructs remained viable over 21 d in vitro and immediately functional when conditioned with osteogenic media. 3D scaffolds seeded with human umbilical vein endothelial cells (HUVECs) and loaded with vascular endothelial growth factor (VEGF) implanted ex vivo into a chick chorioallantoic membrane (CAM) model showed integration and vascularisation after 7 d of incubation. In a pre-clinical in vivo application of a nanoclay-based bioink to regenerate skeletal tissue, we demonstrated bone morphogenetic protein-2 (BMP-2) absorbed scaffolds produced extensive mineralisation after 4 weeks (p &lt; 0.0001) compared to the drug-free and alginate controls. In addition, HBMSC-laden 3D printed scaffolds were found to significantly (p &lt; 0.0001) support bone tissue formation in vivo compared to acellular and cast scaffolds. These studies illustrate the potential of nanoclay-based bioink, to produce viable and functional constructs for clinically relevant skeletal tissue regeneration.","author":[{"dropping-particle":"","family":"Cidonio","given":"Gianluca","non-dropping-particle":"","parse-names":false,"suffix":""},{"dropping-particle":"","family":"Glinka","given":"Michael","non-dropping-particle":"","parse-names":false,"suffix":""},{"dropping-particle":"","family":"Kim","given":"Yang Hee","non-dropping-particle":"","parse-names":false,"suffix":""},{"dropping-particle":"","family":"Kanczler","given":"Janos M.","non-dropping-particle":"","parse-names":false,"suffix":""},{"dropping-particle":"","family":"Lanham","given":"Stuart A.","non-dropping-particle":"","parse-names":false,"suffix":""},{"dropping-particle":"","family":"Ahlfeld","given":"Tilman","non-dropping-particle":"","parse-names":false,"suffix":""},{"dropping-particle":"","family":"Lode","given":"Anja","non-dropping-particle":"","parse-names":false,"suffix":""},{"dropping-particle":"","family":"Dawson","given":"Jonathan I.","non-dropping-particle":"","parse-names":false,"suffix":""},{"dropping-particle":"","family":"Gelinsky","given":"Michael","non-dropping-particle":"","parse-names":false,"suffix":""},{"dropping-particle":"","family":"Oreffo","given":"Richard O.C.","non-dropping-particle":"","parse-names":false,"suffix":""}],"container-title":"Biofabrication","id":"ITEM-2","issue":"3","issued":{"date-parts":[["2020","5","12"]]},"page":"035010","title":"Nanoclay-based 3D printed scaffolds promote vascular ingrowth ex vivo and generate bone mineral tissue in vitro and in vivo","type":"article-journal","volume":"12"},"uris":["http://www.mendeley.com/documents/?uuid=646372ef-883f-48fd-8087-c8081b630c11"]}],"mendeley":{"formattedCitation":"[74, 92]","plainTextFormattedCitation":"[74, 92]","previouslyFormattedCitation":"[74, 92]"},"properties":{"noteIndex":0},"schema":"https://github.com/citation-style-language/schema/raw/master/csl-citation.json"}</w:instrText>
      </w:r>
      <w:r w:rsidRPr="000E39AA">
        <w:rPr>
          <w:rFonts w:ascii="Arial" w:hAnsi="Arial" w:cs="Arial"/>
          <w:shd w:val="clear" w:color="auto" w:fill="FFFFFF"/>
        </w:rPr>
        <w:fldChar w:fldCharType="separate"/>
      </w:r>
      <w:r w:rsidR="0062132B" w:rsidRPr="0062132B">
        <w:rPr>
          <w:rFonts w:ascii="Arial" w:hAnsi="Arial" w:cs="Arial"/>
          <w:noProof/>
          <w:shd w:val="clear" w:color="auto" w:fill="FFFFFF"/>
        </w:rPr>
        <w:t>[74, 92]</w:t>
      </w:r>
      <w:r w:rsidRPr="000E39AA">
        <w:rPr>
          <w:rFonts w:ascii="Arial" w:hAnsi="Arial" w:cs="Arial"/>
          <w:shd w:val="clear" w:color="auto" w:fill="FFFFFF"/>
        </w:rPr>
        <w:fldChar w:fldCharType="end"/>
      </w:r>
      <w:r w:rsidR="0049554C">
        <w:rPr>
          <w:rFonts w:ascii="Arial" w:hAnsi="Arial" w:cs="Arial"/>
          <w:shd w:val="clear" w:color="auto" w:fill="FFFFFF"/>
        </w:rPr>
        <w:t xml:space="preserve"> </w:t>
      </w:r>
      <w:r w:rsidR="0049554C" w:rsidRPr="000E39AA">
        <w:rPr>
          <w:rFonts w:ascii="Arial" w:hAnsi="Arial" w:cs="Arial"/>
        </w:rPr>
        <w:t>(</w:t>
      </w:r>
      <w:r w:rsidR="0049554C" w:rsidRPr="000E39AA">
        <w:rPr>
          <w:rFonts w:ascii="Arial" w:hAnsi="Arial" w:cs="Arial"/>
          <w:b/>
          <w:bCs/>
        </w:rPr>
        <w:t>Fig</w:t>
      </w:r>
      <w:r w:rsidR="0049554C">
        <w:rPr>
          <w:rFonts w:ascii="Arial" w:hAnsi="Arial" w:cs="Arial"/>
          <w:b/>
          <w:bCs/>
        </w:rPr>
        <w:t>.</w:t>
      </w:r>
      <w:r w:rsidR="0049554C" w:rsidRPr="000E39AA">
        <w:rPr>
          <w:rFonts w:ascii="Arial" w:hAnsi="Arial" w:cs="Arial"/>
          <w:b/>
          <w:bCs/>
        </w:rPr>
        <w:t xml:space="preserve"> </w:t>
      </w:r>
      <w:r w:rsidR="0049554C">
        <w:rPr>
          <w:rFonts w:ascii="Arial" w:hAnsi="Arial" w:cs="Arial"/>
          <w:b/>
          <w:bCs/>
        </w:rPr>
        <w:t>3</w:t>
      </w:r>
      <w:r w:rsidR="0049554C" w:rsidRPr="000E39AA">
        <w:rPr>
          <w:rFonts w:ascii="Arial" w:hAnsi="Arial" w:cs="Arial"/>
          <w:b/>
          <w:bCs/>
        </w:rPr>
        <w:t>a</w:t>
      </w:r>
      <w:r w:rsidR="0049554C">
        <w:rPr>
          <w:rFonts w:ascii="Arial" w:hAnsi="Arial" w:cs="Arial"/>
          <w:b/>
          <w:bCs/>
        </w:rPr>
        <w:t>-iii</w:t>
      </w:r>
      <w:r w:rsidR="0049554C" w:rsidRPr="000E39AA">
        <w:rPr>
          <w:rFonts w:ascii="Arial" w:hAnsi="Arial" w:cs="Arial"/>
        </w:rPr>
        <w:t xml:space="preserve">) </w:t>
      </w:r>
      <w:r w:rsidRPr="000E39AA">
        <w:rPr>
          <w:rFonts w:ascii="Arial" w:hAnsi="Arial" w:cs="Arial"/>
          <w:shd w:val="clear" w:color="auto" w:fill="FFFFFF"/>
        </w:rPr>
        <w:t>to produce functional bioinks to model bone tissue. While a range of material approaches exist</w:t>
      </w:r>
      <w:r w:rsidR="007D53B0">
        <w:rPr>
          <w:rFonts w:ascii="Arial" w:hAnsi="Arial" w:cs="Arial"/>
          <w:shd w:val="clear" w:color="auto" w:fill="FFFFFF"/>
        </w:rPr>
        <w:t>s</w:t>
      </w:r>
      <w:r w:rsidRPr="000E39AA">
        <w:rPr>
          <w:rFonts w:ascii="Arial" w:hAnsi="Arial" w:cs="Arial"/>
          <w:shd w:val="clear" w:color="auto" w:fill="FFFFFF"/>
        </w:rPr>
        <w:t xml:space="preserve"> for bone scaffold manufacture, to date, the recapitulation of the natural bone micro-environment has proved elusive. </w:t>
      </w:r>
    </w:p>
    <w:p w14:paraId="60090835" w14:textId="77777777" w:rsidR="00F03759" w:rsidRPr="000E39AA" w:rsidRDefault="00F03759" w:rsidP="00F03759">
      <w:pPr>
        <w:spacing w:after="0" w:line="276" w:lineRule="auto"/>
        <w:jc w:val="both"/>
        <w:rPr>
          <w:rFonts w:ascii="Arial" w:hAnsi="Arial" w:cs="Arial"/>
          <w:shd w:val="clear" w:color="auto" w:fill="FFFFFF"/>
        </w:rPr>
      </w:pPr>
    </w:p>
    <w:p w14:paraId="558CB4E4" w14:textId="77777777" w:rsidR="00F03759" w:rsidRPr="000E39AA" w:rsidRDefault="00F03759" w:rsidP="00F03759">
      <w:pPr>
        <w:pStyle w:val="Heading5"/>
        <w:rPr>
          <w:lang w:val="en-GB"/>
        </w:rPr>
      </w:pPr>
      <w:bookmarkStart w:id="54" w:name="_Toc98937880"/>
      <w:r w:rsidRPr="000E39AA">
        <w:rPr>
          <w:lang w:val="en-GB"/>
        </w:rPr>
        <w:lastRenderedPageBreak/>
        <w:t>4.1.3.2 Microfluidic</w:t>
      </w:r>
      <w:bookmarkEnd w:id="54"/>
    </w:p>
    <w:p w14:paraId="12046E4A" w14:textId="12FBA203" w:rsidR="00F03759" w:rsidRPr="000E39AA" w:rsidRDefault="00F03759" w:rsidP="00F03759">
      <w:pPr>
        <w:spacing w:after="0"/>
        <w:jc w:val="both"/>
        <w:rPr>
          <w:rFonts w:ascii="Arial" w:hAnsi="Arial" w:cs="Arial"/>
        </w:rPr>
      </w:pPr>
      <w:r w:rsidRPr="000E39AA">
        <w:rPr>
          <w:rFonts w:ascii="Arial" w:hAnsi="Arial" w:cs="Arial"/>
        </w:rPr>
        <w:t xml:space="preserve">Osteoclasts and osteocytes have been established in co-culture in microfluidic devices in the presence of fluid flow stimulation to explore the mechanotransduction and intercellular </w:t>
      </w:r>
      <w:r w:rsidR="00B426BD" w:rsidRPr="000E39AA">
        <w:rPr>
          <w:rFonts w:ascii="Arial" w:hAnsi="Arial" w:cs="Arial"/>
        </w:rPr>
        <w:t>signalling</w:t>
      </w:r>
      <w:r w:rsidRPr="000E39AA">
        <w:rPr>
          <w:rFonts w:ascii="Arial" w:hAnsi="Arial" w:cs="Arial"/>
        </w:rPr>
        <w:t xml:space="preserve"> pathways involved in osteoporosis </w:t>
      </w:r>
      <w:r w:rsidRPr="000E39AA">
        <w:rPr>
          <w:rFonts w:ascii="Arial" w:hAnsi="Arial" w:cs="Arial"/>
        </w:rPr>
        <w:fldChar w:fldCharType="begin" w:fldLock="1"/>
      </w:r>
      <w:r w:rsidR="00A445D5">
        <w:rPr>
          <w:rFonts w:ascii="Arial" w:hAnsi="Arial" w:cs="Arial"/>
        </w:rPr>
        <w:instrText>ADDIN CSL_CITATION {"citationItems":[{"id":"ITEM-1","itemData":{"DOI":"https://doi.org/10.1016/j.jbiomech.2017.05.012","ISSN":"0021-9290","abstract":"Bone cells exist in a complex environment where they are constantly exposed to numerous dynamic biochemical and mechanical stimuli. These stimuli regulate bone cells that are involved in various bone disorders, such as osteoporosis. Knowledge of how these stimuli affect bone cells have been utilised to develop various treatments, such as pharmaceuticals, hormone therapy, and exercise. To investigate the role that bone loading has on these disorders in vitro, bone cell mechanotransduction studies are typically performed using parallel plate flow chambers (PPFC). However, these chambers do not allow for dynamic cellular interactions among different cell populations to be investigated. We present a microfluidic approach that exposes different cell populations, which are located at physiologically relevant distances within adjacent channels, to different levels of fluid shear stress, and promotes cell-cell communication between the different channels. We employed this microfluidic system to assess mechanically regulated osteocyte-osteoclast communication. Osteoclast precursors (RAW264.7 cells) responded to cytokine gradients (e.g., RANKL, OPG, PGE-2) developed by both mechanically stimulated (fOCY) and unstimulated (nOCY) osteocyte-like MLO-Y4 cells simultaneously. Specifically, we observed increased osteoclast precursor cell densities and osteoclast differentiation towards nOCY. We also used this system to show an increased mechanoresponse of osteocytes when in co-culture with osteoclasts. We envision broad applicability of the presented approach for microfluidic perfusion co-culture of multiple cell types in the presence of fluid flow stimulation, and as a tool to investigate osteocyte mechanotransduction, as well as bone metastasis extravasation. This system could also be applied to any multi-cell population cross-talk studies that are typically performed using PPFCs (e.g. endothelial cells, smooth muscle cells, and fibroblasts).","author":[{"dropping-particle":"","family":"Middleton","given":"K","non-dropping-particle":"","parse-names":false,"suffix":""},{"dropping-particle":"","family":"Al-Dujaili","given":"S","non-dropping-particle":"","parse-names":false,"suffix":""},{"dropping-particle":"","family":"Mei","given":"X","non-dropping-particle":"","parse-names":false,"suffix":""},{"dropping-particle":"","family":"Günther","given":"A","non-dropping-particle":"","parse-names":false,"suffix":""},{"dropping-particle":"","family":"You","given":"L","non-dropping-particle":"","parse-names":false,"suffix":""}],"container-title":"Journal of Biomechanics","id":"ITEM-1","issued":{"date-parts":[["2017"]]},"page":"35-42","title":"Microfluidic co-culture platform for investigating osteocyte-osteoclast signalling during fluid shear stress mechanostimulation","type":"article-journal","volume":"59"},"uris":["http://www.mendeley.com/documents/?uuid=1aca976a-9796-4557-a7f4-c986036f4809"]}],"mendeley":{"formattedCitation":"[93]","plainTextFormattedCitation":"[93]","previouslyFormattedCitation":"[93]"},"properties":{"noteIndex":0},"schema":"https://github.com/citation-style-language/schema/raw/master/csl-citation.json"}</w:instrText>
      </w:r>
      <w:r w:rsidRPr="000E39AA">
        <w:rPr>
          <w:rFonts w:ascii="Arial" w:hAnsi="Arial" w:cs="Arial"/>
        </w:rPr>
        <w:fldChar w:fldCharType="separate"/>
      </w:r>
      <w:r w:rsidR="0062132B" w:rsidRPr="0062132B">
        <w:rPr>
          <w:rFonts w:ascii="Arial" w:hAnsi="Arial" w:cs="Arial"/>
          <w:noProof/>
        </w:rPr>
        <w:t>[93]</w:t>
      </w:r>
      <w:r w:rsidRPr="000E39AA">
        <w:rPr>
          <w:rFonts w:ascii="Arial" w:hAnsi="Arial" w:cs="Arial"/>
        </w:rPr>
        <w:fldChar w:fldCharType="end"/>
      </w:r>
      <w:r w:rsidRPr="000E39AA">
        <w:rPr>
          <w:rFonts w:ascii="Arial" w:hAnsi="Arial" w:cs="Arial"/>
        </w:rPr>
        <w:t xml:space="preserve">. Recently, Ma </w:t>
      </w:r>
      <w:r w:rsidR="002D455E">
        <w:rPr>
          <w:rFonts w:ascii="Arial" w:hAnsi="Arial" w:cs="Arial"/>
        </w:rPr>
        <w:t>and colleagues</w:t>
      </w:r>
      <w:r w:rsidRPr="000E39AA">
        <w:rPr>
          <w:rFonts w:ascii="Arial" w:hAnsi="Arial" w:cs="Arial"/>
        </w:rPr>
        <w:t xml:space="preserve"> have developed a model of rheumatoid arthritis</w:t>
      </w:r>
      <w:r>
        <w:rPr>
          <w:rFonts w:ascii="Arial" w:hAnsi="Arial" w:cs="Arial"/>
        </w:rPr>
        <w:t xml:space="preserve"> (RAs) in a microfluidic chip</w:t>
      </w:r>
      <w:r w:rsidRPr="000E39AA">
        <w:rPr>
          <w:rFonts w:ascii="Arial" w:hAnsi="Arial" w:cs="Arial"/>
        </w:rPr>
        <w:t xml:space="preserve"> to investigate fibroblast-like </w:t>
      </w:r>
      <w:proofErr w:type="spellStart"/>
      <w:r w:rsidRPr="000E39AA">
        <w:rPr>
          <w:rFonts w:ascii="Arial" w:hAnsi="Arial" w:cs="Arial"/>
        </w:rPr>
        <w:t>synoviocyte</w:t>
      </w:r>
      <w:proofErr w:type="spellEnd"/>
      <w:r w:rsidRPr="000E39AA">
        <w:rPr>
          <w:rFonts w:ascii="Arial" w:hAnsi="Arial" w:cs="Arial"/>
        </w:rPr>
        <w:t xml:space="preserve">-mediated bone erosion. </w:t>
      </w:r>
      <w:r>
        <w:rPr>
          <w:rFonts w:ascii="Arial" w:hAnsi="Arial" w:cs="Arial"/>
        </w:rPr>
        <w:t>When cultured in the RA-mimicking chip, human synovium cells</w:t>
      </w:r>
      <w:r w:rsidRPr="000E39AA">
        <w:rPr>
          <w:rFonts w:ascii="Arial" w:hAnsi="Arial" w:cs="Arial"/>
        </w:rPr>
        <w:t xml:space="preserve"> were </w:t>
      </w:r>
      <w:r>
        <w:rPr>
          <w:rFonts w:ascii="Arial" w:hAnsi="Arial" w:cs="Arial"/>
        </w:rPr>
        <w:t>found</w:t>
      </w:r>
      <w:r w:rsidRPr="000E39AA">
        <w:rPr>
          <w:rFonts w:ascii="Arial" w:hAnsi="Arial" w:cs="Arial"/>
        </w:rPr>
        <w:t xml:space="preserve"> to exhibit higher migration potential</w:t>
      </w:r>
      <w:r>
        <w:rPr>
          <w:rFonts w:ascii="Arial" w:hAnsi="Arial" w:cs="Arial"/>
        </w:rPr>
        <w:t>,</w:t>
      </w:r>
      <w:r w:rsidRPr="000E39AA">
        <w:rPr>
          <w:rFonts w:ascii="Arial" w:hAnsi="Arial" w:cs="Arial"/>
        </w:rPr>
        <w:t xml:space="preserve"> associated with enhanced expression of cadherin-11</w:t>
      </w:r>
      <w:r>
        <w:rPr>
          <w:rFonts w:ascii="Arial" w:hAnsi="Arial" w:cs="Arial"/>
        </w:rPr>
        <w:t>,</w:t>
      </w:r>
      <w:r w:rsidRPr="000E39AA">
        <w:rPr>
          <w:rFonts w:ascii="Arial" w:hAnsi="Arial" w:cs="Arial"/>
        </w:rPr>
        <w:t xml:space="preserve"> towards the co-culture of RANKL-stimulated osteoclastic RAW264.7 and BMSC</w:t>
      </w:r>
      <w:r w:rsidR="007D53B0">
        <w:rPr>
          <w:rFonts w:ascii="Arial" w:hAnsi="Arial" w:cs="Arial"/>
        </w:rPr>
        <w:t>s</w:t>
      </w:r>
      <w:r>
        <w:rPr>
          <w:rFonts w:ascii="Arial" w:hAnsi="Arial" w:cs="Arial"/>
        </w:rPr>
        <w:t xml:space="preserve">, confirming the modelling ability of the microfluidic platform </w:t>
      </w:r>
      <w:r w:rsidRPr="000E39AA">
        <w:rPr>
          <w:rFonts w:ascii="Arial" w:hAnsi="Arial" w:cs="Arial"/>
        </w:rPr>
        <w:fldChar w:fldCharType="begin" w:fldLock="1"/>
      </w:r>
      <w:r w:rsidR="00A445D5">
        <w:rPr>
          <w:rFonts w:ascii="Arial" w:hAnsi="Arial" w:cs="Arial"/>
        </w:rPr>
        <w:instrText>ADDIN CSL_CITATION {"citationItems":[{"id":"ITEM-1","itemData":{"DOI":"10.1098/rsos.180528","author":[{"dropping-particle":"","family":"Ma","given":"Hui-Peng","non-dropping-particle":"","parse-names":false,"suffix":""},{"dropping-particle":"","family":"Deng","given":"Xue","non-dropping-particle":"","parse-names":false,"suffix":""},{"dropping-particle":"","family":"Chen","given":"Deng-Yi","non-dropping-particle":"","parse-names":false,"suffix":""},{"dropping-particle":"","family":"Zhu","given":"Di","non-dropping-particle":"","parse-names":false,"suffix":""},{"dropping-particle":"","family":"Tong","given":"Jin-Ling","non-dropping-particle":"","parse-names":false,"suffix":""},{"dropping-particle":"","family":"Zhao","given":"Ting","non-dropping-particle":"","parse-names":false,"suffix":""},{"dropping-particle":"","family":"Ma","given":"Jin-Hui","non-dropping-particle":"","parse-names":false,"suffix":""},{"dropping-particle":"","family":"Liu","given":"Yan-Qiu","non-dropping-particle":"","parse-names":false,"suffix":""}],"container-title":"Royal Society Open Science","id":"ITEM-1","issue":"9","issued":{"date-parts":[["2022","3","12"]]},"note":"doi: 10.1098/rsos.180528","page":"180528","publisher":"Royal Society","title":"A microfluidic chip-based co-culture of fibroblast-like synoviocytes with osteoblasts and osteoclasts to test bone erosion and drug evaluation","type":"article-journal","volume":"5"},"uris":["http://www.mendeley.com/documents/?uuid=3ec68b38-d43c-4ccb-9551-9177f2fac44b"]}],"mendeley":{"formattedCitation":"[94]","plainTextFormattedCitation":"[94]","previouslyFormattedCitation":"[94]"},"properties":{"noteIndex":0},"schema":"https://github.com/citation-style-language/schema/raw/master/csl-citation.json"}</w:instrText>
      </w:r>
      <w:r w:rsidRPr="000E39AA">
        <w:rPr>
          <w:rFonts w:ascii="Arial" w:hAnsi="Arial" w:cs="Arial"/>
        </w:rPr>
        <w:fldChar w:fldCharType="separate"/>
      </w:r>
      <w:r w:rsidR="0062132B" w:rsidRPr="0062132B">
        <w:rPr>
          <w:rFonts w:ascii="Arial" w:hAnsi="Arial" w:cs="Arial"/>
          <w:noProof/>
        </w:rPr>
        <w:t>[94]</w:t>
      </w:r>
      <w:r w:rsidRPr="000E39AA">
        <w:rPr>
          <w:rFonts w:ascii="Arial" w:hAnsi="Arial" w:cs="Arial"/>
        </w:rPr>
        <w:fldChar w:fldCharType="end"/>
      </w:r>
      <w:r w:rsidRPr="000E39AA">
        <w:rPr>
          <w:rFonts w:ascii="Arial" w:hAnsi="Arial" w:cs="Arial"/>
        </w:rPr>
        <w:t xml:space="preserve">. The microfluidic approach has been found particularly suitable for the study of bone </w:t>
      </w:r>
      <w:r w:rsidR="00B426BD" w:rsidRPr="000E39AA">
        <w:rPr>
          <w:rFonts w:ascii="Arial" w:hAnsi="Arial" w:cs="Arial"/>
        </w:rPr>
        <w:t>tumour</w:t>
      </w:r>
      <w:r w:rsidRPr="000E39AA">
        <w:rPr>
          <w:rFonts w:ascii="Arial" w:hAnsi="Arial" w:cs="Arial"/>
        </w:rPr>
        <w:t xml:space="preserve"> invasion </w:t>
      </w:r>
      <w:r w:rsidRPr="000E39AA">
        <w:rPr>
          <w:rFonts w:ascii="Arial" w:hAnsi="Arial" w:cs="Arial"/>
        </w:rPr>
        <w:fldChar w:fldCharType="begin" w:fldLock="1"/>
      </w:r>
      <w:r w:rsidR="00A445D5">
        <w:rPr>
          <w:rFonts w:ascii="Arial" w:hAnsi="Arial" w:cs="Arial"/>
        </w:rPr>
        <w:instrText>ADDIN CSL_CITATION {"citationItems":[{"id":"ITEM-1","itemData":{"DOI":"https://doi.org/10.1002/smll.201702787","ISSN":"1613-6810","abstract":"Abstract Bone metastasis occurs at ≈70% frequency in metastatic breast cancer. The mechanisms used by tumors to hijack the skeleton, promote bone metastases, and confer therapeutic resistance are poorly understood. This has led to the development of various bone models to investigate the interactions between cancer cells and host bone marrow cells and related physiological changes. However, it is challenging to perform bone studies due to the difficulty in periodic sampling. Herein, a bone-on-a-chip (BC) is reported for spontaneous growth of a 3D, mineralized, collagenous bone tissue. Mature osteoblastic tissue of up to 85 µm thickness containing heavily mineralized collagen fibers naturally formed in 720 h without the aid of differentiation agents. Moreover, co-culture of metastatic breast cancer cells is examined with osteoblastic tissues. The new bone-on-a-chip design not only increases experimental throughput by miniaturization, but also maximizes the chances of cancer cell interaction with bone matrix of a concentrated surface area and facilitates easy, frequent observation. As a result, unique hallmarks of breast cancer bone colonization, previously confirmed only in vivo, are observed. The spontaneous 3D BC keeps the promise as a physiologically relevant model for the in vitro study of breast cancer bone metastasis.","author":[{"dropping-particle":"","family":"Hao","given":"Sijie","non-dropping-particle":"","parse-names":false,"suffix":""},{"dropping-particle":"","family":"Ha","given":"Laura","non-dropping-particle":"","parse-names":false,"suffix":""},{"dropping-particle":"","family":"Cheng","given":"Gong","non-dropping-particle":"","parse-names":false,"suffix":""},{"dropping-particle":"","family":"Wan","given":"Yuan","non-dropping-particle":"","parse-names":false,"suffix":""},{"dropping-particle":"","family":"Xia","given":"Yiqiu","non-dropping-particle":"","parse-names":false,"suffix":""},{"dropping-particle":"","family":"Sosnoski","given":"Donna M","non-dropping-particle":"","parse-names":false,"suffix":""},{"dropping-particle":"","family":"Mastro","given":"Andrea M","non-dropping-particle":"","parse-names":false,"suffix":""},{"dropping-particle":"","family":"Zheng","given":"Si-Yang","non-dropping-particle":"","parse-names":false,"suffix":""}],"container-title":"Small","id":"ITEM-1","issue":"12","issued":{"date-parts":[["2018","3","1"]]},"note":"https://doi.org/10.1002/smll.201702787","page":"1702787","publisher":"John Wiley &amp; Sons, Ltd","title":"A Spontaneous 3D Bone-On-a-Chip for Bone Metastasis Study of Breast Cancer Cells","type":"article-journal","volume":"14"},"uris":["http://www.mendeley.com/documents/?uuid=6c732fbb-367f-459a-abb1-33f6d30fce88"]}],"mendeley":{"formattedCitation":"[95]","plainTextFormattedCitation":"[95]","previouslyFormattedCitation":"[95]"},"properties":{"noteIndex":0},"schema":"https://github.com/citation-style-language/schema/raw/master/csl-citation.json"}</w:instrText>
      </w:r>
      <w:r w:rsidRPr="000E39AA">
        <w:rPr>
          <w:rFonts w:ascii="Arial" w:hAnsi="Arial" w:cs="Arial"/>
        </w:rPr>
        <w:fldChar w:fldCharType="separate"/>
      </w:r>
      <w:r w:rsidR="0062132B" w:rsidRPr="0062132B">
        <w:rPr>
          <w:rFonts w:ascii="Arial" w:hAnsi="Arial" w:cs="Arial"/>
          <w:noProof/>
        </w:rPr>
        <w:t>[95]</w:t>
      </w:r>
      <w:r w:rsidRPr="000E39AA">
        <w:rPr>
          <w:rFonts w:ascii="Arial" w:hAnsi="Arial" w:cs="Arial"/>
        </w:rPr>
        <w:fldChar w:fldCharType="end"/>
      </w:r>
      <w:r w:rsidRPr="000E39AA">
        <w:rPr>
          <w:rFonts w:ascii="Arial" w:hAnsi="Arial" w:cs="Arial"/>
        </w:rPr>
        <w:t xml:space="preserve">, metastatic intravasation </w:t>
      </w:r>
      <w:r w:rsidRPr="000E39AA">
        <w:rPr>
          <w:rFonts w:ascii="Arial" w:hAnsi="Arial" w:cs="Arial"/>
        </w:rPr>
        <w:fldChar w:fldCharType="begin" w:fldLock="1"/>
      </w:r>
      <w:r w:rsidR="00A445D5">
        <w:rPr>
          <w:rFonts w:ascii="Arial" w:hAnsi="Arial" w:cs="Arial"/>
        </w:rPr>
        <w:instrText>ADDIN CSL_CITATION {"citationItems":[{"id":"ITEM-1","itemData":{"DOI":"10.1016/j.biomaterials.2013.11.050","ISSN":"01429612","PMID":"24388382","abstract":"Cancer metastases arise following extravasation of circulating tumor cells with certain tumors exhibiting high organ specificity. Here, we developed a 3D microfluidic model to analyze the specificity of human breast cancer metastases to bone, recreating a vascularized osteo-cell conditioned microenvironment with human osteo-differentiated bone marrow-derived mesenchymal stem cells and endothelial cells. The tri-culture system allowed us to study the transendothelial migration of highly metastatic breast cancer cells and to monitor their behavior within the bone-like matrix. Extravasation, quantified 24h after cancer cell injection, was significantly higher in the osteo-cell conditioned microenvironment compared to collagen gel-only matrices (77.5±3.7% vs. 37.6±7.3%), and the migration distance was also significantly greater (50.8±6.2μm vs. 31.8±5.0μm). Extravasated cells proliferated to form micrometastases of various sizes containing 4 to more than 60 cells by day 5. We demonstrated that the breast cancer cell receptor CXCR2 and the bone-secreted chemokine CXCL5 play a major role in the extravasation process, influencing extravasation rate and traveled distance. Our study provides novel 3D invitro quantitative data on extravasation and micrometastasis generation of breast cancer cells within a bone-like microenvironment and demonstrates the potential value of microfluidic systems to better understand cancer biology and screen for new therapeutics. © 2013 Elsevier Ltd.","author":[{"dropping-particle":"","family":"Bersini","given":"Simone","non-dropping-particle":"","parse-names":false,"suffix":""},{"dropping-particle":"","family":"Jeon","given":"Jessie S.","non-dropping-particle":"","parse-names":false,"suffix":""},{"dropping-particle":"","family":"Dubini","given":"Gabriele","non-dropping-particle":"","parse-names":false,"suffix":""},{"dropping-particle":"","family":"Arrigoni","given":"Chiara","non-dropping-particle":"","parse-names":false,"suffix":""},{"dropping-particle":"","family":"Chung","given":"Seok","non-dropping-particle":"","parse-names":false,"suffix":""},{"dropping-particle":"","family":"Charest","given":"Joseph L.","non-dropping-particle":"","parse-names":false,"suffix":""},{"dropping-particle":"","family":"Moretti","given":"Matteo","non-dropping-particle":"","parse-names":false,"suffix":""},{"dropping-particle":"","family":"Kamm","given":"Roger D.","non-dropping-particle":"","parse-names":false,"suffix":""}],"container-title":"Biomaterials","id":"ITEM-1","issue":"8","issued":{"date-parts":[["2014"]]},"page":"2454-2461","title":"A microfluidic 3D invitro model for specificity of breast cancer metastasis to bone","type":"article-journal","volume":"35"},"uris":["http://www.mendeley.com/documents/?uuid=c3035395-349e-40fa-b0dd-1a24a080f905"]}],"mendeley":{"formattedCitation":"[96]","plainTextFormattedCitation":"[96]","previouslyFormattedCitation":"[96]"},"properties":{"noteIndex":0},"schema":"https://github.com/citation-style-language/schema/raw/master/csl-citation.json"}</w:instrText>
      </w:r>
      <w:r w:rsidRPr="000E39AA">
        <w:rPr>
          <w:rFonts w:ascii="Arial" w:hAnsi="Arial" w:cs="Arial"/>
        </w:rPr>
        <w:fldChar w:fldCharType="separate"/>
      </w:r>
      <w:r w:rsidR="0062132B" w:rsidRPr="0062132B">
        <w:rPr>
          <w:rFonts w:ascii="Arial" w:hAnsi="Arial" w:cs="Arial"/>
          <w:noProof/>
        </w:rPr>
        <w:t>[96]</w:t>
      </w:r>
      <w:r w:rsidRPr="000E39AA">
        <w:rPr>
          <w:rFonts w:ascii="Arial" w:hAnsi="Arial" w:cs="Arial"/>
        </w:rPr>
        <w:fldChar w:fldCharType="end"/>
      </w:r>
      <w:r w:rsidRPr="000E39AA">
        <w:rPr>
          <w:rFonts w:ascii="Arial" w:hAnsi="Arial" w:cs="Arial"/>
        </w:rPr>
        <w:t xml:space="preserve"> and extravasation </w:t>
      </w:r>
      <w:r w:rsidRPr="000E39AA">
        <w:rPr>
          <w:rFonts w:ascii="Arial" w:hAnsi="Arial" w:cs="Arial"/>
        </w:rPr>
        <w:fldChar w:fldCharType="begin" w:fldLock="1"/>
      </w:r>
      <w:r w:rsidR="00A445D5">
        <w:rPr>
          <w:rFonts w:ascii="Arial" w:hAnsi="Arial" w:cs="Arial"/>
        </w:rPr>
        <w:instrText>ADDIN CSL_CITATION {"citationItems":[{"id":"ITEM-1","itemData":{"DOI":"10.1073/pnas.1417115112","author":[{"dropping-particle":"","family":"S.","given":"Jeon Jessie","non-dropping-particle":"","parse-names":false,"suffix":""},{"dropping-particle":"","family":"Simone","given":"Bersini","non-dropping-particle":"","parse-names":false,"suffix":""},{"dropping-particle":"","family":"Mara","given":"Gilardi","non-dropping-particle":"","parse-names":false,"suffix":""},{"dropping-particle":"","family":"Gabriele","given":"Dubini","non-dropping-particle":"","parse-names":false,"suffix":""},{"dropping-particle":"","family":"L.","given":"Charest Joseph","non-dropping-particle":"","parse-names":false,"suffix":""},{"dropping-particle":"","family":"Matteo","given":"Moretti","non-dropping-particle":"","parse-names":false,"suffix":""},{"dropping-particle":"","family":"D.","given":"Kamm Roger","non-dropping-particle":"","parse-names":false,"suffix":""}],"container-title":"Proceedings of the National Academy of Sciences","id":"ITEM-1","issue":"1","issued":{"date-parts":[["2015","1","6"]]},"note":"doi: 10.1073/pnas.1417115112","page":"214-219","publisher":"Proceedings of the National Academy of Sciences","title":"Human 3D vascularized organotypic microfluidic assays to study breast cancer cell extravasation","type":"article-journal","volume":"112"},"uris":["http://www.mendeley.com/documents/?uuid=c31bcf5f-e574-4f66-9f1c-78cc1085331a"]}],"mendeley":{"formattedCitation":"[97]","plainTextFormattedCitation":"[97]","previouslyFormattedCitation":"[97]"},"properties":{"noteIndex":0},"schema":"https://github.com/citation-style-language/schema/raw/master/csl-citation.json"}</w:instrText>
      </w:r>
      <w:r w:rsidRPr="000E39AA">
        <w:rPr>
          <w:rFonts w:ascii="Arial" w:hAnsi="Arial" w:cs="Arial"/>
        </w:rPr>
        <w:fldChar w:fldCharType="separate"/>
      </w:r>
      <w:r w:rsidR="0062132B" w:rsidRPr="0062132B">
        <w:rPr>
          <w:rFonts w:ascii="Arial" w:hAnsi="Arial" w:cs="Arial"/>
          <w:noProof/>
        </w:rPr>
        <w:t>[97]</w:t>
      </w:r>
      <w:r w:rsidRPr="000E39AA">
        <w:rPr>
          <w:rFonts w:ascii="Arial" w:hAnsi="Arial" w:cs="Arial"/>
        </w:rPr>
        <w:fldChar w:fldCharType="end"/>
      </w:r>
      <w:r w:rsidRPr="000E39AA">
        <w:rPr>
          <w:rFonts w:ascii="Arial" w:hAnsi="Arial" w:cs="Arial"/>
        </w:rPr>
        <w:t xml:space="preserve">. </w:t>
      </w:r>
      <w:r w:rsidR="00720724">
        <w:rPr>
          <w:rFonts w:ascii="Arial" w:hAnsi="Arial" w:cs="Arial"/>
        </w:rPr>
        <w:t>A novel</w:t>
      </w:r>
      <w:r w:rsidRPr="000E39AA">
        <w:rPr>
          <w:rFonts w:ascii="Arial" w:hAnsi="Arial" w:cs="Arial"/>
        </w:rPr>
        <w:t xml:space="preserve"> humanized organ-on-a-chip model of the breast cancer bone metastatic niche</w:t>
      </w:r>
      <w:r w:rsidR="00720724">
        <w:rPr>
          <w:rFonts w:ascii="Arial" w:hAnsi="Arial" w:cs="Arial"/>
        </w:rPr>
        <w:t xml:space="preserve"> has been recently proposed</w:t>
      </w:r>
      <w:r w:rsidRPr="000E39AA">
        <w:rPr>
          <w:rFonts w:ascii="Arial" w:hAnsi="Arial" w:cs="Arial"/>
        </w:rPr>
        <w:t xml:space="preserve"> </w:t>
      </w:r>
      <w:r w:rsidRPr="000E39AA">
        <w:rPr>
          <w:rFonts w:ascii="Arial" w:hAnsi="Arial" w:cs="Arial"/>
        </w:rPr>
        <w:fldChar w:fldCharType="begin" w:fldLock="1"/>
      </w:r>
      <w:r w:rsidR="00A445D5">
        <w:rPr>
          <w:rFonts w:ascii="Arial" w:hAnsi="Arial" w:cs="Arial"/>
        </w:rPr>
        <w:instrText>ADDIN CSL_CITATION {"citationItems":[{"id":"ITEM-1","itemData":{"DOI":"10.1016/j.mtbio.2022.100219","ISSN":"25900064","abstract":"Organ-on-a-chip models have emerged as a powerful tool to model cancer metastasis and to decipher specific crosstalk between cancer cells and relevant regulators of this particular niche. Recently, the sympathetic nervous system (SNS) was proposed as an important modulator of breast cancer bone metastasis. However, epidemiological studies concerning the benefits of the SNS targeting drugs on breast cancer survival and recurrence remain controversial. Thus, the role of SNS signaling over bone metastatic cancer cellular processes still requires further clarification. Herein, we present a novel humanized organ-on-a-chip model recapitulating neuro-breast cancer crosstalk in a bone metastatic context. We developed and validated an innovative three-dimensional printing based multi-compartment microfluidic platform, allowing both selective and dynamic multicellular paracrine signaling between sympathetic neurons, bone tropic breast cancer cells and osteoclasts. The selective multicellular crosstalk in combination with biochemical, microscopic and proteomic profiling show that synergistic paracrine signaling from sympathetic neurons and osteoclasts increase breast cancer aggressiveness demonstrated by augmented levels of pro-inflammatory cytokines (e.g. interleukin-6 and macrophage inflammatory protein 1α). Overall, this work introduced a novel and versatile platform that could potentially be used to unravel new mechanisms involved in intracellular communication at the bone metastatic niche.","author":[{"dropping-particle":"","family":"Conceição","given":"Francisco","non-dropping-particle":"","parse-names":false,"suffix":""},{"dropping-particle":"","family":"Sousa","given":"Daniela M.","non-dropping-particle":"","parse-names":false,"suffix":""},{"dropping-particle":"","family":"Loessberg-Zahl","given":"Joshua","non-dropping-particle":"","parse-names":false,"suffix":""},{"dropping-particle":"","family":"Vollertsen","given":"Anke R.","non-dropping-particle":"","parse-names":false,"suffix":""},{"dropping-particle":"","family":"Neto","given":"Estrela","non-dropping-particle":"","parse-names":false,"suffix":""},{"dropping-particle":"","family":"Søe","given":"Kent","non-dropping-particle":"","parse-names":false,"suffix":""},{"dropping-particle":"","family":"Paredes","given":"Joana","non-dropping-particle":"","parse-names":false,"suffix":""},{"dropping-particle":"","family":"Leferink","given":"Anne","non-dropping-particle":"","parse-names":false,"suffix":""},{"dropping-particle":"","family":"Lamghari","given":"Meriem","non-dropping-particle":"","parse-names":false,"suffix":""}],"container-title":"Materials Today Bio","id":"ITEM-1","issue":"February","issued":{"date-parts":[["2022"]]},"title":"A metastasis-on-a-chip approach to explore the sympathetic modulation of breast cancer bone metastasis","type":"article-journal","volume":"13"},"uris":["http://www.mendeley.com/documents/?uuid=db0967ee-ba5c-41b1-8ac2-b288abd9670d"]}],"mendeley":{"formattedCitation":"[98]","plainTextFormattedCitation":"[98]","previouslyFormattedCitation":"[98]"},"properties":{"noteIndex":0},"schema":"https://github.com/citation-style-language/schema/raw/master/csl-citation.json"}</w:instrText>
      </w:r>
      <w:r w:rsidRPr="000E39AA">
        <w:rPr>
          <w:rFonts w:ascii="Arial" w:hAnsi="Arial" w:cs="Arial"/>
        </w:rPr>
        <w:fldChar w:fldCharType="separate"/>
      </w:r>
      <w:r w:rsidR="0062132B" w:rsidRPr="0062132B">
        <w:rPr>
          <w:rFonts w:ascii="Arial" w:hAnsi="Arial" w:cs="Arial"/>
          <w:noProof/>
        </w:rPr>
        <w:t>[98]</w:t>
      </w:r>
      <w:r w:rsidRPr="000E39AA">
        <w:rPr>
          <w:rFonts w:ascii="Arial" w:hAnsi="Arial" w:cs="Arial"/>
        </w:rPr>
        <w:fldChar w:fldCharType="end"/>
      </w:r>
      <w:r w:rsidRPr="000E39AA">
        <w:rPr>
          <w:rFonts w:ascii="Arial" w:hAnsi="Arial" w:cs="Arial"/>
        </w:rPr>
        <w:t xml:space="preserve">. The microfluidic device housed three interconnected chambers including neuro, </w:t>
      </w:r>
      <w:proofErr w:type="gramStart"/>
      <w:r w:rsidRPr="000E39AA">
        <w:rPr>
          <w:rFonts w:ascii="Arial" w:hAnsi="Arial" w:cs="Arial"/>
        </w:rPr>
        <w:t>breast</w:t>
      </w:r>
      <w:proofErr w:type="gramEnd"/>
      <w:r w:rsidRPr="000E39AA">
        <w:rPr>
          <w:rFonts w:ascii="Arial" w:hAnsi="Arial" w:cs="Arial"/>
        </w:rPr>
        <w:t xml:space="preserve"> and bone cells, respectively. The synergistic interplay between neurons and osteoclasts towards bone tropic breast cancer resulted in increased levels of pro-inflammatory cytokines cells. </w:t>
      </w:r>
    </w:p>
    <w:p w14:paraId="4F07D018" w14:textId="542EE084" w:rsidR="00F03759" w:rsidRPr="000E39AA" w:rsidRDefault="00F03759" w:rsidP="00F03759">
      <w:pPr>
        <w:spacing w:after="0"/>
        <w:jc w:val="both"/>
        <w:rPr>
          <w:rFonts w:ascii="Arial" w:hAnsi="Arial" w:cs="Arial"/>
        </w:rPr>
      </w:pPr>
      <w:r w:rsidRPr="000E39AA">
        <w:rPr>
          <w:rFonts w:ascii="Arial" w:hAnsi="Arial" w:cs="Arial"/>
        </w:rPr>
        <w:t xml:space="preserve">Despite the great versatility of the microfluidic approach, a </w:t>
      </w:r>
      <w:r w:rsidR="00CA48E8">
        <w:rPr>
          <w:rFonts w:ascii="Arial" w:hAnsi="Arial" w:cs="Arial"/>
        </w:rPr>
        <w:t xml:space="preserve">crucial </w:t>
      </w:r>
      <w:r w:rsidRPr="000E39AA">
        <w:rPr>
          <w:rFonts w:ascii="Arial" w:hAnsi="Arial" w:cs="Arial"/>
        </w:rPr>
        <w:t xml:space="preserve">limitation remains the poor level of biomaterial mimicry. Thus, the absence of rigid matrices in microfluidic chips limiting the reproduction of the complex calcified ECM found </w:t>
      </w:r>
      <w:r w:rsidRPr="000E39AA">
        <w:rPr>
          <w:rFonts w:ascii="Arial" w:hAnsi="Arial" w:cs="Arial"/>
          <w:i/>
          <w:iCs/>
        </w:rPr>
        <w:t>in vivo</w:t>
      </w:r>
      <w:r w:rsidR="00CA48E8">
        <w:rPr>
          <w:rFonts w:ascii="Arial" w:hAnsi="Arial" w:cs="Arial"/>
          <w:i/>
          <w:iCs/>
        </w:rPr>
        <w:t xml:space="preserve"> </w:t>
      </w:r>
      <w:r w:rsidR="00CA48E8">
        <w:rPr>
          <w:rFonts w:ascii="Arial" w:hAnsi="Arial" w:cs="Arial"/>
        </w:rPr>
        <w:t>are limiting bone TE research</w:t>
      </w:r>
      <w:r w:rsidRPr="000E39AA">
        <w:rPr>
          <w:rFonts w:ascii="Arial" w:hAnsi="Arial" w:cs="Arial"/>
        </w:rPr>
        <w:t xml:space="preserve">. </w:t>
      </w:r>
    </w:p>
    <w:p w14:paraId="79C6FFEF" w14:textId="77777777" w:rsidR="00F03759" w:rsidRPr="000E39AA" w:rsidRDefault="00F03759" w:rsidP="00F03759">
      <w:pPr>
        <w:spacing w:after="0"/>
        <w:jc w:val="both"/>
        <w:rPr>
          <w:rFonts w:ascii="Arial" w:hAnsi="Arial" w:cs="Arial"/>
        </w:rPr>
      </w:pPr>
    </w:p>
    <w:p w14:paraId="62555E25" w14:textId="77777777" w:rsidR="00F03759" w:rsidRPr="000E39AA" w:rsidRDefault="00F03759" w:rsidP="00F03759">
      <w:pPr>
        <w:spacing w:line="276" w:lineRule="auto"/>
        <w:jc w:val="both"/>
        <w:rPr>
          <w:rFonts w:ascii="Arial" w:hAnsi="Arial" w:cs="Arial"/>
          <w:i/>
          <w:iCs/>
          <w:shd w:val="clear" w:color="auto" w:fill="FFFFFF"/>
        </w:rPr>
      </w:pPr>
      <w:r w:rsidRPr="000E39AA">
        <w:rPr>
          <w:rFonts w:ascii="Arial" w:hAnsi="Arial" w:cs="Arial"/>
        </w:rPr>
        <w:t xml:space="preserve">4.1.3.3 </w:t>
      </w:r>
      <w:r w:rsidRPr="000E39AA">
        <w:rPr>
          <w:rFonts w:ascii="Arial" w:hAnsi="Arial" w:cs="Arial"/>
          <w:i/>
          <w:iCs/>
          <w:shd w:val="clear" w:color="auto" w:fill="FFFFFF"/>
        </w:rPr>
        <w:t xml:space="preserve">Organoids </w:t>
      </w:r>
    </w:p>
    <w:p w14:paraId="0009A80F" w14:textId="08F2B54E" w:rsidR="00F03759" w:rsidRPr="000E39AA" w:rsidRDefault="00F03759" w:rsidP="00F03759">
      <w:pPr>
        <w:spacing w:line="276" w:lineRule="auto"/>
        <w:jc w:val="both"/>
        <w:rPr>
          <w:rFonts w:ascii="Arial" w:hAnsi="Arial" w:cs="Arial"/>
        </w:rPr>
      </w:pPr>
      <w:r w:rsidRPr="000E39AA">
        <w:rPr>
          <w:rFonts w:ascii="Arial" w:hAnsi="Arial" w:cs="Arial"/>
        </w:rPr>
        <w:t xml:space="preserve">Bone-cartilage organoids (BCORG), representing “mini-joint” models, have been obtained by co-culturing cells isolated from </w:t>
      </w:r>
      <w:r w:rsidR="00B426BD" w:rsidRPr="000E39AA">
        <w:rPr>
          <w:rFonts w:ascii="Arial" w:hAnsi="Arial" w:cs="Arial"/>
        </w:rPr>
        <w:t>paediatric</w:t>
      </w:r>
      <w:r w:rsidRPr="000E39AA">
        <w:rPr>
          <w:rFonts w:ascii="Arial" w:hAnsi="Arial" w:cs="Arial"/>
        </w:rPr>
        <w:t xml:space="preserve"> rib tissues containing both bone and cartilage in osteochondral medium </w:t>
      </w:r>
      <w:r w:rsidRPr="000E39AA">
        <w:rPr>
          <w:rFonts w:ascii="Arial" w:hAnsi="Arial" w:cs="Arial"/>
        </w:rPr>
        <w:fldChar w:fldCharType="begin" w:fldLock="1"/>
      </w:r>
      <w:r w:rsidR="00A445D5">
        <w:rPr>
          <w:rFonts w:ascii="Arial" w:hAnsi="Arial" w:cs="Arial"/>
        </w:rPr>
        <w:instrText>ADDIN CSL_CITATION {"citationItems":[{"id":"ITEM-1","itemData":{"DOI":"https://doi.org/10.1002/jbm.b.34968","ISSN":"1552-4973","abstract":"Abstract Skeletal conditions represent a considerable challenge to health systems globally. Barriers to effective therapeutic development include a lack of accurate preclinical tissue and disease models. Most recently, work was attempted to present a novel whole organ approach to modeling human bone and cartilage tissues. These self-assembling skeletal organoids mimic the cellular milieu and extracellular organization present in native tissues. Bone organoids demonstrated osteogenesis and micro vessel formation, and cartilage organoids showed evidence of cartilage development and maturation. Skeletal organoids derived from both bone and cartilage tissues yielded spontaneous polarization of their cartilaginous and bone components. Using these hybrid skeletal organoids, we successfully generated ?mini joint? cultures, which we used to model inflammatory disease and test Adenosine (A2A) receptor agonists as a therapeutic agent. The work and respective results indicated that skeletal organoids can be an effective biological model for tissue development and disease as well as to test therapeutic agents.","author":[{"dropping-particle":"","family":"Abraham","given":"Diana M","non-dropping-particle":"","parse-names":false,"suffix":""},{"dropping-particle":"","family":"Herman","given":"Calvin","non-dropping-particle":"","parse-names":false,"suffix":""},{"dropping-particle":"","family":"Witek","given":"Lukasz","non-dropping-particle":"","parse-names":false,"suffix":""},{"dropping-particle":"","family":"Cronstein","given":"Bruce N","non-dropping-particle":"","parse-names":false,"suffix":""},{"dropping-particle":"","family":"Flores","given":"Roberto L","non-dropping-particle":"","parse-names":false,"suffix":""},{"dropping-particle":"","family":"Coelho","given":"Paulo G","non-dropping-particle":"","parse-names":false,"suffix":""}],"container-title":"Journal of Biomedical Materials Research Part B: Applied Biomaterials","id":"ITEM-1","issue":"4","issued":{"date-parts":[["2022","4","1"]]},"note":"https://doi.org/10.1002/jbm.b.34968","page":"871-884","publisher":"John Wiley &amp; Sons, Ltd","title":"Self-assembling human skeletal organoids for disease modeling and drug testing","type":"article-journal","volume":"110"},"uris":["http://www.mendeley.com/documents/?uuid=3f97cb41-f114-486c-abcb-19783b9f4e6c"]}],"mendeley":{"formattedCitation":"[99]","plainTextFormattedCitation":"[99]","previouslyFormattedCitation":"[99]"},"properties":{"noteIndex":0},"schema":"https://github.com/citation-style-language/schema/raw/master/csl-citation.json"}</w:instrText>
      </w:r>
      <w:r w:rsidRPr="000E39AA">
        <w:rPr>
          <w:rFonts w:ascii="Arial" w:hAnsi="Arial" w:cs="Arial"/>
        </w:rPr>
        <w:fldChar w:fldCharType="separate"/>
      </w:r>
      <w:r w:rsidR="0062132B" w:rsidRPr="0062132B">
        <w:rPr>
          <w:rFonts w:ascii="Arial" w:hAnsi="Arial" w:cs="Arial"/>
          <w:noProof/>
        </w:rPr>
        <w:t>[99]</w:t>
      </w:r>
      <w:r w:rsidRPr="000E39AA">
        <w:rPr>
          <w:rFonts w:ascii="Arial" w:hAnsi="Arial" w:cs="Arial"/>
        </w:rPr>
        <w:fldChar w:fldCharType="end"/>
      </w:r>
      <w:r w:rsidRPr="000E39AA">
        <w:rPr>
          <w:rFonts w:ascii="Arial" w:hAnsi="Arial" w:cs="Arial"/>
        </w:rPr>
        <w:t xml:space="preserve">. Despite limitations, in terms of ultimate maturation, BCORG may provide a tool for osteoarthritis disease </w:t>
      </w:r>
      <w:r w:rsidR="00B426BD" w:rsidRPr="000E39AA">
        <w:rPr>
          <w:rFonts w:ascii="Arial" w:hAnsi="Arial" w:cs="Arial"/>
        </w:rPr>
        <w:t>modelling</w:t>
      </w:r>
      <w:r w:rsidRPr="000E39AA">
        <w:rPr>
          <w:rFonts w:ascii="Arial" w:hAnsi="Arial" w:cs="Arial"/>
        </w:rPr>
        <w:t xml:space="preserve"> and drug testing. Abraham and colleagues, reported that joint organoids were partially responsive to treatment with adenosine A</w:t>
      </w:r>
      <w:r w:rsidRPr="000E39AA">
        <w:rPr>
          <w:rFonts w:ascii="Arial" w:hAnsi="Arial" w:cs="Arial"/>
          <w:vertAlign w:val="subscript"/>
        </w:rPr>
        <w:t>2A</w:t>
      </w:r>
      <w:r w:rsidRPr="000E39AA">
        <w:rPr>
          <w:rFonts w:ascii="Arial" w:hAnsi="Arial" w:cs="Arial"/>
        </w:rPr>
        <w:t xml:space="preserve"> receptor agonists, previously used in murine models of osteoarthritis to reduce skeletal tissue damage </w:t>
      </w:r>
      <w:r w:rsidRPr="000E39AA">
        <w:rPr>
          <w:rFonts w:ascii="Arial" w:hAnsi="Arial" w:cs="Arial"/>
        </w:rPr>
        <w:fldChar w:fldCharType="begin" w:fldLock="1"/>
      </w:r>
      <w:r w:rsidR="00A445D5">
        <w:rPr>
          <w:rFonts w:ascii="Arial" w:hAnsi="Arial" w:cs="Arial"/>
        </w:rPr>
        <w:instrText>ADDIN CSL_CITATION {"citationItems":[{"id":"ITEM-1","itemData":{"DOI":"https://doi.org/10.1002/jbm.b.34968","ISSN":"1552-4973","abstract":"Abstract Skeletal conditions represent a considerable challenge to health systems globally. Barriers to effective therapeutic development include a lack of accurate preclinical tissue and disease models. Most recently, work was attempted to present a novel whole organ approach to modeling human bone and cartilage tissues. These self-assembling skeletal organoids mimic the cellular milieu and extracellular organization present in native tissues. Bone organoids demonstrated osteogenesis and micro vessel formation, and cartilage organoids showed evidence of cartilage development and maturation. Skeletal organoids derived from both bone and cartilage tissues yielded spontaneous polarization of their cartilaginous and bone components. Using these hybrid skeletal organoids, we successfully generated ?mini joint? cultures, which we used to model inflammatory disease and test Adenosine (A2A) receptor agonists as a therapeutic agent. The work and respective results indicated that skeletal organoids can be an effective biological model for tissue development and disease as well as to test therapeutic agents.","author":[{"dropping-particle":"","family":"Abraham","given":"Diana M","non-dropping-particle":"","parse-names":false,"suffix":""},{"dropping-particle":"","family":"Herman","given":"Calvin","non-dropping-particle":"","parse-names":false,"suffix":""},{"dropping-particle":"","family":"Witek","given":"Lukasz","non-dropping-particle":"","parse-names":false,"suffix":""},{"dropping-particle":"","family":"Cronstein","given":"Bruce N","non-dropping-particle":"","parse-names":false,"suffix":""},{"dropping-particle":"","family":"Flores","given":"Roberto L","non-dropping-particle":"","parse-names":false,"suffix":""},{"dropping-particle":"","family":"Coelho","given":"Paulo G","non-dropping-particle":"","parse-names":false,"suffix":""}],"container-title":"Journal of Biomedical Materials Research Part B: Applied Biomaterials","id":"ITEM-1","issue":"4","issued":{"date-parts":[["2022","4","1"]]},"note":"https://doi.org/10.1002/jbm.b.34968","page":"871-884","publisher":"John Wiley &amp; Sons, Ltd","title":"Self-assembling human skeletal organoids for disease modeling and drug testing","type":"article-journal","volume":"110"},"uris":["http://www.mendeley.com/documents/?uuid=3f97cb41-f114-486c-abcb-19783b9f4e6c"]}],"mendeley":{"formattedCitation":"[99]","plainTextFormattedCitation":"[99]","previouslyFormattedCitation":"[99]"},"properties":{"noteIndex":0},"schema":"https://github.com/citation-style-language/schema/raw/master/csl-citation.json"}</w:instrText>
      </w:r>
      <w:r w:rsidRPr="000E39AA">
        <w:rPr>
          <w:rFonts w:ascii="Arial" w:hAnsi="Arial" w:cs="Arial"/>
        </w:rPr>
        <w:fldChar w:fldCharType="separate"/>
      </w:r>
      <w:r w:rsidR="0062132B" w:rsidRPr="0062132B">
        <w:rPr>
          <w:rFonts w:ascii="Arial" w:hAnsi="Arial" w:cs="Arial"/>
          <w:noProof/>
        </w:rPr>
        <w:t>[99]</w:t>
      </w:r>
      <w:r w:rsidRPr="000E39AA">
        <w:rPr>
          <w:rFonts w:ascii="Arial" w:hAnsi="Arial" w:cs="Arial"/>
        </w:rPr>
        <w:fldChar w:fldCharType="end"/>
      </w:r>
      <w:r w:rsidRPr="000E39AA">
        <w:rPr>
          <w:rFonts w:ascii="Arial" w:hAnsi="Arial" w:cs="Arial"/>
        </w:rPr>
        <w:t xml:space="preserve">. Organoids have emerged as key players in modelling pathological states caused by an imbalance of bone tissue resorption and deposition processes, such as osteoporosis and loss of bone mass due to reduced mechanical stimulation during space exploration missions. For instance, Iordachescu </w:t>
      </w:r>
      <w:r w:rsidR="002D455E">
        <w:rPr>
          <w:rFonts w:ascii="Arial" w:hAnsi="Arial" w:cs="Arial"/>
        </w:rPr>
        <w:t>and co-workers</w:t>
      </w:r>
      <w:r w:rsidR="007D53B0">
        <w:rPr>
          <w:rFonts w:ascii="Arial" w:hAnsi="Arial" w:cs="Arial"/>
        </w:rPr>
        <w:t xml:space="preserve"> </w:t>
      </w:r>
      <w:r w:rsidR="007D53B0" w:rsidRPr="000E39AA">
        <w:rPr>
          <w:rFonts w:ascii="Arial" w:hAnsi="Arial" w:cs="Arial"/>
        </w:rPr>
        <w:fldChar w:fldCharType="begin" w:fldLock="1"/>
      </w:r>
      <w:r w:rsidR="00A445D5">
        <w:rPr>
          <w:rFonts w:ascii="Arial" w:hAnsi="Arial" w:cs="Arial"/>
        </w:rPr>
        <w:instrText>ADDIN CSL_CITATION {"citationItems":[{"id":"ITEM-1","itemData":{"DOI":"10.1038/s41526-021-00146-8","ISSN":"23738065","abstract":"Bone is a highly responsive organ, which continuously adapts to the environment it is subjected to in order to withstand metabolic demands. These events are difficult to study in this particular tissue in vivo, due to its rigid, mineralised structure and inaccessibility of the cellular component located within. This manuscript presents the development of a micron-scale bone organoid prototype, a concept that can allow the study of bone processes at the cell-tissue interface. The model is constructed with a combination of primary female osteoblastic and osteoclastic cells, seeded onto femoral head micro-trabeculae, where they recapitulate relevant phenotypes and functions. Subsequently, constructs are inserted into a simulated microgravity bioreactor (NASA-Synthecon) to model a pathological state of reduced mechanical stimulation. In these constructs, we detected osteoclastic bone resorption sites, which were different in morphology in the simulated microgravity group compared to static controls. Once encapsulated in human fibrin and exposed to analogue microgravity for 5 days, masses of bone can be observed being lost from the initial structure, allowing to simulate the bone loss process further. Constructs can function as multicellular, organotypic units. Large osteocytic projections and tubular structures develop from the initial construct into the matrix at the millimetre scale. Micron-level fragments from the initial bone structure are detected travelling along these tubules and carried to sites distant from the native structure, where new matrix formation is initiated. We believe this model allows the study of fine-level physiological processes, which can shed light into pathological bone loss and imbalances in bone remodelling.","author":[{"dropping-particle":"","family":"Iordachescu","given":"Alexandra","non-dropping-particle":"","parse-names":false,"suffix":""},{"dropping-particle":"","family":"Hughes","given":"Erik A.B.","non-dropping-particle":"","parse-names":false,"suffix":""},{"dropping-particle":"","family":"Joseph","given":"Stephan","non-dropping-particle":"","parse-names":false,"suffix":""},{"dropping-particle":"","family":"Hill","given":"Eric J.","non-dropping-particle":"","parse-names":false,"suffix":""},{"dropping-particle":"","family":"Grover","given":"Liam M.","non-dropping-particle":"","parse-names":false,"suffix":""},{"dropping-particle":"","family":"Metcalfe","given":"Anthony D.","non-dropping-particle":"","parse-names":false,"suffix":""}],"container-title":"npj Microgravity","id":"ITEM-1","issue":"1","issued":{"date-parts":[["2021"]]},"publisher":"Springer US","title":"Trabecular bone organoids: a micron-scale ‘humanised’ prototype designed to study the effects of microgravity and degeneration","type":"article-journal","volume":"7"},"uris":["http://www.mendeley.com/documents/?uuid=4c6084ea-867a-4367-be6b-0a21bbc27756"]}],"mendeley":{"formattedCitation":"[100]","plainTextFormattedCitation":"[100]","previouslyFormattedCitation":"[100]"},"properties":{"noteIndex":0},"schema":"https://github.com/citation-style-language/schema/raw/master/csl-citation.json"}</w:instrText>
      </w:r>
      <w:r w:rsidR="007D53B0" w:rsidRPr="000E39AA">
        <w:rPr>
          <w:rFonts w:ascii="Arial" w:hAnsi="Arial" w:cs="Arial"/>
        </w:rPr>
        <w:fldChar w:fldCharType="separate"/>
      </w:r>
      <w:r w:rsidR="0062132B" w:rsidRPr="0062132B">
        <w:rPr>
          <w:rFonts w:ascii="Arial" w:hAnsi="Arial" w:cs="Arial"/>
          <w:noProof/>
        </w:rPr>
        <w:t>[100]</w:t>
      </w:r>
      <w:r w:rsidR="007D53B0" w:rsidRPr="000E39AA">
        <w:rPr>
          <w:rFonts w:ascii="Arial" w:hAnsi="Arial" w:cs="Arial"/>
        </w:rPr>
        <w:fldChar w:fldCharType="end"/>
      </w:r>
      <w:r w:rsidRPr="000E39AA">
        <w:rPr>
          <w:rFonts w:ascii="Arial" w:hAnsi="Arial" w:cs="Arial"/>
        </w:rPr>
        <w:t xml:space="preserve"> cultured bone organoids, generated by seeding primary osteoblasts and osteoclasts onto femoral head micro-trabeculae, in a bioreactor simulating microgravity conditions. Interestingly, compared to static controls, the simulated microgravity organoids showed altered morphology of resorption sites and reduced bone mass. Thus, organoids offer an attractive approach to functional bone tissue modelling given the ease of fabrication and relatively simple, yet long, maintenance and maturation potential. However, inconsistencies in scale up and reproduction of identical bone organoids remain a significant challenge. </w:t>
      </w:r>
    </w:p>
    <w:p w14:paraId="0D80E92C" w14:textId="77777777" w:rsidR="00F03759" w:rsidRPr="000E39AA" w:rsidRDefault="00F03759" w:rsidP="00F03759">
      <w:pPr>
        <w:rPr>
          <w:rFonts w:eastAsiaTheme="majorEastAsia" w:cs="Times New Roman"/>
          <w:b/>
          <w:bCs/>
          <w:vanish/>
          <w:sz w:val="26"/>
          <w:szCs w:val="26"/>
        </w:rPr>
      </w:pPr>
      <w:bookmarkStart w:id="55" w:name="_Toc96964257"/>
      <w:bookmarkStart w:id="56" w:name="_Toc96964329"/>
      <w:bookmarkStart w:id="57" w:name="_Toc96964377"/>
      <w:bookmarkEnd w:id="55"/>
      <w:bookmarkEnd w:id="56"/>
      <w:bookmarkEnd w:id="57"/>
    </w:p>
    <w:p w14:paraId="257DE66C" w14:textId="77777777" w:rsidR="00F03759" w:rsidRPr="000E39AA" w:rsidRDefault="00F03759" w:rsidP="00F03759">
      <w:pPr>
        <w:pStyle w:val="Heading3"/>
        <w:numPr>
          <w:ilvl w:val="1"/>
          <w:numId w:val="2"/>
        </w:numPr>
      </w:pPr>
      <w:bookmarkStart w:id="58" w:name="_Toc98937881"/>
      <w:r w:rsidRPr="000E39AA">
        <w:t>Neuro models</w:t>
      </w:r>
      <w:bookmarkEnd w:id="58"/>
    </w:p>
    <w:p w14:paraId="69FD8F86" w14:textId="5E025734" w:rsidR="00F03759" w:rsidRDefault="00F03759" w:rsidP="00F03759">
      <w:pPr>
        <w:spacing w:line="276" w:lineRule="auto"/>
        <w:jc w:val="both"/>
        <w:rPr>
          <w:rFonts w:ascii="Arial" w:hAnsi="Arial" w:cs="Arial"/>
        </w:rPr>
      </w:pPr>
      <w:r w:rsidRPr="000E39AA">
        <w:rPr>
          <w:rFonts w:ascii="Arial" w:hAnsi="Arial" w:cs="Arial"/>
        </w:rPr>
        <w:t xml:space="preserve">The engineering of a functional nerve tissue </w:t>
      </w:r>
      <w:r w:rsidRPr="000E39AA">
        <w:rPr>
          <w:rFonts w:ascii="Arial" w:hAnsi="Arial" w:cs="Arial"/>
          <w:i/>
          <w:iCs/>
        </w:rPr>
        <w:t xml:space="preserve">in vivo </w:t>
      </w:r>
      <w:r w:rsidRPr="000E39AA">
        <w:rPr>
          <w:rFonts w:ascii="Arial" w:hAnsi="Arial" w:cs="Arial"/>
        </w:rPr>
        <w:t xml:space="preserve">or </w:t>
      </w:r>
      <w:r w:rsidRPr="000E39AA">
        <w:rPr>
          <w:rFonts w:ascii="Arial" w:hAnsi="Arial" w:cs="Arial"/>
          <w:i/>
          <w:iCs/>
        </w:rPr>
        <w:t>in vitro</w:t>
      </w:r>
      <w:r w:rsidRPr="000E39AA">
        <w:rPr>
          <w:rFonts w:ascii="Arial" w:hAnsi="Arial" w:cs="Arial"/>
        </w:rPr>
        <w:t xml:space="preserve"> remains an unmet research challenge. Two- and three-dimensional cell cultures have offered valuable information on the study of nervous system diseases but remain limited in their ability to model human neural development </w:t>
      </w:r>
      <w:r w:rsidRPr="000E39AA">
        <w:rPr>
          <w:rFonts w:ascii="Arial" w:hAnsi="Arial" w:cs="Arial"/>
        </w:rPr>
        <w:fldChar w:fldCharType="begin" w:fldLock="1"/>
      </w:r>
      <w:r w:rsidR="00A445D5">
        <w:rPr>
          <w:rFonts w:ascii="Arial" w:hAnsi="Arial" w:cs="Arial"/>
        </w:rPr>
        <w:instrText>ADDIN CSL_CITATION {"citationItems":[{"id":"ITEM-1","itemData":{"DOI":"10.1038/s41583-021-00496-y","ISBN":"0123456789","ISSN":"14710048","PMID":"34376834","abstract":"Human pluripotent stem cells have emerged as a promising in vitro model system for studying the brain. Two-dimensional and three-dimensional cell culture paradigms have provided valuable insights into the pathogenesis of neuropsychiatric disorders, but they remain limited in their capacity to model certain features of human neural development. Specifically, current models do not efficiently incorporate extracellular matrix-derived biochemical and biophysical cues, facilitate multicellular spatio-temporal patterning, or achieve advanced functional maturation. Engineered biomaterials have the capacity to create increasingly biomimetic neural microenvironments, yet further refinement is needed before these approaches are widely implemented. This Review therefore highlights how continued progression and increased integration of engineered biomaterials may be well poised to address intractable challenges in recapitulating human neural development.","author":[{"dropping-particle":"","family":"Roth","given":"Julien G.","non-dropping-particle":"","parse-names":false,"suffix":""},{"dropping-particle":"","family":"Huang","given":"Michelle S.","non-dropping-particle":"","parse-names":false,"suffix":""},{"dropping-particle":"","family":"Li","given":"Thomas L.","non-dropping-particle":"","parse-names":false,"suffix":""},{"dropping-particle":"","family":"Feig","given":"Vivian R.","non-dropping-particle":"","parse-names":false,"suffix":""},{"dropping-particle":"","family":"Jiang","given":"Yuanwen","non-dropping-particle":"","parse-names":false,"suffix":""},{"dropping-particle":"","family":"Cui","given":"Bianxiao","non-dropping-particle":"","parse-names":false,"suffix":""},{"dropping-particle":"","family":"Greely","given":"Henry T.","non-dropping-particle":"","parse-names":false,"suffix":""},{"dropping-particle":"","family":"Bao","given":"Zhenan","non-dropping-particle":"","parse-names":false,"suffix":""},{"dropping-particle":"","family":"Paşca","given":"Sergiu P.","non-dropping-particle":"","parse-names":false,"suffix":""},{"dropping-particle":"","family":"Heilshorn","given":"Sarah C.","non-dropping-particle":"","parse-names":false,"suffix":""}],"container-title":"Nature Reviews Neuroscience","id":"ITEM-1","issue":"10","issued":{"date-parts":[["2021"]]},"page":"593-615","title":"Advancing models of neural development with biomaterials","type":"article-journal","volume":"22"},"uris":["http://www.mendeley.com/documents/?uuid=278367a7-04ab-4370-9199-dd7129b723ac"]}],"mendeley":{"formattedCitation":"[101]","plainTextFormattedCitation":"[101]","previouslyFormattedCitation":"[101]"},"properties":{"noteIndex":0},"schema":"https://github.com/citation-style-language/schema/raw/master/csl-citation.json"}</w:instrText>
      </w:r>
      <w:r w:rsidRPr="000E39AA">
        <w:rPr>
          <w:rFonts w:ascii="Arial" w:hAnsi="Arial" w:cs="Arial"/>
        </w:rPr>
        <w:fldChar w:fldCharType="separate"/>
      </w:r>
      <w:r w:rsidR="0062132B" w:rsidRPr="0062132B">
        <w:rPr>
          <w:rFonts w:ascii="Arial" w:hAnsi="Arial" w:cs="Arial"/>
          <w:noProof/>
        </w:rPr>
        <w:t>[101]</w:t>
      </w:r>
      <w:r w:rsidRPr="000E39AA">
        <w:rPr>
          <w:rFonts w:ascii="Arial" w:hAnsi="Arial" w:cs="Arial"/>
        </w:rPr>
        <w:fldChar w:fldCharType="end"/>
      </w:r>
      <w:r w:rsidRPr="000E39AA">
        <w:rPr>
          <w:rFonts w:ascii="Arial" w:hAnsi="Arial" w:cs="Arial"/>
        </w:rPr>
        <w:t xml:space="preserve">. To date, </w:t>
      </w:r>
      <w:r w:rsidRPr="000E39AA">
        <w:rPr>
          <w:rFonts w:ascii="Arial" w:hAnsi="Arial" w:cs="Arial"/>
          <w:i/>
          <w:iCs/>
        </w:rPr>
        <w:t>i</w:t>
      </w:r>
      <w:r w:rsidRPr="000E39AA" w:rsidDel="00BE02AA">
        <w:rPr>
          <w:rFonts w:ascii="Arial" w:hAnsi="Arial" w:cs="Arial"/>
          <w:i/>
          <w:iCs/>
        </w:rPr>
        <w:t>n</w:t>
      </w:r>
      <w:r w:rsidRPr="000E39AA">
        <w:rPr>
          <w:rFonts w:ascii="Arial" w:hAnsi="Arial" w:cs="Arial"/>
          <w:i/>
          <w:iCs/>
        </w:rPr>
        <w:t xml:space="preserve"> </w:t>
      </w:r>
      <w:r w:rsidRPr="000E39AA" w:rsidDel="00BE02AA">
        <w:rPr>
          <w:rFonts w:ascii="Arial" w:hAnsi="Arial" w:cs="Arial"/>
          <w:i/>
          <w:iCs/>
        </w:rPr>
        <w:t>vivo</w:t>
      </w:r>
      <w:r w:rsidRPr="000E39AA" w:rsidDel="00BE02AA">
        <w:rPr>
          <w:rFonts w:ascii="Arial" w:hAnsi="Arial" w:cs="Arial"/>
        </w:rPr>
        <w:t xml:space="preserve"> animal-based neuro models</w:t>
      </w:r>
      <w:r w:rsidRPr="000E39AA">
        <w:rPr>
          <w:rFonts w:ascii="Arial" w:hAnsi="Arial" w:cs="Arial"/>
        </w:rPr>
        <w:t xml:space="preserve"> remain the approach of choice</w:t>
      </w:r>
      <w:r w:rsidRPr="000E39AA" w:rsidDel="00BE02AA">
        <w:rPr>
          <w:rFonts w:ascii="Arial" w:hAnsi="Arial" w:cs="Arial"/>
        </w:rPr>
        <w:t xml:space="preserve"> </w:t>
      </w:r>
      <w:r w:rsidRPr="000E39AA" w:rsidDel="00BE02AA">
        <w:rPr>
          <w:rFonts w:ascii="Arial" w:hAnsi="Arial" w:cs="Arial"/>
        </w:rPr>
        <w:fldChar w:fldCharType="begin" w:fldLock="1"/>
      </w:r>
      <w:r w:rsidR="00A445D5">
        <w:rPr>
          <w:rFonts w:ascii="Arial" w:hAnsi="Arial" w:cs="Arial"/>
        </w:rPr>
        <w:instrText>ADDIN CSL_CITATION {"citationItems":[{"id":"ITEM-1","itemData":{"DOI":"10.3390/molecules25051171","ISSN":"14203049","PMID":"32150953","abstract":"Neuropathic pain is a common symptom and is associated with an impaired quality of life. It is caused by the lesion or disease of the somatosensory system. Neuropathic pain syndromes can be subdivided into two categories: Central and peripheral neuropathic pain. The present review highlights the peripheral neuropathic models, including spared nerve injury, spinal nerve ligation, partial sciatic nerve injury, diabetes-induced neuropathy, chemotherapy-induced neuropathy, chronic constriction injury, and related conditions. The drugs which are currently used to attenuate peripheral neuropathy, such as antidepressants, anticonvulsants, baclofen, and clonidine, are associated with adverse side effects. These negative side effects necessitate the investigation of alternative therapeutics for treating neuropathic pain conditions. Flavonoids have been reported to alleviate neuropathic pain in murine models. The present review elucidates that several flavonoids attenuate different peripheral neuropathic pain conditions at behavioral, electrophysiological, biochemical and molecular biological levels in different murine models. Therefore, the flavonoids hold future promise and can be effectively used in treating or mitigating peripheral neuropathic conditions. Thus, future studies should focus on the structure-activity relationships among different categories of flavonoids and develop therapeutic products that enhance their antineuropathic effects.","author":[{"dropping-particle":"","family":"Basu","given":"Paramita","non-dropping-particle":"","parse-names":false,"suffix":""},{"dropping-particle":"","family":"Basu","given":"Arpita","non-dropping-particle":"","parse-names":false,"suffix":""}],"container-title":"Molecules","id":"ITEM-1","issue":"5","issued":{"date-parts":[["2020"]]},"title":"In vitro and in vivo effects of flavonoids on peripheral neuropathic pain","type":"article-journal","volume":"25"},"uris":["http://www.mendeley.com/documents/?uuid=440bcf9f-4439-43c0-ae10-5d77d5d1a573"]}],"mendeley":{"formattedCitation":"[102]","plainTextFormattedCitation":"[102]","previouslyFormattedCitation":"[102]"},"properties":{"noteIndex":0},"schema":"https://github.com/citation-style-language/schema/raw/master/csl-citation.json"}</w:instrText>
      </w:r>
      <w:r w:rsidRPr="000E39AA" w:rsidDel="00BE02AA">
        <w:rPr>
          <w:rFonts w:ascii="Arial" w:hAnsi="Arial" w:cs="Arial"/>
        </w:rPr>
        <w:fldChar w:fldCharType="separate"/>
      </w:r>
      <w:r w:rsidR="0062132B" w:rsidRPr="0062132B">
        <w:rPr>
          <w:rFonts w:ascii="Arial" w:hAnsi="Arial" w:cs="Arial"/>
          <w:noProof/>
        </w:rPr>
        <w:t>[102]</w:t>
      </w:r>
      <w:r w:rsidRPr="000E39AA" w:rsidDel="00BE02AA">
        <w:rPr>
          <w:rFonts w:ascii="Arial" w:hAnsi="Arial" w:cs="Arial"/>
        </w:rPr>
        <w:fldChar w:fldCharType="end"/>
      </w:r>
      <w:r w:rsidRPr="000E39AA" w:rsidDel="00BE02AA">
        <w:rPr>
          <w:rFonts w:ascii="Arial" w:hAnsi="Arial" w:cs="Arial"/>
        </w:rPr>
        <w:t xml:space="preserve"> </w:t>
      </w:r>
      <w:r w:rsidRPr="000E39AA">
        <w:rPr>
          <w:rFonts w:ascii="Arial" w:hAnsi="Arial" w:cs="Arial"/>
        </w:rPr>
        <w:t xml:space="preserve">with </w:t>
      </w:r>
      <w:r w:rsidR="00655A0C">
        <w:rPr>
          <w:rFonts w:ascii="Arial" w:hAnsi="Arial" w:cs="Arial"/>
        </w:rPr>
        <w:t xml:space="preserve">yet </w:t>
      </w:r>
      <w:r w:rsidRPr="000E39AA">
        <w:rPr>
          <w:rFonts w:ascii="Arial" w:hAnsi="Arial" w:cs="Arial"/>
        </w:rPr>
        <w:t xml:space="preserve">limited </w:t>
      </w:r>
      <w:r>
        <w:rPr>
          <w:rFonts w:ascii="Arial" w:hAnsi="Arial" w:cs="Arial"/>
        </w:rPr>
        <w:t>success</w:t>
      </w:r>
      <w:r w:rsidR="00655A0C">
        <w:rPr>
          <w:rFonts w:ascii="Arial" w:hAnsi="Arial" w:cs="Arial"/>
        </w:rPr>
        <w:t xml:space="preserve"> in recapitulating</w:t>
      </w:r>
      <w:r w:rsidR="00C05C18">
        <w:rPr>
          <w:rFonts w:ascii="Arial" w:hAnsi="Arial" w:cs="Arial"/>
        </w:rPr>
        <w:t xml:space="preserve"> the</w:t>
      </w:r>
      <w:r w:rsidR="00655A0C">
        <w:rPr>
          <w:rFonts w:ascii="Arial" w:hAnsi="Arial" w:cs="Arial"/>
        </w:rPr>
        <w:t xml:space="preserve"> neural micro-environment </w:t>
      </w:r>
      <w:r w:rsidR="00655A0C">
        <w:rPr>
          <w:rFonts w:ascii="Arial" w:hAnsi="Arial" w:cs="Arial"/>
          <w:i/>
          <w:iCs/>
        </w:rPr>
        <w:t>in vitro</w:t>
      </w:r>
      <w:r w:rsidRPr="000E39AA" w:rsidDel="00BE02AA">
        <w:rPr>
          <w:rFonts w:ascii="Arial" w:hAnsi="Arial" w:cs="Arial"/>
        </w:rPr>
        <w:t xml:space="preserve">. </w:t>
      </w:r>
    </w:p>
    <w:p w14:paraId="0BFB850F" w14:textId="0BB71D2D" w:rsidR="00E92104" w:rsidRDefault="00F432BC" w:rsidP="0023525D">
      <w:pPr>
        <w:spacing w:line="276" w:lineRule="auto"/>
        <w:jc w:val="center"/>
        <w:rPr>
          <w:rFonts w:ascii="Arial" w:hAnsi="Arial" w:cs="Arial"/>
        </w:rPr>
      </w:pPr>
      <w:r>
        <w:rPr>
          <w:rFonts w:ascii="Arial" w:hAnsi="Arial" w:cs="Arial"/>
          <w:noProof/>
        </w:rPr>
        <w:lastRenderedPageBreak/>
        <w:drawing>
          <wp:inline distT="0" distB="0" distL="0" distR="0" wp14:anchorId="11E2F690" wp14:editId="1FFC74B1">
            <wp:extent cx="5299010" cy="4810760"/>
            <wp:effectExtent l="0" t="0" r="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03787" cy="4815096"/>
                    </a:xfrm>
                    <a:prstGeom prst="rect">
                      <a:avLst/>
                    </a:prstGeom>
                    <a:noFill/>
                  </pic:spPr>
                </pic:pic>
              </a:graphicData>
            </a:graphic>
          </wp:inline>
        </w:drawing>
      </w:r>
    </w:p>
    <w:p w14:paraId="4431CEC9" w14:textId="6CD44122" w:rsidR="00D35154" w:rsidRDefault="008F7D81" w:rsidP="0023525D">
      <w:pPr>
        <w:spacing w:after="0" w:line="276" w:lineRule="auto"/>
        <w:jc w:val="both"/>
        <w:rPr>
          <w:rFonts w:ascii="Arial" w:hAnsi="Arial" w:cs="Arial"/>
          <w:sz w:val="18"/>
          <w:szCs w:val="18"/>
        </w:rPr>
      </w:pPr>
      <w:r w:rsidRPr="0023525D">
        <w:rPr>
          <w:rFonts w:ascii="Arial" w:hAnsi="Arial" w:cs="Arial"/>
          <w:b/>
          <w:bCs/>
          <w:sz w:val="18"/>
          <w:szCs w:val="18"/>
          <w:lang w:val="it-IT"/>
        </w:rPr>
        <w:t>Fig</w:t>
      </w:r>
      <w:r w:rsidR="00584B3C">
        <w:rPr>
          <w:rFonts w:ascii="Arial" w:hAnsi="Arial" w:cs="Arial"/>
          <w:b/>
          <w:bCs/>
          <w:sz w:val="18"/>
          <w:szCs w:val="18"/>
          <w:lang w:val="it-IT"/>
        </w:rPr>
        <w:t>.</w:t>
      </w:r>
      <w:r w:rsidRPr="0023525D">
        <w:rPr>
          <w:rFonts w:ascii="Arial" w:hAnsi="Arial" w:cs="Arial"/>
          <w:b/>
          <w:bCs/>
          <w:sz w:val="18"/>
          <w:szCs w:val="18"/>
          <w:lang w:val="it-IT"/>
        </w:rPr>
        <w:t xml:space="preserve"> </w:t>
      </w:r>
      <w:r w:rsidR="0049554C">
        <w:rPr>
          <w:rFonts w:ascii="Arial" w:hAnsi="Arial" w:cs="Arial"/>
          <w:b/>
          <w:bCs/>
          <w:sz w:val="18"/>
          <w:szCs w:val="18"/>
          <w:lang w:val="it-IT"/>
        </w:rPr>
        <w:t>4</w:t>
      </w:r>
      <w:r w:rsidRPr="0023525D">
        <w:rPr>
          <w:rFonts w:ascii="Arial" w:hAnsi="Arial" w:cs="Arial"/>
          <w:b/>
          <w:bCs/>
          <w:sz w:val="18"/>
          <w:szCs w:val="18"/>
          <w:lang w:val="it-IT"/>
        </w:rPr>
        <w:t xml:space="preserve"> </w:t>
      </w:r>
      <w:r w:rsidRPr="0023525D">
        <w:rPr>
          <w:rFonts w:ascii="Arial" w:hAnsi="Arial" w:cs="Arial"/>
          <w:i/>
          <w:iCs/>
          <w:sz w:val="18"/>
          <w:szCs w:val="18"/>
          <w:lang w:val="it-IT"/>
        </w:rPr>
        <w:t xml:space="preserve">In vivo </w:t>
      </w:r>
      <w:r w:rsidR="008123EC">
        <w:rPr>
          <w:rFonts w:ascii="Arial" w:hAnsi="Arial" w:cs="Arial"/>
          <w:sz w:val="18"/>
          <w:szCs w:val="18"/>
          <w:lang w:val="it-IT"/>
        </w:rPr>
        <w:t xml:space="preserve">and </w:t>
      </w:r>
      <w:r w:rsidR="008123EC">
        <w:rPr>
          <w:rFonts w:ascii="Arial" w:hAnsi="Arial" w:cs="Arial"/>
          <w:i/>
          <w:iCs/>
          <w:sz w:val="18"/>
          <w:szCs w:val="18"/>
          <w:lang w:val="it-IT"/>
        </w:rPr>
        <w:t xml:space="preserve">in vitro </w:t>
      </w:r>
      <w:r w:rsidRPr="0023525D">
        <w:rPr>
          <w:rFonts w:ascii="Arial" w:hAnsi="Arial" w:cs="Arial"/>
          <w:sz w:val="18"/>
          <w:szCs w:val="18"/>
          <w:lang w:val="it-IT"/>
        </w:rPr>
        <w:t>neuro model</w:t>
      </w:r>
      <w:r w:rsidR="008123EC">
        <w:rPr>
          <w:rFonts w:ascii="Arial" w:hAnsi="Arial" w:cs="Arial"/>
          <w:sz w:val="18"/>
          <w:szCs w:val="18"/>
          <w:lang w:val="it-IT"/>
        </w:rPr>
        <w:t>s</w:t>
      </w:r>
      <w:r w:rsidRPr="0023525D">
        <w:rPr>
          <w:rFonts w:ascii="Arial" w:hAnsi="Arial" w:cs="Arial"/>
          <w:sz w:val="18"/>
          <w:szCs w:val="18"/>
          <w:lang w:val="it-IT"/>
        </w:rPr>
        <w:t>.</w:t>
      </w:r>
      <w:r w:rsidR="008123EC">
        <w:rPr>
          <w:rFonts w:ascii="Arial" w:hAnsi="Arial" w:cs="Arial"/>
          <w:sz w:val="18"/>
          <w:szCs w:val="18"/>
          <w:lang w:val="it-IT"/>
        </w:rPr>
        <w:t xml:space="preserve"> </w:t>
      </w:r>
      <w:r w:rsidR="008123EC" w:rsidRPr="0023525D">
        <w:rPr>
          <w:rFonts w:ascii="Arial" w:hAnsi="Arial" w:cs="Arial"/>
          <w:sz w:val="18"/>
          <w:szCs w:val="18"/>
        </w:rPr>
        <w:t>(a)</w:t>
      </w:r>
      <w:r w:rsidR="009A1F03" w:rsidRPr="009A1F03">
        <w:rPr>
          <w:rFonts w:ascii="Arial" w:hAnsi="Arial" w:cs="Arial"/>
          <w:i/>
          <w:iCs/>
          <w:sz w:val="18"/>
          <w:szCs w:val="18"/>
          <w:lang w:val="en-US"/>
        </w:rPr>
        <w:t xml:space="preserve"> </w:t>
      </w:r>
      <w:r w:rsidR="009A1F03">
        <w:rPr>
          <w:rFonts w:ascii="Arial" w:hAnsi="Arial" w:cs="Arial"/>
          <w:i/>
          <w:iCs/>
          <w:sz w:val="18"/>
          <w:szCs w:val="18"/>
          <w:lang w:val="en-US"/>
        </w:rPr>
        <w:t xml:space="preserve">In vivo models. </w:t>
      </w:r>
      <w:r w:rsidR="009A1F03">
        <w:rPr>
          <w:rFonts w:ascii="Arial" w:hAnsi="Arial" w:cs="Arial"/>
          <w:sz w:val="18"/>
          <w:szCs w:val="18"/>
          <w:lang w:val="en-US"/>
        </w:rPr>
        <w:t>(a-</w:t>
      </w:r>
      <w:proofErr w:type="spellStart"/>
      <w:r w:rsidR="009A1F03">
        <w:rPr>
          <w:rFonts w:ascii="Arial" w:hAnsi="Arial" w:cs="Arial"/>
          <w:sz w:val="18"/>
          <w:szCs w:val="18"/>
          <w:lang w:val="en-US"/>
        </w:rPr>
        <w:t>i</w:t>
      </w:r>
      <w:proofErr w:type="spellEnd"/>
      <w:r w:rsidR="009A1F03">
        <w:rPr>
          <w:rFonts w:ascii="Arial" w:hAnsi="Arial" w:cs="Arial"/>
          <w:sz w:val="18"/>
          <w:szCs w:val="18"/>
          <w:lang w:val="en-US"/>
        </w:rPr>
        <w:t>)</w:t>
      </w:r>
      <w:r w:rsidR="008123EC" w:rsidRPr="0023525D">
        <w:rPr>
          <w:rFonts w:ascii="Arial" w:hAnsi="Arial" w:cs="Arial"/>
          <w:sz w:val="18"/>
          <w:szCs w:val="18"/>
        </w:rPr>
        <w:t xml:space="preserve"> </w:t>
      </w:r>
      <w:r w:rsidR="00171EE3">
        <w:rPr>
          <w:rFonts w:ascii="Arial" w:hAnsi="Arial" w:cs="Arial"/>
          <w:sz w:val="18"/>
          <w:szCs w:val="18"/>
        </w:rPr>
        <w:t>A m</w:t>
      </w:r>
      <w:r w:rsidR="008123EC" w:rsidRPr="0023525D">
        <w:rPr>
          <w:rFonts w:ascii="Arial" w:hAnsi="Arial" w:cs="Arial"/>
          <w:sz w:val="18"/>
          <w:szCs w:val="18"/>
        </w:rPr>
        <w:t xml:space="preserve">odel for the study of functional treatment for the crossing of blood-brain-barrier (BBB) to inhibit central reporter gene expression and </w:t>
      </w:r>
      <w:r w:rsidR="00171EE3">
        <w:rPr>
          <w:rFonts w:ascii="Arial" w:hAnsi="Arial" w:cs="Arial"/>
          <w:sz w:val="18"/>
          <w:szCs w:val="18"/>
        </w:rPr>
        <w:t>study</w:t>
      </w:r>
      <w:r w:rsidR="008123EC" w:rsidRPr="0023525D">
        <w:rPr>
          <w:rFonts w:ascii="Arial" w:hAnsi="Arial" w:cs="Arial"/>
          <w:sz w:val="18"/>
          <w:szCs w:val="18"/>
        </w:rPr>
        <w:t xml:space="preserve"> glial signalling to alleviate chronic pain. GFP-positive reported gene expression (green) </w:t>
      </w:r>
      <w:r w:rsidR="003C57A0">
        <w:rPr>
          <w:rFonts w:ascii="Arial" w:hAnsi="Arial" w:cs="Arial"/>
          <w:sz w:val="18"/>
          <w:szCs w:val="18"/>
        </w:rPr>
        <w:t xml:space="preserve">is extensively </w:t>
      </w:r>
      <w:r w:rsidR="008123EC" w:rsidRPr="0023525D">
        <w:rPr>
          <w:rFonts w:ascii="Arial" w:hAnsi="Arial" w:cs="Arial"/>
          <w:sz w:val="18"/>
          <w:szCs w:val="18"/>
        </w:rPr>
        <w:t xml:space="preserve">observed in the spinal cord tissue (left panels), while not localised in the sciatic nerve (right panels) at different time points. Glial fibrillary acidic protein (GFAP)-positive glial cells and </w:t>
      </w:r>
      <w:proofErr w:type="spellStart"/>
      <w:r w:rsidR="008123EC" w:rsidRPr="0023525D">
        <w:rPr>
          <w:rFonts w:ascii="Arial" w:hAnsi="Arial" w:cs="Arial"/>
          <w:sz w:val="18"/>
          <w:szCs w:val="18"/>
        </w:rPr>
        <w:t>eGFP</w:t>
      </w:r>
      <w:proofErr w:type="spellEnd"/>
      <w:r w:rsidR="008123EC" w:rsidRPr="0023525D">
        <w:rPr>
          <w:rFonts w:ascii="Arial" w:hAnsi="Arial" w:cs="Arial"/>
          <w:sz w:val="18"/>
          <w:szCs w:val="18"/>
        </w:rPr>
        <w:t xml:space="preserve"> expression was found to co-localise in specific regions – white arrows. Adapted from </w:t>
      </w:r>
      <w:r w:rsidR="008123EC" w:rsidRPr="0023525D">
        <w:rPr>
          <w:rFonts w:ascii="Arial" w:hAnsi="Arial" w:cs="Arial"/>
          <w:i/>
          <w:iCs/>
          <w:sz w:val="18"/>
          <w:szCs w:val="18"/>
        </w:rPr>
        <w:fldChar w:fldCharType="begin" w:fldLock="1"/>
      </w:r>
      <w:r w:rsidR="00A445D5">
        <w:rPr>
          <w:rFonts w:ascii="Arial" w:hAnsi="Arial" w:cs="Arial"/>
          <w:i/>
          <w:iCs/>
          <w:sz w:val="18"/>
          <w:szCs w:val="18"/>
        </w:rPr>
        <w:instrText>ADDIN CSL_CITATION {"citationItems":[{"id":"ITEM-1","itemData":{"DOI":"10.3389/fncel.2021.782275","ISSN":"1662-5102","abstract":"Chronic neuropathic pain leads to long-term changes in the sensitivity of both peripheral and central nociceptive neurons. Glial fibrillary acidic protein (GFAP)-positive glial cells are closely associated with the nociceptive neurons including astrocytes in the central nervous system (CNS), satellite glial cells (SGCs) in the sensory ganglia, and non-myelinating Schwann cells (NMSCs) in the peripheral nerves. Central and peripheral GFAP-positive cells are involved in the maintenance of chronic pain through a host of inflammatory cytokines, many of which are under control of the transcription factor nuclear factor κB (NFκB) and the enzyme cyclooxygenase 2 (COX2). To test the hypothesis that inhibiting GFAP-positive glial signaling alleviates chronic pain, we used (1) a conditional knockout (cKO) mouse expressing Cre recombinase under the hGFAP promoter and a floxed COX2 gene to inactivate the COX2 gene specifically in GFAP-positive cells; and (2) a tet-Off tetracycline transactivator system to suppress NFκB activation in GFAP-positive cells. We found that neuropathic pain behavior following spared nerve injury (SNI) significantly decreased in COX2 cKO mice as well as in mice with decreased glial NFκB signaling. Additionally, experiments were performed to determine whether central or peripheral glial NFκB signaling contributes to the maintenance of chronic pain behavior following nerve injury. Oxytetracycline (Oxy), a blood-brain barrier impermeable analog of doxycycline was employed to restrict transgene expression to CNS glia only, leaving peripheral glial signaling intact. Signaling inactivation in central GFAP-positive glia alone failed to exhibit the same analgesic effects as previously observed in animals with both central and peripheral glial signaling inhibition. These data suggest that the NFκB-COX2 signaling pathway in NMSCs is necessary for the maintenance of neuropathic pain in vivo .","author":[{"dropping-particle":"","family":"Xie","given":"Alison Xiaoqiao","non-dropping-particle":"","parse-names":false,"suffix":""},{"dropping-particle":"","family":"Taves","given":"Sarah","non-dropping-particle":"","parse-names":false,"suffix":""},{"dropping-particle":"","family":"McCarthy","given":"Ken","non-dropping-particle":"","parse-names":false,"suffix":""}],"container-title":"Frontiers in Cellular Neuroscience","id":"ITEM-1","issue":"January","issued":{"date-parts":[["2022","1","14"]]},"title":"Nuclear Factor κB-COX2 Pathway Activation in Non-myelinating Schwann Cells Is Necessary for the Maintenance of Neuropathic Pain in vivo","type":"article-journal","volume":"15"},"uris":["http://www.mendeley.com/documents/?uuid=a3214f80-84d9-46ef-8572-0d77561f2dd4"]}],"mendeley":{"formattedCitation":"[103]","plainTextFormattedCitation":"[103]","previouslyFormattedCitation":"[103]"},"properties":{"noteIndex":0},"schema":"https://github.com/citation-style-language/schema/raw/master/csl-citation.json"}</w:instrText>
      </w:r>
      <w:r w:rsidR="008123EC" w:rsidRPr="0023525D">
        <w:rPr>
          <w:rFonts w:ascii="Arial" w:hAnsi="Arial" w:cs="Arial"/>
          <w:i/>
          <w:iCs/>
          <w:sz w:val="18"/>
          <w:szCs w:val="18"/>
        </w:rPr>
        <w:fldChar w:fldCharType="separate"/>
      </w:r>
      <w:r w:rsidR="0062132B" w:rsidRPr="0062132B">
        <w:rPr>
          <w:rFonts w:ascii="Arial" w:hAnsi="Arial" w:cs="Arial"/>
          <w:noProof/>
          <w:sz w:val="18"/>
          <w:szCs w:val="18"/>
        </w:rPr>
        <w:t>[103]</w:t>
      </w:r>
      <w:r w:rsidR="008123EC" w:rsidRPr="0023525D">
        <w:rPr>
          <w:rFonts w:ascii="Arial" w:hAnsi="Arial" w:cs="Arial"/>
          <w:i/>
          <w:iCs/>
          <w:sz w:val="18"/>
          <w:szCs w:val="18"/>
        </w:rPr>
        <w:fldChar w:fldCharType="end"/>
      </w:r>
      <w:r w:rsidR="008123EC" w:rsidRPr="0023525D">
        <w:rPr>
          <w:rFonts w:ascii="Arial" w:hAnsi="Arial" w:cs="Arial"/>
          <w:sz w:val="18"/>
          <w:szCs w:val="18"/>
        </w:rPr>
        <w:t>. Copyright © 2022. This is an open-access article distributed under the terms of the Creative Commons Attribution License (CC BY).</w:t>
      </w:r>
    </w:p>
    <w:p w14:paraId="331BC001" w14:textId="122D2367" w:rsidR="008931AE" w:rsidRPr="0023525D" w:rsidRDefault="00D35154" w:rsidP="0023525D">
      <w:pPr>
        <w:spacing w:after="0" w:line="276" w:lineRule="auto"/>
        <w:jc w:val="both"/>
        <w:rPr>
          <w:rFonts w:ascii="Arial" w:hAnsi="Arial" w:cs="Arial"/>
          <w:color w:val="000000"/>
          <w:sz w:val="18"/>
          <w:szCs w:val="18"/>
          <w:lang w:val="en-US"/>
        </w:rPr>
      </w:pPr>
      <w:r>
        <w:rPr>
          <w:rFonts w:ascii="Arial" w:hAnsi="Arial" w:cs="Arial"/>
          <w:sz w:val="18"/>
          <w:szCs w:val="18"/>
        </w:rPr>
        <w:t xml:space="preserve">(b) </w:t>
      </w:r>
      <w:r>
        <w:rPr>
          <w:rFonts w:ascii="Arial" w:hAnsi="Arial" w:cs="Arial"/>
          <w:i/>
          <w:iCs/>
          <w:sz w:val="18"/>
          <w:szCs w:val="18"/>
          <w:lang w:val="en-US"/>
        </w:rPr>
        <w:t xml:space="preserve">In vitro models. </w:t>
      </w:r>
      <w:r w:rsidR="00DC0380" w:rsidRPr="00CC542B">
        <w:rPr>
          <w:rFonts w:ascii="Arial" w:hAnsi="Arial" w:cs="Arial"/>
          <w:color w:val="000000"/>
          <w:sz w:val="18"/>
          <w:szCs w:val="18"/>
          <w:lang w:val="en-US"/>
        </w:rPr>
        <w:t>(b</w:t>
      </w:r>
      <w:r w:rsidR="00DC0380">
        <w:rPr>
          <w:rFonts w:ascii="Arial" w:hAnsi="Arial" w:cs="Arial"/>
          <w:color w:val="000000"/>
          <w:sz w:val="18"/>
          <w:szCs w:val="18"/>
          <w:lang w:val="en-US"/>
        </w:rPr>
        <w:t>-</w:t>
      </w:r>
      <w:proofErr w:type="spellStart"/>
      <w:r w:rsidR="00DC0380">
        <w:rPr>
          <w:rFonts w:ascii="Arial" w:hAnsi="Arial" w:cs="Arial"/>
          <w:color w:val="000000"/>
          <w:sz w:val="18"/>
          <w:szCs w:val="18"/>
          <w:lang w:val="en-US"/>
        </w:rPr>
        <w:t>i</w:t>
      </w:r>
      <w:proofErr w:type="spellEnd"/>
      <w:r w:rsidR="00DC0380" w:rsidRPr="00CC542B">
        <w:rPr>
          <w:rFonts w:ascii="Arial" w:hAnsi="Arial" w:cs="Arial"/>
          <w:color w:val="000000"/>
          <w:sz w:val="18"/>
          <w:szCs w:val="18"/>
          <w:lang w:val="en-US"/>
        </w:rPr>
        <w:t>) 3D-bioprinted brain-like cortical tissue with 3D compartmentalized modular and concentrical architectures. The use of a silk-fibroin/ECM scaffold with a rudimentary structure provide</w:t>
      </w:r>
      <w:r w:rsidR="00DC0380">
        <w:rPr>
          <w:rFonts w:ascii="Arial" w:hAnsi="Arial" w:cs="Arial"/>
          <w:color w:val="000000"/>
          <w:sz w:val="18"/>
          <w:szCs w:val="18"/>
          <w:lang w:val="en-US"/>
        </w:rPr>
        <w:t>d</w:t>
      </w:r>
      <w:r w:rsidR="00DC0380" w:rsidRPr="00CC542B">
        <w:rPr>
          <w:rFonts w:ascii="Arial" w:hAnsi="Arial" w:cs="Arial"/>
          <w:color w:val="000000"/>
          <w:sz w:val="18"/>
          <w:szCs w:val="18"/>
          <w:lang w:val="en-US"/>
        </w:rPr>
        <w:t xml:space="preserve"> relevant features useful for brain neural network development. In addition, the developed brain tissue show</w:t>
      </w:r>
      <w:r w:rsidR="00DC0380">
        <w:rPr>
          <w:rFonts w:ascii="Arial" w:hAnsi="Arial" w:cs="Arial"/>
          <w:color w:val="000000"/>
          <w:sz w:val="18"/>
          <w:szCs w:val="18"/>
          <w:lang w:val="en-US"/>
        </w:rPr>
        <w:t>ed</w:t>
      </w:r>
      <w:r w:rsidR="00DC0380" w:rsidRPr="00CC542B">
        <w:rPr>
          <w:rFonts w:ascii="Arial" w:hAnsi="Arial" w:cs="Arial"/>
          <w:color w:val="000000"/>
          <w:sz w:val="18"/>
          <w:szCs w:val="18"/>
          <w:lang w:val="en-US"/>
        </w:rPr>
        <w:t xml:space="preserve"> electrophysiological functions in response to traumatic brain injury (TBI): a change in baseline signal is shown after a weigh-drop impact, with a consequent injury triggered Glu release </w:t>
      </w:r>
      <w:proofErr w:type="gramStart"/>
      <w:r w:rsidR="00DC0380" w:rsidRPr="00CC542B">
        <w:rPr>
          <w:rFonts w:ascii="Arial" w:hAnsi="Arial" w:cs="Arial"/>
          <w:color w:val="000000"/>
          <w:sz w:val="18"/>
          <w:szCs w:val="18"/>
          <w:lang w:val="en-US"/>
        </w:rPr>
        <w:t>that mimic observations</w:t>
      </w:r>
      <w:proofErr w:type="gramEnd"/>
      <w:r w:rsidR="00DC0380" w:rsidRPr="00CC542B">
        <w:rPr>
          <w:rFonts w:ascii="Arial" w:hAnsi="Arial" w:cs="Arial"/>
          <w:color w:val="000000"/>
          <w:sz w:val="18"/>
          <w:szCs w:val="18"/>
          <w:lang w:val="en-US"/>
        </w:rPr>
        <w:t xml:space="preserve"> in vivo. This modular 3D brain-like tissue is capable of real-time nondestructive assessments offering the possibility to model brain disorders such as TBI</w:t>
      </w:r>
      <w:r w:rsidR="003C57A0">
        <w:rPr>
          <w:rFonts w:ascii="Arial" w:hAnsi="Arial" w:cs="Arial"/>
          <w:color w:val="000000"/>
          <w:sz w:val="18"/>
          <w:szCs w:val="18"/>
          <w:lang w:val="en-US"/>
        </w:rPr>
        <w:t xml:space="preserve">. </w:t>
      </w:r>
      <w:r w:rsidR="003C57A0" w:rsidRPr="00CC542B">
        <w:rPr>
          <w:rFonts w:ascii="Arial" w:hAnsi="Arial" w:cs="Arial"/>
          <w:sz w:val="18"/>
          <w:szCs w:val="18"/>
        </w:rPr>
        <w:t>Adapted from</w:t>
      </w:r>
      <w:r w:rsidR="00DC0380">
        <w:rPr>
          <w:rFonts w:ascii="Arial" w:hAnsi="Arial" w:cs="Arial"/>
          <w:color w:val="000000"/>
          <w:sz w:val="18"/>
          <w:szCs w:val="18"/>
          <w:lang w:val="en-US"/>
        </w:rPr>
        <w:t xml:space="preserve"> </w:t>
      </w:r>
      <w:r w:rsidR="00DC0380">
        <w:rPr>
          <w:rFonts w:ascii="Arial" w:hAnsi="Arial" w:cs="Arial"/>
          <w:color w:val="000000"/>
          <w:sz w:val="18"/>
          <w:szCs w:val="18"/>
          <w:lang w:val="en-US"/>
        </w:rPr>
        <w:fldChar w:fldCharType="begin" w:fldLock="1"/>
      </w:r>
      <w:r w:rsidR="00A445D5">
        <w:rPr>
          <w:rFonts w:ascii="Arial" w:hAnsi="Arial" w:cs="Arial"/>
          <w:color w:val="000000"/>
          <w:sz w:val="18"/>
          <w:szCs w:val="18"/>
          <w:lang w:val="en-US"/>
        </w:rPr>
        <w:instrText>ADDIN CSL_CITATION {"citationItems":[{"id":"ITEM-1","itemData":{"DOI":"10.1073/pnas.1324214111","ISSN":"10916490","PMID":"25114234","abstract":"The brain remains one of the most important but least understood tissues in our body, in part because of its complexity as well as the limitations associated with in vivo studies. Although simpler tissues have yielded to the emerging tools for in vitro 3D tissue cultures, functional brain-like tissues have not. We report the construction of complex functional 3D brain-like cortical tissue, maintained for months in vitro, formed from primary cortical neurons in modular 3D compartmentalized architectures with electrophysiological function. We show that, on injury, this brain-like tissue responds in vitro with biochemical and electrophysiological outcomes that mimic observations in vivo. This modular 3D brain-like tissue is capable of real-time nondestructive assessments, offering previously unidentified directions for studies of brain homeostasis and injury.","author":[{"dropping-particle":"","family":"Tang-Schomer","given":"Min D.","non-dropping-particle":"","parse-names":false,"suffix":""},{"dropping-particle":"","family":"White","given":"James D.","non-dropping-particle":"","parse-names":false,"suffix":""},{"dropping-particle":"","family":"Tien","given":"Lee W.","non-dropping-particle":"","parse-names":false,"suffix":""},{"dropping-particle":"","family":"Schmitt","given":"L. Ian","non-dropping-particle":"","parse-names":false,"suffix":""},{"dropping-particle":"","family":"Valentin","given":"Thomas M.","non-dropping-particle":"","parse-names":false,"suffix":""},{"dropping-particle":"","family":"Graziano","given":"Daniel J.","non-dropping-particle":"","parse-names":false,"suffix":""},{"dropping-particle":"","family":"Hopkins","given":"Amy M.","non-dropping-particle":"","parse-names":false,"suffix":""},{"dropping-particle":"","family":"Omenetto","given":"Fiorenzo G.","non-dropping-particle":"","parse-names":false,"suffix":""},{"dropping-particle":"","family":"Haydon","given":"Philip G.","non-dropping-particle":"","parse-names":false,"suffix":""},{"dropping-particle":"","family":"Kaplan","given":"David L.","non-dropping-particle":"","parse-names":false,"suffix":""}],"container-title":"Proceedings of the National Academy of Sciences of the United States of America","id":"ITEM-1","issue":"38","issued":{"date-parts":[["2014"]]},"page":"13811-13816","title":"Bioengineered functional brain-like cortical tissue","type":"article-journal","volume":"111"},"uris":["http://www.mendeley.com/documents/?uuid=6a6e68d4-069a-44e5-bff2-e255f78a78d9"]}],"mendeley":{"formattedCitation":"[104]","plainTextFormattedCitation":"[104]","previouslyFormattedCitation":"[104]"},"properties":{"noteIndex":0},"schema":"https://github.com/citation-style-language/schema/raw/master/csl-citation.json"}</w:instrText>
      </w:r>
      <w:r w:rsidR="00DC0380">
        <w:rPr>
          <w:rFonts w:ascii="Arial" w:hAnsi="Arial" w:cs="Arial"/>
          <w:color w:val="000000"/>
          <w:sz w:val="18"/>
          <w:szCs w:val="18"/>
          <w:lang w:val="en-US"/>
        </w:rPr>
        <w:fldChar w:fldCharType="separate"/>
      </w:r>
      <w:r w:rsidR="0062132B" w:rsidRPr="0062132B">
        <w:rPr>
          <w:rFonts w:ascii="Arial" w:hAnsi="Arial" w:cs="Arial"/>
          <w:noProof/>
          <w:color w:val="000000"/>
          <w:sz w:val="18"/>
          <w:szCs w:val="18"/>
          <w:lang w:val="en-US"/>
        </w:rPr>
        <w:t>[104]</w:t>
      </w:r>
      <w:r w:rsidR="00DC0380">
        <w:rPr>
          <w:rFonts w:ascii="Arial" w:hAnsi="Arial" w:cs="Arial"/>
          <w:color w:val="000000"/>
          <w:sz w:val="18"/>
          <w:szCs w:val="18"/>
          <w:lang w:val="en-US"/>
        </w:rPr>
        <w:fldChar w:fldCharType="end"/>
      </w:r>
      <w:r w:rsidR="00DC0380">
        <w:rPr>
          <w:rFonts w:ascii="Arial" w:hAnsi="Arial" w:cs="Arial"/>
          <w:color w:val="000000"/>
          <w:sz w:val="18"/>
          <w:szCs w:val="18"/>
          <w:lang w:val="en-US"/>
        </w:rPr>
        <w:t>.</w:t>
      </w:r>
      <w:r w:rsidR="00DC0380" w:rsidRPr="00CC542B">
        <w:rPr>
          <w:rFonts w:ascii="Arial" w:hAnsi="Arial" w:cs="Arial"/>
          <w:color w:val="000000"/>
          <w:sz w:val="18"/>
          <w:szCs w:val="18"/>
          <w:lang w:val="en-US"/>
        </w:rPr>
        <w:t xml:space="preserve"> </w:t>
      </w:r>
      <w:r w:rsidR="00DC0380" w:rsidRPr="00CC542B">
        <w:rPr>
          <w:rFonts w:ascii="Arial" w:hAnsi="Arial" w:cs="Arial"/>
          <w:sz w:val="18"/>
          <w:szCs w:val="18"/>
        </w:rPr>
        <w:t>This is an open-access article distributed under the terms of the Creative Commons Attribution License (CC BY).</w:t>
      </w:r>
      <w:r w:rsidR="00DC0380">
        <w:rPr>
          <w:rFonts w:ascii="Arial" w:hAnsi="Arial" w:cs="Arial"/>
          <w:sz w:val="18"/>
          <w:szCs w:val="18"/>
        </w:rPr>
        <w:t xml:space="preserve"> </w:t>
      </w:r>
      <w:r w:rsidR="00DC0380" w:rsidRPr="00CC542B">
        <w:rPr>
          <w:rFonts w:ascii="Arial" w:hAnsi="Arial" w:cs="Arial"/>
          <w:color w:val="000000"/>
          <w:sz w:val="18"/>
          <w:szCs w:val="18"/>
          <w:lang w:val="en-US"/>
        </w:rPr>
        <w:t>(</w:t>
      </w:r>
      <w:r w:rsidR="00DC0380">
        <w:rPr>
          <w:rFonts w:ascii="Arial" w:hAnsi="Arial" w:cs="Arial"/>
          <w:color w:val="000000"/>
          <w:sz w:val="18"/>
          <w:szCs w:val="18"/>
          <w:lang w:val="en-US"/>
        </w:rPr>
        <w:t>b-ii</w:t>
      </w:r>
      <w:r w:rsidR="00DC0380" w:rsidRPr="00CC542B">
        <w:rPr>
          <w:rFonts w:ascii="Arial" w:hAnsi="Arial" w:cs="Arial"/>
          <w:color w:val="000000"/>
          <w:sz w:val="18"/>
          <w:szCs w:val="18"/>
          <w:lang w:val="en-US"/>
        </w:rPr>
        <w:t>) Printing neural tissues using a lipid-bilayer-supported droplet bioprinting (</w:t>
      </w:r>
      <w:proofErr w:type="spellStart"/>
      <w:r w:rsidR="00DC0380" w:rsidRPr="00CC542B">
        <w:rPr>
          <w:rFonts w:ascii="Arial" w:hAnsi="Arial" w:cs="Arial"/>
          <w:color w:val="000000"/>
          <w:sz w:val="18"/>
          <w:szCs w:val="18"/>
          <w:lang w:val="en-US"/>
        </w:rPr>
        <w:t>i</w:t>
      </w:r>
      <w:proofErr w:type="spellEnd"/>
      <w:r w:rsidR="00DC0380" w:rsidRPr="00CC542B">
        <w:rPr>
          <w:rFonts w:ascii="Arial" w:hAnsi="Arial" w:cs="Arial"/>
          <w:color w:val="000000"/>
          <w:sz w:val="18"/>
          <w:szCs w:val="18"/>
          <w:lang w:val="en-US"/>
        </w:rPr>
        <w:t>), allows to develop a functional stimulus-responsive neural network in some weeks (ii). Neural tissue was obtained by 3D printing aqueous droplets conjoined by lipid bilayers, with a spatial pattern which not only gives a control of cells self-organization, but also provides a neuronal network which can be obtained only after mo</w:t>
      </w:r>
      <w:r w:rsidR="00DC0380">
        <w:rPr>
          <w:rFonts w:ascii="Arial" w:hAnsi="Arial" w:cs="Arial"/>
          <w:color w:val="000000"/>
          <w:sz w:val="18"/>
          <w:szCs w:val="18"/>
          <w:lang w:val="en-US"/>
        </w:rPr>
        <w:t>n</w:t>
      </w:r>
      <w:r w:rsidR="00DC0380" w:rsidRPr="00CC542B">
        <w:rPr>
          <w:rFonts w:ascii="Arial" w:hAnsi="Arial" w:cs="Arial"/>
          <w:color w:val="000000"/>
          <w:sz w:val="18"/>
          <w:szCs w:val="18"/>
          <w:lang w:val="en-US"/>
        </w:rPr>
        <w:t xml:space="preserve">ths of organoids cultures. </w:t>
      </w:r>
      <w:r w:rsidR="00E23B4B">
        <w:rPr>
          <w:rFonts w:ascii="Arial" w:hAnsi="Arial" w:cs="Arial"/>
          <w:color w:val="000000"/>
          <w:sz w:val="18"/>
          <w:szCs w:val="18"/>
          <w:lang w:val="en-US"/>
        </w:rPr>
        <w:t>Furthermore</w:t>
      </w:r>
      <w:r w:rsidR="00DC0380" w:rsidRPr="00CC542B">
        <w:rPr>
          <w:rFonts w:ascii="Arial" w:hAnsi="Arial" w:cs="Arial"/>
          <w:color w:val="000000"/>
          <w:sz w:val="18"/>
          <w:szCs w:val="18"/>
          <w:lang w:val="en-US"/>
        </w:rPr>
        <w:t>, diseases could also be modeled by incorporating reprogrammed patient cells with specific genetic mutations</w:t>
      </w:r>
      <w:r w:rsidR="003C57A0">
        <w:rPr>
          <w:rFonts w:ascii="Arial" w:hAnsi="Arial" w:cs="Arial"/>
          <w:color w:val="000000"/>
          <w:sz w:val="18"/>
          <w:szCs w:val="18"/>
          <w:lang w:val="en-US"/>
        </w:rPr>
        <w:t xml:space="preserve">. </w:t>
      </w:r>
      <w:r w:rsidR="003C57A0" w:rsidRPr="00CC542B">
        <w:rPr>
          <w:rFonts w:ascii="Arial" w:hAnsi="Arial" w:cs="Arial"/>
          <w:sz w:val="18"/>
          <w:szCs w:val="18"/>
        </w:rPr>
        <w:t>Adapted from</w:t>
      </w:r>
      <w:r w:rsidR="00DC0380">
        <w:rPr>
          <w:rFonts w:ascii="Arial" w:hAnsi="Arial" w:cs="Arial"/>
          <w:color w:val="000000"/>
          <w:sz w:val="18"/>
          <w:szCs w:val="18"/>
          <w:lang w:val="en-US"/>
        </w:rPr>
        <w:t xml:space="preserve"> </w:t>
      </w:r>
      <w:r w:rsidR="00DC0380">
        <w:rPr>
          <w:rFonts w:ascii="Arial" w:hAnsi="Arial" w:cs="Arial"/>
          <w:color w:val="000000"/>
          <w:sz w:val="18"/>
          <w:szCs w:val="18"/>
          <w:lang w:val="en-US"/>
        </w:rPr>
        <w:fldChar w:fldCharType="begin" w:fldLock="1"/>
      </w:r>
      <w:r w:rsidR="00A445D5">
        <w:rPr>
          <w:rFonts w:ascii="Arial" w:hAnsi="Arial" w:cs="Arial"/>
          <w:color w:val="000000"/>
          <w:sz w:val="18"/>
          <w:szCs w:val="18"/>
          <w:lang w:val="en-US"/>
        </w:rPr>
        <w:instrText>ADDIN CSL_CITATION {"citationItems":[{"id":"ITEM-1","itemData":{"DOI":"10.1002/adma.202002183","ISSN":"15214095","abstract":"Current understanding of human brain development is rudimentary due to suboptimal in vitro and animal models. In particular, how initial cell positions impact subsequent human cortical development is unclear because experimental spatial control of cortical cell arrangement is technically challenging. 3D cell printing provides a rapid customized approach for patterning. However, it has relied on materials that do not represent the extracellular matrix (ECM) of brain tissue. Therefore, in the present work, a lipid-bilayer-supported printing technique is developed to 3D print human cortical cells in the soft, biocompatible ECM, Matrigel. Printed human neural stem cells (hNSCs) show high viability, neural differentiation, and the formation of functional, stimulus-responsive neural networks. By using prepatterned arrangements of neurons and astrocytes, it is found that hNSC process outgrowth and migration into cell-free matrix and into astrocyte-containing matrix are similar in extent. However, astrocytes enhance the later developmental event of axon bundling. Both young and mature neurons migrate into compartments containing astrocytes; in contrast, astrocytes do not migrate into neuronal domains signifying nonreciprocal chemorepulsion. Therefore, precise prepatterning by 3D printing allows the construction of natural and unnatural patterns that yield important insights into human cerebral cortex development.","author":[{"dropping-particle":"","family":"Zhou","given":"Linna","non-dropping-particle":"","parse-names":false,"suffix":""},{"dropping-particle":"","family":"Wolfes","given":"Anne C.","non-dropping-particle":"","parse-names":false,"suffix":""},{"dropping-particle":"","family":"Li","given":"Yichen","non-dropping-particle":"","parse-names":false,"suffix":""},{"dropping-particle":"","family":"Chan","given":"Danny C.W.","non-dropping-particle":"","parse-names":false,"suffix":""},{"dropping-particle":"","family":"Ko","given":"Ho","non-dropping-particle":"","parse-names":false,"suffix":""},{"dropping-particle":"","family":"Szele","given":"Francis G.","non-dropping-particle":"","parse-names":false,"suffix":""},{"dropping-particle":"","family":"Bayley","given":"Hagan","non-dropping-particle":"","parse-names":false,"suffix":""}],"container-title":"Advanced Materials","id":"ITEM-1","issued":{"date-parts":[["2020"]]},"title":"Lipid-Bilayer-Supported 3D Printing of Human Cerebral Cortex Cells Reveals Developmental Interactions","type":"article-journal","volume":"2002183"},"uris":["http://www.mendeley.com/documents/?uuid=4a86a9c6-e336-43cf-a7fb-f0aa2fe5afcc"]}],"mendeley":{"formattedCitation":"[105]","plainTextFormattedCitation":"[105]","previouslyFormattedCitation":"[105]"},"properties":{"noteIndex":0},"schema":"https://github.com/citation-style-language/schema/raw/master/csl-citation.json"}</w:instrText>
      </w:r>
      <w:r w:rsidR="00DC0380">
        <w:rPr>
          <w:rFonts w:ascii="Arial" w:hAnsi="Arial" w:cs="Arial"/>
          <w:color w:val="000000"/>
          <w:sz w:val="18"/>
          <w:szCs w:val="18"/>
          <w:lang w:val="en-US"/>
        </w:rPr>
        <w:fldChar w:fldCharType="separate"/>
      </w:r>
      <w:r w:rsidR="0062132B" w:rsidRPr="0062132B">
        <w:rPr>
          <w:rFonts w:ascii="Arial" w:hAnsi="Arial" w:cs="Arial"/>
          <w:noProof/>
          <w:color w:val="000000"/>
          <w:sz w:val="18"/>
          <w:szCs w:val="18"/>
          <w:lang w:val="en-US"/>
        </w:rPr>
        <w:t>[105]</w:t>
      </w:r>
      <w:r w:rsidR="00DC0380">
        <w:rPr>
          <w:rFonts w:ascii="Arial" w:hAnsi="Arial" w:cs="Arial"/>
          <w:color w:val="000000"/>
          <w:sz w:val="18"/>
          <w:szCs w:val="18"/>
          <w:lang w:val="en-US"/>
        </w:rPr>
        <w:fldChar w:fldCharType="end"/>
      </w:r>
      <w:r w:rsidR="00DC0380" w:rsidRPr="00CC542B">
        <w:rPr>
          <w:rFonts w:ascii="Arial" w:hAnsi="Arial" w:cs="Arial"/>
          <w:color w:val="000000"/>
          <w:sz w:val="18"/>
          <w:szCs w:val="18"/>
          <w:lang w:val="en-US"/>
        </w:rPr>
        <w:t>.</w:t>
      </w:r>
      <w:r w:rsidR="00DC0380">
        <w:rPr>
          <w:rFonts w:ascii="Arial" w:hAnsi="Arial" w:cs="Arial"/>
          <w:color w:val="000000"/>
          <w:sz w:val="18"/>
          <w:szCs w:val="18"/>
          <w:lang w:val="en-US"/>
        </w:rPr>
        <w:t xml:space="preserve"> </w:t>
      </w:r>
      <w:r w:rsidR="00DC0380" w:rsidRPr="00CC542B">
        <w:rPr>
          <w:rFonts w:ascii="Arial" w:hAnsi="Arial" w:cs="Arial"/>
          <w:sz w:val="18"/>
          <w:szCs w:val="18"/>
        </w:rPr>
        <w:t>This is an open-access article distributed under the terms of the Creative Commons Attribution License (CC BY).</w:t>
      </w:r>
      <w:r w:rsidR="00DC0380">
        <w:rPr>
          <w:rFonts w:ascii="Arial" w:hAnsi="Arial" w:cs="Arial"/>
          <w:sz w:val="18"/>
          <w:szCs w:val="18"/>
        </w:rPr>
        <w:t xml:space="preserve"> </w:t>
      </w:r>
      <w:r w:rsidR="008123EC" w:rsidRPr="0023525D">
        <w:rPr>
          <w:rFonts w:ascii="Arial" w:hAnsi="Arial" w:cs="Arial"/>
          <w:bCs/>
          <w:color w:val="000000"/>
          <w:sz w:val="18"/>
          <w:szCs w:val="18"/>
          <w:lang w:val="en-US"/>
        </w:rPr>
        <w:t>(</w:t>
      </w:r>
      <w:r w:rsidR="008123EC" w:rsidRPr="00D35154">
        <w:rPr>
          <w:rFonts w:ascii="Arial" w:hAnsi="Arial" w:cs="Arial"/>
          <w:bCs/>
          <w:color w:val="000000"/>
          <w:sz w:val="18"/>
          <w:szCs w:val="18"/>
        </w:rPr>
        <w:t>b</w:t>
      </w:r>
      <w:r w:rsidR="007C2788">
        <w:rPr>
          <w:rFonts w:ascii="Arial" w:hAnsi="Arial" w:cs="Arial"/>
          <w:color w:val="000000"/>
          <w:sz w:val="18"/>
          <w:szCs w:val="18"/>
        </w:rPr>
        <w:t>-i</w:t>
      </w:r>
      <w:r w:rsidR="00DC0380">
        <w:rPr>
          <w:rFonts w:ascii="Arial" w:hAnsi="Arial" w:cs="Arial"/>
          <w:color w:val="000000"/>
          <w:sz w:val="18"/>
          <w:szCs w:val="18"/>
        </w:rPr>
        <w:t>ii</w:t>
      </w:r>
      <w:r w:rsidR="00954EA8" w:rsidRPr="0023525D">
        <w:rPr>
          <w:rFonts w:ascii="Arial" w:hAnsi="Arial" w:cs="Arial"/>
          <w:color w:val="000000"/>
          <w:sz w:val="18"/>
          <w:szCs w:val="18"/>
        </w:rPr>
        <w:t xml:space="preserve">) </w:t>
      </w:r>
      <w:r w:rsidR="00813851" w:rsidRPr="0023525D">
        <w:rPr>
          <w:rFonts w:ascii="Arial" w:hAnsi="Arial" w:cs="Arial"/>
          <w:sz w:val="18"/>
          <w:szCs w:val="18"/>
        </w:rPr>
        <w:t xml:space="preserve">3D printed nerve system on a chip. 3D printed device comprising silicone microchannel for axonal guidance. Superior Cervical Ganglia (SCG) neurons with green-labelled tau protein aligned within the microchannel. Triple channels with self-assembled network of Schwann cells stained with PRV </w:t>
      </w:r>
      <w:proofErr w:type="spellStart"/>
      <w:r w:rsidR="00813851" w:rsidRPr="0023525D">
        <w:rPr>
          <w:rFonts w:ascii="Arial" w:hAnsi="Arial" w:cs="Arial"/>
          <w:sz w:val="18"/>
          <w:szCs w:val="18"/>
        </w:rPr>
        <w:t>brainbow</w:t>
      </w:r>
      <w:proofErr w:type="spellEnd"/>
      <w:r w:rsidR="00813851" w:rsidRPr="0023525D">
        <w:rPr>
          <w:rFonts w:ascii="Arial" w:hAnsi="Arial" w:cs="Arial"/>
          <w:sz w:val="18"/>
          <w:szCs w:val="18"/>
        </w:rPr>
        <w:t xml:space="preserve">. Close-up images of above-mentioned detailed micrographs. Adapted from </w:t>
      </w:r>
      <w:r w:rsidR="00813851" w:rsidRPr="0023525D">
        <w:rPr>
          <w:rFonts w:ascii="Arial" w:hAnsi="Arial" w:cs="Arial"/>
          <w:i/>
          <w:iCs/>
          <w:sz w:val="18"/>
          <w:szCs w:val="18"/>
        </w:rPr>
        <w:fldChar w:fldCharType="begin" w:fldLock="1"/>
      </w:r>
      <w:r w:rsidR="00A445D5">
        <w:rPr>
          <w:rFonts w:ascii="Arial" w:hAnsi="Arial" w:cs="Arial"/>
          <w:i/>
          <w:iCs/>
          <w:sz w:val="18"/>
          <w:szCs w:val="18"/>
        </w:rPr>
        <w:instrText>ADDIN CSL_CITATION {"citationItems":[{"id":"ITEM-1","itemData":{"DOI":"10.1039/c5lc01270h","ISSN":"14730189","PMID":"26669842","abstract":"Bioinspired organ-level in vitro platforms are emerging as effective technologies for fundamental research, drug discovery, and personalized healthcare. In particular, models for nervous system research are especially important, due to the complexity of neurological phenomena and challenges associated with developing targeted treatment of neurological disorders. Here we introduce an additive manufacturing-based approach in the form of a bioinspired, customizable 3D printed nervous system on a chip (3DNSC) for the study of viral infection in the nervous system. Micro-extrusion 3D printing strategies enabled the assembly of biomimetic scaffold components (microchannels and compartmented chambers) for the alignment of axonal networks and spatial organization of cellular components. Physiologically relevant studies of nervous system infection using the multiscale biomimetic device demonstrated the functionality of the in vitro platform. We found that Schwann cells participate in axon-to-cell viral spread but appear refractory to infection, exhibiting a multiplicity of infection (MOI) of 1.4 genomes per cell. These results suggest that 3D printing is a valuable approach for the prototyping of a customized model nervous system on a chip technology.","author":[{"dropping-particle":"","family":"Johnson","given":"Blake N.","non-dropping-particle":"","parse-names":false,"suffix":""},{"dropping-particle":"","family":"Lancaster","given":"Karen Z.","non-dropping-particle":"","parse-names":false,"suffix":""},{"dropping-particle":"","family":"Hogue","given":"Ian B.","non-dropping-particle":"","parse-names":false,"suffix":""},{"dropping-particle":"","family":"Meng","given":"Fanben","non-dropping-particle":"","parse-names":false,"suffix":""},{"dropping-particle":"","family":"Kong","given":"Yong Lin","non-dropping-particle":"","parse-names":false,"suffix":""},{"dropping-particle":"","family":"Enquist","given":"Lynn W.","non-dropping-particle":"","parse-names":false,"suffix":""},{"dropping-particle":"","family":"McAlpine","given":"Michael C.","non-dropping-particle":"","parse-names":false,"suffix":""}],"container-title":"Lab on a Chip","id":"ITEM-1","issue":"8","issued":{"date-parts":[["2016"]]},"page":"1393-1400","publisher":"Royal Society of Chemistry","title":"3D printed nervous system on a chip","type":"article-journal","volume":"16"},"uris":["http://www.mendeley.com/documents/?uuid=253df4a2-7e2f-4e83-82b5-bdebb004f47e"]}],"mendeley":{"formattedCitation":"[106]","plainTextFormattedCitation":"[106]","previouslyFormattedCitation":"[106]"},"properties":{"noteIndex":0},"schema":"https://github.com/citation-style-language/schema/raw/master/csl-citation.json"}</w:instrText>
      </w:r>
      <w:r w:rsidR="00813851" w:rsidRPr="0023525D">
        <w:rPr>
          <w:rFonts w:ascii="Arial" w:hAnsi="Arial" w:cs="Arial"/>
          <w:i/>
          <w:iCs/>
          <w:sz w:val="18"/>
          <w:szCs w:val="18"/>
        </w:rPr>
        <w:fldChar w:fldCharType="separate"/>
      </w:r>
      <w:r w:rsidR="0062132B" w:rsidRPr="0062132B">
        <w:rPr>
          <w:rFonts w:ascii="Arial" w:hAnsi="Arial" w:cs="Arial"/>
          <w:noProof/>
          <w:sz w:val="18"/>
          <w:szCs w:val="18"/>
        </w:rPr>
        <w:t>[106]</w:t>
      </w:r>
      <w:r w:rsidR="00813851" w:rsidRPr="0023525D">
        <w:rPr>
          <w:rFonts w:ascii="Arial" w:hAnsi="Arial" w:cs="Arial"/>
          <w:i/>
          <w:iCs/>
          <w:sz w:val="18"/>
          <w:szCs w:val="18"/>
        </w:rPr>
        <w:fldChar w:fldCharType="end"/>
      </w:r>
      <w:r w:rsidR="00813851" w:rsidRPr="0023525D">
        <w:rPr>
          <w:rFonts w:ascii="Arial" w:hAnsi="Arial" w:cs="Arial"/>
          <w:sz w:val="18"/>
          <w:szCs w:val="18"/>
        </w:rPr>
        <w:t xml:space="preserve">. This article is licensed under a Creative Commons Attribution 3.0 </w:t>
      </w:r>
      <w:proofErr w:type="spellStart"/>
      <w:r w:rsidR="00813851" w:rsidRPr="0023525D">
        <w:rPr>
          <w:rFonts w:ascii="Arial" w:hAnsi="Arial" w:cs="Arial"/>
          <w:sz w:val="18"/>
          <w:szCs w:val="18"/>
        </w:rPr>
        <w:t>Unported</w:t>
      </w:r>
      <w:proofErr w:type="spellEnd"/>
      <w:r w:rsidR="00813851" w:rsidRPr="0023525D">
        <w:rPr>
          <w:rFonts w:ascii="Arial" w:hAnsi="Arial" w:cs="Arial"/>
          <w:sz w:val="18"/>
          <w:szCs w:val="18"/>
        </w:rPr>
        <w:t xml:space="preserve"> Licence</w:t>
      </w:r>
      <w:r w:rsidR="00872572">
        <w:rPr>
          <w:rFonts w:ascii="Arial" w:hAnsi="Arial" w:cs="Arial"/>
          <w:sz w:val="18"/>
          <w:szCs w:val="18"/>
        </w:rPr>
        <w:t>.</w:t>
      </w:r>
      <w:r w:rsidR="00813851" w:rsidRPr="00813851">
        <w:rPr>
          <w:rFonts w:ascii="Arial" w:hAnsi="Arial" w:cs="Arial"/>
          <w:color w:val="000000"/>
          <w:sz w:val="18"/>
          <w:szCs w:val="18"/>
          <w:lang w:val="en-US"/>
        </w:rPr>
        <w:t xml:space="preserve"> </w:t>
      </w:r>
    </w:p>
    <w:p w14:paraId="3F77EA96" w14:textId="77777777" w:rsidR="00F03759" w:rsidRPr="000E39AA" w:rsidRDefault="00F03759" w:rsidP="003B434C">
      <w:pPr>
        <w:pStyle w:val="Heading4"/>
      </w:pPr>
      <w:bookmarkStart w:id="59" w:name="_Toc98937882"/>
      <w:r w:rsidRPr="000E39AA">
        <w:lastRenderedPageBreak/>
        <w:t>4.3.1 In vivo</w:t>
      </w:r>
      <w:bookmarkEnd w:id="59"/>
    </w:p>
    <w:p w14:paraId="766F4D56" w14:textId="7ED1E4B5" w:rsidR="00F03759" w:rsidRPr="000E39AA" w:rsidRDefault="00F03759" w:rsidP="00F03759">
      <w:pPr>
        <w:spacing w:after="0" w:line="276" w:lineRule="auto"/>
        <w:jc w:val="both"/>
        <w:rPr>
          <w:rFonts w:ascii="Arial" w:hAnsi="Arial" w:cs="Arial"/>
        </w:rPr>
      </w:pPr>
      <w:r w:rsidRPr="000E39AA">
        <w:rPr>
          <w:rFonts w:ascii="Arial" w:hAnsi="Arial" w:cs="Arial"/>
          <w:i/>
          <w:iCs/>
        </w:rPr>
        <w:t>In vivo</w:t>
      </w:r>
      <w:r w:rsidRPr="000E39AA">
        <w:rPr>
          <w:rFonts w:ascii="Arial" w:hAnsi="Arial" w:cs="Arial"/>
        </w:rPr>
        <w:t xml:space="preserve"> animal-based neuro models are extensively used for the study of physiological and </w:t>
      </w:r>
      <w:r w:rsidR="00655A0C" w:rsidRPr="000E39AA">
        <w:rPr>
          <w:rFonts w:ascii="Arial" w:hAnsi="Arial" w:cs="Arial"/>
        </w:rPr>
        <w:t>behavioural</w:t>
      </w:r>
      <w:r w:rsidRPr="000E39AA">
        <w:rPr>
          <w:rFonts w:ascii="Arial" w:hAnsi="Arial" w:cs="Arial"/>
        </w:rPr>
        <w:t xml:space="preserve"> consequences of pain-associated mechanisms </w:t>
      </w:r>
      <w:r w:rsidRPr="000E39AA">
        <w:rPr>
          <w:rFonts w:ascii="Arial" w:hAnsi="Arial" w:cs="Arial"/>
        </w:rPr>
        <w:fldChar w:fldCharType="begin" w:fldLock="1"/>
      </w:r>
      <w:r w:rsidR="00A445D5">
        <w:rPr>
          <w:rFonts w:ascii="Arial" w:hAnsi="Arial" w:cs="Arial"/>
        </w:rPr>
        <w:instrText>ADDIN CSL_CITATION {"citationItems":[{"id":"ITEM-1","itemData":{"DOI":"10.3390/molecules25051171","ISSN":"14203049","PMID":"32150953","abstract":"Neuropathic pain is a common symptom and is associated with an impaired quality of life. It is caused by the lesion or disease of the somatosensory system. Neuropathic pain syndromes can be subdivided into two categories: Central and peripheral neuropathic pain. The present review highlights the peripheral neuropathic models, including spared nerve injury, spinal nerve ligation, partial sciatic nerve injury, diabetes-induced neuropathy, chemotherapy-induced neuropathy, chronic constriction injury, and related conditions. The drugs which are currently used to attenuate peripheral neuropathy, such as antidepressants, anticonvulsants, baclofen, and clonidine, are associated with adverse side effects. These negative side effects necessitate the investigation of alternative therapeutics for treating neuropathic pain conditions. Flavonoids have been reported to alleviate neuropathic pain in murine models. The present review elucidates that several flavonoids attenuate different peripheral neuropathic pain conditions at behavioral, electrophysiological, biochemical and molecular biological levels in different murine models. Therefore, the flavonoids hold future promise and can be effectively used in treating or mitigating peripheral neuropathic conditions. Thus, future studies should focus on the structure-activity relationships among different categories of flavonoids and develop therapeutic products that enhance their antineuropathic effects.","author":[{"dropping-particle":"","family":"Basu","given":"Paramita","non-dropping-particle":"","parse-names":false,"suffix":""},{"dropping-particle":"","family":"Basu","given":"Arpita","non-dropping-particle":"","parse-names":false,"suffix":""}],"container-title":"Molecules","id":"ITEM-1","issue":"5","issued":{"date-parts":[["2020"]]},"title":"In vitro and in vivo effects of flavonoids on peripheral neuropathic pain","type":"article-journal","volume":"25"},"uris":["http://www.mendeley.com/documents/?uuid=440bcf9f-4439-43c0-ae10-5d77d5d1a573"]}],"mendeley":{"formattedCitation":"[102]","plainTextFormattedCitation":"[102]","previouslyFormattedCitation":"[102]"},"properties":{"noteIndex":0},"schema":"https://github.com/citation-style-language/schema/raw/master/csl-citation.json"}</w:instrText>
      </w:r>
      <w:r w:rsidRPr="000E39AA">
        <w:rPr>
          <w:rFonts w:ascii="Arial" w:hAnsi="Arial" w:cs="Arial"/>
        </w:rPr>
        <w:fldChar w:fldCharType="separate"/>
      </w:r>
      <w:r w:rsidR="0062132B" w:rsidRPr="0062132B">
        <w:rPr>
          <w:rFonts w:ascii="Arial" w:hAnsi="Arial" w:cs="Arial"/>
          <w:noProof/>
        </w:rPr>
        <w:t>[102]</w:t>
      </w:r>
      <w:r w:rsidRPr="000E39AA">
        <w:rPr>
          <w:rFonts w:ascii="Arial" w:hAnsi="Arial" w:cs="Arial"/>
        </w:rPr>
        <w:fldChar w:fldCharType="end"/>
      </w:r>
      <w:r w:rsidRPr="000E39AA">
        <w:rPr>
          <w:rFonts w:ascii="Arial" w:hAnsi="Arial" w:cs="Arial"/>
        </w:rPr>
        <w:t xml:space="preserve">. Currently, animal nerve injury models offer the most promising approach to study the development of pain. Surgical nerve lesions provide information on how neuropathic pain is induced in animals, which share </w:t>
      </w:r>
      <w:r w:rsidR="00496BB6">
        <w:rPr>
          <w:rFonts w:ascii="Arial" w:hAnsi="Arial" w:cs="Arial"/>
        </w:rPr>
        <w:t>numerous</w:t>
      </w:r>
      <w:r w:rsidR="00496BB6" w:rsidRPr="000E39AA">
        <w:rPr>
          <w:rFonts w:ascii="Arial" w:hAnsi="Arial" w:cs="Arial"/>
        </w:rPr>
        <w:t xml:space="preserve"> </w:t>
      </w:r>
      <w:r w:rsidRPr="000E39AA">
        <w:rPr>
          <w:rFonts w:ascii="Arial" w:hAnsi="Arial" w:cs="Arial"/>
        </w:rPr>
        <w:t xml:space="preserve">similarities to human pain </w:t>
      </w:r>
      <w:r w:rsidRPr="000E39AA">
        <w:rPr>
          <w:rFonts w:ascii="Arial" w:hAnsi="Arial" w:cs="Arial"/>
        </w:rPr>
        <w:fldChar w:fldCharType="begin" w:fldLock="1"/>
      </w:r>
      <w:r w:rsidR="00A445D5">
        <w:rPr>
          <w:rFonts w:ascii="Arial" w:hAnsi="Arial" w:cs="Arial"/>
        </w:rPr>
        <w:instrText>ADDIN CSL_CITATION {"citationItems":[{"id":"ITEM-1","itemData":{"DOI":"10.3390/molecules25051171","ISSN":"14203049","PMID":"32150953","abstract":"Neuropathic pain is a common symptom and is associated with an impaired quality of life. It is caused by the lesion or disease of the somatosensory system. Neuropathic pain syndromes can be subdivided into two categories: Central and peripheral neuropathic pain. The present review highlights the peripheral neuropathic models, including spared nerve injury, spinal nerve ligation, partial sciatic nerve injury, diabetes-induced neuropathy, chemotherapy-induced neuropathy, chronic constriction injury, and related conditions. The drugs which are currently used to attenuate peripheral neuropathy, such as antidepressants, anticonvulsants, baclofen, and clonidine, are associated with adverse side effects. These negative side effects necessitate the investigation of alternative therapeutics for treating neuropathic pain conditions. Flavonoids have been reported to alleviate neuropathic pain in murine models. The present review elucidates that several flavonoids attenuate different peripheral neuropathic pain conditions at behavioral, electrophysiological, biochemical and molecular biological levels in different murine models. Therefore, the flavonoids hold future promise and can be effectively used in treating or mitigating peripheral neuropathic conditions. Thus, future studies should focus on the structure-activity relationships among different categories of flavonoids and develop therapeutic products that enhance their antineuropathic effects.","author":[{"dropping-particle":"","family":"Basu","given":"Paramita","non-dropping-particle":"","parse-names":false,"suffix":""},{"dropping-particle":"","family":"Basu","given":"Arpita","non-dropping-particle":"","parse-names":false,"suffix":""}],"container-title":"Molecules","id":"ITEM-1","issue":"5","issued":{"date-parts":[["2020"]]},"title":"In vitro and in vivo effects of flavonoids on peripheral neuropathic pain","type":"article-journal","volume":"25"},"uris":["http://www.mendeley.com/documents/?uuid=440bcf9f-4439-43c0-ae10-5d77d5d1a573"]}],"mendeley":{"formattedCitation":"[102]","plainTextFormattedCitation":"[102]","previouslyFormattedCitation":"[102]"},"properties":{"noteIndex":0},"schema":"https://github.com/citation-style-language/schema/raw/master/csl-citation.json"}</w:instrText>
      </w:r>
      <w:r w:rsidRPr="000E39AA">
        <w:rPr>
          <w:rFonts w:ascii="Arial" w:hAnsi="Arial" w:cs="Arial"/>
        </w:rPr>
        <w:fldChar w:fldCharType="separate"/>
      </w:r>
      <w:r w:rsidR="0062132B" w:rsidRPr="0062132B">
        <w:rPr>
          <w:rFonts w:ascii="Arial" w:hAnsi="Arial" w:cs="Arial"/>
          <w:noProof/>
        </w:rPr>
        <w:t>[102]</w:t>
      </w:r>
      <w:r w:rsidRPr="000E39AA">
        <w:rPr>
          <w:rFonts w:ascii="Arial" w:hAnsi="Arial" w:cs="Arial"/>
        </w:rPr>
        <w:fldChar w:fldCharType="end"/>
      </w:r>
      <w:r w:rsidRPr="000E39AA">
        <w:rPr>
          <w:rFonts w:ascii="Arial" w:hAnsi="Arial" w:cs="Arial"/>
        </w:rPr>
        <w:t xml:space="preserve">. A seminal model was proposed by Bennett and </w:t>
      </w:r>
      <w:proofErr w:type="spellStart"/>
      <w:r w:rsidRPr="000E39AA">
        <w:rPr>
          <w:rFonts w:ascii="Arial" w:hAnsi="Arial" w:cs="Arial"/>
        </w:rPr>
        <w:t>Xie</w:t>
      </w:r>
      <w:proofErr w:type="spellEnd"/>
      <w:r w:rsidRPr="000E39AA">
        <w:rPr>
          <w:rFonts w:ascii="Arial" w:hAnsi="Arial" w:cs="Arial"/>
        </w:rPr>
        <w:t xml:space="preserve"> </w:t>
      </w:r>
      <w:r w:rsidRPr="000E39AA">
        <w:rPr>
          <w:rFonts w:ascii="Arial" w:hAnsi="Arial" w:cs="Arial"/>
        </w:rPr>
        <w:fldChar w:fldCharType="begin" w:fldLock="1"/>
      </w:r>
      <w:r w:rsidR="00A32EB8">
        <w:rPr>
          <w:rFonts w:ascii="Arial" w:hAnsi="Arial" w:cs="Arial"/>
        </w:rPr>
        <w:instrText>ADDIN CSL_CITATION {"citationItems":[{"id":"ITEM-1","itemData":{"DOI":"10.1016/0304-3959(88)90209-6","ISSN":"0304-3959","abstract":"Summary A peripheral mononeuropathy was produced in adult rats by placing loosely constrictive ligatures around the common sciatic nerve. The postoperative behavior of these rats indicated that hyperalgesia, allodynia and, possibly, spontaneous pain (or dysesthesia) were produced. Hyperalgesic responses to noxious radiant heat were evident on the second postoperative day and lasted for over 2 months. Hyperalgesic responses to chemogenic pain were also present. The presence of allodynia was inferred from the nocifensive responses evoked by standing on an innocuous, chilled metal floor or by innocuous mechanical stimulation, and by the rats' persistence in holding the hind paw in a guarded position. The presence of spontaneous pain was suggested by a suppression of appetite and by the frequent occurrence of apparently spontaneous nocifensive responses. The affected hind paw was abnormally warm or cool in about one-third of the rats. About one-half of the rats developed grossly overgrown claws on the affected side. Experiments with this animal model may advance our understanding of the neural mechanisms of neuropathic pain disorders in humans. 1Correspondence to: Dr. Garry J. Bennett, Building 30, Room B-20, Nuerobiology and Anesthesiology Branch, National Institute of Dental Research, National Institutes of Health, 9000 Rockville Pike, Bethesda, MD 20892, U.S.A. Dr. Xie Yikuan was an International Research Fellow of the Fogarty International Center. Current address: Department of Physiology, Institute of Basic Medical Sciences, Chinese Academy of Medical Sciences, 5 Dong Dan San Tiao, Beijing, People's Republic of China. (Received 14 August 1987; accepted 2 November 1987.) © Lippincott-Raven Publishers.","author":[{"dropping-particle":"","family":"Bennett","given":"Gary J","non-dropping-particle":"","parse-names":false,"suffix":""},{"dropping-particle":"","family":"Xie","given":"Y.-K.","non-dropping-particle":"","parse-names":false,"suffix":""}],"container-title":"Pain","id":"ITEM-1","issue":"1","issued":{"date-parts":[["1988","4"]]},"page":"87-107","title":"A peripheral mononeuropathy in rat that produces disorders of pain sensation like those seen in man","type":"article-journal","volume":"33"},"uris":["http://www.mendeley.com/documents/?uuid=45827e8f-3b2b-4c88-9719-a8ca9ccaa334"]}],"mendeley":{"formattedCitation":"[107]","plainTextFormattedCitation":"[107]","previouslyFormattedCitation":"[107]"},"properties":{"noteIndex":0},"schema":"https://github.com/citation-style-language/schema/raw/master/csl-citation.json"}</w:instrText>
      </w:r>
      <w:r w:rsidRPr="000E39AA">
        <w:rPr>
          <w:rFonts w:ascii="Arial" w:hAnsi="Arial" w:cs="Arial"/>
        </w:rPr>
        <w:fldChar w:fldCharType="separate"/>
      </w:r>
      <w:r w:rsidR="0062132B" w:rsidRPr="0062132B">
        <w:rPr>
          <w:rFonts w:ascii="Arial" w:hAnsi="Arial" w:cs="Arial"/>
          <w:noProof/>
        </w:rPr>
        <w:t>[107]</w:t>
      </w:r>
      <w:r w:rsidRPr="000E39AA">
        <w:rPr>
          <w:rFonts w:ascii="Arial" w:hAnsi="Arial" w:cs="Arial"/>
        </w:rPr>
        <w:fldChar w:fldCharType="end"/>
      </w:r>
      <w:r w:rsidRPr="000E39AA">
        <w:rPr>
          <w:rFonts w:ascii="Arial" w:hAnsi="Arial" w:cs="Arial"/>
        </w:rPr>
        <w:t xml:space="preserve">, using a chronic constriction injury of the sciatic nerve in rodents closely mimicking human neuropathic distress resulting from a trauma of the peripheral as well as mechanical allodynia </w:t>
      </w:r>
      <w:r w:rsidRPr="000E39AA">
        <w:rPr>
          <w:rFonts w:ascii="Arial" w:hAnsi="Arial" w:cs="Arial"/>
        </w:rPr>
        <w:fldChar w:fldCharType="begin" w:fldLock="1"/>
      </w:r>
      <w:r w:rsidR="00A445D5">
        <w:rPr>
          <w:rFonts w:ascii="Arial" w:hAnsi="Arial" w:cs="Arial"/>
        </w:rPr>
        <w:instrText>ADDIN CSL_CITATION {"citationItems":[{"id":"ITEM-1","itemData":{"DOI":"10.3390/molecules25051171","ISSN":"14203049","PMID":"32150953","abstract":"Neuropathic pain is a common symptom and is associated with an impaired quality of life. It is caused by the lesion or disease of the somatosensory system. Neuropathic pain syndromes can be subdivided into two categories: Central and peripheral neuropathic pain. The present review highlights the peripheral neuropathic models, including spared nerve injury, spinal nerve ligation, partial sciatic nerve injury, diabetes-induced neuropathy, chemotherapy-induced neuropathy, chronic constriction injury, and related conditions. The drugs which are currently used to attenuate peripheral neuropathy, such as antidepressants, anticonvulsants, baclofen, and clonidine, are associated with adverse side effects. These negative side effects necessitate the investigation of alternative therapeutics for treating neuropathic pain conditions. Flavonoids have been reported to alleviate neuropathic pain in murine models. The present review elucidates that several flavonoids attenuate different peripheral neuropathic pain conditions at behavioral, electrophysiological, biochemical and molecular biological levels in different murine models. Therefore, the flavonoids hold future promise and can be effectively used in treating or mitigating peripheral neuropathic conditions. Thus, future studies should focus on the structure-activity relationships among different categories of flavonoids and develop therapeutic products that enhance their antineuropathic effects.","author":[{"dropping-particle":"","family":"Basu","given":"Paramita","non-dropping-particle":"","parse-names":false,"suffix":""},{"dropping-particle":"","family":"Basu","given":"Arpita","non-dropping-particle":"","parse-names":false,"suffix":""}],"container-title":"Molecules","id":"ITEM-1","issue":"5","issued":{"date-parts":[["2020"]]},"title":"In vitro and in vivo effects of flavonoids on peripheral neuropathic pain","type":"article-journal","volume":"25"},"uris":["http://www.mendeley.com/documents/?uuid=440bcf9f-4439-43c0-ae10-5d77d5d1a573"]}],"mendeley":{"formattedCitation":"[102]","plainTextFormattedCitation":"[102]","previouslyFormattedCitation":"[102]"},"properties":{"noteIndex":0},"schema":"https://github.com/citation-style-language/schema/raw/master/csl-citation.json"}</w:instrText>
      </w:r>
      <w:r w:rsidRPr="000E39AA">
        <w:rPr>
          <w:rFonts w:ascii="Arial" w:hAnsi="Arial" w:cs="Arial"/>
        </w:rPr>
        <w:fldChar w:fldCharType="separate"/>
      </w:r>
      <w:r w:rsidR="0062132B" w:rsidRPr="0062132B">
        <w:rPr>
          <w:rFonts w:ascii="Arial" w:hAnsi="Arial" w:cs="Arial"/>
          <w:noProof/>
        </w:rPr>
        <w:t>[102]</w:t>
      </w:r>
      <w:r w:rsidRPr="000E39AA">
        <w:rPr>
          <w:rFonts w:ascii="Arial" w:hAnsi="Arial" w:cs="Arial"/>
        </w:rPr>
        <w:fldChar w:fldCharType="end"/>
      </w:r>
      <w:r w:rsidRPr="000E39AA">
        <w:rPr>
          <w:rFonts w:ascii="Arial" w:hAnsi="Arial" w:cs="Arial"/>
        </w:rPr>
        <w:t xml:space="preserve">. Another </w:t>
      </w:r>
      <w:r w:rsidRPr="000E39AA">
        <w:rPr>
          <w:rFonts w:ascii="Arial" w:hAnsi="Arial" w:cs="Arial"/>
          <w:i/>
          <w:iCs/>
        </w:rPr>
        <w:t>in vivo</w:t>
      </w:r>
      <w:r w:rsidRPr="000E39AA">
        <w:rPr>
          <w:rFonts w:ascii="Arial" w:hAnsi="Arial" w:cs="Arial"/>
        </w:rPr>
        <w:t xml:space="preserve"> model with lesion of the partial sciatic nerve has been developed inducing neuropathic pain and mechanical allodynia</w:t>
      </w:r>
      <w:r w:rsidR="00AA2C79">
        <w:rPr>
          <w:rFonts w:ascii="Arial" w:hAnsi="Arial" w:cs="Arial"/>
        </w:rPr>
        <w:t xml:space="preserve"> </w:t>
      </w:r>
      <w:r w:rsidR="00AA2C79" w:rsidRPr="000E39AA">
        <w:rPr>
          <w:rFonts w:ascii="Arial" w:hAnsi="Arial" w:cs="Arial"/>
        </w:rPr>
        <w:fldChar w:fldCharType="begin" w:fldLock="1"/>
      </w:r>
      <w:r w:rsidR="00A445D5">
        <w:rPr>
          <w:rFonts w:ascii="Arial" w:hAnsi="Arial" w:cs="Arial"/>
        </w:rPr>
        <w:instrText>ADDIN CSL_CITATION {"citationItems":[{"id":"ITEM-1","itemData":{"DOI":"10.1016/0304-3959(90)91074-S","ISSN":"0304-3959 (Print)","PMID":"1982347","abstract":"Partial nerve injury is the main cause of causalgiform pain disorders in humans. We  present here a novel animal model of this condition. In rats we unilaterally ligated about half of the sciatic nerve high in the thigh. Within a few hours after the operation, and for several months thereafter, the rats developed guarding behavior of the ipsilateral hind paw and licked it often, suggesting the possibility of spontaneous pain. The plantar surface of the foot was evenly hyperesthetic to non-noxious and noxious stimuli. None of the rats autotomized. There was a sharp decrease in the withdrawal thresholds bilaterally in response to repetitive Von Frey hair stimulation at the plantar side. After a series of such stimuli in the operated side, light touch elicited aversive responses, suggesting allodynia to touch. The withdrawal thresholds to CO2 laser heat pulses were markedly lowered bilaterally. Suprathreshold noxious heat pulses elicited exaggerated responses unilaterally, suggesting thermal hyperalgesia. Pin-prick evoked such exaggerated responses bilaterally (mechanical hyperalgesia). In a companion report, we show that these abnormalities critically depend on the sympathetic outflow. Based on the immediate onset and long-lasting perpetuation of similar symptoms, such as touch-evoked allodynia and hyperalgesia, and the resemblance of the contralateral phenomena to 'mirror image' pains in some humans with causalgia, we suggest that this preparation may serve as a model for syndromes of the causalgiform variety that are triggered by partial nerve injury and maintained by sympathetic activity.","author":[{"dropping-particle":"","family":"Seltzer","given":"Ze'ev","non-dropping-particle":"","parse-names":false,"suffix":""},{"dropping-particle":"","family":"Dubner","given":"Ronald","non-dropping-particle":"","parse-names":false,"suffix":""},{"dropping-particle":"","family":"Shir","given":"Yoram","non-dropping-particle":"","parse-names":false,"suffix":""}],"container-title":"Pain","id":"ITEM-1","issue":"2","issued":{"date-parts":[["1990","11"]]},"language":"eng","page":"205-218","publisher-place":"United States","title":"A novel behavioral model of neuropathic pain disorders produced in rats by partial  sciatic nerve injury.","type":"article-journal","volume":"43"},"uris":["http://www.mendeley.com/documents/?uuid=e8add446-3bcc-4aa4-936b-6eaa3fca4089"]}],"mendeley":{"formattedCitation":"[108]","plainTextFormattedCitation":"[108]","previouslyFormattedCitation":"[108]"},"properties":{"noteIndex":0},"schema":"https://github.com/citation-style-language/schema/raw/master/csl-citation.json"}</w:instrText>
      </w:r>
      <w:r w:rsidR="00AA2C79" w:rsidRPr="000E39AA">
        <w:rPr>
          <w:rFonts w:ascii="Arial" w:hAnsi="Arial" w:cs="Arial"/>
        </w:rPr>
        <w:fldChar w:fldCharType="separate"/>
      </w:r>
      <w:r w:rsidR="0062132B" w:rsidRPr="0062132B">
        <w:rPr>
          <w:rFonts w:ascii="Arial" w:hAnsi="Arial" w:cs="Arial"/>
          <w:noProof/>
        </w:rPr>
        <w:t>[108]</w:t>
      </w:r>
      <w:r w:rsidR="00AA2C79" w:rsidRPr="000E39AA">
        <w:rPr>
          <w:rFonts w:ascii="Arial" w:hAnsi="Arial" w:cs="Arial"/>
        </w:rPr>
        <w:fldChar w:fldCharType="end"/>
      </w:r>
      <w:r w:rsidRPr="000E39AA">
        <w:rPr>
          <w:rFonts w:ascii="Arial" w:hAnsi="Arial" w:cs="Arial"/>
        </w:rPr>
        <w:t xml:space="preserve">. Nerve injury was created by tying the third dorsal nerve at the middle of the sciatic nerve at the level of the upper thigh of the rodent </w:t>
      </w:r>
      <w:r w:rsidRPr="000E39AA">
        <w:rPr>
          <w:rFonts w:ascii="Arial" w:hAnsi="Arial" w:cs="Arial"/>
        </w:rPr>
        <w:fldChar w:fldCharType="begin" w:fldLock="1"/>
      </w:r>
      <w:r w:rsidR="00A445D5">
        <w:rPr>
          <w:rFonts w:ascii="Arial" w:hAnsi="Arial" w:cs="Arial"/>
        </w:rPr>
        <w:instrText>ADDIN CSL_CITATION {"citationItems":[{"id":"ITEM-1","itemData":{"DOI":"10.3390/molecules25051171","ISSN":"14203049","PMID":"32150953","abstract":"Neuropathic pain is a common symptom and is associated with an impaired quality of life. It is caused by the lesion or disease of the somatosensory system. Neuropathic pain syndromes can be subdivided into two categories: Central and peripheral neuropathic pain. The present review highlights the peripheral neuropathic models, including spared nerve injury, spinal nerve ligation, partial sciatic nerve injury, diabetes-induced neuropathy, chemotherapy-induced neuropathy, chronic constriction injury, and related conditions. The drugs which are currently used to attenuate peripheral neuropathy, such as antidepressants, anticonvulsants, baclofen, and clonidine, are associated with adverse side effects. These negative side effects necessitate the investigation of alternative therapeutics for treating neuropathic pain conditions. Flavonoids have been reported to alleviate neuropathic pain in murine models. The present review elucidates that several flavonoids attenuate different peripheral neuropathic pain conditions at behavioral, electrophysiological, biochemical and molecular biological levels in different murine models. Therefore, the flavonoids hold future promise and can be effectively used in treating or mitigating peripheral neuropathic conditions. Thus, future studies should focus on the structure-activity relationships among different categories of flavonoids and develop therapeutic products that enhance their antineuropathic effects.","author":[{"dropping-particle":"","family":"Basu","given":"Paramita","non-dropping-particle":"","parse-names":false,"suffix":""},{"dropping-particle":"","family":"Basu","given":"Arpita","non-dropping-particle":"","parse-names":false,"suffix":""}],"container-title":"Molecules","id":"ITEM-1","issue":"5","issued":{"date-parts":[["2020"]]},"title":"In vitro and in vivo effects of flavonoids on peripheral neuropathic pain","type":"article-journal","volume":"25"},"uris":["http://www.mendeley.com/documents/?uuid=440bcf9f-4439-43c0-ae10-5d77d5d1a573"]}],"mendeley":{"formattedCitation":"[102]","plainTextFormattedCitation":"[102]","previouslyFormattedCitation":"[102]"},"properties":{"noteIndex":0},"schema":"https://github.com/citation-style-language/schema/raw/master/csl-citation.json"}</w:instrText>
      </w:r>
      <w:r w:rsidRPr="000E39AA">
        <w:rPr>
          <w:rFonts w:ascii="Arial" w:hAnsi="Arial" w:cs="Arial"/>
        </w:rPr>
        <w:fldChar w:fldCharType="separate"/>
      </w:r>
      <w:r w:rsidR="0062132B" w:rsidRPr="0062132B">
        <w:rPr>
          <w:rFonts w:ascii="Arial" w:hAnsi="Arial" w:cs="Arial"/>
          <w:noProof/>
        </w:rPr>
        <w:t>[102]</w:t>
      </w:r>
      <w:r w:rsidRPr="000E39AA">
        <w:rPr>
          <w:rFonts w:ascii="Arial" w:hAnsi="Arial" w:cs="Arial"/>
        </w:rPr>
        <w:fldChar w:fldCharType="end"/>
      </w:r>
      <w:r w:rsidRPr="000E39AA">
        <w:rPr>
          <w:rFonts w:ascii="Arial" w:hAnsi="Arial" w:cs="Arial"/>
        </w:rPr>
        <w:t xml:space="preserve">. </w:t>
      </w:r>
      <w:r w:rsidR="00B24EE2">
        <w:rPr>
          <w:rFonts w:ascii="Arial" w:hAnsi="Arial" w:cs="Arial"/>
        </w:rPr>
        <w:t xml:space="preserve">Recently, </w:t>
      </w:r>
      <w:r w:rsidR="00B24EE2">
        <w:rPr>
          <w:rFonts w:ascii="Arial" w:hAnsi="Arial" w:cs="Arial"/>
          <w:color w:val="000000"/>
        </w:rPr>
        <w:t xml:space="preserve">the </w:t>
      </w:r>
      <w:r w:rsidRPr="000E39AA">
        <w:rPr>
          <w:rFonts w:ascii="Arial" w:hAnsi="Arial" w:cs="Arial"/>
          <w:color w:val="000000"/>
        </w:rPr>
        <w:t xml:space="preserve">possibility to alleviate chronic pain experienced by inhibiting glial fibrillary acidic protein (GFAP)-positive glial cells </w:t>
      </w:r>
      <w:r w:rsidR="00B24EE2">
        <w:rPr>
          <w:rFonts w:ascii="Arial" w:hAnsi="Arial" w:cs="Arial"/>
          <w:color w:val="000000"/>
        </w:rPr>
        <w:t>has been investigated</w:t>
      </w:r>
      <w:r w:rsidR="00B24EE2" w:rsidRPr="000E39AA">
        <w:rPr>
          <w:rFonts w:ascii="Arial" w:hAnsi="Arial" w:cs="Arial"/>
          <w:color w:val="000000"/>
        </w:rPr>
        <w:t xml:space="preserve"> </w:t>
      </w:r>
      <w:r w:rsidR="00B24EE2" w:rsidRPr="000E39AA">
        <w:rPr>
          <w:rFonts w:ascii="Arial" w:hAnsi="Arial" w:cs="Arial"/>
          <w:color w:val="000000"/>
        </w:rPr>
        <w:fldChar w:fldCharType="begin" w:fldLock="1"/>
      </w:r>
      <w:r w:rsidR="00A445D5">
        <w:rPr>
          <w:rFonts w:ascii="Arial" w:hAnsi="Arial" w:cs="Arial"/>
          <w:color w:val="000000"/>
        </w:rPr>
        <w:instrText>ADDIN CSL_CITATION {"citationItems":[{"id":"ITEM-1","itemData":{"DOI":"10.3389/fncel.2021.782275","ISSN":"1662-5102","abstract":"Chronic neuropathic pain leads to long-term changes in the sensitivity of both peripheral and central nociceptive neurons. Glial fibrillary acidic protein (GFAP)-positive glial cells are closely associated with the nociceptive neurons including astrocytes in the central nervous system (CNS), satellite glial cells (SGCs) in the sensory ganglia, and non-myelinating Schwann cells (NMSCs) in the peripheral nerves. Central and peripheral GFAP-positive cells are involved in the maintenance of chronic pain through a host of inflammatory cytokines, many of which are under control of the transcription factor nuclear factor κB (NFκB) and the enzyme cyclooxygenase 2 (COX2). To test the hypothesis that inhibiting GFAP-positive glial signaling alleviates chronic pain, we used (1) a conditional knockout (cKO) mouse expressing Cre recombinase under the hGFAP promoter and a floxed COX2 gene to inactivate the COX2 gene specifically in GFAP-positive cells; and (2) a tet-Off tetracycline transactivator system to suppress NFκB activation in GFAP-positive cells. We found that neuropathic pain behavior following spared nerve injury (SNI) significantly decreased in COX2 cKO mice as well as in mice with decreased glial NFκB signaling. Additionally, experiments were performed to determine whether central or peripheral glial NFκB signaling contributes to the maintenance of chronic pain behavior following nerve injury. Oxytetracycline (Oxy), a blood-brain barrier impermeable analog of doxycycline was employed to restrict transgene expression to CNS glia only, leaving peripheral glial signaling intact. Signaling inactivation in central GFAP-positive glia alone failed to exhibit the same analgesic effects as previously observed in animals with both central and peripheral glial signaling inhibition. These data suggest that the NFκB-COX2 signaling pathway in NMSCs is necessary for the maintenance of neuropathic pain in vivo .","author":[{"dropping-particle":"","family":"Xie","given":"Alison Xiaoqiao","non-dropping-particle":"","parse-names":false,"suffix":""},{"dropping-particle":"","family":"Taves","given":"Sarah","non-dropping-particle":"","parse-names":false,"suffix":""},{"dropping-particle":"","family":"McCarthy","given":"Ken","non-dropping-particle":"","parse-names":false,"suffix":""}],"container-title":"Frontiers in Cellular Neuroscience","id":"ITEM-1","issue":"January","issued":{"date-parts":[["2022","1","14"]]},"title":"Nuclear Factor κB-COX2 Pathway Activation in Non-myelinating Schwann Cells Is Necessary for the Maintenance of Neuropathic Pain in vivo","type":"article-journal","volume":"15"},"uris":["http://www.mendeley.com/documents/?uuid=a3214f80-84d9-46ef-8572-0d77561f2dd4"]}],"mendeley":{"formattedCitation":"[103]","plainTextFormattedCitation":"[103]","previouslyFormattedCitation":"[103]"},"properties":{"noteIndex":0},"schema":"https://github.com/citation-style-language/schema/raw/master/csl-citation.json"}</w:instrText>
      </w:r>
      <w:r w:rsidR="00B24EE2" w:rsidRPr="000E39AA">
        <w:rPr>
          <w:rFonts w:ascii="Arial" w:hAnsi="Arial" w:cs="Arial"/>
          <w:color w:val="000000"/>
        </w:rPr>
        <w:fldChar w:fldCharType="separate"/>
      </w:r>
      <w:r w:rsidR="0062132B" w:rsidRPr="0062132B">
        <w:rPr>
          <w:rFonts w:ascii="Arial" w:hAnsi="Arial" w:cs="Arial"/>
          <w:noProof/>
          <w:color w:val="000000"/>
        </w:rPr>
        <w:t>[103]</w:t>
      </w:r>
      <w:r w:rsidR="00B24EE2" w:rsidRPr="000E39AA">
        <w:rPr>
          <w:rFonts w:ascii="Arial" w:hAnsi="Arial" w:cs="Arial"/>
          <w:color w:val="000000"/>
        </w:rPr>
        <w:fldChar w:fldCharType="end"/>
      </w:r>
      <w:r w:rsidR="00B24EE2" w:rsidRPr="000E39AA">
        <w:rPr>
          <w:rFonts w:ascii="Arial" w:hAnsi="Arial" w:cs="Arial"/>
          <w:color w:val="000000"/>
        </w:rPr>
        <w:t xml:space="preserve"> </w:t>
      </w:r>
      <w:r w:rsidRPr="000E39AA">
        <w:rPr>
          <w:rFonts w:ascii="Arial" w:hAnsi="Arial" w:cs="Arial"/>
          <w:color w:val="000000"/>
        </w:rPr>
        <w:t>(</w:t>
      </w:r>
      <w:r w:rsidRPr="000E39AA">
        <w:rPr>
          <w:rFonts w:ascii="Arial" w:hAnsi="Arial" w:cs="Arial"/>
          <w:b/>
          <w:bCs/>
          <w:color w:val="000000"/>
        </w:rPr>
        <w:t>Fig</w:t>
      </w:r>
      <w:r w:rsidR="003553F2">
        <w:rPr>
          <w:rFonts w:ascii="Arial" w:hAnsi="Arial" w:cs="Arial"/>
          <w:b/>
          <w:bCs/>
          <w:color w:val="000000"/>
        </w:rPr>
        <w:t>.</w:t>
      </w:r>
      <w:r w:rsidRPr="000E39AA">
        <w:rPr>
          <w:rFonts w:ascii="Arial" w:hAnsi="Arial" w:cs="Arial"/>
          <w:b/>
          <w:bCs/>
          <w:color w:val="000000"/>
        </w:rPr>
        <w:t xml:space="preserve"> </w:t>
      </w:r>
      <w:r w:rsidR="00C27BD6">
        <w:rPr>
          <w:rFonts w:ascii="Arial" w:hAnsi="Arial" w:cs="Arial"/>
          <w:b/>
          <w:bCs/>
          <w:color w:val="000000"/>
        </w:rPr>
        <w:t>4</w:t>
      </w:r>
      <w:r w:rsidR="00703A59">
        <w:rPr>
          <w:rFonts w:ascii="Arial" w:hAnsi="Arial" w:cs="Arial"/>
          <w:b/>
          <w:bCs/>
          <w:color w:val="000000"/>
        </w:rPr>
        <w:t>a-i</w:t>
      </w:r>
      <w:r w:rsidRPr="000E39AA">
        <w:rPr>
          <w:rFonts w:ascii="Arial" w:hAnsi="Arial" w:cs="Arial"/>
          <w:color w:val="000000"/>
        </w:rPr>
        <w:t xml:space="preserve">). Results indicate the neuropathic pain behaviour induced by spared nerve injury (SNI) significantly decreased in mice with downregulated nuclear factor </w:t>
      </w:r>
      <w:proofErr w:type="spellStart"/>
      <w:r w:rsidRPr="000E39AA">
        <w:rPr>
          <w:rFonts w:ascii="Arial" w:hAnsi="Arial" w:cs="Arial"/>
          <w:color w:val="000000"/>
        </w:rPr>
        <w:t>κB</w:t>
      </w:r>
      <w:proofErr w:type="spellEnd"/>
      <w:r w:rsidRPr="000E39AA">
        <w:rPr>
          <w:rFonts w:ascii="Arial" w:hAnsi="Arial" w:cs="Arial"/>
          <w:color w:val="000000"/>
        </w:rPr>
        <w:t xml:space="preserve"> (</w:t>
      </w:r>
      <w:proofErr w:type="spellStart"/>
      <w:r w:rsidRPr="000E39AA">
        <w:rPr>
          <w:rFonts w:ascii="Arial" w:hAnsi="Arial" w:cs="Arial"/>
          <w:color w:val="000000"/>
        </w:rPr>
        <w:t>NFκB</w:t>
      </w:r>
      <w:proofErr w:type="spellEnd"/>
      <w:r w:rsidRPr="000E39AA">
        <w:rPr>
          <w:rFonts w:ascii="Arial" w:hAnsi="Arial" w:cs="Arial"/>
          <w:color w:val="000000"/>
        </w:rPr>
        <w:t xml:space="preserve">). </w:t>
      </w:r>
      <w:r w:rsidRPr="000E39AA">
        <w:rPr>
          <w:rFonts w:ascii="Arial" w:hAnsi="Arial" w:cs="Arial"/>
        </w:rPr>
        <w:t xml:space="preserve">However, anatomical and physiological differences between rodent and the complex human nervous system given the marked differences in morphology, number of nerve cells, laminar distribution and gene expression limit many studies </w:t>
      </w:r>
      <w:r w:rsidRPr="000E39AA">
        <w:rPr>
          <w:rFonts w:ascii="Arial" w:hAnsi="Arial" w:cs="Arial"/>
        </w:rPr>
        <w:fldChar w:fldCharType="begin" w:fldLock="1"/>
      </w:r>
      <w:r w:rsidR="00A445D5">
        <w:rPr>
          <w:rFonts w:ascii="Arial" w:hAnsi="Arial" w:cs="Arial"/>
        </w:rPr>
        <w:instrText>ADDIN CSL_CITATION {"citationItems":[{"id":"ITEM-1","itemData":{"DOI":"10.1038/s41583-021-00496-y","ISBN":"0123456789","ISSN":"14710048","PMID":"34376834","abstract":"Human pluripotent stem cells have emerged as a promising in vitro model system for studying the brain. Two-dimensional and three-dimensional cell culture paradigms have provided valuable insights into the pathogenesis of neuropsychiatric disorders, but they remain limited in their capacity to model certain features of human neural development. Specifically, current models do not efficiently incorporate extracellular matrix-derived biochemical and biophysical cues, facilitate multicellular spatio-temporal patterning, or achieve advanced functional maturation. Engineered biomaterials have the capacity to create increasingly biomimetic neural microenvironments, yet further refinement is needed before these approaches are widely implemented. This Review therefore highlights how continued progression and increased integration of engineered biomaterials may be well poised to address intractable challenges in recapitulating human neural development.","author":[{"dropping-particle":"","family":"Roth","given":"Julien G.","non-dropping-particle":"","parse-names":false,"suffix":""},{"dropping-particle":"","family":"Huang","given":"Michelle S.","non-dropping-particle":"","parse-names":false,"suffix":""},{"dropping-particle":"","family":"Li","given":"Thomas L.","non-dropping-particle":"","parse-names":false,"suffix":""},{"dropping-particle":"","family":"Feig","given":"Vivian R.","non-dropping-particle":"","parse-names":false,"suffix":""},{"dropping-particle":"","family":"Jiang","given":"Yuanwen","non-dropping-particle":"","parse-names":false,"suffix":""},{"dropping-particle":"","family":"Cui","given":"Bianxiao","non-dropping-particle":"","parse-names":false,"suffix":""},{"dropping-particle":"","family":"Greely","given":"Henry T.","non-dropping-particle":"","parse-names":false,"suffix":""},{"dropping-particle":"","family":"Bao","given":"Zhenan","non-dropping-particle":"","parse-names":false,"suffix":""},{"dropping-particle":"","family":"Paşca","given":"Sergiu P.","non-dropping-particle":"","parse-names":false,"suffix":""},{"dropping-particle":"","family":"Heilshorn","given":"Sarah C.","non-dropping-particle":"","parse-names":false,"suffix":""}],"container-title":"Nature Reviews Neuroscience","id":"ITEM-1","issue":"10","issued":{"date-parts":[["2021"]]},"page":"593-615","title":"Advancing models of neural development with biomaterials","type":"article-journal","volume":"22"},"uris":["http://www.mendeley.com/documents/?uuid=278367a7-04ab-4370-9199-dd7129b723ac"]}],"mendeley":{"formattedCitation":"[101]","plainTextFormattedCitation":"[101]","previouslyFormattedCitation":"[101]"},"properties":{"noteIndex":0},"schema":"https://github.com/citation-style-language/schema/raw/master/csl-citation.json"}</w:instrText>
      </w:r>
      <w:r w:rsidRPr="000E39AA">
        <w:rPr>
          <w:rFonts w:ascii="Arial" w:hAnsi="Arial" w:cs="Arial"/>
        </w:rPr>
        <w:fldChar w:fldCharType="separate"/>
      </w:r>
      <w:r w:rsidR="0062132B" w:rsidRPr="0062132B">
        <w:rPr>
          <w:rFonts w:ascii="Arial" w:hAnsi="Arial" w:cs="Arial"/>
          <w:noProof/>
        </w:rPr>
        <w:t>[101]</w:t>
      </w:r>
      <w:r w:rsidRPr="000E39AA">
        <w:rPr>
          <w:rFonts w:ascii="Arial" w:hAnsi="Arial" w:cs="Arial"/>
        </w:rPr>
        <w:fldChar w:fldCharType="end"/>
      </w:r>
      <w:r w:rsidRPr="000E39AA">
        <w:rPr>
          <w:rFonts w:ascii="Arial" w:hAnsi="Arial" w:cs="Arial"/>
        </w:rPr>
        <w:t xml:space="preserve">. Human models would represent the optimal platform to study </w:t>
      </w:r>
      <w:r w:rsidR="00C8127A">
        <w:rPr>
          <w:rFonts w:ascii="Arial" w:hAnsi="Arial" w:cs="Arial"/>
        </w:rPr>
        <w:t>neuropathic pain-related pathological changes</w:t>
      </w:r>
      <w:r w:rsidRPr="000E39AA">
        <w:rPr>
          <w:rFonts w:ascii="Arial" w:hAnsi="Arial" w:cs="Arial"/>
        </w:rPr>
        <w:t xml:space="preserve">, however, limitations in the availability of post-mortem samples, biopsies, neuroimaging and neuropharmacological treatments remain </w:t>
      </w:r>
      <w:r w:rsidRPr="000E39AA">
        <w:rPr>
          <w:rFonts w:ascii="Arial" w:hAnsi="Arial" w:cs="Arial"/>
        </w:rPr>
        <w:fldChar w:fldCharType="begin" w:fldLock="1"/>
      </w:r>
      <w:r w:rsidR="00A445D5">
        <w:rPr>
          <w:rFonts w:ascii="Arial" w:hAnsi="Arial" w:cs="Arial"/>
        </w:rPr>
        <w:instrText>ADDIN CSL_CITATION {"citationItems":[{"id":"ITEM-1","itemData":{"DOI":"10.1038/s41583-021-00496-y","ISBN":"0123456789","ISSN":"14710048","PMID":"34376834","abstract":"Human pluripotent stem cells have emerged as a promising in vitro model system for studying the brain. Two-dimensional and three-dimensional cell culture paradigms have provided valuable insights into the pathogenesis of neuropsychiatric disorders, but they remain limited in their capacity to model certain features of human neural development. Specifically, current models do not efficiently incorporate extracellular matrix-derived biochemical and biophysical cues, facilitate multicellular spatio-temporal patterning, or achieve advanced functional maturation. Engineered biomaterials have the capacity to create increasingly biomimetic neural microenvironments, yet further refinement is needed before these approaches are widely implemented. This Review therefore highlights how continued progression and increased integration of engineered biomaterials may be well poised to address intractable challenges in recapitulating human neural development.","author":[{"dropping-particle":"","family":"Roth","given":"Julien G.","non-dropping-particle":"","parse-names":false,"suffix":""},{"dropping-particle":"","family":"Huang","given":"Michelle S.","non-dropping-particle":"","parse-names":false,"suffix":""},{"dropping-particle":"","family":"Li","given":"Thomas L.","non-dropping-particle":"","parse-names":false,"suffix":""},{"dropping-particle":"","family":"Feig","given":"Vivian R.","non-dropping-particle":"","parse-names":false,"suffix":""},{"dropping-particle":"","family":"Jiang","given":"Yuanwen","non-dropping-particle":"","parse-names":false,"suffix":""},{"dropping-particle":"","family":"Cui","given":"Bianxiao","non-dropping-particle":"","parse-names":false,"suffix":""},{"dropping-particle":"","family":"Greely","given":"Henry T.","non-dropping-particle":"","parse-names":false,"suffix":""},{"dropping-particle":"","family":"Bao","given":"Zhenan","non-dropping-particle":"","parse-names":false,"suffix":""},{"dropping-particle":"","family":"Paşca","given":"Sergiu P.","non-dropping-particle":"","parse-names":false,"suffix":""},{"dropping-particle":"","family":"Heilshorn","given":"Sarah C.","non-dropping-particle":"","parse-names":false,"suffix":""}],"container-title":"Nature Reviews Neuroscience","id":"ITEM-1","issue":"10","issued":{"date-parts":[["2021"]]},"page":"593-615","title":"Advancing models of neural development with biomaterials","type":"article-journal","volume":"22"},"uris":["http://www.mendeley.com/documents/?uuid=278367a7-04ab-4370-9199-dd7129b723ac"]}],"mendeley":{"formattedCitation":"[101]","plainTextFormattedCitation":"[101]","previouslyFormattedCitation":"[101]"},"properties":{"noteIndex":0},"schema":"https://github.com/citation-style-language/schema/raw/master/csl-citation.json"}</w:instrText>
      </w:r>
      <w:r w:rsidRPr="000E39AA">
        <w:rPr>
          <w:rFonts w:ascii="Arial" w:hAnsi="Arial" w:cs="Arial"/>
        </w:rPr>
        <w:fldChar w:fldCharType="separate"/>
      </w:r>
      <w:r w:rsidR="0062132B" w:rsidRPr="0062132B">
        <w:rPr>
          <w:rFonts w:ascii="Arial" w:hAnsi="Arial" w:cs="Arial"/>
          <w:noProof/>
        </w:rPr>
        <w:t>[101]</w:t>
      </w:r>
      <w:r w:rsidRPr="000E39AA">
        <w:rPr>
          <w:rFonts w:ascii="Arial" w:hAnsi="Arial" w:cs="Arial"/>
        </w:rPr>
        <w:fldChar w:fldCharType="end"/>
      </w:r>
      <w:r w:rsidRPr="000E39AA">
        <w:rPr>
          <w:rFonts w:ascii="Arial" w:hAnsi="Arial" w:cs="Arial"/>
        </w:rPr>
        <w:t xml:space="preserve">. Biopsies can be subject to a severe response involving reactive cells, proliferation and progressive neurodegeneration, reducing their suitability to accurately model a wide range of diseases </w:t>
      </w:r>
      <w:r w:rsidRPr="000E39AA">
        <w:rPr>
          <w:rFonts w:ascii="Arial" w:hAnsi="Arial" w:cs="Arial"/>
        </w:rPr>
        <w:fldChar w:fldCharType="begin" w:fldLock="1"/>
      </w:r>
      <w:r w:rsidR="00A445D5">
        <w:rPr>
          <w:rFonts w:ascii="Arial" w:hAnsi="Arial" w:cs="Arial"/>
        </w:rPr>
        <w:instrText>ADDIN CSL_CITATION {"citationItems":[{"id":"ITEM-1","itemData":{"DOI":"10.1038/s41598-017-12527-9","ISSN":"20452322","PMID":"28947761","abstract":"Pathophysiological investigation of CNS-related diseases, such as epilepsy or neurodegenerative disorders, largely relies on histological studies on human post mortem tissue, tissue obtained by biopsy or resective surgery and on studies using disease models including animal models, heterologous expression systems or cell culture based approaches. However, in general it remains elusive to what extent results obtained in model systems can be directly translated to the human brain, calling for strategies allowing validation or even primary investigation in live human CNS tissue. In the work reported here, we prepared human organotypic slice cultures from access tissue of resective epilepsy surgery. Employing different culture conditions, we systematically compared artificial culturing media versus human cerbrospinal fluid (hCSF) obtained from patients with normal pressure hydrocephalus (NPH). Presented data demonstrates sustained cortical neuronal survival including not only maintenance of typical cellular electrophysiological properties and activity, such as robust action potential generation and synaptic connectivity, but also preservation of tonic and phasic network activity up to several weeks in vitro. As clearly delineated by immunocytochemistry, single cell patch clamp and extracellular recordings, we find that in contrast to artificial culturing media, hCSF significantly enhances neuron viability and maintenance of network activity.","author":[{"dropping-particle":"","family":"Schwarz","given":"Niklas","non-dropping-particle":"","parse-names":false,"suffix":""},{"dropping-particle":"","family":"Hedrich","given":"Ulrike B.S.","non-dropping-particle":"","parse-names":false,"suffix":""},{"dropping-particle":"","family":"Schwarz","given":"Hannah","non-dropping-particle":"","parse-names":false,"suffix":""},{"dropping-particle":"","family":"Harshad","given":"P. A.","non-dropping-particle":"","parse-names":false,"suffix":""},{"dropping-particle":"","family":"Dammeier","given":"Nele","non-dropping-particle":"","parse-names":false,"suffix":""},{"dropping-particle":"","family":"Auffenberg","given":"Eva","non-dropping-particle":"","parse-names":false,"suffix":""},{"dropping-particle":"","family":"Bedogni","given":"Francesco","non-dropping-particle":"","parse-names":false,"suffix":""},{"dropping-particle":"","family":"Honegger","given":"Jürgen B.","non-dropping-particle":"","parse-names":false,"suffix":""},{"dropping-particle":"","family":"Lerche","given":"Holger","non-dropping-particle":"","parse-names":false,"suffix":""},{"dropping-particle":"V.","family":"Wuttke","given":"Thomas","non-dropping-particle":"","parse-names":false,"suffix":""},{"dropping-particle":"","family":"Koch","given":"Henner","non-dropping-particle":"","parse-names":false,"suffix":""}],"container-title":"Scientific Reports","id":"ITEM-1","issue":"1","issued":{"date-parts":[["2017"]]},"page":"1-12","title":"Human Cerebrospinal fluid promotes long-term neuronal viability and network function in human neocortical organotypic brain slice cultures","type":"article-journal","volume":"7"},"uris":["http://www.mendeley.com/documents/?uuid=d20991a4-b4a7-4ec0-a8e4-f23bdbccf30b"]},{"id":"ITEM-2","itemData":{"DOI":"10.1038/s41583-021-00496-y","ISBN":"0123456789","ISSN":"14710048","PMID":"34376834","abstract":"Human pluripotent stem cells have emerged as a promising in vitro model system for studying the brain. Two-dimensional and three-dimensional cell culture paradigms have provided valuable insights into the pathogenesis of neuropsychiatric disorders, but they remain limited in their capacity to model certain features of human neural development. Specifically, current models do not efficiently incorporate extracellular matrix-derived biochemical and biophysical cues, facilitate multicellular spatio-temporal patterning, or achieve advanced functional maturation. Engineered biomaterials have the capacity to create increasingly biomimetic neural microenvironments, yet further refinement is needed before these approaches are widely implemented. This Review therefore highlights how continued progression and increased integration of engineered biomaterials may be well poised to address intractable challenges in recapitulating human neural development.","author":[{"dropping-particle":"","family":"Roth","given":"Julien G.","non-dropping-particle":"","parse-names":false,"suffix":""},{"dropping-particle":"","family":"Huang","given":"Michelle S.","non-dropping-particle":"","parse-names":false,"suffix":""},{"dropping-particle":"","family":"Li","given":"Thomas L.","non-dropping-particle":"","parse-names":false,"suffix":""},{"dropping-particle":"","family":"Feig","given":"Vivian R.","non-dropping-particle":"","parse-names":false,"suffix":""},{"dropping-particle":"","family":"Jiang","given":"Yuanwen","non-dropping-particle":"","parse-names":false,"suffix":""},{"dropping-particle":"","family":"Cui","given":"Bianxiao","non-dropping-particle":"","parse-names":false,"suffix":""},{"dropping-particle":"","family":"Greely","given":"Henry T.","non-dropping-particle":"","parse-names":false,"suffix":""},{"dropping-particle":"","family":"Bao","given":"Zhenan","non-dropping-particle":"","parse-names":false,"suffix":""},{"dropping-particle":"","family":"Paşca","given":"Sergiu P.","non-dropping-particle":"","parse-names":false,"suffix":""},{"dropping-particle":"","family":"Heilshorn","given":"Sarah C.","non-dropping-particle":"","parse-names":false,"suffix":""}],"container-title":"Nature Reviews Neuroscience","id":"ITEM-2","issue":"10","issued":{"date-parts":[["2021"]]},"page":"593-615","title":"Advancing models of neural development with biomaterials","type":"article-journal","volume":"22"},"uris":["http://www.mendeley.com/documents/?uuid=278367a7-04ab-4370-9199-dd7129b723ac"]}],"mendeley":{"formattedCitation":"[101, 109]","plainTextFormattedCitation":"[101, 109]","previouslyFormattedCitation":"[101, 109]"},"properties":{"noteIndex":0},"schema":"https://github.com/citation-style-language/schema/raw/master/csl-citation.json"}</w:instrText>
      </w:r>
      <w:r w:rsidRPr="000E39AA">
        <w:rPr>
          <w:rFonts w:ascii="Arial" w:hAnsi="Arial" w:cs="Arial"/>
        </w:rPr>
        <w:fldChar w:fldCharType="separate"/>
      </w:r>
      <w:r w:rsidR="0062132B" w:rsidRPr="0062132B">
        <w:rPr>
          <w:rFonts w:ascii="Arial" w:hAnsi="Arial" w:cs="Arial"/>
          <w:noProof/>
        </w:rPr>
        <w:t>[101, 109]</w:t>
      </w:r>
      <w:r w:rsidRPr="000E39AA">
        <w:rPr>
          <w:rFonts w:ascii="Arial" w:hAnsi="Arial" w:cs="Arial"/>
        </w:rPr>
        <w:fldChar w:fldCharType="end"/>
      </w:r>
      <w:r w:rsidRPr="000E39AA">
        <w:rPr>
          <w:rFonts w:ascii="Arial" w:hAnsi="Arial" w:cs="Arial"/>
        </w:rPr>
        <w:t xml:space="preserve">. </w:t>
      </w:r>
    </w:p>
    <w:p w14:paraId="26F6DC12" w14:textId="77777777" w:rsidR="00F03759" w:rsidRPr="000E39AA" w:rsidRDefault="00F03759" w:rsidP="00F03759">
      <w:pPr>
        <w:spacing w:before="80" w:after="80" w:line="276" w:lineRule="auto"/>
        <w:jc w:val="both"/>
        <w:rPr>
          <w:rFonts w:ascii="Arial" w:hAnsi="Arial" w:cs="Arial"/>
        </w:rPr>
      </w:pPr>
    </w:p>
    <w:p w14:paraId="676573E1" w14:textId="77777777" w:rsidR="00F03759" w:rsidRPr="000E39AA" w:rsidRDefault="00F03759" w:rsidP="003B434C">
      <w:pPr>
        <w:pStyle w:val="Heading4"/>
      </w:pPr>
      <w:bookmarkStart w:id="60" w:name="_Toc98937883"/>
      <w:r w:rsidRPr="000E39AA">
        <w:t>4.3.2 In vitro</w:t>
      </w:r>
      <w:bookmarkEnd w:id="60"/>
    </w:p>
    <w:p w14:paraId="3A1B7AAC" w14:textId="74B7B193" w:rsidR="00F03759" w:rsidRPr="000E39AA" w:rsidRDefault="00F03759" w:rsidP="00F03759">
      <w:pPr>
        <w:pStyle w:val="NormalWeb"/>
        <w:spacing w:before="80" w:beforeAutospacing="0" w:after="80" w:afterAutospacing="0" w:line="276" w:lineRule="auto"/>
        <w:jc w:val="both"/>
        <w:rPr>
          <w:rFonts w:ascii="Arial" w:hAnsi="Arial" w:cs="Arial"/>
          <w:sz w:val="22"/>
          <w:szCs w:val="22"/>
        </w:rPr>
      </w:pPr>
      <w:r w:rsidRPr="000E39AA">
        <w:rPr>
          <w:rFonts w:ascii="Arial" w:hAnsi="Arial" w:cs="Arial"/>
          <w:sz w:val="22"/>
          <w:szCs w:val="22"/>
        </w:rPr>
        <w:t xml:space="preserve">Alternatively, </w:t>
      </w:r>
      <w:r w:rsidRPr="000E39AA">
        <w:rPr>
          <w:rFonts w:ascii="Arial" w:hAnsi="Arial" w:cs="Arial"/>
          <w:i/>
          <w:iCs/>
          <w:sz w:val="22"/>
          <w:szCs w:val="22"/>
        </w:rPr>
        <w:t>in vitro</w:t>
      </w:r>
      <w:r w:rsidRPr="000E39AA">
        <w:rPr>
          <w:rFonts w:ascii="Arial" w:hAnsi="Arial" w:cs="Arial"/>
          <w:sz w:val="22"/>
          <w:szCs w:val="22"/>
        </w:rPr>
        <w:t xml:space="preserve"> models comprising neuronal cells are currently in development to aid the reduction, replacement and refinement (3Rs) of </w:t>
      </w:r>
      <w:r w:rsidRPr="000E39AA">
        <w:rPr>
          <w:rFonts w:ascii="Arial" w:hAnsi="Arial" w:cs="Arial"/>
          <w:i/>
          <w:iCs/>
          <w:sz w:val="22"/>
          <w:szCs w:val="22"/>
        </w:rPr>
        <w:t>in vivo</w:t>
      </w:r>
      <w:r w:rsidRPr="000E39AA">
        <w:rPr>
          <w:rFonts w:ascii="Arial" w:hAnsi="Arial" w:cs="Arial"/>
          <w:sz w:val="22"/>
          <w:szCs w:val="22"/>
        </w:rPr>
        <w:t xml:space="preserve"> animal models for the simulation of pathophysiological pain mechanisms </w:t>
      </w:r>
      <w:r w:rsidRPr="000E39AA">
        <w:rPr>
          <w:rFonts w:ascii="Arial" w:hAnsi="Arial" w:cs="Arial"/>
        </w:rPr>
        <w:fldChar w:fldCharType="begin" w:fldLock="1"/>
      </w:r>
      <w:r w:rsidR="00A445D5">
        <w:rPr>
          <w:rFonts w:ascii="Arial" w:hAnsi="Arial" w:cs="Arial"/>
          <w:sz w:val="22"/>
          <w:szCs w:val="22"/>
        </w:rPr>
        <w:instrText>ADDIN CSL_CITATION {"citationItems":[{"id":"ITEM-1","itemData":{"DOI":"10.1016/j.ynpai.2021.100063","ISSN":"2452073X","abstract":"In vitro models fill a vital niche in preclinical pain research, allowing detailed study of molecular pathways, and in the case of humanised systems, providing a translational bridge between in vivo animal models and human patients. Significant advances in cellular technology available to basic pain researchers have occurred in the last decade, including developing protocols to differentiate sensory neuron-like cells from stem cells and greater access to human dorsal root ganglion tissue. In this review, we discuss the use of both models in preclinical pain research: What can a human sensory neuron in a dish tell us that rodent in vivo models cannot? How similar are these models to their endogenous counterparts, and how should we judge them? What limitations do we need to consider? How can we leverage cell models to improve translational success? In vitro human sensory neuron models equip pain researchers with a valuable tool to investigate human nociception. With continual development, consideration for their advantages and limitations, and effective integration with other experimental strategies, they could become a driving force for the pain field's advancement.","author":[{"dropping-particle":"","family":"Chrysostomidou","given":"Lina","non-dropping-particle":"","parse-names":false,"suffix":""},{"dropping-particle":"","family":"Cooper","given":"Andrew H.","non-dropping-particle":"","parse-names":false,"suffix":""},{"dropping-particle":"","family":"Weir","given":"Greg A.","non-dropping-particle":"","parse-names":false,"suffix":""}],"container-title":"Neurobiology of Pain","id":"ITEM-1","issue":"May","issued":{"date-parts":[["2021"]]},"page":"100063","publisher":"Elsevier Inc.","title":"Cellular models of pain: New technologies and their potential to progress preclinical research","type":"article-journal","volume":"10"},"uris":["http://www.mendeley.com/documents/?uuid=4367ba68-a03e-402b-85df-48f1292638c7"]}],"mendeley":{"formattedCitation":"[44]","plainTextFormattedCitation":"[44]","previouslyFormattedCitation":"[44]"},"properties":{"noteIndex":0},"schema":"https://github.com/citation-style-language/schema/raw/master/csl-citation.json"}</w:instrText>
      </w:r>
      <w:r w:rsidRPr="000E39AA">
        <w:rPr>
          <w:rFonts w:ascii="Arial" w:hAnsi="Arial" w:cs="Arial"/>
        </w:rPr>
        <w:fldChar w:fldCharType="separate"/>
      </w:r>
      <w:r w:rsidR="0062132B" w:rsidRPr="0062132B">
        <w:rPr>
          <w:rFonts w:ascii="Arial" w:hAnsi="Arial" w:cs="Arial"/>
          <w:noProof/>
          <w:sz w:val="22"/>
          <w:szCs w:val="22"/>
        </w:rPr>
        <w:t>[44]</w:t>
      </w:r>
      <w:r w:rsidRPr="000E39AA">
        <w:rPr>
          <w:rFonts w:ascii="Arial" w:hAnsi="Arial" w:cs="Arial"/>
        </w:rPr>
        <w:fldChar w:fldCharType="end"/>
      </w:r>
      <w:r w:rsidRPr="000E39AA">
        <w:rPr>
          <w:rFonts w:ascii="Arial" w:hAnsi="Arial" w:cs="Arial"/>
          <w:sz w:val="22"/>
          <w:szCs w:val="22"/>
        </w:rPr>
        <w:t xml:space="preserve">. 3D neuro cultures have been shown to support cell differentiation, increased neuritis outgrowth and myelination </w:t>
      </w:r>
      <w:r w:rsidRPr="000E39AA">
        <w:rPr>
          <w:rFonts w:ascii="Arial" w:hAnsi="Arial" w:cs="Arial"/>
          <w:sz w:val="22"/>
          <w:szCs w:val="22"/>
        </w:rPr>
        <w:fldChar w:fldCharType="begin" w:fldLock="1"/>
      </w:r>
      <w:r w:rsidR="00A445D5">
        <w:rPr>
          <w:rFonts w:ascii="Arial" w:hAnsi="Arial" w:cs="Arial"/>
          <w:sz w:val="22"/>
          <w:szCs w:val="22"/>
        </w:rPr>
        <w:instrText>ADDIN CSL_CITATION {"citationItems":[{"id":"ITEM-1","itemData":{"DOI":"10.1002/adma.201705684","ISSN":"15214095","PMID":"29573284","abstract":"Neuron regeneration from pluripotent stem cells (PSCs) differentiation or somatic cells trans-differentiation is a promising approach for cell replacement in neurodegenerative diseases and provides a powerful tool for investigating neural development, modeling neurological diseases, and uncovering the mechanisms that underlie diseases. Advancing the materials that are applied in neural differentiation and trans-differentiation promotes the safety, efficiency, and efficacy of neuron regeneration. In the neural differentiation process, matrix materials, either natural or synthetic, not only provide a structural and biochemical support for the monolayer or three-dimensional (3D) cultured cells but also assist in cell adhesion and cell-to-cell communication. They play important roles in directing the differentiation of PSCs into neural cells and modeling neurological diseases. For the trans-differentiation of neural cells, several materials have been used to make the conversion feasible for future therapy. Here, the most current applications of materials for neural differentiation for PSCs, neuronal trans-differentiation, and neurological disease modeling is summarized and discussed.","author":[{"dropping-particle":"","family":"Gong","given":"Lulu","non-dropping-particle":"","parse-names":false,"suffix":""},{"dropping-particle":"","family":"Cao","given":"Lining","non-dropping-particle":"","parse-names":false,"suffix":""},{"dropping-particle":"","family":"Shen","given":"Zhenmin","non-dropping-particle":"","parse-names":false,"suffix":""},{"dropping-particle":"","family":"Shao","given":"Li","non-dropping-particle":"","parse-names":false,"suffix":""},{"dropping-particle":"","family":"Gao","given":"Shaorong","non-dropping-particle":"","parse-names":false,"suffix":""},{"dropping-particle":"","family":"Zhang","given":"Chao","non-dropping-particle":"","parse-names":false,"suffix":""},{"dropping-particle":"","family":"Lu","given":"Jianfeng","non-dropping-particle":"","parse-names":false,"suffix":""},{"dropping-particle":"","family":"Li","given":"Weida","non-dropping-particle":"","parse-names":false,"suffix":""}],"container-title":"Advanced Materials","id":"ITEM-1","issue":"17","issued":{"date-parts":[["2018"]]},"title":"Materials for Neural Differentiation, Trans-Differentiation, and Modeling of Neurological Disease","type":"article-journal","volume":"30"},"uris":["http://www.mendeley.com/documents/?uuid=68066f60-aa1b-42e7-9922-d4ba8927416b"]},{"id":"ITEM-2","itemData":{"DOI":"10.1002/jcp.21832","ISSN":"00219541","PMID":"19492404","abstract":"Many cells in tissues are in contact with a highly specialized extracellular matrix, termed the basement membrane. Basement membranes have certain common components, including collagen IV, laminins, heparan sulfate proteoglycans, and growth factors which have a wide variety of biological activities. Extracts of basement membrane-rich tissue have yielded material suitable for studying cell-basement membrane interactions. Cells cultured in a 3D basement membrane matrix allow the in vitro modeling of cell behavior, including differentiation, apoptosis, steps in capillary formation, cancer growth, invasion, etc. It has also led to the development of widely used assays for invasion and angiogenesis and more recently for tumor cell dormancy. Importantly, stem cell culture in 3D basement membrane matrices has provided important advances that allow for expansion of these cells in feeder layer-free cultures and for studying their differentiation. 3D basement membrane culture has allowed the molecular dissection of pathways and genes important in differentiation, aided in the identification of progenitor cells, and led to the development of tissue constructs which may be models for regenerative medicine. This review will outline how this technology has led to important research assays and findings that have advanced our understanding of tissue development and disease and aided in the preclinical development of various therapeutics.","author":[{"dropping-particle":"","family":"Benton","given":"G.","non-dropping-particle":"","parse-names":false,"suffix":""},{"dropping-particle":"","family":"George","given":"J.","non-dropping-particle":"","parse-names":false,"suffix":""},{"dropping-particle":"","family":"Kleinman","given":"H. K.","non-dropping-particle":"","parse-names":false,"suffix":""},{"dropping-particle":"","family":"Arnaoutova","given":"I. P.","non-dropping-particle":"","parse-names":false,"suffix":""}],"container-title":"Journal of Cellular Physiology","id":"ITEM-2","issue":"1","issued":{"date-parts":[["2009"]]},"page":"18-25","title":"Advancing science and technology via 3D culture on basement membrane matrix","type":"article-journal","volume":"221"},"uris":["http://www.mendeley.com/documents/?uuid=c99e7180-bcdd-4938-b218-7148409116bd"]}],"mendeley":{"formattedCitation":"[65, 110]","plainTextFormattedCitation":"[65, 110]","previouslyFormattedCitation":"[65, 110]"},"properties":{"noteIndex":0},"schema":"https://github.com/citation-style-language/schema/raw/master/csl-citation.json"}</w:instrText>
      </w:r>
      <w:r w:rsidRPr="000E39AA">
        <w:rPr>
          <w:rFonts w:ascii="Arial" w:hAnsi="Arial" w:cs="Arial"/>
          <w:sz w:val="22"/>
          <w:szCs w:val="22"/>
        </w:rPr>
        <w:fldChar w:fldCharType="separate"/>
      </w:r>
      <w:r w:rsidR="0062132B" w:rsidRPr="0062132B">
        <w:rPr>
          <w:rFonts w:ascii="Arial" w:hAnsi="Arial" w:cs="Arial"/>
          <w:noProof/>
          <w:sz w:val="22"/>
          <w:szCs w:val="22"/>
        </w:rPr>
        <w:t>[65, 110]</w:t>
      </w:r>
      <w:r w:rsidRPr="000E39AA">
        <w:rPr>
          <w:rFonts w:ascii="Arial" w:hAnsi="Arial" w:cs="Arial"/>
          <w:sz w:val="22"/>
          <w:szCs w:val="22"/>
        </w:rPr>
        <w:fldChar w:fldCharType="end"/>
      </w:r>
      <w:r w:rsidR="00655A0C">
        <w:rPr>
          <w:rFonts w:ascii="Arial" w:hAnsi="Arial" w:cs="Arial"/>
          <w:sz w:val="22"/>
          <w:szCs w:val="22"/>
        </w:rPr>
        <w:t xml:space="preserve">, harnessing </w:t>
      </w:r>
      <w:r w:rsidRPr="000E39AA">
        <w:rPr>
          <w:rFonts w:ascii="Arial" w:hAnsi="Arial" w:cs="Arial"/>
          <w:sz w:val="22"/>
          <w:szCs w:val="22"/>
        </w:rPr>
        <w:t>3D bioprinting, microfluidics and organoid systems</w:t>
      </w:r>
      <w:r w:rsidR="00655A0C">
        <w:rPr>
          <w:rFonts w:ascii="Arial" w:hAnsi="Arial" w:cs="Arial"/>
          <w:sz w:val="22"/>
          <w:szCs w:val="22"/>
        </w:rPr>
        <w:t xml:space="preserve"> technologies</w:t>
      </w:r>
      <w:r w:rsidRPr="000E39AA">
        <w:rPr>
          <w:rFonts w:ascii="Arial" w:hAnsi="Arial" w:cs="Arial"/>
          <w:sz w:val="22"/>
          <w:szCs w:val="22"/>
        </w:rPr>
        <w:t xml:space="preserve">. </w:t>
      </w:r>
    </w:p>
    <w:p w14:paraId="4B3DDC98" w14:textId="77777777" w:rsidR="00F03759" w:rsidRPr="000E39AA" w:rsidRDefault="00F03759" w:rsidP="00F03759">
      <w:pPr>
        <w:pStyle w:val="NormalWeb"/>
        <w:spacing w:before="80" w:beforeAutospacing="0" w:after="80" w:afterAutospacing="0" w:line="276" w:lineRule="auto"/>
        <w:jc w:val="both"/>
        <w:rPr>
          <w:rFonts w:ascii="Arial" w:hAnsi="Arial" w:cs="Arial"/>
        </w:rPr>
      </w:pPr>
    </w:p>
    <w:p w14:paraId="1F449155" w14:textId="77777777" w:rsidR="00F03759" w:rsidRPr="000E39AA" w:rsidRDefault="00F03759" w:rsidP="00F03759">
      <w:pPr>
        <w:pStyle w:val="Heading5"/>
        <w:rPr>
          <w:lang w:val="en-GB"/>
        </w:rPr>
      </w:pPr>
      <w:bookmarkStart w:id="61" w:name="_Toc98937884"/>
      <w:r w:rsidRPr="000E39AA">
        <w:rPr>
          <w:lang w:val="en-GB"/>
        </w:rPr>
        <w:t>4.3.2.1 3D Bioprinting</w:t>
      </w:r>
      <w:bookmarkEnd w:id="61"/>
    </w:p>
    <w:p w14:paraId="248822C0" w14:textId="57E506D8" w:rsidR="00F03759" w:rsidRPr="000E39AA" w:rsidRDefault="00F03759" w:rsidP="00F03759">
      <w:pPr>
        <w:spacing w:after="0" w:line="276" w:lineRule="auto"/>
        <w:jc w:val="both"/>
        <w:rPr>
          <w:rFonts w:ascii="Arial" w:hAnsi="Arial" w:cs="Arial"/>
        </w:rPr>
      </w:pPr>
      <w:r w:rsidRPr="000E39AA">
        <w:rPr>
          <w:rFonts w:ascii="Arial" w:hAnsi="Arial" w:cs="Arial"/>
        </w:rPr>
        <w:t xml:space="preserve">3D bioprinted </w:t>
      </w:r>
      <w:r w:rsidRPr="000E39AA">
        <w:rPr>
          <w:rFonts w:ascii="Arial" w:hAnsi="Arial" w:cs="Arial"/>
          <w:i/>
          <w:iCs/>
        </w:rPr>
        <w:t>in vitro</w:t>
      </w:r>
      <w:r w:rsidRPr="000E39AA">
        <w:rPr>
          <w:rFonts w:ascii="Arial" w:hAnsi="Arial" w:cs="Arial"/>
        </w:rPr>
        <w:t xml:space="preserve"> neuro models, as detailed for bone tissue models, require</w:t>
      </w:r>
      <w:r w:rsidR="00401F58">
        <w:rPr>
          <w:rFonts w:ascii="Arial" w:hAnsi="Arial" w:cs="Arial"/>
        </w:rPr>
        <w:t>s</w:t>
      </w:r>
      <w:r w:rsidRPr="000E39AA">
        <w:rPr>
          <w:rFonts w:ascii="Arial" w:hAnsi="Arial" w:cs="Arial"/>
        </w:rPr>
        <w:t xml:space="preserve"> the choice of a suitable biomaterial able to support cell survival, </w:t>
      </w:r>
      <w:r w:rsidR="00AD6395" w:rsidRPr="000E39AA">
        <w:rPr>
          <w:rFonts w:ascii="Arial" w:hAnsi="Arial" w:cs="Arial"/>
        </w:rPr>
        <w:t>proliferation,</w:t>
      </w:r>
      <w:r w:rsidRPr="000E39AA">
        <w:rPr>
          <w:rFonts w:ascii="Arial" w:hAnsi="Arial" w:cs="Arial"/>
        </w:rPr>
        <w:t xml:space="preserve"> and functionality of the encapsulated cells. Functional biomaterials used for neuro tissue 3D bioprinting are typically natural polymers such as alginate </w:t>
      </w:r>
      <w:r w:rsidRPr="000E39AA">
        <w:rPr>
          <w:rFonts w:ascii="Arial" w:hAnsi="Arial" w:cs="Arial"/>
        </w:rPr>
        <w:fldChar w:fldCharType="begin" w:fldLock="1"/>
      </w:r>
      <w:r w:rsidR="00A445D5">
        <w:rPr>
          <w:rFonts w:ascii="Arial" w:hAnsi="Arial" w:cs="Arial"/>
        </w:rPr>
        <w:instrText>ADDIN CSL_CITATION {"citationItems":[{"id":"ITEM-1","itemData":{"DOI":"10.1088/1748-6041/6/1/015002","abstract":"Two-dimensional (2D) culture systems provide useful information about many biological processes. However, some applications including tissue engineering, drug transport studies, and analysis of cell growth and dynamics are better studied using three-dimensional (3D) culture systems. 3D culture systems can potentially offer higher degrees of organization and control of cell growth environments, more physiologically relevant diffusion characteristics, and permit the formation of more extensive 3D networks of cell–cell interactions. A 3D culture system has been developed using alginate as a cell scaffold, capable of maintaining the viability and function of a variety of neural cell types. Alginate was functionalized by the covalent attachment of a variety of whole proteins and peptide epitopes selected to provide sites for cell attachment. Alginate constructs were used to entrap a variety of neural cell types including astroglioma cells, astrocytes, microglia and neurons. Neural cells displayed process outgrowth over time in culture. Cell-seeded scaffolds were characterized in terms of their biochemical and biomechanical properties, effects on seeded neural cells, and suitability for use as 3D neural cell culture models.","author":[{"dropping-particle":"","family":"Frampton","given":"J P","non-dropping-particle":"","parse-names":false,"suffix":""},{"dropping-particle":"","family":"Hynd","given":"M R","non-dropping-particle":"","parse-names":false,"suffix":""},{"dropping-particle":"","family":"Shuler","given":"M L","non-dropping-particle":"","parse-names":false,"suffix":""},{"dropping-particle":"","family":"Shain","given":"W","non-dropping-particle":"","parse-names":false,"suffix":""}],"container-title":"Biomedical Materials","id":"ITEM-1","issue":"1","issued":{"date-parts":[["2011"]]},"page":"15002","publisher":"{IOP} Publishing","title":"Fabrication and optimization of alginate hydrogel constructs for use in 3D neural cell culture","type":"article-journal","volume":"6"},"uris":["http://www.mendeley.com/documents/?uuid=718f445d-e711-42d7-b12c-331cce7a0e8f"]},{"id":"ITEM-2","itemData":{"DOI":"10.1016/j.biomaterials.2009.05.050","ISSN":"01429612","PMID":"19539367","abstract":"There has been an increasing interest in understanding how the mechanical properties of the microenvironment influence stem cell fate. We describe studies of the proliferation and differentiation of neural stem cells (NSCs) encapsulated within three-dimensional scaffolds - alginate hydrogels - whose elastic moduli were varied over two orders of magnitude. The rate of proliferation of neural stem cells decreased with increase in the modulus of the hydrogels. Moreover, we observed the greatest enhancement in expression of the neuronal marker β-tubulin III within the softest hydrogels, which had an elastic modulus comparable to that of brain tissues. To our knowledge, this work represents the first demonstration of the influence of modulus on NSC differentiation in three-dimensional scaffolds. Three-dimensional scaffolds that control stem cell fate would be broadly useful for applications in regenerative medicine and tissue engineering. © 2009 Elsevier Ltd. All rights reserved.","author":[{"dropping-particle":"","family":"Banerjee","given":"Akhilesh","non-dropping-particle":"","parse-names":false,"suffix":""},{"dropping-particle":"","family":"Arha","given":"Manish","non-dropping-particle":"","parse-names":false,"suffix":""},{"dropping-particle":"","family":"Choudhary","given":"Soumitra","non-dropping-particle":"","parse-names":false,"suffix":""},{"dropping-particle":"","family":"Ashton","given":"Randolph S.","non-dropping-particle":"","parse-names":false,"suffix":""},{"dropping-particle":"","family":"Bhatia","given":"Surita R.","non-dropping-particle":"","parse-names":false,"suffix":""},{"dropping-particle":"V.","family":"Schaffer","given":"David","non-dropping-particle":"","parse-names":false,"suffix":""},{"dropping-particle":"","family":"Kane","given":"Ravi S.","non-dropping-particle":"","parse-names":false,"suffix":""}],"container-title":"Biomaterials","id":"ITEM-2","issue":"27","issued":{"date-parts":[["2009"]]},"page":"4695-4699","publisher":"Elsevier Ltd","title":"The influence of hydrogel modulus on the proliferation and differentiation of encapsulated neural stem cells","type":"article-journal","volume":"30"},"uris":["http://www.mendeley.com/documents/?uuid=347f8ee2-3991-4b7b-b08c-705421280773"]}],"mendeley":{"formattedCitation":"[111, 112]","plainTextFormattedCitation":"[111, 112]","previouslyFormattedCitation":"[111, 112]"},"properties":{"noteIndex":0},"schema":"https://github.com/citation-style-language/schema/raw/master/csl-citation.json"}</w:instrText>
      </w:r>
      <w:r w:rsidRPr="000E39AA">
        <w:rPr>
          <w:rFonts w:ascii="Arial" w:hAnsi="Arial" w:cs="Arial"/>
        </w:rPr>
        <w:fldChar w:fldCharType="separate"/>
      </w:r>
      <w:r w:rsidR="0062132B" w:rsidRPr="0062132B">
        <w:rPr>
          <w:rFonts w:ascii="Arial" w:hAnsi="Arial" w:cs="Arial"/>
          <w:noProof/>
        </w:rPr>
        <w:t>[111, 112]</w:t>
      </w:r>
      <w:r w:rsidRPr="000E39AA">
        <w:rPr>
          <w:rFonts w:ascii="Arial" w:hAnsi="Arial" w:cs="Arial"/>
        </w:rPr>
        <w:fldChar w:fldCharType="end"/>
      </w:r>
      <w:r w:rsidRPr="000E39AA">
        <w:rPr>
          <w:rFonts w:ascii="Arial" w:hAnsi="Arial" w:cs="Arial"/>
        </w:rPr>
        <w:t>, collagen type I</w:t>
      </w:r>
      <w:r w:rsidR="00AD6395">
        <w:rPr>
          <w:rFonts w:ascii="Arial" w:hAnsi="Arial" w:cs="Arial"/>
        </w:rPr>
        <w:t xml:space="preserve">, </w:t>
      </w:r>
      <w:r w:rsidRPr="000E39AA">
        <w:rPr>
          <w:rFonts w:ascii="Arial" w:hAnsi="Arial" w:cs="Arial"/>
        </w:rPr>
        <w:t xml:space="preserve">silk fibroin </w:t>
      </w:r>
      <w:r w:rsidRPr="000E39AA">
        <w:rPr>
          <w:rFonts w:ascii="Arial" w:hAnsi="Arial" w:cs="Arial"/>
        </w:rPr>
        <w:fldChar w:fldCharType="begin" w:fldLock="1"/>
      </w:r>
      <w:r w:rsidR="00A445D5">
        <w:rPr>
          <w:rFonts w:ascii="Arial" w:hAnsi="Arial" w:cs="Arial"/>
        </w:rPr>
        <w:instrText>ADDIN CSL_CITATION {"citationItems":[{"id":"ITEM-1","itemData":{"DOI":"10.1073/pnas.1324214111","ISSN":"10916490","PMID":"25114234","abstract":"The brain remains one of the most important but least understood tissues in our body, in part because of its complexity as well as the limitations associated with in vivo studies. Although simpler tissues have yielded to the emerging tools for in vitro 3D tissue cultures, functional brain-like tissues have not. We report the construction of complex functional 3D brain-like cortical tissue, maintained for months in vitro, formed from primary cortical neurons in modular 3D compartmentalized architectures with electrophysiological function. We show that, on injury, this brain-like tissue responds in vitro with biochemical and electrophysiological outcomes that mimic observations in vivo. This modular 3D brain-like tissue is capable of real-time nondestructive assessments, offering previously unidentified directions for studies of brain homeostasis and injury.","author":[{"dropping-particle":"","family":"Tang-Schomer","given":"Min D.","non-dropping-particle":"","parse-names":false,"suffix":""},{"dropping-particle":"","family":"White","given":"James D.","non-dropping-particle":"","parse-names":false,"suffix":""},{"dropping-particle":"","family":"Tien","given":"Lee W.","non-dropping-particle":"","parse-names":false,"suffix":""},{"dropping-particle":"","family":"Schmitt","given":"L. Ian","non-dropping-particle":"","parse-names":false,"suffix":""},{"dropping-particle":"","family":"Valentin","given":"Thomas M.","non-dropping-particle":"","parse-names":false,"suffix":""},{"dropping-particle":"","family":"Graziano","given":"Daniel J.","non-dropping-particle":"","parse-names":false,"suffix":""},{"dropping-particle":"","family":"Hopkins","given":"Amy M.","non-dropping-particle":"","parse-names":false,"suffix":""},{"dropping-particle":"","family":"Omenetto","given":"Fiorenzo G.","non-dropping-particle":"","parse-names":false,"suffix":""},{"dropping-particle":"","family":"Haydon","given":"Philip G.","non-dropping-particle":"","parse-names":false,"suffix":""},{"dropping-particle":"","family":"Kaplan","given":"David L.","non-dropping-particle":"","parse-names":false,"suffix":""}],"container-title":"Proceedings of the National Academy of Sciences of the United States of America","id":"ITEM-1","issue":"38","issued":{"date-parts":[["2014"]]},"page":"13811-13816","title":"Bioengineered functional brain-like cortical tissue","type":"article-journal","volume":"111"},"uris":["http://www.mendeley.com/documents/?uuid=6a6e68d4-069a-44e5-bff2-e255f78a78d9"]}],"mendeley":{"formattedCitation":"[104]","plainTextFormattedCitation":"[104]","previouslyFormattedCitation":"[104]"},"properties":{"noteIndex":0},"schema":"https://github.com/citation-style-language/schema/raw/master/csl-citation.json"}</w:instrText>
      </w:r>
      <w:r w:rsidRPr="000E39AA">
        <w:rPr>
          <w:rFonts w:ascii="Arial" w:hAnsi="Arial" w:cs="Arial"/>
        </w:rPr>
        <w:fldChar w:fldCharType="separate"/>
      </w:r>
      <w:r w:rsidR="0062132B" w:rsidRPr="0062132B">
        <w:rPr>
          <w:rFonts w:ascii="Arial" w:hAnsi="Arial" w:cs="Arial"/>
          <w:noProof/>
        </w:rPr>
        <w:t>[104]</w:t>
      </w:r>
      <w:r w:rsidRPr="000E39AA">
        <w:rPr>
          <w:rFonts w:ascii="Arial" w:hAnsi="Arial" w:cs="Arial"/>
        </w:rPr>
        <w:fldChar w:fldCharType="end"/>
      </w:r>
      <w:r w:rsidRPr="000E39AA">
        <w:rPr>
          <w:rFonts w:ascii="Arial" w:hAnsi="Arial" w:cs="Arial"/>
        </w:rPr>
        <w:t xml:space="preserve">, </w:t>
      </w:r>
      <w:proofErr w:type="spellStart"/>
      <w:r w:rsidRPr="000E39AA">
        <w:rPr>
          <w:rFonts w:ascii="Arial" w:hAnsi="Arial" w:cs="Arial"/>
        </w:rPr>
        <w:t>matrigel</w:t>
      </w:r>
      <w:proofErr w:type="spellEnd"/>
      <w:r w:rsidRPr="000E39AA">
        <w:rPr>
          <w:rFonts w:ascii="Arial" w:hAnsi="Arial" w:cs="Arial"/>
        </w:rPr>
        <w:t xml:space="preserve"> </w:t>
      </w:r>
      <w:r w:rsidRPr="000E39AA">
        <w:rPr>
          <w:rFonts w:ascii="Arial" w:hAnsi="Arial" w:cs="Arial"/>
        </w:rPr>
        <w:fldChar w:fldCharType="begin" w:fldLock="1"/>
      </w:r>
      <w:r w:rsidR="00A445D5">
        <w:rPr>
          <w:rFonts w:ascii="Arial" w:hAnsi="Arial" w:cs="Arial"/>
        </w:rPr>
        <w:instrText>ADDIN CSL_CITATION {"citationItems":[{"id":"ITEM-1","itemData":{"DOI":"10.1016/j.biomaterials.2021.120771","ISSN":"01429612","PMID":"33798962","abstract":"Three-dimensional (3D) bioprinting has emerged as a promising approach to fabricate living neural constructs with anatomically accurate complex geometries and spatial distributions of neural stem cells (NSCs) for spinal cord injury (SCI) repair. The NSC-laden 3D bioprinting, however, still faces some big challenges, such as cumbersome printing process, poor cell viability, and minimal cell-material interaction. To address these issues, we have fabricated NSC-laden scaffolds by 3D bioprinting and explore for the first time their application for in vivo SCI repair. In our strategy, we have developed a novel biocompatible bioink consisting of functional chitosan, hyaluronic acid derivatives, and matrigel. This bioink shows fast gelation (within 20 s) and spontaneous covalent crosslinking capability, facilitating convenient one-step bioprinting of spinal cord-like constructs. Thus-fabricated scaffolds maintain high NSC viability (about 95%), and offer a benign microenvironment that facilitates cell-material interactions and neuronal differentiation for optimal formation of neural network. The in vivo experiment has further demonstrated that the bioprinted scaffolds promoted the axon regeneration and decreased glial scar deposition, leading to significant locomotor recovery of the SCI model rats, which may represent a general and versatile strategy for precise engineering of central nervous system and other neural organs/tissues for regenerative medicine application.","author":[{"dropping-particle":"","family":"Liu","given":"Xiaoyun","non-dropping-particle":"","parse-names":false,"suffix":""},{"dropping-particle":"","family":"Hao","given":"Mingming","non-dropping-particle":"","parse-names":false,"suffix":""},{"dropping-particle":"","family":"Chen","given":"Zhongjin","non-dropping-particle":"","parse-names":false,"suffix":""},{"dropping-particle":"","family":"Zhang","given":"Ting","non-dropping-particle":"","parse-names":false,"suffix":""},{"dropping-particle":"","family":"Huang","given":"Jie","non-dropping-particle":"","parse-names":false,"suffix":""},{"dropping-particle":"","family":"Dai","given":"Jianwu","non-dropping-particle":"","parse-names":false,"suffix":""},{"dropping-particle":"","family":"Zhang","given":"Zhijun","non-dropping-particle":"","parse-names":false,"suffix":""}],"container-title":"Biomaterials","id":"ITEM-1","issued":{"date-parts":[["2021","5"]]},"language":"eng","page":"120771","publisher-place":"Netherlands","title":"3D bioprinted neural tissue constructs for spinal cord injury repair","type":"article-journal","volume":"272"},"uris":["http://www.mendeley.com/documents/?uuid=d88cb52b-2756-4351-889f-4b99a8b05bfe"]}],"mendeley":{"formattedCitation":"[113]","plainTextFormattedCitation":"[113]","previouslyFormattedCitation":"[113]"},"properties":{"noteIndex":0},"schema":"https://github.com/citation-style-language/schema/raw/master/csl-citation.json"}</w:instrText>
      </w:r>
      <w:r w:rsidRPr="000E39AA">
        <w:rPr>
          <w:rFonts w:ascii="Arial" w:hAnsi="Arial" w:cs="Arial"/>
        </w:rPr>
        <w:fldChar w:fldCharType="separate"/>
      </w:r>
      <w:r w:rsidR="0062132B" w:rsidRPr="0062132B">
        <w:rPr>
          <w:rFonts w:ascii="Arial" w:hAnsi="Arial" w:cs="Arial"/>
          <w:noProof/>
        </w:rPr>
        <w:t>[113]</w:t>
      </w:r>
      <w:r w:rsidRPr="000E39AA">
        <w:rPr>
          <w:rFonts w:ascii="Arial" w:hAnsi="Arial" w:cs="Arial"/>
        </w:rPr>
        <w:fldChar w:fldCharType="end"/>
      </w:r>
      <w:r w:rsidRPr="000E39AA">
        <w:rPr>
          <w:rFonts w:ascii="Arial" w:hAnsi="Arial" w:cs="Arial"/>
        </w:rPr>
        <w:t xml:space="preserve">, chitosan </w:t>
      </w:r>
      <w:r w:rsidRPr="000E39AA">
        <w:rPr>
          <w:rFonts w:ascii="Arial" w:hAnsi="Arial" w:cs="Arial"/>
        </w:rPr>
        <w:fldChar w:fldCharType="begin" w:fldLock="1"/>
      </w:r>
      <w:r w:rsidR="00A445D5">
        <w:rPr>
          <w:rFonts w:ascii="Arial" w:hAnsi="Arial" w:cs="Arial"/>
        </w:rPr>
        <w:instrText>ADDIN CSL_CITATION {"citationItems":[{"id":"ITEM-1","itemData":{"DOI":"10.1002/adhm.201700175","ISSN":"21922659","PMID":"28544655","abstract":"The ability to create 3D tissues from induced pluripotent stem cells (iPSCs) is poised to revolutionize stem cell research and regenerative medicine, including individualized, patient-specific stem cell-based treatments. There are, however, few examples of tissue engineering using iPSCs. Their culture and differentiation is predominantly planar for monolayer cell support or induction of self-organizing embryoids (EBs) and organoids. Bioprinting iPSCs with advanced biomaterials promises to augment efforts to develop 3D tissues, ideally comprising direct-write printing of cells for encapsulation, proliferation, and differentiation. Here, such a method, employing a clinically amenable polysaccharide-based bioink, is described as the first example of bioprinting human iPSCs for in situ expansion and sequential differentiation. Specifically, we have extrusion printed the bioink including iPSCs, alginate (Al; 5% weight/volume [w/v]), carboxymethyl-chitosan (5% w/v), and agarose (Ag; 1.5% w/v), crosslinked the bioink in calcium chloride for a stable and porous construct, proliferated the iPSCs within the construct and differentiated the same iPSCs into either EBs comprising cells of three germ lineages—endoderm, ectoderm, and mesoderm, or more homogeneous neural tissues containing functional migrating neurons and neuroglia. This defined, scalable, and versatile platform is envisaged being useful in iPSC research and translation for pharmaceuticals development and regenerative medicine.","author":[{"dropping-particle":"","family":"Gu","given":"Qi","non-dropping-particle":"","parse-names":false,"suffix":""},{"dropping-particle":"","family":"Tomaskovic-Crook","given":"Eva","non-dropping-particle":"","parse-names":false,"suffix":""},{"dropping-particle":"","family":"Wallace","given":"Gordon G.","non-dropping-particle":"","parse-names":false,"suffix":""},{"dropping-particle":"","family":"Crook","given":"Jeremy M.","non-dropping-particle":"","parse-names":false,"suffix":""}],"container-title":"Advanced Healthcare Materials","id":"ITEM-1","issue":"17","issued":{"date-parts":[["2017"]]},"title":"3D Bioprinting Human Induced Pluripotent Stem Cell Constructs for In Situ Cell Proliferation and Successive Multilineage Differentiation","type":"article-journal","volume":"6"},"uris":["http://www.mendeley.com/documents/?uuid=7b63410f-e4fc-45a5-a62f-512a3173abc9"]}],"mendeley":{"formattedCitation":"[114]","plainTextFormattedCitation":"[114]","previouslyFormattedCitation":"[114]"},"properties":{"noteIndex":0},"schema":"https://github.com/citation-style-language/schema/raw/master/csl-citation.json"}</w:instrText>
      </w:r>
      <w:r w:rsidRPr="000E39AA">
        <w:rPr>
          <w:rFonts w:ascii="Arial" w:hAnsi="Arial" w:cs="Arial"/>
        </w:rPr>
        <w:fldChar w:fldCharType="separate"/>
      </w:r>
      <w:r w:rsidR="0062132B" w:rsidRPr="0062132B">
        <w:rPr>
          <w:rFonts w:ascii="Arial" w:hAnsi="Arial" w:cs="Arial"/>
          <w:noProof/>
        </w:rPr>
        <w:t>[114]</w:t>
      </w:r>
      <w:r w:rsidRPr="000E39AA">
        <w:rPr>
          <w:rFonts w:ascii="Arial" w:hAnsi="Arial" w:cs="Arial"/>
        </w:rPr>
        <w:fldChar w:fldCharType="end"/>
      </w:r>
      <w:r w:rsidRPr="000E39AA">
        <w:rPr>
          <w:rFonts w:ascii="Arial" w:hAnsi="Arial" w:cs="Arial"/>
        </w:rPr>
        <w:t xml:space="preserve">, hyaluronic acid (HA) </w:t>
      </w:r>
      <w:r w:rsidRPr="000E39AA">
        <w:rPr>
          <w:rFonts w:ascii="Arial" w:hAnsi="Arial" w:cs="Arial"/>
        </w:rPr>
        <w:fldChar w:fldCharType="begin" w:fldLock="1"/>
      </w:r>
      <w:r w:rsidR="007605E0">
        <w:rPr>
          <w:rFonts w:ascii="Arial" w:hAnsi="Arial" w:cs="Arial"/>
        </w:rPr>
        <w:instrText>ADDIN CSL_CITATION {"citationItems":[{"id":"ITEM-1","itemData":{"DOI":"10.1088/1758-5090/aacd30","ISSN":"1758-5090","author":[{"dropping-particle":"","family":"Ning","given":"Liqun","non-dropping-particle":"","parse-names":false,"suffix":""},{"dropping-particle":"","family":"Sun","given":"Haoying","non-dropping-particle":"","parse-names":false,"suffix":""},{"dropping-particle":"","family":"Lelong","given":"Tiphanie","non-dropping-particle":"","parse-names":false,"suffix":""},{"dropping-particle":"","family":"Guilloteau","given":"Romain","non-dropping-particle":"","parse-names":false,"suffix":""},{"dropping-particle":"","family":"Zhu","given":"Ning","non-dropping-particle":"","parse-names":false,"suffix":""},{"dropping-particle":"","family":"Schreyer","given":"David J","non-dropping-particle":"","parse-names":false,"suffix":""},{"dropping-particle":"","family":"Chen","given":"Xiongbiao","non-dropping-particle":"","parse-names":false,"suffix":""}],"container-title":"Biofabrication","id":"ITEM-1","issue":"3","issued":{"date-parts":[["2018","6","29"]]},"page":"035014","publisher":"IOP Publishing","title":"3D bioprinting of scaffolds with living Schwann cells for potential nerve tissue engineering applications","type":"article-journal","volume":"10"},"uris":["http://www.mendeley.com/documents/?uuid=24b08814-d6b4-4d96-85ab-3ac468c75907"]},{"id":"ITEM-2","itemData":{"DOI":"10.1016/j.biomaterials.2021.120771","ISSN":"01429612","PMID":"33798962","abstract":"Three-dimensional (3D) bioprinting has emerged as a promising approach to fabricate living neural constructs with anatomically accurate complex geometries and spatial distributions of neural stem cells (NSCs) for spinal cord injury (SCI) repair. The NSC-laden 3D bioprinting, however, still faces some big challenges, such as cumbersome printing process, poor cell viability, and minimal cell-material interaction. To address these issues, we have fabricated NSC-laden scaffolds by 3D bioprinting and explore for the first time their application for in vivo SCI repair. In our strategy, we have developed a novel biocompatible bioink consisting of functional chitosan, hyaluronic acid derivatives, and matrigel. This bioink shows fast gelation (within 20 s) and spontaneous covalent crosslinking capability, facilitating convenient one-step bioprinting of spinal cord-like constructs. Thus-fabricated scaffolds maintain high NSC viability (about 95%), and offer a benign microenvironment that facilitates cell-material interactions and neuronal differentiation for optimal formation of neural network. The in vivo experiment has further demonstrated that the bioprinted scaffolds promoted the axon regeneration and decreased glial scar deposition, leading to significant locomotor recovery of the SCI model rats, which may represent a general and versatile strategy for precise engineering of central nervous system and other neural organs/tissues for regenerative medicine application.","author":[{"dropping-particle":"","family":"Liu","given":"Xiaoyun","non-dropping-particle":"","parse-names":false,"suffix":""},{"dropping-particle":"","family":"Hao","given":"Mingming","non-dropping-particle":"","parse-names":false,"suffix":""},{"dropping-particle":"","family":"Chen","given":"Zhongjin","non-dropping-particle":"","parse-names":false,"suffix":""},{"dropping-particle":"","family":"Zhang","given":"Ting","non-dropping-particle":"","parse-names":false,"suffix":""},{"dropping-particle":"","family":"Huang","given":"Jie","non-dropping-particle":"","parse-names":false,"suffix":""},{"dropping-particle":"","family":"Dai","given":"Jianwu","non-dropping-particle":"","parse-names":false,"suffix":""},{"dropping-particle":"","family":"Zhang","given":"Zhijun","non-dropping-particle":"","parse-names":false,"suffix":""}],"container-title":"Biomaterials","id":"ITEM-2","issued":{"date-parts":[["2021","5"]]},"language":"eng","page":"120771","publisher-place":"Netherlands","title":"3D bioprinted neural tissue constructs for spinal cord injury repair","type":"article-journal","volume":"272"},"uris":["http://www.mendeley.com/documents/?uuid=d88cb52b-2756-4351-889f-4b99a8b05bfe"]}],"mendeley":{"formattedCitation":"[113, 115]","plainTextFormattedCitation":"[113, 115]","previouslyFormattedCitation":"[113, 115]"},"properties":{"noteIndex":0},"schema":"https://github.com/citation-style-language/schema/raw/master/csl-citation.json"}</w:instrText>
      </w:r>
      <w:r w:rsidRPr="000E39AA">
        <w:rPr>
          <w:rFonts w:ascii="Arial" w:hAnsi="Arial" w:cs="Arial"/>
        </w:rPr>
        <w:fldChar w:fldCharType="separate"/>
      </w:r>
      <w:r w:rsidR="0062132B" w:rsidRPr="0062132B">
        <w:rPr>
          <w:rFonts w:ascii="Arial" w:hAnsi="Arial" w:cs="Arial"/>
          <w:noProof/>
        </w:rPr>
        <w:t>[113, 115]</w:t>
      </w:r>
      <w:r w:rsidRPr="000E39AA">
        <w:rPr>
          <w:rFonts w:ascii="Arial" w:hAnsi="Arial" w:cs="Arial"/>
        </w:rPr>
        <w:fldChar w:fldCharType="end"/>
      </w:r>
      <w:r w:rsidRPr="000E39AA">
        <w:rPr>
          <w:rFonts w:ascii="Arial" w:hAnsi="Arial" w:cs="Arial"/>
        </w:rPr>
        <w:t xml:space="preserve">, methylcellulose </w:t>
      </w:r>
      <w:r w:rsidRPr="000E39AA">
        <w:rPr>
          <w:rFonts w:ascii="Arial" w:hAnsi="Arial" w:cs="Arial"/>
        </w:rPr>
        <w:fldChar w:fldCharType="begin" w:fldLock="1"/>
      </w:r>
      <w:r w:rsidR="007605E0">
        <w:rPr>
          <w:rFonts w:ascii="Arial" w:hAnsi="Arial" w:cs="Arial"/>
        </w:rPr>
        <w:instrText>ADDIN CSL_CITATION {"citationItems":[{"id":"ITEM-1","itemData":{"DOI":"https://doi.org/10.1002/jnr.21434","ISSN":"0360-4012","abstract":"Abstract Stem cell transplantation is a promising approach for the treatment of traumatic brain injury, although the therapeutic benefits are limited by a high degree of donor cell death. Tissue engineering is a strategy to improve donor cell survival by providing structural and adhesive support. However, optimization prior to clinical implementation requires expensive and time-consuming in vivo studies. Accordingly, we have developed a three-dimensional (3-D) in vitro model of the injured host?transplant interface that can be used as a test bed for high-throughput evaluation of tissue-engineered strategies. The neuronal-astrocytic cocultures in 3-D were subjected to mechanical loading (inducing cell death and specific astrogliotic alterations) or to treatment with transforming growth factor-?1 (TGF-?1), inducing astrogliosis without affecting viability. Neural stem cells (NSCs) were then delivered to the cocultures. A sharp increase in the number of TUNEL+ donor cells was observed in the injured cocultures compared to that in the TGF-?1-treated and control cocultures, suggesting that factors related to mechanical injury, but not strictly astrogliosis, were detrimental to donor cell survival. We then utilized the mechanically injured cocultures to evaluate a methylcellulose-laminin (MC-LN) scaffold designed to reduce apoptosis. When NSCs were codelivered with MC alone or MC-LN to the injured cocultures, the number of caspase+ donor cells significantly decreased compared to that with vehicle delivery (medium). Collectively, these results demonstrate the utility of an in vitro model as a preanimal test bed and support further investigation of a tissue-engineering approach for chaperoned NSC delivery targeted to improve donor cell survival in neural transplantation. ? 2007 Wiley-Liss, Inc.","author":[{"dropping-particle":"","family":"Cullen","given":"D Kacy","non-dropping-particle":"","parse-names":false,"suffix":""},{"dropping-particle":"","family":"Stabenfeldt","given":"Sarah E","non-dropping-particle":"","parse-names":false,"suffix":""},{"dropping-particle":"","family":"Simon","given":"Crystal M","non-dropping-particle":"","parse-names":false,"suffix":""},{"dropping-particle":"","family":"Tate","given":"Ciara C","non-dropping-particle":"","parse-names":false,"suffix":""},{"dropping-particle":"","family":"LaPlaca","given":"Michelle C","non-dropping-particle":"","parse-names":false,"suffix":""}],"container-title":"Journal of Neuroscience Research","id":"ITEM-1","issue":"16","issued":{"date-parts":[["2007","12","1"]]},"note":"https://doi.org/10.1002/jnr.21434","page":"3642-3651","publisher":"John Wiley &amp; Sons, Ltd","title":"In vitro neural injury model for optimization of tissue-engineered constructs","type":"article-journal","volume":"85"},"uris":["http://www.mendeley.com/documents/?uuid=00f0d186-7174-4425-868b-63c560749851"]}],"mendeley":{"formattedCitation":"[116]","plainTextFormattedCitation":"[116]","previouslyFormattedCitation":"[116]"},"properties":{"noteIndex":0},"schema":"https://github.com/citation-style-language/schema/raw/master/csl-citation.json"}</w:instrText>
      </w:r>
      <w:r w:rsidRPr="000E39AA">
        <w:rPr>
          <w:rFonts w:ascii="Arial" w:hAnsi="Arial" w:cs="Arial"/>
        </w:rPr>
        <w:fldChar w:fldCharType="separate"/>
      </w:r>
      <w:r w:rsidR="0062132B" w:rsidRPr="0062132B">
        <w:rPr>
          <w:rFonts w:ascii="Arial" w:hAnsi="Arial" w:cs="Arial"/>
          <w:noProof/>
        </w:rPr>
        <w:t>[116]</w:t>
      </w:r>
      <w:r w:rsidRPr="000E39AA">
        <w:rPr>
          <w:rFonts w:ascii="Arial" w:hAnsi="Arial" w:cs="Arial"/>
        </w:rPr>
        <w:fldChar w:fldCharType="end"/>
      </w:r>
      <w:r w:rsidRPr="000E39AA">
        <w:rPr>
          <w:rFonts w:ascii="Arial" w:hAnsi="Arial" w:cs="Arial"/>
        </w:rPr>
        <w:t xml:space="preserve"> and blends such as alginate/carboxymethyl-chitosan/agarose </w:t>
      </w:r>
      <w:r w:rsidRPr="000E39AA">
        <w:rPr>
          <w:rFonts w:ascii="Arial" w:hAnsi="Arial" w:cs="Arial"/>
        </w:rPr>
        <w:fldChar w:fldCharType="begin" w:fldLock="1"/>
      </w:r>
      <w:r w:rsidR="00A445D5">
        <w:rPr>
          <w:rFonts w:ascii="Arial" w:hAnsi="Arial" w:cs="Arial"/>
        </w:rPr>
        <w:instrText>ADDIN CSL_CITATION {"citationItems":[{"id":"ITEM-1","itemData":{"DOI":"10.1002/adhm.201700175","ISSN":"21922659","PMID":"28544655","abstract":"The ability to create 3D tissues from induced pluripotent stem cells (iPSCs) is poised to revolutionize stem cell research and regenerative medicine, including individualized, patient-specific stem cell-based treatments. There are, however, few examples of tissue engineering using iPSCs. Their culture and differentiation is predominantly planar for monolayer cell support or induction of self-organizing embryoids (EBs) and organoids. Bioprinting iPSCs with advanced biomaterials promises to augment efforts to develop 3D tissues, ideally comprising direct-write printing of cells for encapsulation, proliferation, and differentiation. Here, such a method, employing a clinically amenable polysaccharide-based bioink, is described as the first example of bioprinting human iPSCs for in situ expansion and sequential differentiation. Specifically, we have extrusion printed the bioink including iPSCs, alginate (Al; 5% weight/volume [w/v]), carboxymethyl-chitosan (5% w/v), and agarose (Ag; 1.5% w/v), crosslinked the bioink in calcium chloride for a stable and porous construct, proliferated the iPSCs within the construct and differentiated the same iPSCs into either EBs comprising cells of three germ lineages—endoderm, ectoderm, and mesoderm, or more homogeneous neural tissues containing functional migrating neurons and neuroglia. This defined, scalable, and versatile platform is envisaged being useful in iPSC research and translation for pharmaceuticals development and regenerative medicine.","author":[{"dropping-particle":"","family":"Gu","given":"Qi","non-dropping-particle":"","parse-names":false,"suffix":""},{"dropping-particle":"","family":"Tomaskovic-Crook","given":"Eva","non-dropping-particle":"","parse-names":false,"suffix":""},{"dropping-particle":"","family":"Wallace","given":"Gordon G.","non-dropping-particle":"","parse-names":false,"suffix":""},{"dropping-particle":"","family":"Crook","given":"Jeremy M.","non-dropping-particle":"","parse-names":false,"suffix":""}],"container-title":"Advanced Healthcare Materials","id":"ITEM-1","issue":"17","issued":{"date-parts":[["2017"]]},"title":"3D Bioprinting Human Induced Pluripotent Stem Cell Constructs for In Situ Cell Proliferation and Successive Multilineage Differentiation","type":"article-journal","volume":"6"},"uris":["http://www.mendeley.com/documents/?uuid=7b63410f-e4fc-45a5-a62f-512a3173abc9"]}],"mendeley":{"formattedCitation":"[114]","plainTextFormattedCitation":"[114]","previouslyFormattedCitation":"[114]"},"properties":{"noteIndex":0},"schema":"https://github.com/citation-style-language/schema/raw/master/csl-citation.json"}</w:instrText>
      </w:r>
      <w:r w:rsidRPr="000E39AA">
        <w:rPr>
          <w:rFonts w:ascii="Arial" w:hAnsi="Arial" w:cs="Arial"/>
        </w:rPr>
        <w:fldChar w:fldCharType="separate"/>
      </w:r>
      <w:r w:rsidR="0062132B" w:rsidRPr="0062132B">
        <w:rPr>
          <w:rFonts w:ascii="Arial" w:hAnsi="Arial" w:cs="Arial"/>
          <w:noProof/>
        </w:rPr>
        <w:t>[114]</w:t>
      </w:r>
      <w:r w:rsidRPr="000E39AA">
        <w:rPr>
          <w:rFonts w:ascii="Arial" w:hAnsi="Arial" w:cs="Arial"/>
        </w:rPr>
        <w:fldChar w:fldCharType="end"/>
      </w:r>
      <w:r w:rsidRPr="000E39AA">
        <w:rPr>
          <w:rFonts w:ascii="Arial" w:hAnsi="Arial" w:cs="Arial"/>
        </w:rPr>
        <w:t xml:space="preserve"> as well as synthetic polymers poly(ethylene</w:t>
      </w:r>
      <w:r w:rsidR="005D03AD">
        <w:rPr>
          <w:rFonts w:ascii="Arial" w:hAnsi="Arial" w:cs="Arial"/>
        </w:rPr>
        <w:t>-</w:t>
      </w:r>
      <w:r w:rsidRPr="000E39AA">
        <w:rPr>
          <w:rFonts w:ascii="Arial" w:hAnsi="Arial" w:cs="Arial"/>
        </w:rPr>
        <w:t xml:space="preserve">glycol) (PEG)  </w:t>
      </w:r>
      <w:r w:rsidRPr="000E39AA">
        <w:rPr>
          <w:rFonts w:ascii="Arial" w:hAnsi="Arial" w:cs="Arial"/>
        </w:rPr>
        <w:fldChar w:fldCharType="begin" w:fldLock="1"/>
      </w:r>
      <w:r w:rsidR="00A445D5">
        <w:rPr>
          <w:rFonts w:ascii="Arial" w:hAnsi="Arial" w:cs="Arial"/>
        </w:rPr>
        <w:instrText>ADDIN CSL_CITATION {"citationItems":[{"id":"ITEM-1","itemData":{"DOI":"https://doi.org/10.1016/j.biomaterials.2005.11.007","ISSN":"0142-9612","abstract":"Graft survival and integration are major factors that limit the efficacy of cell therapies for the treatment of disease and injury in the central nervous system. Efforts to improve cell survival and integration have focused in part on the development of biocompatible scaffolds that support neural cell growth and function. Here we photoencapsulate neural cells within degradable hydrogels and use confocal microscopy to non-invasively monitor these key cell functions over time. By directly imaging fluorescently labeled cells we show that neural cells cultured within three-dimensional polymer networks create their own cellular microenvironment to survive, proliferate and differentiate and form neurons and glia that are electrophysiologically responsive to neurotransmitter. By changing the degradation rate of the polymer network, the time-scale over which neural cells extend processes throughout the hydrogel could be tuned on a time-scale that ranged from 1–3 weeks. These studies were carried out in the absence of serum and extracellular matrix molecules that can be immunogenic and identify degradable PEG hydrogels as suitable synthetic cell carriers for neural transplantation.","author":[{"dropping-particle":"","family":"Mahoney","given":"Melissa J","non-dropping-particle":"","parse-names":false,"suffix":""},{"dropping-particle":"","family":"Anseth","given":"Kristi S","non-dropping-particle":"","parse-names":false,"suffix":""}],"container-title":"Biomaterials","id":"ITEM-1","issue":"10","issued":{"date-parts":[["2006"]]},"page":"2265-2274","title":"Three-dimensional growth and function of neural tissue in degradable polyethylene glycol hydrogels","type":"article-journal","volume":"27"},"uris":["http://www.mendeley.com/documents/?uuid=a359a5c2-e11c-4b32-84ea-b22c2667510e"]},{"id":"ITEM-2","itemData":{"DOI":"10.1002/adhm.201200458","ISSN":"21922659","PMID":"23386382","abstract":"We describe the self-folding of photopatterned poly (ethylene glycol) (PEG)-based hydrogel bilayers into curved and anatomically relevant micrometer-scale geometries. The PEG bilayers consist of two different molecular weights (MWs) and are photocrosslinked en masse using conventional photolithography. Self-folding is driven by differential swelling of the two PEG bilayers in aqueous solutions. We characterize the self-folding of PEG bilayers of varying composition and develop a finite element model which predicts radii of curvature that are in good agreement with empirical results. Since we envision the utility of bio-origami in tissue engineering, we photoencapsulate insulin secreting β-TC-6 cells within PEG bilayers and subsequently self-fold them into cylindrical hydrogels of different radii. Calcein AM staining and ELISA measurements are used to monitor cell proliferation and insulin production respectively, and the results indicate cell viability and robust insulin production for over eight weeks in culture. © 2013 WILEY-VCH Verlag GmbH &amp; Co. KGaA, Weinheim.","author":[{"dropping-particle":"","family":"Jamal","given":"Mustapha","non-dropping-particle":"","parse-names":false,"suffix":""},{"dropping-particle":"","family":"Kadam","given":"Sachin S.","non-dropping-particle":"","parse-names":false,"suffix":""},{"dropping-particle":"","family":"Xiao","given":"Rui","non-dropping-particle":"","parse-names":false,"suffix":""},{"dropping-particle":"","family":"Jivan","given":"Faraz","non-dropping-particle":"","parse-names":false,"suffix":""},{"dropping-particle":"","family":"Onn","given":"Tzia Ming","non-dropping-particle":"","parse-names":false,"suffix":""},{"dropping-particle":"","family":"Fernandes","given":"Rohan","non-dropping-particle":"","parse-names":false,"suffix":""},{"dropping-particle":"","family":"Nguyen","given":"Thao D.","non-dropping-particle":"","parse-names":false,"suffix":""},{"dropping-particle":"","family":"Gracias","given":"David H.","non-dropping-particle":"","parse-names":false,"suffix":""}],"container-title":"Advanced Healthcare Materials","id":"ITEM-2","issue":"8","issued":{"date-parts":[["2013","8"]]},"page":"1142-1150","title":"Bio-origami hydrogel scaffolds composed of photocrosslinked PEG bilayers","type":"article-journal","volume":"2"},"uris":["http://www.mendeley.com/documents/?uuid=6767cd1c-41ba-4046-9b54-7efd4940b3f8"]}],"mendeley":{"formattedCitation":"[117, 118]","plainTextFormattedCitation":"[117, 118]","previouslyFormattedCitation":"[117, 118]"},"properties":{"noteIndex":0},"schema":"https://github.com/citation-style-language/schema/raw/master/csl-citation.json"}</w:instrText>
      </w:r>
      <w:r w:rsidRPr="000E39AA">
        <w:rPr>
          <w:rFonts w:ascii="Arial" w:hAnsi="Arial" w:cs="Arial"/>
        </w:rPr>
        <w:fldChar w:fldCharType="separate"/>
      </w:r>
      <w:r w:rsidR="0062132B" w:rsidRPr="0062132B">
        <w:rPr>
          <w:rFonts w:ascii="Arial" w:hAnsi="Arial" w:cs="Arial"/>
          <w:noProof/>
        </w:rPr>
        <w:t>[117, 118]</w:t>
      </w:r>
      <w:r w:rsidRPr="000E39AA">
        <w:rPr>
          <w:rFonts w:ascii="Arial" w:hAnsi="Arial" w:cs="Arial"/>
        </w:rPr>
        <w:fldChar w:fldCharType="end"/>
      </w:r>
      <w:r w:rsidR="00AD6395">
        <w:rPr>
          <w:rFonts w:ascii="Arial" w:hAnsi="Arial" w:cs="Arial"/>
        </w:rPr>
        <w:t xml:space="preserve"> and functionalised materials, such as </w:t>
      </w:r>
      <w:r w:rsidRPr="000E39AA">
        <w:rPr>
          <w:rFonts w:ascii="Arial" w:hAnsi="Arial" w:cs="Arial"/>
        </w:rPr>
        <w:t xml:space="preserve">GelMA </w:t>
      </w:r>
      <w:r w:rsidRPr="000E39AA">
        <w:rPr>
          <w:rFonts w:ascii="Arial" w:hAnsi="Arial" w:cs="Arial"/>
        </w:rPr>
        <w:fldChar w:fldCharType="begin" w:fldLock="1"/>
      </w:r>
      <w:r w:rsidR="00A445D5">
        <w:rPr>
          <w:rFonts w:ascii="Arial" w:hAnsi="Arial" w:cs="Arial"/>
        </w:rPr>
        <w:instrText>ADDIN CSL_CITATION {"citationItems":[{"id":"ITEM-1","itemData":{"DOI":"https://doi.org/10.1016/j.tibtech.2016.01.002","ISSN":"0167-7799","abstract":"Research over the past decade on the cell–biomaterial interface has shifted to the third dimension. Besides mimicking the native extracellular environment by 3D cell culture, hydrogels offer the possibility to generate well-defined 3D biofabricated tissue analogs. In this context, gelatin-methacryloyl (gelMA) hydrogels have recently gained increased attention. This interest is sparked by the combination of the inherent bioactivity of gelatin and the physicochemical tailorability of photo-crosslinkable hydrogels. GelMA is a versatile matrix that can be used to engineer tissue analogs ranging from vasculature to cartilage and bone. Convergence of biological and biofabrication approaches is necessary to progress from merely proving cell functionality or construct shape fidelity towards regenerating tissues. GelMA has a critical pioneering role in this process and could be used to accelerate the development of clinically relevant applications.","author":[{"dropping-particle":"","family":"Klotz","given":"Barbara J","non-dropping-particle":"","parse-names":false,"suffix":""},{"dropping-particle":"","family":"Gawlitta","given":"Debby","non-dropping-particle":"","parse-names":false,"suffix":""},{"dropping-particle":"","family":"Rosenberg","given":"Antoine J W P","non-dropping-particle":"","parse-names":false,"suffix":""},{"dropping-particle":"","family":"Malda","given":"Jos","non-dropping-particle":"","parse-names":false,"suffix":""},{"dropping-particle":"","family":"Melchels","given":"Ferry P W","non-dropping-particle":"","parse-names":false,"suffix":""}],"container-title":"Trends in Biotechnology","id":"ITEM-1","issue":"5","issued":{"date-parts":[["2016"]]},"page":"394-407","title":"Gelatin-Methacryloyl Hydrogels: Towards Biofabrication-Based Tissue Repair","type":"article-journal","volume":"34"},"uris":["http://www.mendeley.com/documents/?uuid=1d5303b8-17e3-46a1-8aff-5f2807944ace"]}],"mendeley":{"formattedCitation":"[119]","plainTextFormattedCitation":"[119]","previouslyFormattedCitation":"[119]"},"properties":{"noteIndex":0},"schema":"https://github.com/citation-style-language/schema/raw/master/csl-citation.json"}</w:instrText>
      </w:r>
      <w:r w:rsidRPr="000E39AA">
        <w:rPr>
          <w:rFonts w:ascii="Arial" w:hAnsi="Arial" w:cs="Arial"/>
        </w:rPr>
        <w:fldChar w:fldCharType="separate"/>
      </w:r>
      <w:r w:rsidR="0062132B" w:rsidRPr="0062132B">
        <w:rPr>
          <w:rFonts w:ascii="Arial" w:hAnsi="Arial" w:cs="Arial"/>
          <w:noProof/>
        </w:rPr>
        <w:t>[119]</w:t>
      </w:r>
      <w:r w:rsidRPr="000E39AA">
        <w:rPr>
          <w:rFonts w:ascii="Arial" w:hAnsi="Arial" w:cs="Arial"/>
        </w:rPr>
        <w:fldChar w:fldCharType="end"/>
      </w:r>
      <w:r w:rsidRPr="000E39AA">
        <w:rPr>
          <w:rFonts w:ascii="Arial" w:hAnsi="Arial" w:cs="Arial"/>
        </w:rPr>
        <w:t xml:space="preserve">. To improve cell viability, functionality and cell adhesion, these biomaterials are often functionalized with peptides such as -RGD, -IKVAV and -YIGSR, or proteins such as laminin and fibronectin </w:t>
      </w:r>
      <w:r w:rsidRPr="000E39AA">
        <w:rPr>
          <w:rFonts w:ascii="Arial" w:hAnsi="Arial" w:cs="Arial"/>
        </w:rPr>
        <w:fldChar w:fldCharType="begin" w:fldLock="1"/>
      </w:r>
      <w:r w:rsidR="00A445D5">
        <w:rPr>
          <w:rFonts w:ascii="Arial" w:hAnsi="Arial" w:cs="Arial"/>
        </w:rPr>
        <w:instrText>ADDIN CSL_CITATION {"citationItems":[{"id":"ITEM-1","itemData":{"DOI":"10.1016/j.biomaterials.2017.10.002","ISSN":"0142-9612","author":[{"dropping-particle":"","family":"Zhuang","given":"Pei","non-dropping-particle":"","parse-names":false,"suffix":""},{"dropping-particle":"","family":"Xuyang","given":"Alfred","non-dropping-particle":"","parse-names":false,"suffix":""},{"dropping-particle":"","family":"An","given":"Jia","non-dropping-particle":"","parse-names":false,"suffix":""},{"dropping-particle":"","family":"Kai","given":"Chee","non-dropping-particle":"","parse-names":false,"suffix":""},{"dropping-particle":"","family":"Yian","given":"Sing","non-dropping-particle":"","parse-names":false,"suffix":""}],"container-title":"Biomaterials","id":"ITEM-1","issued":{"date-parts":[["2018"]]},"page":"113-133","publisher":"Elsevier Ltd","title":"Biomaterials 3D neural tissue models : From spheroids to bioprinting","type":"article-journal","volume":"154"},"uris":["http://www.mendeley.com/documents/?uuid=b121a430-6018-4b21-81ba-a80f373d87fa"]}],"mendeley":{"formattedCitation":"[48]","plainTextFormattedCitation":"[48]","previouslyFormattedCitation":"[48]"},"properties":{"noteIndex":0},"schema":"https://github.com/citation-style-language/schema/raw/master/csl-citation.json"}</w:instrText>
      </w:r>
      <w:r w:rsidRPr="000E39AA">
        <w:rPr>
          <w:rFonts w:ascii="Arial" w:hAnsi="Arial" w:cs="Arial"/>
        </w:rPr>
        <w:fldChar w:fldCharType="separate"/>
      </w:r>
      <w:r w:rsidR="0062132B" w:rsidRPr="0062132B">
        <w:rPr>
          <w:rFonts w:ascii="Arial" w:hAnsi="Arial" w:cs="Arial"/>
          <w:noProof/>
        </w:rPr>
        <w:t>[48]</w:t>
      </w:r>
      <w:r w:rsidRPr="000E39AA">
        <w:rPr>
          <w:rFonts w:ascii="Arial" w:hAnsi="Arial" w:cs="Arial"/>
        </w:rPr>
        <w:fldChar w:fldCharType="end"/>
      </w:r>
      <w:r w:rsidRPr="000E39AA">
        <w:rPr>
          <w:rFonts w:ascii="Arial" w:hAnsi="Arial" w:cs="Arial"/>
        </w:rPr>
        <w:t xml:space="preserve">. </w:t>
      </w:r>
      <w:r w:rsidRPr="000E39AA">
        <w:rPr>
          <w:rFonts w:ascii="Arial" w:hAnsi="Arial" w:cs="Arial"/>
          <w:color w:val="000000"/>
        </w:rPr>
        <w:t xml:space="preserve">Lozano </w:t>
      </w:r>
      <w:r w:rsidR="003F0855">
        <w:rPr>
          <w:rFonts w:ascii="Arial" w:hAnsi="Arial" w:cs="Arial"/>
          <w:color w:val="000000"/>
        </w:rPr>
        <w:t>and colleagues</w:t>
      </w:r>
      <w:r w:rsidRPr="000E39AA">
        <w:rPr>
          <w:rFonts w:ascii="Arial" w:hAnsi="Arial" w:cs="Arial"/>
          <w:color w:val="000000"/>
        </w:rPr>
        <w:t xml:space="preserve"> </w:t>
      </w:r>
      <w:r w:rsidRPr="000E39AA">
        <w:rPr>
          <w:rFonts w:ascii="Arial" w:hAnsi="Arial" w:cs="Arial"/>
          <w:color w:val="000000"/>
        </w:rPr>
        <w:fldChar w:fldCharType="begin" w:fldLock="1"/>
      </w:r>
      <w:r w:rsidR="00A445D5">
        <w:rPr>
          <w:rFonts w:ascii="Arial" w:hAnsi="Arial" w:cs="Arial"/>
          <w:color w:val="000000"/>
        </w:rPr>
        <w:instrText>ADDIN CSL_CITATION {"citationItems":[{"id":"ITEM-1","itemData":{"DOI":"10.1016/j.biomaterials.2015.07.022","ISSN":"18785905","PMID":"26231917","abstract":"The brain is an enormously complex organ structured into various regions of layered tissue. Researchers have attempted to study the brain by modeling the architecture using two dimensional (2D) in vitro cell culturing methods. While those platforms attempt to mimic the in vivo environment, they do not truly resemble the three dimensional (3D) microstructure of neuronal tissues. Development of an accurate in vitro model of the brain remains a significant obstacle to our understanding of the functioning of the brain at the tissue or organ level. To address these obstacles, we demonstrate a new method to bioprint 3D brain-like structures consisting of discrete layers of primary neural cells encapsulated in hydrogels. Brain-like structures were constructed using a bio-ink consisting of a novel peptide-modified biopolymer, gellan gum-RGD (RGD-GG), combined with primary cortical neurons. The ink was optimized for a modified reactive printing process and developed for use in traditional cell culturing facilities without the need for extensive bioprinting equipment. Furthermore the peptide modification of the gellan gum hydrogel was found to have a profound positive effect on primary cell proliferation and network formation. The neural cell viability combined with the support of neural network formation demonstrated the cell supportive nature of the matrix. The facile ability to form discrete cell-containing layers validates the application of this novel printing technique to form complex, layered and viable 3D cell structures. These brain-like structures offer the opportunity to reproduce more accurate 3D in vitro microstructures with applications ranging from cell behavior studies to improving our understanding of brain injuries and neurodegenerative diseases.","author":[{"dropping-particle":"","family":"Lozano","given":"Rodrigo","non-dropping-particle":"","parse-names":false,"suffix":""},{"dropping-particle":"","family":"Stevens","given":"Leo","non-dropping-particle":"","parse-names":false,"suffix":""},{"dropping-particle":"","family":"Thompson","given":"Brianna C.","non-dropping-particle":"","parse-names":false,"suffix":""},{"dropping-particle":"","family":"Gilmore","given":"Kerry J.","non-dropping-particle":"","parse-names":false,"suffix":""},{"dropping-particle":"","family":"Gorkin","given":"Robert","non-dropping-particle":"","parse-names":false,"suffix":""},{"dropping-particle":"","family":"Stewart","given":"Elise M.","non-dropping-particle":"","parse-names":false,"suffix":""},{"dropping-particle":"","family":"Panhuis","given":"Marc","non-dropping-particle":"in het","parse-names":false,"suffix":""},{"dropping-particle":"","family":"Romero-Ortega","given":"Mario","non-dropping-particle":"","parse-names":false,"suffix":""},{"dropping-particle":"","family":"Wallace","given":"Gordon G.","non-dropping-particle":"","parse-names":false,"suffix":""}],"container-title":"Biomaterials","id":"ITEM-1","issued":{"date-parts":[["2015"]]},"page":"264-273","publisher":"Elsevier Ltd","title":"3D printing of layered brain-like structures using peptide modified gellan gum substrates","type":"article-journal","volume":"67"},"uris":["http://www.mendeley.com/documents/?uuid=f57a7ead-5508-4fa1-a7df-c9913e4d4908"]}],"mendeley":{"formattedCitation":"[51]","plainTextFormattedCitation":"[51]","previouslyFormattedCitation":"[51]"},"properties":{"noteIndex":0},"schema":"https://github.com/citation-style-language/schema/raw/master/csl-citation.json"}</w:instrText>
      </w:r>
      <w:r w:rsidRPr="000E39AA">
        <w:rPr>
          <w:rFonts w:ascii="Arial" w:hAnsi="Arial" w:cs="Arial"/>
          <w:color w:val="000000"/>
        </w:rPr>
        <w:fldChar w:fldCharType="separate"/>
      </w:r>
      <w:r w:rsidR="0062132B" w:rsidRPr="0062132B">
        <w:rPr>
          <w:rFonts w:ascii="Arial" w:hAnsi="Arial" w:cs="Arial"/>
          <w:noProof/>
          <w:color w:val="000000"/>
        </w:rPr>
        <w:t>[51]</w:t>
      </w:r>
      <w:r w:rsidRPr="000E39AA">
        <w:rPr>
          <w:rFonts w:ascii="Arial" w:hAnsi="Arial" w:cs="Arial"/>
          <w:color w:val="000000"/>
        </w:rPr>
        <w:fldChar w:fldCharType="end"/>
      </w:r>
      <w:r w:rsidRPr="000E39AA">
        <w:rPr>
          <w:rFonts w:ascii="Arial" w:hAnsi="Arial" w:cs="Arial"/>
          <w:color w:val="000000"/>
        </w:rPr>
        <w:t xml:space="preserve"> </w:t>
      </w:r>
      <w:r w:rsidRPr="000E39AA">
        <w:rPr>
          <w:rFonts w:ascii="Arial" w:hAnsi="Arial" w:cs="Arial"/>
        </w:rPr>
        <w:t xml:space="preserve">proposed the printing of a brain-like layered structure model using an RGD-gellan gum-based bioink (RGD-GG) encapsulating primary cortical neural cells. The authors reported a porous model structure that supported cell proliferation and network formation </w:t>
      </w:r>
      <w:r w:rsidRPr="000E39AA">
        <w:rPr>
          <w:rFonts w:ascii="Arial" w:hAnsi="Arial" w:cs="Arial"/>
          <w:color w:val="000000"/>
        </w:rPr>
        <w:fldChar w:fldCharType="begin" w:fldLock="1"/>
      </w:r>
      <w:r w:rsidR="00A445D5">
        <w:rPr>
          <w:rFonts w:ascii="Arial" w:hAnsi="Arial" w:cs="Arial"/>
          <w:color w:val="000000"/>
        </w:rPr>
        <w:instrText>ADDIN CSL_CITATION {"citationItems":[{"id":"ITEM-1","itemData":{"DOI":"10.1016/j.tins.2017.11.001","ISSN":"0166-2236","author":[{"dropping-particle":"","family":"Knowlton","given":"Stephanie","non-dropping-particle":"","parse-names":false,"suffix":""},{"dropping-particle":"","family":"Anand","given":"Shivesh","non-dropping-particle":"","parse-names":false,"suffix":""},{"dropping-particle":"","family":"Shah","given":"Twisha","non-dropping-particle":"","parse-names":false,"suffix":""},{"dropping-particle":"","family":"Tasoglu","given":"Savas","non-dropping-particle":"","parse-names":false,"suffix":""}],"container-title":"Trends in Neurosciences","id":"ITEM-1","issue":"1","issued":{"date-parts":[["2018"]]},"page":"31-46","publisher":"Elsevier Ltd","title":"Bioprinting for Neural Tissue Engineering","type":"article-journal","volume":"41"},"uris":["http://www.mendeley.com/documents/?uuid=81f7244a-1772-4a64-9fbe-4c4a57dc02a3"]},{"id":"ITEM-2","itemData":{"DOI":"10.1016/j.biomaterials.2015.07.022","ISSN":"18785905","PMID":"26231917","abstract":"The brain is an enormously complex organ structured into various regions of layered tissue. Researchers have attempted to study the brain by modeling the architecture using two dimensional (2D) in vitro cell culturing methods. While those platforms attempt to mimic the in vivo environment, they do not truly resemble the three dimensional (3D) microstructure of neuronal tissues. Development of an accurate in vitro model of the brain remains a significant obstacle to our understanding of the functioning of the brain at the tissue or organ level. To address these obstacles, we demonstrate a new method to bioprint 3D brain-like structures consisting of discrete layers of primary neural cells encapsulated in hydrogels. Brain-like structures were constructed using a bio-ink consisting of a novel peptide-modified biopolymer, gellan gum-RGD (RGD-GG), combined with primary cortical neurons. The ink was optimized for a modified reactive printing process and developed for use in traditional cell culturing facilities without the need for extensive bioprinting equipment. Furthermore the peptide modification of the gellan gum hydrogel was found to have a profound positive effect on primary cell proliferation and network formation. The neural cell viability combined with the support of neural network formation demonstrated the cell supportive nature of the matrix. The facile ability to form discrete cell-containing layers validates the application of this novel printing technique to form complex, layered and viable 3D cell structures. These brain-like structures offer the opportunity to reproduce more accurate 3D in vitro microstructures with applications ranging from cell behavior studies to improving our understanding of brain injuries and neurodegenerative diseases.","author":[{"dropping-particle":"","family":"Lozano","given":"Rodrigo","non-dropping-particle":"","parse-names":false,"suffix":""},{"dropping-particle":"","family":"Stevens","given":"Leo","non-dropping-particle":"","parse-names":false,"suffix":""},{"dropping-particle":"","family":"Thompson","given":"Brianna C.","non-dropping-particle":"","parse-names":false,"suffix":""},{"dropping-particle":"","family":"Gilmore","given":"Kerry J.","non-dropping-particle":"","parse-names":false,"suffix":""},{"dropping-particle":"","family":"Gorkin","given":"Robert","non-dropping-particle":"","parse-names":false,"suffix":""},{"dropping-particle":"","family":"Stewart","given":"Elise M.","non-dropping-particle":"","parse-names":false,"suffix":""},{"dropping-particle":"","family":"Panhuis","given":"Marc","non-dropping-particle":"in het","parse-names":false,"suffix":""},{"dropping-particle":"","family":"Romero-Ortega","given":"Mario","non-dropping-particle":"","parse-names":false,"suffix":""},{"dropping-particle":"","family":"Wallace","given":"Gordon G.","non-dropping-particle":"","parse-names":false,"suffix":""}],"container-title":"Biomaterials","id":"ITEM-2","issued":{"date-parts":[["2015"]]},"page":"264-273","publisher":"Elsevier Ltd","title":"3D printing of layered brain-like structures using peptide modified gellan gum substrates","type":"article-journal","volume":"67"},"uris":["http://www.mendeley.com/documents/?uuid=f57a7ead-5508-4fa1-a7df-c9913e4d4908"]},{"id":"ITEM-3","itemData":{"DOI":"10.1016/j.biomaterials.2017.10.002","ISSN":"0142-9612","author":[{"dropping-particle":"","family":"Zhuang","given":"Pei","non-dropping-particle":"","parse-names":false,"suffix":""},{"dropping-particle":"","family":"Xuyang","given":"Alfred","non-dropping-particle":"","parse-names":false,"suffix":""},{"dropping-particle":"","family":"An","given":"Jia","non-dropping-particle":"","parse-names":false,"suffix":""},{"dropping-particle":"","family":"Kai","given":"Chee","non-dropping-particle":"","parse-names":false,"suffix":""},{"dropping-particle":"","family":"Yian","given":"Sing","non-dropping-particle":"","parse-names":false,"suffix":""}],"container-title":"Biomaterials","id":"ITEM-3","issued":{"date-parts":[["2018"]]},"page":"113-133","publisher":"Elsevier Ltd","title":"Biomaterials 3D neural tissue models : From spheroids to bioprinting","type":"article-journal","volume":"154"},"uris":["http://www.mendeley.com/documents/?uuid=b121a430-6018-4b21-81ba-a80f373d87fa"]}],"mendeley":{"formattedCitation":"[48, 51, 120]","plainTextFormattedCitation":"[48, 51, 120]","previouslyFormattedCitation":"[48, 51, 120]"},"properties":{"noteIndex":0},"schema":"https://github.com/citation-style-language/schema/raw/master/csl-citation.json"}</w:instrText>
      </w:r>
      <w:r w:rsidRPr="000E39AA">
        <w:rPr>
          <w:rFonts w:ascii="Arial" w:hAnsi="Arial" w:cs="Arial"/>
          <w:color w:val="000000"/>
        </w:rPr>
        <w:fldChar w:fldCharType="separate"/>
      </w:r>
      <w:r w:rsidR="0062132B" w:rsidRPr="0062132B">
        <w:rPr>
          <w:rFonts w:ascii="Arial" w:hAnsi="Arial" w:cs="Arial"/>
          <w:noProof/>
          <w:color w:val="000000"/>
        </w:rPr>
        <w:t>[48, 51, 120]</w:t>
      </w:r>
      <w:r w:rsidRPr="000E39AA">
        <w:rPr>
          <w:rFonts w:ascii="Arial" w:hAnsi="Arial" w:cs="Arial"/>
          <w:color w:val="000000"/>
        </w:rPr>
        <w:fldChar w:fldCharType="end"/>
      </w:r>
      <w:r w:rsidRPr="000E39AA">
        <w:rPr>
          <w:rFonts w:ascii="Arial" w:hAnsi="Arial" w:cs="Arial"/>
          <w:color w:val="000000"/>
        </w:rPr>
        <w:t xml:space="preserve">. </w:t>
      </w:r>
      <w:r w:rsidR="009C7D0D">
        <w:rPr>
          <w:rFonts w:ascii="Arial" w:hAnsi="Arial"/>
        </w:rPr>
        <w:t>A</w:t>
      </w:r>
      <w:r w:rsidRPr="000E39AA">
        <w:rPr>
          <w:rFonts w:ascii="Arial" w:hAnsi="Arial"/>
        </w:rPr>
        <w:t xml:space="preserve"> </w:t>
      </w:r>
      <w:r w:rsidRPr="000E39AA">
        <w:rPr>
          <w:rFonts w:ascii="Arial" w:hAnsi="Arial" w:cs="Arial"/>
        </w:rPr>
        <w:t>novel neural mini-tissue construct</w:t>
      </w:r>
      <w:r w:rsidR="009C7D0D">
        <w:rPr>
          <w:rFonts w:ascii="Arial" w:hAnsi="Arial" w:cs="Arial"/>
        </w:rPr>
        <w:t xml:space="preserve"> has been fabricated</w:t>
      </w:r>
      <w:r w:rsidRPr="000E39AA">
        <w:rPr>
          <w:rFonts w:ascii="Arial" w:hAnsi="Arial" w:cs="Arial"/>
        </w:rPr>
        <w:t xml:space="preserve"> using human </w:t>
      </w:r>
      <w:r w:rsidRPr="000E39AA">
        <w:rPr>
          <w:rFonts w:ascii="Arial" w:hAnsi="Arial" w:cs="Arial"/>
        </w:rPr>
        <w:lastRenderedPageBreak/>
        <w:t xml:space="preserve">cortical neuronal cells (NSCs) embedded in a polysaccharide hydrogel comprising carboxymethyl-chitosan, </w:t>
      </w:r>
      <w:proofErr w:type="gramStart"/>
      <w:r w:rsidRPr="000E39AA">
        <w:rPr>
          <w:rFonts w:ascii="Arial" w:hAnsi="Arial" w:cs="Arial"/>
        </w:rPr>
        <w:t>agarose</w:t>
      </w:r>
      <w:proofErr w:type="gramEnd"/>
      <w:r w:rsidRPr="000E39AA">
        <w:rPr>
          <w:rFonts w:ascii="Arial" w:hAnsi="Arial" w:cs="Arial"/>
        </w:rPr>
        <w:t xml:space="preserve"> and alginate</w:t>
      </w:r>
      <w:r w:rsidR="009C7D0D">
        <w:rPr>
          <w:rFonts w:ascii="Arial" w:hAnsi="Arial" w:cs="Arial"/>
        </w:rPr>
        <w:t xml:space="preserve"> </w:t>
      </w:r>
      <w:r w:rsidR="009C7D0D" w:rsidRPr="000E39AA">
        <w:rPr>
          <w:rFonts w:ascii="Arial" w:hAnsi="Arial" w:cs="Arial"/>
        </w:rPr>
        <w:t>[86]</w:t>
      </w:r>
      <w:r w:rsidRPr="000E39AA">
        <w:rPr>
          <w:rFonts w:ascii="Arial" w:hAnsi="Arial" w:cs="Arial"/>
        </w:rPr>
        <w:t xml:space="preserve">. The system contained a homogeneous cell distribution that displayed good  cell viability as well as in-situ differentiation of the NSCs </w:t>
      </w:r>
      <w:r w:rsidRPr="000E39AA">
        <w:rPr>
          <w:rFonts w:ascii="Arial" w:hAnsi="Arial" w:cs="Arial"/>
        </w:rPr>
        <w:fldChar w:fldCharType="begin" w:fldLock="1"/>
      </w:r>
      <w:r w:rsidR="00A445D5">
        <w:rPr>
          <w:rFonts w:ascii="Arial" w:hAnsi="Arial" w:cs="Arial"/>
        </w:rPr>
        <w:instrText>ADDIN CSL_CITATION {"citationItems":[{"id":"ITEM-1","itemData":{"DOI":"10.1002/adhm.201700175","ISSN":"21922659","PMID":"28544655","abstract":"The ability to create 3D tissues from induced pluripotent stem cells (iPSCs) is poised to revolutionize stem cell research and regenerative medicine, including individualized, patient-specific stem cell-based treatments. There are, however, few examples of tissue engineering using iPSCs. Their culture and differentiation is predominantly planar for monolayer cell support or induction of self-organizing embryoids (EBs) and organoids. Bioprinting iPSCs with advanced biomaterials promises to augment efforts to develop 3D tissues, ideally comprising direct-write printing of cells for encapsulation, proliferation, and differentiation. Here, such a method, employing a clinically amenable polysaccharide-based bioink, is described as the first example of bioprinting human iPSCs for in situ expansion and sequential differentiation. Specifically, we have extrusion printed the bioink including iPSCs, alginate (Al; 5% weight/volume [w/v]), carboxymethyl-chitosan (5% w/v), and agarose (Ag; 1.5% w/v), crosslinked the bioink in calcium chloride for a stable and porous construct, proliferated the iPSCs within the construct and differentiated the same iPSCs into either EBs comprising cells of three germ lineages—endoderm, ectoderm, and mesoderm, or more homogeneous neural tissues containing functional migrating neurons and neuroglia. This defined, scalable, and versatile platform is envisaged being useful in iPSC research and translation for pharmaceuticals development and regenerative medicine.","author":[{"dropping-particle":"","family":"Gu","given":"Qi","non-dropping-particle":"","parse-names":false,"suffix":""},{"dropping-particle":"","family":"Tomaskovic-Crook","given":"Eva","non-dropping-particle":"","parse-names":false,"suffix":""},{"dropping-particle":"","family":"Wallace","given":"Gordon G.","non-dropping-particle":"","parse-names":false,"suffix":""},{"dropping-particle":"","family":"Crook","given":"Jeremy M.","non-dropping-particle":"","parse-names":false,"suffix":""}],"container-title":"Advanced Healthcare Materials","id":"ITEM-1","issue":"17","issued":{"date-parts":[["2017"]]},"title":"3D Bioprinting Human Induced Pluripotent Stem Cell Constructs for In Situ Cell Proliferation and Successive Multilineage Differentiation","type":"article-journal","volume":"6"},"uris":["http://www.mendeley.com/documents/?uuid=7b63410f-e4fc-45a5-a62f-512a3173abc9"]},{"id":"ITEM-2","itemData":{"DOI":"10.1016/j.tins.2017.11.001","ISSN":"0166-2236","author":[{"dropping-particle":"","family":"Knowlton","given":"Stephanie","non-dropping-particle":"","parse-names":false,"suffix":""},{"dropping-particle":"","family":"Anand","given":"Shivesh","non-dropping-particle":"","parse-names":false,"suffix":""},{"dropping-particle":"","family":"Shah","given":"Twisha","non-dropping-particle":"","parse-names":false,"suffix":""},{"dropping-particle":"","family":"Tasoglu","given":"Savas","non-dropping-particle":"","parse-names":false,"suffix":""}],"container-title":"Trends in Neurosciences","id":"ITEM-2","issue":"1","issued":{"date-parts":[["2018"]]},"page":"31-46","publisher":"Elsevier Ltd","title":"Bioprinting for Neural Tissue Engineering","type":"article-journal","volume":"41"},"uris":["http://www.mendeley.com/documents/?uuid=81f7244a-1772-4a64-9fbe-4c4a57dc02a3"]}],"mendeley":{"formattedCitation":"[114, 120]","plainTextFormattedCitation":"[114, 120]","previouslyFormattedCitation":"[114, 120]"},"properties":{"noteIndex":0},"schema":"https://github.com/citation-style-language/schema/raw/master/csl-citation.json"}</w:instrText>
      </w:r>
      <w:r w:rsidRPr="000E39AA">
        <w:rPr>
          <w:rFonts w:ascii="Arial" w:hAnsi="Arial" w:cs="Arial"/>
        </w:rPr>
        <w:fldChar w:fldCharType="separate"/>
      </w:r>
      <w:r w:rsidR="0062132B" w:rsidRPr="0062132B">
        <w:rPr>
          <w:rFonts w:ascii="Arial" w:hAnsi="Arial" w:cs="Arial"/>
          <w:noProof/>
        </w:rPr>
        <w:t>[114, 120]</w:t>
      </w:r>
      <w:r w:rsidRPr="000E39AA">
        <w:rPr>
          <w:rFonts w:ascii="Arial" w:hAnsi="Arial" w:cs="Arial"/>
        </w:rPr>
        <w:fldChar w:fldCharType="end"/>
      </w:r>
      <w:r w:rsidRPr="000E39AA">
        <w:rPr>
          <w:rFonts w:ascii="Arial" w:hAnsi="Arial" w:cs="Arial"/>
        </w:rPr>
        <w:t>.</w:t>
      </w:r>
      <w:r w:rsidRPr="000E39AA">
        <w:rPr>
          <w:rFonts w:ascii="Arial" w:hAnsi="Arial" w:cs="Arial"/>
          <w:color w:val="000000"/>
        </w:rPr>
        <w:t xml:space="preserve"> </w:t>
      </w:r>
      <w:r w:rsidR="002D77D2">
        <w:rPr>
          <w:rFonts w:ascii="Arial" w:hAnsi="Arial" w:cs="Arial"/>
          <w:color w:val="000000"/>
        </w:rPr>
        <w:t xml:space="preserve">As detailed by studies reported above, </w:t>
      </w:r>
      <w:r w:rsidRPr="000E39AA">
        <w:rPr>
          <w:rFonts w:ascii="Arial" w:hAnsi="Arial" w:cs="Arial"/>
        </w:rPr>
        <w:t>3D Bioprinting technologies are appealing for neural tissue model fabrication and have been used to fabricate complex models</w:t>
      </w:r>
      <w:r w:rsidR="002B1CBB">
        <w:rPr>
          <w:rFonts w:ascii="Arial" w:hAnsi="Arial" w:cs="Arial"/>
        </w:rPr>
        <w:t xml:space="preserve"> </w:t>
      </w:r>
      <w:r w:rsidR="002B1CBB" w:rsidRPr="000E39AA">
        <w:rPr>
          <w:rFonts w:ascii="Arial" w:hAnsi="Arial" w:cs="Arial"/>
          <w:color w:val="000000"/>
        </w:rPr>
        <w:t>(</w:t>
      </w:r>
      <w:r w:rsidR="002B1CBB" w:rsidRPr="000E39AA">
        <w:rPr>
          <w:rFonts w:ascii="Arial" w:hAnsi="Arial" w:cs="Arial"/>
          <w:b/>
          <w:bCs/>
          <w:color w:val="000000"/>
        </w:rPr>
        <w:t>Fig</w:t>
      </w:r>
      <w:r w:rsidR="002B1CBB">
        <w:rPr>
          <w:rFonts w:ascii="Arial" w:hAnsi="Arial" w:cs="Arial"/>
          <w:b/>
          <w:bCs/>
          <w:color w:val="000000"/>
        </w:rPr>
        <w:t>.</w:t>
      </w:r>
      <w:r w:rsidR="002B1CBB" w:rsidRPr="000E39AA">
        <w:rPr>
          <w:rFonts w:ascii="Arial" w:hAnsi="Arial" w:cs="Arial"/>
          <w:b/>
          <w:bCs/>
          <w:color w:val="000000"/>
        </w:rPr>
        <w:t xml:space="preserve"> </w:t>
      </w:r>
      <w:r w:rsidR="002B1CBB">
        <w:rPr>
          <w:rFonts w:ascii="Arial" w:hAnsi="Arial" w:cs="Arial"/>
          <w:b/>
          <w:bCs/>
          <w:color w:val="000000"/>
        </w:rPr>
        <w:t>4b-i</w:t>
      </w:r>
      <w:r w:rsidR="002B1CBB" w:rsidRPr="000E39AA">
        <w:rPr>
          <w:rFonts w:ascii="Arial" w:hAnsi="Arial" w:cs="Arial"/>
          <w:color w:val="000000"/>
        </w:rPr>
        <w:t xml:space="preserve">) </w:t>
      </w:r>
      <w:r w:rsidRPr="000E39AA">
        <w:rPr>
          <w:rFonts w:ascii="Arial" w:hAnsi="Arial" w:cs="Arial"/>
        </w:rPr>
        <w:t xml:space="preserve"> for the study of 3D neurite outgrowth and elongation </w:t>
      </w:r>
      <w:r w:rsidRPr="000E39AA">
        <w:rPr>
          <w:rFonts w:ascii="Arial" w:hAnsi="Arial" w:cs="Arial"/>
        </w:rPr>
        <w:fldChar w:fldCharType="begin" w:fldLock="1"/>
      </w:r>
      <w:r w:rsidR="00A445D5">
        <w:rPr>
          <w:rFonts w:ascii="Arial" w:hAnsi="Arial" w:cs="Arial"/>
        </w:rPr>
        <w:instrText>ADDIN CSL_CITATION {"citationItems":[{"id":"ITEM-1","itemData":{"DOI":"10.1016/j.jcis.2020.04.040","ISSN":"00219797","author":[{"dropping-particle":"","family":"Chen","given":"Jiali","non-dropping-particle":"","parse-names":false,"suffix":""},{"dropping-particle":"","family":"Huang","given":"Da","non-dropping-particle":"","parse-names":false,"suffix":""},{"dropping-particle":"","family":"Wang","given":"Ling","non-dropping-particle":"","parse-names":false,"suffix":""},{"dropping-particle":"","family":"Hou","given":"Juedong","non-dropping-particle":"","parse-names":false,"suffix":""},{"dropping-particle":"","family":"Zhang","given":"Hongwu","non-dropping-particle":"","parse-names":false,"suffix":""},{"dropping-particle":"","family":"Li","given":"Yanbing","non-dropping-particle":"","parse-names":false,"suffix":""},{"dropping-particle":"","family":"Zhong","given":"Shizhen","non-dropping-particle":"","parse-names":false,"suffix":""},{"dropping-particle":"","family":"Wang","given":"Yanfang","non-dropping-particle":"","parse-names":false,"suffix":""},{"dropping-particle":"","family":"Wu","given":"Yaobin","non-dropping-particle":"","parse-names":false,"suffix":""},{"dropping-particle":"","family":"Huang","given":"Wenhua","non-dropping-particle":"","parse-names":false,"suffix":""}],"container-title":"Journal of Colloid and Interface Science","id":"ITEM-1","issued":{"date-parts":[["2020","8"]]},"page":"162-173","publisher":"Elsevier Inc.","title":"3D bioprinted multiscale composite scaffolds based on gelatin methacryloyl (GelMA)/chitosan microspheres as a modular bioink for enhancing 3D neurite outgrowth and elongation","type":"article-journal","volume":"574"},"uris":["http://www.mendeley.com/documents/?uuid=8a1a520a-1995-4d21-b46f-f1edf13e0592"]}],"mendeley":{"formattedCitation":"[121]","plainTextFormattedCitation":"[121]","previouslyFormattedCitation":"[121]"},"properties":{"noteIndex":0},"schema":"https://github.com/citation-style-language/schema/raw/master/csl-citation.json"}</w:instrText>
      </w:r>
      <w:r w:rsidRPr="000E39AA">
        <w:rPr>
          <w:rFonts w:ascii="Arial" w:hAnsi="Arial" w:cs="Arial"/>
        </w:rPr>
        <w:fldChar w:fldCharType="separate"/>
      </w:r>
      <w:r w:rsidR="0062132B" w:rsidRPr="0062132B">
        <w:rPr>
          <w:rFonts w:ascii="Arial" w:hAnsi="Arial" w:cs="Arial"/>
          <w:noProof/>
        </w:rPr>
        <w:t>[121]</w:t>
      </w:r>
      <w:r w:rsidRPr="000E39AA">
        <w:rPr>
          <w:rFonts w:ascii="Arial" w:hAnsi="Arial" w:cs="Arial"/>
        </w:rPr>
        <w:fldChar w:fldCharType="end"/>
      </w:r>
      <w:r w:rsidRPr="000E39AA">
        <w:rPr>
          <w:rFonts w:ascii="Arial" w:hAnsi="Arial" w:cs="Arial"/>
        </w:rPr>
        <w:t xml:space="preserve">, human cortex design and engineering </w:t>
      </w:r>
      <w:r w:rsidRPr="000E39AA">
        <w:rPr>
          <w:rFonts w:ascii="Arial" w:hAnsi="Arial" w:cs="Arial"/>
        </w:rPr>
        <w:fldChar w:fldCharType="begin" w:fldLock="1"/>
      </w:r>
      <w:r w:rsidR="00A445D5">
        <w:rPr>
          <w:rFonts w:ascii="Arial" w:hAnsi="Arial" w:cs="Arial"/>
        </w:rPr>
        <w:instrText>ADDIN CSL_CITATION {"citationItems":[{"id":"ITEM-1","itemData":{"DOI":"10.1002/adma.202002183","ISSN":"15214095","abstract":"Current understanding of human brain development is rudimentary due to suboptimal in vitro and animal models. In particular, how initial cell positions impact subsequent human cortical development is unclear because experimental spatial control of cortical cell arrangement is technically challenging. 3D cell printing provides a rapid customized approach for patterning. However, it has relied on materials that do not represent the extracellular matrix (ECM) of brain tissue. Therefore, in the present work, a lipid-bilayer-supported printing technique is developed to 3D print human cortical cells in the soft, biocompatible ECM, Matrigel. Printed human neural stem cells (hNSCs) show high viability, neural differentiation, and the formation of functional, stimulus-responsive neural networks. By using prepatterned arrangements of neurons and astrocytes, it is found that hNSC process outgrowth and migration into cell-free matrix and into astrocyte-containing matrix are similar in extent. However, astrocytes enhance the later developmental event of axon bundling. Both young and mature neurons migrate into compartments containing astrocytes; in contrast, astrocytes do not migrate into neuronal domains signifying nonreciprocal chemorepulsion. Therefore, precise prepatterning by 3D printing allows the construction of natural and unnatural patterns that yield important insights into human cerebral cortex development.","author":[{"dropping-particle":"","family":"Zhou","given":"Linna","non-dropping-particle":"","parse-names":false,"suffix":""},{"dropping-particle":"","family":"Wolfes","given":"Anne C.","non-dropping-particle":"","parse-names":false,"suffix":""},{"dropping-particle":"","family":"Li","given":"Yichen","non-dropping-particle":"","parse-names":false,"suffix":""},{"dropping-particle":"","family":"Chan","given":"Danny C.W.","non-dropping-particle":"","parse-names":false,"suffix":""},{"dropping-particle":"","family":"Ko","given":"Ho","non-dropping-particle":"","parse-names":false,"suffix":""},{"dropping-particle":"","family":"Szele","given":"Francis G.","non-dropping-particle":"","parse-names":false,"suffix":""},{"dropping-particle":"","family":"Bayley","given":"Hagan","non-dropping-particle":"","parse-names":false,"suffix":""}],"container-title":"Advanced Materials","id":"ITEM-1","issued":{"date-parts":[["2020"]]},"title":"Lipid-Bilayer-Supported 3D Printing of Human Cerebral Cortex Cells Reveals Developmental Interactions","type":"article-journal","volume":"2002183"},"uris":["http://www.mendeley.com/documents/?uuid=4a86a9c6-e336-43cf-a7fb-f0aa2fe5afcc"]}],"mendeley":{"formattedCitation":"[105]","plainTextFormattedCitation":"[105]","previouslyFormattedCitation":"[105]"},"properties":{"noteIndex":0},"schema":"https://github.com/citation-style-language/schema/raw/master/csl-citation.json"}</w:instrText>
      </w:r>
      <w:r w:rsidRPr="000E39AA">
        <w:rPr>
          <w:rFonts w:ascii="Arial" w:hAnsi="Arial" w:cs="Arial"/>
        </w:rPr>
        <w:fldChar w:fldCharType="separate"/>
      </w:r>
      <w:r w:rsidR="0062132B" w:rsidRPr="0062132B">
        <w:rPr>
          <w:rFonts w:ascii="Arial" w:hAnsi="Arial" w:cs="Arial"/>
          <w:noProof/>
        </w:rPr>
        <w:t>[105]</w:t>
      </w:r>
      <w:r w:rsidRPr="000E39AA">
        <w:rPr>
          <w:rFonts w:ascii="Arial" w:hAnsi="Arial" w:cs="Arial"/>
        </w:rPr>
        <w:fldChar w:fldCharType="end"/>
      </w:r>
      <w:r w:rsidR="00F03787">
        <w:rPr>
          <w:rFonts w:ascii="Arial" w:hAnsi="Arial" w:cs="Arial"/>
        </w:rPr>
        <w:t xml:space="preserve"> </w:t>
      </w:r>
      <w:r w:rsidR="00F03787" w:rsidRPr="000E39AA">
        <w:rPr>
          <w:rFonts w:ascii="Arial" w:hAnsi="Arial" w:cs="Arial"/>
          <w:color w:val="000000"/>
        </w:rPr>
        <w:t>(</w:t>
      </w:r>
      <w:r w:rsidR="00F03787" w:rsidRPr="000E39AA">
        <w:rPr>
          <w:rFonts w:ascii="Arial" w:hAnsi="Arial" w:cs="Arial"/>
          <w:b/>
          <w:bCs/>
          <w:color w:val="000000"/>
        </w:rPr>
        <w:t>Fig</w:t>
      </w:r>
      <w:r w:rsidR="00F03787">
        <w:rPr>
          <w:rFonts w:ascii="Arial" w:hAnsi="Arial" w:cs="Arial"/>
          <w:b/>
          <w:bCs/>
          <w:color w:val="000000"/>
        </w:rPr>
        <w:t>.</w:t>
      </w:r>
      <w:r w:rsidR="00F03787" w:rsidRPr="000E39AA">
        <w:rPr>
          <w:rFonts w:ascii="Arial" w:hAnsi="Arial" w:cs="Arial"/>
          <w:b/>
          <w:bCs/>
          <w:color w:val="000000"/>
        </w:rPr>
        <w:t xml:space="preserve"> </w:t>
      </w:r>
      <w:r w:rsidR="00F03787">
        <w:rPr>
          <w:rFonts w:ascii="Arial" w:hAnsi="Arial" w:cs="Arial"/>
          <w:b/>
          <w:bCs/>
          <w:color w:val="000000"/>
        </w:rPr>
        <w:t>4b-ii</w:t>
      </w:r>
      <w:r w:rsidR="00F03787" w:rsidRPr="000E39AA">
        <w:rPr>
          <w:rFonts w:ascii="Arial" w:hAnsi="Arial" w:cs="Arial"/>
          <w:color w:val="000000"/>
        </w:rPr>
        <w:t xml:space="preserve">) </w:t>
      </w:r>
      <w:r w:rsidRPr="000E39AA">
        <w:rPr>
          <w:rFonts w:ascii="Arial" w:hAnsi="Arial" w:cs="Arial"/>
        </w:rPr>
        <w:t xml:space="preserve">as well as glioblastoma modelling </w:t>
      </w:r>
      <w:r w:rsidRPr="000E39AA">
        <w:rPr>
          <w:rFonts w:ascii="Arial" w:hAnsi="Arial" w:cs="Arial"/>
        </w:rPr>
        <w:fldChar w:fldCharType="begin" w:fldLock="1"/>
      </w:r>
      <w:r w:rsidR="00A445D5">
        <w:rPr>
          <w:rFonts w:ascii="Arial" w:hAnsi="Arial" w:cs="Arial"/>
        </w:rPr>
        <w:instrText>ADDIN CSL_CITATION {"citationItems":[{"id":"ITEM-1","itemData":{"DOI":"10.1016/j.bbrc.2020.06.001","ISSN":"10902104","abstract":"Glioblastoma multiforme (GBM) is a deadly type of brain cancer. There is a need to identify novel therapies for GBM as current treatments only marginally increase survival. Modelling the complexity of cancerous tissues using 3D bioprinted constructs serves as a novel approach for preclinical testing of anticancer drugs. A novel small molecule antagonist of the cell adhesion molecule, N-cadherin (NCAD), (S)-1-(3,4-Dichlorophenoxy)-3-(4-((S)-2-hydroxy-3-(4-methoxyphenoxy)propylamino)piperidin-1-yl)propan-2-ol has shown promise as an anticancer agent. This study investigated the influence of this antagonist on GBM cells bioprinted with astrocytes into 3D constructs. The NCAD antagonist prevented spheroid formation and induced cell death in the 3D model. This is the first demonstration that an NCAD antagonist can cause GBM cell death.","author":[{"dropping-particle":"","family":"Smits","given":"Imke P.M.","non-dropping-particle":"","parse-names":false,"suffix":""},{"dropping-particle":"","family":"Blaschuk","given":"Orest W.","non-dropping-particle":"","parse-names":false,"suffix":""},{"dropping-particle":"","family":"Willerth","given":"Stephanie M.","non-dropping-particle":"","parse-names":false,"suffix":""}],"container-title":"Biochemical and Biophysical Research Communications","id":"ITEM-1","issue":"2","issued":{"date-parts":[["2020"]]},"page":"162-168","publisher":"Elsevier Ltd","title":"Novel N-cadherin antagonist causes glioblastoma cell death in a 3D bioprinted co-culture model","type":"article-journal","volume":"529"},"uris":["http://www.mendeley.com/documents/?uuid=41f99145-dd4e-44e6-a3c5-923ce58db24b"]}],"mendeley":{"formattedCitation":"[122]","plainTextFormattedCitation":"[122]","previouslyFormattedCitation":"[122]"},"properties":{"noteIndex":0},"schema":"https://github.com/citation-style-language/schema/raw/master/csl-citation.json"}</w:instrText>
      </w:r>
      <w:r w:rsidRPr="000E39AA">
        <w:rPr>
          <w:rFonts w:ascii="Arial" w:hAnsi="Arial" w:cs="Arial"/>
        </w:rPr>
        <w:fldChar w:fldCharType="separate"/>
      </w:r>
      <w:r w:rsidR="0062132B" w:rsidRPr="0062132B">
        <w:rPr>
          <w:rFonts w:ascii="Arial" w:hAnsi="Arial" w:cs="Arial"/>
          <w:noProof/>
        </w:rPr>
        <w:t>[122]</w:t>
      </w:r>
      <w:r w:rsidRPr="000E39AA">
        <w:rPr>
          <w:rFonts w:ascii="Arial" w:hAnsi="Arial" w:cs="Arial"/>
        </w:rPr>
        <w:fldChar w:fldCharType="end"/>
      </w:r>
      <w:r w:rsidRPr="000E39AA">
        <w:rPr>
          <w:rFonts w:ascii="Arial" w:hAnsi="Arial" w:cs="Arial"/>
        </w:rPr>
        <w:t xml:space="preserve">. </w:t>
      </w:r>
      <w:r w:rsidR="002D77D2">
        <w:rPr>
          <w:rFonts w:ascii="Arial" w:hAnsi="Arial" w:cs="Arial"/>
        </w:rPr>
        <w:t xml:space="preserve">However, </w:t>
      </w:r>
      <w:r w:rsidR="0068588B">
        <w:rPr>
          <w:rFonts w:ascii="Arial" w:hAnsi="Arial" w:cs="Arial"/>
        </w:rPr>
        <w:t>3D printed models are far from recapitulating the complex neural micro-</w:t>
      </w:r>
      <w:r w:rsidR="00143166">
        <w:rPr>
          <w:rFonts w:ascii="Arial" w:hAnsi="Arial" w:cs="Arial"/>
        </w:rPr>
        <w:t>environment yet</w:t>
      </w:r>
      <w:r w:rsidR="00C531D8">
        <w:rPr>
          <w:rFonts w:ascii="Arial" w:hAnsi="Arial" w:cs="Arial"/>
        </w:rPr>
        <w:t xml:space="preserve"> failing to support axonal growth and functional </w:t>
      </w:r>
      <w:r w:rsidR="00F540E5">
        <w:rPr>
          <w:rFonts w:ascii="Arial" w:hAnsi="Arial" w:cs="Arial"/>
        </w:rPr>
        <w:t>physiological activity.</w:t>
      </w:r>
    </w:p>
    <w:p w14:paraId="15A9F46C" w14:textId="77777777" w:rsidR="00F03759" w:rsidRPr="000E39AA" w:rsidRDefault="00F03759" w:rsidP="00F03759">
      <w:pPr>
        <w:spacing w:line="276" w:lineRule="auto"/>
        <w:jc w:val="both"/>
      </w:pPr>
    </w:p>
    <w:p w14:paraId="34129074" w14:textId="77777777" w:rsidR="00F03759" w:rsidRPr="000E39AA" w:rsidRDefault="00F03759" w:rsidP="00F03759">
      <w:pPr>
        <w:pStyle w:val="Heading5"/>
        <w:rPr>
          <w:lang w:val="en-GB"/>
        </w:rPr>
      </w:pPr>
      <w:bookmarkStart w:id="62" w:name="_Toc98937885"/>
      <w:r w:rsidRPr="000E39AA">
        <w:rPr>
          <w:lang w:val="en-GB"/>
        </w:rPr>
        <w:t>4.3.2.2 Microfluidics</w:t>
      </w:r>
      <w:bookmarkEnd w:id="62"/>
      <w:r w:rsidRPr="000E39AA">
        <w:rPr>
          <w:lang w:val="en-GB"/>
        </w:rPr>
        <w:t xml:space="preserve"> </w:t>
      </w:r>
    </w:p>
    <w:p w14:paraId="473C74FA" w14:textId="75468C5D" w:rsidR="00F03759" w:rsidRPr="000E39AA" w:rsidRDefault="00F03759" w:rsidP="00F03759">
      <w:pPr>
        <w:spacing w:after="0"/>
        <w:jc w:val="both"/>
        <w:rPr>
          <w:rFonts w:ascii="Arial" w:hAnsi="Arial" w:cs="Arial"/>
          <w:color w:val="000000"/>
        </w:rPr>
      </w:pPr>
      <w:r w:rsidRPr="000E39AA">
        <w:rPr>
          <w:rFonts w:ascii="Arial" w:hAnsi="Arial" w:cs="Arial"/>
        </w:rPr>
        <w:t xml:space="preserve">Microfluidic devices have been employed for </w:t>
      </w:r>
      <w:r w:rsidRPr="000E39AA">
        <w:rPr>
          <w:rFonts w:ascii="Arial" w:hAnsi="Arial" w:cs="Arial"/>
          <w:i/>
          <w:iCs/>
        </w:rPr>
        <w:t xml:space="preserve">in vitro </w:t>
      </w:r>
      <w:r w:rsidRPr="000E39AA">
        <w:rPr>
          <w:rFonts w:ascii="Arial" w:hAnsi="Arial" w:cs="Arial"/>
        </w:rPr>
        <w:t xml:space="preserve">studies in the development of multi tissue/interface structures to examine cortical brain structures </w:t>
      </w:r>
      <w:r w:rsidRPr="000E39AA">
        <w:rPr>
          <w:rFonts w:ascii="Arial" w:hAnsi="Arial"/>
        </w:rPr>
        <w:t>providing a platform for drug development</w:t>
      </w:r>
      <w:r w:rsidRPr="000E39AA">
        <w:rPr>
          <w:rFonts w:ascii="Arial" w:hAnsi="Arial" w:cs="Arial"/>
        </w:rPr>
        <w:t xml:space="preserve"> </w:t>
      </w:r>
      <w:r w:rsidRPr="000E39AA">
        <w:rPr>
          <w:rFonts w:ascii="Arial" w:hAnsi="Arial"/>
        </w:rPr>
        <w:fldChar w:fldCharType="begin" w:fldLock="1"/>
      </w:r>
      <w:r w:rsidR="00A445D5">
        <w:rPr>
          <w:rFonts w:ascii="Arial" w:hAnsi="Arial" w:cs="Arial"/>
        </w:rPr>
        <w:instrText>ADDIN CSL_CITATION {"citationItems":[{"id":"ITEM-1","itemData":{"DOI":"10.1016/j.biomaterials.2010.11.047","ISSN":"01429612","PMID":"21159379","abstract":"Cortical neurons, in their native state, are organized in six different cell layers; and the thickness of the cell layer ranges from 0.12 mm to 0.4 mm. The structure of cell layers plays an important role in neurodegenerative diseases or corticogenesis. We developed a 3D microfluidic device for creating physiologically realistic, micrometer scaled neural cell layers. Using this device, we demonstrated that (1) agarose-alginate mixture can be gelled thermally, thus an excellent candidate for forming multi-layered scaffolds for micropatterning embedded cells; (2) primary cortical neurons were cultured successfully for up to three weeks in the micropatterned multi-layered scaffold; (3) B27 concentration gradient enhanced neurite outgrowth. In addition, this device is compatible with optical microscopy, the dynamic process of neural growth can be imaged, and density and number of neurites can be quantified. This device can potentially be used for drug development, as well as research in basic neural biology. © 2010 Elsevier Ltd.","author":[{"dropping-particle":"","family":"Kunze","given":"Anja","non-dropping-particle":"","parse-names":false,"suffix":""},{"dropping-particle":"","family":"Giugliano","given":"Michele","non-dropping-particle":"","parse-names":false,"suffix":""},{"dropping-particle":"","family":"Valero","given":"Ana","non-dropping-particle":"","parse-names":false,"suffix":""},{"dropping-particle":"","family":"Renaud","given":"Philippe","non-dropping-particle":"","parse-names":false,"suffix":""}],"container-title":"Biomaterials","id":"ITEM-1","issue":"8","issued":{"date-parts":[["2011"]]},"page":"2088-2098","publisher":"Elsevier Ltd","title":"Micropatterning neural cell cultures in 3D with a multi-layered scaffold","type":"article-journal","volume":"32"},"uris":["http://www.mendeley.com/documents/?uuid=b4e2f5af-9e6d-41c8-bde2-8e7821503c03"]}],"mendeley":{"formattedCitation":"[123]","plainTextFormattedCitation":"[123]","previouslyFormattedCitation":"[123]"},"properties":{"noteIndex":0},"schema":"https://github.com/citation-style-language/schema/raw/master/csl-citation.json"}</w:instrText>
      </w:r>
      <w:r w:rsidRPr="000E39AA">
        <w:rPr>
          <w:rFonts w:ascii="Arial" w:hAnsi="Arial"/>
        </w:rPr>
        <w:fldChar w:fldCharType="separate"/>
      </w:r>
      <w:r w:rsidR="0062132B" w:rsidRPr="0062132B">
        <w:rPr>
          <w:rFonts w:ascii="Arial" w:hAnsi="Arial"/>
          <w:noProof/>
        </w:rPr>
        <w:t>[123]</w:t>
      </w:r>
      <w:r w:rsidRPr="000E39AA">
        <w:rPr>
          <w:rFonts w:ascii="Arial" w:hAnsi="Arial"/>
        </w:rPr>
        <w:fldChar w:fldCharType="end"/>
      </w:r>
      <w:r w:rsidRPr="000E39AA">
        <w:rPr>
          <w:rFonts w:ascii="Arial" w:hAnsi="Arial" w:cs="Arial"/>
        </w:rPr>
        <w:t xml:space="preserve"> with a focus on</w:t>
      </w:r>
      <w:r w:rsidRPr="000E39AA">
        <w:rPr>
          <w:rFonts w:ascii="Arial" w:hAnsi="Arial"/>
        </w:rPr>
        <w:t xml:space="preserve"> </w:t>
      </w:r>
      <w:r w:rsidRPr="000E39AA">
        <w:rPr>
          <w:rFonts w:ascii="Arial" w:hAnsi="Arial" w:cs="Arial"/>
        </w:rPr>
        <w:t xml:space="preserve">fabrication of microfluidic devices able to provide </w:t>
      </w:r>
      <w:r w:rsidRPr="000E39AA">
        <w:rPr>
          <w:rFonts w:ascii="Arial" w:hAnsi="Arial"/>
          <w:shd w:val="clear" w:color="auto" w:fill="FFFFFF"/>
        </w:rPr>
        <w:t xml:space="preserve">adequate solutions for the modelling of complex neural micro-environment such as the blood-brain-barrier (BBB) </w:t>
      </w:r>
      <w:r w:rsidRPr="000E39AA">
        <w:rPr>
          <w:rFonts w:ascii="Arial" w:hAnsi="Arial" w:cs="Arial"/>
          <w:shd w:val="clear" w:color="auto" w:fill="FFFFFF"/>
        </w:rPr>
        <w:t>facilitating</w:t>
      </w:r>
      <w:r w:rsidRPr="000E39AA">
        <w:rPr>
          <w:rFonts w:ascii="Arial" w:hAnsi="Arial"/>
          <w:shd w:val="clear" w:color="auto" w:fill="FFFFFF"/>
        </w:rPr>
        <w:t xml:space="preserve"> screening of BBB-targeting drugs in neurological diseases </w:t>
      </w:r>
      <w:r w:rsidRPr="000E39AA">
        <w:rPr>
          <w:rFonts w:ascii="Arial" w:hAnsi="Arial"/>
          <w:shd w:val="clear" w:color="auto" w:fill="FFFFFF"/>
        </w:rPr>
        <w:fldChar w:fldCharType="begin" w:fldLock="1"/>
      </w:r>
      <w:r w:rsidR="00A445D5">
        <w:rPr>
          <w:rFonts w:ascii="Arial" w:hAnsi="Arial"/>
          <w:shd w:val="clear" w:color="auto" w:fill="FFFFFF"/>
        </w:rPr>
        <w:instrText>ADDIN CSL_CITATION {"citationItems":[{"id":"ITEM-1","itemData":{"DOI":"10.1038/srep15222","ISSN":"20452322","PMID":"26503597","abstract":"Blood-brain barrier (BBB) pathology leads to neurovascular disorders and is an important target for therapies. However, the study of BBB pathology is difficult in the absence of models that are simple and relevant. In vivo animal models are highly relevant, however they are hampered by complex, multi-cellular interactions that are difficult to decouple. In vitro models of BBB are simpler, however they have limited functionality and relevance to disease processes. To address these limitations, we developed a 3-dimensional (3D) model of BBB on a microfluidic platform. We verified the tightness of the BBB by showing its ability to reduce the leakage of dyes and to block the transmigration of immune cells towards chemoattractants. Moreover, we verified the localization at endothelial cell boundaries of ZO-1 and VE-Cadherin, two components of tight and adherens junctions. To validate the functionality of the BBB model, we probed its disruption by neuro-inflammation mediators and ischemic conditions and measured the protective function of antioxidant and ROCK-inhibitor treatments. Overall, our 3D BBB model provides a robust platform, adequate for detailed functional studies of BBB and for the screening of BBB-targeting drugs in neurological diseases.","author":[{"dropping-particle":"","family":"Cho","given":"Hansang","non-dropping-particle":"","parse-names":false,"suffix":""},{"dropping-particle":"","family":"Seo","given":"Ji Hae","non-dropping-particle":"","parse-names":false,"suffix":""},{"dropping-particle":"","family":"Wong","given":"Keith H.K.","non-dropping-particle":"","parse-names":false,"suffix":""},{"dropping-particle":"","family":"Terasaki","given":"Yasukazu","non-dropping-particle":"","parse-names":false,"suffix":""},{"dropping-particle":"","family":"Park","given":"Joseph","non-dropping-particle":"","parse-names":false,"suffix":""},{"dropping-particle":"","family":"Bong","given":"Kiwan","non-dropping-particle":"","parse-names":false,"suffix":""},{"dropping-particle":"","family":"Arai","given":"Ken","non-dropping-particle":"","parse-names":false,"suffix":""},{"dropping-particle":"","family":"Lo","given":"Eng H.","non-dropping-particle":"","parse-names":false,"suffix":""},{"dropping-particle":"","family":"Irimia","given":"Daniel","non-dropping-particle":"","parse-names":false,"suffix":""}],"container-title":"Scientific Reports","id":"ITEM-1","issued":{"date-parts":[["2015"]]},"page":"1-9","publisher":"Nature Publishing Group","title":"Three-dimensional blood-brain barrier model for in vitro studies of neurovascular pathology","type":"article-journal","volume":"5"},"uris":["http://www.mendeley.com/documents/?uuid=fda99182-d196-4008-940c-c7886fe33382"]},{"id":"ITEM-2","itemData":{"DOI":"10.1016/j.biomaterials.2017.10.002","ISSN":"0142-9612","author":[{"dropping-particle":"","family":"Zhuang","given":"Pei","non-dropping-particle":"","parse-names":false,"suffix":""},{"dropping-particle":"","family":"Xuyang","given":"Alfred","non-dropping-particle":"","parse-names":false,"suffix":""},{"dropping-particle":"","family":"An","given":"Jia","non-dropping-particle":"","parse-names":false,"suffix":""},{"dropping-particle":"","family":"Kai","given":"Chee","non-dropping-particle":"","parse-names":false,"suffix":""},{"dropping-particle":"","family":"Yian","given":"Sing","non-dropping-particle":"","parse-names":false,"suffix":""}],"container-title":"Biomaterials","id":"ITEM-2","issued":{"date-parts":[["2018"]]},"page":"113-133","publisher":"Elsevier Ltd","title":"Biomaterials 3D neural tissue models : From spheroids to bioprinting","type":"article-journal","volume":"154"},"uris":["http://www.mendeley.com/documents/?uuid=b121a430-6018-4b21-81ba-a80f373d87fa"]}],"mendeley":{"formattedCitation":"[48, 124]","plainTextFormattedCitation":"[48, 124]","previouslyFormattedCitation":"[48, 124]"},"properties":{"noteIndex":0},"schema":"https://github.com/citation-style-language/schema/raw/master/csl-citation.json"}</w:instrText>
      </w:r>
      <w:r w:rsidRPr="000E39AA">
        <w:rPr>
          <w:rFonts w:ascii="Arial" w:hAnsi="Arial"/>
          <w:shd w:val="clear" w:color="auto" w:fill="FFFFFF"/>
        </w:rPr>
        <w:fldChar w:fldCharType="separate"/>
      </w:r>
      <w:r w:rsidR="0062132B" w:rsidRPr="0062132B">
        <w:rPr>
          <w:rFonts w:ascii="Arial" w:hAnsi="Arial"/>
          <w:noProof/>
          <w:shd w:val="clear" w:color="auto" w:fill="FFFFFF"/>
        </w:rPr>
        <w:t>[48, 124]</w:t>
      </w:r>
      <w:r w:rsidRPr="000E39AA">
        <w:rPr>
          <w:rFonts w:ascii="Arial" w:hAnsi="Arial"/>
          <w:shd w:val="clear" w:color="auto" w:fill="FFFFFF"/>
        </w:rPr>
        <w:fldChar w:fldCharType="end"/>
      </w:r>
      <w:r w:rsidRPr="000E39AA">
        <w:rPr>
          <w:rFonts w:ascii="Arial" w:hAnsi="Arial"/>
          <w:shd w:val="clear" w:color="auto" w:fill="FFFFFF"/>
        </w:rPr>
        <w:t xml:space="preserve">. </w:t>
      </w:r>
      <w:r w:rsidRPr="000E39AA">
        <w:rPr>
          <w:rFonts w:ascii="Arial" w:hAnsi="Arial" w:cs="Arial"/>
          <w:shd w:val="clear" w:color="auto" w:fill="FFFFFF"/>
        </w:rPr>
        <w:t>Crucially, t</w:t>
      </w:r>
      <w:r w:rsidRPr="000E39AA">
        <w:rPr>
          <w:rFonts w:ascii="Arial" w:hAnsi="Arial" w:cs="Arial"/>
          <w:color w:val="000000"/>
        </w:rPr>
        <w:t>he parallel microgrooves commonly used in microfluidics to connect different tissue compartments offer ideal structures for neuron functionality and activity enabling enclosures for axon extension and pathfinding towards a target situated in adjacent chambers (</w:t>
      </w:r>
      <w:r w:rsidRPr="000E39AA">
        <w:rPr>
          <w:rFonts w:ascii="Arial" w:hAnsi="Arial" w:cs="Arial"/>
          <w:b/>
          <w:bCs/>
          <w:color w:val="000000"/>
        </w:rPr>
        <w:t>Fig</w:t>
      </w:r>
      <w:r w:rsidR="003553F2">
        <w:rPr>
          <w:rFonts w:ascii="Arial" w:hAnsi="Arial" w:cs="Arial"/>
          <w:b/>
          <w:bCs/>
          <w:color w:val="000000"/>
        </w:rPr>
        <w:t>.</w:t>
      </w:r>
      <w:r w:rsidRPr="000E39AA">
        <w:rPr>
          <w:rFonts w:ascii="Arial" w:hAnsi="Arial" w:cs="Arial"/>
          <w:b/>
          <w:bCs/>
          <w:color w:val="000000"/>
        </w:rPr>
        <w:t xml:space="preserve"> </w:t>
      </w:r>
      <w:r w:rsidR="00703A59">
        <w:rPr>
          <w:rFonts w:ascii="Arial" w:hAnsi="Arial" w:cs="Arial"/>
          <w:b/>
          <w:bCs/>
          <w:color w:val="000000"/>
        </w:rPr>
        <w:t>4b-</w:t>
      </w:r>
      <w:r w:rsidR="00B21CEF">
        <w:rPr>
          <w:rFonts w:ascii="Arial" w:hAnsi="Arial" w:cs="Arial"/>
          <w:b/>
          <w:bCs/>
          <w:color w:val="000000"/>
        </w:rPr>
        <w:t>ii</w:t>
      </w:r>
      <w:r w:rsidR="00703A59">
        <w:rPr>
          <w:rFonts w:ascii="Arial" w:hAnsi="Arial" w:cs="Arial"/>
          <w:b/>
          <w:bCs/>
          <w:color w:val="000000"/>
        </w:rPr>
        <w:t>i</w:t>
      </w:r>
      <w:r w:rsidRPr="000E39AA">
        <w:rPr>
          <w:rFonts w:ascii="Arial" w:hAnsi="Arial" w:cs="Arial"/>
          <w:color w:val="000000"/>
        </w:rPr>
        <w:t xml:space="preserve">) </w:t>
      </w:r>
      <w:r w:rsidRPr="000E39AA">
        <w:rPr>
          <w:rFonts w:ascii="Arial" w:hAnsi="Arial" w:cs="Arial"/>
          <w:color w:val="000000"/>
        </w:rPr>
        <w:fldChar w:fldCharType="begin" w:fldLock="1"/>
      </w:r>
      <w:r w:rsidR="00A445D5">
        <w:rPr>
          <w:rFonts w:ascii="Arial" w:hAnsi="Arial" w:cs="Arial"/>
          <w:color w:val="000000"/>
        </w:rPr>
        <w:instrText>ADDIN CSL_CITATION {"citationItems":[{"id":"ITEM-1","itemData":{"DOI":"10.1039/c5lc01270h","ISSN":"14730189","PMID":"26669842","abstract":"Bioinspired organ-level in vitro platforms are emerging as effective technologies for fundamental research, drug discovery, and personalized healthcare. In particular, models for nervous system research are especially important, due to the complexity of neurological phenomena and challenges associated with developing targeted treatment of neurological disorders. Here we introduce an additive manufacturing-based approach in the form of a bioinspired, customizable 3D printed nervous system on a chip (3DNSC) for the study of viral infection in the nervous system. Micro-extrusion 3D printing strategies enabled the assembly of biomimetic scaffold components (microchannels and compartmented chambers) for the alignment of axonal networks and spatial organization of cellular components. Physiologically relevant studies of nervous system infection using the multiscale biomimetic device demonstrated the functionality of the in vitro platform. We found that Schwann cells participate in axon-to-cell viral spread but appear refractory to infection, exhibiting a multiplicity of infection (MOI) of 1.4 genomes per cell. These results suggest that 3D printing is a valuable approach for the prototyping of a customized model nervous system on a chip technology.","author":[{"dropping-particle":"","family":"Johnson","given":"Blake N.","non-dropping-particle":"","parse-names":false,"suffix":""},{"dropping-particle":"","family":"Lancaster","given":"Karen Z.","non-dropping-particle":"","parse-names":false,"suffix":""},{"dropping-particle":"","family":"Hogue","given":"Ian B.","non-dropping-particle":"","parse-names":false,"suffix":""},{"dropping-particle":"","family":"Meng","given":"Fanben","non-dropping-particle":"","parse-names":false,"suffix":""},{"dropping-particle":"","family":"Kong","given":"Yong Lin","non-dropping-particle":"","parse-names":false,"suffix":""},{"dropping-particle":"","family":"Enquist","given":"Lynn W.","non-dropping-particle":"","parse-names":false,"suffix":""},{"dropping-particle":"","family":"McAlpine","given":"Michael C.","non-dropping-particle":"","parse-names":false,"suffix":""}],"container-title":"Lab on a Chip","id":"ITEM-1","issue":"8","issued":{"date-parts":[["2016"]]},"page":"1393-1400","publisher":"Royal Society of Chemistry","title":"3D printed nervous system on a chip","type":"article-journal","volume":"16"},"uris":["http://www.mendeley.com/documents/?uuid=253df4a2-7e2f-4e83-82b5-bdebb004f47e"]}],"mendeley":{"formattedCitation":"[106]","plainTextFormattedCitation":"[106]","previouslyFormattedCitation":"[106]"},"properties":{"noteIndex":0},"schema":"https://github.com/citation-style-language/schema/raw/master/csl-citation.json"}</w:instrText>
      </w:r>
      <w:r w:rsidRPr="000E39AA">
        <w:rPr>
          <w:rFonts w:ascii="Arial" w:hAnsi="Arial" w:cs="Arial"/>
          <w:color w:val="000000"/>
        </w:rPr>
        <w:fldChar w:fldCharType="separate"/>
      </w:r>
      <w:r w:rsidR="0062132B" w:rsidRPr="0062132B">
        <w:rPr>
          <w:rFonts w:ascii="Arial" w:hAnsi="Arial" w:cs="Arial"/>
          <w:noProof/>
          <w:color w:val="000000"/>
        </w:rPr>
        <w:t>[106]</w:t>
      </w:r>
      <w:r w:rsidRPr="000E39AA">
        <w:rPr>
          <w:rFonts w:ascii="Arial" w:hAnsi="Arial" w:cs="Arial"/>
          <w:color w:val="000000"/>
        </w:rPr>
        <w:fldChar w:fldCharType="end"/>
      </w:r>
      <w:r w:rsidRPr="000E39AA">
        <w:rPr>
          <w:rFonts w:ascii="Arial" w:hAnsi="Arial" w:cs="Arial"/>
          <w:color w:val="000000"/>
        </w:rPr>
        <w:t>.</w:t>
      </w:r>
      <w:r w:rsidRPr="000E39AA">
        <w:rPr>
          <w:rFonts w:ascii="Arial" w:eastAsia="Times New Roman" w:hAnsi="Arial" w:cs="Arial"/>
          <w:lang w:eastAsia="en-GB"/>
        </w:rPr>
        <w:t xml:space="preserve"> Recent studies have focused in generating models that could facilitate communication between neural cells and other tissue, for the development of models for cancer metastasis and neuromuscular junction </w:t>
      </w:r>
      <w:r w:rsidRPr="000E39AA">
        <w:rPr>
          <w:rFonts w:ascii="Arial" w:eastAsia="Times New Roman" w:hAnsi="Arial" w:cs="Arial"/>
          <w:lang w:eastAsia="en-GB"/>
        </w:rPr>
        <w:fldChar w:fldCharType="begin" w:fldLock="1"/>
      </w:r>
      <w:r w:rsidR="00A445D5">
        <w:rPr>
          <w:rFonts w:ascii="Arial" w:eastAsia="Times New Roman" w:hAnsi="Arial" w:cs="Arial"/>
          <w:lang w:eastAsia="en-GB"/>
        </w:rPr>
        <w:instrText>ADDIN CSL_CITATION {"citationItems":[{"id":"ITEM-1","itemData":{"DOI":"10.1039/c5ib00309a","ISSN":"1757-9708","abstract":"Emerging evidence suggests that there is extensive interaction between neurons and cancer cells. However, few model systems have been developed to investigate nerve–cancer cell interaction in vitro. Herein, a high-throughput microfluidic compartmentalized chip is developed to examine the interaction between neurons and cancer cells. The nerve bundles appear to provide a biophysical support for cancer cells and guide their directional migration. The cancers that have high levels of perineural invasion in clinical observations exhibit greater migration along neurites in the on-chip model. The on-chip model allows the screening of compounds which inhibit cancer cell migration along neurites in vitro. The interruption of neurites, the pharmacological blockade of nerve–cancer signaling, effectively attenuates the migration of cancer cells along neurites. This on-chip model provides a useful platform to investigate the dynamic interaction between cancer cells and neurons and can dramatically broaden the chemical space in screening neuron-related drugs for cancers.","author":[{"dropping-particle":"","family":"Lei","given":"Yifeng","non-dropping-particle":"","parse-names":false,"suffix":""},{"dropping-particle":"","family":"Li","given":"Jun","non-dropping-particle":"","parse-names":false,"suffix":""},{"dropping-particle":"","family":"Wang","given":"Nuoxin","non-dropping-particle":"","parse-names":false,"suffix":""},{"dropping-particle":"","family":"Yang","given":"Xinglong","non-dropping-particle":"","parse-names":false,"suffix":""},{"dropping-particle":"","family":"Hamada","given":"Yoh","non-dropping-particle":"","parse-names":false,"suffix":""},{"dropping-particle":"","family":"Li","given":"Qizhai","non-dropping-particle":"","parse-names":false,"suffix":""},{"dropping-particle":"","family":"Zheng","given":"Wenfu","non-dropping-particle":"","parse-names":false,"suffix":""},{"dropping-particle":"","family":"Jiang","given":"Xingyu","non-dropping-particle":"","parse-names":false,"suffix":""}],"container-title":"Integrative Biology","id":"ITEM-1","issue":"3","issued":{"date-parts":[["2016","3","14"]]},"page":"359-367","title":"An on-chip model for investigating the interaction between neurons and cancer cells","type":"article-journal","volume":"8"},"uris":["http://www.mendeley.com/documents/?uuid=4c64d43c-9e39-40a6-a231-2916c56311a0"]},{"id":"ITEM-2","itemData":{"DOI":"10.1038/srep25062","ISSN":"2045-2322","abstract":"Glioblastoma multiforme (GBM) is the most common and malignant of all human primary brain cancers, in which drug treatment is still one of the most effective treatments. However, existing drug discovery and development methods rely on the use of conventional two-dimensional (2D) cell cultures, which have been proven to be poor representatives of native physiology. Here, we developed a novel three-dimensional (3D) brain cancer chip composed of photo-polymerizable poly(ethylene) glycol diacrylate (PEGDA) hydrogel for drug screening. This chip can be produced after a few seconds of photolithography and requires no silicon wafer, replica molding, and plasma bonding like microfluidic devices made of poly(dimethylsiloxane) (PDMS). We then cultured glioblastoma cells (U87), which formed 3D brain cancer tissues on the chip, and used the GBM chip to perform combinatorial treatment of Pitavastatin and Irinotecan. The results indicate that this chip is capable of high-throughput GBM cancer spheroids formation, multiple-simultaneous drug administration, and a massive parallel testing of drug response. Our approach is easily reproducible, and this chip has the potential to be a powerful platform in cases such as high-throughput drug screening and prolonged drug release. The chip is also commercially promising for other clinical applications, including 3D cell culture and micro-scale tissue engineering.","author":[{"dropping-particle":"","family":"Fan","given":"Yantao","non-dropping-particle":"","parse-names":false,"suffix":""},{"dropping-particle":"","family":"Nguyen","given":"Duong Thanh","non-dropping-particle":"","parse-names":false,"suffix":""},{"dropping-particle":"","family":"Akay","given":"Yasemin","non-dropping-particle":"","parse-names":false,"suffix":""},{"dropping-particle":"","family":"Xu","given":"Feng","non-dropping-particle":"","parse-names":false,"suffix":""},{"dropping-particle":"","family":"Akay","given":"Metin","non-dropping-particle":"","parse-names":false,"suffix":""}],"container-title":"Scientific Reports","id":"ITEM-2","issue":"1","issued":{"date-parts":[["2016"]]},"page":"25062","title":"Engineering a Brain Cancer Chip for High-throughput Drug Screening","type":"article-journal","volume":"6"},"uris":["http://www.mendeley.com/documents/?uuid=16c9effc-f8bb-4f84-9c20-e5bd6d628fce"]}],"mendeley":{"formattedCitation":"[125, 126]","plainTextFormattedCitation":"[125, 126]","previouslyFormattedCitation":"[125, 126]"},"properties":{"noteIndex":0},"schema":"https://github.com/citation-style-language/schema/raw/master/csl-citation.json"}</w:instrText>
      </w:r>
      <w:r w:rsidRPr="000E39AA">
        <w:rPr>
          <w:rFonts w:ascii="Arial" w:eastAsia="Times New Roman" w:hAnsi="Arial" w:cs="Arial"/>
          <w:lang w:eastAsia="en-GB"/>
        </w:rPr>
        <w:fldChar w:fldCharType="separate"/>
      </w:r>
      <w:r w:rsidR="0062132B" w:rsidRPr="0062132B">
        <w:rPr>
          <w:rFonts w:ascii="Arial" w:eastAsia="Times New Roman" w:hAnsi="Arial" w:cs="Arial"/>
          <w:noProof/>
          <w:lang w:eastAsia="en-GB"/>
        </w:rPr>
        <w:t>[125, 126]</w:t>
      </w:r>
      <w:r w:rsidRPr="000E39AA">
        <w:rPr>
          <w:rFonts w:ascii="Arial" w:eastAsia="Times New Roman" w:hAnsi="Arial" w:cs="Arial"/>
          <w:lang w:eastAsia="en-GB"/>
        </w:rPr>
        <w:fldChar w:fldCharType="end"/>
      </w:r>
      <w:r w:rsidRPr="000E39AA">
        <w:rPr>
          <w:rFonts w:ascii="Arial" w:eastAsia="Times New Roman" w:hAnsi="Arial" w:cs="Arial"/>
          <w:lang w:eastAsia="en-GB"/>
        </w:rPr>
        <w:t xml:space="preserve">. As a result, information gained from studies on </w:t>
      </w:r>
      <w:r w:rsidRPr="000E39AA">
        <w:rPr>
          <w:rFonts w:ascii="Arial" w:hAnsi="Arial" w:cs="Arial"/>
          <w:color w:val="000000"/>
        </w:rPr>
        <w:t xml:space="preserve">CNS axonal injury and regeneration on-a-chip </w:t>
      </w:r>
      <w:r w:rsidRPr="000E39AA">
        <w:rPr>
          <w:rFonts w:ascii="Arial" w:hAnsi="Arial" w:cs="Arial"/>
          <w:color w:val="000000"/>
        </w:rPr>
        <w:fldChar w:fldCharType="begin" w:fldLock="1"/>
      </w:r>
      <w:r w:rsidR="00A445D5">
        <w:rPr>
          <w:rFonts w:ascii="Arial" w:hAnsi="Arial" w:cs="Arial"/>
          <w:color w:val="000000"/>
        </w:rPr>
        <w:instrText>ADDIN CSL_CITATION {"citationItems":[{"id":"ITEM-1","itemData":{"DOI":"https://doi.org/10.1111/jnc.15289","ISSN":"0022-3042","abstract":"Abstract Amyotrophic lateral sclerosis (ALS) is a fatal and progressive neurodegenerative disease affecting upper and lower motor neurons with no cure available. Clinical and animal studies reveal that the neuromuscular junction (NMJ), a synaptic connection between motor neurons and skeletal muscle fibers, is highly vulnerable in ALS and suggest that NMJ defects may occur at the early stages of the disease. However, mechanistic insight into how NMJ dysfunction relates to the onset and progression of ALS is incomplete, which hampers therapy development. This is, in part, caused by a lack of robust in vitro models. The ability to combine microfluidic and induced pluripotent stem cell (iPSC) technologies has opened up new avenues for studying molecular and cellular ALS phenotypes in vitro. Microfluidic devices offer several advantages over traditional culture approaches when modeling the NMJ, such as the spatial separation of different cell types and increased control over the cellular microenvironment. Moreover, they are compatible with 3D cell culture, which enhances NMJ functionality and maturity. Here, we review how microfluidic technology is currently being employed to develop more reliable in vitro NMJ models. To validate and phenotype such models, various morphological and functional read-outs have been developed. We describe and discuss the relevance of these read-outs and specifically illustrate how these read-outs have enhanced our understanding of NMJ pathology in ALS. Finally, we share our view on potential future directions and challenges.","author":[{"dropping-particle":"","family":"Jongh","given":"Rianne","non-dropping-particle":"de","parse-names":false,"suffix":""},{"dropping-particle":"","family":"Spijkers","given":"Xandor M","non-dropping-particle":"","parse-names":false,"suffix":""},{"dropping-particle":"","family":"Pasteuning-Vuhman","given":"Svetlana","non-dropping-particle":"","parse-names":false,"suffix":""},{"dropping-particle":"","family":"Vulto","given":"Paul","non-dropping-particle":"","parse-names":false,"suffix":""},{"dropping-particle":"","family":"Pasterkamp","given":"R Jeroen","non-dropping-particle":"","parse-names":false,"suffix":""}],"container-title":"Journal of Neurochemistry","id":"ITEM-1","issue":"3","issued":{"date-parts":[["2021","5","1"]]},"note":"https://doi.org/10.1111/jnc.15289","page":"393-412","publisher":"John Wiley &amp; Sons, Ltd","title":"Neuromuscular junction-on-a-chip: ALS disease modeling and read-out development in microfluidic devices","type":"article-journal","volume":"157"},"uris":["http://www.mendeley.com/documents/?uuid=f2a4a3cf-9975-4c95-bc3e-885118a6c50d"]}],"mendeley":{"formattedCitation":"[127]","plainTextFormattedCitation":"[127]","previouslyFormattedCitation":"[127]"},"properties":{"noteIndex":0},"schema":"https://github.com/citation-style-language/schema/raw/master/csl-citation.json"}</w:instrText>
      </w:r>
      <w:r w:rsidRPr="000E39AA">
        <w:rPr>
          <w:rFonts w:ascii="Arial" w:hAnsi="Arial" w:cs="Arial"/>
          <w:color w:val="000000"/>
        </w:rPr>
        <w:fldChar w:fldCharType="separate"/>
      </w:r>
      <w:r w:rsidR="0062132B" w:rsidRPr="0062132B">
        <w:rPr>
          <w:rFonts w:ascii="Arial" w:hAnsi="Arial" w:cs="Arial"/>
          <w:noProof/>
          <w:color w:val="000000"/>
        </w:rPr>
        <w:t>[127]</w:t>
      </w:r>
      <w:r w:rsidRPr="000E39AA">
        <w:rPr>
          <w:rFonts w:ascii="Arial" w:hAnsi="Arial" w:cs="Arial"/>
          <w:color w:val="000000"/>
        </w:rPr>
        <w:fldChar w:fldCharType="end"/>
      </w:r>
      <w:r w:rsidRPr="000E39AA">
        <w:rPr>
          <w:rFonts w:ascii="Arial" w:hAnsi="Arial" w:cs="Arial"/>
          <w:color w:val="000000"/>
        </w:rPr>
        <w:t xml:space="preserve">, indicate microfluidics provides an unparalleled tool for human pain </w:t>
      </w:r>
      <w:r w:rsidR="005D03AD" w:rsidRPr="000E39AA">
        <w:rPr>
          <w:rFonts w:ascii="Arial" w:hAnsi="Arial" w:cs="Arial"/>
          <w:color w:val="000000"/>
        </w:rPr>
        <w:t>modelling</w:t>
      </w:r>
      <w:r w:rsidRPr="000E39AA">
        <w:rPr>
          <w:rFonts w:ascii="Arial" w:hAnsi="Arial" w:cs="Arial"/>
          <w:color w:val="000000"/>
        </w:rPr>
        <w:t xml:space="preserve">, delivering unique </w:t>
      </w:r>
      <w:r w:rsidRPr="000E39AA">
        <w:rPr>
          <w:rFonts w:ascii="Arial" w:hAnsi="Arial" w:cs="Arial"/>
          <w:i/>
          <w:color w:val="000000"/>
        </w:rPr>
        <w:t>in vitro</w:t>
      </w:r>
      <w:r w:rsidRPr="000E39AA">
        <w:rPr>
          <w:rFonts w:ascii="Arial" w:hAnsi="Arial" w:cs="Arial"/>
          <w:color w:val="000000"/>
        </w:rPr>
        <w:t xml:space="preserve"> platforms that enable the separation of axons from cell bodies and their localized treatment (</w:t>
      </w:r>
      <w:r w:rsidR="00AD6395">
        <w:rPr>
          <w:rFonts w:ascii="Arial" w:hAnsi="Arial" w:cs="Arial"/>
          <w:color w:val="000000"/>
        </w:rPr>
        <w:t>e.g.,</w:t>
      </w:r>
      <w:r w:rsidRPr="000E39AA">
        <w:rPr>
          <w:rFonts w:ascii="Arial" w:hAnsi="Arial" w:cs="Arial"/>
          <w:color w:val="000000"/>
        </w:rPr>
        <w:t xml:space="preserve"> drug testing and injury) through chamber compartmentalisation.</w:t>
      </w:r>
      <w:r w:rsidRPr="000E39AA">
        <w:rPr>
          <w:rFonts w:ascii="Arial" w:hAnsi="Arial" w:cs="Arial"/>
          <w:i/>
          <w:iCs/>
          <w:color w:val="000000"/>
        </w:rPr>
        <w:t xml:space="preserve"> </w:t>
      </w:r>
      <w:r w:rsidRPr="000E39AA">
        <w:rPr>
          <w:rFonts w:ascii="Arial" w:hAnsi="Arial" w:cs="Arial"/>
          <w:color w:val="000000"/>
        </w:rPr>
        <w:t xml:space="preserve">In support of such an approach, </w:t>
      </w:r>
      <w:proofErr w:type="spellStart"/>
      <w:r w:rsidRPr="000E39AA">
        <w:rPr>
          <w:rFonts w:ascii="Arial" w:hAnsi="Arial" w:cs="Arial"/>
        </w:rPr>
        <w:t>Vysokov</w:t>
      </w:r>
      <w:proofErr w:type="spellEnd"/>
      <w:r w:rsidRPr="000E39AA">
        <w:rPr>
          <w:rFonts w:ascii="Arial" w:hAnsi="Arial" w:cs="Arial"/>
          <w:color w:val="000000"/>
        </w:rPr>
        <w:t xml:space="preserve"> </w:t>
      </w:r>
      <w:r w:rsidR="003F0855">
        <w:rPr>
          <w:rFonts w:ascii="Arial" w:hAnsi="Arial" w:cs="Arial"/>
          <w:color w:val="000000"/>
        </w:rPr>
        <w:t>and colleagues</w:t>
      </w:r>
      <w:r w:rsidRPr="000E39AA">
        <w:rPr>
          <w:rFonts w:ascii="Arial" w:hAnsi="Arial" w:cs="Arial"/>
          <w:i/>
          <w:iCs/>
          <w:color w:val="000000"/>
        </w:rPr>
        <w:t xml:space="preserve"> </w:t>
      </w:r>
      <w:r w:rsidRPr="000E39AA">
        <w:rPr>
          <w:rFonts w:ascii="Arial" w:hAnsi="Arial" w:cs="Arial"/>
          <w:color w:val="000000"/>
        </w:rPr>
        <w:t>reported a microfluidic system to model the pain synapse and investigate the role of voltage gated sodium channels (</w:t>
      </w:r>
      <w:proofErr w:type="spellStart"/>
      <w:r w:rsidRPr="000E39AA">
        <w:rPr>
          <w:rFonts w:ascii="Arial" w:hAnsi="Arial" w:cs="Arial"/>
          <w:color w:val="000000"/>
        </w:rPr>
        <w:t>NaVs</w:t>
      </w:r>
      <w:proofErr w:type="spellEnd"/>
      <w:r w:rsidRPr="000E39AA">
        <w:rPr>
          <w:rFonts w:ascii="Arial" w:hAnsi="Arial" w:cs="Arial"/>
          <w:color w:val="000000"/>
        </w:rPr>
        <w:t xml:space="preserve">) in synaptic transmission </w:t>
      </w:r>
      <w:r w:rsidRPr="000E39AA">
        <w:rPr>
          <w:rFonts w:ascii="Arial" w:hAnsi="Arial" w:cs="Arial"/>
          <w:color w:val="000000"/>
        </w:rPr>
        <w:fldChar w:fldCharType="begin" w:fldLock="1"/>
      </w:r>
      <w:r w:rsidR="00A445D5">
        <w:rPr>
          <w:rFonts w:ascii="Arial" w:hAnsi="Arial" w:cs="Arial"/>
          <w:color w:val="000000"/>
        </w:rPr>
        <w:instrText>ADDIN CSL_CITATION {"citationItems":[{"id":"ITEM-1","itemData":{"DOI":"10.1038/s41598-019-49214-w","ISSN":"2045-2322","abstract":"Voltage gated sodium channels are key players in aberrant pain signaling and sensitization of nociceptors after peripheral nerve injury. The extent to which sodium channel activity after injury contributes to synaptic transmission at the first pain synapse however remains unclear. To investigate the effect of axotomy on synaptic transmission between dorsal root ganglia neurons and dorsal horn neurons, we reconstructed the first pain synapse in a novel microfluidic based compartmentalized cell culture system, which recapitulates the connectivity of peripheral pain signaling. We show that following axotomy of the distal axons, inhibition of NaV1.7 and NaV1.8 sodium channels in incoming presynaptic DRG axons is no longer sufficient to block activation of these axons and the resulting synaptic transmission to dorsal horn neurons. We found that blockade of NaV1.6 activity is highly effective in reducing activation of incoming axons contributing to synaptic transmission after axotomy of DRG neurons. The microfluidic culture system described here offers an in vitro platform to recapitulate and study the first pain synapse.","author":[{"dropping-particle":"","family":"Vysokov","given":"Nickolai","non-dropping-particle":"","parse-names":false,"suffix":""},{"dropping-particle":"","family":"McMahon","given":"Stephen B","non-dropping-particle":"","parse-names":false,"suffix":""},{"dropping-particle":"","family":"Raouf","given":"Ramin","non-dropping-particle":"","parse-names":false,"suffix":""}],"container-title":"Scientific Reports","id":"ITEM-1","issue":"1","issued":{"date-parts":[["2019"]]},"page":"12915","title":"The role of NaV channels in synaptic transmission after axotomy in a microfluidic culture platform","type":"article-journal","volume":"9"},"uris":["http://www.mendeley.com/documents/?uuid=e926067e-27b0-48d3-9067-205c36c023c6"]}],"mendeley":{"formattedCitation":"[128]","plainTextFormattedCitation":"[128]","previouslyFormattedCitation":"[128]"},"properties":{"noteIndex":0},"schema":"https://github.com/citation-style-language/schema/raw/master/csl-citation.json"}</w:instrText>
      </w:r>
      <w:r w:rsidRPr="000E39AA">
        <w:rPr>
          <w:rFonts w:ascii="Arial" w:hAnsi="Arial" w:cs="Arial"/>
          <w:color w:val="000000"/>
        </w:rPr>
        <w:fldChar w:fldCharType="separate"/>
      </w:r>
      <w:r w:rsidR="0062132B" w:rsidRPr="0062132B">
        <w:rPr>
          <w:rFonts w:ascii="Arial" w:hAnsi="Arial" w:cs="Arial"/>
          <w:noProof/>
          <w:color w:val="000000"/>
        </w:rPr>
        <w:t>[128]</w:t>
      </w:r>
      <w:r w:rsidRPr="000E39AA">
        <w:rPr>
          <w:rFonts w:ascii="Arial" w:hAnsi="Arial" w:cs="Arial"/>
          <w:color w:val="000000"/>
        </w:rPr>
        <w:fldChar w:fldCharType="end"/>
      </w:r>
      <w:r w:rsidRPr="000E39AA">
        <w:rPr>
          <w:rFonts w:ascii="Arial" w:hAnsi="Arial" w:cs="Arial"/>
          <w:color w:val="000000"/>
        </w:rPr>
        <w:t xml:space="preserve">. Nevertheless, </w:t>
      </w:r>
      <w:r w:rsidRPr="000E39AA">
        <w:rPr>
          <w:rFonts w:ascii="Arial" w:hAnsi="Arial" w:cs="Arial"/>
          <w:i/>
          <w:iCs/>
          <w:color w:val="000000"/>
        </w:rPr>
        <w:t>in vitro</w:t>
      </w:r>
      <w:r w:rsidRPr="000E39AA">
        <w:rPr>
          <w:rFonts w:ascii="Arial" w:hAnsi="Arial" w:cs="Arial"/>
          <w:color w:val="000000"/>
        </w:rPr>
        <w:t xml:space="preserve"> pain </w:t>
      </w:r>
      <w:r w:rsidR="005D03AD" w:rsidRPr="000E39AA">
        <w:rPr>
          <w:rFonts w:ascii="Arial" w:hAnsi="Arial" w:cs="Arial"/>
          <w:color w:val="000000"/>
        </w:rPr>
        <w:t>modelling</w:t>
      </w:r>
      <w:r w:rsidRPr="000E39AA">
        <w:rPr>
          <w:rFonts w:ascii="Arial" w:hAnsi="Arial" w:cs="Arial"/>
          <w:color w:val="000000"/>
        </w:rPr>
        <w:t xml:space="preserve"> remains poorly explored. It will undoubtedly fall on researchers to harness microfluidics in combination with other biotechnological tools such as optogenetic and multi electrode array (MEA) devices to advance neuro-pathophysiology research.</w:t>
      </w:r>
    </w:p>
    <w:p w14:paraId="7560758E" w14:textId="77777777" w:rsidR="00F03759" w:rsidRPr="000E39AA" w:rsidRDefault="00F03759" w:rsidP="00F03759">
      <w:pPr>
        <w:spacing w:after="0"/>
        <w:jc w:val="both"/>
        <w:rPr>
          <w:rFonts w:ascii="Arial" w:hAnsi="Arial" w:cs="Arial"/>
        </w:rPr>
      </w:pPr>
      <w:r w:rsidRPr="000E39AA">
        <w:rPr>
          <w:rFonts w:ascii="Arial" w:hAnsi="Arial" w:cs="Arial"/>
          <w:color w:val="000000"/>
        </w:rPr>
        <w:t xml:space="preserve"> </w:t>
      </w:r>
    </w:p>
    <w:p w14:paraId="108AC785" w14:textId="77777777" w:rsidR="00F03759" w:rsidRPr="000E39AA" w:rsidRDefault="00F03759" w:rsidP="00F03759">
      <w:pPr>
        <w:pStyle w:val="Heading5"/>
        <w:rPr>
          <w:lang w:val="en-GB"/>
        </w:rPr>
      </w:pPr>
      <w:bookmarkStart w:id="63" w:name="_Toc98937886"/>
      <w:r w:rsidRPr="000E39AA">
        <w:rPr>
          <w:lang w:val="en-GB"/>
        </w:rPr>
        <w:t>4.3.2.3 Organoids</w:t>
      </w:r>
      <w:bookmarkEnd w:id="63"/>
    </w:p>
    <w:p w14:paraId="3714E167" w14:textId="05269BFE" w:rsidR="00F03759" w:rsidRDefault="00F03759" w:rsidP="00F03759">
      <w:pPr>
        <w:pStyle w:val="NormalWeb"/>
        <w:spacing w:before="0" w:beforeAutospacing="0" w:after="0" w:afterAutospacing="0" w:line="276" w:lineRule="auto"/>
        <w:jc w:val="both"/>
        <w:rPr>
          <w:rFonts w:ascii="Arial" w:hAnsi="Arial" w:cs="Arial"/>
          <w:color w:val="000000"/>
          <w:sz w:val="22"/>
          <w:szCs w:val="22"/>
        </w:rPr>
      </w:pPr>
      <w:r w:rsidRPr="000E39AA">
        <w:rPr>
          <w:rFonts w:ascii="Arial" w:hAnsi="Arial" w:cs="Arial"/>
          <w:sz w:val="22"/>
          <w:szCs w:val="22"/>
        </w:rPr>
        <w:t xml:space="preserve">Organoid models offer an attractive approach for the study of neural development and the testing of new treatments for neurological diseases </w:t>
      </w:r>
      <w:r w:rsidRPr="000E39AA">
        <w:rPr>
          <w:rFonts w:ascii="Arial" w:hAnsi="Arial" w:cs="Arial"/>
        </w:rPr>
        <w:fldChar w:fldCharType="begin" w:fldLock="1"/>
      </w:r>
      <w:r w:rsidR="00A445D5">
        <w:rPr>
          <w:rFonts w:ascii="Arial" w:hAnsi="Arial" w:cs="Arial"/>
          <w:sz w:val="22"/>
          <w:szCs w:val="22"/>
        </w:rPr>
        <w:instrText>ADDIN CSL_CITATION {"citationItems":[{"id":"ITEM-1","itemData":{"DOI":"10.1152/ajpcell.00120.2020","ISSN":"15221563","PMID":"32459504","abstract":"In vitro cell cultures are crucial research tools for modeling human development and diseases. Although the conventional mono-layer cell cultures have been widely used in the past, the lack of tissue architecture and complexity of such model fails to inform the true biological processes in vivo. Recent advances in the organoid technology have revolutionized the in vitro culture tools for biomedical research by creating powerful three-dimensional (3D) models to recapitulate the cellular heterogeneity, structure, and functions of the primary tissues. Such organoid technology enables researchers to recreate human organs and diseases in a dish and thus holds great promises for many translational applications such as regenerative medicine, drug discovery, and precision medicine. In this review, we provide an overview of the organoid history and development. We discuss the strengths and limitations of organoids as well as their potential applications in the laboratory and the clinic.","author":[{"dropping-particle":"","family":"Corrò","given":"Claudia","non-dropping-particle":"","parse-names":false,"suffix":""},{"dropping-particle":"","family":"Novellasdemunt","given":"Laura","non-dropping-particle":"","parse-names":false,"suffix":""},{"dropping-particle":"","family":"Li","given":"Vivian S.W.","non-dropping-particle":"","parse-names":false,"suffix":""}],"container-title":"American Journal of Physiology - Cell Physiology","id":"ITEM-1","issue":"1","issued":{"date-parts":[["2020"]]},"page":"C151-C165","title":"A brief history of organoids","type":"article-journal","volume":"319"},"uris":["http://www.mendeley.com/documents/?uuid=a2e05254-d5da-4f6b-85a1-30fb731bd121"]}],"mendeley":{"formattedCitation":"[67]","plainTextFormattedCitation":"[67]","previouslyFormattedCitation":"[67]"},"properties":{"noteIndex":0},"schema":"https://github.com/citation-style-language/schema/raw/master/csl-citation.json"}</w:instrText>
      </w:r>
      <w:r w:rsidRPr="000E39AA">
        <w:rPr>
          <w:rFonts w:ascii="Arial" w:hAnsi="Arial" w:cs="Arial"/>
        </w:rPr>
        <w:fldChar w:fldCharType="separate"/>
      </w:r>
      <w:r w:rsidR="0062132B" w:rsidRPr="0062132B">
        <w:rPr>
          <w:rFonts w:ascii="Arial" w:hAnsi="Arial" w:cs="Arial"/>
          <w:noProof/>
          <w:sz w:val="22"/>
          <w:szCs w:val="22"/>
        </w:rPr>
        <w:t>[67]</w:t>
      </w:r>
      <w:r w:rsidRPr="000E39AA">
        <w:rPr>
          <w:rFonts w:ascii="Arial" w:hAnsi="Arial" w:cs="Arial"/>
        </w:rPr>
        <w:fldChar w:fldCharType="end"/>
      </w:r>
      <w:r w:rsidRPr="000E39AA">
        <w:rPr>
          <w:rFonts w:ascii="Arial" w:hAnsi="Arial" w:cs="Arial"/>
          <w:sz w:val="22"/>
          <w:szCs w:val="22"/>
        </w:rPr>
        <w:t xml:space="preserve">. The seminal work </w:t>
      </w:r>
      <w:r w:rsidRPr="000E39AA">
        <w:rPr>
          <w:rFonts w:ascii="Arial" w:hAnsi="Arial" w:cs="Arial"/>
          <w:color w:val="000000"/>
          <w:sz w:val="22"/>
          <w:szCs w:val="22"/>
        </w:rPr>
        <w:t xml:space="preserve">of Lancaster and co-workers provided a method to produce 3D </w:t>
      </w:r>
      <w:r w:rsidRPr="000E39AA">
        <w:rPr>
          <w:rFonts w:ascii="Arial" w:hAnsi="Arial" w:cs="Arial"/>
          <w:color w:val="000000"/>
          <w:sz w:val="22"/>
          <w:szCs w:val="22"/>
          <w:shd w:val="clear" w:color="auto" w:fill="FFFFFF"/>
        </w:rPr>
        <w:t xml:space="preserve">cerebral human iPSCs-derived organoids </w:t>
      </w:r>
      <w:r w:rsidRPr="000E39AA">
        <w:rPr>
          <w:rFonts w:ascii="Arial" w:hAnsi="Arial"/>
          <w:color w:val="000000"/>
          <w:sz w:val="22"/>
        </w:rPr>
        <w:fldChar w:fldCharType="begin" w:fldLock="1"/>
      </w:r>
      <w:r w:rsidR="00A445D5">
        <w:rPr>
          <w:rFonts w:ascii="Arial" w:hAnsi="Arial" w:cs="Arial"/>
          <w:color w:val="000000"/>
          <w:sz w:val="22"/>
          <w:szCs w:val="22"/>
        </w:rPr>
        <w:instrText>ADDIN CSL_CITATION {"citationItems":[{"id":"ITEM-1","itemData":{"DOI":"10.1038/nature12517","ISSN":"00280836","PMID":"23995685","abstract":"The complexity of the human brain has made it difficult to study many brain disorders in model organisms, highlighting the need for an in vitro model of human brain development. Here we have developed a human pluripotent stem cell-derived three-dimensional organoid culture system, termed cerebral organoids, that develop various discrete, although interdependent, brain regions. These include a cerebral cortex containing progenitor populations that organize and produce mature cortical neuron subtypes. Furthermore, cerebral organoids are shown to recapitulate features of human cortical development, namely characteristic progenitor zone organization with abundant outer radial glial stem cells. Finally, we use RNA interference and patient-specific induced pluripotent stem cells to model microcephaly, a disorder that has been difficult to recapitulate in mice. We demonstrate premature neuronal differentiation in patient organoids, a defect that could help to explain the disease phenotype. Together, these data show that three-dimensional organoids can recapitulate development and disease even in this most complex human tissue. © 2013 Macmillan Publishers Limited. All rights reserved.","author":[{"dropping-particle":"","family":"Lancaster","given":"Madeline A.","non-dropping-particle":"","parse-names":false,"suffix":""},{"dropping-particle":"","family":"Renner","given":"Magdalena","non-dropping-particle":"","parse-names":false,"suffix":""},{"dropping-particle":"","family":"Martin","given":"Carol Anne","non-dropping-particle":"","parse-names":false,"suffix":""},{"dropping-particle":"","family":"Wenzel","given":"Daniel","non-dropping-particle":"","parse-names":false,"suffix":""},{"dropping-particle":"","family":"Bicknell","given":"Louise S.","non-dropping-particle":"","parse-names":false,"suffix":""},{"dropping-particle":"","family":"Hurles","given":"Matthew E.","non-dropping-particle":"","parse-names":false,"suffix":""},{"dropping-particle":"","family":"Homfray","given":"Tessa","non-dropping-particle":"","parse-names":false,"suffix":""},{"dropping-particle":"","family":"Penninger","given":"Josef M.","non-dropping-particle":"","parse-names":false,"suffix":""},{"dropping-particle":"","family":"Jackson","given":"Andrew P.","non-dropping-particle":"","parse-names":false,"suffix":""},{"dropping-particle":"","family":"Knoblich","given":"Juergen A.","non-dropping-particle":"","parse-names":false,"suffix":""}],"container-title":"Nature","id":"ITEM-1","issue":"7467","issued":{"date-parts":[["2013"]]},"page":"373-379","title":"Cerebral organoids model human brain development and microcephaly","type":"article-journal","volume":"501"},"uris":["http://www.mendeley.com/documents/?uuid=646d50b0-bd8a-4b11-a820-b06dab584459"]}],"mendeley":{"formattedCitation":"[129]","plainTextFormattedCitation":"[129]","previouslyFormattedCitation":"[129]"},"properties":{"noteIndex":0},"schema":"https://github.com/citation-style-language/schema/raw/master/csl-citation.json"}</w:instrText>
      </w:r>
      <w:r w:rsidRPr="000E39AA">
        <w:rPr>
          <w:rFonts w:ascii="Arial" w:hAnsi="Arial"/>
          <w:color w:val="000000"/>
          <w:sz w:val="22"/>
        </w:rPr>
        <w:fldChar w:fldCharType="separate"/>
      </w:r>
      <w:r w:rsidR="0062132B" w:rsidRPr="0062132B">
        <w:rPr>
          <w:rFonts w:ascii="Arial" w:hAnsi="Arial" w:cs="Arial"/>
          <w:noProof/>
          <w:color w:val="000000"/>
          <w:sz w:val="22"/>
          <w:szCs w:val="22"/>
        </w:rPr>
        <w:t>[129]</w:t>
      </w:r>
      <w:r w:rsidRPr="000E39AA">
        <w:rPr>
          <w:rFonts w:ascii="Arial" w:hAnsi="Arial"/>
          <w:color w:val="000000"/>
          <w:sz w:val="22"/>
        </w:rPr>
        <w:fldChar w:fldCharType="end"/>
      </w:r>
      <w:r w:rsidRPr="000E39AA">
        <w:rPr>
          <w:rFonts w:ascii="Arial" w:hAnsi="Arial" w:cs="Arial"/>
          <w:color w:val="000000"/>
          <w:sz w:val="22"/>
          <w:szCs w:val="22"/>
        </w:rPr>
        <w:t xml:space="preserve"> with</w:t>
      </w:r>
      <w:r w:rsidRPr="000E39AA">
        <w:rPr>
          <w:rFonts w:ascii="Arial" w:hAnsi="Arial"/>
          <w:color w:val="000000"/>
          <w:sz w:val="22"/>
        </w:rPr>
        <w:t xml:space="preserve"> the </w:t>
      </w:r>
      <w:r w:rsidRPr="000E39AA">
        <w:rPr>
          <w:rFonts w:ascii="Arial" w:hAnsi="Arial" w:cs="Arial"/>
          <w:color w:val="000000"/>
          <w:sz w:val="22"/>
          <w:szCs w:val="22"/>
        </w:rPr>
        <w:t>potential</w:t>
      </w:r>
      <w:r w:rsidRPr="000E39AA">
        <w:rPr>
          <w:rFonts w:ascii="Arial" w:hAnsi="Arial"/>
          <w:color w:val="000000"/>
          <w:sz w:val="22"/>
        </w:rPr>
        <w:t xml:space="preserve"> to </w:t>
      </w:r>
      <w:r w:rsidRPr="000E39AA">
        <w:rPr>
          <w:rFonts w:ascii="Arial" w:hAnsi="Arial" w:cs="Arial"/>
          <w:color w:val="000000"/>
          <w:sz w:val="22"/>
          <w:szCs w:val="22"/>
        </w:rPr>
        <w:t>apply</w:t>
      </w:r>
      <w:r w:rsidRPr="000E39AA">
        <w:rPr>
          <w:rFonts w:ascii="Arial" w:hAnsi="Arial"/>
          <w:color w:val="000000"/>
          <w:sz w:val="22"/>
        </w:rPr>
        <w:t xml:space="preserve"> </w:t>
      </w:r>
      <w:r w:rsidRPr="000E39AA">
        <w:rPr>
          <w:rFonts w:ascii="Arial" w:hAnsi="Arial" w:cs="Arial"/>
          <w:color w:val="000000"/>
          <w:sz w:val="22"/>
          <w:szCs w:val="22"/>
          <w:shd w:val="clear" w:color="auto" w:fill="FFFFFF"/>
        </w:rPr>
        <w:t>organoids to model aspects of human neurodevelopment and neurological diseases. Subsequent</w:t>
      </w:r>
      <w:r w:rsidR="00961CC1">
        <w:rPr>
          <w:rFonts w:ascii="Arial" w:hAnsi="Arial" w:cs="Arial"/>
          <w:color w:val="000000"/>
          <w:sz w:val="22"/>
          <w:szCs w:val="22"/>
          <w:shd w:val="clear" w:color="auto" w:fill="FFFFFF"/>
        </w:rPr>
        <w:t xml:space="preserve"> studies</w:t>
      </w:r>
      <w:r w:rsidR="000B5BE1">
        <w:rPr>
          <w:rFonts w:ascii="Arial" w:hAnsi="Arial" w:cs="Arial"/>
          <w:color w:val="000000"/>
          <w:sz w:val="22"/>
          <w:szCs w:val="22"/>
          <w:shd w:val="clear" w:color="auto" w:fill="FFFFFF"/>
        </w:rPr>
        <w:t xml:space="preserve"> developed protocols</w:t>
      </w:r>
      <w:r w:rsidRPr="000E39AA">
        <w:rPr>
          <w:rFonts w:ascii="Arial" w:hAnsi="Arial" w:cs="Arial"/>
          <w:color w:val="000000"/>
          <w:sz w:val="22"/>
          <w:szCs w:val="22"/>
          <w:shd w:val="clear" w:color="auto" w:fill="FFFFFF"/>
        </w:rPr>
        <w:t xml:space="preserve"> to reproduce organoids derived from specific brain regions. </w:t>
      </w:r>
      <w:r w:rsidR="000B5BE1">
        <w:rPr>
          <w:rFonts w:ascii="Arial" w:hAnsi="Arial" w:cs="Arial"/>
          <w:color w:val="000000"/>
          <w:sz w:val="22"/>
          <w:szCs w:val="22"/>
          <w:shd w:val="clear" w:color="auto" w:fill="FFFFFF"/>
        </w:rPr>
        <w:t xml:space="preserve">Thus, recently </w:t>
      </w:r>
      <w:r w:rsidRPr="000E39AA">
        <w:rPr>
          <w:rFonts w:ascii="Arial" w:hAnsi="Arial" w:cs="Arial"/>
          <w:color w:val="000000"/>
          <w:sz w:val="22"/>
          <w:szCs w:val="22"/>
        </w:rPr>
        <w:t>the differentiation of human pluripotent stem cells into a large multicellular organoid-like structure</w:t>
      </w:r>
      <w:r w:rsidR="00AB223E">
        <w:rPr>
          <w:rFonts w:ascii="Arial" w:hAnsi="Arial" w:cs="Arial"/>
          <w:color w:val="000000"/>
          <w:sz w:val="22"/>
          <w:szCs w:val="22"/>
        </w:rPr>
        <w:t xml:space="preserve"> has been reported</w:t>
      </w:r>
      <w:r w:rsidRPr="000E39AA">
        <w:rPr>
          <w:rFonts w:ascii="Arial" w:hAnsi="Arial" w:cs="Arial"/>
          <w:color w:val="000000"/>
          <w:sz w:val="22"/>
          <w:szCs w:val="22"/>
        </w:rPr>
        <w:t>, producing organoids with distinct layers of neuronal cells expressing genetic markers of human midbrain</w:t>
      </w:r>
      <w:r w:rsidR="00AB223E">
        <w:rPr>
          <w:rFonts w:ascii="Arial" w:hAnsi="Arial" w:cs="Arial"/>
          <w:color w:val="000000"/>
          <w:sz w:val="22"/>
          <w:szCs w:val="22"/>
        </w:rPr>
        <w:t xml:space="preserve"> </w:t>
      </w:r>
      <w:r w:rsidR="00AB223E" w:rsidRPr="000E39AA">
        <w:rPr>
          <w:rFonts w:ascii="Arial" w:hAnsi="Arial" w:cs="Arial"/>
          <w:color w:val="000000"/>
        </w:rPr>
        <w:fldChar w:fldCharType="begin" w:fldLock="1"/>
      </w:r>
      <w:r w:rsidR="00A445D5">
        <w:rPr>
          <w:rFonts w:ascii="Arial" w:hAnsi="Arial" w:cs="Arial"/>
          <w:color w:val="000000"/>
          <w:sz w:val="22"/>
          <w:szCs w:val="22"/>
        </w:rPr>
        <w:instrText>ADDIN CSL_CITATION {"citationItems":[{"id":"ITEM-1","itemData":{"DOI":"10.1016/j.stem.2016.07.005.Midbrain-like","ISBN":"0000287431","ISSN":"1471-2164","PMID":"25792328","abstract":"BACKGROUND Recent analyses of prokaryotic genome sequences have demonstrated the important force horizontal gene transfer constitutes in genome evolution. Horizontally acquired sequences are detectable by, among others, their dinucleotide composition (genome signature) dissimilarity with the host genome. Genomic islands (GIs) comprise important and interesting horizontally transferred sequences, but information about acquisition events or relatedness between GIs is scarce. In Vibrio vulnificus CMCP6, 10 and 11 GIs have previously been identified in the sequenced chromosomes I and II, respectively. We assessed the compositional similarity and putative acquisition account of these GIs using the genome signature. For this analysis we developed a new algorithm, available as a web application. RESULTS Of 21 GIs, VvI-1 and VvI-10 of chromosome I have similar genome signatures, and while artificially divided due to a linear annotation, they are adjacent on the circular chromosome and therefore comprise one GI. Similarly, GIs VvI-3 and VvI-4 of chromosome I together with the region between these two islands are compositionally similar, suggesting that they form one GI (making a total of 19 GIs in chromosome I + chromosome II). Cluster analysis assigned the 19 GIs to 11 different branches above our conservative threshold. This suggests a limited number of compositionally similar donors or intragenomic dispersion of ancestral acquisitions. Furthermore, 2 GIs of chromosome II cluster with chromosome I, while none of the 19 GIs group with chromosome II, suggesting an unidirectional dispersal of large anomalous gene clusters from chromosome I to chromosome II. CONCLUSION From the results, we infer 10 compositionally dissimilar donors for 19 GIs in the V. vulnificus CMCP6 genome, including chromosome I donating to chromosome II. This suggests multiple transfer events from individual donor types or from donors with similar genome signatures. Applied to other prokaryotes, this approach may elucidate the acquisition account in their genome sequences, and facilitate donor identification of GIs.","author":[{"dropping-particle":"","family":"Stem","given":"Cell","non-dropping-particle":"","parse-names":false,"suffix":""},{"dropping-particle":"","family":"Author","given":"Cell","non-dropping-particle":"","parse-names":false,"suffix":""},{"dropping-particle":"","family":"August","given":"P M C","non-dropping-particle":"","parse-names":false,"suffix":""},{"dropping-particle":"","family":"Jo","given":"Junghyun","non-dropping-particle":"","parse-names":false,"suffix":""},{"dropping-particle":"","family":"Xiao","given":"Yixin","non-dropping-particle":"","parse-names":false,"suffix":""},{"dropping-particle":"","family":"Sun","given":"Alfred Xuyang","non-dropping-particle":"","parse-names":false,"suffix":""},{"dropping-particle":"","family":"Cukuroglu","given":"Engin","non-dropping-particle":"","parse-names":false,"suffix":""},{"dropping-particle":"","family":"Tran","given":"Hoang-dai","non-dropping-particle":"","parse-names":false,"suffix":""},{"dropping-particle":"","family":"Göke","given":"Jonathan","non-dropping-particle":"","parse-names":false,"suffix":""},{"dropping-particle":"","family":"Tan","given":"Zi Ying","non-dropping-particle":"","parse-names":false,"suffix":""},{"dropping-particle":"","family":"Saw","given":"Tzuen Yih","non-dropping-particle":"","parse-names":false,"suffix":""},{"dropping-particle":"","family":"Tan","given":"Cheng-peow","non-dropping-particle":"","parse-names":false,"suffix":""},{"dropping-particle":"","family":"Lokman","given":"Hidayat","non-dropping-particle":"","parse-names":false,"suffix":""},{"dropping-particle":"","family":"Lee","given":"Younghwan","non-dropping-particle":"","parse-names":false,"suffix":""},{"dropping-particle":"","family":"Kim","given":"Donghoon","non-dropping-particle":"","parse-names":false,"suffix":""},{"dropping-particle":"","family":"Ko","given":"Han Seok","non-dropping-particle":"","parse-names":false,"suffix":""},{"dropping-particle":"","family":"Kim","given":"Seong-oh","non-dropping-particle":"","parse-names":false,"suffix":""},{"dropping-particle":"","family":"Park","given":"Jae Hyeon","non-dropping-particle":"","parse-names":false,"suffix":""}],"id":"ITEM-1","issue":"2","issued":{"date-parts":[["2017"]]},"page":"248-257","title":"HHS Public Access neurons","type":"article-journal","volume":"19"},"uris":["http://www.mendeley.com/documents/?uuid=f2a2c9dc-4d02-4be8-a15c-b2349180678f"]}],"mendeley":{"formattedCitation":"[130]","plainTextFormattedCitation":"[130]","previouslyFormattedCitation":"[130]"},"properties":{"noteIndex":0},"schema":"https://github.com/citation-style-language/schema/raw/master/csl-citation.json"}</w:instrText>
      </w:r>
      <w:r w:rsidR="00AB223E" w:rsidRPr="000E39AA">
        <w:rPr>
          <w:rFonts w:ascii="Arial" w:hAnsi="Arial" w:cs="Arial"/>
          <w:color w:val="000000"/>
        </w:rPr>
        <w:fldChar w:fldCharType="separate"/>
      </w:r>
      <w:r w:rsidR="0062132B" w:rsidRPr="0062132B">
        <w:rPr>
          <w:rFonts w:ascii="Arial" w:hAnsi="Arial" w:cs="Arial"/>
          <w:noProof/>
          <w:color w:val="000000"/>
          <w:sz w:val="22"/>
          <w:szCs w:val="22"/>
        </w:rPr>
        <w:t>[130]</w:t>
      </w:r>
      <w:r w:rsidR="00AB223E" w:rsidRPr="000E39AA">
        <w:rPr>
          <w:rFonts w:ascii="Arial" w:hAnsi="Arial" w:cs="Arial"/>
          <w:color w:val="000000"/>
        </w:rPr>
        <w:fldChar w:fldCharType="end"/>
      </w:r>
      <w:r w:rsidRPr="000E39AA">
        <w:rPr>
          <w:rFonts w:ascii="Arial" w:hAnsi="Arial" w:cs="Arial"/>
          <w:color w:val="000000"/>
          <w:sz w:val="22"/>
          <w:szCs w:val="22"/>
        </w:rPr>
        <w:t xml:space="preserve">. </w:t>
      </w:r>
    </w:p>
    <w:p w14:paraId="37180D14" w14:textId="10A8DA4E" w:rsidR="00F03759" w:rsidRPr="000E39AA" w:rsidRDefault="00F03759" w:rsidP="00F03759">
      <w:pPr>
        <w:pStyle w:val="NormalWeb"/>
        <w:spacing w:before="0" w:beforeAutospacing="0" w:after="0" w:afterAutospacing="0" w:line="276" w:lineRule="auto"/>
        <w:jc w:val="both"/>
        <w:rPr>
          <w:rFonts w:ascii="Arial" w:hAnsi="Arial" w:cs="Arial"/>
          <w:color w:val="000000"/>
          <w:sz w:val="22"/>
          <w:szCs w:val="22"/>
        </w:rPr>
      </w:pPr>
      <w:r w:rsidRPr="000E39AA">
        <w:rPr>
          <w:rFonts w:ascii="Arial" w:hAnsi="Arial" w:cs="Arial"/>
          <w:color w:val="000000"/>
          <w:sz w:val="22"/>
          <w:szCs w:val="22"/>
        </w:rPr>
        <w:t xml:space="preserve">In the nervous system, pain stimuli trigger sensory neurons, which in turn transmit the signal to neurons in the dorsal horn of the spinal cord. An organoid model to recapitulate </w:t>
      </w:r>
      <w:r w:rsidRPr="000E39AA">
        <w:rPr>
          <w:rFonts w:ascii="Arial" w:hAnsi="Arial" w:cs="Arial"/>
          <w:i/>
          <w:iCs/>
          <w:color w:val="000000"/>
          <w:sz w:val="22"/>
          <w:szCs w:val="22"/>
        </w:rPr>
        <w:t>in vitro</w:t>
      </w:r>
      <w:r w:rsidRPr="000E39AA">
        <w:rPr>
          <w:rFonts w:ascii="Arial" w:hAnsi="Arial" w:cs="Arial"/>
          <w:color w:val="000000"/>
          <w:sz w:val="22"/>
          <w:szCs w:val="22"/>
        </w:rPr>
        <w:t xml:space="preserve"> such an initial step of the nociceptive circuitry has been </w:t>
      </w:r>
      <w:r w:rsidR="00546C43">
        <w:rPr>
          <w:rFonts w:ascii="Arial" w:hAnsi="Arial" w:cs="Arial"/>
          <w:color w:val="000000"/>
          <w:sz w:val="22"/>
          <w:szCs w:val="22"/>
        </w:rPr>
        <w:t xml:space="preserve">recently </w:t>
      </w:r>
      <w:r w:rsidRPr="000E39AA">
        <w:rPr>
          <w:rFonts w:ascii="Arial" w:hAnsi="Arial" w:cs="Arial"/>
          <w:color w:val="000000"/>
          <w:sz w:val="22"/>
          <w:szCs w:val="22"/>
        </w:rPr>
        <w:t xml:space="preserve">reported </w:t>
      </w:r>
      <w:r w:rsidRPr="000E39AA">
        <w:rPr>
          <w:rFonts w:ascii="Arial" w:hAnsi="Arial" w:cs="Arial"/>
          <w:color w:val="000000"/>
          <w:sz w:val="22"/>
          <w:szCs w:val="22"/>
        </w:rPr>
        <w:fldChar w:fldCharType="begin" w:fldLock="1"/>
      </w:r>
      <w:r w:rsidR="00A445D5">
        <w:rPr>
          <w:rFonts w:ascii="Arial" w:hAnsi="Arial" w:cs="Arial"/>
          <w:color w:val="000000"/>
          <w:sz w:val="22"/>
          <w:szCs w:val="22"/>
        </w:rPr>
        <w:instrText>ADDIN CSL_CITATION {"citationItems":[{"id":"ITEM-1","itemData":{"DOI":"10.1021/acs.analchem.1c04641","ISSN":"0003-2700","author":[{"dropping-particle":"","family":"Ao","given":"Zheng","non-dropping-particle":"","parse-names":false,"suffix":""},{"dropping-particle":"","family":"Cai","given":"Hongwei","non-dropping-particle":"","parse-names":false,"suffix":""},{"dropping-particle":"","family":"Wu","given":"Zhuhao","non-dropping-particle":"","parse-names":false,"suffix":""},{"dropping-particle":"","family":"Krzesniak","given":"Jonathan","non-dropping-particle":"","parse-names":false,"suffix":""},{"dropping-particle":"","family":"Tian","given":"Chunhui","non-dropping-particle":"","parse-names":false,"suffix":""},{"dropping-particle":"","family":"Lai","given":"Yvonne Y","non-dropping-particle":"","parse-names":false,"suffix":""},{"dropping-particle":"","family":"Mackie","given":"Ken","non-dropping-particle":"","parse-names":false,"suffix":""},{"dropping-particle":"","family":"Guo","given":"Feng","non-dropping-particle":"","parse-names":false,"suffix":""}],"container-title":"Analytical Chemistry","id":"ITEM-1","issue":"2","issued":{"date-parts":[["2022","1","18"]]},"note":"doi: 10.1021/acs.analchem.1c04641","page":"1365-1372","publisher":"American Chemical Society","title":"Human Spinal Organoid-on-a-Chip to Model Nociceptive Circuitry for Pain Therapeutics Discovery","type":"article-journal","volume":"94"},"uris":["http://www.mendeley.com/documents/?uuid=4ff0e32f-f6da-4a6e-ad66-36a9b15319cb"]}],"mendeley":{"formattedCitation":"[131]","plainTextFormattedCitation":"[131]","previouslyFormattedCitation":"[131]"},"properties":{"noteIndex":0},"schema":"https://github.com/citation-style-language/schema/raw/master/csl-citation.json"}</w:instrText>
      </w:r>
      <w:r w:rsidRPr="000E39AA">
        <w:rPr>
          <w:rFonts w:ascii="Arial" w:hAnsi="Arial" w:cs="Arial"/>
          <w:color w:val="000000"/>
          <w:sz w:val="22"/>
          <w:szCs w:val="22"/>
        </w:rPr>
        <w:fldChar w:fldCharType="separate"/>
      </w:r>
      <w:r w:rsidR="0062132B" w:rsidRPr="0062132B">
        <w:rPr>
          <w:rFonts w:ascii="Arial" w:hAnsi="Arial" w:cs="Arial"/>
          <w:noProof/>
          <w:color w:val="000000"/>
          <w:sz w:val="22"/>
          <w:szCs w:val="22"/>
        </w:rPr>
        <w:t>[131]</w:t>
      </w:r>
      <w:r w:rsidRPr="000E39AA">
        <w:rPr>
          <w:rFonts w:ascii="Arial" w:hAnsi="Arial" w:cs="Arial"/>
          <w:color w:val="000000"/>
          <w:sz w:val="22"/>
          <w:szCs w:val="22"/>
        </w:rPr>
        <w:fldChar w:fldCharType="end"/>
      </w:r>
      <w:r w:rsidRPr="000E39AA">
        <w:rPr>
          <w:rFonts w:ascii="Arial" w:hAnsi="Arial" w:cs="Arial"/>
          <w:color w:val="000000"/>
          <w:sz w:val="22"/>
          <w:szCs w:val="22"/>
        </w:rPr>
        <w:t>.</w:t>
      </w:r>
      <w:r w:rsidR="00546C43">
        <w:rPr>
          <w:rFonts w:ascii="Arial" w:hAnsi="Arial" w:cs="Arial"/>
          <w:color w:val="000000"/>
          <w:sz w:val="22"/>
          <w:szCs w:val="22"/>
        </w:rPr>
        <w:t xml:space="preserve"> </w:t>
      </w:r>
      <w:proofErr w:type="spellStart"/>
      <w:r w:rsidRPr="000E39AA">
        <w:rPr>
          <w:rFonts w:ascii="Arial" w:hAnsi="Arial" w:cs="Arial"/>
          <w:color w:val="000000"/>
          <w:sz w:val="22"/>
          <w:szCs w:val="22"/>
        </w:rPr>
        <w:t>Ao</w:t>
      </w:r>
      <w:proofErr w:type="spellEnd"/>
      <w:r w:rsidRPr="000E39AA">
        <w:rPr>
          <w:rFonts w:ascii="Arial" w:hAnsi="Arial" w:cs="Arial"/>
          <w:color w:val="000000"/>
          <w:sz w:val="22"/>
          <w:szCs w:val="22"/>
        </w:rPr>
        <w:t xml:space="preserve"> and colleagues used an organoid-on-chip device made of a 3D printed holder with a porous polycarbonate membrane, in which a dorsal spinal cord organoid with both sensory neurons and dorsal spinal cord interneurons was maintained </w:t>
      </w:r>
      <w:r w:rsidR="0011630E">
        <w:rPr>
          <w:rFonts w:ascii="Arial" w:hAnsi="Arial" w:cs="Arial"/>
          <w:color w:val="000000"/>
          <w:sz w:val="22"/>
          <w:szCs w:val="22"/>
        </w:rPr>
        <w:t xml:space="preserve">at </w:t>
      </w:r>
      <w:r w:rsidRPr="000E39AA">
        <w:rPr>
          <w:rFonts w:ascii="Arial" w:hAnsi="Arial" w:cs="Arial"/>
          <w:color w:val="000000"/>
          <w:sz w:val="22"/>
          <w:szCs w:val="22"/>
        </w:rPr>
        <w:t xml:space="preserve">the air-liquid interface. The ability to produce nociceptive </w:t>
      </w:r>
      <w:r w:rsidRPr="000E39AA">
        <w:rPr>
          <w:rFonts w:ascii="Arial" w:hAnsi="Arial" w:cs="Arial"/>
          <w:color w:val="000000"/>
          <w:sz w:val="22"/>
          <w:szCs w:val="22"/>
        </w:rPr>
        <w:lastRenderedPageBreak/>
        <w:t xml:space="preserve">responses was validated upon stimulation with known pain-evoking substances, including mustard oil, capsaicin, velvet ant venom </w:t>
      </w:r>
      <w:r w:rsidR="0011630E">
        <w:rPr>
          <w:rFonts w:ascii="Arial" w:hAnsi="Arial" w:cs="Arial"/>
          <w:color w:val="000000"/>
          <w:sz w:val="22"/>
          <w:szCs w:val="22"/>
        </w:rPr>
        <w:t>as well as</w:t>
      </w:r>
      <w:r w:rsidRPr="000E39AA">
        <w:rPr>
          <w:rFonts w:ascii="Arial" w:hAnsi="Arial" w:cs="Arial"/>
          <w:color w:val="000000"/>
          <w:sz w:val="22"/>
          <w:szCs w:val="22"/>
        </w:rPr>
        <w:t xml:space="preserve"> temperature increase to trigger the thermosensitive nociceptive pathway. </w:t>
      </w:r>
      <w:r w:rsidR="00A865C7">
        <w:rPr>
          <w:rFonts w:ascii="Arial" w:hAnsi="Arial" w:cs="Arial"/>
          <w:color w:val="000000"/>
          <w:sz w:val="22"/>
          <w:szCs w:val="22"/>
        </w:rPr>
        <w:t>Thus, t</w:t>
      </w:r>
      <w:r w:rsidRPr="000E39AA">
        <w:rPr>
          <w:rFonts w:ascii="Arial" w:hAnsi="Arial" w:cs="Arial"/>
          <w:color w:val="000000"/>
          <w:sz w:val="22"/>
          <w:szCs w:val="22"/>
        </w:rPr>
        <w:t>he effect of pain relievers</w:t>
      </w:r>
      <w:r w:rsidR="00F84832">
        <w:rPr>
          <w:rFonts w:ascii="Arial" w:hAnsi="Arial" w:cs="Arial"/>
          <w:color w:val="000000"/>
          <w:sz w:val="22"/>
          <w:szCs w:val="22"/>
        </w:rPr>
        <w:t xml:space="preserve"> (e.g.,</w:t>
      </w:r>
      <w:r w:rsidR="00F84832" w:rsidRPr="000E39AA">
        <w:rPr>
          <w:rFonts w:ascii="Arial" w:hAnsi="Arial" w:cs="Arial"/>
          <w:color w:val="000000"/>
          <w:sz w:val="22"/>
          <w:szCs w:val="22"/>
        </w:rPr>
        <w:t xml:space="preserve"> </w:t>
      </w:r>
      <w:r w:rsidRPr="000E39AA">
        <w:rPr>
          <w:rFonts w:ascii="Arial" w:hAnsi="Arial" w:cs="Arial"/>
          <w:color w:val="000000"/>
          <w:sz w:val="22"/>
          <w:szCs w:val="22"/>
        </w:rPr>
        <w:t>cannabinoids</w:t>
      </w:r>
      <w:r w:rsidR="00F84832">
        <w:rPr>
          <w:rFonts w:ascii="Arial" w:hAnsi="Arial" w:cs="Arial"/>
          <w:color w:val="000000"/>
          <w:sz w:val="22"/>
          <w:szCs w:val="22"/>
        </w:rPr>
        <w:t>)</w:t>
      </w:r>
      <w:r w:rsidRPr="000E39AA">
        <w:rPr>
          <w:rFonts w:ascii="Arial" w:hAnsi="Arial" w:cs="Arial"/>
          <w:color w:val="000000"/>
          <w:sz w:val="22"/>
          <w:szCs w:val="22"/>
        </w:rPr>
        <w:t xml:space="preserve"> could be observed, </w:t>
      </w:r>
      <w:r w:rsidR="0011630E">
        <w:rPr>
          <w:rFonts w:ascii="Arial" w:hAnsi="Arial" w:cs="Arial"/>
          <w:color w:val="000000"/>
          <w:sz w:val="22"/>
          <w:szCs w:val="22"/>
        </w:rPr>
        <w:t xml:space="preserve">confirming a platform </w:t>
      </w:r>
      <w:r w:rsidRPr="000E39AA">
        <w:rPr>
          <w:rFonts w:ascii="Arial" w:hAnsi="Arial" w:cs="Arial"/>
          <w:color w:val="000000"/>
          <w:sz w:val="22"/>
          <w:szCs w:val="22"/>
        </w:rPr>
        <w:t xml:space="preserve">for functional pain modelling </w:t>
      </w:r>
      <w:r w:rsidRPr="000E39AA">
        <w:rPr>
          <w:rFonts w:ascii="Arial" w:hAnsi="Arial" w:cs="Arial"/>
          <w:i/>
          <w:iCs/>
          <w:color w:val="000000"/>
          <w:sz w:val="22"/>
          <w:szCs w:val="22"/>
        </w:rPr>
        <w:t>in vitro</w:t>
      </w:r>
      <w:r w:rsidR="00546C43">
        <w:rPr>
          <w:rFonts w:ascii="Arial" w:hAnsi="Arial" w:cs="Arial"/>
          <w:i/>
          <w:iCs/>
          <w:color w:val="000000"/>
          <w:sz w:val="22"/>
          <w:szCs w:val="22"/>
        </w:rPr>
        <w:t xml:space="preserve"> </w:t>
      </w:r>
      <w:r w:rsidR="00546C43" w:rsidRPr="000E39AA">
        <w:rPr>
          <w:rFonts w:ascii="Arial" w:hAnsi="Arial" w:cs="Arial"/>
          <w:color w:val="000000"/>
          <w:sz w:val="22"/>
          <w:szCs w:val="22"/>
        </w:rPr>
        <w:fldChar w:fldCharType="begin" w:fldLock="1"/>
      </w:r>
      <w:r w:rsidR="00A445D5">
        <w:rPr>
          <w:rFonts w:ascii="Arial" w:hAnsi="Arial" w:cs="Arial"/>
          <w:color w:val="000000"/>
          <w:sz w:val="22"/>
          <w:szCs w:val="22"/>
        </w:rPr>
        <w:instrText>ADDIN CSL_CITATION {"citationItems":[{"id":"ITEM-1","itemData":{"DOI":"10.1021/acs.analchem.1c04641","ISSN":"0003-2700","author":[{"dropping-particle":"","family":"Ao","given":"Zheng","non-dropping-particle":"","parse-names":false,"suffix":""},{"dropping-particle":"","family":"Cai","given":"Hongwei","non-dropping-particle":"","parse-names":false,"suffix":""},{"dropping-particle":"","family":"Wu","given":"Zhuhao","non-dropping-particle":"","parse-names":false,"suffix":""},{"dropping-particle":"","family":"Krzesniak","given":"Jonathan","non-dropping-particle":"","parse-names":false,"suffix":""},{"dropping-particle":"","family":"Tian","given":"Chunhui","non-dropping-particle":"","parse-names":false,"suffix":""},{"dropping-particle":"","family":"Lai","given":"Yvonne Y","non-dropping-particle":"","parse-names":false,"suffix":""},{"dropping-particle":"","family":"Mackie","given":"Ken","non-dropping-particle":"","parse-names":false,"suffix":""},{"dropping-particle":"","family":"Guo","given":"Feng","non-dropping-particle":"","parse-names":false,"suffix":""}],"container-title":"Analytical Chemistry","id":"ITEM-1","issue":"2","issued":{"date-parts":[["2022","1","18"]]},"note":"doi: 10.1021/acs.analchem.1c04641","page":"1365-1372","publisher":"American Chemical Society","title":"Human Spinal Organoid-on-a-Chip to Model Nociceptive Circuitry for Pain Therapeutics Discovery","type":"article-journal","volume":"94"},"uris":["http://www.mendeley.com/documents/?uuid=4ff0e32f-f6da-4a6e-ad66-36a9b15319cb"]}],"mendeley":{"formattedCitation":"[131]","plainTextFormattedCitation":"[131]","previouslyFormattedCitation":"[131]"},"properties":{"noteIndex":0},"schema":"https://github.com/citation-style-language/schema/raw/master/csl-citation.json"}</w:instrText>
      </w:r>
      <w:r w:rsidR="00546C43" w:rsidRPr="000E39AA">
        <w:rPr>
          <w:rFonts w:ascii="Arial" w:hAnsi="Arial" w:cs="Arial"/>
          <w:color w:val="000000"/>
          <w:sz w:val="22"/>
          <w:szCs w:val="22"/>
        </w:rPr>
        <w:fldChar w:fldCharType="separate"/>
      </w:r>
      <w:r w:rsidR="0062132B" w:rsidRPr="0062132B">
        <w:rPr>
          <w:rFonts w:ascii="Arial" w:hAnsi="Arial" w:cs="Arial"/>
          <w:noProof/>
          <w:color w:val="000000"/>
          <w:sz w:val="22"/>
          <w:szCs w:val="22"/>
        </w:rPr>
        <w:t>[131]</w:t>
      </w:r>
      <w:r w:rsidR="00546C43" w:rsidRPr="000E39AA">
        <w:rPr>
          <w:rFonts w:ascii="Arial" w:hAnsi="Arial" w:cs="Arial"/>
          <w:color w:val="000000"/>
          <w:sz w:val="22"/>
          <w:szCs w:val="22"/>
        </w:rPr>
        <w:fldChar w:fldCharType="end"/>
      </w:r>
      <w:r w:rsidRPr="000E39AA">
        <w:rPr>
          <w:rFonts w:ascii="Arial" w:hAnsi="Arial" w:cs="Arial"/>
          <w:color w:val="000000"/>
          <w:sz w:val="22"/>
          <w:szCs w:val="22"/>
        </w:rPr>
        <w:t xml:space="preserve">. </w:t>
      </w:r>
    </w:p>
    <w:p w14:paraId="7C95D4BE" w14:textId="02252F16" w:rsidR="00F03759" w:rsidRPr="000E39AA" w:rsidRDefault="00F03759" w:rsidP="0023525D">
      <w:pPr>
        <w:pStyle w:val="NormalWeb"/>
        <w:keepNext/>
        <w:spacing w:before="0" w:beforeAutospacing="0" w:after="0" w:afterAutospacing="0" w:line="276" w:lineRule="auto"/>
      </w:pPr>
    </w:p>
    <w:p w14:paraId="1931FCA4" w14:textId="77777777" w:rsidR="00F03759" w:rsidRPr="000E39AA" w:rsidRDefault="00F03759" w:rsidP="0023525D">
      <w:pPr>
        <w:pStyle w:val="Heading2"/>
      </w:pPr>
      <w:bookmarkStart w:id="64" w:name="_Toc98841761"/>
      <w:bookmarkStart w:id="65" w:name="_Toc98841768"/>
      <w:bookmarkStart w:id="66" w:name="_Toc98937887"/>
      <w:bookmarkEnd w:id="64"/>
      <w:bookmarkEnd w:id="65"/>
      <w:r w:rsidRPr="000E39AA">
        <w:t>3D models for mimicking bone pain</w:t>
      </w:r>
      <w:bookmarkEnd w:id="66"/>
    </w:p>
    <w:p w14:paraId="2DB5D707" w14:textId="1F705014" w:rsidR="00F03759" w:rsidRDefault="00F03759" w:rsidP="0011630E">
      <w:pPr>
        <w:spacing w:after="120" w:line="276" w:lineRule="auto"/>
        <w:jc w:val="both"/>
        <w:rPr>
          <w:rFonts w:ascii="Arial" w:hAnsi="Arial" w:cs="Arial"/>
        </w:rPr>
      </w:pPr>
      <w:bookmarkStart w:id="67" w:name="_Hlk96183865"/>
      <w:r w:rsidRPr="000E39AA">
        <w:rPr>
          <w:rFonts w:ascii="Arial" w:hAnsi="Arial" w:cs="Arial"/>
        </w:rPr>
        <w:t xml:space="preserve">Bone pain models have </w:t>
      </w:r>
      <w:r w:rsidR="00731590">
        <w:rPr>
          <w:rFonts w:ascii="Arial" w:hAnsi="Arial" w:cs="Arial"/>
        </w:rPr>
        <w:t xml:space="preserve">preferentially </w:t>
      </w:r>
      <w:r w:rsidRPr="000E39AA">
        <w:rPr>
          <w:rFonts w:ascii="Arial" w:hAnsi="Arial" w:cs="Arial"/>
        </w:rPr>
        <w:t xml:space="preserve">involved the use of </w:t>
      </w:r>
      <w:r w:rsidRPr="000E39AA">
        <w:rPr>
          <w:rFonts w:ascii="Arial" w:hAnsi="Arial" w:cs="Arial"/>
          <w:i/>
          <w:iCs/>
        </w:rPr>
        <w:t>in vivo</w:t>
      </w:r>
      <w:r w:rsidRPr="000E39AA">
        <w:rPr>
          <w:rFonts w:ascii="Arial" w:hAnsi="Arial" w:cs="Arial"/>
        </w:rPr>
        <w:t xml:space="preserve"> platforms for the monitoring of disease progression and therapeutic efficacy analysis for bone pain treatment and despite obvious limitations arising from species differences, offer a translational route to clinical application (</w:t>
      </w:r>
      <w:r w:rsidRPr="000E39AA">
        <w:rPr>
          <w:rFonts w:ascii="Arial" w:hAnsi="Arial" w:cs="Arial"/>
          <w:b/>
          <w:bCs/>
        </w:rPr>
        <w:t>Table 1</w:t>
      </w:r>
      <w:r w:rsidRPr="000E39AA">
        <w:rPr>
          <w:rFonts w:ascii="Arial" w:hAnsi="Arial" w:cs="Arial"/>
        </w:rPr>
        <w:t xml:space="preserve">). Osteoporotic, osteoarthritic and cancer-related bone fractures are examined in pre-clinical models for the study of bone pain with a focus on the generation of functional </w:t>
      </w:r>
      <w:r w:rsidRPr="000E39AA">
        <w:rPr>
          <w:rFonts w:ascii="Arial" w:hAnsi="Arial" w:cs="Arial"/>
          <w:i/>
          <w:iCs/>
        </w:rPr>
        <w:t>in vivo</w:t>
      </w:r>
      <w:r w:rsidRPr="000E39AA">
        <w:rPr>
          <w:rFonts w:ascii="Arial" w:hAnsi="Arial" w:cs="Arial"/>
        </w:rPr>
        <w:t xml:space="preserve"> or</w:t>
      </w:r>
      <w:r w:rsidRPr="000E39AA">
        <w:rPr>
          <w:rFonts w:ascii="Arial" w:hAnsi="Arial" w:cs="Arial"/>
          <w:i/>
          <w:iCs/>
        </w:rPr>
        <w:t xml:space="preserve"> in vitro</w:t>
      </w:r>
      <w:r w:rsidRPr="000E39AA">
        <w:rPr>
          <w:rFonts w:ascii="Arial" w:hAnsi="Arial" w:cs="Arial"/>
        </w:rPr>
        <w:t xml:space="preserve"> models to recapitulate the mechanism underlying the disease conditions, to develop effective treatment strategies </w:t>
      </w:r>
      <w:r w:rsidRPr="000E39AA">
        <w:rPr>
          <w:rFonts w:ascii="Arial" w:hAnsi="Arial" w:cs="Arial"/>
        </w:rPr>
        <w:fldChar w:fldCharType="begin" w:fldLock="1"/>
      </w:r>
      <w:r w:rsidR="00A445D5">
        <w:rPr>
          <w:rFonts w:ascii="Arial" w:hAnsi="Arial" w:cs="Arial"/>
        </w:rPr>
        <w:instrText>ADDIN CSL_CITATION {"citationItems":[{"id":"ITEM-1","itemData":{"DOI":"10.1007/978-1-4939-8997-3_23","ISBN":"9781493989973","ISSN":"10643745","PMID":"30729479","abstract":"Bone pain is a prevalent issue in society today and also is one of the hardest types of pain to control. Pain originating in the bone can be caused by many different entities including metastatic and primary neoplasm, fracture, osteoarthritis as well as numerous other metabolic disorders. In this chapter we describe the methods and protocols that currently are accepted and validated for the study of bone pain in models of metastatic cancer, bicortical fracture and osteoarthritis. These animal models provide invaluable information as to the nature of bone pain and give rise to potential new targets for its treatment and management.","author":[{"dropping-particle":"","family":"Thompson","given":"Austen L.","non-dropping-particle":"","parse-names":false,"suffix":""},{"dropping-particle":"","family":"Largent-Milnes","given":"Tally M.","non-dropping-particle":"","parse-names":false,"suffix":""},{"dropping-particle":"","family":"Vanderah","given":"Todd W.","non-dropping-particle":"","parse-names":false,"suffix":""}],"container-title":"Methods in Molecular Biology","id":"ITEM-1","issued":{"date-parts":[["2019"]]},"page":"391-407","title":"Animal models for the study of bone-derived pain","type":"article-journal","volume":"1914"},"uris":["http://www.mendeley.com/documents/?uuid=a03cc56e-b29f-4871-87ed-3625ae72b9ef"]}],"mendeley":{"formattedCitation":"[132]","plainTextFormattedCitation":"[132]","previouslyFormattedCitation":"[132]"},"properties":{"noteIndex":0},"schema":"https://github.com/citation-style-language/schema/raw/master/csl-citation.json"}</w:instrText>
      </w:r>
      <w:r w:rsidRPr="000E39AA">
        <w:rPr>
          <w:rFonts w:ascii="Arial" w:hAnsi="Arial" w:cs="Arial"/>
        </w:rPr>
        <w:fldChar w:fldCharType="separate"/>
      </w:r>
      <w:r w:rsidR="0062132B" w:rsidRPr="0062132B">
        <w:rPr>
          <w:rFonts w:ascii="Arial" w:hAnsi="Arial" w:cs="Arial"/>
          <w:noProof/>
        </w:rPr>
        <w:t>[132]</w:t>
      </w:r>
      <w:r w:rsidRPr="000E39AA">
        <w:rPr>
          <w:rFonts w:ascii="Arial" w:hAnsi="Arial" w:cs="Arial"/>
        </w:rPr>
        <w:fldChar w:fldCharType="end"/>
      </w:r>
      <w:r w:rsidRPr="000E39AA">
        <w:rPr>
          <w:rFonts w:ascii="Arial" w:hAnsi="Arial" w:cs="Arial"/>
        </w:rPr>
        <w:t xml:space="preserve">. </w:t>
      </w:r>
    </w:p>
    <w:p w14:paraId="79E7DBB0" w14:textId="77777777" w:rsidR="001B7894" w:rsidRPr="000E39AA" w:rsidRDefault="001B7894" w:rsidP="001B7894">
      <w:pPr>
        <w:pStyle w:val="Caption"/>
        <w:keepNext/>
        <w:rPr>
          <w:rFonts w:ascii="Arial" w:hAnsi="Arial" w:cs="Arial"/>
          <w:i w:val="0"/>
          <w:iCs w:val="0"/>
          <w:color w:val="auto"/>
        </w:rPr>
      </w:pPr>
      <w:r w:rsidRPr="000E39AA">
        <w:rPr>
          <w:rFonts w:ascii="Arial" w:hAnsi="Arial" w:cs="Arial"/>
          <w:b/>
          <w:bCs/>
          <w:i w:val="0"/>
          <w:iCs w:val="0"/>
          <w:color w:val="auto"/>
        </w:rPr>
        <w:t xml:space="preserve">Table </w:t>
      </w:r>
      <w:r w:rsidRPr="000E39AA">
        <w:rPr>
          <w:rFonts w:ascii="Arial" w:hAnsi="Arial" w:cs="Arial"/>
          <w:b/>
          <w:bCs/>
          <w:i w:val="0"/>
          <w:iCs w:val="0"/>
          <w:color w:val="auto"/>
        </w:rPr>
        <w:fldChar w:fldCharType="begin"/>
      </w:r>
      <w:r w:rsidRPr="000E39AA">
        <w:rPr>
          <w:rFonts w:ascii="Arial" w:hAnsi="Arial" w:cs="Arial"/>
          <w:b/>
          <w:bCs/>
          <w:i w:val="0"/>
          <w:iCs w:val="0"/>
          <w:color w:val="auto"/>
        </w:rPr>
        <w:instrText xml:space="preserve"> SEQ Table \* ARABIC </w:instrText>
      </w:r>
      <w:r w:rsidRPr="000E39AA">
        <w:rPr>
          <w:rFonts w:ascii="Arial" w:hAnsi="Arial" w:cs="Arial"/>
          <w:b/>
          <w:bCs/>
          <w:i w:val="0"/>
          <w:iCs w:val="0"/>
          <w:color w:val="auto"/>
        </w:rPr>
        <w:fldChar w:fldCharType="separate"/>
      </w:r>
      <w:r w:rsidRPr="000E39AA">
        <w:rPr>
          <w:rFonts w:ascii="Arial" w:hAnsi="Arial" w:cs="Arial"/>
          <w:b/>
          <w:bCs/>
          <w:i w:val="0"/>
          <w:iCs w:val="0"/>
          <w:noProof/>
          <w:color w:val="auto"/>
        </w:rPr>
        <w:t>1</w:t>
      </w:r>
      <w:r w:rsidRPr="000E39AA">
        <w:rPr>
          <w:rFonts w:ascii="Arial" w:hAnsi="Arial" w:cs="Arial"/>
          <w:b/>
          <w:bCs/>
          <w:i w:val="0"/>
          <w:iCs w:val="0"/>
          <w:color w:val="auto"/>
        </w:rPr>
        <w:fldChar w:fldCharType="end"/>
      </w:r>
      <w:r w:rsidRPr="000E39AA">
        <w:rPr>
          <w:rFonts w:ascii="Arial" w:hAnsi="Arial" w:cs="Arial"/>
          <w:b/>
          <w:bCs/>
          <w:i w:val="0"/>
          <w:iCs w:val="0"/>
          <w:color w:val="auto"/>
        </w:rPr>
        <w:t>.</w:t>
      </w:r>
      <w:r w:rsidRPr="000E39AA">
        <w:rPr>
          <w:rFonts w:ascii="Arial" w:hAnsi="Arial" w:cs="Arial"/>
          <w:i w:val="0"/>
          <w:iCs w:val="0"/>
          <w:color w:val="auto"/>
        </w:rPr>
        <w:t xml:space="preserve"> Bone pain models with associated therapeutics findings or planned studies.</w:t>
      </w:r>
    </w:p>
    <w:tbl>
      <w:tblPr>
        <w:tblW w:w="9045" w:type="dxa"/>
        <w:tblLayout w:type="fixed"/>
        <w:tblLook w:val="04A0" w:firstRow="1" w:lastRow="0" w:firstColumn="1" w:lastColumn="0" w:noHBand="0" w:noVBand="1"/>
      </w:tblPr>
      <w:tblGrid>
        <w:gridCol w:w="2211"/>
        <w:gridCol w:w="3176"/>
        <w:gridCol w:w="2524"/>
        <w:gridCol w:w="1134"/>
      </w:tblGrid>
      <w:tr w:rsidR="001B7894" w:rsidRPr="000E39AA" w14:paraId="33DDC3BD" w14:textId="77777777" w:rsidTr="00735174">
        <w:trPr>
          <w:trHeight w:val="397"/>
        </w:trPr>
        <w:tc>
          <w:tcPr>
            <w:tcW w:w="2211" w:type="dxa"/>
            <w:tcBorders>
              <w:top w:val="nil"/>
              <w:left w:val="nil"/>
              <w:bottom w:val="single" w:sz="4" w:space="0" w:color="auto"/>
              <w:right w:val="nil"/>
            </w:tcBorders>
            <w:shd w:val="clear" w:color="auto" w:fill="F2F2F2" w:themeFill="background1" w:themeFillShade="F2"/>
            <w:noWrap/>
            <w:vAlign w:val="center"/>
            <w:hideMark/>
          </w:tcPr>
          <w:p w14:paraId="4EE3D6DD" w14:textId="77777777" w:rsidR="001B7894" w:rsidRPr="000E39AA" w:rsidRDefault="001B7894" w:rsidP="00735174">
            <w:pPr>
              <w:spacing w:after="0" w:line="240" w:lineRule="auto"/>
              <w:jc w:val="center"/>
              <w:rPr>
                <w:rFonts w:ascii="Arial" w:eastAsia="Times New Roman" w:hAnsi="Arial" w:cs="Arial"/>
                <w:b/>
                <w:bCs/>
                <w:color w:val="000000"/>
                <w:lang w:eastAsia="en-GB"/>
              </w:rPr>
            </w:pPr>
            <w:r w:rsidRPr="000E39AA">
              <w:rPr>
                <w:rFonts w:ascii="Arial" w:eastAsia="Times New Roman" w:hAnsi="Arial" w:cs="Arial"/>
                <w:b/>
                <w:bCs/>
                <w:color w:val="000000"/>
                <w:lang w:eastAsia="en-GB"/>
              </w:rPr>
              <w:t>Model</w:t>
            </w:r>
          </w:p>
        </w:tc>
        <w:tc>
          <w:tcPr>
            <w:tcW w:w="3176" w:type="dxa"/>
            <w:tcBorders>
              <w:top w:val="nil"/>
              <w:left w:val="nil"/>
              <w:bottom w:val="single" w:sz="4" w:space="0" w:color="auto"/>
              <w:right w:val="nil"/>
            </w:tcBorders>
            <w:shd w:val="clear" w:color="auto" w:fill="F2F2F2" w:themeFill="background1" w:themeFillShade="F2"/>
            <w:noWrap/>
            <w:vAlign w:val="center"/>
            <w:hideMark/>
          </w:tcPr>
          <w:p w14:paraId="15B6B3BB" w14:textId="77777777" w:rsidR="001B7894" w:rsidRPr="000E39AA" w:rsidRDefault="001B7894" w:rsidP="00735174">
            <w:pPr>
              <w:spacing w:after="0" w:line="240" w:lineRule="auto"/>
              <w:jc w:val="center"/>
              <w:rPr>
                <w:rFonts w:ascii="Arial" w:eastAsia="Times New Roman" w:hAnsi="Arial" w:cs="Arial"/>
                <w:b/>
                <w:bCs/>
                <w:color w:val="000000"/>
                <w:lang w:eastAsia="en-GB"/>
              </w:rPr>
            </w:pPr>
            <w:r w:rsidRPr="000E39AA">
              <w:rPr>
                <w:rFonts w:ascii="Arial" w:eastAsia="Times New Roman" w:hAnsi="Arial" w:cs="Arial"/>
                <w:b/>
                <w:bCs/>
                <w:color w:val="000000"/>
                <w:lang w:eastAsia="en-GB"/>
              </w:rPr>
              <w:t>Animal</w:t>
            </w:r>
          </w:p>
        </w:tc>
        <w:tc>
          <w:tcPr>
            <w:tcW w:w="2524" w:type="dxa"/>
            <w:tcBorders>
              <w:top w:val="nil"/>
              <w:left w:val="nil"/>
              <w:bottom w:val="single" w:sz="4" w:space="0" w:color="auto"/>
              <w:right w:val="nil"/>
            </w:tcBorders>
            <w:shd w:val="clear" w:color="auto" w:fill="F2F2F2" w:themeFill="background1" w:themeFillShade="F2"/>
            <w:noWrap/>
            <w:vAlign w:val="center"/>
            <w:hideMark/>
          </w:tcPr>
          <w:p w14:paraId="1D19BF70" w14:textId="77777777" w:rsidR="001B7894" w:rsidRPr="000E39AA" w:rsidRDefault="001B7894" w:rsidP="00735174">
            <w:pPr>
              <w:spacing w:after="0" w:line="240" w:lineRule="auto"/>
              <w:jc w:val="center"/>
              <w:rPr>
                <w:rFonts w:ascii="Arial" w:eastAsia="Times New Roman" w:hAnsi="Arial" w:cs="Arial"/>
                <w:b/>
                <w:bCs/>
                <w:color w:val="000000"/>
                <w:lang w:eastAsia="en-GB"/>
              </w:rPr>
            </w:pPr>
            <w:r w:rsidRPr="000E39AA">
              <w:rPr>
                <w:rFonts w:ascii="Arial" w:eastAsia="Times New Roman" w:hAnsi="Arial" w:cs="Arial"/>
                <w:b/>
                <w:bCs/>
                <w:color w:val="000000"/>
                <w:lang w:eastAsia="en-GB"/>
              </w:rPr>
              <w:t>Therapy/Study</w:t>
            </w:r>
          </w:p>
        </w:tc>
        <w:tc>
          <w:tcPr>
            <w:tcW w:w="1134" w:type="dxa"/>
            <w:tcBorders>
              <w:top w:val="nil"/>
              <w:left w:val="nil"/>
              <w:bottom w:val="single" w:sz="4" w:space="0" w:color="auto"/>
              <w:right w:val="nil"/>
            </w:tcBorders>
            <w:shd w:val="clear" w:color="auto" w:fill="F2F2F2" w:themeFill="background1" w:themeFillShade="F2"/>
            <w:noWrap/>
            <w:vAlign w:val="center"/>
            <w:hideMark/>
          </w:tcPr>
          <w:p w14:paraId="7FD1EF7E" w14:textId="77777777" w:rsidR="001B7894" w:rsidRPr="000E39AA" w:rsidRDefault="001B7894" w:rsidP="00735174">
            <w:pPr>
              <w:spacing w:after="0" w:line="240" w:lineRule="auto"/>
              <w:ind w:left="38" w:hanging="38"/>
              <w:jc w:val="center"/>
              <w:rPr>
                <w:rFonts w:ascii="Arial" w:eastAsia="Times New Roman" w:hAnsi="Arial" w:cs="Arial"/>
                <w:b/>
                <w:bCs/>
                <w:color w:val="000000"/>
                <w:lang w:eastAsia="en-GB"/>
              </w:rPr>
            </w:pPr>
            <w:r w:rsidRPr="000E39AA">
              <w:rPr>
                <w:rFonts w:ascii="Arial" w:eastAsia="Times New Roman" w:hAnsi="Arial" w:cs="Arial"/>
                <w:b/>
                <w:bCs/>
                <w:color w:val="000000"/>
                <w:lang w:eastAsia="en-GB"/>
              </w:rPr>
              <w:t>REF</w:t>
            </w:r>
          </w:p>
        </w:tc>
      </w:tr>
      <w:tr w:rsidR="001B7894" w:rsidRPr="000E39AA" w14:paraId="6521AC18" w14:textId="77777777" w:rsidTr="00735174">
        <w:trPr>
          <w:trHeight w:val="643"/>
        </w:trPr>
        <w:tc>
          <w:tcPr>
            <w:tcW w:w="2211" w:type="dxa"/>
            <w:vMerge w:val="restart"/>
            <w:tcBorders>
              <w:top w:val="single" w:sz="4" w:space="0" w:color="auto"/>
              <w:left w:val="nil"/>
              <w:bottom w:val="nil"/>
              <w:right w:val="nil"/>
            </w:tcBorders>
            <w:shd w:val="clear" w:color="auto" w:fill="auto"/>
            <w:vAlign w:val="center"/>
            <w:hideMark/>
          </w:tcPr>
          <w:p w14:paraId="5DAAF303" w14:textId="77777777" w:rsidR="001B7894" w:rsidRPr="000E39AA" w:rsidRDefault="001B7894" w:rsidP="00735174">
            <w:pPr>
              <w:spacing w:after="0" w:line="240" w:lineRule="auto"/>
              <w:jc w:val="center"/>
              <w:rPr>
                <w:rFonts w:ascii="Arial" w:eastAsia="Times New Roman" w:hAnsi="Arial" w:cs="Arial"/>
                <w:i/>
                <w:iCs/>
                <w:color w:val="000000"/>
                <w:sz w:val="18"/>
                <w:szCs w:val="18"/>
                <w:lang w:eastAsia="en-GB"/>
              </w:rPr>
            </w:pPr>
            <w:r w:rsidRPr="000E39AA">
              <w:rPr>
                <w:rFonts w:ascii="Arial" w:eastAsia="Times New Roman" w:hAnsi="Arial" w:cs="Arial"/>
                <w:i/>
                <w:iCs/>
                <w:color w:val="000000"/>
                <w:sz w:val="18"/>
                <w:szCs w:val="18"/>
                <w:lang w:eastAsia="en-GB"/>
              </w:rPr>
              <w:t>Cancer bone pain</w:t>
            </w:r>
          </w:p>
        </w:tc>
        <w:tc>
          <w:tcPr>
            <w:tcW w:w="3176" w:type="dxa"/>
            <w:tcBorders>
              <w:top w:val="single" w:sz="4" w:space="0" w:color="auto"/>
              <w:left w:val="nil"/>
              <w:bottom w:val="nil"/>
              <w:right w:val="nil"/>
            </w:tcBorders>
            <w:shd w:val="clear" w:color="auto" w:fill="auto"/>
            <w:vAlign w:val="center"/>
            <w:hideMark/>
          </w:tcPr>
          <w:p w14:paraId="0239B3A1" w14:textId="77777777" w:rsidR="001B7894" w:rsidRPr="000E39AA" w:rsidRDefault="001B7894" w:rsidP="00735174">
            <w:pPr>
              <w:spacing w:after="0" w:line="240" w:lineRule="auto"/>
              <w:rPr>
                <w:rFonts w:ascii="Arial" w:eastAsia="Times New Roman" w:hAnsi="Arial" w:cs="Arial"/>
                <w:color w:val="000000"/>
                <w:sz w:val="18"/>
                <w:szCs w:val="18"/>
                <w:lang w:eastAsia="en-GB"/>
              </w:rPr>
            </w:pPr>
            <w:r w:rsidRPr="000E39AA">
              <w:rPr>
                <w:rFonts w:ascii="Arial" w:eastAsia="Times New Roman" w:hAnsi="Arial" w:cs="Arial"/>
                <w:color w:val="000000"/>
                <w:sz w:val="18"/>
                <w:szCs w:val="18"/>
                <w:lang w:eastAsia="en-GB"/>
              </w:rPr>
              <w:t>Rats with implantation of MAT B III (adenocarcinoma) cells</w:t>
            </w:r>
          </w:p>
        </w:tc>
        <w:tc>
          <w:tcPr>
            <w:tcW w:w="2524" w:type="dxa"/>
            <w:tcBorders>
              <w:top w:val="single" w:sz="4" w:space="0" w:color="auto"/>
              <w:left w:val="nil"/>
              <w:bottom w:val="nil"/>
              <w:right w:val="nil"/>
            </w:tcBorders>
            <w:shd w:val="clear" w:color="auto" w:fill="auto"/>
            <w:vAlign w:val="center"/>
            <w:hideMark/>
          </w:tcPr>
          <w:p w14:paraId="7AACCC6D" w14:textId="77777777" w:rsidR="001B7894" w:rsidRPr="000E39AA" w:rsidRDefault="001B7894" w:rsidP="00735174">
            <w:pPr>
              <w:spacing w:after="0" w:line="240" w:lineRule="auto"/>
              <w:rPr>
                <w:rFonts w:ascii="Arial" w:eastAsia="Times New Roman" w:hAnsi="Arial" w:cs="Arial"/>
                <w:color w:val="000000"/>
                <w:sz w:val="18"/>
                <w:szCs w:val="18"/>
                <w:lang w:eastAsia="en-GB"/>
              </w:rPr>
            </w:pPr>
            <w:r w:rsidRPr="000E39AA">
              <w:rPr>
                <w:rFonts w:ascii="Arial" w:eastAsia="Times New Roman" w:hAnsi="Arial" w:cs="Arial"/>
                <w:color w:val="000000"/>
                <w:sz w:val="18"/>
                <w:szCs w:val="18"/>
                <w:lang w:eastAsia="en-GB"/>
              </w:rPr>
              <w:t>Blockade of IL-6</w:t>
            </w:r>
          </w:p>
        </w:tc>
        <w:tc>
          <w:tcPr>
            <w:tcW w:w="1134" w:type="dxa"/>
            <w:tcBorders>
              <w:top w:val="single" w:sz="4" w:space="0" w:color="auto"/>
              <w:left w:val="nil"/>
              <w:bottom w:val="nil"/>
              <w:right w:val="nil"/>
            </w:tcBorders>
            <w:shd w:val="clear" w:color="auto" w:fill="auto"/>
            <w:noWrap/>
            <w:vAlign w:val="center"/>
            <w:hideMark/>
          </w:tcPr>
          <w:p w14:paraId="522B607E" w14:textId="7601F286" w:rsidR="001B7894" w:rsidRPr="000E39AA" w:rsidRDefault="001B7894" w:rsidP="00735174">
            <w:pPr>
              <w:spacing w:after="0" w:line="240" w:lineRule="auto"/>
              <w:rPr>
                <w:rFonts w:ascii="Arial" w:eastAsia="Times New Roman" w:hAnsi="Arial" w:cs="Arial"/>
                <w:color w:val="000000"/>
                <w:sz w:val="18"/>
                <w:szCs w:val="18"/>
                <w:lang w:eastAsia="en-GB"/>
              </w:rPr>
            </w:pPr>
            <w:r w:rsidRPr="000E39AA">
              <w:rPr>
                <w:rFonts w:ascii="Arial" w:eastAsia="Times New Roman" w:hAnsi="Arial" w:cs="Arial"/>
                <w:color w:val="000000"/>
                <w:sz w:val="18"/>
                <w:szCs w:val="18"/>
                <w:lang w:eastAsia="en-GB"/>
              </w:rPr>
              <w:fldChar w:fldCharType="begin" w:fldLock="1"/>
            </w:r>
            <w:r w:rsidR="00A445D5">
              <w:rPr>
                <w:rFonts w:ascii="Arial" w:eastAsia="Times New Roman" w:hAnsi="Arial" w:cs="Arial"/>
                <w:color w:val="000000"/>
                <w:sz w:val="18"/>
                <w:szCs w:val="18"/>
                <w:lang w:eastAsia="en-GB"/>
              </w:rPr>
              <w:instrText>ADDIN CSL_CITATION {"citationItems":[{"id":"ITEM-1","itemData":{"DOI":"10.1097/j.pain.0000000000001139","ISBN":"0000000000","ISSN":"0304-3959","PMID":"29300279","abstract":"Metastasis of cancer to the skeleton represents a debilitating turning point in the lives of patients. Skeletal metastasis leads to moderate to severe ongoing pain along with bone remodeling that can result in fracture, events that dramatically diminish quality of life. Interleukin-6 (IL-6) levels are elevated in patients with metastatic breast cancer and are associated with a lower survival rate. We therefore determined the consequences of inhibition of IL-6 signaling using a novel small molecule antagonist, TB-2-081, on bone integrity, tumor progression, and pain in a rodent model of breast cancer. Rat MAT B III mammary adenocarcinoma cells were injected and sealed within the tibia of female Fischer rats. Growth of these cells within the rat tibia elicited increased IL-6 levels both within the bone exudate and in the plasma, produced ongoing pain and evoked hypersensitivity, and bone fracture that was observed by approximately day 12. Systemic TB-2-081 delivered by subcutaneous osmotic minipumps starting at tumor implantation prevented tumor-induced ongoing bone pain and evoked hypersensitivity without altering tumor growth. Remarkably, TB-2-081 infusion significantly reduced osteolytic and osteoblastic bone remodeling and time to fracture likely by decreasing osteoclastogenesis and associated increase in bone resorption. These findings indicate that blockade of IL-6 signaling may represent a viable, disease-modifying strategy to prevent tumor-induced bone remodeling allowing for stabilization of bone and decreased fractures as well as diminished ongoing pain that may improve quality of life of patients with skeletal metastases. Notably, anti-IL-6 antibodies are clinically available allowing for rapid testing of these possibilities in humans.","author":[{"dropping-particle":"","family":"Remeniuk","given":"Bethany","non-dropping-particle":"","parse-names":false,"suffix":""},{"dropping-particle":"","family":"King","given":"Tamara","non-dropping-particle":"","parse-names":false,"suffix":""},{"dropping-particle":"","family":"Sukhtankar","given":"Devki","non-dropping-particle":"","parse-names":false,"suffix":""},{"dropping-particle":"","family":"Nippert","given":"Amy","non-dropping-particle":"","parse-names":false,"suffix":""},{"dropping-particle":"","family":"Li","given":"Nancy","non-dropping-particle":"","parse-names":false,"suffix":""},{"dropping-particle":"","family":"Li","given":"Fuying","non-dropping-particle":"","parse-names":false,"suffix":""},{"dropping-particle":"","family":"Cheng","given":"Kejun","non-dropping-particle":"","parse-names":false,"suffix":""},{"dropping-particle":"","family":"Rice","given":"Kenner C.","non-dropping-particle":"","parse-names":false,"suffix":""},{"dropping-particle":"","family":"Porreca","given":"Frank","non-dropping-particle":"","parse-names":false,"suffix":""}],"container-title":"Pain","id":"ITEM-1","issue":"4","issued":{"date-parts":[["2018","4","26"]]},"page":"684-698","title":"Disease modifying actions of interleukin-6 blockade in a rat model of bone cancer pain","type":"article-journal","volume":"159"},"uris":["http://www.mendeley.com/documents/?uuid=4a783d92-4231-4bdb-951b-7368c5347f48"]}],"mendeley":{"formattedCitation":"[133]","plainTextFormattedCitation":"[133]","previouslyFormattedCitation":"[133]"},"properties":{"noteIndex":0},"schema":"https://github.com/citation-style-language/schema/raw/master/csl-citation.json"}</w:instrText>
            </w:r>
            <w:r w:rsidRPr="000E39AA">
              <w:rPr>
                <w:rFonts w:ascii="Arial" w:eastAsia="Times New Roman" w:hAnsi="Arial" w:cs="Arial"/>
                <w:color w:val="000000"/>
                <w:sz w:val="18"/>
                <w:szCs w:val="18"/>
                <w:lang w:eastAsia="en-GB"/>
              </w:rPr>
              <w:fldChar w:fldCharType="separate"/>
            </w:r>
            <w:r w:rsidR="0062132B" w:rsidRPr="0062132B">
              <w:rPr>
                <w:rFonts w:ascii="Arial" w:eastAsia="Times New Roman" w:hAnsi="Arial" w:cs="Arial"/>
                <w:noProof/>
                <w:color w:val="000000"/>
                <w:sz w:val="18"/>
                <w:szCs w:val="18"/>
                <w:lang w:eastAsia="en-GB"/>
              </w:rPr>
              <w:t>[133]</w:t>
            </w:r>
            <w:r w:rsidRPr="000E39AA">
              <w:rPr>
                <w:rFonts w:ascii="Arial" w:eastAsia="Times New Roman" w:hAnsi="Arial" w:cs="Arial"/>
                <w:color w:val="000000"/>
                <w:sz w:val="18"/>
                <w:szCs w:val="18"/>
                <w:lang w:eastAsia="en-GB"/>
              </w:rPr>
              <w:fldChar w:fldCharType="end"/>
            </w:r>
          </w:p>
        </w:tc>
      </w:tr>
      <w:tr w:rsidR="001B7894" w:rsidRPr="000E39AA" w14:paraId="0557D0C6" w14:textId="77777777" w:rsidTr="00735174">
        <w:trPr>
          <w:trHeight w:val="510"/>
        </w:trPr>
        <w:tc>
          <w:tcPr>
            <w:tcW w:w="2211" w:type="dxa"/>
            <w:vMerge/>
            <w:tcBorders>
              <w:top w:val="nil"/>
              <w:left w:val="nil"/>
              <w:bottom w:val="nil"/>
              <w:right w:val="nil"/>
            </w:tcBorders>
            <w:vAlign w:val="center"/>
            <w:hideMark/>
          </w:tcPr>
          <w:p w14:paraId="57D40B41" w14:textId="77777777" w:rsidR="001B7894" w:rsidRPr="000E39AA" w:rsidRDefault="001B7894" w:rsidP="00735174">
            <w:pPr>
              <w:spacing w:after="0" w:line="240" w:lineRule="auto"/>
              <w:rPr>
                <w:rFonts w:ascii="Arial" w:eastAsia="Times New Roman" w:hAnsi="Arial" w:cs="Arial"/>
                <w:i/>
                <w:iCs/>
                <w:color w:val="000000"/>
                <w:sz w:val="18"/>
                <w:szCs w:val="18"/>
                <w:lang w:eastAsia="en-GB"/>
              </w:rPr>
            </w:pPr>
          </w:p>
        </w:tc>
        <w:tc>
          <w:tcPr>
            <w:tcW w:w="3176" w:type="dxa"/>
            <w:tcBorders>
              <w:top w:val="nil"/>
              <w:left w:val="nil"/>
              <w:bottom w:val="nil"/>
              <w:right w:val="nil"/>
            </w:tcBorders>
            <w:shd w:val="clear" w:color="auto" w:fill="auto"/>
            <w:vAlign w:val="center"/>
            <w:hideMark/>
          </w:tcPr>
          <w:p w14:paraId="7CC0A416" w14:textId="77777777" w:rsidR="001B7894" w:rsidRPr="000E39AA" w:rsidRDefault="001B7894" w:rsidP="00735174">
            <w:pPr>
              <w:spacing w:after="0" w:line="240" w:lineRule="auto"/>
              <w:rPr>
                <w:rFonts w:ascii="Arial" w:eastAsia="Times New Roman" w:hAnsi="Arial" w:cs="Arial"/>
                <w:color w:val="000000"/>
                <w:sz w:val="18"/>
                <w:szCs w:val="18"/>
                <w:lang w:eastAsia="en-GB"/>
              </w:rPr>
            </w:pPr>
            <w:r w:rsidRPr="000E39AA">
              <w:rPr>
                <w:rFonts w:ascii="Arial" w:eastAsia="Times New Roman" w:hAnsi="Arial" w:cs="Arial"/>
                <w:color w:val="000000"/>
                <w:sz w:val="18"/>
                <w:szCs w:val="18"/>
                <w:lang w:eastAsia="en-GB"/>
              </w:rPr>
              <w:t xml:space="preserve">Mice with injection of Lewis lung cancer (LLC) </w:t>
            </w:r>
          </w:p>
        </w:tc>
        <w:tc>
          <w:tcPr>
            <w:tcW w:w="2524" w:type="dxa"/>
            <w:tcBorders>
              <w:top w:val="nil"/>
              <w:left w:val="nil"/>
              <w:bottom w:val="nil"/>
              <w:right w:val="nil"/>
            </w:tcBorders>
            <w:shd w:val="clear" w:color="auto" w:fill="auto"/>
            <w:vAlign w:val="center"/>
            <w:hideMark/>
          </w:tcPr>
          <w:p w14:paraId="0563DA47" w14:textId="77777777" w:rsidR="001B7894" w:rsidRPr="000E39AA" w:rsidRDefault="001B7894" w:rsidP="00735174">
            <w:pPr>
              <w:spacing w:after="0" w:line="240" w:lineRule="auto"/>
              <w:rPr>
                <w:rFonts w:ascii="Arial" w:eastAsia="Times New Roman" w:hAnsi="Arial" w:cs="Arial"/>
                <w:color w:val="000000"/>
                <w:sz w:val="18"/>
                <w:szCs w:val="18"/>
                <w:lang w:eastAsia="en-GB"/>
              </w:rPr>
            </w:pPr>
            <w:r w:rsidRPr="000E39AA">
              <w:rPr>
                <w:rFonts w:ascii="Arial" w:eastAsia="Times New Roman" w:hAnsi="Arial" w:cs="Arial"/>
                <w:color w:val="000000"/>
                <w:sz w:val="18"/>
                <w:szCs w:val="18"/>
                <w:lang w:eastAsia="en-GB"/>
              </w:rPr>
              <w:t xml:space="preserve">Adeno-associated virus shANXA3 (AAV-shANXA3) </w:t>
            </w:r>
          </w:p>
        </w:tc>
        <w:tc>
          <w:tcPr>
            <w:tcW w:w="1134" w:type="dxa"/>
            <w:tcBorders>
              <w:top w:val="nil"/>
              <w:left w:val="nil"/>
              <w:bottom w:val="nil"/>
              <w:right w:val="nil"/>
            </w:tcBorders>
            <w:shd w:val="clear" w:color="auto" w:fill="auto"/>
            <w:noWrap/>
            <w:vAlign w:val="center"/>
          </w:tcPr>
          <w:p w14:paraId="62B99A0D" w14:textId="49BFAE76" w:rsidR="001B7894" w:rsidRPr="000E39AA" w:rsidRDefault="001B7894" w:rsidP="00735174">
            <w:pPr>
              <w:spacing w:after="0" w:line="240" w:lineRule="auto"/>
              <w:rPr>
                <w:rFonts w:ascii="Arial" w:eastAsia="Times New Roman" w:hAnsi="Arial" w:cs="Arial"/>
                <w:color w:val="000000"/>
                <w:sz w:val="18"/>
                <w:szCs w:val="18"/>
                <w:lang w:eastAsia="en-GB"/>
              </w:rPr>
            </w:pPr>
            <w:r w:rsidRPr="000E39AA">
              <w:rPr>
                <w:rFonts w:ascii="Arial" w:eastAsia="Times New Roman" w:hAnsi="Arial" w:cs="Arial"/>
                <w:color w:val="000000"/>
                <w:sz w:val="18"/>
                <w:szCs w:val="18"/>
                <w:lang w:eastAsia="en-GB"/>
              </w:rPr>
              <w:fldChar w:fldCharType="begin" w:fldLock="1"/>
            </w:r>
            <w:r w:rsidR="00A445D5">
              <w:rPr>
                <w:rFonts w:ascii="Arial" w:eastAsia="Times New Roman" w:hAnsi="Arial" w:cs="Arial"/>
                <w:color w:val="000000"/>
                <w:sz w:val="18"/>
                <w:szCs w:val="18"/>
                <w:lang w:eastAsia="en-GB"/>
              </w:rPr>
              <w:instrText>ADDIN CSL_CITATION {"citationItems":[{"id":"ITEM-1","itemData":{"DOI":"10.1097/j.pain.0000000000001962","ISBN":"0000000000","ISSN":"0304-3959","PMID":"32569086","abstract":"Bone cancer-induced pain (BCP) is a challenging clinical problem because traditional therapies are often only partially effective. Annexin A3 (ANXA3) is highly expressed in microglia in the spinal cord, and its expression is upregulated during BCP. However, the roles of microglial ANXA3 in the development and maintenance of BCP and the underlying molecular mechanisms remain unclear. This study was performed on male mice using a metastatic lung BCP model. Adeno-associated virus shANXA3 (AAV-shANXA3) was injected intrathecally 14 days before and 7 days after bone cancer induction, and relevant pain behaviors were assessed by measuring the paw withdrawal mechanical threshold, paw withdrawal thermal latency, and spontaneous hind limb lifting. ANXA3 protein expression was downregulated in microglial N9 cells by lentiviral transfection (LV-shANXA3). ANXA3, hypoxia-inducible factor-1α (Hif-1α), vascular endothelial growth factor (VEGF) expression levels, and Hif-1α transactivation activity regulated by ANXA3 were measured. As a result, ANXA3 was expressed in microglia, and its expression significantly increased during BCP. ANXA3 knockdown reversed pain behaviors but did not prevent pain development. Moreover, ANXA3 knockdown significantly reduced Hif-1α and VEGF expression levels in vitro and in vivo. And overexpression of Hif-1α or VEGF blocked the effects of AAV-shANXA3 on BCP. ANXA3 knockdown in N9 cells significantly decreased the p-PKC protein expression in the cocultured neurons. Finally, ANXA3 overexpression significantly increased Hif-1α transactivation activity in 293T cells. Therefore, microglial ANXA3 downregulation alleviates BCP by inhibiting the Hif-1α/VEGF signaling pathway, which indicates that ANXA3 may be a potential target for the treatment of BCP.","author":[{"dropping-particle":"","family":"Zhang","given":"Zengli","non-dropping-particle":"","parse-names":false,"suffix":""},{"dropping-particle":"","family":"Deng","given":"Meiling","non-dropping-particle":"","parse-names":false,"suffix":""},{"dropping-particle":"","family":"Huang","given":"Jiangju","non-dropping-particle":"","parse-names":false,"suffix":""},{"dropping-particle":"","family":"Wu","given":"Jing","non-dropping-particle":"","parse-names":false,"suffix":""},{"dropping-particle":"","family":"Li","given":"Zhengyiqi","non-dropping-particle":"","parse-names":false,"suffix":""},{"dropping-particle":"","family":"Xing","given":"Manyu","non-dropping-particle":"","parse-names":false,"suffix":""},{"dropping-particle":"","family":"Wang","given":"Jian","non-dropping-particle":"","parse-names":false,"suffix":""},{"dropping-particle":"","family":"Guo","given":"Qulian","non-dropping-particle":"","parse-names":false,"suffix":""},{"dropping-particle":"","family":"Zou","given":"Wangyuan","non-dropping-particle":"","parse-names":false,"suffix":""}],"container-title":"Pain","id":"ITEM-1","issue":"12","issued":{"date-parts":[["2020","12"]]},"page":"2750-2762","title":"Microglial annexin A3 downregulation alleviates bone cancer-induced pain through inhibiting the Hif-1α/vascular endothelial growth factor signaling pathway","type":"article-journal","volume":"161"},"uris":["http://www.mendeley.com/documents/?uuid=c1442837-2a48-4936-9b7e-79b1b7335a21"]}],"mendeley":{"formattedCitation":"[134]","plainTextFormattedCitation":"[134]","previouslyFormattedCitation":"[134]"},"properties":{"noteIndex":0},"schema":"https://github.com/citation-style-language/schema/raw/master/csl-citation.json"}</w:instrText>
            </w:r>
            <w:r w:rsidRPr="000E39AA">
              <w:rPr>
                <w:rFonts w:ascii="Arial" w:eastAsia="Times New Roman" w:hAnsi="Arial" w:cs="Arial"/>
                <w:color w:val="000000"/>
                <w:sz w:val="18"/>
                <w:szCs w:val="18"/>
                <w:lang w:eastAsia="en-GB"/>
              </w:rPr>
              <w:fldChar w:fldCharType="separate"/>
            </w:r>
            <w:r w:rsidR="0062132B" w:rsidRPr="0062132B">
              <w:rPr>
                <w:rFonts w:ascii="Arial" w:eastAsia="Times New Roman" w:hAnsi="Arial" w:cs="Arial"/>
                <w:noProof/>
                <w:color w:val="000000"/>
                <w:sz w:val="18"/>
                <w:szCs w:val="18"/>
                <w:lang w:eastAsia="en-GB"/>
              </w:rPr>
              <w:t>[134]</w:t>
            </w:r>
            <w:r w:rsidRPr="000E39AA">
              <w:rPr>
                <w:rFonts w:ascii="Arial" w:eastAsia="Times New Roman" w:hAnsi="Arial" w:cs="Arial"/>
                <w:color w:val="000000"/>
                <w:sz w:val="18"/>
                <w:szCs w:val="18"/>
                <w:lang w:eastAsia="en-GB"/>
              </w:rPr>
              <w:fldChar w:fldCharType="end"/>
            </w:r>
          </w:p>
        </w:tc>
      </w:tr>
      <w:tr w:rsidR="001B7894" w:rsidRPr="000E39AA" w14:paraId="0E7D8288" w14:textId="77777777" w:rsidTr="00735174">
        <w:trPr>
          <w:trHeight w:val="613"/>
        </w:trPr>
        <w:tc>
          <w:tcPr>
            <w:tcW w:w="2211" w:type="dxa"/>
            <w:vMerge/>
            <w:tcBorders>
              <w:top w:val="nil"/>
              <w:left w:val="nil"/>
              <w:bottom w:val="nil"/>
              <w:right w:val="nil"/>
            </w:tcBorders>
            <w:vAlign w:val="center"/>
            <w:hideMark/>
          </w:tcPr>
          <w:p w14:paraId="14F0EC90" w14:textId="77777777" w:rsidR="001B7894" w:rsidRPr="000E39AA" w:rsidRDefault="001B7894" w:rsidP="00735174">
            <w:pPr>
              <w:spacing w:after="0" w:line="240" w:lineRule="auto"/>
              <w:rPr>
                <w:rFonts w:ascii="Arial" w:eastAsia="Times New Roman" w:hAnsi="Arial" w:cs="Arial"/>
                <w:i/>
                <w:iCs/>
                <w:color w:val="000000"/>
                <w:sz w:val="18"/>
                <w:szCs w:val="18"/>
                <w:lang w:eastAsia="en-GB"/>
              </w:rPr>
            </w:pPr>
          </w:p>
        </w:tc>
        <w:tc>
          <w:tcPr>
            <w:tcW w:w="3176" w:type="dxa"/>
            <w:tcBorders>
              <w:top w:val="nil"/>
              <w:left w:val="nil"/>
              <w:bottom w:val="nil"/>
              <w:right w:val="nil"/>
            </w:tcBorders>
            <w:shd w:val="clear" w:color="auto" w:fill="auto"/>
            <w:vAlign w:val="center"/>
            <w:hideMark/>
          </w:tcPr>
          <w:p w14:paraId="79AFFF5D" w14:textId="77777777" w:rsidR="001B7894" w:rsidRPr="000E39AA" w:rsidRDefault="001B7894" w:rsidP="00735174">
            <w:pPr>
              <w:spacing w:after="0" w:line="240" w:lineRule="auto"/>
              <w:rPr>
                <w:rFonts w:ascii="Arial" w:eastAsia="Times New Roman" w:hAnsi="Arial" w:cs="Arial"/>
                <w:color w:val="000000"/>
                <w:sz w:val="18"/>
                <w:szCs w:val="18"/>
                <w:lang w:eastAsia="en-GB"/>
              </w:rPr>
            </w:pPr>
            <w:r w:rsidRPr="000E39AA">
              <w:rPr>
                <w:rFonts w:ascii="Arial" w:eastAsia="Times New Roman" w:hAnsi="Arial" w:cs="Arial"/>
                <w:color w:val="000000"/>
                <w:sz w:val="18"/>
                <w:szCs w:val="18"/>
                <w:lang w:eastAsia="en-GB"/>
              </w:rPr>
              <w:t>Mice subject to chemotherapy-induced peripheral neuropathy</w:t>
            </w:r>
          </w:p>
        </w:tc>
        <w:tc>
          <w:tcPr>
            <w:tcW w:w="2524" w:type="dxa"/>
            <w:tcBorders>
              <w:top w:val="nil"/>
              <w:left w:val="nil"/>
              <w:bottom w:val="nil"/>
              <w:right w:val="nil"/>
            </w:tcBorders>
            <w:shd w:val="clear" w:color="auto" w:fill="auto"/>
            <w:vAlign w:val="center"/>
            <w:hideMark/>
          </w:tcPr>
          <w:p w14:paraId="6FE495AF" w14:textId="77777777" w:rsidR="001B7894" w:rsidRPr="000E39AA" w:rsidRDefault="001B7894" w:rsidP="00735174">
            <w:pPr>
              <w:spacing w:after="0" w:line="240" w:lineRule="auto"/>
              <w:rPr>
                <w:rFonts w:ascii="Arial" w:eastAsia="Times New Roman" w:hAnsi="Arial" w:cs="Arial"/>
                <w:color w:val="000000"/>
                <w:sz w:val="18"/>
                <w:szCs w:val="18"/>
                <w:lang w:eastAsia="en-GB"/>
              </w:rPr>
            </w:pPr>
            <w:r w:rsidRPr="000E39AA">
              <w:rPr>
                <w:rFonts w:ascii="Arial" w:eastAsia="Times New Roman" w:hAnsi="Arial" w:cs="Arial"/>
                <w:color w:val="000000"/>
                <w:sz w:val="18"/>
                <w:szCs w:val="18"/>
                <w:lang w:eastAsia="en-GB"/>
              </w:rPr>
              <w:t xml:space="preserve">Hsp90 inhibitors </w:t>
            </w:r>
          </w:p>
        </w:tc>
        <w:tc>
          <w:tcPr>
            <w:tcW w:w="1134" w:type="dxa"/>
            <w:tcBorders>
              <w:top w:val="nil"/>
              <w:left w:val="nil"/>
              <w:bottom w:val="nil"/>
              <w:right w:val="nil"/>
            </w:tcBorders>
            <w:shd w:val="clear" w:color="auto" w:fill="auto"/>
            <w:noWrap/>
            <w:vAlign w:val="center"/>
          </w:tcPr>
          <w:p w14:paraId="2F4F4101" w14:textId="54663305" w:rsidR="001B7894" w:rsidRPr="000E39AA" w:rsidRDefault="001B7894" w:rsidP="00735174">
            <w:pPr>
              <w:spacing w:after="0" w:line="240" w:lineRule="auto"/>
              <w:rPr>
                <w:rFonts w:ascii="Arial" w:eastAsia="Times New Roman" w:hAnsi="Arial" w:cs="Arial"/>
                <w:color w:val="000000"/>
                <w:sz w:val="18"/>
                <w:szCs w:val="18"/>
                <w:lang w:eastAsia="en-GB"/>
              </w:rPr>
            </w:pPr>
            <w:r w:rsidRPr="000E39AA">
              <w:rPr>
                <w:rFonts w:ascii="Arial" w:eastAsia="Times New Roman" w:hAnsi="Arial" w:cs="Arial"/>
                <w:color w:val="000000"/>
                <w:sz w:val="18"/>
                <w:szCs w:val="18"/>
                <w:lang w:eastAsia="en-GB"/>
              </w:rPr>
              <w:fldChar w:fldCharType="begin" w:fldLock="1"/>
            </w:r>
            <w:r w:rsidR="00A445D5">
              <w:rPr>
                <w:rFonts w:ascii="Arial" w:eastAsia="Times New Roman" w:hAnsi="Arial" w:cs="Arial"/>
                <w:color w:val="000000"/>
                <w:sz w:val="18"/>
                <w:szCs w:val="18"/>
                <w:lang w:eastAsia="en-GB"/>
              </w:rPr>
              <w:instrText>ADDIN CSL_CITATION {"citationItems":[{"id":"ITEM-1","itemData":{"DOI":"10.1097/j.pain.0000000000001886","ISBN":"0000000000","ISSN":"18726623","PMID":"32701840","abstract":"Heat shock protein 90 (Hsp90) is a ubiquitous signal transduction regulator, and Hsp90 inhibitors are in clinical development as cancer therapeutics. However, there have been very few studies on the impact of Hsp90 inhibitors on pain or analgesia, a serious concern for cancer patients. We previously found that Hsp90 inhibitors injected into the brain block opioid-induced antinociception in tail flick, paw incision, and HIV neuropathy pain. This study extended from that initial work to test the cancer-related clinical impact of Hsp90 inhibitors on opioid antinociception in cancer-induced bone pain in female BALB/c mice and chemotherapy-induced peripheral neuropathy in male and female CD-1 mice. Mice were treated with Hsp90 inhibitors (17-AAG, KU-32) by the intracerebroventricular, intrathecal, or intraperitoneal routes, and after 24 hours, pain behaviors were evaluated after analgesic drug treatment. Heat shock protein 90 inhibition in the brain or systemically completely blocked morphine and oxymorphone antinociception in chemotherapy-induced peripheral neuropathy; this effect was partly mediated by decreased ERK and JNK MAPK activation and by increased protein translation, was not altered by chronic treatment, and Hsp90 inhibition had no effect on gabapentin antinociception. We also found that the Hsp90 isoform Hsp90α and the cochaperone Cdc37 were responsible for the observed changes in opioid antinociception. By contrast, Hsp90 inhibition in the spinal cord or systemically partially reduced opioid antinociception in cancer-induced bone pain. These results demonstrate that Hsp90 inhibitors block opioid antinociception in cancer-related pain, suggesting that Hsp90 inhibitors for cancer therapy could decrease opioid treatment efficacy.","author":[{"dropping-particle":"","family":"Stine","given":"Carrie","non-dropping-particle":"","parse-names":false,"suffix":""},{"dropping-particle":"","family":"Coleman","given":"Deziree L.","non-dropping-particle":"","parse-names":false,"suffix":""},{"dropping-particle":"","family":"Flohrschutz","given":"Austin T.","non-dropping-particle":"","parse-names":false,"suffix":""},{"dropping-particle":"","family":"Thompson","given":"Austen L.","non-dropping-particle":"","parse-names":false,"suffix":""},{"dropping-particle":"","family":"Mishra","given":"Sanket","non-dropping-particle":"","parse-names":false,"suffix":""},{"dropping-particle":"","family":"Blagg","given":"Brian S.","non-dropping-particle":"","parse-names":false,"suffix":""},{"dropping-particle":"","family":"Largent-Milnes","given":"Tally M.","non-dropping-particle":"","parse-names":false,"suffix":""},{"dropping-particle":"","family":"Lei","given":"Wei","non-dropping-particle":"","parse-names":false,"suffix":""},{"dropping-particle":"","family":"Streicher","given":"John M.","non-dropping-particle":"","parse-names":false,"suffix":""}],"container-title":"Pain","id":"ITEM-1","issue":"8","issued":{"date-parts":[["2020"]]},"page":"1798-1807","title":"Heat shock protein 90 inhibitors block the antinociceptive effects of opioids in mouse chemotherapy-induced neuropathy and cancer bone pain models","type":"article-journal","volume":"161"},"uris":["http://www.mendeley.com/documents/?uuid=925f96d3-754b-430c-99f1-1459c4106bfa"]}],"mendeley":{"formattedCitation":"[135]","plainTextFormattedCitation":"[135]","previouslyFormattedCitation":"[135]"},"properties":{"noteIndex":0},"schema":"https://github.com/citation-style-language/schema/raw/master/csl-citation.json"}</w:instrText>
            </w:r>
            <w:r w:rsidRPr="000E39AA">
              <w:rPr>
                <w:rFonts w:ascii="Arial" w:eastAsia="Times New Roman" w:hAnsi="Arial" w:cs="Arial"/>
                <w:color w:val="000000"/>
                <w:sz w:val="18"/>
                <w:szCs w:val="18"/>
                <w:lang w:eastAsia="en-GB"/>
              </w:rPr>
              <w:fldChar w:fldCharType="separate"/>
            </w:r>
            <w:r w:rsidR="0062132B" w:rsidRPr="0062132B">
              <w:rPr>
                <w:rFonts w:ascii="Arial" w:eastAsia="Times New Roman" w:hAnsi="Arial" w:cs="Arial"/>
                <w:noProof/>
                <w:color w:val="000000"/>
                <w:sz w:val="18"/>
                <w:szCs w:val="18"/>
                <w:lang w:eastAsia="en-GB"/>
              </w:rPr>
              <w:t>[135]</w:t>
            </w:r>
            <w:r w:rsidRPr="000E39AA">
              <w:rPr>
                <w:rFonts w:ascii="Arial" w:eastAsia="Times New Roman" w:hAnsi="Arial" w:cs="Arial"/>
                <w:color w:val="000000"/>
                <w:sz w:val="18"/>
                <w:szCs w:val="18"/>
                <w:lang w:eastAsia="en-GB"/>
              </w:rPr>
              <w:fldChar w:fldCharType="end"/>
            </w:r>
          </w:p>
        </w:tc>
      </w:tr>
      <w:tr w:rsidR="001B7894" w:rsidRPr="000E39AA" w14:paraId="684F6B86" w14:textId="77777777" w:rsidTr="00735174">
        <w:trPr>
          <w:trHeight w:val="765"/>
        </w:trPr>
        <w:tc>
          <w:tcPr>
            <w:tcW w:w="2211" w:type="dxa"/>
            <w:vMerge/>
            <w:tcBorders>
              <w:top w:val="nil"/>
              <w:left w:val="nil"/>
              <w:bottom w:val="nil"/>
              <w:right w:val="nil"/>
            </w:tcBorders>
            <w:vAlign w:val="center"/>
            <w:hideMark/>
          </w:tcPr>
          <w:p w14:paraId="0005539B" w14:textId="77777777" w:rsidR="001B7894" w:rsidRPr="000E39AA" w:rsidRDefault="001B7894" w:rsidP="00735174">
            <w:pPr>
              <w:spacing w:after="0" w:line="240" w:lineRule="auto"/>
              <w:rPr>
                <w:rFonts w:ascii="Arial" w:eastAsia="Times New Roman" w:hAnsi="Arial" w:cs="Arial"/>
                <w:i/>
                <w:iCs/>
                <w:color w:val="000000"/>
                <w:sz w:val="18"/>
                <w:szCs w:val="18"/>
                <w:lang w:eastAsia="en-GB"/>
              </w:rPr>
            </w:pPr>
          </w:p>
        </w:tc>
        <w:tc>
          <w:tcPr>
            <w:tcW w:w="3176" w:type="dxa"/>
            <w:tcBorders>
              <w:top w:val="nil"/>
              <w:left w:val="nil"/>
              <w:bottom w:val="nil"/>
              <w:right w:val="nil"/>
            </w:tcBorders>
            <w:shd w:val="clear" w:color="auto" w:fill="auto"/>
            <w:vAlign w:val="center"/>
            <w:hideMark/>
          </w:tcPr>
          <w:p w14:paraId="67651DA0" w14:textId="77777777" w:rsidR="001B7894" w:rsidRPr="000E39AA" w:rsidRDefault="001B7894" w:rsidP="00735174">
            <w:pPr>
              <w:spacing w:after="0" w:line="240" w:lineRule="auto"/>
              <w:rPr>
                <w:rFonts w:ascii="Arial" w:eastAsia="Times New Roman" w:hAnsi="Arial" w:cs="Arial"/>
                <w:color w:val="000000"/>
                <w:sz w:val="18"/>
                <w:szCs w:val="18"/>
                <w:lang w:eastAsia="en-GB"/>
              </w:rPr>
            </w:pPr>
            <w:r w:rsidRPr="000E39AA">
              <w:rPr>
                <w:rFonts w:ascii="Arial" w:eastAsia="Times New Roman" w:hAnsi="Arial" w:cs="Arial"/>
                <w:color w:val="000000"/>
                <w:sz w:val="18"/>
                <w:szCs w:val="18"/>
                <w:lang w:eastAsia="en-GB"/>
              </w:rPr>
              <w:t>SD rats with Walker256 tumour tibial injection</w:t>
            </w:r>
          </w:p>
        </w:tc>
        <w:tc>
          <w:tcPr>
            <w:tcW w:w="2524" w:type="dxa"/>
            <w:tcBorders>
              <w:top w:val="nil"/>
              <w:left w:val="nil"/>
              <w:bottom w:val="nil"/>
              <w:right w:val="nil"/>
            </w:tcBorders>
            <w:shd w:val="clear" w:color="auto" w:fill="auto"/>
            <w:vAlign w:val="center"/>
            <w:hideMark/>
          </w:tcPr>
          <w:p w14:paraId="2D2E656F" w14:textId="77777777" w:rsidR="001B7894" w:rsidRPr="000E39AA" w:rsidRDefault="001B7894" w:rsidP="00735174">
            <w:pPr>
              <w:spacing w:after="0" w:line="240" w:lineRule="auto"/>
              <w:rPr>
                <w:rFonts w:ascii="Arial" w:eastAsia="Times New Roman" w:hAnsi="Arial" w:cs="Arial"/>
                <w:color w:val="000000"/>
                <w:sz w:val="18"/>
                <w:szCs w:val="18"/>
                <w:lang w:eastAsia="en-GB"/>
              </w:rPr>
            </w:pPr>
            <w:r w:rsidRPr="000E39AA">
              <w:rPr>
                <w:rFonts w:ascii="Arial" w:eastAsia="Times New Roman" w:hAnsi="Arial" w:cs="Arial"/>
                <w:color w:val="000000"/>
                <w:sz w:val="18"/>
                <w:szCs w:val="18"/>
                <w:lang w:eastAsia="en-GB"/>
              </w:rPr>
              <w:t>TRPA1 antisense oligodeoxynucleotide delivery</w:t>
            </w:r>
          </w:p>
        </w:tc>
        <w:tc>
          <w:tcPr>
            <w:tcW w:w="1134" w:type="dxa"/>
            <w:tcBorders>
              <w:top w:val="nil"/>
              <w:left w:val="nil"/>
              <w:bottom w:val="nil"/>
              <w:right w:val="nil"/>
            </w:tcBorders>
            <w:shd w:val="clear" w:color="auto" w:fill="auto"/>
            <w:vAlign w:val="center"/>
          </w:tcPr>
          <w:p w14:paraId="67F620A6" w14:textId="53811076" w:rsidR="001B7894" w:rsidRPr="000E39AA" w:rsidRDefault="001B7894" w:rsidP="00735174">
            <w:pPr>
              <w:spacing w:after="0" w:line="240" w:lineRule="auto"/>
              <w:rPr>
                <w:rFonts w:ascii="Arial" w:eastAsia="Times New Roman" w:hAnsi="Arial" w:cs="Arial"/>
                <w:color w:val="000000"/>
                <w:sz w:val="18"/>
                <w:szCs w:val="18"/>
                <w:lang w:eastAsia="en-GB"/>
              </w:rPr>
            </w:pPr>
            <w:r w:rsidRPr="000E39AA">
              <w:rPr>
                <w:rFonts w:ascii="Arial" w:eastAsia="Times New Roman" w:hAnsi="Arial" w:cs="Arial"/>
                <w:color w:val="000000"/>
                <w:sz w:val="18"/>
                <w:szCs w:val="18"/>
                <w:lang w:eastAsia="en-GB"/>
              </w:rPr>
              <w:fldChar w:fldCharType="begin" w:fldLock="1"/>
            </w:r>
            <w:r w:rsidR="00A445D5">
              <w:rPr>
                <w:rFonts w:ascii="Arial" w:eastAsia="Times New Roman" w:hAnsi="Arial" w:cs="Arial"/>
                <w:color w:val="000000"/>
                <w:sz w:val="18"/>
                <w:szCs w:val="18"/>
                <w:lang w:eastAsia="en-GB"/>
              </w:rPr>
              <w:instrText>ADDIN CSL_CITATION {"citationItems":[{"id":"ITEM-1","itemData":{"DOI":"10.3389/fpain.2021.638620","abstract":" Background: Bone cancer pain (BCP) significantly affects patient quality of life, results in great bodily and emotional pain, and creates difficulties in follow-up treatment and normal life. Transient receptor potential ankyrin 1 (TRPA1) is an essential transduction ion channel related to neuropathic and inflammatory pain. However, the role of TRPA1 in BCP remains poorly understood. This study aimed to explore the relationship between TRPA1 and BCP.  Methods: A BCP model was induced by Walker256 cells to the left tibia. The sham group was induced by normal saline to the left tibia. Thereafter, pain behaviors and TRPA1 expression between the BCP group and the sham group were observed on the 14th day of modeling. The TRPA1 antagonist A967079 (10 mg/kg) was injected via tail vein. TRPA1 antisense oligodeoxynucleotide (AS-ODN, 5 nmol/10 μl) and missense oligodeoxynucleotide (MS-ODN, 5 nmol/10 μl) were intrathecally delivered via a mini-osmotic pump for 5 consecutive days to assess the effect of TRPA1 on BCP. Behavioral tests were assessed preoperatively and postoperatively. Real-time quantitative PCR and western blot analyses were used to measure TRPA1 levels among the different groups.  Results: The BCP model was successfully established via X-ray and pathological sections at 14 days. Compared to the sham group, the BCP group was more sensitive to mechanical stimuli, cool stimuli and hot stimuli. Intravenously injected A967079 can relieve paw mechanical withdrawal threshold and paw withdrawal thermal latency in rats with BCP. Moreover, AS-ODN can relieve paw mechanical withdrawal threshold and paw withdrawal thermal latency in rats with BCP. Additionally, relative mRNA and protein expression of TRPA1 in the BCP group were much higher than those in the sham group (14.55 ± 1.97 vs. 1 ± 0.04, P &amp;lt; 0.01). Compared to the BCP group, the relative mRNA and protein expression of TRPA1 in the BCP+AS-ODN group was reduced (14.55 ± 1.97 vs. 2.59 ± 0.34, P &amp;lt; 0.01).  Conclusions: The TRPA1 channel mediates mechanical allodynia and thermal hyperalgesia in a rat BCP model. ","author":[{"dropping-particle":"","family":"Liu","given":"Qiangwei","non-dropping-particle":"","parse-names":false,"suffix":""},{"dropping-particle":"","family":"Feng","given":"Long","non-dropping-particle":"","parse-names":false,"suffix":""},{"dropping-particle":"","family":"Han","given":"Xiujing","non-dropping-particle":"","parse-names":false,"suffix":""},{"dropping-particle":"","family":"Zhang","given":"Weidong","non-dropping-particle":"","parse-names":false,"suffix":""},{"dropping-particle":"","family":"Zhang","given":"Hong","non-dropping-particle":"","parse-names":false,"suffix":""},{"dropping-particle":"","family":"Xu","given":"Longhe","non-dropping-particle":"","parse-names":false,"suffix":""}],"container-title":"Frontiers in Pain Research","id":"ITEM-1","issue":"March","issued":{"date-parts":[["2021"]]},"page":"1-10","title":"The TRPA1 Channel Mediates Mechanical Allodynia and Thermal Hyperalgesia in a Rat Bone Cancer Pain Model","type":"article-journal","volume":"2"},"uris":["http://www.mendeley.com/documents/?uuid=67ce1b00-936f-4a00-b081-73701616b8c6"]}],"mendeley":{"formattedCitation":"[136]","plainTextFormattedCitation":"[136]","previouslyFormattedCitation":"[136]"},"properties":{"noteIndex":0},"schema":"https://github.com/citation-style-language/schema/raw/master/csl-citation.json"}</w:instrText>
            </w:r>
            <w:r w:rsidRPr="000E39AA">
              <w:rPr>
                <w:rFonts w:ascii="Arial" w:eastAsia="Times New Roman" w:hAnsi="Arial" w:cs="Arial"/>
                <w:color w:val="000000"/>
                <w:sz w:val="18"/>
                <w:szCs w:val="18"/>
                <w:lang w:eastAsia="en-GB"/>
              </w:rPr>
              <w:fldChar w:fldCharType="separate"/>
            </w:r>
            <w:r w:rsidR="0062132B" w:rsidRPr="0062132B">
              <w:rPr>
                <w:rFonts w:ascii="Arial" w:eastAsia="Times New Roman" w:hAnsi="Arial" w:cs="Arial"/>
                <w:noProof/>
                <w:color w:val="000000"/>
                <w:sz w:val="18"/>
                <w:szCs w:val="18"/>
                <w:lang w:eastAsia="en-GB"/>
              </w:rPr>
              <w:t>[136]</w:t>
            </w:r>
            <w:r w:rsidRPr="000E39AA">
              <w:rPr>
                <w:rFonts w:ascii="Arial" w:eastAsia="Times New Roman" w:hAnsi="Arial" w:cs="Arial"/>
                <w:color w:val="000000"/>
                <w:sz w:val="18"/>
                <w:szCs w:val="18"/>
                <w:lang w:eastAsia="en-GB"/>
              </w:rPr>
              <w:fldChar w:fldCharType="end"/>
            </w:r>
          </w:p>
        </w:tc>
      </w:tr>
      <w:tr w:rsidR="001B7894" w:rsidRPr="000E39AA" w14:paraId="7BD8378D" w14:textId="77777777" w:rsidTr="00735174">
        <w:trPr>
          <w:trHeight w:val="657"/>
        </w:trPr>
        <w:tc>
          <w:tcPr>
            <w:tcW w:w="2211" w:type="dxa"/>
            <w:vMerge/>
            <w:tcBorders>
              <w:top w:val="nil"/>
              <w:left w:val="nil"/>
              <w:bottom w:val="nil"/>
              <w:right w:val="nil"/>
            </w:tcBorders>
            <w:vAlign w:val="center"/>
            <w:hideMark/>
          </w:tcPr>
          <w:p w14:paraId="49DCF11C" w14:textId="77777777" w:rsidR="001B7894" w:rsidRPr="000E39AA" w:rsidRDefault="001B7894" w:rsidP="00735174">
            <w:pPr>
              <w:spacing w:after="0" w:line="240" w:lineRule="auto"/>
              <w:rPr>
                <w:rFonts w:ascii="Arial" w:eastAsia="Times New Roman" w:hAnsi="Arial" w:cs="Arial"/>
                <w:i/>
                <w:iCs/>
                <w:color w:val="000000"/>
                <w:sz w:val="18"/>
                <w:szCs w:val="18"/>
                <w:lang w:eastAsia="en-GB"/>
              </w:rPr>
            </w:pPr>
          </w:p>
        </w:tc>
        <w:tc>
          <w:tcPr>
            <w:tcW w:w="3176" w:type="dxa"/>
            <w:tcBorders>
              <w:top w:val="nil"/>
              <w:left w:val="nil"/>
              <w:bottom w:val="nil"/>
              <w:right w:val="nil"/>
            </w:tcBorders>
            <w:shd w:val="clear" w:color="auto" w:fill="auto"/>
            <w:vAlign w:val="center"/>
            <w:hideMark/>
          </w:tcPr>
          <w:p w14:paraId="3C1A9B8F" w14:textId="77777777" w:rsidR="001B7894" w:rsidRPr="000E39AA" w:rsidRDefault="001B7894" w:rsidP="00735174">
            <w:pPr>
              <w:spacing w:after="0" w:line="240" w:lineRule="auto"/>
              <w:rPr>
                <w:rFonts w:ascii="Arial" w:eastAsia="Times New Roman" w:hAnsi="Arial" w:cs="Arial"/>
                <w:color w:val="000000"/>
                <w:sz w:val="18"/>
                <w:szCs w:val="18"/>
                <w:lang w:eastAsia="en-GB"/>
              </w:rPr>
            </w:pPr>
            <w:r w:rsidRPr="000E39AA">
              <w:rPr>
                <w:rFonts w:ascii="Arial" w:eastAsia="Times New Roman" w:hAnsi="Arial" w:cs="Arial"/>
                <w:color w:val="000000"/>
                <w:sz w:val="18"/>
                <w:szCs w:val="18"/>
                <w:lang w:eastAsia="en-GB"/>
              </w:rPr>
              <w:t xml:space="preserve"> BALB/</w:t>
            </w:r>
            <w:proofErr w:type="spellStart"/>
            <w:r w:rsidRPr="000E39AA">
              <w:rPr>
                <w:rFonts w:ascii="Arial" w:eastAsia="Times New Roman" w:hAnsi="Arial" w:cs="Arial"/>
                <w:color w:val="000000"/>
                <w:sz w:val="18"/>
                <w:szCs w:val="18"/>
                <w:lang w:eastAsia="en-GB"/>
              </w:rPr>
              <w:t>cAnNHsd</w:t>
            </w:r>
            <w:proofErr w:type="spellEnd"/>
            <w:r w:rsidRPr="000E39AA">
              <w:rPr>
                <w:rFonts w:ascii="Arial" w:eastAsia="Times New Roman" w:hAnsi="Arial" w:cs="Arial"/>
                <w:color w:val="000000"/>
                <w:sz w:val="18"/>
                <w:szCs w:val="18"/>
                <w:lang w:eastAsia="en-GB"/>
              </w:rPr>
              <w:t xml:space="preserve"> mice with 66.1 breast cancer cells </w:t>
            </w:r>
          </w:p>
        </w:tc>
        <w:tc>
          <w:tcPr>
            <w:tcW w:w="2524" w:type="dxa"/>
            <w:tcBorders>
              <w:top w:val="nil"/>
              <w:left w:val="nil"/>
              <w:bottom w:val="nil"/>
              <w:right w:val="nil"/>
            </w:tcBorders>
            <w:shd w:val="clear" w:color="auto" w:fill="auto"/>
            <w:vAlign w:val="center"/>
            <w:hideMark/>
          </w:tcPr>
          <w:p w14:paraId="63CE955D" w14:textId="77777777" w:rsidR="001B7894" w:rsidRPr="000E39AA" w:rsidRDefault="001B7894" w:rsidP="00735174">
            <w:pPr>
              <w:spacing w:after="0" w:line="240" w:lineRule="auto"/>
              <w:rPr>
                <w:rFonts w:ascii="Arial" w:eastAsia="Times New Roman" w:hAnsi="Arial" w:cs="Arial"/>
                <w:color w:val="000000"/>
                <w:sz w:val="18"/>
                <w:szCs w:val="18"/>
                <w:lang w:eastAsia="en-GB"/>
              </w:rPr>
            </w:pPr>
            <w:r w:rsidRPr="000E39AA">
              <w:rPr>
                <w:rFonts w:ascii="Arial" w:eastAsia="Times New Roman" w:hAnsi="Arial" w:cs="Arial"/>
                <w:color w:val="000000"/>
                <w:sz w:val="18"/>
                <w:szCs w:val="18"/>
                <w:lang w:eastAsia="en-GB"/>
              </w:rPr>
              <w:t>Angiotensin-(1-7) (Ang-(1-7)) administration</w:t>
            </w:r>
          </w:p>
        </w:tc>
        <w:tc>
          <w:tcPr>
            <w:tcW w:w="1134" w:type="dxa"/>
            <w:tcBorders>
              <w:top w:val="nil"/>
              <w:left w:val="nil"/>
              <w:bottom w:val="nil"/>
              <w:right w:val="nil"/>
            </w:tcBorders>
            <w:shd w:val="clear" w:color="auto" w:fill="auto"/>
            <w:vAlign w:val="center"/>
          </w:tcPr>
          <w:p w14:paraId="0744F784" w14:textId="7130789D" w:rsidR="001B7894" w:rsidRPr="000E39AA" w:rsidRDefault="001B7894" w:rsidP="00735174">
            <w:pPr>
              <w:spacing w:after="0" w:line="240" w:lineRule="auto"/>
              <w:rPr>
                <w:rFonts w:ascii="Arial" w:eastAsia="Times New Roman" w:hAnsi="Arial" w:cs="Arial"/>
                <w:color w:val="000000"/>
                <w:sz w:val="18"/>
                <w:szCs w:val="18"/>
                <w:lang w:eastAsia="en-GB"/>
              </w:rPr>
            </w:pPr>
            <w:r w:rsidRPr="000E39AA">
              <w:rPr>
                <w:rFonts w:ascii="Arial" w:eastAsia="Times New Roman" w:hAnsi="Arial" w:cs="Arial"/>
                <w:color w:val="000000"/>
                <w:sz w:val="18"/>
                <w:szCs w:val="18"/>
                <w:lang w:eastAsia="en-GB"/>
              </w:rPr>
              <w:fldChar w:fldCharType="begin" w:fldLock="1"/>
            </w:r>
            <w:r w:rsidR="00A445D5">
              <w:rPr>
                <w:rFonts w:ascii="Arial" w:eastAsia="Times New Roman" w:hAnsi="Arial" w:cs="Arial"/>
                <w:color w:val="000000"/>
                <w:sz w:val="18"/>
                <w:szCs w:val="18"/>
                <w:lang w:eastAsia="en-GB"/>
              </w:rPr>
              <w:instrText>ADDIN CSL_CITATION {"citationItems":[{"id":"ITEM-1","itemData":{"DOI":"10.1097/j.pain.0000000000000690","ISBN":"0000000000000","ISSN":"18726623","PMID":"27541850","abstract":"Many cancerous solid tumors metastasize to the bone and induce pain (cancer-induced bone pain [CIBP]). Cancer-induced bone pain is often severe because of enhanced inflammation, rapid bone degradation, and disease progression. Opioids are prescribed to manage this pain, but they may enhance bone loss and increase tumor proliferation, further compromising patient quality of life. Angiotensin-(1-7) (Ang-(1-7)) binds and activates the Mas receptor (MasR). Angiotensin-(1-7)/MasR activation modulates inflammatory signaling after acute tissue insult, yet no studies have investigated whether Ang-(1-7)/MasR play a role in CIBP. We hypothesized that Ang-(1-7) inhibits CIBP by targeting MasR in a murine model of breast CIBP. 66.1 breast cancer cells were implanted into the femur of BALB/cAnNHsd mice as a model of CIBP. Spontaneous and evoked pain behaviors were assessed before and after acute and chronic administration of Ang-(1-7). Tissues were collected from animals for ex vivo analyses of MasR expression, tumor burden, and bone integrity. Cancer inoculation increased spontaneous pain behaviors by day 7 that were significantly reduced after a single injection of Ang-(1-7) and after sustained administration. Preadministration of A-779 a selective MasR antagonist prevented this reduction, whereas pretreatment with the AT 2 antagonist had no effect; an AT 1 antagonist enhanced the antinociceptive activity of Ang-(1-7) in CIBP. Repeated Ang-(1-7) administration did not significantly change tumor burden or bone remodeling. Data here suggest that Ang-(1-7)/MasR activation significantly attenuates CIBP, while lacking many side effects seen with opioids. Thus, Ang-(1-7) may be an alternative therapeutic strategy for the nearly 90% of patients with advanced-stage cancer who experience excruciating pain.","author":[{"dropping-particle":"","family":"Forte","given":"Brittany L.","non-dropping-particle":"","parse-names":false,"suffix":""},{"dropping-particle":"","family":"Slosky","given":"Lauren M.","non-dropping-particle":"","parse-names":false,"suffix":""},{"dropping-particle":"","family":"Zhang","given":"Hong","non-dropping-particle":"","parse-names":false,"suffix":""},{"dropping-particle":"","family":"Arnold","given":"Moriah R.","non-dropping-particle":"","parse-names":false,"suffix":""},{"dropping-particle":"","family":"Staatz","given":"William D.","non-dropping-particle":"","parse-names":false,"suffix":""},{"dropping-particle":"","family":"Hay","given":"Meredith","non-dropping-particle":"","parse-names":false,"suffix":""},{"dropping-particle":"","family":"Largent-Milnes","given":"Tally M.","non-dropping-particle":"","parse-names":false,"suffix":""},{"dropping-particle":"","family":"Vanderah","given":"Todd W.","non-dropping-particle":"","parse-names":false,"suffix":""}],"container-title":"Pain","id":"ITEM-1","issue":"12","issued":{"date-parts":[["2016"]]},"page":"2709-2721","title":"Angiotensin-(1-7)/Mas receptor as an antinociceptive agent in cancer-induced bone pain","type":"article-journal","volume":"157"},"uris":["http://www.mendeley.com/documents/?uuid=3935ba54-cf36-4075-9291-3530a93f0563"]}],"mendeley":{"formattedCitation":"[137]","plainTextFormattedCitation":"[137]","previouslyFormattedCitation":"[137]"},"properties":{"noteIndex":0},"schema":"https://github.com/citation-style-language/schema/raw/master/csl-citation.json"}</w:instrText>
            </w:r>
            <w:r w:rsidRPr="000E39AA">
              <w:rPr>
                <w:rFonts w:ascii="Arial" w:eastAsia="Times New Roman" w:hAnsi="Arial" w:cs="Arial"/>
                <w:color w:val="000000"/>
                <w:sz w:val="18"/>
                <w:szCs w:val="18"/>
                <w:lang w:eastAsia="en-GB"/>
              </w:rPr>
              <w:fldChar w:fldCharType="separate"/>
            </w:r>
            <w:r w:rsidR="0062132B" w:rsidRPr="0062132B">
              <w:rPr>
                <w:rFonts w:ascii="Arial" w:eastAsia="Times New Roman" w:hAnsi="Arial" w:cs="Arial"/>
                <w:noProof/>
                <w:color w:val="000000"/>
                <w:sz w:val="18"/>
                <w:szCs w:val="18"/>
                <w:lang w:eastAsia="en-GB"/>
              </w:rPr>
              <w:t>[137]</w:t>
            </w:r>
            <w:r w:rsidRPr="000E39AA">
              <w:rPr>
                <w:rFonts w:ascii="Arial" w:eastAsia="Times New Roman" w:hAnsi="Arial" w:cs="Arial"/>
                <w:color w:val="000000"/>
                <w:sz w:val="18"/>
                <w:szCs w:val="18"/>
                <w:lang w:eastAsia="en-GB"/>
              </w:rPr>
              <w:fldChar w:fldCharType="end"/>
            </w:r>
          </w:p>
        </w:tc>
      </w:tr>
      <w:tr w:rsidR="001B7894" w:rsidRPr="000E39AA" w14:paraId="7A8D5CA3" w14:textId="77777777" w:rsidTr="00735174">
        <w:trPr>
          <w:trHeight w:val="1417"/>
        </w:trPr>
        <w:tc>
          <w:tcPr>
            <w:tcW w:w="2211" w:type="dxa"/>
            <w:vMerge/>
            <w:tcBorders>
              <w:top w:val="nil"/>
              <w:left w:val="nil"/>
              <w:bottom w:val="single" w:sz="4" w:space="0" w:color="auto"/>
              <w:right w:val="nil"/>
            </w:tcBorders>
            <w:vAlign w:val="center"/>
            <w:hideMark/>
          </w:tcPr>
          <w:p w14:paraId="30D809B2" w14:textId="77777777" w:rsidR="001B7894" w:rsidRPr="000E39AA" w:rsidRDefault="001B7894" w:rsidP="00735174">
            <w:pPr>
              <w:spacing w:after="0" w:line="240" w:lineRule="auto"/>
              <w:rPr>
                <w:rFonts w:ascii="Arial" w:eastAsia="Times New Roman" w:hAnsi="Arial" w:cs="Arial"/>
                <w:i/>
                <w:iCs/>
                <w:color w:val="000000"/>
                <w:sz w:val="18"/>
                <w:szCs w:val="18"/>
                <w:lang w:eastAsia="en-GB"/>
              </w:rPr>
            </w:pPr>
          </w:p>
        </w:tc>
        <w:tc>
          <w:tcPr>
            <w:tcW w:w="3176" w:type="dxa"/>
            <w:tcBorders>
              <w:top w:val="nil"/>
              <w:left w:val="nil"/>
              <w:bottom w:val="single" w:sz="4" w:space="0" w:color="auto"/>
              <w:right w:val="nil"/>
            </w:tcBorders>
            <w:shd w:val="clear" w:color="auto" w:fill="auto"/>
            <w:vAlign w:val="center"/>
            <w:hideMark/>
          </w:tcPr>
          <w:p w14:paraId="6AF8B3AC" w14:textId="77777777" w:rsidR="001B7894" w:rsidRPr="000E39AA" w:rsidRDefault="001B7894" w:rsidP="00735174">
            <w:pPr>
              <w:spacing w:after="0" w:line="240" w:lineRule="auto"/>
              <w:rPr>
                <w:rFonts w:ascii="Arial" w:eastAsia="Times New Roman" w:hAnsi="Arial" w:cs="Arial"/>
                <w:color w:val="000000"/>
                <w:sz w:val="18"/>
                <w:szCs w:val="18"/>
                <w:lang w:eastAsia="en-GB"/>
              </w:rPr>
            </w:pPr>
            <w:r w:rsidRPr="000E39AA">
              <w:rPr>
                <w:rFonts w:ascii="Arial" w:eastAsia="Times New Roman" w:hAnsi="Arial" w:cs="Arial"/>
                <w:color w:val="000000"/>
                <w:sz w:val="18"/>
                <w:szCs w:val="18"/>
                <w:lang w:eastAsia="en-GB"/>
              </w:rPr>
              <w:t xml:space="preserve">Mice with injection of Lewis lung cancer (LLC) </w:t>
            </w:r>
          </w:p>
        </w:tc>
        <w:tc>
          <w:tcPr>
            <w:tcW w:w="2524" w:type="dxa"/>
            <w:tcBorders>
              <w:top w:val="nil"/>
              <w:left w:val="nil"/>
              <w:bottom w:val="single" w:sz="4" w:space="0" w:color="auto"/>
              <w:right w:val="nil"/>
            </w:tcBorders>
            <w:shd w:val="clear" w:color="auto" w:fill="auto"/>
            <w:vAlign w:val="center"/>
            <w:hideMark/>
          </w:tcPr>
          <w:p w14:paraId="6211CEA9" w14:textId="77777777" w:rsidR="001B7894" w:rsidRPr="000E39AA" w:rsidRDefault="001B7894" w:rsidP="00735174">
            <w:pPr>
              <w:spacing w:after="0" w:line="240" w:lineRule="auto"/>
              <w:rPr>
                <w:rFonts w:ascii="Arial" w:eastAsia="Times New Roman" w:hAnsi="Arial" w:cs="Arial"/>
                <w:color w:val="000000"/>
                <w:sz w:val="18"/>
                <w:szCs w:val="18"/>
                <w:lang w:eastAsia="en-GB"/>
              </w:rPr>
            </w:pPr>
            <w:r w:rsidRPr="000E39AA">
              <w:rPr>
                <w:rFonts w:ascii="Arial" w:eastAsia="Times New Roman" w:hAnsi="Arial" w:cs="Arial"/>
                <w:color w:val="000000"/>
                <w:sz w:val="18"/>
                <w:szCs w:val="18"/>
                <w:lang w:eastAsia="en-GB"/>
              </w:rPr>
              <w:t>Spinal VEGF-A/VEGFR2 signalling blocked by intrathecal injection of the VEGF-A antibody or the specific VEGFR2 inhibitor ZM323881.</w:t>
            </w:r>
          </w:p>
        </w:tc>
        <w:tc>
          <w:tcPr>
            <w:tcW w:w="1134" w:type="dxa"/>
            <w:tcBorders>
              <w:top w:val="nil"/>
              <w:left w:val="nil"/>
              <w:bottom w:val="single" w:sz="4" w:space="0" w:color="auto"/>
              <w:right w:val="nil"/>
            </w:tcBorders>
            <w:shd w:val="clear" w:color="auto" w:fill="auto"/>
            <w:noWrap/>
            <w:vAlign w:val="center"/>
          </w:tcPr>
          <w:p w14:paraId="603208ED" w14:textId="24F75502" w:rsidR="001B7894" w:rsidRPr="000E39AA" w:rsidRDefault="001B7894" w:rsidP="00735174">
            <w:pPr>
              <w:spacing w:after="0" w:line="240" w:lineRule="auto"/>
              <w:rPr>
                <w:rFonts w:ascii="Arial" w:eastAsia="Times New Roman" w:hAnsi="Arial" w:cs="Arial"/>
                <w:color w:val="000000"/>
                <w:sz w:val="18"/>
                <w:szCs w:val="18"/>
                <w:lang w:eastAsia="en-GB"/>
              </w:rPr>
            </w:pPr>
            <w:r w:rsidRPr="000E39AA">
              <w:rPr>
                <w:rFonts w:ascii="Arial" w:eastAsia="Times New Roman" w:hAnsi="Arial" w:cs="Arial"/>
                <w:color w:val="000000"/>
                <w:sz w:val="18"/>
                <w:szCs w:val="18"/>
                <w:lang w:eastAsia="en-GB"/>
              </w:rPr>
              <w:fldChar w:fldCharType="begin" w:fldLock="1"/>
            </w:r>
            <w:r w:rsidR="00A445D5">
              <w:rPr>
                <w:rFonts w:ascii="Arial" w:eastAsia="Times New Roman" w:hAnsi="Arial" w:cs="Arial"/>
                <w:color w:val="000000"/>
                <w:sz w:val="18"/>
                <w:szCs w:val="18"/>
                <w:lang w:eastAsia="en-GB"/>
              </w:rPr>
              <w:instrText>ADDIN CSL_CITATION {"citationItems":[{"id":"ITEM-1","itemData":{"DOI":"10.1177/17448069221075891","ISSN":"1744-8069","PMID":"35083936","abstract":"Tumor metastasis to bone is often accompanied by a severe pain syndrome (cancer-induced bone pain, CIBP) that is frequently unresponsive to analgesics, which markedly reduces patient quality of life and cancer treatment tolerance in patients. Prolonged pain can induce hypersensitivity via spinal plasticity, and several recent studies have implicated the involvement of vascular endothelial growth factor-A (VEGF-A) signaling in this process. Here, we speculated that CIBP is associated with VEGF-A/VEGFR2 signaling in the spinal cord. A mouse model of CIBP was established by intramedullary injection of Lewis lung carcinoma (LLC) cells in the mouse femur. Pain sensitization and potential amelioration via VEGF-A/VEGFR2 blockade were measured using paw withdrawal threshold to mechanical stimulation and paw withdrawal latency to thermal. Spinal VEGF-A/VEGFR2 signaling was blocked by intrathecal injection of the VEGF-A antibody or the specific VEGFR2 inhibitor ZM323881. Changes in the expression levels of VEGF-A, VEGFR2, and other pain-related signaling factors were measured using western blotting and immunofluorescence staining. Mice after LLC injection demonstrated mechanical allodynia and thermal hyperalgesia, both of which were suppressed via anti-VEGF-A antibody or ZM323881. Conversely, the intrathecal injection of exogenous VEGF-A was sufficient to cause pain hypersensitivity in naïve mice via the VEGFR2-mediated activation of protein kinase C. Moreover, the spinal blockade of VEGF-A or VEGFR2 also suppressed N-methyl-D-aspartate receptor (NMDAR) activation and downstream Ca2+-dependent signaling. Thus, spinal VEGF-A/VEGFR2/NMDAR signaling pathways may be critical mediators of CIBP.","author":[{"dropping-particle":"","family":"Fan","given":"Li-Jun","non-dropping-particle":"","parse-names":false,"suffix":""},{"dropping-particle":"","family":"Kan","given":"Hou-Ming","non-dropping-particle":"","parse-names":false,"suffix":""},{"dropping-particle":"","family":"Chen","given":"Xue-Tai","non-dropping-particle":"","parse-names":false,"suffix":""},{"dropping-particle":"","family":"Sun","given":"Yuan-Yuan","non-dropping-particle":"","parse-names":false,"suffix":""},{"dropping-particle":"","family":"Chen","given":"Li-ping","non-dropping-particle":"","parse-names":false,"suffix":""},{"dropping-particle":"","family":"Shen","given":"Wen","non-dropping-particle":"","parse-names":false,"suffix":""}],"container-title":"Molecular Pain","id":"ITEM-1","issued":{"date-parts":[["2022"]]},"page":"174480692210758","title":"Vascular endothelial growth factor-A/vascular endothelial growth factor2 signaling in spinal neurons contributes to bone cancer pain","type":"article-journal","volume":"18"},"uris":["http://www.mendeley.com/documents/?uuid=52e7aca3-ea03-4797-a329-6f8161aef751"]}],"mendeley":{"formattedCitation":"[138]","plainTextFormattedCitation":"[138]","previouslyFormattedCitation":"[138]"},"properties":{"noteIndex":0},"schema":"https://github.com/citation-style-language/schema/raw/master/csl-citation.json"}</w:instrText>
            </w:r>
            <w:r w:rsidRPr="000E39AA">
              <w:rPr>
                <w:rFonts w:ascii="Arial" w:eastAsia="Times New Roman" w:hAnsi="Arial" w:cs="Arial"/>
                <w:color w:val="000000"/>
                <w:sz w:val="18"/>
                <w:szCs w:val="18"/>
                <w:lang w:eastAsia="en-GB"/>
              </w:rPr>
              <w:fldChar w:fldCharType="separate"/>
            </w:r>
            <w:r w:rsidR="0062132B" w:rsidRPr="0062132B">
              <w:rPr>
                <w:rFonts w:ascii="Arial" w:eastAsia="Times New Roman" w:hAnsi="Arial" w:cs="Arial"/>
                <w:noProof/>
                <w:color w:val="000000"/>
                <w:sz w:val="18"/>
                <w:szCs w:val="18"/>
                <w:lang w:eastAsia="en-GB"/>
              </w:rPr>
              <w:t>[138]</w:t>
            </w:r>
            <w:r w:rsidRPr="000E39AA">
              <w:rPr>
                <w:rFonts w:ascii="Arial" w:eastAsia="Times New Roman" w:hAnsi="Arial" w:cs="Arial"/>
                <w:color w:val="000000"/>
                <w:sz w:val="18"/>
                <w:szCs w:val="18"/>
                <w:lang w:eastAsia="en-GB"/>
              </w:rPr>
              <w:fldChar w:fldCharType="end"/>
            </w:r>
          </w:p>
        </w:tc>
      </w:tr>
      <w:tr w:rsidR="001B7894" w:rsidRPr="000E39AA" w14:paraId="3EF7750C" w14:textId="77777777" w:rsidTr="00735174">
        <w:trPr>
          <w:trHeight w:val="780"/>
        </w:trPr>
        <w:tc>
          <w:tcPr>
            <w:tcW w:w="2211" w:type="dxa"/>
            <w:tcBorders>
              <w:top w:val="single" w:sz="4" w:space="0" w:color="auto"/>
              <w:left w:val="nil"/>
              <w:right w:val="nil"/>
            </w:tcBorders>
            <w:shd w:val="clear" w:color="auto" w:fill="auto"/>
            <w:vAlign w:val="center"/>
            <w:hideMark/>
          </w:tcPr>
          <w:p w14:paraId="1C27D2AD" w14:textId="77777777" w:rsidR="001B7894" w:rsidRPr="000E39AA" w:rsidRDefault="001B7894" w:rsidP="00735174">
            <w:pPr>
              <w:spacing w:after="0" w:line="240" w:lineRule="auto"/>
              <w:rPr>
                <w:rFonts w:ascii="Arial" w:eastAsia="Times New Roman" w:hAnsi="Arial" w:cs="Arial"/>
                <w:i/>
                <w:iCs/>
                <w:color w:val="000000"/>
                <w:sz w:val="18"/>
                <w:szCs w:val="18"/>
                <w:lang w:eastAsia="en-GB"/>
              </w:rPr>
            </w:pPr>
            <w:r w:rsidRPr="000E39AA">
              <w:rPr>
                <w:rFonts w:ascii="Arial" w:eastAsia="Times New Roman" w:hAnsi="Arial" w:cs="Arial"/>
                <w:i/>
                <w:iCs/>
                <w:color w:val="000000"/>
                <w:sz w:val="18"/>
                <w:szCs w:val="18"/>
                <w:lang w:eastAsia="en-GB"/>
              </w:rPr>
              <w:t>Inflammatory-mediated bone pain</w:t>
            </w:r>
          </w:p>
        </w:tc>
        <w:tc>
          <w:tcPr>
            <w:tcW w:w="3176" w:type="dxa"/>
            <w:tcBorders>
              <w:top w:val="single" w:sz="4" w:space="0" w:color="auto"/>
              <w:left w:val="nil"/>
              <w:right w:val="nil"/>
            </w:tcBorders>
            <w:shd w:val="clear" w:color="auto" w:fill="auto"/>
            <w:vAlign w:val="center"/>
            <w:hideMark/>
          </w:tcPr>
          <w:p w14:paraId="3EC9FB42" w14:textId="77777777" w:rsidR="001B7894" w:rsidRPr="000E39AA" w:rsidRDefault="001B7894" w:rsidP="00735174">
            <w:pPr>
              <w:spacing w:after="0" w:line="240" w:lineRule="auto"/>
              <w:rPr>
                <w:rFonts w:ascii="Arial" w:eastAsia="Times New Roman" w:hAnsi="Arial" w:cs="Arial"/>
                <w:color w:val="000000"/>
                <w:sz w:val="18"/>
                <w:szCs w:val="18"/>
                <w:lang w:eastAsia="en-GB"/>
              </w:rPr>
            </w:pPr>
            <w:r w:rsidRPr="000E39AA">
              <w:rPr>
                <w:rFonts w:ascii="Arial" w:eastAsia="Times New Roman" w:hAnsi="Arial" w:cs="Arial"/>
                <w:color w:val="000000"/>
                <w:sz w:val="18"/>
                <w:szCs w:val="18"/>
                <w:lang w:eastAsia="en-GB"/>
              </w:rPr>
              <w:t>Rats with carrageenan-induced inflammation</w:t>
            </w:r>
          </w:p>
        </w:tc>
        <w:tc>
          <w:tcPr>
            <w:tcW w:w="2524" w:type="dxa"/>
            <w:tcBorders>
              <w:top w:val="single" w:sz="4" w:space="0" w:color="auto"/>
              <w:left w:val="nil"/>
              <w:right w:val="nil"/>
            </w:tcBorders>
            <w:shd w:val="clear" w:color="auto" w:fill="auto"/>
            <w:vAlign w:val="center"/>
            <w:hideMark/>
          </w:tcPr>
          <w:p w14:paraId="65B8E698" w14:textId="77777777" w:rsidR="001B7894" w:rsidRPr="000E39AA" w:rsidRDefault="001B7894" w:rsidP="00735174">
            <w:pPr>
              <w:spacing w:after="0" w:line="240" w:lineRule="auto"/>
              <w:rPr>
                <w:rFonts w:ascii="Arial" w:eastAsia="Times New Roman" w:hAnsi="Arial" w:cs="Arial"/>
                <w:color w:val="000000"/>
                <w:sz w:val="18"/>
                <w:szCs w:val="18"/>
                <w:lang w:eastAsia="en-GB"/>
              </w:rPr>
            </w:pPr>
            <w:r w:rsidRPr="000E39AA">
              <w:rPr>
                <w:rFonts w:ascii="Arial" w:eastAsia="Times New Roman" w:hAnsi="Arial" w:cs="Arial"/>
                <w:color w:val="000000"/>
                <w:sz w:val="18"/>
                <w:szCs w:val="18"/>
                <w:lang w:eastAsia="en-GB"/>
              </w:rPr>
              <w:t>Artemin sequestration</w:t>
            </w:r>
          </w:p>
        </w:tc>
        <w:tc>
          <w:tcPr>
            <w:tcW w:w="1134" w:type="dxa"/>
            <w:tcBorders>
              <w:top w:val="single" w:sz="4" w:space="0" w:color="auto"/>
              <w:left w:val="nil"/>
              <w:right w:val="nil"/>
            </w:tcBorders>
            <w:shd w:val="clear" w:color="auto" w:fill="auto"/>
            <w:noWrap/>
            <w:vAlign w:val="center"/>
          </w:tcPr>
          <w:p w14:paraId="01734A56" w14:textId="35B6E44E" w:rsidR="001B7894" w:rsidRPr="000E39AA" w:rsidRDefault="001B7894" w:rsidP="00735174">
            <w:pPr>
              <w:spacing w:after="0" w:line="240" w:lineRule="auto"/>
              <w:rPr>
                <w:rFonts w:ascii="Arial" w:eastAsia="Times New Roman" w:hAnsi="Arial" w:cs="Arial"/>
                <w:color w:val="000000"/>
                <w:sz w:val="18"/>
                <w:szCs w:val="18"/>
                <w:lang w:eastAsia="en-GB"/>
              </w:rPr>
            </w:pPr>
            <w:r w:rsidRPr="000E39AA">
              <w:rPr>
                <w:rFonts w:ascii="Arial" w:eastAsia="Times New Roman" w:hAnsi="Arial" w:cs="Arial"/>
                <w:color w:val="000000"/>
                <w:sz w:val="18"/>
                <w:szCs w:val="18"/>
                <w:lang w:eastAsia="en-GB"/>
              </w:rPr>
              <w:fldChar w:fldCharType="begin" w:fldLock="1"/>
            </w:r>
            <w:r w:rsidR="00A445D5">
              <w:rPr>
                <w:rFonts w:ascii="Arial" w:eastAsia="Times New Roman" w:hAnsi="Arial" w:cs="Arial"/>
                <w:color w:val="000000"/>
                <w:sz w:val="18"/>
                <w:szCs w:val="18"/>
                <w:lang w:eastAsia="en-GB"/>
              </w:rPr>
              <w:instrText>ADDIN CSL_CITATION {"citationItems":[{"id":"ITEM-1","itemData":{"DOI":"10.1002/ejp.1315","ISSN":"15322149","PMID":"30218545","abstract":"Background: Pathologies that affect the bone marrow have a significant inflammatory component; however, it is not clear how inflammatory mediators affect nociceptive nerve terminals within the marrow cavity. Methods: In this study, an in vivo bone-nerve preparation was used to directly record the physiological response properties of bone marrow nociceptors innervating the tibial marrow cavity of rats, before and after application of the inflammatory agent carrageenan. In addition, endogenous artemin was sequestered by application of an artemin neutralizing antibody to determine if this could prevent the inflammation-induced physiological changes observed. Results: A single injection of carrageenan administered into the tibial marrow cavity produced rapid changes in weight bearing (pain-like behaviour) in conscious animals. Carrageenan, but not saline, activated bone marrow nociceptors in whole-nerve recordings and sensitized a subtype of Aδ-bone marrow nociceptors to mechanical stimulation. The activation and sensitization had a rapid time course that matched that of pain-like behaviours. Sequestration of endogenous artemin significantly reduced carrageenan-induced increases in ongoing activity and completely abolished sensitization of bone marrow nociceptors to mechanical stimulation. Conclusions: These observations indicate that inflammation affects the activity and sensitivity of bone marrow nociceptors; that artemin plays a role in these changes; and that artemin might be a promising target for pharmacological manipulations in the treatment of inflammatory bone pain. Significance: Most pathologies that affect the bone marrow have an inflammatory component. We have used a model of carrageenan-induced inflammation to show that sequestration of artemin reduces inflammation-induced activation and sensitization of bone marrow nociceptors. Our findings suggest that artemin signalling is a target for the treatment of inflammatory bone pain.","author":[{"dropping-particle":"","family":"Nencini","given":"Sara","non-dropping-particle":"","parse-names":false,"suffix":""},{"dropping-particle":"","family":"Thai","given":"Jenny","non-dropping-particle":"","parse-names":false,"suffix":""},{"dropping-particle":"","family":"Ivanusic","given":"Jason J.","non-dropping-particle":"","parse-names":false,"suffix":""}],"container-title":"European Journal of Pain (United Kingdom)","id":"ITEM-1","issue":"2","issued":{"date-parts":[["2019"]]},"page":"397-409","title":"Sequestration of artemin reduces inflammation-induced activation and sensitization of bone marrow nociceptors in a rodent model of carrageenan-induced inflammatory bone pain","type":"article-journal","volume":"23"},"uris":["http://www.mendeley.com/documents/?uuid=aac0dff2-6064-490c-a469-7b1f14418e66"]}],"mendeley":{"formattedCitation":"[139]","plainTextFormattedCitation":"[139]","previouslyFormattedCitation":"[139]"},"properties":{"noteIndex":0},"schema":"https://github.com/citation-style-language/schema/raw/master/csl-citation.json"}</w:instrText>
            </w:r>
            <w:r w:rsidRPr="000E39AA">
              <w:rPr>
                <w:rFonts w:ascii="Arial" w:eastAsia="Times New Roman" w:hAnsi="Arial" w:cs="Arial"/>
                <w:color w:val="000000"/>
                <w:sz w:val="18"/>
                <w:szCs w:val="18"/>
                <w:lang w:eastAsia="en-GB"/>
              </w:rPr>
              <w:fldChar w:fldCharType="separate"/>
            </w:r>
            <w:r w:rsidR="0062132B" w:rsidRPr="0062132B">
              <w:rPr>
                <w:rFonts w:ascii="Arial" w:eastAsia="Times New Roman" w:hAnsi="Arial" w:cs="Arial"/>
                <w:noProof/>
                <w:color w:val="000000"/>
                <w:sz w:val="18"/>
                <w:szCs w:val="18"/>
                <w:lang w:eastAsia="en-GB"/>
              </w:rPr>
              <w:t>[139]</w:t>
            </w:r>
            <w:r w:rsidRPr="000E39AA">
              <w:rPr>
                <w:rFonts w:ascii="Arial" w:eastAsia="Times New Roman" w:hAnsi="Arial" w:cs="Arial"/>
                <w:color w:val="000000"/>
                <w:sz w:val="18"/>
                <w:szCs w:val="18"/>
                <w:lang w:eastAsia="en-GB"/>
              </w:rPr>
              <w:fldChar w:fldCharType="end"/>
            </w:r>
          </w:p>
        </w:tc>
      </w:tr>
      <w:tr w:rsidR="001B7894" w:rsidRPr="000E39AA" w14:paraId="4736F7F5" w14:textId="77777777" w:rsidTr="00735174">
        <w:trPr>
          <w:trHeight w:val="809"/>
        </w:trPr>
        <w:tc>
          <w:tcPr>
            <w:tcW w:w="2211" w:type="dxa"/>
            <w:tcBorders>
              <w:top w:val="nil"/>
              <w:left w:val="nil"/>
              <w:bottom w:val="single" w:sz="4" w:space="0" w:color="auto"/>
              <w:right w:val="nil"/>
            </w:tcBorders>
            <w:shd w:val="clear" w:color="auto" w:fill="auto"/>
            <w:vAlign w:val="center"/>
            <w:hideMark/>
          </w:tcPr>
          <w:p w14:paraId="365222DB" w14:textId="77777777" w:rsidR="001B7894" w:rsidRPr="000E39AA" w:rsidRDefault="001B7894" w:rsidP="00735174">
            <w:pPr>
              <w:spacing w:after="0" w:line="240" w:lineRule="auto"/>
              <w:rPr>
                <w:rFonts w:ascii="Arial" w:eastAsia="Times New Roman" w:hAnsi="Arial" w:cs="Arial"/>
                <w:i/>
                <w:iCs/>
                <w:color w:val="000000"/>
                <w:sz w:val="18"/>
                <w:szCs w:val="18"/>
                <w:lang w:eastAsia="en-GB"/>
              </w:rPr>
            </w:pPr>
            <w:r w:rsidRPr="000E39AA">
              <w:rPr>
                <w:rFonts w:ascii="Arial" w:eastAsia="Times New Roman" w:hAnsi="Arial" w:cs="Arial"/>
                <w:i/>
                <w:iCs/>
                <w:color w:val="000000"/>
                <w:sz w:val="18"/>
                <w:szCs w:val="18"/>
                <w:lang w:eastAsia="en-GB"/>
              </w:rPr>
              <w:t>Osteoarthritic bone pain model</w:t>
            </w:r>
          </w:p>
        </w:tc>
        <w:tc>
          <w:tcPr>
            <w:tcW w:w="3176" w:type="dxa"/>
            <w:tcBorders>
              <w:top w:val="nil"/>
              <w:left w:val="nil"/>
              <w:bottom w:val="single" w:sz="4" w:space="0" w:color="auto"/>
              <w:right w:val="nil"/>
            </w:tcBorders>
            <w:shd w:val="clear" w:color="auto" w:fill="auto"/>
            <w:vAlign w:val="center"/>
            <w:hideMark/>
          </w:tcPr>
          <w:p w14:paraId="080FF42B" w14:textId="77777777" w:rsidR="001B7894" w:rsidRPr="000E39AA" w:rsidRDefault="001B7894" w:rsidP="00735174">
            <w:pPr>
              <w:spacing w:after="0" w:line="240" w:lineRule="auto"/>
              <w:rPr>
                <w:rFonts w:ascii="Arial" w:eastAsia="Times New Roman" w:hAnsi="Arial" w:cs="Arial"/>
                <w:color w:val="000000"/>
                <w:sz w:val="18"/>
                <w:szCs w:val="18"/>
                <w:lang w:eastAsia="en-GB"/>
              </w:rPr>
            </w:pPr>
            <w:r w:rsidRPr="000E39AA">
              <w:rPr>
                <w:rFonts w:ascii="Arial" w:eastAsia="Times New Roman" w:hAnsi="Arial" w:cs="Arial"/>
                <w:color w:val="000000"/>
                <w:sz w:val="18"/>
                <w:szCs w:val="18"/>
                <w:lang w:eastAsia="en-GB"/>
              </w:rPr>
              <w:t>Male Sprague-Dawley rats with unilateral intra-articular injection of monosodium iodoacetate</w:t>
            </w:r>
          </w:p>
        </w:tc>
        <w:tc>
          <w:tcPr>
            <w:tcW w:w="2524" w:type="dxa"/>
            <w:tcBorders>
              <w:top w:val="nil"/>
              <w:left w:val="nil"/>
              <w:bottom w:val="single" w:sz="4" w:space="0" w:color="auto"/>
              <w:right w:val="nil"/>
            </w:tcBorders>
            <w:shd w:val="clear" w:color="auto" w:fill="auto"/>
            <w:vAlign w:val="center"/>
            <w:hideMark/>
          </w:tcPr>
          <w:p w14:paraId="6716C978" w14:textId="77777777" w:rsidR="001B7894" w:rsidRPr="000E39AA" w:rsidRDefault="001B7894" w:rsidP="00735174">
            <w:pPr>
              <w:spacing w:after="0" w:line="240" w:lineRule="auto"/>
              <w:rPr>
                <w:rFonts w:ascii="Arial" w:eastAsia="Times New Roman" w:hAnsi="Arial" w:cs="Arial"/>
                <w:color w:val="000000"/>
                <w:sz w:val="18"/>
                <w:szCs w:val="18"/>
                <w:lang w:eastAsia="en-GB"/>
              </w:rPr>
            </w:pPr>
            <w:r w:rsidRPr="000E39AA">
              <w:rPr>
                <w:rFonts w:ascii="Arial" w:eastAsia="Times New Roman" w:hAnsi="Arial" w:cs="Arial"/>
                <w:color w:val="000000"/>
                <w:sz w:val="18"/>
                <w:szCs w:val="18"/>
                <w:lang w:eastAsia="en-GB"/>
              </w:rPr>
              <w:t>Evaluation of physical activity intensity and incidence on bone pain</w:t>
            </w:r>
          </w:p>
        </w:tc>
        <w:tc>
          <w:tcPr>
            <w:tcW w:w="1134" w:type="dxa"/>
            <w:tcBorders>
              <w:top w:val="nil"/>
              <w:left w:val="nil"/>
              <w:bottom w:val="single" w:sz="4" w:space="0" w:color="auto"/>
              <w:right w:val="nil"/>
            </w:tcBorders>
            <w:shd w:val="clear" w:color="auto" w:fill="auto"/>
            <w:vAlign w:val="center"/>
          </w:tcPr>
          <w:p w14:paraId="703BF51B" w14:textId="249608CA" w:rsidR="001B7894" w:rsidRPr="000E39AA" w:rsidRDefault="001B7894" w:rsidP="00735174">
            <w:pPr>
              <w:spacing w:after="0" w:line="240" w:lineRule="auto"/>
              <w:rPr>
                <w:rFonts w:ascii="Arial" w:eastAsia="Times New Roman" w:hAnsi="Arial" w:cs="Arial"/>
                <w:color w:val="000000"/>
                <w:sz w:val="18"/>
                <w:szCs w:val="18"/>
                <w:lang w:eastAsia="en-GB"/>
              </w:rPr>
            </w:pPr>
            <w:r w:rsidRPr="000E39AA">
              <w:rPr>
                <w:rFonts w:ascii="Arial" w:eastAsia="Times New Roman" w:hAnsi="Arial" w:cs="Arial"/>
                <w:color w:val="000000"/>
                <w:sz w:val="18"/>
                <w:szCs w:val="18"/>
                <w:lang w:eastAsia="en-GB"/>
              </w:rPr>
              <w:fldChar w:fldCharType="begin" w:fldLock="1"/>
            </w:r>
            <w:r w:rsidR="00A445D5">
              <w:rPr>
                <w:rFonts w:ascii="Arial" w:eastAsia="Times New Roman" w:hAnsi="Arial" w:cs="Arial"/>
                <w:color w:val="000000"/>
                <w:sz w:val="18"/>
                <w:szCs w:val="18"/>
                <w:lang w:eastAsia="en-GB"/>
              </w:rPr>
              <w:instrText>ADDIN CSL_CITATION {"citationItems":[{"id":"ITEM-1","itemData":{"DOI":"10.1097/j.pain.0000000000002392","ISBN":"0000000000","ISSN":"18726623","PMID":"34224496","abstract":"Exercise is the most common treatment recommended by healthcare providers for the treatment of musculoskeletal pain. We examined whether voluntary running wheel exercise improves pain and bone remodeling in rats with monosodium iodoacetate-induced unilateral knee joint pain. During acquisition of wheel running before osteoarthritis (OA) treatment, rats separated into 2 groups characterized by either high or low levels of voluntary wheel running as indicated by distance and peak speed. After the induction of knee joint OA, all rats showed diminished voluntary wheel running throughout the study. Voluntary wheel running failed to alter evoked nociceptive responses evaluated as weight asymmetry or hind paw tactile thresholds at any timepoint of the study. By contrast, relief of ongoing pain was demonstrated by conditioned place preference produced by lidocaine injection into the monosodium iodoacetate-treated knee in high but not low-running rats. Both high and low voluntary runners showed diminished trabecular bone loss compared with sedentary controls. These observations indicate that both high-intensity and low-intensity exercise is beneficial in protecting against bone remodeling in advanced OA. The data suggest that similar to clinical observation, bone remodeling does not correlate with pain. In addition, these results suggest that higher intensity exercise may relieve persistent ongoing OA pain while maintaining movement-evoked nociception. The relief of ongoing pain can potentially offer significant improvement in quality of life, whereas preservation of responses to movement-evoked pain may be especially important in protecting the joint from damage because of overuse.","author":[{"dropping-particle":"","family":"Townsend","given":"Kaylee","non-dropping-particle":"","parse-names":false,"suffix":""},{"dropping-particle":"","family":"Imbert","given":"Ian","non-dropping-particle":"","parse-names":false,"suffix":""},{"dropping-particle":"","family":"Eaton","given":"Victoria","non-dropping-particle":"","parse-names":false,"suffix":""},{"dropping-particle":"","family":"Stevenson","given":"Glenn W.","non-dropping-particle":"","parse-names":false,"suffix":""},{"dropping-particle":"","family":"King","given":"Tamara","non-dropping-particle":"","parse-names":false,"suffix":""}],"container-title":"Pain","id":"ITEM-1","issue":"3","issued":{"date-parts":[["2022"]]},"page":"E476-E487","title":"Voluntary exercise blocks ongoing pain and diminishes bone remodeling while sparing protective mechanical pain in a rat model of advanced osteoarthritis pain","type":"article-journal","volume":"163"},"uris":["http://www.mendeley.com/documents/?uuid=8fabf1c4-cd6c-4302-a4c5-70bec7dbffbf"]}],"mendeley":{"formattedCitation":"[140]","plainTextFormattedCitation":"[140]","previouslyFormattedCitation":"[140]"},"properties":{"noteIndex":0},"schema":"https://github.com/citation-style-language/schema/raw/master/csl-citation.json"}</w:instrText>
            </w:r>
            <w:r w:rsidRPr="000E39AA">
              <w:rPr>
                <w:rFonts w:ascii="Arial" w:eastAsia="Times New Roman" w:hAnsi="Arial" w:cs="Arial"/>
                <w:color w:val="000000"/>
                <w:sz w:val="18"/>
                <w:szCs w:val="18"/>
                <w:lang w:eastAsia="en-GB"/>
              </w:rPr>
              <w:fldChar w:fldCharType="separate"/>
            </w:r>
            <w:r w:rsidR="0062132B" w:rsidRPr="0062132B">
              <w:rPr>
                <w:rFonts w:ascii="Arial" w:eastAsia="Times New Roman" w:hAnsi="Arial" w:cs="Arial"/>
                <w:noProof/>
                <w:color w:val="000000"/>
                <w:sz w:val="18"/>
                <w:szCs w:val="18"/>
                <w:lang w:eastAsia="en-GB"/>
              </w:rPr>
              <w:t>[140]</w:t>
            </w:r>
            <w:r w:rsidRPr="000E39AA">
              <w:rPr>
                <w:rFonts w:ascii="Arial" w:eastAsia="Times New Roman" w:hAnsi="Arial" w:cs="Arial"/>
                <w:color w:val="000000"/>
                <w:sz w:val="18"/>
                <w:szCs w:val="18"/>
                <w:lang w:eastAsia="en-GB"/>
              </w:rPr>
              <w:fldChar w:fldCharType="end"/>
            </w:r>
          </w:p>
        </w:tc>
      </w:tr>
      <w:tr w:rsidR="001B7894" w:rsidRPr="000E39AA" w14:paraId="68ED72CF" w14:textId="77777777" w:rsidTr="00735174">
        <w:trPr>
          <w:trHeight w:val="696"/>
        </w:trPr>
        <w:tc>
          <w:tcPr>
            <w:tcW w:w="2211" w:type="dxa"/>
            <w:vMerge w:val="restart"/>
            <w:tcBorders>
              <w:top w:val="single" w:sz="4" w:space="0" w:color="auto"/>
              <w:left w:val="nil"/>
              <w:bottom w:val="nil"/>
              <w:right w:val="nil"/>
            </w:tcBorders>
            <w:shd w:val="clear" w:color="auto" w:fill="auto"/>
            <w:vAlign w:val="center"/>
            <w:hideMark/>
          </w:tcPr>
          <w:p w14:paraId="22D34241" w14:textId="77777777" w:rsidR="001B7894" w:rsidRPr="000E39AA" w:rsidRDefault="001B7894" w:rsidP="00735174">
            <w:pPr>
              <w:spacing w:after="0" w:line="240" w:lineRule="auto"/>
              <w:jc w:val="center"/>
              <w:rPr>
                <w:rFonts w:ascii="Arial" w:eastAsia="Times New Roman" w:hAnsi="Arial" w:cs="Arial"/>
                <w:i/>
                <w:iCs/>
                <w:color w:val="000000"/>
                <w:sz w:val="18"/>
                <w:szCs w:val="18"/>
                <w:lang w:eastAsia="en-GB"/>
              </w:rPr>
            </w:pPr>
            <w:r w:rsidRPr="000E39AA">
              <w:rPr>
                <w:rFonts w:ascii="Arial" w:eastAsia="Times New Roman" w:hAnsi="Arial" w:cs="Arial"/>
                <w:i/>
                <w:iCs/>
                <w:color w:val="000000"/>
                <w:sz w:val="18"/>
                <w:szCs w:val="18"/>
                <w:lang w:eastAsia="en-GB"/>
              </w:rPr>
              <w:t xml:space="preserve">Bone afferent nerve </w:t>
            </w:r>
          </w:p>
        </w:tc>
        <w:tc>
          <w:tcPr>
            <w:tcW w:w="3176" w:type="dxa"/>
            <w:tcBorders>
              <w:top w:val="single" w:sz="4" w:space="0" w:color="auto"/>
              <w:left w:val="nil"/>
              <w:bottom w:val="nil"/>
              <w:right w:val="nil"/>
            </w:tcBorders>
            <w:shd w:val="clear" w:color="auto" w:fill="auto"/>
            <w:vAlign w:val="center"/>
            <w:hideMark/>
          </w:tcPr>
          <w:p w14:paraId="1DA17FB2" w14:textId="77777777" w:rsidR="001B7894" w:rsidRPr="000E39AA" w:rsidRDefault="001B7894" w:rsidP="00735174">
            <w:pPr>
              <w:spacing w:after="0" w:line="240" w:lineRule="auto"/>
              <w:rPr>
                <w:rFonts w:ascii="Arial" w:eastAsia="Times New Roman" w:hAnsi="Arial" w:cs="Arial"/>
                <w:color w:val="000000"/>
                <w:sz w:val="18"/>
                <w:szCs w:val="18"/>
                <w:lang w:eastAsia="en-GB"/>
              </w:rPr>
            </w:pPr>
            <w:r w:rsidRPr="000E39AA">
              <w:rPr>
                <w:rFonts w:ascii="Arial" w:eastAsia="Times New Roman" w:hAnsi="Arial" w:cs="Arial"/>
                <w:color w:val="000000"/>
                <w:sz w:val="18"/>
                <w:szCs w:val="18"/>
                <w:lang w:eastAsia="en-GB"/>
              </w:rPr>
              <w:t>Male Sprague-Dawley rats</w:t>
            </w:r>
          </w:p>
        </w:tc>
        <w:tc>
          <w:tcPr>
            <w:tcW w:w="2524" w:type="dxa"/>
            <w:tcBorders>
              <w:top w:val="single" w:sz="4" w:space="0" w:color="auto"/>
              <w:left w:val="nil"/>
              <w:bottom w:val="nil"/>
              <w:right w:val="nil"/>
            </w:tcBorders>
            <w:shd w:val="clear" w:color="auto" w:fill="auto"/>
            <w:vAlign w:val="center"/>
            <w:hideMark/>
          </w:tcPr>
          <w:p w14:paraId="57AC9F76" w14:textId="77777777" w:rsidR="001B7894" w:rsidRPr="000E39AA" w:rsidRDefault="001B7894" w:rsidP="00735174">
            <w:pPr>
              <w:spacing w:after="0" w:line="240" w:lineRule="auto"/>
              <w:rPr>
                <w:rFonts w:ascii="Arial" w:eastAsia="Times New Roman" w:hAnsi="Arial" w:cs="Arial"/>
                <w:color w:val="000000"/>
                <w:sz w:val="18"/>
                <w:szCs w:val="18"/>
                <w:lang w:eastAsia="en-GB"/>
              </w:rPr>
            </w:pPr>
            <w:r w:rsidRPr="000E39AA">
              <w:rPr>
                <w:rFonts w:ascii="Arial" w:eastAsia="Times New Roman" w:hAnsi="Arial" w:cs="Arial"/>
                <w:color w:val="000000"/>
                <w:sz w:val="18"/>
                <w:szCs w:val="18"/>
                <w:lang w:eastAsia="en-GB"/>
              </w:rPr>
              <w:t xml:space="preserve">Piezo2 knockdown with antisense oligodeoxynucleotides </w:t>
            </w:r>
          </w:p>
        </w:tc>
        <w:tc>
          <w:tcPr>
            <w:tcW w:w="1134" w:type="dxa"/>
            <w:tcBorders>
              <w:top w:val="single" w:sz="4" w:space="0" w:color="auto"/>
              <w:left w:val="nil"/>
              <w:bottom w:val="nil"/>
              <w:right w:val="nil"/>
            </w:tcBorders>
            <w:shd w:val="clear" w:color="auto" w:fill="auto"/>
            <w:noWrap/>
            <w:vAlign w:val="center"/>
          </w:tcPr>
          <w:p w14:paraId="146E5CDE" w14:textId="0CF47C47" w:rsidR="001B7894" w:rsidRPr="000E39AA" w:rsidRDefault="001B7894" w:rsidP="00735174">
            <w:pPr>
              <w:spacing w:after="0" w:line="240" w:lineRule="auto"/>
              <w:rPr>
                <w:rFonts w:ascii="Arial" w:eastAsia="Times New Roman" w:hAnsi="Arial" w:cs="Arial"/>
                <w:color w:val="000000"/>
                <w:sz w:val="18"/>
                <w:szCs w:val="18"/>
                <w:lang w:eastAsia="en-GB"/>
              </w:rPr>
            </w:pPr>
            <w:r w:rsidRPr="000E39AA">
              <w:rPr>
                <w:rFonts w:ascii="Arial" w:eastAsia="Times New Roman" w:hAnsi="Arial" w:cs="Arial"/>
                <w:color w:val="000000"/>
                <w:sz w:val="18"/>
                <w:szCs w:val="18"/>
                <w:lang w:eastAsia="en-GB"/>
              </w:rPr>
              <w:fldChar w:fldCharType="begin" w:fldLock="1"/>
            </w:r>
            <w:r w:rsidR="00A445D5">
              <w:rPr>
                <w:rFonts w:ascii="Arial" w:eastAsia="Times New Roman" w:hAnsi="Arial" w:cs="Arial"/>
                <w:color w:val="000000"/>
                <w:sz w:val="18"/>
                <w:szCs w:val="18"/>
                <w:lang w:eastAsia="en-GB"/>
              </w:rPr>
              <w:instrText>ADDIN CSL_CITATION {"citationItems":[{"id":"ITEM-1","itemData":{"DOI":"10.3389/fphys.2021.644929","ISSN":"1664042X","abstract":"Piezo2 is a mechanically gated ion-channel that has a well-defined role in innocuous mechanical sensitivity, but recently has also been suggested to play a role in mechanically induced pain. Here we have explored a role for Piezo2 in mechanically evoked bone nociception in Sprague Dawley rats. We have used an in vivo electrophysiological bone-nerve preparation to record the activity of single Aδ bone afferent neurons in response to noxious mechanical stimulation, after Piezo2 knockdown in the dorsal root ganglia with intrathecal injections of Piezo2 antisense oligodeoxynucleotides, or in control animals that received mismatch oligodeoxynucleotides. There were no differences in the number of Aδ bone afferent neurons responding to the mechanical stimulus, or their threshold for mechanical activation, in Piezo2 knockdown animals compared to mismatch control animals. However, bone afferent neurons in Piezo2 knockdown animals had reduced discharge frequencies and took longer to recover from stimulus-evoked fatigue than those in mismatch control animals. Piezo2 knockdown also prevented nerve growth factor (NGF)-induced sensitization of bone afferent neurons, and retrograde labeled bone afferent neurons that expressed Piezo2 co-expressed TrkA, the high affinity receptor for NGF. Our findings demonstrate that Piezo2 contributes to the response of bone afferent neurons to noxious mechanical stimulation, and plays a role in processes that sensitize them to mechanical stimulation.","author":[{"dropping-particle":"","family":"Nencini","given":"Sara","non-dropping-particle":"","parse-names":false,"suffix":""},{"dropping-particle":"","family":"Morgan","given":"Michael","non-dropping-particle":"","parse-names":false,"suffix":""},{"dropping-particle":"","family":"Thai","given":"Jenny","non-dropping-particle":"","parse-names":false,"suffix":""},{"dropping-particle":"","family":"Jobling","given":"Andrew I.","non-dropping-particle":"","parse-names":false,"suffix":""},{"dropping-particle":"","family":"Mazzone","given":"Stuart B.","non-dropping-particle":"","parse-names":false,"suffix":""},{"dropping-particle":"","family":"Ivanusic","given":"Jason J.","non-dropping-particle":"","parse-names":false,"suffix":""}],"container-title":"Frontiers in Physiology","id":"ITEM-1","issue":"July","issued":{"date-parts":[["2021"]]},"page":"1-13","title":"Piezo2 Knockdown Inhibits Noxious Mechanical Stimulation and NGF-Induced Sensitization in A-Delta Bone Afferent Neurons","type":"article-journal","volume":"12"},"uris":["http://www.mendeley.com/documents/?uuid=9ce0eb05-f7a0-419b-a87e-550edc997500"]}],"mendeley":{"formattedCitation":"[141]","plainTextFormattedCitation":"[141]","previouslyFormattedCitation":"[141]"},"properties":{"noteIndex":0},"schema":"https://github.com/citation-style-language/schema/raw/master/csl-citation.json"}</w:instrText>
            </w:r>
            <w:r w:rsidRPr="000E39AA">
              <w:rPr>
                <w:rFonts w:ascii="Arial" w:eastAsia="Times New Roman" w:hAnsi="Arial" w:cs="Arial"/>
                <w:color w:val="000000"/>
                <w:sz w:val="18"/>
                <w:szCs w:val="18"/>
                <w:lang w:eastAsia="en-GB"/>
              </w:rPr>
              <w:fldChar w:fldCharType="separate"/>
            </w:r>
            <w:r w:rsidR="0062132B" w:rsidRPr="0062132B">
              <w:rPr>
                <w:rFonts w:ascii="Arial" w:eastAsia="Times New Roman" w:hAnsi="Arial" w:cs="Arial"/>
                <w:noProof/>
                <w:color w:val="000000"/>
                <w:sz w:val="18"/>
                <w:szCs w:val="18"/>
                <w:lang w:eastAsia="en-GB"/>
              </w:rPr>
              <w:t>[141]</w:t>
            </w:r>
            <w:r w:rsidRPr="000E39AA">
              <w:rPr>
                <w:rFonts w:ascii="Arial" w:eastAsia="Times New Roman" w:hAnsi="Arial" w:cs="Arial"/>
                <w:color w:val="000000"/>
                <w:sz w:val="18"/>
                <w:szCs w:val="18"/>
                <w:lang w:eastAsia="en-GB"/>
              </w:rPr>
              <w:fldChar w:fldCharType="end"/>
            </w:r>
          </w:p>
        </w:tc>
      </w:tr>
      <w:tr w:rsidR="001B7894" w:rsidRPr="000E39AA" w14:paraId="60FACA2E" w14:textId="77777777" w:rsidTr="00735174">
        <w:trPr>
          <w:trHeight w:val="928"/>
        </w:trPr>
        <w:tc>
          <w:tcPr>
            <w:tcW w:w="2211" w:type="dxa"/>
            <w:vMerge/>
            <w:tcBorders>
              <w:top w:val="nil"/>
              <w:left w:val="nil"/>
              <w:bottom w:val="nil"/>
              <w:right w:val="nil"/>
            </w:tcBorders>
            <w:vAlign w:val="center"/>
            <w:hideMark/>
          </w:tcPr>
          <w:p w14:paraId="785A57F2" w14:textId="77777777" w:rsidR="001B7894" w:rsidRPr="000E39AA" w:rsidRDefault="001B7894" w:rsidP="00735174">
            <w:pPr>
              <w:spacing w:after="0" w:line="240" w:lineRule="auto"/>
              <w:rPr>
                <w:rFonts w:ascii="Arial" w:eastAsia="Times New Roman" w:hAnsi="Arial" w:cs="Arial"/>
                <w:color w:val="000000"/>
                <w:sz w:val="18"/>
                <w:szCs w:val="18"/>
                <w:lang w:eastAsia="en-GB"/>
              </w:rPr>
            </w:pPr>
          </w:p>
        </w:tc>
        <w:tc>
          <w:tcPr>
            <w:tcW w:w="3176" w:type="dxa"/>
            <w:tcBorders>
              <w:top w:val="nil"/>
              <w:left w:val="nil"/>
              <w:bottom w:val="nil"/>
              <w:right w:val="nil"/>
            </w:tcBorders>
            <w:shd w:val="clear" w:color="auto" w:fill="auto"/>
            <w:vAlign w:val="center"/>
            <w:hideMark/>
          </w:tcPr>
          <w:p w14:paraId="3CECDC92" w14:textId="77777777" w:rsidR="001B7894" w:rsidRPr="000E39AA" w:rsidRDefault="001B7894" w:rsidP="00735174">
            <w:pPr>
              <w:spacing w:after="0" w:line="240" w:lineRule="auto"/>
              <w:rPr>
                <w:rFonts w:ascii="Arial" w:eastAsia="Times New Roman" w:hAnsi="Arial" w:cs="Arial"/>
                <w:color w:val="000000"/>
                <w:sz w:val="18"/>
                <w:szCs w:val="18"/>
                <w:lang w:eastAsia="en-GB"/>
              </w:rPr>
            </w:pPr>
            <w:r w:rsidRPr="000E39AA">
              <w:rPr>
                <w:rFonts w:ascii="Arial" w:eastAsia="Times New Roman" w:hAnsi="Arial" w:cs="Arial"/>
                <w:color w:val="000000"/>
                <w:sz w:val="18"/>
                <w:szCs w:val="18"/>
                <w:lang w:eastAsia="en-GB"/>
              </w:rPr>
              <w:t>Mice with injection of dextran-biotin</w:t>
            </w:r>
          </w:p>
        </w:tc>
        <w:tc>
          <w:tcPr>
            <w:tcW w:w="2524" w:type="dxa"/>
            <w:tcBorders>
              <w:top w:val="nil"/>
              <w:left w:val="nil"/>
              <w:bottom w:val="nil"/>
              <w:right w:val="nil"/>
            </w:tcBorders>
            <w:shd w:val="clear" w:color="auto" w:fill="auto"/>
            <w:vAlign w:val="center"/>
            <w:hideMark/>
          </w:tcPr>
          <w:p w14:paraId="65D6980A" w14:textId="77777777" w:rsidR="001B7894" w:rsidRPr="000E39AA" w:rsidRDefault="001B7894" w:rsidP="00735174">
            <w:pPr>
              <w:spacing w:after="0" w:line="240" w:lineRule="auto"/>
              <w:rPr>
                <w:rFonts w:ascii="Arial" w:eastAsia="Times New Roman" w:hAnsi="Arial" w:cs="Arial"/>
                <w:color w:val="000000"/>
                <w:sz w:val="18"/>
                <w:szCs w:val="18"/>
                <w:lang w:eastAsia="en-GB"/>
              </w:rPr>
            </w:pPr>
            <w:r w:rsidRPr="000E39AA">
              <w:rPr>
                <w:rFonts w:ascii="Arial" w:eastAsia="Times New Roman" w:hAnsi="Arial" w:cs="Arial"/>
                <w:color w:val="000000"/>
                <w:sz w:val="18"/>
                <w:szCs w:val="18"/>
                <w:lang w:eastAsia="en-GB"/>
              </w:rPr>
              <w:t xml:space="preserve">Anterograde tracing study via injections of dextran–biotin </w:t>
            </w:r>
          </w:p>
        </w:tc>
        <w:tc>
          <w:tcPr>
            <w:tcW w:w="1134" w:type="dxa"/>
            <w:tcBorders>
              <w:top w:val="nil"/>
              <w:left w:val="nil"/>
              <w:bottom w:val="nil"/>
              <w:right w:val="nil"/>
            </w:tcBorders>
            <w:shd w:val="clear" w:color="auto" w:fill="auto"/>
            <w:noWrap/>
            <w:vAlign w:val="center"/>
          </w:tcPr>
          <w:p w14:paraId="7493B104" w14:textId="70CE0A20" w:rsidR="001B7894" w:rsidRPr="000E39AA" w:rsidRDefault="001B7894" w:rsidP="00735174">
            <w:pPr>
              <w:spacing w:after="0" w:line="240" w:lineRule="auto"/>
              <w:rPr>
                <w:rFonts w:ascii="Arial" w:eastAsia="Times New Roman" w:hAnsi="Arial" w:cs="Arial"/>
                <w:color w:val="000000"/>
                <w:sz w:val="18"/>
                <w:szCs w:val="18"/>
                <w:lang w:eastAsia="en-GB"/>
              </w:rPr>
            </w:pPr>
            <w:r w:rsidRPr="000E39AA">
              <w:rPr>
                <w:rFonts w:ascii="Arial" w:eastAsia="Times New Roman" w:hAnsi="Arial" w:cs="Arial"/>
                <w:color w:val="000000"/>
                <w:sz w:val="18"/>
                <w:szCs w:val="18"/>
                <w:lang w:eastAsia="en-GB"/>
              </w:rPr>
              <w:fldChar w:fldCharType="begin" w:fldLock="1"/>
            </w:r>
            <w:r w:rsidR="00A445D5">
              <w:rPr>
                <w:rFonts w:ascii="Arial" w:eastAsia="Times New Roman" w:hAnsi="Arial" w:cs="Arial"/>
                <w:color w:val="000000"/>
                <w:sz w:val="18"/>
                <w:szCs w:val="18"/>
                <w:lang w:eastAsia="en-GB"/>
              </w:rPr>
              <w:instrText>ADDIN CSL_CITATION {"citationItems":[{"id":"ITEM-1","itemData":{"DOI":"10.1002/cne.24862","ISSN":"10969861","PMID":"31970770","abstract":"While sensory and sympathetic neurons are known to innervate bone, previous studies have found it difficult to unequivocally identify and characterize only those that are of sensory origin. In this study, we have utilized an in vivo anterograde tracing technique to selectively label spinal afferent (sensory) nerve endings that innervate the periosteum and marrow cavity of murine long bones. Unilateral injections of dextran–biotin (anterograde tracer; 20% in saline, 50–100 nl) were made into L3–L5 dorsal root ganglia. After a 10-day recovery period to allow sufficient time for selective anterograde transport of the tracer to nerve terminal endings in bone, the periosteum (whole-mount) and underlying bone were collected, processed to reveal anterograde labeling, and immuno-labeled with antibodies directed against protein gene product (pan-neuronal marker; PGP9.5), tyrosine hydroxylase (sympathetic neuron marker; TH), calcitonin gene-related protein (peptidergic nociceptor marker; CGRP), and/or neurofilament 200 (myelinated axon marker; NF200). Anterograde-labeled nerve endings were dispersed throughout the periosteum and marrow cavity and could be identified in close apposition to blood vessels and at sites distant from them. The periosteum and the marrow cavity were each innervated by myelinated (NF200+) sensory neurons, and unmyelinated (NF200</w:instrText>
            </w:r>
            <w:r w:rsidR="00A445D5">
              <w:rPr>
                <w:rFonts w:ascii="Cambria Math" w:eastAsia="Times New Roman" w:hAnsi="Cambria Math" w:cs="Cambria Math"/>
                <w:color w:val="000000"/>
                <w:sz w:val="18"/>
                <w:szCs w:val="18"/>
                <w:lang w:eastAsia="en-GB"/>
              </w:rPr>
              <w:instrText>‑</w:instrText>
            </w:r>
            <w:r w:rsidR="00A445D5">
              <w:rPr>
                <w:rFonts w:ascii="Arial" w:eastAsia="Times New Roman" w:hAnsi="Arial" w:cs="Arial"/>
                <w:color w:val="000000"/>
                <w:sz w:val="18"/>
                <w:szCs w:val="18"/>
                <w:lang w:eastAsia="en-GB"/>
              </w:rPr>
              <w:instrText>) sensory neurons that were either peptidergic (CGRP+) or nonpeptidergic (CGRP</w:instrText>
            </w:r>
            <w:r w:rsidR="00A445D5">
              <w:rPr>
                <w:rFonts w:ascii="Cambria Math" w:eastAsia="Times New Roman" w:hAnsi="Cambria Math" w:cs="Cambria Math"/>
                <w:color w:val="000000"/>
                <w:sz w:val="18"/>
                <w:szCs w:val="18"/>
                <w:lang w:eastAsia="en-GB"/>
              </w:rPr>
              <w:instrText>‑</w:instrText>
            </w:r>
            <w:r w:rsidR="00A445D5">
              <w:rPr>
                <w:rFonts w:ascii="Arial" w:eastAsia="Times New Roman" w:hAnsi="Arial" w:cs="Arial"/>
                <w:color w:val="000000"/>
                <w:sz w:val="18"/>
                <w:szCs w:val="18"/>
                <w:lang w:eastAsia="en-GB"/>
              </w:rPr>
              <w:instrText>). Spinal afferent nerve endings did not express TH, and lacked the cylindrical morphology around blood vessels characteristic of sympathetic innervation. This approach to selective labeling of sensory nerve terminal endings will help to better identify how different sub-populations of sensory neurons, and their peripheral nerve terminal endings, interact with bone.","author":[{"dropping-particle":"","family":"Thai","given":"Jenny","non-dropping-particle":"","parse-names":false,"suffix":""},{"dropping-particle":"","family":"Kyloh","given":"Melinda","non-dropping-particle":"","parse-names":false,"suffix":""},{"dropping-particle":"","family":"Travis","given":"Lee","non-dropping-particle":"","parse-names":false,"suffix":""},{"dropping-particle":"","family":"Spencer","given":"Nick J.","non-dropping-particle":"","parse-names":false,"suffix":""},{"dropping-particle":"","family":"Ivanusic","given":"Jason J.","non-dropping-particle":"","parse-names":false,"suffix":""}],"container-title":"Journal of Comparative Neurology","id":"ITEM-1","issue":"11","issued":{"date-parts":[["2020"]]},"page":"1903-1916","title":"Identifying spinal afferent (sensory) nerve endings that innervate the marrow cavity and periosteum using anterograde tracing","type":"article-journal","volume":"528"},"uris":["http://www.mendeley.com/documents/?uuid=1d8a40cc-dbb3-4a54-b6f1-0a0867f81963"]}],"mendeley":{"formattedCitation":"[142]","plainTextFormattedCitation":"[142]","previouslyFormattedCitation":"[142]"},"properties":{"noteIndex":0},"schema":"https://github.com/citation-style-language/schema/raw/master/csl-citation.json"}</w:instrText>
            </w:r>
            <w:r w:rsidRPr="000E39AA">
              <w:rPr>
                <w:rFonts w:ascii="Arial" w:eastAsia="Times New Roman" w:hAnsi="Arial" w:cs="Arial"/>
                <w:color w:val="000000"/>
                <w:sz w:val="18"/>
                <w:szCs w:val="18"/>
                <w:lang w:eastAsia="en-GB"/>
              </w:rPr>
              <w:fldChar w:fldCharType="separate"/>
            </w:r>
            <w:r w:rsidR="0062132B" w:rsidRPr="0062132B">
              <w:rPr>
                <w:rFonts w:ascii="Arial" w:eastAsia="Times New Roman" w:hAnsi="Arial" w:cs="Arial"/>
                <w:noProof/>
                <w:color w:val="000000"/>
                <w:sz w:val="18"/>
                <w:szCs w:val="18"/>
                <w:lang w:eastAsia="en-GB"/>
              </w:rPr>
              <w:t>[142]</w:t>
            </w:r>
            <w:r w:rsidRPr="000E39AA">
              <w:rPr>
                <w:rFonts w:ascii="Arial" w:eastAsia="Times New Roman" w:hAnsi="Arial" w:cs="Arial"/>
                <w:color w:val="000000"/>
                <w:sz w:val="18"/>
                <w:szCs w:val="18"/>
                <w:lang w:eastAsia="en-GB"/>
              </w:rPr>
              <w:fldChar w:fldCharType="end"/>
            </w:r>
          </w:p>
        </w:tc>
      </w:tr>
      <w:tr w:rsidR="001B7894" w:rsidRPr="000E39AA" w14:paraId="640C6575" w14:textId="77777777" w:rsidTr="00735174">
        <w:trPr>
          <w:trHeight w:val="765"/>
        </w:trPr>
        <w:tc>
          <w:tcPr>
            <w:tcW w:w="2211" w:type="dxa"/>
            <w:vMerge/>
            <w:tcBorders>
              <w:top w:val="nil"/>
              <w:left w:val="nil"/>
              <w:bottom w:val="single" w:sz="4" w:space="0" w:color="auto"/>
              <w:right w:val="nil"/>
            </w:tcBorders>
            <w:vAlign w:val="center"/>
            <w:hideMark/>
          </w:tcPr>
          <w:p w14:paraId="102B3DED" w14:textId="77777777" w:rsidR="001B7894" w:rsidRPr="000E39AA" w:rsidRDefault="001B7894" w:rsidP="00735174">
            <w:pPr>
              <w:spacing w:after="0" w:line="240" w:lineRule="auto"/>
              <w:rPr>
                <w:rFonts w:ascii="Arial" w:eastAsia="Times New Roman" w:hAnsi="Arial" w:cs="Arial"/>
                <w:color w:val="000000"/>
                <w:sz w:val="18"/>
                <w:szCs w:val="18"/>
                <w:lang w:eastAsia="en-GB"/>
              </w:rPr>
            </w:pPr>
          </w:p>
        </w:tc>
        <w:tc>
          <w:tcPr>
            <w:tcW w:w="3176" w:type="dxa"/>
            <w:tcBorders>
              <w:top w:val="nil"/>
              <w:left w:val="nil"/>
              <w:bottom w:val="single" w:sz="4" w:space="0" w:color="auto"/>
              <w:right w:val="nil"/>
            </w:tcBorders>
            <w:shd w:val="clear" w:color="auto" w:fill="auto"/>
            <w:vAlign w:val="center"/>
            <w:hideMark/>
          </w:tcPr>
          <w:p w14:paraId="65F36032" w14:textId="77777777" w:rsidR="001B7894" w:rsidRPr="000E39AA" w:rsidRDefault="001B7894" w:rsidP="00735174">
            <w:pPr>
              <w:spacing w:after="0" w:line="240" w:lineRule="auto"/>
              <w:rPr>
                <w:rFonts w:ascii="Arial" w:eastAsia="Times New Roman" w:hAnsi="Arial" w:cs="Arial"/>
                <w:color w:val="000000"/>
                <w:sz w:val="18"/>
                <w:szCs w:val="18"/>
                <w:lang w:eastAsia="en-GB"/>
              </w:rPr>
            </w:pPr>
            <w:r w:rsidRPr="000E39AA">
              <w:rPr>
                <w:rFonts w:ascii="Arial" w:eastAsia="Times New Roman" w:hAnsi="Arial" w:cs="Arial"/>
                <w:color w:val="000000"/>
                <w:sz w:val="18"/>
                <w:szCs w:val="18"/>
                <w:lang w:eastAsia="en-GB"/>
              </w:rPr>
              <w:t>Male Sprague-Dawley rats</w:t>
            </w:r>
          </w:p>
        </w:tc>
        <w:tc>
          <w:tcPr>
            <w:tcW w:w="2524" w:type="dxa"/>
            <w:tcBorders>
              <w:top w:val="nil"/>
              <w:left w:val="nil"/>
              <w:bottom w:val="single" w:sz="4" w:space="0" w:color="auto"/>
              <w:right w:val="nil"/>
            </w:tcBorders>
            <w:shd w:val="clear" w:color="auto" w:fill="auto"/>
            <w:vAlign w:val="center"/>
            <w:hideMark/>
          </w:tcPr>
          <w:p w14:paraId="44BE59B9" w14:textId="77777777" w:rsidR="001B7894" w:rsidRPr="000E39AA" w:rsidRDefault="001B7894" w:rsidP="00735174">
            <w:pPr>
              <w:spacing w:after="0" w:line="240" w:lineRule="auto"/>
              <w:rPr>
                <w:rFonts w:ascii="Arial" w:eastAsia="Times New Roman" w:hAnsi="Arial" w:cs="Arial"/>
                <w:color w:val="000000"/>
                <w:sz w:val="18"/>
                <w:szCs w:val="18"/>
                <w:lang w:eastAsia="en-GB"/>
              </w:rPr>
            </w:pPr>
            <w:r w:rsidRPr="000E39AA">
              <w:rPr>
                <w:rFonts w:ascii="Arial" w:eastAsia="Times New Roman" w:hAnsi="Arial" w:cs="Arial"/>
                <w:color w:val="000000"/>
                <w:sz w:val="18"/>
                <w:szCs w:val="18"/>
                <w:lang w:eastAsia="en-GB"/>
              </w:rPr>
              <w:t xml:space="preserve">Retrograde tracing and electrophysiological </w:t>
            </w:r>
            <w:r w:rsidRPr="000E39AA">
              <w:rPr>
                <w:rFonts w:ascii="Arial" w:eastAsia="Times New Roman" w:hAnsi="Arial" w:cs="Arial"/>
                <w:i/>
                <w:iCs/>
                <w:color w:val="000000"/>
                <w:sz w:val="18"/>
                <w:szCs w:val="18"/>
                <w:lang w:eastAsia="en-GB"/>
              </w:rPr>
              <w:t>in vivo</w:t>
            </w:r>
            <w:r w:rsidRPr="000E39AA">
              <w:rPr>
                <w:rFonts w:ascii="Arial" w:eastAsia="Times New Roman" w:hAnsi="Arial" w:cs="Arial"/>
                <w:color w:val="000000"/>
                <w:sz w:val="18"/>
                <w:szCs w:val="18"/>
                <w:lang w:eastAsia="en-GB"/>
              </w:rPr>
              <w:t xml:space="preserve"> recording</w:t>
            </w:r>
          </w:p>
        </w:tc>
        <w:tc>
          <w:tcPr>
            <w:tcW w:w="1134" w:type="dxa"/>
            <w:tcBorders>
              <w:top w:val="nil"/>
              <w:left w:val="nil"/>
              <w:bottom w:val="single" w:sz="4" w:space="0" w:color="auto"/>
              <w:right w:val="nil"/>
            </w:tcBorders>
            <w:shd w:val="clear" w:color="auto" w:fill="auto"/>
            <w:noWrap/>
            <w:vAlign w:val="center"/>
          </w:tcPr>
          <w:p w14:paraId="5584D5D6" w14:textId="3E1F065A" w:rsidR="001B7894" w:rsidRPr="000E39AA" w:rsidRDefault="001B7894" w:rsidP="00735174">
            <w:pPr>
              <w:spacing w:after="0" w:line="240" w:lineRule="auto"/>
              <w:rPr>
                <w:rFonts w:ascii="Arial" w:eastAsia="Times New Roman" w:hAnsi="Arial" w:cs="Arial"/>
                <w:color w:val="000000"/>
                <w:sz w:val="18"/>
                <w:szCs w:val="18"/>
                <w:lang w:eastAsia="en-GB"/>
              </w:rPr>
            </w:pPr>
            <w:r w:rsidRPr="000E39AA">
              <w:rPr>
                <w:rFonts w:ascii="Arial" w:eastAsia="Times New Roman" w:hAnsi="Arial" w:cs="Arial"/>
                <w:color w:val="000000"/>
                <w:sz w:val="18"/>
                <w:szCs w:val="18"/>
                <w:lang w:eastAsia="en-GB"/>
              </w:rPr>
              <w:fldChar w:fldCharType="begin" w:fldLock="1"/>
            </w:r>
            <w:r w:rsidR="00A445D5">
              <w:rPr>
                <w:rFonts w:ascii="Arial" w:eastAsia="Times New Roman" w:hAnsi="Arial" w:cs="Arial"/>
                <w:color w:val="000000"/>
                <w:sz w:val="18"/>
                <w:szCs w:val="18"/>
                <w:lang w:eastAsia="en-GB"/>
              </w:rPr>
              <w:instrText>ADDIN CSL_CITATION {"citationItems":[{"id":"ITEM-1","itemData":{"DOI":"10.1016/j.bone.2019.03.040","ISSN":"87563282","PMID":"30936039","abstract":"The Transient receptor potential cation channel subfamily V member 1 (TRPV1) is a non-selective cation channel that is activated by capsaicin, low pH and noxious heat. It has been suggested to have a pro-algesic role in a range of conditions that present with bone pain, but the mechanisms by which this occurs are not yet clear. In this study we aimed to determine if TRPV1 is expressed in Aδ and/or C fiber bone afferent neurons, and to explore its role in the activation and/or sensitization of bone afferent neurons to mechanical stimulation. A combination of retrograde tracing and immunohistochemistry was used to determine expression of TRPV1 in the soma of bone afferent neurons that innervate the rat tibial marrow cavity. A novel, in vivo, electrophysiological bone-nerve preparation, recently developed in our laboratory, was used to make recordings of the activity and sensitivity of bone afferent neurons in response to application of the TRPV1 agonist capsaicin to the marrow cavity. We found that a substantial proportion of bone afferent neurons express TRPV1. These include both small-diameter myelinated (neurofilament rich) and unmyelinated (neurofilament poor) neurons that are likely to be Aδ and C fiber neurons, respectively. Electrophysiological recordings revealed that application of capsaicin to the marrow cavity increased ongoing activity of C fiber, and to a lesser extent Aδ fiber, bone afferent neurons. Capsaicin also sensitized both Aδ and C fiber bone afferent neurons to mechanical stimulation. This evidence supports a role for TRPV1 in the pathogenesis of pain associated with bone pathology or disease.","author":[{"dropping-particle":"","family":"Morgan","given":"Michael","non-dropping-particle":"","parse-names":false,"suffix":""},{"dropping-particle":"","family":"Nencini","given":"Sara","non-dropping-particle":"","parse-names":false,"suffix":""},{"dropping-particle":"","family":"Thai","given":"Jenny","non-dropping-particle":"","parse-names":false,"suffix":""},{"dropping-particle":"","family":"Ivanusic","given":"Jason J.","non-dropping-particle":"","parse-names":false,"suffix":""}],"container-title":"Bone","id":"ITEM-1","issue":"March","issued":{"date-parts":[["2019"]]},"page":"168-175","publisher":"Elsevier","title":"TRPV1 activation alters the function of Aδ and C fiber sensory neurons that innervate bone","type":"article-journal","volume":"123"},"uris":["http://www.mendeley.com/documents/?uuid=6eac00c8-57d1-4819-be75-420567d93950"]}],"mendeley":{"formattedCitation":"[143]","plainTextFormattedCitation":"[143]","previouslyFormattedCitation":"[143]"},"properties":{"noteIndex":0},"schema":"https://github.com/citation-style-language/schema/raw/master/csl-citation.json"}</w:instrText>
            </w:r>
            <w:r w:rsidRPr="000E39AA">
              <w:rPr>
                <w:rFonts w:ascii="Arial" w:eastAsia="Times New Roman" w:hAnsi="Arial" w:cs="Arial"/>
                <w:color w:val="000000"/>
                <w:sz w:val="18"/>
                <w:szCs w:val="18"/>
                <w:lang w:eastAsia="en-GB"/>
              </w:rPr>
              <w:fldChar w:fldCharType="separate"/>
            </w:r>
            <w:r w:rsidR="0062132B" w:rsidRPr="0062132B">
              <w:rPr>
                <w:rFonts w:ascii="Arial" w:eastAsia="Times New Roman" w:hAnsi="Arial" w:cs="Arial"/>
                <w:noProof/>
                <w:color w:val="000000"/>
                <w:sz w:val="18"/>
                <w:szCs w:val="18"/>
                <w:lang w:eastAsia="en-GB"/>
              </w:rPr>
              <w:t>[143]</w:t>
            </w:r>
            <w:r w:rsidRPr="000E39AA">
              <w:rPr>
                <w:rFonts w:ascii="Arial" w:eastAsia="Times New Roman" w:hAnsi="Arial" w:cs="Arial"/>
                <w:color w:val="000000"/>
                <w:sz w:val="18"/>
                <w:szCs w:val="18"/>
                <w:lang w:eastAsia="en-GB"/>
              </w:rPr>
              <w:fldChar w:fldCharType="end"/>
            </w:r>
          </w:p>
        </w:tc>
      </w:tr>
    </w:tbl>
    <w:p w14:paraId="4A9D16DD" w14:textId="77777777" w:rsidR="001B7894" w:rsidRDefault="001B7894" w:rsidP="001B7894"/>
    <w:p w14:paraId="5F37B4AC" w14:textId="2B1C1F73" w:rsidR="0073628D" w:rsidRDefault="0073628D" w:rsidP="00F03759">
      <w:pPr>
        <w:shd w:val="clear" w:color="auto" w:fill="FFFFFF"/>
        <w:spacing w:after="0" w:line="276" w:lineRule="auto"/>
        <w:jc w:val="both"/>
        <w:rPr>
          <w:rFonts w:ascii="Arial" w:hAnsi="Arial" w:cs="Arial"/>
          <w:color w:val="000000"/>
        </w:rPr>
      </w:pPr>
    </w:p>
    <w:p w14:paraId="70EF44C2" w14:textId="105340D4" w:rsidR="0073628D" w:rsidRDefault="0073628D" w:rsidP="00F03759">
      <w:pPr>
        <w:shd w:val="clear" w:color="auto" w:fill="FFFFFF"/>
        <w:spacing w:after="0" w:line="276" w:lineRule="auto"/>
        <w:jc w:val="both"/>
        <w:rPr>
          <w:rFonts w:ascii="Arial" w:hAnsi="Arial" w:cs="Arial"/>
          <w:color w:val="000000"/>
        </w:rPr>
      </w:pPr>
    </w:p>
    <w:p w14:paraId="64EAB2CB" w14:textId="60788F48" w:rsidR="0073628D" w:rsidRDefault="001301CD" w:rsidP="0073628D">
      <w:pPr>
        <w:shd w:val="clear" w:color="auto" w:fill="FFFFFF"/>
        <w:spacing w:after="0" w:line="276" w:lineRule="auto"/>
        <w:jc w:val="center"/>
        <w:rPr>
          <w:rFonts w:ascii="Arial" w:hAnsi="Arial" w:cs="Arial"/>
        </w:rPr>
      </w:pPr>
      <w:r>
        <w:rPr>
          <w:noProof/>
        </w:rPr>
        <w:drawing>
          <wp:inline distT="0" distB="0" distL="0" distR="0" wp14:anchorId="57047C9B" wp14:editId="5E403686">
            <wp:extent cx="5724525" cy="833437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24525" cy="8334375"/>
                    </a:xfrm>
                    <a:prstGeom prst="rect">
                      <a:avLst/>
                    </a:prstGeom>
                    <a:noFill/>
                    <a:ln>
                      <a:noFill/>
                    </a:ln>
                  </pic:spPr>
                </pic:pic>
              </a:graphicData>
            </a:graphic>
          </wp:inline>
        </w:drawing>
      </w:r>
    </w:p>
    <w:p w14:paraId="40016F37" w14:textId="0F08D75B" w:rsidR="00BC139B" w:rsidRDefault="00BC139B" w:rsidP="00BC139B">
      <w:pPr>
        <w:pStyle w:val="Caption"/>
        <w:jc w:val="both"/>
        <w:rPr>
          <w:rFonts w:ascii="Arial" w:hAnsi="Arial" w:cs="Arial"/>
          <w:i w:val="0"/>
          <w:iCs w:val="0"/>
          <w:color w:val="auto"/>
        </w:rPr>
      </w:pPr>
      <w:bookmarkStart w:id="68" w:name="_Toc98937889"/>
      <w:r w:rsidRPr="000E39AA">
        <w:rPr>
          <w:rFonts w:ascii="Arial" w:hAnsi="Arial" w:cs="Arial"/>
          <w:b/>
          <w:bCs/>
          <w:i w:val="0"/>
          <w:iCs w:val="0"/>
          <w:color w:val="auto"/>
        </w:rPr>
        <w:lastRenderedPageBreak/>
        <w:t>Fig</w:t>
      </w:r>
      <w:r>
        <w:rPr>
          <w:rFonts w:ascii="Arial" w:hAnsi="Arial" w:cs="Arial"/>
          <w:b/>
          <w:bCs/>
          <w:i w:val="0"/>
          <w:iCs w:val="0"/>
          <w:color w:val="auto"/>
        </w:rPr>
        <w:t>.</w:t>
      </w:r>
      <w:r w:rsidRPr="000E39AA">
        <w:rPr>
          <w:rFonts w:ascii="Arial" w:hAnsi="Arial" w:cs="Arial"/>
          <w:b/>
          <w:bCs/>
          <w:i w:val="0"/>
          <w:iCs w:val="0"/>
          <w:color w:val="auto"/>
        </w:rPr>
        <w:t xml:space="preserve"> </w:t>
      </w:r>
      <w:r w:rsidR="0031786B">
        <w:rPr>
          <w:rFonts w:ascii="Arial" w:hAnsi="Arial" w:cs="Arial"/>
          <w:b/>
          <w:bCs/>
          <w:i w:val="0"/>
          <w:iCs w:val="0"/>
          <w:color w:val="auto"/>
        </w:rPr>
        <w:t>5</w:t>
      </w:r>
      <w:r w:rsidRPr="000E39AA">
        <w:rPr>
          <w:rFonts w:ascii="Arial" w:hAnsi="Arial" w:cs="Arial"/>
          <w:b/>
          <w:bCs/>
          <w:i w:val="0"/>
          <w:iCs w:val="0"/>
          <w:color w:val="auto"/>
        </w:rPr>
        <w:t xml:space="preserve"> </w:t>
      </w:r>
      <w:r w:rsidRPr="000E39AA">
        <w:rPr>
          <w:rFonts w:ascii="Arial" w:hAnsi="Arial" w:cs="Arial"/>
          <w:i w:val="0"/>
          <w:iCs w:val="0"/>
          <w:color w:val="auto"/>
        </w:rPr>
        <w:t xml:space="preserve">Bone pain models. (a) Bone pain </w:t>
      </w:r>
      <w:r w:rsidRPr="000E39AA">
        <w:rPr>
          <w:rFonts w:ascii="Arial" w:hAnsi="Arial"/>
          <w:color w:val="auto"/>
        </w:rPr>
        <w:t xml:space="preserve">in </w:t>
      </w:r>
      <w:r w:rsidR="00CD1C3E">
        <w:rPr>
          <w:rFonts w:ascii="Arial" w:hAnsi="Arial"/>
          <w:color w:val="auto"/>
        </w:rPr>
        <w:t>vitro</w:t>
      </w:r>
      <w:r w:rsidRPr="000E39AA">
        <w:rPr>
          <w:rFonts w:ascii="Arial" w:hAnsi="Arial" w:cs="Arial"/>
          <w:i w:val="0"/>
          <w:iCs w:val="0"/>
          <w:color w:val="auto"/>
        </w:rPr>
        <w:t xml:space="preserve"> model - TRPV1 expression. (</w:t>
      </w:r>
      <w:r w:rsidR="00143166">
        <w:rPr>
          <w:rFonts w:ascii="Arial" w:hAnsi="Arial" w:cs="Arial"/>
          <w:i w:val="0"/>
          <w:iCs w:val="0"/>
          <w:color w:val="auto"/>
        </w:rPr>
        <w:t>a-</w:t>
      </w:r>
      <w:proofErr w:type="spellStart"/>
      <w:r w:rsidRPr="000E39AA">
        <w:rPr>
          <w:rFonts w:ascii="Arial" w:hAnsi="Arial" w:cs="Arial"/>
          <w:i w:val="0"/>
          <w:iCs w:val="0"/>
          <w:color w:val="auto"/>
        </w:rPr>
        <w:t>i</w:t>
      </w:r>
      <w:proofErr w:type="spellEnd"/>
      <w:r w:rsidRPr="000E39AA">
        <w:rPr>
          <w:rFonts w:ascii="Arial" w:hAnsi="Arial" w:cs="Arial"/>
          <w:i w:val="0"/>
          <w:iCs w:val="0"/>
          <w:color w:val="auto"/>
        </w:rPr>
        <w:t>) L3 DRG section highlighting NF200+ neurons, TRPV1+ bone afferent neurons. (</w:t>
      </w:r>
      <w:r w:rsidR="00143166">
        <w:rPr>
          <w:rFonts w:ascii="Arial" w:hAnsi="Arial" w:cs="Arial"/>
          <w:i w:val="0"/>
          <w:iCs w:val="0"/>
          <w:color w:val="auto"/>
        </w:rPr>
        <w:t>a-</w:t>
      </w:r>
      <w:r w:rsidRPr="000E39AA">
        <w:rPr>
          <w:rFonts w:ascii="Arial" w:hAnsi="Arial" w:cs="Arial"/>
          <w:i w:val="0"/>
          <w:iCs w:val="0"/>
          <w:color w:val="auto"/>
        </w:rPr>
        <w:t xml:space="preserve">ii) The stimulation with 0.1 </w:t>
      </w:r>
      <w:proofErr w:type="spellStart"/>
      <w:r w:rsidRPr="000E39AA">
        <w:rPr>
          <w:rFonts w:ascii="Arial" w:hAnsi="Arial" w:cs="Arial"/>
          <w:i w:val="0"/>
          <w:iCs w:val="0"/>
          <w:color w:val="auto"/>
        </w:rPr>
        <w:t>μM</w:t>
      </w:r>
      <w:proofErr w:type="spellEnd"/>
      <w:r w:rsidRPr="000E39AA">
        <w:rPr>
          <w:rFonts w:ascii="Arial" w:hAnsi="Arial" w:cs="Arial"/>
          <w:i w:val="0"/>
          <w:iCs w:val="0"/>
          <w:color w:val="auto"/>
        </w:rPr>
        <w:t xml:space="preserve"> and 1 </w:t>
      </w:r>
      <w:proofErr w:type="spellStart"/>
      <w:r w:rsidRPr="000E39AA">
        <w:rPr>
          <w:rFonts w:ascii="Arial" w:hAnsi="Arial" w:cs="Arial"/>
          <w:i w:val="0"/>
          <w:iCs w:val="0"/>
          <w:color w:val="auto"/>
        </w:rPr>
        <w:t>μM</w:t>
      </w:r>
      <w:proofErr w:type="spellEnd"/>
      <w:r w:rsidRPr="000E39AA">
        <w:rPr>
          <w:rFonts w:ascii="Arial" w:hAnsi="Arial" w:cs="Arial"/>
          <w:i w:val="0"/>
          <w:iCs w:val="0"/>
          <w:color w:val="auto"/>
        </w:rPr>
        <w:t xml:space="preserve"> capsaicin increased the discharge frequency of both small (C fibre) and medium (</w:t>
      </w:r>
      <w:proofErr w:type="spellStart"/>
      <w:r w:rsidRPr="000E39AA">
        <w:rPr>
          <w:rFonts w:ascii="Arial" w:hAnsi="Arial" w:cs="Arial"/>
          <w:i w:val="0"/>
          <w:iCs w:val="0"/>
          <w:color w:val="auto"/>
        </w:rPr>
        <w:t>Aδ</w:t>
      </w:r>
      <w:proofErr w:type="spellEnd"/>
      <w:r w:rsidRPr="000E39AA">
        <w:rPr>
          <w:rFonts w:ascii="Arial" w:hAnsi="Arial" w:cs="Arial"/>
          <w:i w:val="0"/>
          <w:iCs w:val="0"/>
          <w:color w:val="auto"/>
        </w:rPr>
        <w:t xml:space="preserve"> fibre) amplitude. Adapted with permission from </w:t>
      </w:r>
      <w:r w:rsidRPr="000E39AA">
        <w:rPr>
          <w:rFonts w:ascii="Arial" w:hAnsi="Arial" w:cs="Arial"/>
          <w:i w:val="0"/>
          <w:iCs w:val="0"/>
          <w:color w:val="auto"/>
        </w:rPr>
        <w:fldChar w:fldCharType="begin" w:fldLock="1"/>
      </w:r>
      <w:r w:rsidR="00A445D5">
        <w:rPr>
          <w:rFonts w:ascii="Arial" w:hAnsi="Arial" w:cs="Arial"/>
          <w:i w:val="0"/>
          <w:iCs w:val="0"/>
          <w:color w:val="auto"/>
        </w:rPr>
        <w:instrText>ADDIN CSL_CITATION {"citationItems":[{"id":"ITEM-1","itemData":{"DOI":"10.1016/j.bone.2019.03.040","ISSN":"87563282","PMID":"30936039","abstract":"The Transient receptor potential cation channel subfamily V member 1 (TRPV1) is a non-selective cation channel that is activated by capsaicin, low pH and noxious heat. It has been suggested to have a pro-algesic role in a range of conditions that present with bone pain, but the mechanisms by which this occurs are not yet clear. In this study we aimed to determine if TRPV1 is expressed in Aδ and/or C fiber bone afferent neurons, and to explore its role in the activation and/or sensitization of bone afferent neurons to mechanical stimulation. A combination of retrograde tracing and immunohistochemistry was used to determine expression of TRPV1 in the soma of bone afferent neurons that innervate the rat tibial marrow cavity. A novel, in vivo, electrophysiological bone-nerve preparation, recently developed in our laboratory, was used to make recordings of the activity and sensitivity of bone afferent neurons in response to application of the TRPV1 agonist capsaicin to the marrow cavity. We found that a substantial proportion of bone afferent neurons express TRPV1. These include both small-diameter myelinated (neurofilament rich) and unmyelinated (neurofilament poor) neurons that are likely to be Aδ and C fiber neurons, respectively. Electrophysiological recordings revealed that application of capsaicin to the marrow cavity increased ongoing activity of C fiber, and to a lesser extent Aδ fiber, bone afferent neurons. Capsaicin also sensitized both Aδ and C fiber bone afferent neurons to mechanical stimulation. This evidence supports a role for TRPV1 in the pathogenesis of pain associated with bone pathology or disease.","author":[{"dropping-particle":"","family":"Morgan","given":"Michael","non-dropping-particle":"","parse-names":false,"suffix":""},{"dropping-particle":"","family":"Nencini","given":"Sara","non-dropping-particle":"","parse-names":false,"suffix":""},{"dropping-particle":"","family":"Thai","given":"Jenny","non-dropping-particle":"","parse-names":false,"suffix":""},{"dropping-particle":"","family":"Ivanusic","given":"Jason J.","non-dropping-particle":"","parse-names":false,"suffix":""}],"container-title":"Bone","id":"ITEM-1","issue":"March","issued":{"date-parts":[["2019"]]},"page":"168-175","publisher":"Elsevier","title":"TRPV1 activation alters the function of Aδ and C fiber sensory neurons that innervate bone","type":"article-journal","volume":"123"},"uris":["http://www.mendeley.com/documents/?uuid=6eac00c8-57d1-4819-be75-420567d93950"]}],"mendeley":{"formattedCitation":"[143]","plainTextFormattedCitation":"[143]","previouslyFormattedCitation":"[143]"},"properties":{"noteIndex":0},"schema":"https://github.com/citation-style-language/schema/raw/master/csl-citation.json"}</w:instrText>
      </w:r>
      <w:r w:rsidRPr="000E39AA">
        <w:rPr>
          <w:rFonts w:ascii="Arial" w:hAnsi="Arial" w:cs="Arial"/>
          <w:i w:val="0"/>
          <w:iCs w:val="0"/>
          <w:color w:val="auto"/>
        </w:rPr>
        <w:fldChar w:fldCharType="separate"/>
      </w:r>
      <w:r w:rsidR="0062132B" w:rsidRPr="0062132B">
        <w:rPr>
          <w:rFonts w:ascii="Arial" w:hAnsi="Arial" w:cs="Arial"/>
          <w:i w:val="0"/>
          <w:iCs w:val="0"/>
          <w:noProof/>
          <w:color w:val="auto"/>
        </w:rPr>
        <w:t>[143]</w:t>
      </w:r>
      <w:r w:rsidRPr="000E39AA">
        <w:rPr>
          <w:rFonts w:ascii="Arial" w:hAnsi="Arial" w:cs="Arial"/>
          <w:i w:val="0"/>
          <w:iCs w:val="0"/>
          <w:color w:val="auto"/>
        </w:rPr>
        <w:fldChar w:fldCharType="end"/>
      </w:r>
      <w:r w:rsidRPr="000E39AA">
        <w:rPr>
          <w:rFonts w:ascii="Arial" w:hAnsi="Arial" w:cs="Arial"/>
          <w:i w:val="0"/>
          <w:iCs w:val="0"/>
          <w:color w:val="auto"/>
        </w:rPr>
        <w:t>. Copyright 2019. (b) Bone cancer pain model. Destruction of bone tissue (</w:t>
      </w:r>
      <w:r w:rsidR="00143166">
        <w:rPr>
          <w:rFonts w:ascii="Arial" w:hAnsi="Arial" w:cs="Arial"/>
          <w:i w:val="0"/>
          <w:iCs w:val="0"/>
          <w:color w:val="auto"/>
        </w:rPr>
        <w:t>b-</w:t>
      </w:r>
      <w:proofErr w:type="spellStart"/>
      <w:r w:rsidRPr="000E39AA">
        <w:rPr>
          <w:rFonts w:ascii="Arial" w:hAnsi="Arial" w:cs="Arial"/>
          <w:i w:val="0"/>
          <w:iCs w:val="0"/>
          <w:color w:val="auto"/>
        </w:rPr>
        <w:t>i</w:t>
      </w:r>
      <w:proofErr w:type="spellEnd"/>
      <w:r w:rsidRPr="000E39AA">
        <w:rPr>
          <w:rFonts w:ascii="Arial" w:hAnsi="Arial" w:cs="Arial"/>
          <w:i w:val="0"/>
          <w:iCs w:val="0"/>
          <w:color w:val="auto"/>
        </w:rPr>
        <w:t xml:space="preserve">) confirmed by X-ray imaging and histological analysis, confirming the presence of tumour cells within the marrow cavity. </w:t>
      </w:r>
      <w:r w:rsidR="0099119B">
        <w:rPr>
          <w:rFonts w:ascii="Arial" w:hAnsi="Arial" w:cs="Arial"/>
          <w:i w:val="0"/>
          <w:iCs w:val="0"/>
          <w:color w:val="auto"/>
        </w:rPr>
        <w:t xml:space="preserve">(b-ii) </w:t>
      </w:r>
      <w:r w:rsidRPr="000E39AA">
        <w:rPr>
          <w:rFonts w:ascii="Arial" w:hAnsi="Arial" w:cs="Arial"/>
          <w:i w:val="0"/>
          <w:iCs w:val="0"/>
          <w:color w:val="auto"/>
        </w:rPr>
        <w:t xml:space="preserve">Paw mechanical withdrawal threshold (PMWT) and paw withdrawal thermal latency (PWTL) with cold and hot surfaces investigated in bone cancer rat model to evaluate the pain response </w:t>
      </w:r>
      <w:r w:rsidRPr="000E39AA">
        <w:rPr>
          <w:rFonts w:ascii="Arial" w:hAnsi="Arial"/>
          <w:color w:val="auto"/>
        </w:rPr>
        <w:t>in vivo</w:t>
      </w:r>
      <w:r w:rsidRPr="000E39AA">
        <w:rPr>
          <w:rFonts w:ascii="Arial" w:hAnsi="Arial" w:cs="Arial"/>
          <w:i w:val="0"/>
          <w:iCs w:val="0"/>
          <w:color w:val="auto"/>
        </w:rPr>
        <w:t xml:space="preserve">. Relative expression of mRNA and Transient receptor potential ankyrin 1 (TRPA1) was enhanced in bone cancer pain animal model. Targeting via TRPA1 antisense oligodeoxynucleotide (AS-ODN) relieved PMWT and PWTL. Adapted from </w:t>
      </w:r>
      <w:r w:rsidRPr="000E39AA">
        <w:rPr>
          <w:rFonts w:ascii="Arial" w:hAnsi="Arial" w:cs="Arial"/>
          <w:i w:val="0"/>
          <w:iCs w:val="0"/>
          <w:color w:val="auto"/>
        </w:rPr>
        <w:fldChar w:fldCharType="begin" w:fldLock="1"/>
      </w:r>
      <w:r w:rsidR="00A445D5">
        <w:rPr>
          <w:rFonts w:ascii="Arial" w:hAnsi="Arial" w:cs="Arial"/>
          <w:i w:val="0"/>
          <w:iCs w:val="0"/>
          <w:color w:val="auto"/>
        </w:rPr>
        <w:instrText>ADDIN CSL_CITATION {"citationItems":[{"id":"ITEM-1","itemData":{"DOI":"10.3389/fpain.2021.638620","abstract":" Background: Bone cancer pain (BCP) significantly affects patient quality of life, results in great bodily and emotional pain, and creates difficulties in follow-up treatment and normal life. Transient receptor potential ankyrin 1 (TRPA1) is an essential transduction ion channel related to neuropathic and inflammatory pain. However, the role of TRPA1 in BCP remains poorly understood. This study aimed to explore the relationship between TRPA1 and BCP.  Methods: A BCP model was induced by Walker256 cells to the left tibia. The sham group was induced by normal saline to the left tibia. Thereafter, pain behaviors and TRPA1 expression between the BCP group and the sham group were observed on the 14th day of modeling. The TRPA1 antagonist A967079 (10 mg/kg) was injected via tail vein. TRPA1 antisense oligodeoxynucleotide (AS-ODN, 5 nmol/10 μl) and missense oligodeoxynucleotide (MS-ODN, 5 nmol/10 μl) were intrathecally delivered via a mini-osmotic pump for 5 consecutive days to assess the effect of TRPA1 on BCP. Behavioral tests were assessed preoperatively and postoperatively. Real-time quantitative PCR and western blot analyses were used to measure TRPA1 levels among the different groups.  Results: The BCP model was successfully established via X-ray and pathological sections at 14 days. Compared to the sham group, the BCP group was more sensitive to mechanical stimuli, cool stimuli and hot stimuli. Intravenously injected A967079 can relieve paw mechanical withdrawal threshold and paw withdrawal thermal latency in rats with BCP. Moreover, AS-ODN can relieve paw mechanical withdrawal threshold and paw withdrawal thermal latency in rats with BCP. Additionally, relative mRNA and protein expression of TRPA1 in the BCP group were much higher than those in the sham group (14.55 ± 1.97 vs. 1 ± 0.04, P &amp;lt; 0.01). Compared to the BCP group, the relative mRNA and protein expression of TRPA1 in the BCP+AS-ODN group was reduced (14.55 ± 1.97 vs. 2.59 ± 0.34, P &amp;lt; 0.01).  Conclusions: The TRPA1 channel mediates mechanical allodynia and thermal hyperalgesia in a rat BCP model. ","author":[{"dropping-particle":"","family":"Liu","given":"Qiangwei","non-dropping-particle":"","parse-names":false,"suffix":""},{"dropping-particle":"","family":"Feng","given":"Long","non-dropping-particle":"","parse-names":false,"suffix":""},{"dropping-particle":"","family":"Han","given":"Xiujing","non-dropping-particle":"","parse-names":false,"suffix":""},{"dropping-particle":"","family":"Zhang","given":"Weidong","non-dropping-particle":"","parse-names":false,"suffix":""},{"dropping-particle":"","family":"Zhang","given":"Hong","non-dropping-particle":"","parse-names":false,"suffix":""},{"dropping-particle":"","family":"Xu","given":"Longhe","non-dropping-particle":"","parse-names":false,"suffix":""}],"container-title":"Frontiers in Pain Research","id":"ITEM-1","issue":"March","issued":{"date-parts":[["2021"]]},"page":"1-10","title":"The TRPA1 Channel Mediates Mechanical Allodynia and Thermal Hyperalgesia in a Rat Bone Cancer Pain Model","type":"article-journal","volume":"2"},"uris":["http://www.mendeley.com/documents/?uuid=67ce1b00-936f-4a00-b081-73701616b8c6"]}],"mendeley":{"formattedCitation":"[136]","plainTextFormattedCitation":"[136]","previouslyFormattedCitation":"[136]"},"properties":{"noteIndex":0},"schema":"https://github.com/citation-style-language/schema/raw/master/csl-citation.json"}</w:instrText>
      </w:r>
      <w:r w:rsidRPr="000E39AA">
        <w:rPr>
          <w:rFonts w:ascii="Arial" w:hAnsi="Arial" w:cs="Arial"/>
          <w:i w:val="0"/>
          <w:iCs w:val="0"/>
          <w:color w:val="auto"/>
        </w:rPr>
        <w:fldChar w:fldCharType="separate"/>
      </w:r>
      <w:r w:rsidR="0062132B" w:rsidRPr="0062132B">
        <w:rPr>
          <w:rFonts w:ascii="Arial" w:hAnsi="Arial" w:cs="Arial"/>
          <w:i w:val="0"/>
          <w:iCs w:val="0"/>
          <w:noProof/>
          <w:color w:val="auto"/>
        </w:rPr>
        <w:t>[136]</w:t>
      </w:r>
      <w:r w:rsidRPr="000E39AA">
        <w:rPr>
          <w:rFonts w:ascii="Arial" w:hAnsi="Arial" w:cs="Arial"/>
          <w:i w:val="0"/>
          <w:iCs w:val="0"/>
          <w:color w:val="auto"/>
        </w:rPr>
        <w:fldChar w:fldCharType="end"/>
      </w:r>
      <w:r w:rsidRPr="000E39AA">
        <w:rPr>
          <w:rFonts w:ascii="Arial" w:hAnsi="Arial" w:cs="Arial"/>
          <w:i w:val="0"/>
          <w:iCs w:val="0"/>
          <w:color w:val="auto"/>
        </w:rPr>
        <w:t>. Copyright © 2021 under the terms of the Creative Commons Attribution License (CC BY).  (c) Human spinal organoids in a chip (</w:t>
      </w:r>
      <w:r w:rsidR="00DF081C">
        <w:rPr>
          <w:rFonts w:ascii="Arial" w:hAnsi="Arial" w:cs="Arial"/>
          <w:i w:val="0"/>
          <w:iCs w:val="0"/>
          <w:color w:val="auto"/>
        </w:rPr>
        <w:t>c-</w:t>
      </w:r>
      <w:proofErr w:type="spellStart"/>
      <w:r w:rsidRPr="000E39AA">
        <w:rPr>
          <w:rFonts w:ascii="Arial" w:hAnsi="Arial" w:cs="Arial"/>
          <w:i w:val="0"/>
          <w:iCs w:val="0"/>
          <w:color w:val="auto"/>
        </w:rPr>
        <w:t>i</w:t>
      </w:r>
      <w:proofErr w:type="spellEnd"/>
      <w:r w:rsidRPr="000E39AA">
        <w:rPr>
          <w:rFonts w:ascii="Arial" w:hAnsi="Arial" w:cs="Arial"/>
          <w:i w:val="0"/>
          <w:iCs w:val="0"/>
          <w:color w:val="auto"/>
        </w:rPr>
        <w:t xml:space="preserve">) Positive staining for CB1 expression, for sensory, inhibitory, and excitatory neurons (CGRP+, GAD1+ and vGlut1+, respectively). </w:t>
      </w:r>
      <w:r w:rsidR="00DF081C">
        <w:rPr>
          <w:rFonts w:ascii="Arial" w:hAnsi="Arial" w:cs="Arial"/>
          <w:i w:val="0"/>
          <w:iCs w:val="0"/>
          <w:color w:val="auto"/>
        </w:rPr>
        <w:t>(c-</w:t>
      </w:r>
      <w:r w:rsidRPr="000E39AA">
        <w:rPr>
          <w:rFonts w:ascii="Arial" w:hAnsi="Arial" w:cs="Arial"/>
          <w:i w:val="0"/>
          <w:iCs w:val="0"/>
          <w:color w:val="auto"/>
        </w:rPr>
        <w:t xml:space="preserve">ii) Response to capsaicin and electrical stimulation of spinal organoids towards nociceptive modulation, with enhanced mean firing rate and average burst frequency for BDNF and capsaicin stimulated group. Adapted with permission from </w:t>
      </w:r>
      <w:r w:rsidRPr="000E39AA">
        <w:rPr>
          <w:rFonts w:ascii="Arial" w:hAnsi="Arial" w:cs="Arial"/>
          <w:i w:val="0"/>
          <w:iCs w:val="0"/>
          <w:color w:val="auto"/>
        </w:rPr>
        <w:fldChar w:fldCharType="begin" w:fldLock="1"/>
      </w:r>
      <w:r w:rsidR="00A445D5">
        <w:rPr>
          <w:rFonts w:ascii="Arial" w:hAnsi="Arial" w:cs="Arial"/>
          <w:i w:val="0"/>
          <w:iCs w:val="0"/>
          <w:color w:val="auto"/>
        </w:rPr>
        <w:instrText>ADDIN CSL_CITATION {"citationItems":[{"id":"ITEM-1","itemData":{"DOI":"10.1021/acs.analchem.1c04641","ISSN":"0003-2700","author":[{"dropping-particle":"","family":"Ao","given":"Zheng","non-dropping-particle":"","parse-names":false,"suffix":""},{"dropping-particle":"","family":"Cai","given":"Hongwei","non-dropping-particle":"","parse-names":false,"suffix":""},{"dropping-particle":"","family":"Wu","given":"Zhuhao","non-dropping-particle":"","parse-names":false,"suffix":""},{"dropping-particle":"","family":"Krzesniak","given":"Jonathan","non-dropping-particle":"","parse-names":false,"suffix":""},{"dropping-particle":"","family":"Tian","given":"Chunhui","non-dropping-particle":"","parse-names":false,"suffix":""},{"dropping-particle":"","family":"Lai","given":"Yvonne Y","non-dropping-particle":"","parse-names":false,"suffix":""},{"dropping-particle":"","family":"Mackie","given":"Ken","non-dropping-particle":"","parse-names":false,"suffix":""},{"dropping-particle":"","family":"Guo","given":"Feng","non-dropping-particle":"","parse-names":false,"suffix":""}],"container-title":"Analytical Chemistry","id":"ITEM-1","issue":"2","issued":{"date-parts":[["2022","1","18"]]},"note":"doi: 10.1021/acs.analchem.1c04641","page":"1365-1372","publisher":"American Chemical Society","title":"Human Spinal Organoid-on-a-Chip to Model Nociceptive Circuitry for Pain Therapeutics Discovery","type":"article-journal","volume":"94"},"uris":["http://www.mendeley.com/documents/?uuid=4ff0e32f-f6da-4a6e-ad66-36a9b15319cb"]}],"mendeley":{"formattedCitation":"[131]","plainTextFormattedCitation":"[131]","previouslyFormattedCitation":"[131]"},"properties":{"noteIndex":0},"schema":"https://github.com/citation-style-language/schema/raw/master/csl-citation.json"}</w:instrText>
      </w:r>
      <w:r w:rsidRPr="000E39AA">
        <w:rPr>
          <w:rFonts w:ascii="Arial" w:hAnsi="Arial" w:cs="Arial"/>
          <w:i w:val="0"/>
          <w:iCs w:val="0"/>
          <w:color w:val="auto"/>
        </w:rPr>
        <w:fldChar w:fldCharType="separate"/>
      </w:r>
      <w:r w:rsidR="0062132B" w:rsidRPr="0062132B">
        <w:rPr>
          <w:rFonts w:ascii="Arial" w:hAnsi="Arial" w:cs="Arial"/>
          <w:i w:val="0"/>
          <w:iCs w:val="0"/>
          <w:noProof/>
          <w:color w:val="auto"/>
        </w:rPr>
        <w:t>[131]</w:t>
      </w:r>
      <w:r w:rsidRPr="000E39AA">
        <w:rPr>
          <w:rFonts w:ascii="Arial" w:hAnsi="Arial" w:cs="Arial"/>
          <w:i w:val="0"/>
          <w:iCs w:val="0"/>
          <w:color w:val="auto"/>
        </w:rPr>
        <w:fldChar w:fldCharType="end"/>
      </w:r>
      <w:r w:rsidRPr="000E39AA">
        <w:rPr>
          <w:rFonts w:ascii="Arial" w:hAnsi="Arial" w:cs="Arial"/>
          <w:i w:val="0"/>
          <w:iCs w:val="0"/>
          <w:color w:val="auto"/>
        </w:rPr>
        <w:t>. Copyright 2022 American Chemical Society. (d) Human sensorimotor organoids based on (</w:t>
      </w:r>
      <w:r w:rsidR="00DF081C">
        <w:rPr>
          <w:rFonts w:ascii="Arial" w:hAnsi="Arial" w:cs="Arial"/>
          <w:i w:val="0"/>
          <w:iCs w:val="0"/>
          <w:color w:val="auto"/>
        </w:rPr>
        <w:t>d-</w:t>
      </w:r>
      <w:proofErr w:type="spellStart"/>
      <w:r w:rsidRPr="000E39AA">
        <w:rPr>
          <w:rFonts w:ascii="Arial" w:hAnsi="Arial" w:cs="Arial"/>
          <w:i w:val="0"/>
          <w:iCs w:val="0"/>
          <w:color w:val="auto"/>
        </w:rPr>
        <w:t>i</w:t>
      </w:r>
      <w:proofErr w:type="spellEnd"/>
      <w:r w:rsidRPr="000E39AA">
        <w:rPr>
          <w:rFonts w:ascii="Arial" w:hAnsi="Arial" w:cs="Arial"/>
          <w:i w:val="0"/>
          <w:iCs w:val="0"/>
          <w:color w:val="auto"/>
        </w:rPr>
        <w:t xml:space="preserve">) TUJ1+ neurons and </w:t>
      </w:r>
      <w:proofErr w:type="spellStart"/>
      <w:r w:rsidRPr="000E39AA">
        <w:rPr>
          <w:rFonts w:ascii="Arial" w:hAnsi="Arial" w:cs="Arial"/>
          <w:i w:val="0"/>
          <w:iCs w:val="0"/>
          <w:color w:val="auto"/>
        </w:rPr>
        <w:t>sarcomeric</w:t>
      </w:r>
      <w:proofErr w:type="spellEnd"/>
      <w:r w:rsidRPr="000E39AA">
        <w:rPr>
          <w:rFonts w:ascii="Arial" w:hAnsi="Arial" w:cs="Arial"/>
          <w:i w:val="0"/>
          <w:iCs w:val="0"/>
          <w:color w:val="auto"/>
        </w:rPr>
        <w:t xml:space="preserve"> α-actinin (SAA)+ myocytes can include both cell types (</w:t>
      </w:r>
      <w:r w:rsidR="00DF081C">
        <w:rPr>
          <w:rFonts w:ascii="Arial" w:hAnsi="Arial" w:cs="Arial"/>
          <w:i w:val="0"/>
          <w:iCs w:val="0"/>
          <w:color w:val="auto"/>
        </w:rPr>
        <w:t>d-</w:t>
      </w:r>
      <w:r w:rsidRPr="000E39AA">
        <w:rPr>
          <w:rFonts w:ascii="Arial" w:hAnsi="Arial" w:cs="Arial"/>
          <w:i w:val="0"/>
          <w:iCs w:val="0"/>
          <w:color w:val="auto"/>
        </w:rPr>
        <w:t xml:space="preserve">ii) and observed to be functional over 4 weeks Adapted from </w:t>
      </w:r>
      <w:r w:rsidRPr="000E39AA">
        <w:rPr>
          <w:rFonts w:ascii="Arial" w:hAnsi="Arial" w:cs="Arial"/>
          <w:i w:val="0"/>
          <w:iCs w:val="0"/>
          <w:color w:val="auto"/>
        </w:rPr>
        <w:fldChar w:fldCharType="begin" w:fldLock="1"/>
      </w:r>
      <w:r w:rsidR="00A445D5">
        <w:rPr>
          <w:rFonts w:ascii="Arial" w:hAnsi="Arial" w:cs="Arial"/>
          <w:i w:val="0"/>
          <w:iCs w:val="0"/>
          <w:color w:val="auto"/>
        </w:rPr>
        <w:instrText>ADDIN CSL_CITATION {"citationItems":[{"id":"ITEM-1","itemData":{"DOI":"10.1038/s41467-021-24776-4","ISSN":"20411723","PMID":"34362895","abstract":"Human induced pluripotent stem cells (iPSC) hold promise for modeling diseases in individual human genetic backgrounds and thus for developing precision medicine. Here, we generate sensorimotor organoids containing physiologically functional neuromuscular junctions (NMJs) and apply the model to different subgroups of amyotrophic lateral sclerosis (ALS). Using a range of molecular, genomic, and physiological techniques, we identify and characterize motor neurons and skeletal muscle, along with sensory neurons, astrocytes, microglia, and vasculature. Organoid cultures derived from multiple human iPSC lines generated from individuals with ALS and isogenic lines edited to harbor familial ALS mutations show impairment at the level of the NMJ, as detected by both contraction and immunocytochemical measurements. The physiological resolution of the human NMJ synapse, combined with the generation of major cellular cohorts exerting autonomous and non-cell autonomous effects in motor and sensory diseases, may prove valuable to understand the pathophysiological mechanisms of ALS.","author":[{"dropping-particle":"","family":"Pereira","given":"João D.","non-dropping-particle":"","parse-names":false,"suffix":""},{"dropping-particle":"","family":"DuBreuil","given":"Daniel M.","non-dropping-particle":"","parse-names":false,"suffix":""},{"dropping-particle":"","family":"Devlin","given":"Anna Claire","non-dropping-particle":"","parse-names":false,"suffix":""},{"dropping-particle":"","family":"Held","given":"Aaron","non-dropping-particle":"","parse-names":false,"suffix":""},{"dropping-particle":"","family":"Sapir","given":"Yechiam","non-dropping-particle":"","parse-names":false,"suffix":""},{"dropping-particle":"","family":"Berezovski","given":"Eugene","non-dropping-particle":"","parse-names":false,"suffix":""},{"dropping-particle":"","family":"Hawrot","given":"James","non-dropping-particle":"","parse-names":false,"suffix":""},{"dropping-particle":"","family":"Dorfman","given":"Katherine","non-dropping-particle":"","parse-names":false,"suffix":""},{"dropping-particle":"","family":"Chander","given":"Vignesh","non-dropping-particle":"","parse-names":false,"suffix":""},{"dropping-particle":"","family":"Wainger","given":"Brian J.","non-dropping-particle":"","parse-names":false,"suffix":""}],"container-title":"Nature Communications","id":"ITEM-1","issue":"1","issued":{"date-parts":[["2021"]]},"publisher":"Springer US","title":"Human sensorimotor organoids derived from healthy and amyotrophic lateral sclerosis stem cells form neuromuscular junctions","type":"article-journal","volume":"12"},"uris":["http://www.mendeley.com/documents/?uuid=134884ea-7354-49f0-bdde-2f66cf1de465"]}],"mendeley":{"formattedCitation":"[144]","plainTextFormattedCitation":"[144]","previouslyFormattedCitation":"[144]"},"properties":{"noteIndex":0},"schema":"https://github.com/citation-style-language/schema/raw/master/csl-citation.json"}</w:instrText>
      </w:r>
      <w:r w:rsidRPr="000E39AA">
        <w:rPr>
          <w:rFonts w:ascii="Arial" w:hAnsi="Arial" w:cs="Arial"/>
          <w:i w:val="0"/>
          <w:iCs w:val="0"/>
          <w:color w:val="auto"/>
        </w:rPr>
        <w:fldChar w:fldCharType="separate"/>
      </w:r>
      <w:r w:rsidR="0062132B" w:rsidRPr="0062132B">
        <w:rPr>
          <w:rFonts w:ascii="Arial" w:hAnsi="Arial" w:cs="Arial"/>
          <w:i w:val="0"/>
          <w:iCs w:val="0"/>
          <w:noProof/>
          <w:color w:val="auto"/>
        </w:rPr>
        <w:t>[144]</w:t>
      </w:r>
      <w:r w:rsidRPr="000E39AA">
        <w:rPr>
          <w:rFonts w:ascii="Arial" w:hAnsi="Arial" w:cs="Arial"/>
          <w:i w:val="0"/>
          <w:iCs w:val="0"/>
          <w:color w:val="auto"/>
        </w:rPr>
        <w:fldChar w:fldCharType="end"/>
      </w:r>
      <w:r w:rsidRPr="000E39AA">
        <w:rPr>
          <w:rFonts w:ascii="Arial" w:hAnsi="Arial" w:cs="Arial"/>
          <w:i w:val="0"/>
          <w:iCs w:val="0"/>
          <w:color w:val="auto"/>
        </w:rPr>
        <w:t>. Creative Commons CC BY</w:t>
      </w:r>
    </w:p>
    <w:p w14:paraId="7DABAB02" w14:textId="77777777" w:rsidR="001B7894" w:rsidRPr="000E39AA" w:rsidRDefault="001B7894" w:rsidP="001B7894">
      <w:pPr>
        <w:pStyle w:val="Heading3"/>
      </w:pPr>
      <w:bookmarkStart w:id="69" w:name="_Toc98937888"/>
      <w:r w:rsidRPr="000E39AA">
        <w:t>Fracture models.</w:t>
      </w:r>
      <w:bookmarkEnd w:id="69"/>
    </w:p>
    <w:p w14:paraId="646F9123" w14:textId="20147705" w:rsidR="001B7894" w:rsidRDefault="001B7894" w:rsidP="00840D31">
      <w:pPr>
        <w:shd w:val="clear" w:color="auto" w:fill="FFFFFF"/>
        <w:spacing w:before="166" w:after="0" w:line="276" w:lineRule="auto"/>
        <w:jc w:val="both"/>
        <w:rPr>
          <w:rFonts w:ascii="Arial" w:hAnsi="Arial" w:cs="Arial"/>
        </w:rPr>
      </w:pPr>
      <w:r w:rsidRPr="000E39AA">
        <w:rPr>
          <w:rFonts w:ascii="Arial" w:hAnsi="Arial" w:cs="Arial"/>
        </w:rPr>
        <w:t xml:space="preserve">Bone fracture in rodent models is performed using tailored protocols where the selected bone segment is broken using a defined force </w:t>
      </w:r>
      <w:r w:rsidRPr="000E39AA">
        <w:rPr>
          <w:rFonts w:ascii="Arial" w:hAnsi="Arial" w:cs="Arial"/>
        </w:rPr>
        <w:fldChar w:fldCharType="begin" w:fldLock="1"/>
      </w:r>
      <w:r w:rsidR="00A445D5">
        <w:rPr>
          <w:rFonts w:ascii="Arial" w:hAnsi="Arial" w:cs="Arial"/>
        </w:rPr>
        <w:instrText>ADDIN CSL_CITATION {"citationItems":[{"id":"ITEM-1","itemData":{"DOI":"10.1002/jor.23824","ISSN":"1554527X","PMID":"29205478","abstract":"In this review, we broadly define and discuss the preclinical rodent models that are used for orthopedics and bone tissue engineering. These range from implantation models typically used for biocompatibility testing and high-throughput drug screening, through to fracture and critical defect models used to model bone healing and severe orthopedic injuries. As well as highlighting the key methods papers describing these techniques, we provide additional commentary based on our substantive practical experience with animal surgery and in vivo experimental design. This review also briefly touches upon the descriptive and functional outcome measures and power calculations that are necessary for an informative study. Obtaining informative and relevant research outcomes can be very dependent on the model used, and we hope this evaluation of common models will serve as a primer for new researchers looking to undertake preclinical bone studies. © 2017 Orthopaedic Research Society. Published by Wiley Periodicals, Inc. J Orthop Res 36:832–840, 2018.","author":[{"dropping-particle":"","family":"Schindeler","given":"Aaron","non-dropping-particle":"","parse-names":false,"suffix":""},{"dropping-particle":"","family":"Mills","given":"Rebecca J.","non-dropping-particle":"","parse-names":false,"suffix":""},{"dropping-particle":"","family":"Bobyn","given":"Justin D.","non-dropping-particle":"","parse-names":false,"suffix":""},{"dropping-particle":"","family":"Little","given":"David G.","non-dropping-particle":"","parse-names":false,"suffix":""}],"container-title":"Journal of Orthopaedic Research","id":"ITEM-1","issue":"3","issued":{"date-parts":[["2018"]]},"page":"832-840","title":"Preclinical models for orthopedic research and bone tissue engineering","type":"article-journal","volume":"36"},"uris":["http://www.mendeley.com/documents/?uuid=cce26374-ce0a-42b6-9b3b-21cc75c89ef3"]},{"id":"ITEM-2","itemData":{"DOI":"10.1002/jor.24454","ISSN":"0736-0266","abstract":"ABSTRACT There is clinical evidence that patient-specific comorbidities like osteoporosis, concomitant tissue injury, and ischemia may strongly interfere with bone regeneration. However, underlying mechanisms are still unclear. To study these mechanisms in detail, appropriate animal models are needed. For decades, bone healing has been studied in large animals, including dogs, rabbits, pigs, or sheep. However, large animal models display a limited ability to study molecular pathways and cellular functions. Therefore in recent years, mice and rats have become increasingly popular as a model organism for fracture healing research due to the availability of molecular analysis tools and transgenic models. Both large and small animals can be used to study comorbidities and risk factors, modelling the human clinical situation. However, attention has to be paid when choosing an appropriate model due to species differences between large animals, rodents, and humans. This review focuses on large and small animal models for the common comorbidities ischemic injury/reduced vascularization, osteoporosis, and polytrauma, and critically discusses the translational and molecular aspects of these models. Here, we review material which was presented at the workshop ?Animal Models of Comorbidities in Fracture Healing Research? at the 2019 ORS Annual Meeting in Austin Texas. ? 2019 Orthopaedic Research Society. Published by Wiley Periodicals, Inc. J Orthop Res 37:2491?2498, 2019","author":[{"dropping-particle":"","family":"Haffner</w:instrText>
      </w:r>
      <w:r w:rsidR="00A445D5">
        <w:rPr>
          <w:rFonts w:ascii="Cambria Math" w:hAnsi="Cambria Math" w:cs="Cambria Math"/>
        </w:rPr>
        <w:instrText>‐</w:instrText>
      </w:r>
      <w:r w:rsidR="00A445D5">
        <w:rPr>
          <w:rFonts w:ascii="Arial" w:hAnsi="Arial" w:cs="Arial"/>
        </w:rPr>
        <w:instrText>Luntzer","given":"Melanie","non-dropping-particle":"","parse-names":false,"suffix":""},{"dropping-particle":"","family":"Hankenson","given":"Kurt D","non-dropping-particle":"","parse-names":false,"suffix":""},{"dropping-particle":"","family":"Ignatius","given":"Anita","non-dropping-particle":"","parse-names":false,"suffix":""},{"dropping-particle":"","family":"Pfeifer","given":"Roman","non-dropping-particle":"","parse-names":false,"suffix":""},{"dropping-particle":"","family":"Khader","given":"Basel A","non-dropping-particle":"","parse-names":false,"suffix":""},{"dropping-particle":"","family":"Hildebrand","given":"Frank","non-dropping-particle":"","parse-names":false,"suffix":""},{"dropping-particle":"","family":"Griensven","given":"Martijn","non-dropping-particle":"","parse-names":false,"suffix":""},{"dropping-particle":"","family":"Pape","given":"Hans-Christoph","non-dropping-particle":"","parse-names":false,"suffix":""},{"dropping-particle":"","family":"Lehmicke","given":"Michael","non-dropping-particle":"","parse-names":false,"suffix":""}],"container-title":"Journal of Orthopaedic Research","id":"ITEM-2","issue":"12","issued":{"date-parts":[["2019","12","3"]]},"note":"https://doi.org/10.1002/jor.24454","page":"2491-2498","publisher":"John Wiley &amp; Sons, Ltd","title":"Review of Animal Models of Comorbidities in Fracture</w:instrText>
      </w:r>
      <w:r w:rsidR="00A445D5">
        <w:rPr>
          <w:rFonts w:ascii="Cambria Math" w:hAnsi="Cambria Math" w:cs="Cambria Math"/>
        </w:rPr>
        <w:instrText>‐</w:instrText>
      </w:r>
      <w:r w:rsidR="00A445D5">
        <w:rPr>
          <w:rFonts w:ascii="Arial" w:hAnsi="Arial" w:cs="Arial"/>
        </w:rPr>
        <w:instrText>Healing Research","type":"article-journal","volume":"37"},"uris":["http://www.mendeley.com/documents/?uuid=d30c969d-37cb-4e59-9d66-77bc6d762ca5"]},{"id":"ITEM-3","itemData":{"DOI":"10.1007/978-1-4939-8997-3_23","ISBN":"9781493989973","ISSN":"10643745","PMID":"30729479","abstract":"Bone pain is a prevalent issue in society today and also is one of the hardest types of pain to control. Pain originating in the bone can be caused by many different entities including metastatic and primary neoplasm, fracture, osteoarthritis as well as numerous other metabolic disorders. In this chapter we describe the methods and protocols that currently are accepted and validated for the study of bone pain in models of metastatic cancer, bicortical fracture and osteoarthritis. These animal models provide invaluable information as to the nature of bone pain and give rise to potential new targets for its treatment and management.","author":[{"dropping-particle":"","family":"Thompson","given":"Austen L.","non-dropping-particle":"","parse-names":false,"suffix":""},{"dropping-particle":"","family":"Largent-Milnes","given":"Tally M.","non-dropping-particle":"","parse-names":false,"suffix":""},{"dropping-particle":"","family":"Vanderah","given":"Todd W.","non-dropping-particle":"","parse-names":false,"suffix":""}],"container-title":"Methods in Molecular Biology","id":"ITEM-3","issued":{"date-parts":[["2019"]]},"page":"391-407","title":"Animal models for the study of bone-derived pain","type":"article-journal","volume":"1914"},"uris":["http://www.mendeley.com/documents/?uuid=a03cc56e-b29f-4871-87ed-3625ae72b9ef"]}],"mendeley":{"formattedCitation":"[132, 145, 146]","plainTextFormattedCitation":"[132, 145, 146]","previouslyFormattedCitation":"[132, 145, 146]"},"properties":{"noteIndex":0},"schema":"https://github.com/citation-style-language/schema/raw/master/csl-citation.json"}</w:instrText>
      </w:r>
      <w:r w:rsidRPr="000E39AA">
        <w:rPr>
          <w:rFonts w:ascii="Arial" w:hAnsi="Arial" w:cs="Arial"/>
        </w:rPr>
        <w:fldChar w:fldCharType="separate"/>
      </w:r>
      <w:r w:rsidR="0062132B" w:rsidRPr="0062132B">
        <w:rPr>
          <w:rFonts w:ascii="Arial" w:hAnsi="Arial" w:cs="Arial"/>
          <w:noProof/>
        </w:rPr>
        <w:t>[132, 145, 146]</w:t>
      </w:r>
      <w:r w:rsidRPr="000E39AA">
        <w:rPr>
          <w:rFonts w:ascii="Arial" w:hAnsi="Arial" w:cs="Arial"/>
        </w:rPr>
        <w:fldChar w:fldCharType="end"/>
      </w:r>
      <w:r w:rsidRPr="000E39AA">
        <w:rPr>
          <w:rFonts w:ascii="Arial" w:hAnsi="Arial" w:cs="Arial"/>
        </w:rPr>
        <w:t xml:space="preserve">. The most common fracture model, developed by </w:t>
      </w:r>
      <w:proofErr w:type="spellStart"/>
      <w:r w:rsidRPr="000E39AA">
        <w:rPr>
          <w:rFonts w:ascii="Arial" w:hAnsi="Arial" w:cs="Arial"/>
        </w:rPr>
        <w:t>Bonnarens</w:t>
      </w:r>
      <w:proofErr w:type="spellEnd"/>
      <w:r w:rsidRPr="000E39AA">
        <w:rPr>
          <w:rFonts w:ascii="Arial" w:hAnsi="Arial" w:cs="Arial"/>
        </w:rPr>
        <w:t xml:space="preserve"> and Einhorn </w:t>
      </w:r>
      <w:r w:rsidRPr="000E39AA">
        <w:rPr>
          <w:rFonts w:ascii="Arial" w:hAnsi="Arial" w:cs="Arial"/>
        </w:rPr>
        <w:fldChar w:fldCharType="begin" w:fldLock="1"/>
      </w:r>
      <w:r w:rsidR="00A445D5">
        <w:rPr>
          <w:rFonts w:ascii="Arial" w:hAnsi="Arial" w:cs="Arial"/>
        </w:rPr>
        <w:instrText>ADDIN CSL_CITATION {"citationItems":[{"id":"ITEM-1","itemData":{"DOI":"10.1002/jor.1100020115","ISSN":"0736-0266 (Print)","PMID":"6491805","abstract":"To develop a technique for the production of a standard closed experimental  fracture, a new apparatus was designed and tested on 40 male Sprague-Dawley rats. First, the femur was treated with an intramedullary Steinmann pin. The femoral diaphysis was then fractured by means of a blunt guillotine driven by a dropped weight. Radiographically, this technique resulted in a highly reproducible transverse fracture. There was minimal comminution and minimal angulation of the intramedullary pin. Histologically, there was minimal soft tissue damage. Mechanical testing showed that all fractures healed. Pin removal was accomplished with ease and without disturbance of the healed fracture site. The apparatus is simple to use and inexpensive to build. Through its use, a highly reproducible closed fracture model is established.","author":[{"dropping-particle":"","family":"Bonnarens","given":"F","non-dropping-particle":"","parse-names":false,"suffix":""},{"dropping-particle":"","family":"Einhorn","given":"T A","non-dropping-particle":"","parse-names":false,"suffix":""}],"container-title":"Journal of orthopaedic research : official publication of the Orthopaedic Research  Society","id":"ITEM-1","issue":"1","issued":{"date-parts":[["1984"]]},"language":"eng","page":"97-101","publisher-place":"United States","title":"Production of a standard closed fracture in laboratory animal bone.","type":"article-journal","volume":"2"},"uris":["http://www.mendeley.com/documents/?uuid=3cec2eee-fd85-4690-916f-63fff0df56ef"]}],"mendeley":{"formattedCitation":"[147]","plainTextFormattedCitation":"[147]","previouslyFormattedCitation":"[147]"},"properties":{"noteIndex":0},"schema":"https://github.com/citation-style-language/schema/raw/master/csl-citation.json"}</w:instrText>
      </w:r>
      <w:r w:rsidRPr="000E39AA">
        <w:rPr>
          <w:rFonts w:ascii="Arial" w:hAnsi="Arial" w:cs="Arial"/>
        </w:rPr>
        <w:fldChar w:fldCharType="separate"/>
      </w:r>
      <w:r w:rsidR="0062132B" w:rsidRPr="0062132B">
        <w:rPr>
          <w:rFonts w:ascii="Arial" w:hAnsi="Arial" w:cs="Arial"/>
          <w:noProof/>
        </w:rPr>
        <w:t>[147]</w:t>
      </w:r>
      <w:r w:rsidRPr="000E39AA">
        <w:rPr>
          <w:rFonts w:ascii="Arial" w:hAnsi="Arial" w:cs="Arial"/>
        </w:rPr>
        <w:fldChar w:fldCharType="end"/>
      </w:r>
      <w:r w:rsidRPr="000E39AA">
        <w:rPr>
          <w:rFonts w:ascii="Arial" w:hAnsi="Arial" w:cs="Arial"/>
        </w:rPr>
        <w:t xml:space="preserve"> provides a closed mid-shaft femoral fracture in a rat in which femur is stabilized with an intramedullary Steinman pin or Kirschner (K) wire and a diaphyseal fracture created using the Einhorn drop-weight apparatus </w:t>
      </w:r>
      <w:r w:rsidRPr="000E39AA">
        <w:rPr>
          <w:rFonts w:ascii="Arial" w:hAnsi="Arial" w:cs="Arial"/>
        </w:rPr>
        <w:fldChar w:fldCharType="begin" w:fldLock="1"/>
      </w:r>
      <w:r w:rsidR="00A445D5">
        <w:rPr>
          <w:rFonts w:ascii="Arial" w:hAnsi="Arial" w:cs="Arial"/>
        </w:rPr>
        <w:instrText>ADDIN CSL_CITATION {"citationItems":[{"id":"ITEM-1","itemData":{"DOI":"10.1002/jor.23824","ISSN":"1554527X","PMID":"29205478","abstract":"In this review, we broadly define and discuss the preclinical rodent models that are used for orthopedics and bone tissue engineering. These range from implantation models typically used for biocompatibility testing and high-throughput drug screening, through to fracture and critical defect models used to model bone healing and severe orthopedic injuries. As well as highlighting the key methods papers describing these techniques, we provide additional commentary based on our substantive practical experience with animal surgery and in vivo experimental design. This review also briefly touches upon the descriptive and functional outcome measures and power calculations that are necessary for an informative study. Obtaining informative and relevant research outcomes can be very dependent on the model used, and we hope this evaluation of common models will serve as a primer for new researchers looking to undertake preclinical bone studies. © 2017 Orthopaedic Research Society. Published by Wiley Periodicals, Inc. J Orthop Res 36:832–840, 2018.","author":[{"dropping-particle":"","family":"Schindeler","given":"Aaron","non-dropping-particle":"","parse-names":false,"suffix":""},{"dropping-particle":"","family":"Mills","given":"Rebecca J.","non-dropping-particle":"","parse-names":false,"suffix":""},{"dropping-particle":"","family":"Bobyn","given":"Justin D.","non-dropping-particle":"","parse-names":false,"suffix":""},{"dropping-particle":"","family":"Little","given":"David G.","non-dropping-particle":"","parse-names":false,"suffix":""}],"container-title":"Journal of Orthopaedic Research","id":"ITEM-1","issue":"3","issued":{"date-parts":[["2018"]]},"page":"832-840","title":"Preclinical models for orthopedic research and bone tissue engineering","type":"article-journal","volume":"36"},"uris":["http://www.mendeley.com/documents/?uuid=cce26374-ce0a-42b6-9b3b-21cc75c89ef3"]},{"id":"ITEM-2","itemData":{"DOI":"10.1002/jor.1100020115","ISSN":"0736-0266 (Print)","PMID":"6491805","abstract":"To develop a technique for the production of a standard closed experimental  fracture, a new apparatus was designed and tested on 40 male Sprague-Dawley rats. First, the femur was treated with an intramedullary Steinmann pin. The femoral diaphysis was then fractured by means of a blunt guillotine driven by a dropped weight. Radiographically, this technique resulted in a highly reproducible transverse fracture. There was minimal comminution and minimal angulation of the intramedullary pin. Histologically, there was minimal soft tissue damage. Mechanical testing showed that all fractures healed. Pin removal was accomplished with ease and without disturbance of the healed fracture site. The apparatus is simple to use and inexpensive to build. Through its use, a highly reproducible closed fracture model is established.","author":[{"dropping-particle":"","family":"Bonnarens","given":"F","non-dropping-particle":"","parse-names":false,"suffix":""},{"dropping-particle":"","family":"Einhorn","given":"T A","non-dropping-particle":"","parse-names":false,"suffix":""}],"container-title":"Journal of orthopaedic research : official publication of the Orthopaedic Research  Society","id":"ITEM-2","issue":"1","issued":{"date-parts":[["1984"]]},"language":"eng","page":"97-101","publisher-place":"United States","title":"Production of a standard closed fracture in laboratory animal bone.","type":"article-journal","volume":"2"},"uris":["http://www.mendeley.com/documents/?uuid=3cec2eee-fd85-4690-916f-63fff0df56ef"]}],"mendeley":{"formattedCitation":"[145, 147]","plainTextFormattedCitation":"[145, 147]","previouslyFormattedCitation":"[145, 147]"},"properties":{"noteIndex":0},"schema":"https://github.com/citation-style-language/schema/raw/master/csl-citation.json"}</w:instrText>
      </w:r>
      <w:r w:rsidRPr="000E39AA">
        <w:rPr>
          <w:rFonts w:ascii="Arial" w:hAnsi="Arial" w:cs="Arial"/>
        </w:rPr>
        <w:fldChar w:fldCharType="separate"/>
      </w:r>
      <w:r w:rsidR="0062132B" w:rsidRPr="0062132B">
        <w:rPr>
          <w:rFonts w:ascii="Arial" w:hAnsi="Arial" w:cs="Arial"/>
          <w:noProof/>
        </w:rPr>
        <w:t>[145, 147]</w:t>
      </w:r>
      <w:r w:rsidRPr="000E39AA">
        <w:rPr>
          <w:rFonts w:ascii="Arial" w:hAnsi="Arial" w:cs="Arial"/>
        </w:rPr>
        <w:fldChar w:fldCharType="end"/>
      </w:r>
      <w:r w:rsidRPr="000E39AA">
        <w:rPr>
          <w:rFonts w:ascii="Arial" w:hAnsi="Arial" w:cs="Arial"/>
        </w:rPr>
        <w:t xml:space="preserve"> .The model has proved highly reproducible, although is not suitable for the analysis of healing in delayed unions given the high healing rate typically observed in rodents. An alternative method used a femoral osteotomy, with the periosteum removed around the fracture site, creating an open fracture model </w:t>
      </w:r>
      <w:r w:rsidRPr="000E39AA">
        <w:rPr>
          <w:rFonts w:ascii="Arial" w:hAnsi="Arial" w:cs="Arial"/>
        </w:rPr>
        <w:fldChar w:fldCharType="begin" w:fldLock="1"/>
      </w:r>
      <w:r w:rsidR="00A445D5">
        <w:rPr>
          <w:rFonts w:ascii="Arial" w:hAnsi="Arial" w:cs="Arial"/>
        </w:rPr>
        <w:instrText>ADDIN CSL_CITATION {"citationItems":[{"id":"ITEM-1","itemData":{"DOI":"10.1002/jor.23824","ISSN":"1554527X","PMID":"29205478","abstract":"In this review, we broadly define and discuss the preclinical rodent models that are used for orthopedics and bone tissue engineering. These range from implantation models typically used for biocompatibility testing and high-throughput drug screening, through to fracture and critical defect models used to model bone healing and severe orthopedic injuries. As well as highlighting the key methods papers describing these techniques, we provide additional commentary based on our substantive practical experience with animal surgery and in vivo experimental design. This review also briefly touches upon the descriptive and functional outcome measures and power calculations that are necessary for an informative study. Obtaining informative and relevant research outcomes can be very dependent on the model used, and we hope this evaluation of common models will serve as a primer for new researchers looking to undertake preclinical bone studies. © 2017 Orthopaedic Research Society. Published by Wiley Periodicals, Inc. J Orthop Res 36:832–840, 2018.","author":[{"dropping-particle":"","family":"Schindeler","given":"Aaron","non-dropping-particle":"","parse-names":false,"suffix":""},{"dropping-particle":"","family":"Mills","given":"Rebecca J.","non-dropping-particle":"","parse-names":false,"suffix":""},{"dropping-particle":"","family":"Bobyn","given":"Justin D.","non-dropping-particle":"","parse-names":false,"suffix":""},{"dropping-particle":"","family":"Little","given":"David G.","non-dropping-particle":"","parse-names":false,"suffix":""}],"container-title":"Journal of Orthopaedic Research","id":"ITEM-1","issue":"3","issued":{"date-parts":[["2018"]]},"page":"832-840","title":"Preclinical models for orthopedic research and bone tissue engineering","type":"article-journal","volume":"36"},"uris":["http://www.mendeley.com/documents/?uuid=cce26374-ce0a-42b6-9b3b-21cc75c89ef3"]},{"id":"ITEM-2","itemData":{"DOI":"10.1016/j.bone.2009.11.009","ISSN":"1873-2763 (Electronic)","PMID":"19922821","abstract":"Intermittent Parathyroid Hormone (PTH)((1-34)) has an established place in  osteoporosis treatment, but also shows promising results in models of bone repair. Previous studies have been dominated by closed fracture models, where union is certain. One of the major clinical needs for anabolic therapies is the treatment of open and high energy fractures at risk of non-union. In the present study we therefore compared PTH((1-34)) treatment in models of both open and closed fractures. 108 male Wistar rats were randomly assigned to undergo standardized closed fractures or open osteotomies with periosteal stripping. 27 rats in each group were treated s.c. with PTH((1-34)) at a dose of 50 mug/kg 5 days a week, the other 27 receiving saline. Specimens were harvested at 6 weeks for mechanical testing (n=17) or histological analysis (n=10). In closed fractures, union by any definition was 100% in both PTH((1-34)) and saline groups at 6 weeks. In open fractures, the union rate was significantly lower (p&lt;0.05), regardless of treatment. In open fractures the mechanically defined union rate was 10/16 (63%) in saline and 11/17 (65%) in PTH((1-34)) treated fractures. By histology, the union rate was 3/9 (33%) with saline and 5/10 (50%) with PTH((1-34)). Radiological union was seen in 13/25 (52%) for saline and 15/26 (58%) with PTH((1-34)). Open fractures were associated with decreases in bone mineral content (BMC) and volumetric bone mineral density (vBMD) on quantitative computerized tomography (QCT) analysis compared to closed fractures. PTH((1-34)) treatment in both models led to significant increases in callus BMC and volume as well as trabecular bone volume/total volume (BV/TV), as assessed histologically (p&lt;0.01). In closed fractures, PTH((1-34)) had a robust effect on callus size and strength, with a 60% increase in peak torque (p&lt;0.05). In the open fractures that united and could be tested, PTH((1-34)) treatment also increased peak torque by 49% compared to saline (p&lt;0.05). In conclusion, intermittent PTH((1-34)) produced significant increases in callus size and strength in closed fractures, but failed to increase the rate of union in an open fracture model. In the open fractures that did unite, a muted response to PTH was seen compared to closed fractures. Further research is required to determine if PTH((1-34)) is an appropriate anabolic treatment for open fractures.","author":[{"dropping-particle":"","family":"Tägil","given":"Magnus","non-dropping-particle":"","parse-names":false,"suffix":""},{"dropping-particle":"","family":"McDonald","given":"Michelle M","non-dropping-particle":"","parse-names":false,"suffix":""},{"dropping-particle":"","family":"Morse","given":"Alyson","non-dropping-particle":"","parse-names":false,"suffix":""},{"dropping-particle":"","family":"Peacock","given":"Lauren","non-dropping-particle":"","parse-names":false,"suffix":""},{"dropping-particle":"","family":"Mikulec","given":"Kathy","non-dropping-particle":"","parse-names":false,"suffix":""},{"dropping-particle":"","family":"Amanat","given":"Negin","non-dropping-particle":"","parse-names":false,"suffix":""},{"dropping-particle":"","family":"Godfrey","given":"Craig","non-dropping-particle":"","parse-names":false,"suffix":""},{"dropping-particle":"","family":"Little","given":"David G","non-dropping-particle":"","parse-names":false,"suffix":""}],"container-title":"Bone","id":"ITEM-2","issue":"3","issued":{"date-parts":[["2010","3"]]},"language":"eng","page":"852-859","publisher-place":"United States","title":"Intermittent PTH(1-34) does not increase union rates in open rat femoral fractures  and exhibits attenuated anabolic effects compared to closed fractures.","type":"article-journal","volume":"46"},"uris":["http://www.mendeley.com/documents/?uuid=ae662b11-858f-4740-b95b-1e54d8327bed"]}],"mendeley":{"formattedCitation":"[145, 148]","plainTextFormattedCitation":"[145, 148]","previouslyFormattedCitation":"[145, 148]"},"properties":{"noteIndex":0},"schema":"https://github.com/citation-style-language/schema/raw/master/csl-citation.json"}</w:instrText>
      </w:r>
      <w:r w:rsidRPr="000E39AA">
        <w:rPr>
          <w:rFonts w:ascii="Arial" w:hAnsi="Arial" w:cs="Arial"/>
        </w:rPr>
        <w:fldChar w:fldCharType="separate"/>
      </w:r>
      <w:r w:rsidR="0062132B" w:rsidRPr="0062132B">
        <w:rPr>
          <w:rFonts w:ascii="Arial" w:hAnsi="Arial" w:cs="Arial"/>
          <w:noProof/>
        </w:rPr>
        <w:t>[145, 148]</w:t>
      </w:r>
      <w:r w:rsidRPr="000E39AA">
        <w:rPr>
          <w:rFonts w:ascii="Arial" w:hAnsi="Arial" w:cs="Arial"/>
        </w:rPr>
        <w:fldChar w:fldCharType="end"/>
      </w:r>
      <w:r w:rsidRPr="000E39AA">
        <w:rPr>
          <w:rFonts w:ascii="Arial" w:hAnsi="Arial" w:cs="Arial"/>
        </w:rPr>
        <w:t>. This technique allows for a significant impairment of bone healing and favours the observation of the healing phenomenon.</w:t>
      </w:r>
      <w:r w:rsidR="00840D31">
        <w:rPr>
          <w:rFonts w:ascii="Arial" w:hAnsi="Arial" w:cs="Arial"/>
        </w:rPr>
        <w:t xml:space="preserve"> </w:t>
      </w:r>
      <w:r w:rsidRPr="000E39AA">
        <w:rPr>
          <w:rFonts w:ascii="Arial" w:hAnsi="Arial" w:cs="Arial"/>
        </w:rPr>
        <w:t xml:space="preserve">Osteoarthritis and osteoporosis animal models have been engineered to fully recapitulate the skeletal discomfort and thus enable study of the underlying mechanisms and evaluation of treatment approaches for clinical translation. Osteoporotic models can be induced following ovariectomy in female mice, recreating a postmenopausal osteoporotic model with related bone fractures. However, the model is not </w:t>
      </w:r>
      <w:r>
        <w:rPr>
          <w:rFonts w:ascii="Arial" w:hAnsi="Arial" w:cs="Arial"/>
        </w:rPr>
        <w:t>representative</w:t>
      </w:r>
      <w:r w:rsidRPr="000E39AA">
        <w:rPr>
          <w:rFonts w:ascii="Arial" w:hAnsi="Arial" w:cs="Arial"/>
        </w:rPr>
        <w:t xml:space="preserve"> of the human osteoporotic fracture as the mineral density of mice bone is lower than </w:t>
      </w:r>
      <w:r>
        <w:rPr>
          <w:rFonts w:ascii="Arial" w:hAnsi="Arial" w:cs="Arial"/>
        </w:rPr>
        <w:t xml:space="preserve">found in </w:t>
      </w:r>
      <w:r w:rsidRPr="000E39AA">
        <w:rPr>
          <w:rFonts w:ascii="Arial" w:hAnsi="Arial" w:cs="Arial"/>
        </w:rPr>
        <w:t xml:space="preserve">human bone </w:t>
      </w:r>
      <w:r w:rsidRPr="000E39AA">
        <w:rPr>
          <w:rFonts w:ascii="Arial" w:hAnsi="Arial" w:cs="Arial"/>
        </w:rPr>
        <w:fldChar w:fldCharType="begin" w:fldLock="1"/>
      </w:r>
      <w:r w:rsidR="00A445D5">
        <w:rPr>
          <w:rFonts w:ascii="Arial" w:hAnsi="Arial" w:cs="Arial"/>
        </w:rPr>
        <w:instrText>ADDIN CSL_CITATION {"citationItems":[{"id":"ITEM-1","itemData":{"DOI":"10.1002/jor.24454","ISSN":"0736-0266","abstract":"ABSTRACT There is clinical evidence that patient-specific comorbidities like osteoporosis, concomitant tissue injury, and ischemia may strongly interfere with bone regeneration. However, underlying mechanisms are still unclear. To study these mechanisms in detail, appropriate animal models are needed. For decades, bone healing has been studied in large animals, including dogs, rabbits, pigs, or sheep. However, large animal models display a limited ability to study molecular pathways and cellular functions. Therefore in recent years, mice and rats have become increasingly popular as a model organism for fracture healing research due to the availability of molecular analysis tools and transgenic models. Both large and small animals can be used to study comorbidities and risk factors, modelling the human clinical situation. However, attention has to be paid when choosing an appropriate model due to species differences between large animals, rodents, and humans. This review focuses on large and small animal models for the common comorbidities ischemic injury/reduced vascularization, osteoporosis, and polytrauma, and critically discusses the translational and molecular aspects of these models. Here, we review material which was presented at the workshop ?Animal Models of Comorbidities in Fracture Healing Research? at the 2019 ORS Annual Meeting in Austin Texas. ? 2019 Orthopaedic Research Society. Published by Wiley Periodicals, Inc. J Orthop Res 37:2491?2498, 2019","author":[{"dropping-particle":"","family":"Haffner</w:instrText>
      </w:r>
      <w:r w:rsidR="00A445D5">
        <w:rPr>
          <w:rFonts w:ascii="Cambria Math" w:hAnsi="Cambria Math" w:cs="Cambria Math"/>
        </w:rPr>
        <w:instrText>‐</w:instrText>
      </w:r>
      <w:r w:rsidR="00A445D5">
        <w:rPr>
          <w:rFonts w:ascii="Arial" w:hAnsi="Arial" w:cs="Arial"/>
        </w:rPr>
        <w:instrText>Luntzer","given":"Melanie","non-dropping-particle":"","parse-names":false,"suffix":""},{"dropping-particle":"","family":"Hankenson","given":"Kurt D","non-dropping-particle":"","parse-names":false,"suffix":""},{"dropping-particle":"","family":"Ignatius","given":"Anita","non-dropping-particle":"","parse-names":false,"suffix":""},{"dropping-particle":"","family":"Pfeifer","given":"Roman","non-dropping-particle":"","parse-names":false,"suffix":""},{"dropping-particle":"","family":"Khader","given":"Basel A","non-dropping-particle":"","parse-names":false,"suffix":""},{"dropping-particle":"","family":"Hildebrand","given":"Frank","non-dropping-particle":"","parse-names":false,"suffix":""},{"dropping-particle":"","family":"Griensven","given":"Martijn","non-dropping-particle":"","parse-names":false,"suffix":""},{"dropping-particle":"","family":"Pape","given":"Hans-Christoph","non-dropping-particle":"","parse-names":false,"suffix":""},{"dropping-particle":"","family":"Lehmicke","given":"Michael","non-dropping-particle":"","parse-names":false,"suffix":""}],"container-title":"Journal of Orthopaedic Research","id":"ITEM-1","issue":"12","issued":{"date-parts":[["2019","12","3"]]},"note":"https://doi.org/10.1002/jor.24454","page":"2491-2498","publisher":"John Wiley &amp; Sons, Ltd","title":"Review of Animal Models of Comorbidities in Fracture</w:instrText>
      </w:r>
      <w:r w:rsidR="00A445D5">
        <w:rPr>
          <w:rFonts w:ascii="Cambria Math" w:hAnsi="Cambria Math" w:cs="Cambria Math"/>
        </w:rPr>
        <w:instrText>‐</w:instrText>
      </w:r>
      <w:r w:rsidR="00A445D5">
        <w:rPr>
          <w:rFonts w:ascii="Arial" w:hAnsi="Arial" w:cs="Arial"/>
        </w:rPr>
        <w:instrText>Healing Research","type":"article-journal","volume":"37"},"uris":["http://www.mendeley.com/documents/?uuid=d30c969d-37cb-4e59-9d66-77bc6d762ca5"]}],"mendeley":{"formattedCitation":"[146]","plainTextFormattedCitation":"[146]","previouslyFormattedCitation":"[146]"},"properties":{"noteIndex":0},"schema":"https://github.com/citation-style-language/schema/raw/master/csl-citation.json"}</w:instrText>
      </w:r>
      <w:r w:rsidRPr="000E39AA">
        <w:rPr>
          <w:rFonts w:ascii="Arial" w:hAnsi="Arial" w:cs="Arial"/>
        </w:rPr>
        <w:fldChar w:fldCharType="separate"/>
      </w:r>
      <w:r w:rsidR="00A445D5" w:rsidRPr="00A445D5">
        <w:rPr>
          <w:rFonts w:ascii="Arial" w:hAnsi="Arial" w:cs="Arial"/>
          <w:noProof/>
        </w:rPr>
        <w:t>[146]</w:t>
      </w:r>
      <w:r w:rsidRPr="000E39AA">
        <w:rPr>
          <w:rFonts w:ascii="Arial" w:hAnsi="Arial" w:cs="Arial"/>
        </w:rPr>
        <w:fldChar w:fldCharType="end"/>
      </w:r>
      <w:r w:rsidRPr="000E39AA">
        <w:rPr>
          <w:rFonts w:ascii="Arial" w:hAnsi="Arial" w:cs="Arial"/>
        </w:rPr>
        <w:t xml:space="preserve">. Osteoarthritic pain induction, surgical interruption of the anterior cruciate ligament (ACL) and posterior cruciate ligament (PCL) in mouse have all been shown to be efficacious in the reproduction of osteoarthritic pain models. Such techniques allow the development of the pathology in an animal model with comparable developmental features observed in the human condition </w:t>
      </w:r>
      <w:r w:rsidRPr="000E39AA">
        <w:rPr>
          <w:rFonts w:ascii="Arial" w:hAnsi="Arial" w:cs="Arial"/>
        </w:rPr>
        <w:fldChar w:fldCharType="begin" w:fldLock="1"/>
      </w:r>
      <w:r w:rsidR="00A445D5">
        <w:rPr>
          <w:rFonts w:ascii="Arial" w:hAnsi="Arial" w:cs="Arial"/>
        </w:rPr>
        <w:instrText>ADDIN CSL_CITATION {"citationItems":[{"id":"ITEM-1","itemData":{"DOI":"10.1002/art.37766","ISSN":"00043591","PMID":"23124630","abstract":"Objective The mouse is an optimal model organism in which gene-environment interactions can be used to study the pathogenesis of osteoarthritis (OA). The gold standard for arthritis research in mice is based on histopathology and immunohistochemistry, which are labor-intensive, prone to sampling bias and technical variability, and limited in throughput. The aim of this study was to develop a new technique that assesses mouse cartilage by integrating quantitative volumetric imaging techniques. Methods A novel mouse model of OA was generated by cruciate ligament transection (CLT) and evaluated by histopathology and immunohistochemistry. Knee joint specimens were then imaged using a new technique that combines high-resolution micro-computed tomography (micro-CT) and phase-contrast optics followed by quantitative analyses. A comparative analysis was also performed in a previously established mouse model of OA generated by destabilization of the medial meniscus (DMM). Results Phase-contrast micro-CT achieved cellular resolution of chondrocytes and quantitative assessment of parameters such as articular cartilage volume and surface area. In mouse models of OA generated by either CLT or DMM, we showed that phase-contrast micro-CT distinguished control and OA cartilage by providing quantitative measures with high reproducibility and minimal variability. Features of OA at the cellular or tissue level could also be observed in images generated by phase-contrast micro-CT. Conclusion We established an imaging technology that comprehensively assessed and quantified the 2-dimensional and 3-dimensional changes of articular cartilage. Application of this technology will facilitate the rapid and high-throughput assessment of genetic and therapeutic models of OA in mice. Copyright © 2013 by the American College of Rheumatology.","author":[{"dropping-particle":"","family":"Ruan","given":"Merry Z.C.","non-dropping-particle":"","parse-names":false,"suffix":""},{"dropping-particle":"","family":"Dawson","given":"Brian","non-dropping-particle":"","parse-names":false,"suffix":""},{"dropping-particle":"","family":"Jiang","given":"Ming Ming","non-dropping-particle":"","parse-names":false,"suffix":""},{"dropping-particle":"","family":"Gannon","given":"Francis","non-dropping-particle":"","parse-names":false,"suffix":""},{"dropping-particle":"","family":"Heggeness","given":"Michael","non-dropping-particle":"","parse-names":false,"suffix":""},{"dropping-particle":"","family":"Lee","given":"Brendan H.L.","non-dropping-particle":"","parse-names":false,"suffix":""}],"container-title":"Arthritis and Rheumatism","id":"ITEM-1","issue":"2","issued":{"date-parts":[["2013"]]},"page":"388-396","title":"Quantitative imaging of murine osteoarthritic cartilage by phase-contrast micro-computed tomography","type":"article-journal","volume":"65"},"uris":["http://www.mendeley.com/documents/?uuid=11ea9d45-1219-47c0-82ae-3eef0dc58afd"]},{"id":"ITEM-2","itemData":{"DOI":"10.1007/978-1-4939-8997-3_23","ISBN":"9781493989973","ISSN":"10643745","PMID":"30729479","abstract":"Bone pain is a prevalent issue in society today and also is one of the hardest types of pain to control. Pain originating in the bone can be caused by many different entities including metastatic and primary neoplasm, fracture, osteoarthritis as well as numerous other metabolic disorders. In this chapter we describe the methods and protocols that currently are accepted and validated for the study of bone pain in models of metastatic cancer, bicortical fracture and osteoarthritis. These animal models provide invaluable information as to the nature of bone pain and give rise to potential new targets for its treatment and management.","author":[{"dropping-particle":"","family":"Thompson","given":"Austen L.","non-dropping-particle":"","parse-names":false,"suffix":""},{"dropping-particle":"","family":"Largent-Milnes","given":"Tally M.","non-dropping-particle":"","parse-names":false,"suffix":""},{"dropping-particle":"","family":"Vanderah","given":"Todd W.","non-dropping-particle":"","parse-names":false,"suffix":""}],"container-title":"Methods in Molecular Biology","id":"ITEM-2","issued":{"date-parts":[["2019"]]},"page":"391-407","title":"Animal models for the study of bone-derived pain","type":"article-journal","volume":"1914"},"uris":["http://www.mendeley.com/documents/?uuid=a03cc56e-b29f-4871-87ed-3625ae72b9ef"]}],"mendeley":{"formattedCitation":"[132, 149]","plainTextFormattedCitation":"[132, 149]","previouslyFormattedCitation":"[132, 149]"},"properties":{"noteIndex":0},"schema":"https://github.com/citation-style-language/schema/raw/master/csl-citation.json"}</w:instrText>
      </w:r>
      <w:r w:rsidRPr="000E39AA">
        <w:rPr>
          <w:rFonts w:ascii="Arial" w:hAnsi="Arial" w:cs="Arial"/>
        </w:rPr>
        <w:fldChar w:fldCharType="separate"/>
      </w:r>
      <w:r w:rsidR="00A445D5" w:rsidRPr="00A445D5">
        <w:rPr>
          <w:rFonts w:ascii="Arial" w:hAnsi="Arial" w:cs="Arial"/>
          <w:noProof/>
        </w:rPr>
        <w:t>[132, 149]</w:t>
      </w:r>
      <w:r w:rsidRPr="000E39AA">
        <w:rPr>
          <w:rFonts w:ascii="Arial" w:hAnsi="Arial" w:cs="Arial"/>
        </w:rPr>
        <w:fldChar w:fldCharType="end"/>
      </w:r>
      <w:r w:rsidRPr="000E39AA">
        <w:rPr>
          <w:rFonts w:ascii="Arial" w:hAnsi="Arial" w:cs="Arial"/>
        </w:rPr>
        <w:t xml:space="preserve">.  </w:t>
      </w:r>
    </w:p>
    <w:p w14:paraId="271FD8F6" w14:textId="5DED8519" w:rsidR="001B7894" w:rsidRDefault="00526404" w:rsidP="0023525D">
      <w:pPr>
        <w:shd w:val="clear" w:color="auto" w:fill="FFFFFF"/>
        <w:spacing w:before="166" w:after="0" w:line="276" w:lineRule="auto"/>
        <w:jc w:val="both"/>
        <w:rPr>
          <w:rFonts w:ascii="Arial" w:hAnsi="Arial" w:cs="Arial"/>
          <w:color w:val="000000"/>
        </w:rPr>
      </w:pPr>
      <w:r>
        <w:rPr>
          <w:rFonts w:ascii="Arial" w:hAnsi="Arial" w:cs="Arial"/>
          <w:i/>
          <w:iCs/>
        </w:rPr>
        <w:t xml:space="preserve">In vivo </w:t>
      </w:r>
      <w:r>
        <w:rPr>
          <w:rFonts w:ascii="Arial" w:hAnsi="Arial" w:cs="Arial"/>
        </w:rPr>
        <w:t xml:space="preserve">bone pain models </w:t>
      </w:r>
      <w:r w:rsidR="00881AC2">
        <w:rPr>
          <w:rFonts w:ascii="Arial" w:hAnsi="Arial" w:cs="Arial"/>
        </w:rPr>
        <w:t xml:space="preserve">have been extensively used for decades to study skeletal pain. However, </w:t>
      </w:r>
      <w:r w:rsidR="00C3170D">
        <w:rPr>
          <w:rFonts w:ascii="Arial" w:hAnsi="Arial" w:cs="Arial"/>
        </w:rPr>
        <w:t>these</w:t>
      </w:r>
      <w:r w:rsidR="00F775D3">
        <w:rPr>
          <w:rFonts w:ascii="Arial" w:hAnsi="Arial" w:cs="Arial"/>
        </w:rPr>
        <w:t xml:space="preserve"> models are</w:t>
      </w:r>
      <w:r w:rsidR="00881AC2">
        <w:rPr>
          <w:rFonts w:ascii="Arial" w:hAnsi="Arial" w:cs="Arial"/>
        </w:rPr>
        <w:t xml:space="preserve"> involving severe </w:t>
      </w:r>
      <w:r w:rsidR="00F775D3">
        <w:rPr>
          <w:rFonts w:ascii="Arial" w:hAnsi="Arial" w:cs="Arial"/>
        </w:rPr>
        <w:t>discomfort for the animal</w:t>
      </w:r>
      <w:r w:rsidR="00532CDC">
        <w:rPr>
          <w:rFonts w:ascii="Arial" w:hAnsi="Arial" w:cs="Arial"/>
        </w:rPr>
        <w:t xml:space="preserve">s, with disruptive consequences for </w:t>
      </w:r>
      <w:r w:rsidR="009B04CE">
        <w:rPr>
          <w:rFonts w:ascii="Arial" w:hAnsi="Arial" w:cs="Arial"/>
        </w:rPr>
        <w:t xml:space="preserve">prolonged studies and </w:t>
      </w:r>
      <w:r w:rsidR="00532CDC">
        <w:rPr>
          <w:rFonts w:ascii="Arial" w:hAnsi="Arial" w:cs="Arial"/>
        </w:rPr>
        <w:t>results</w:t>
      </w:r>
      <w:r w:rsidR="009B04CE">
        <w:rPr>
          <w:rFonts w:ascii="Arial" w:hAnsi="Arial" w:cs="Arial"/>
        </w:rPr>
        <w:t xml:space="preserve">. </w:t>
      </w:r>
      <w:r w:rsidR="00533786">
        <w:rPr>
          <w:rFonts w:ascii="Arial" w:hAnsi="Arial" w:cs="Arial"/>
        </w:rPr>
        <w:t>However, i</w:t>
      </w:r>
      <w:r w:rsidR="009B04CE">
        <w:rPr>
          <w:rFonts w:ascii="Arial" w:hAnsi="Arial" w:cs="Arial"/>
          <w:i/>
          <w:iCs/>
        </w:rPr>
        <w:t xml:space="preserve">n vitro </w:t>
      </w:r>
      <w:r w:rsidR="009B04CE">
        <w:rPr>
          <w:rFonts w:ascii="Arial" w:hAnsi="Arial" w:cs="Arial"/>
        </w:rPr>
        <w:t xml:space="preserve">models for bone pain </w:t>
      </w:r>
      <w:r w:rsidR="00533786">
        <w:rPr>
          <w:rFonts w:ascii="Arial" w:hAnsi="Arial" w:cs="Arial"/>
        </w:rPr>
        <w:t xml:space="preserve">are missing. </w:t>
      </w:r>
      <w:r w:rsidR="001B7894" w:rsidRPr="000E39AA">
        <w:rPr>
          <w:rFonts w:ascii="Arial" w:hAnsi="Arial" w:cs="Arial"/>
        </w:rPr>
        <w:t xml:space="preserve">To date, </w:t>
      </w:r>
      <w:r w:rsidR="001B7894" w:rsidRPr="000E39AA">
        <w:rPr>
          <w:rFonts w:ascii="Arial" w:hAnsi="Arial" w:cs="Arial"/>
          <w:i/>
          <w:iCs/>
        </w:rPr>
        <w:t xml:space="preserve">in </w:t>
      </w:r>
      <w:r w:rsidR="007C0BAE">
        <w:rPr>
          <w:rFonts w:ascii="Arial" w:hAnsi="Arial" w:cs="Arial"/>
          <w:i/>
          <w:iCs/>
        </w:rPr>
        <w:t>vitro</w:t>
      </w:r>
      <w:r w:rsidR="007C0BAE" w:rsidRPr="000E39AA">
        <w:rPr>
          <w:rFonts w:ascii="Arial" w:hAnsi="Arial" w:cs="Arial"/>
          <w:i/>
          <w:iCs/>
        </w:rPr>
        <w:t xml:space="preserve"> </w:t>
      </w:r>
      <w:r w:rsidR="001B7894" w:rsidRPr="000E39AA">
        <w:rPr>
          <w:rFonts w:ascii="Arial" w:hAnsi="Arial" w:cs="Arial"/>
        </w:rPr>
        <w:t xml:space="preserve">fracture models capable of replicating </w:t>
      </w:r>
      <w:r w:rsidR="007C0BAE">
        <w:rPr>
          <w:rFonts w:ascii="Arial" w:hAnsi="Arial" w:cs="Arial"/>
        </w:rPr>
        <w:t xml:space="preserve">skeletal-specific </w:t>
      </w:r>
      <w:r w:rsidR="001B7894" w:rsidRPr="000E39AA">
        <w:rPr>
          <w:rFonts w:ascii="Arial" w:hAnsi="Arial" w:cs="Arial"/>
        </w:rPr>
        <w:t xml:space="preserve">pain mechanisms have not been identified. Morgan and co-workers </w:t>
      </w:r>
      <w:r w:rsidR="001B7894" w:rsidRPr="000E39AA">
        <w:rPr>
          <w:rFonts w:ascii="Arial" w:hAnsi="Arial" w:cs="Arial"/>
        </w:rPr>
        <w:fldChar w:fldCharType="begin" w:fldLock="1"/>
      </w:r>
      <w:r w:rsidR="00A445D5">
        <w:rPr>
          <w:rFonts w:ascii="Arial" w:hAnsi="Arial" w:cs="Arial"/>
        </w:rPr>
        <w:instrText>ADDIN CSL_CITATION {"citationItems":[{"id":"ITEM-1","itemData":{"DOI":"10.1016/j.bone.2019.03.040","ISSN":"87563282","PMID":"30936039","abstract":"The Transient receptor potential cation channel subfamily V member 1 (TRPV1) is a non-selective cation channel that is activated by capsaicin, low pH and noxious heat. It has been suggested to have a pro-algesic role in a range of conditions that present with bone pain, but the mechanisms by which this occurs are not yet clear. In this study we aimed to determine if TRPV1 is expressed in Aδ and/or C fiber bone afferent neurons, and to explore its role in the activation and/or sensitization of bone afferent neurons to mechanical stimulation. A combination of retrograde tracing and immunohistochemistry was used to determine expression of TRPV1 in the soma of bone afferent neurons that innervate the rat tibial marrow cavity. A novel, in vivo, electrophysiological bone-nerve preparation, recently developed in our laboratory, was used to make recordings of the activity and sensitivity of bone afferent neurons in response to application of the TRPV1 agonist capsaicin to the marrow cavity. We found that a substantial proportion of bone afferent neurons express TRPV1. These include both small-diameter myelinated (neurofilament rich) and unmyelinated (neurofilament poor) neurons that are likely to be Aδ and C fiber neurons, respectively. Electrophysiological recordings revealed that application of capsaicin to the marrow cavity increased ongoing activity of C fiber, and to a lesser extent Aδ fiber, bone afferent neurons. Capsaicin also sensitized both Aδ and C fiber bone afferent neurons to mechanical stimulation. This evidence supports a role for TRPV1 in the pathogenesis of pain associated with bone pathology or disease.","author":[{"dropping-particle":"","family":"Morgan","given":"Michael","non-dropping-particle":"","parse-names":false,"suffix":""},{"dropping-particle":"","family":"Nencini","given":"Sara","non-dropping-particle":"","parse-names":false,"suffix":""},{"dropping-particle":"","family":"Thai","given":"Jenny","non-dropping-particle":"","parse-names":false,"suffix":""},{"dropping-particle":"","family":"Ivanusic","given":"Jason J.","non-dropping-particle":"","parse-names":false,"suffix":""}],"container-title":"Bone","id":"ITEM-1","issue":"March","issued":{"date-parts":[["2019"]]},"page":"168-175","publisher":"Elsevier","title":"TRPV1 activation alters the function of Aδ and C fiber sensory neurons that innervate bone","type":"article-journal","volume":"123"},"uris":["http://www.mendeley.com/documents/?uuid=6eac00c8-57d1-4819-be75-420567d93950"]}],"mendeley":{"formattedCitation":"[143]","plainTextFormattedCitation":"[143]","previouslyFormattedCitation":"[143]"},"properties":{"noteIndex":0},"schema":"https://github.com/citation-style-language/schema/raw/master/csl-citation.json"}</w:instrText>
      </w:r>
      <w:r w:rsidR="001B7894" w:rsidRPr="000E39AA">
        <w:rPr>
          <w:rFonts w:ascii="Arial" w:hAnsi="Arial" w:cs="Arial"/>
        </w:rPr>
        <w:fldChar w:fldCharType="separate"/>
      </w:r>
      <w:r w:rsidR="0062132B" w:rsidRPr="0062132B">
        <w:rPr>
          <w:rFonts w:ascii="Arial" w:hAnsi="Arial" w:cs="Arial"/>
          <w:noProof/>
        </w:rPr>
        <w:t>[143]</w:t>
      </w:r>
      <w:r w:rsidR="001B7894" w:rsidRPr="000E39AA">
        <w:rPr>
          <w:rFonts w:ascii="Arial" w:hAnsi="Arial" w:cs="Arial"/>
        </w:rPr>
        <w:fldChar w:fldCharType="end"/>
      </w:r>
      <w:r w:rsidR="001B7894" w:rsidRPr="000E39AA">
        <w:rPr>
          <w:rFonts w:ascii="Arial" w:hAnsi="Arial" w:cs="Arial"/>
        </w:rPr>
        <w:t xml:space="preserve"> reported the study of activation of Transient receptor potential cation channel subfamily V member 1 (TRPV1) expressed in bone afferent neurons (</w:t>
      </w:r>
      <w:r w:rsidR="001B7894" w:rsidRPr="000E39AA">
        <w:rPr>
          <w:rFonts w:ascii="Arial" w:hAnsi="Arial" w:cs="Arial"/>
          <w:b/>
          <w:bCs/>
        </w:rPr>
        <w:t>Fig</w:t>
      </w:r>
      <w:r w:rsidR="001B7894">
        <w:rPr>
          <w:rFonts w:ascii="Arial" w:hAnsi="Arial" w:cs="Arial"/>
          <w:b/>
          <w:bCs/>
        </w:rPr>
        <w:t xml:space="preserve">. </w:t>
      </w:r>
      <w:r w:rsidR="00CD5473">
        <w:rPr>
          <w:rFonts w:ascii="Arial" w:hAnsi="Arial" w:cs="Arial"/>
          <w:b/>
          <w:bCs/>
        </w:rPr>
        <w:t>5</w:t>
      </w:r>
      <w:r w:rsidR="001B7894" w:rsidRPr="000E39AA">
        <w:rPr>
          <w:rFonts w:ascii="Arial" w:hAnsi="Arial" w:cs="Arial"/>
          <w:b/>
          <w:bCs/>
        </w:rPr>
        <w:t>a</w:t>
      </w:r>
      <w:r w:rsidR="001B7894" w:rsidRPr="000E39AA">
        <w:rPr>
          <w:rFonts w:ascii="Arial" w:hAnsi="Arial" w:cs="Arial"/>
        </w:rPr>
        <w:t>) although could not recapitulate the complexity of bone fracture following the exclusion of crucial components such as the vascular network in damaged skeletal tissue.</w:t>
      </w:r>
      <w:r w:rsidR="001B7894" w:rsidRPr="000E39AA">
        <w:rPr>
          <w:rFonts w:ascii="Arial" w:hAnsi="Arial" w:cs="Arial"/>
          <w:color w:val="000000"/>
        </w:rPr>
        <w:t xml:space="preserve"> </w:t>
      </w:r>
    </w:p>
    <w:p w14:paraId="345E7B02" w14:textId="77777777" w:rsidR="00F03759" w:rsidRPr="000E39AA" w:rsidRDefault="00F03759" w:rsidP="00F03759">
      <w:pPr>
        <w:pStyle w:val="Heading3"/>
      </w:pPr>
      <w:r w:rsidRPr="000E39AA">
        <w:lastRenderedPageBreak/>
        <w:t>Cancer bone pain models.</w:t>
      </w:r>
      <w:bookmarkEnd w:id="68"/>
    </w:p>
    <w:p w14:paraId="27A1CCCD" w14:textId="24118D3D" w:rsidR="00F03759" w:rsidRPr="000E39AA" w:rsidRDefault="00F03759" w:rsidP="00F03759">
      <w:pPr>
        <w:spacing w:line="276" w:lineRule="auto"/>
        <w:jc w:val="both"/>
        <w:rPr>
          <w:rFonts w:ascii="Arial" w:hAnsi="Arial" w:cs="Arial"/>
          <w:color w:val="000000"/>
        </w:rPr>
      </w:pPr>
      <w:r w:rsidRPr="000E39AA">
        <w:rPr>
          <w:rFonts w:ascii="Arial" w:hAnsi="Arial" w:cs="Arial"/>
        </w:rPr>
        <w:t xml:space="preserve">Cancer bone pain models have been </w:t>
      </w:r>
      <w:r w:rsidR="00546C43">
        <w:rPr>
          <w:rFonts w:ascii="Arial" w:hAnsi="Arial" w:cs="Arial"/>
        </w:rPr>
        <w:t>extensively</w:t>
      </w:r>
      <w:r w:rsidRPr="000E39AA">
        <w:rPr>
          <w:rFonts w:ascii="Arial" w:hAnsi="Arial" w:cs="Arial"/>
        </w:rPr>
        <w:t xml:space="preserve"> produced </w:t>
      </w:r>
      <w:r w:rsidRPr="000E39AA">
        <w:rPr>
          <w:rFonts w:ascii="Arial" w:hAnsi="Arial" w:cs="Arial"/>
          <w:i/>
          <w:iCs/>
        </w:rPr>
        <w:t>in vivo</w:t>
      </w:r>
      <w:r w:rsidRPr="000E39AA">
        <w:rPr>
          <w:rFonts w:ascii="Arial" w:hAnsi="Arial" w:cs="Arial"/>
        </w:rPr>
        <w:t xml:space="preserve">. </w:t>
      </w:r>
      <w:proofErr w:type="gramStart"/>
      <w:r w:rsidRPr="000E39AA">
        <w:rPr>
          <w:rFonts w:ascii="Arial" w:hAnsi="Arial" w:cs="Arial"/>
        </w:rPr>
        <w:t xml:space="preserve">The </w:t>
      </w:r>
      <w:r w:rsidR="0021164E">
        <w:rPr>
          <w:rFonts w:ascii="Arial" w:hAnsi="Arial" w:cs="Arial"/>
        </w:rPr>
        <w:t>majority of</w:t>
      </w:r>
      <w:proofErr w:type="gramEnd"/>
      <w:r w:rsidR="0021164E">
        <w:rPr>
          <w:rFonts w:ascii="Arial" w:hAnsi="Arial" w:cs="Arial"/>
        </w:rPr>
        <w:t xml:space="preserve"> the</w:t>
      </w:r>
      <w:r w:rsidRPr="000E39AA">
        <w:rPr>
          <w:rFonts w:ascii="Arial" w:hAnsi="Arial" w:cs="Arial"/>
        </w:rPr>
        <w:t xml:space="preserve"> models involve the use of rodents in which bone metastases have been induced</w:t>
      </w:r>
      <w:r w:rsidR="0021164E">
        <w:rPr>
          <w:rFonts w:ascii="Arial" w:hAnsi="Arial" w:cs="Arial"/>
        </w:rPr>
        <w:t xml:space="preserve"> by localised cancerous cells injection</w:t>
      </w:r>
      <w:r w:rsidRPr="000E39AA">
        <w:rPr>
          <w:rFonts w:ascii="Arial" w:hAnsi="Arial" w:cs="Arial"/>
        </w:rPr>
        <w:t xml:space="preserve">. One of the first mouse models was proposed by Arguello and collaborators </w:t>
      </w:r>
      <w:r w:rsidRPr="000E39AA">
        <w:rPr>
          <w:rFonts w:ascii="Arial" w:hAnsi="Arial" w:cs="Arial"/>
        </w:rPr>
        <w:fldChar w:fldCharType="begin" w:fldLock="1"/>
      </w:r>
      <w:r w:rsidR="00A445D5">
        <w:rPr>
          <w:rFonts w:ascii="Arial" w:hAnsi="Arial" w:cs="Arial"/>
        </w:rPr>
        <w:instrText>ADDIN CSL_CITATION {"citationItems":[{"id":"ITEM-1","itemData":{"ISSN":"15387445","PMID":"3180096","abstract":"Bone is a common site of metastasis in human cancer. A major impediment to understanding the pathogenesis of bone metastasis has been the lack of an appropriate animal model. In this paper, we describe an animal model in which B16 melanoma cells injected in the left cardiac ventricle reproducibly colonize specific sites of the skeletal system of mice. Injection of 105 cells resulted in melanotic tumor colonies in most organs, including the skeletal system. Injection of 104 or fewer cells resulted in experimental metastasis almost entirely restricted to the skeletal system and ovary. In contrast, i.v. injection of 105 cells resulted in tumor colonies in the lung only. Left cardiac injection of 102 cells caused bone colonization, but the same number of cells injected i.v. did not colonize the lung. The number of bones with tumor colonies increased with increasing number of cells injected. Melanotic tumor colonies in the bone were characteristically distributed in the metaphysis of long bones and in the periphery of flat bones. Most animals developed paraplegia due to spinal cord compression by bony metastasis to the spine. Tumor colonization of bone occurred only in regions of bone containing hematopoietic bone marrow. This suggests that the injected tumor cells lodge, survive in the hematopoietic bone marrow environment, and grow to destroy adjacent bone. This experimental model of metastasis to bone will facilitate future studies of the pathophysiology and treatment of bone and bone marrow metastasis. © 1988, American Association for Cancer Research. All rights reserved.","author":[{"dropping-particle":"","family":"Arguello","given":"Francisco","non-dropping-particle":"","parse-names":false,"suffix":""},{"dropping-particle":"","family":"Baggs","given":"Raymond B.","non-dropping-particle":"","parse-names":false,"suffix":""},{"dropping-particle":"","family":"Frantz","given":"Christopher N.","non-dropping-particle":"","parse-names":false,"suffix":""}],"container-title":"Cancer Research","id":"ITEM-1","issue":"23","issued":{"date-parts":[["1988"]]},"page":"6876-6881","title":"A murine model of experimental metastasis to bone and bone marrow","type":"article-journal","volume":"48"},"uris":["http://www.mendeley.com/documents/?uuid=78837dae-e305-405a-b6fc-c2cc09c3a4eb"]}],"mendeley":{"formattedCitation":"[150]","plainTextFormattedCitation":"[150]","previouslyFormattedCitation":"[150]"},"properties":{"noteIndex":0},"schema":"https://github.com/citation-style-language/schema/raw/master/csl-citation.json"}</w:instrText>
      </w:r>
      <w:r w:rsidRPr="000E39AA">
        <w:rPr>
          <w:rFonts w:ascii="Arial" w:hAnsi="Arial" w:cs="Arial"/>
        </w:rPr>
        <w:fldChar w:fldCharType="separate"/>
      </w:r>
      <w:r w:rsidR="00A445D5" w:rsidRPr="00A445D5">
        <w:rPr>
          <w:rFonts w:ascii="Arial" w:hAnsi="Arial" w:cs="Arial"/>
          <w:noProof/>
        </w:rPr>
        <w:t>[150]</w:t>
      </w:r>
      <w:r w:rsidRPr="000E39AA">
        <w:rPr>
          <w:rFonts w:ascii="Arial" w:hAnsi="Arial" w:cs="Arial"/>
        </w:rPr>
        <w:fldChar w:fldCharType="end"/>
      </w:r>
      <w:r w:rsidRPr="000E39AA">
        <w:rPr>
          <w:rFonts w:ascii="Arial" w:hAnsi="Arial" w:cs="Arial"/>
        </w:rPr>
        <w:t xml:space="preserve"> in which intracardiac injections of myeloma cells were given to study the mechanism of bone localisation of blood-borne cancer cells. However, the pathological state was so severe the model precluded analysis of the pain experienced by the animal </w:t>
      </w:r>
      <w:r w:rsidRPr="000E39AA">
        <w:rPr>
          <w:rFonts w:ascii="Arial" w:hAnsi="Arial" w:cs="Arial"/>
        </w:rPr>
        <w:fldChar w:fldCharType="begin" w:fldLock="1"/>
      </w:r>
      <w:r w:rsidR="00A445D5">
        <w:rPr>
          <w:rFonts w:ascii="Arial" w:hAnsi="Arial" w:cs="Arial"/>
        </w:rPr>
        <w:instrText>ADDIN CSL_CITATION {"citationItems":[{"id":"ITEM-1","itemData":{"DOI":"10.1007/978-1-4939-8997-3_23","ISBN":"9781493989973","ISSN":"10643745","PMID":"30729479","abstract":"Bone pain is a prevalent issue in society today and also is one of the hardest types of pain to control. Pain originating in the bone can be caused by many different entities including metastatic and primary neoplasm, fracture, osteoarthritis as well as numerous other metabolic disorders. In this chapter we describe the methods and protocols that currently are accepted and validated for the study of bone pain in models of metastatic cancer, bicortical fracture and osteoarthritis. These animal models provide invaluable information as to the nature of bone pain and give rise to potential new targets for its treatment and management.","author":[{"dropping-particle":"","family":"Thompson","given":"Austen L.","non-dropping-particle":"","parse-names":false,"suffix":""},{"dropping-particle":"","family":"Largent-Milnes","given":"Tally M.","non-dropping-particle":"","parse-names":false,"suffix":""},{"dropping-particle":"","family":"Vanderah","given":"Todd W.","non-dropping-particle":"","parse-names":false,"suffix":""}],"container-title":"Methods in Molecular Biology","id":"ITEM-1","issued":{"date-parts":[["2019"]]},"page":"391-407","title":"Animal models for the study of bone-derived pain","type":"article-journal","volume":"1914"},"uris":["http://www.mendeley.com/documents/?uuid=a03cc56e-b29f-4871-87ed-3625ae72b9ef"]}],"mendeley":{"formattedCitation":"[132]","plainTextFormattedCitation":"[132]","previouslyFormattedCitation":"[132]"},"properties":{"noteIndex":0},"schema":"https://github.com/citation-style-language/schema/raw/master/csl-citation.json"}</w:instrText>
      </w:r>
      <w:r w:rsidRPr="000E39AA">
        <w:rPr>
          <w:rFonts w:ascii="Arial" w:hAnsi="Arial" w:cs="Arial"/>
        </w:rPr>
        <w:fldChar w:fldCharType="separate"/>
      </w:r>
      <w:r w:rsidR="0062132B" w:rsidRPr="0062132B">
        <w:rPr>
          <w:rFonts w:ascii="Arial" w:hAnsi="Arial" w:cs="Arial"/>
          <w:noProof/>
        </w:rPr>
        <w:t>[132]</w:t>
      </w:r>
      <w:r w:rsidRPr="000E39AA">
        <w:rPr>
          <w:rFonts w:ascii="Arial" w:hAnsi="Arial" w:cs="Arial"/>
        </w:rPr>
        <w:fldChar w:fldCharType="end"/>
      </w:r>
      <w:r w:rsidRPr="000E39AA">
        <w:rPr>
          <w:rFonts w:ascii="Arial" w:hAnsi="Arial" w:cs="Arial"/>
        </w:rPr>
        <w:t xml:space="preserve">. </w:t>
      </w:r>
      <w:proofErr w:type="spellStart"/>
      <w:r w:rsidRPr="000E39AA">
        <w:rPr>
          <w:rFonts w:ascii="Arial" w:hAnsi="Arial" w:cs="Arial"/>
        </w:rPr>
        <w:t>Schwei</w:t>
      </w:r>
      <w:proofErr w:type="spellEnd"/>
      <w:r w:rsidRPr="000E39AA">
        <w:rPr>
          <w:rFonts w:ascii="Arial" w:hAnsi="Arial" w:cs="Arial"/>
        </w:rPr>
        <w:t xml:space="preserve"> and colleagues </w:t>
      </w:r>
      <w:r w:rsidRPr="000E39AA">
        <w:rPr>
          <w:rFonts w:ascii="Arial" w:hAnsi="Arial" w:cs="Arial"/>
        </w:rPr>
        <w:fldChar w:fldCharType="begin" w:fldLock="1"/>
      </w:r>
      <w:r w:rsidR="00A445D5">
        <w:rPr>
          <w:rFonts w:ascii="Arial" w:hAnsi="Arial" w:cs="Arial"/>
        </w:rPr>
        <w:instrText>ADDIN CSL_CITATION {"citationItems":[{"id":"ITEM-1","itemData":{"DOI":"10.1523/jneurosci.19-24-10886.1999","ISSN":"02706474","PMID":"10594070","abstract":"The cancer-related event that is most disruptive to the cancer patient's quality of life is pain. To begin to define the mechanisms that give rise to cancer pain, we examined the neurochemical changes that occur in the spinal cord and associated dorsal root ganglia in a murine model of bone cancer. Twenty-one days after intramedullary injection of osteolytic sarcoma cells into the femur, there was extensive bone destruction and invasion of the tumor into the periosteum, similar to that found in patients with osteolytic bone cancer. In the spinal cord, ipsilateral to the cancerous bone, there was a massive astrocyte hypertrophy without neuronal loss, an expression of dynorphin and c-Fos protein in neurons in the deep laminae of the dorsal horn. Additionally, normally non-noxious palpation of the bone with cancer induced behaviors indicative of pain, the internalization of the substance P receptor, and c-Fos expression in lamina I neurons, The alterations in the neurochemistry of the spinal cord and the sensitization of primary afferents were positively correlated with the extent of bone destruction and the growth of the tumor. This 'neurochemical signature' of bone cancer pain appears unique when compared to changes that occur in persistent inflammatory or neuropathic pain states. Understanding the mechanisms by which the cancer cells induce this neurochemical reorganization may provide insight into peripheral factors that drive spinal cord plasticity and in the development of more effective treatments for cancer pain.","author":[{"dropping-particle":"","family":"Schwei","given":"Matthew J.","non-dropping-particle":"","parse-names":false,"suffix":""},{"dropping-particle":"","family":"Honore","given":"Prisca","non-dropping-particle":"","parse-names":false,"suffix":""},{"dropping-particle":"","family":"Rogers","given":"Scott D.","non-dropping-particle":"","parse-names":false,"suffix":""},{"dropping-particle":"","family":"Salak-Johnson","given":"Janeen L.","non-dropping-particle":"","parse-names":false,"suffix":""},{"dropping-particle":"","family":"Finke","given":"Matthew P.","non-dropping-particle":"","parse-names":false,"suffix":""},{"dropping-particle":"","family":"Ramnaraine","given":"Margaret L.","non-dropping-particle":"","parse-names":false,"suffix":""},{"dropping-particle":"","family":"Clohisy","given":"Denis R.","non-dropping-particle":"","parse-names":false,"suffix":""},{"dropping-particle":"","family":"Mantyh","given":"Patrick W.","non-dropping-particle":"","parse-names":false,"suffix":""}],"container-title":"Journal of Neuroscience","id":"ITEM-1","issue":"24","issued":{"date-parts":[["1999"]]},"page":"10886-10897","title":"Neurochemical and cellular reorganization of the spinal cord in a murine model of bone cancer pain","type":"article-journal","volume":"19"},"uris":["http://www.mendeley.com/documents/?uuid=15f5073f-5561-4f77-b06e-87ec1c0fff59"]}],"mendeley":{"formattedCitation":"[151]","plainTextFormattedCitation":"[151]","previouslyFormattedCitation":"[151]"},"properties":{"noteIndex":0},"schema":"https://github.com/citation-style-language/schema/raw/master/csl-citation.json"}</w:instrText>
      </w:r>
      <w:r w:rsidRPr="000E39AA">
        <w:rPr>
          <w:rFonts w:ascii="Arial" w:hAnsi="Arial" w:cs="Arial"/>
        </w:rPr>
        <w:fldChar w:fldCharType="separate"/>
      </w:r>
      <w:r w:rsidR="00A445D5" w:rsidRPr="00A445D5">
        <w:rPr>
          <w:rFonts w:ascii="Arial" w:hAnsi="Arial" w:cs="Arial"/>
          <w:noProof/>
        </w:rPr>
        <w:t>[151]</w:t>
      </w:r>
      <w:r w:rsidRPr="000E39AA">
        <w:rPr>
          <w:rFonts w:ascii="Arial" w:hAnsi="Arial" w:cs="Arial"/>
        </w:rPr>
        <w:fldChar w:fldCharType="end"/>
      </w:r>
      <w:r w:rsidRPr="000E39AA">
        <w:rPr>
          <w:rFonts w:ascii="Arial" w:hAnsi="Arial" w:cs="Arial"/>
        </w:rPr>
        <w:t xml:space="preserve"> proposed an alternative model using a femur intramedullary injection of </w:t>
      </w:r>
      <w:r w:rsidR="005D03AD" w:rsidRPr="000E39AA">
        <w:rPr>
          <w:rFonts w:ascii="Arial" w:hAnsi="Arial" w:cs="Arial"/>
        </w:rPr>
        <w:t>tumour</w:t>
      </w:r>
      <w:r w:rsidRPr="000E39AA">
        <w:rPr>
          <w:rFonts w:ascii="Arial" w:hAnsi="Arial" w:cs="Arial"/>
        </w:rPr>
        <w:t xml:space="preserve"> cells to obtain a reproducible and localized </w:t>
      </w:r>
      <w:r w:rsidR="005D03AD" w:rsidRPr="000E39AA">
        <w:rPr>
          <w:rFonts w:ascii="Arial" w:hAnsi="Arial" w:cs="Arial"/>
        </w:rPr>
        <w:t>tumour</w:t>
      </w:r>
      <w:r w:rsidRPr="000E39AA">
        <w:rPr>
          <w:rFonts w:ascii="Arial" w:hAnsi="Arial" w:cs="Arial"/>
        </w:rPr>
        <w:t xml:space="preserve"> mass  </w:t>
      </w:r>
      <w:r w:rsidRPr="000E39AA">
        <w:rPr>
          <w:rFonts w:ascii="Arial" w:hAnsi="Arial" w:cs="Arial"/>
        </w:rPr>
        <w:fldChar w:fldCharType="begin" w:fldLock="1"/>
      </w:r>
      <w:r w:rsidR="00A445D5">
        <w:rPr>
          <w:rFonts w:ascii="Arial" w:hAnsi="Arial" w:cs="Arial"/>
        </w:rPr>
        <w:instrText>ADDIN CSL_CITATION {"citationItems":[{"id":"ITEM-1","itemData":{"DOI":"CliCa0604605611","ISSN":"09175857","PMID":"16582511","abstract":"Bone pain is one of the major complications of bone metastases and profoundly deteriorates quality of life in cancer patients. It has been suggested that the nerve injuries by tumor invasion and the inflammatory factors secreted by cancer cells are involved in the pathophysiology of bone pain. Recent studies including ours suggest that the activation of acid-sensing receptors by tumor-induced acidosis in bone metastases also plays a part in causing bone pain. In this review, the current understanding of the mechanisms of cancer-induced bone pain is discussed.","author":[{"dropping-particle":"","family":"Wakabayashi","given":"Hiroki","non-dropping-particle":"","parse-names":false,"suffix":""},{"dropping-particle":"","family":"Hiraga","given":"Toru","non-dropping-particle":"","parse-names":false,"suffix":""},{"dropping-particle":"","family":"Yoneda","given":"Toshiyuki","non-dropping-particle":"","parse-names":false,"suffix":""}],"container-title":"Clinical calcium","id":"ITEM-1","issue":"4","issued":{"date-parts":[["2006"]]},"page":"73-79","title":"Mechanism of cancer-induced bone pain","type":"article-journal","volume":"16"},"uris":["http://www.mendeley.com/documents/?uuid=1767d678-9eed-49cf-bec9-dfa2c650cf83"]},{"id":"ITEM-2","itemData":{"DOI":"10.1007/978-1-4939-8997-3_23","ISBN":"9781493989973","ISSN":"10643745","PMID":"30729479","abstract":"Bone pain is a prevalent issue in society today and also is one of the hardest types of pain to control. Pain originating in the bone can be caused by many different entities including metastatic and primary neoplasm, fracture, osteoarthritis as well as numerous other metabolic disorders. In this chapter we describe the methods and protocols that currently are accepted and validated for the study of bone pain in models of metastatic cancer, bicortical fracture and osteoarthritis. These animal models provide invaluable information as to the nature of bone pain and give rise to potential new targets for its treatment and management.","author":[{"dropping-particle":"","family":"Thompson","given":"Austen L.","non-dropping-particle":"","parse-names":false,"suffix":""},{"dropping-particle":"","family":"Largent-Milnes","given":"Tally M.","non-dropping-particle":"","parse-names":false,"suffix":""},{"dropping-particle":"","family":"Vanderah","given":"Todd W.","non-dropping-particle":"","parse-names":false,"suffix":""}],"container-title":"Methods in Molecular Biology","id":"ITEM-2","issued":{"date-parts":[["2019"]]},"page":"391-407","title":"Animal models for the study of bone-derived pain","type":"article-journal","volume":"1914"},"uris":["http://www.mendeley.com/documents/?uuid=a03cc56e-b29f-4871-87ed-3625ae72b9ef"]}],"mendeley":{"formattedCitation":"[28, 132]","plainTextFormattedCitation":"[28, 132]","previouslyFormattedCitation":"[28, 132]"},"properties":{"noteIndex":0},"schema":"https://github.com/citation-style-language/schema/raw/master/csl-citation.json"}</w:instrText>
      </w:r>
      <w:r w:rsidRPr="000E39AA">
        <w:rPr>
          <w:rFonts w:ascii="Arial" w:hAnsi="Arial" w:cs="Arial"/>
        </w:rPr>
        <w:fldChar w:fldCharType="separate"/>
      </w:r>
      <w:r w:rsidR="0062132B" w:rsidRPr="0062132B">
        <w:rPr>
          <w:rFonts w:ascii="Arial" w:hAnsi="Arial" w:cs="Arial"/>
          <w:noProof/>
        </w:rPr>
        <w:t>[28, 132]</w:t>
      </w:r>
      <w:r w:rsidRPr="000E39AA">
        <w:rPr>
          <w:rFonts w:ascii="Arial" w:hAnsi="Arial" w:cs="Arial"/>
        </w:rPr>
        <w:fldChar w:fldCharType="end"/>
      </w:r>
      <w:r w:rsidRPr="000E39AA">
        <w:rPr>
          <w:rFonts w:ascii="Arial" w:hAnsi="Arial" w:cs="Arial"/>
        </w:rPr>
        <w:t xml:space="preserve">. The model was more effective in simulating the situation of cancer bone pain, recreating spontaneous pain and mechanical allodynia, enabling a comparison with the untreated limb </w:t>
      </w:r>
      <w:r w:rsidRPr="000E39AA">
        <w:rPr>
          <w:rFonts w:ascii="Arial" w:hAnsi="Arial" w:cs="Arial"/>
        </w:rPr>
        <w:fldChar w:fldCharType="begin" w:fldLock="1"/>
      </w:r>
      <w:r w:rsidR="00A445D5">
        <w:rPr>
          <w:rFonts w:ascii="Arial" w:hAnsi="Arial" w:cs="Arial"/>
        </w:rPr>
        <w:instrText>ADDIN CSL_CITATION {"citationItems":[{"id":"ITEM-1","itemData":{"DOI":"10.1007/978-1-4939-8997-3_23","ISBN":"9781493989973","ISSN":"10643745","PMID":"30729479","abstract":"Bone pain is a prevalent issue in society today and also is one of the hardest types of pain to control. Pain originating in the bone can be caused by many different entities including metastatic and primary neoplasm, fracture, osteoarthritis as well as numerous other metabolic disorders. In this chapter we describe the methods and protocols that currently are accepted and validated for the study of bone pain in models of metastatic cancer, bicortical fracture and osteoarthritis. These animal models provide invaluable information as to the nature of bone pain and give rise to potential new targets for its treatment and management.","author":[{"dropping-particle":"","family":"Thompson","given":"Austen L.","non-dropping-particle":"","parse-names":false,"suffix":""},{"dropping-particle":"","family":"Largent-Milnes","given":"Tally M.","non-dropping-particle":"","parse-names":false,"suffix":""},{"dropping-particle":"","family":"Vanderah","given":"Todd W.","non-dropping-particle":"","parse-names":false,"suffix":""}],"container-title":"Methods in Molecular Biology","id":"ITEM-1","issued":{"date-parts":[["2019"]]},"page":"391-407","title":"Animal models for the study of bone-derived pain","type":"article-journal","volume":"1914"},"uris":["http://www.mendeley.com/documents/?uuid=a03cc56e-b29f-4871-87ed-3625ae72b9ef"]}],"mendeley":{"formattedCitation":"[132]","plainTextFormattedCitation":"[132]","previouslyFormattedCitation":"[132]"},"properties":{"noteIndex":0},"schema":"https://github.com/citation-style-language/schema/raw/master/csl-citation.json"}</w:instrText>
      </w:r>
      <w:r w:rsidRPr="000E39AA">
        <w:rPr>
          <w:rFonts w:ascii="Arial" w:hAnsi="Arial" w:cs="Arial"/>
        </w:rPr>
        <w:fldChar w:fldCharType="separate"/>
      </w:r>
      <w:r w:rsidR="0062132B" w:rsidRPr="0062132B">
        <w:rPr>
          <w:rFonts w:ascii="Arial" w:hAnsi="Arial" w:cs="Arial"/>
          <w:noProof/>
        </w:rPr>
        <w:t>[132]</w:t>
      </w:r>
      <w:r w:rsidRPr="000E39AA">
        <w:rPr>
          <w:rFonts w:ascii="Arial" w:hAnsi="Arial" w:cs="Arial"/>
        </w:rPr>
        <w:fldChar w:fldCharType="end"/>
      </w:r>
      <w:r w:rsidRPr="000E39AA">
        <w:rPr>
          <w:rFonts w:ascii="Arial" w:hAnsi="Arial" w:cs="Arial"/>
        </w:rPr>
        <w:t xml:space="preserve">. Other studies have focused on </w:t>
      </w:r>
      <w:r w:rsidRPr="000E39AA">
        <w:rPr>
          <w:rFonts w:ascii="Arial" w:hAnsi="Arial" w:cs="Arial"/>
          <w:i/>
          <w:iCs/>
        </w:rPr>
        <w:t xml:space="preserve">ex vivo </w:t>
      </w:r>
      <w:r w:rsidRPr="000E39AA">
        <w:rPr>
          <w:rFonts w:ascii="Arial" w:hAnsi="Arial" w:cs="Arial"/>
        </w:rPr>
        <w:t>or</w:t>
      </w:r>
      <w:r w:rsidRPr="000E39AA">
        <w:rPr>
          <w:rFonts w:ascii="Arial" w:hAnsi="Arial" w:cs="Arial"/>
          <w:i/>
          <w:iCs/>
        </w:rPr>
        <w:t xml:space="preserve"> in vitro</w:t>
      </w:r>
      <w:r w:rsidRPr="000E39AA">
        <w:rPr>
          <w:rFonts w:ascii="Arial" w:hAnsi="Arial" w:cs="Arial"/>
        </w:rPr>
        <w:t xml:space="preserve"> reproduction of bone cancer using bone tissue explants or through biofabrication technologies. </w:t>
      </w:r>
      <w:proofErr w:type="spellStart"/>
      <w:r w:rsidRPr="000E39AA">
        <w:rPr>
          <w:rFonts w:ascii="Arial" w:hAnsi="Arial" w:cs="Arial"/>
        </w:rPr>
        <w:t>Nordstrand</w:t>
      </w:r>
      <w:proofErr w:type="spellEnd"/>
      <w:r w:rsidRPr="000E39AA">
        <w:rPr>
          <w:rFonts w:ascii="Arial" w:hAnsi="Arial" w:cs="Arial"/>
        </w:rPr>
        <w:t xml:space="preserve"> </w:t>
      </w:r>
      <w:r w:rsidR="00597A47">
        <w:rPr>
          <w:rFonts w:ascii="Arial" w:hAnsi="Arial" w:cs="Arial"/>
        </w:rPr>
        <w:t>and colleagues</w:t>
      </w:r>
      <w:r w:rsidRPr="000E39AA">
        <w:rPr>
          <w:rFonts w:ascii="Arial" w:hAnsi="Arial" w:cs="Arial"/>
        </w:rPr>
        <w:t xml:space="preserve"> </w:t>
      </w:r>
      <w:r w:rsidRPr="000E39AA">
        <w:rPr>
          <w:rFonts w:ascii="Arial" w:hAnsi="Arial" w:cs="Arial"/>
        </w:rPr>
        <w:fldChar w:fldCharType="begin" w:fldLock="1"/>
      </w:r>
      <w:r w:rsidR="00A445D5">
        <w:rPr>
          <w:rFonts w:ascii="Arial" w:hAnsi="Arial" w:cs="Arial"/>
        </w:rPr>
        <w:instrText>ADDIN CSL_CITATION {"citationItems":[{"id":"ITEM-1","itemData":{"DOI":"10.1007/s10585-009-9285-4","ISSN":"02620898","PMID":"19728119","abstract":"Bone is the preferred site for prostate cancer (PCa) metastases. Once the tumor has established itself within the bone there is virtually no cure. To better understand the interactions between the PCa cells and bone environment in the metastatic process new model systems are needed. We have established a two-compartment in vitro co-culturing model that can be used to follow the trans-activation of bone and/or tumor cells. The model was validated using two PCa tumor cell lines (PC-3; lytic and LNCaP; mixed/osteoblastic) and one osteolytic inducing factor, 1,25-dihydroxyvitamin D3 (D3). Results were in accordance with the expected bone phenotypes; PC-3 cells and D3 gave osteolytic gene expression profiles in calvariae, with up-regulation of genes needed for osteoclast differentiation, activation and function; Rankl, CathK, Trap and MMP-9, and down-regulation of genes associated with osteoblast differentiation and bone mineralization; Alp, Ocl and Dkk-1. LNCaP cells activated genes in the calvarial bones associated with osteoblast differentiation and mineralization, with marginal effects on osteolytic genes. The results were strengthened by similar changes in protein expression for a selection of the analyzed genes. Furthermore, the osteolytic gene expression profiles in calvarial bones co-cultured with PC-3 cells or with D3 were correlated with the actual ongoing resorptive process, as assessed by the release of collagen fragments from the calvariae. Our results show that the model can be used to follow tumor-induced bone remodeling, and by measuring changes in gene expression in the tumor cells we can also study how they respond to the bone microenvironment. © 2009 Springer Science+Business Media B.V.","author":[{"dropping-particle":"","family":"Nordstrand","given":"Annika","non-dropping-particle":"","parse-names":false,"suffix":""},{"dropping-particle":"","family":"Nilsson","given":"Jonas","non-dropping-particle":"","parse-names":false,"suffix":""},{"dropping-particle":"","family":"Tieva","given":"Åse","non-dropping-particle":"","parse-names":false,"suffix":""},{"dropping-particle":"","family":"Wikström","given":"Pernilla","non-dropping-particle":"","parse-names":false,"suffix":""},{"dropping-particle":"","family":"Lerner","given":"Ulf H.","non-dropping-particle":"","parse-names":false,"suffix":""},{"dropping-particle":"","family":"Widmark","given":"Anders","non-dropping-particle":"","parse-names":false,"suffix":""}],"container-title":"Clinical and Experimental Metastasis","id":"ITEM-1","issue":"8","issued":{"date-parts":[["2009"]]},"page":"945-953","title":"Establishment and validation of an in vitro co-culture model to study the interactions between bone and prostate cancer cells","type":"article-journal","volume":"26"},"uris":["http://www.mendeley.com/documents/?uuid=cccb0a9a-aa61-48ec-af90-8f5d8b7e54de"]}],"mendeley":{"formattedCitation":"[152]","plainTextFormattedCitation":"[152]","previouslyFormattedCitation":"[152]"},"properties":{"noteIndex":0},"schema":"https://github.com/citation-style-language/schema/raw/master/csl-citation.json"}</w:instrText>
      </w:r>
      <w:r w:rsidRPr="000E39AA">
        <w:rPr>
          <w:rFonts w:ascii="Arial" w:hAnsi="Arial" w:cs="Arial"/>
        </w:rPr>
        <w:fldChar w:fldCharType="separate"/>
      </w:r>
      <w:r w:rsidR="00A445D5" w:rsidRPr="00A445D5">
        <w:rPr>
          <w:rFonts w:ascii="Arial" w:hAnsi="Arial" w:cs="Arial"/>
          <w:noProof/>
        </w:rPr>
        <w:t>[152]</w:t>
      </w:r>
      <w:r w:rsidRPr="000E39AA">
        <w:rPr>
          <w:rFonts w:ascii="Arial" w:hAnsi="Arial" w:cs="Arial"/>
        </w:rPr>
        <w:fldChar w:fldCharType="end"/>
      </w:r>
      <w:r w:rsidRPr="000E39AA">
        <w:rPr>
          <w:rFonts w:ascii="Arial" w:hAnsi="Arial" w:cs="Arial"/>
        </w:rPr>
        <w:t xml:space="preserve">  developed a co-culture system with physically separated murine </w:t>
      </w:r>
      <w:r w:rsidR="00143166" w:rsidRPr="000E39AA">
        <w:rPr>
          <w:rFonts w:ascii="Arial" w:hAnsi="Arial" w:cs="Arial"/>
        </w:rPr>
        <w:t>calvaria</w:t>
      </w:r>
      <w:r w:rsidRPr="000E39AA">
        <w:rPr>
          <w:rFonts w:ascii="Arial" w:hAnsi="Arial" w:cs="Arial"/>
        </w:rPr>
        <w:t xml:space="preserve"> explants and prostate cancer cells to study bone </w:t>
      </w:r>
      <w:r w:rsidR="005D03AD" w:rsidRPr="000E39AA">
        <w:rPr>
          <w:rFonts w:ascii="Arial" w:hAnsi="Arial" w:cs="Arial"/>
        </w:rPr>
        <w:t>remodelling</w:t>
      </w:r>
      <w:r w:rsidRPr="000E39AA">
        <w:rPr>
          <w:rFonts w:ascii="Arial" w:hAnsi="Arial" w:cs="Arial"/>
        </w:rPr>
        <w:t xml:space="preserve"> activity in the presence of cancer cells without being in direct contact with bone tissue </w:t>
      </w:r>
      <w:r w:rsidRPr="000E39AA">
        <w:rPr>
          <w:rFonts w:ascii="Arial" w:hAnsi="Arial" w:cs="Arial"/>
          <w:color w:val="000000"/>
        </w:rPr>
        <w:fldChar w:fldCharType="begin" w:fldLock="1"/>
      </w:r>
      <w:r w:rsidR="00A445D5">
        <w:rPr>
          <w:rFonts w:ascii="Arial" w:hAnsi="Arial" w:cs="Arial"/>
          <w:color w:val="000000"/>
        </w:rPr>
        <w:instrText>ADDIN CSL_CITATION {"citationItems":[{"id":"ITEM-1","itemData":{"DOI":"10.18632/oncotarget.12763","ISSN":"19492553","PMID":"27765913","abstract":"One of the main limitations, when studying cancer-bone metastasis, is the complex nature of the native bone environment and the lack of reliable, simple, inexpensive models that closely mimic the biological processes occurring in patients and allowing the correct translation of results. To enhance the understanding of the mechanisms underlying human bone metastases and in order to find new therapies, we developed an in vitro three-dimensional (3D) cancer-bone metastasis model by culturing human breast or prostate cancer cells with human bone tissue isolated from female and male patients, respectively. Bone tissue discarded from total hip replacement surgery was cultured in a rolling apparatus system in a normoxic or hypoxic environment. Gene expression profile, protein levels, histological, immunohistochemical and fourdimensional (4D) micro-CT analyses showed a noticeable specificity of breast and prostate cancer cells for bone colonization and ingrowth, thus highlighting the speciesspecific and sex-specific osteotropism and the need to widen the current knowledge on cancer-bone metastasis spread in human bone tissues. The results of this study support the application of this model in preclinical studies on bone metastases and also follow the 3R principles, the guiding principles, aimed at replacing/reducing/refining (3R) animal use and their suffering for scientific purposes.","author":[{"dropping-particle":"","family":"Francesca","given":"Salamanna","non-dropping-particle":"","parse-names":false,"suffix":""},{"dropping-particle":"","family":"Veronica","given":"Borsari","non-dropping-particle":"","parse-names":false,"suffix":""},{"dropping-particle":"","family":"Silvia","given":"Brogini","non-dropping-particle":"","parse-names":false,"suffix":""},{"dropping-particle":"","family":"Gianluca","given":"Giavaresi","non-dropping-particle":"","parse-names":false,"suffix":""},{"dropping-particle":"","family":"Annapaola","given":"Parrilli","non-dropping-particle":"","parse-names":false,"suffix":""},{"dropping-particle":"","family":"Simona","given":"Cepollaro","non-dropping-particle":"","parse-names":false,"suffix":""},{"dropping-particle":"","family":"Matteo","given":"Cadossi","non-dropping-particle":"","parse-names":false,"suffix":""},{"dropping-particle":"","family":"Lucia","given":"Martini","non-dropping-particle":"","parse-names":false,"suffix":""},{"dropping-particle":"","family":"Mazzotti","given":"Antonio","non-dropping-particle":"","parse-names":false,"suffix":""},{"dropping-particle":"","family":"Milena","given":"Fini","non-dropping-particle":"","parse-names":false,"suffix":""}],"container-title":"Oncotarget","id":"ITEM-1","issue":"47","issued":{"date-parts":[["2016"]]},"page":"76966-76983","title":"An in vitro 3D bone metastasis model by using a human bone tissue culture and human sex-related cancer cells","type":"article-journal","volume":"7"},"uris":["http://www.mendeley.com/documents/?uuid=431463c2-ad50-4c34-822c-f9f9b060a67d"]},{"id":"ITEM-2","itemData":{"DOI":"10.1007/s10585-009-9285-4","ISSN":"02620898","PMID":"19728119","abstract":"Bone is the preferred site for prostate cancer (PCa) metastases. Once the tumor has established itself within the bone there is virtually no cure. To better understand the interactions between the PCa cells and bone environment in the metastatic process new model systems are needed. We have established a two-compartment in vitro co-culturing model that can be used to follow the trans-activation of bone and/or tumor cells. The model was validated using two PCa tumor cell lines (PC-3; lytic and LNCaP; mixed/osteoblastic) and one osteolytic inducing factor, 1,25-dihydroxyvitamin D3 (D3). Results were in accordance with the expected bone phenotypes; PC-3 cells and D3 gave osteolytic gene expression profiles in calvariae, with up-regulation of genes needed for osteoclast differentiation, activation and function; Rankl, CathK, Trap and MMP-9, and down-regulation of genes associated with osteoblast differentiation and bone mineralization; Alp, Ocl and Dkk-1. LNCaP cells activated genes in the calvarial bones associated with osteoblast differentiation and mineralization, with marginal effects on osteolytic genes. The results were strengthened by similar changes in protein expression for a selection of the analyzed genes. Furthermore, the osteolytic gene expression profiles in calvarial bones co-cultured with PC-3 cells or with D3 were correlated with the actual ongoing resorptive process, as assessed by the release of collagen fragments from the calvariae. Our results show that the model can be used to follow tumor-induced bone remodeling, and by measuring changes in gene expression in the tumor cells we can also study how they respond to the bone microenvironment. © 2009 Springer Science+Business Media B.V.","author":[{"dropping-particle":"","family":"Nordstrand","given":"Annika","non-dropping-particle":"","parse-names":false,"suffix":""},{"dropping-particle":"","family":"Nilsson","given":"Jonas","non-dropping-particle":"","parse-names":false,"suffix":""},{"dropping-particle":"","family":"Tieva","given":"Åse","non-dropping-particle":"","parse-names":false,"suffix":""},{"dropping-particle":"","family":"Wikström","given":"Pernilla","non-dropping-particle":"","parse-names":false,"suffix":""},{"dropping-particle":"","family":"Lerner","given":"Ulf H.","non-dropping-particle":"","parse-names":false,"suffix":""},{"dropping-particle":"","family":"Widmark","given":"Anders","non-dropping-particle":"","parse-names":false,"suffix":""}],"container-title":"Clinical and Experimental Metastasis","id":"ITEM-2","issue":"8","issued":{"date-parts":[["2009"]]},"page":"945-953","title":"Establishment and validation of an in vitro co-culture model to study the interactions between bone and prostate cancer cells","type":"article-journal","volume":"26"},"uris":["http://www.mendeley.com/documents/?uuid=cccb0a9a-aa61-48ec-af90-8f5d8b7e54de"]}],"mendeley":{"formattedCitation":"[152, 153]","plainTextFormattedCitation":"[152, 153]","previouslyFormattedCitation":"[152, 153]"},"properties":{"noteIndex":0},"schema":"https://github.com/citation-style-language/schema/raw/master/csl-citation.json"}</w:instrText>
      </w:r>
      <w:r w:rsidRPr="000E39AA">
        <w:rPr>
          <w:rFonts w:ascii="Arial" w:hAnsi="Arial" w:cs="Arial"/>
          <w:color w:val="000000"/>
        </w:rPr>
        <w:fldChar w:fldCharType="separate"/>
      </w:r>
      <w:r w:rsidR="00A445D5" w:rsidRPr="00A445D5">
        <w:rPr>
          <w:rFonts w:ascii="Arial" w:hAnsi="Arial" w:cs="Arial"/>
          <w:noProof/>
          <w:color w:val="000000"/>
        </w:rPr>
        <w:t>[152, 153]</w:t>
      </w:r>
      <w:r w:rsidRPr="000E39AA">
        <w:rPr>
          <w:rFonts w:ascii="Arial" w:hAnsi="Arial" w:cs="Arial"/>
          <w:color w:val="000000"/>
        </w:rPr>
        <w:fldChar w:fldCharType="end"/>
      </w:r>
      <w:r w:rsidRPr="000E39AA">
        <w:rPr>
          <w:rFonts w:ascii="Arial" w:hAnsi="Arial" w:cs="Arial"/>
          <w:color w:val="000000"/>
        </w:rPr>
        <w:t xml:space="preserve">. </w:t>
      </w:r>
      <w:bookmarkEnd w:id="67"/>
      <w:r w:rsidRPr="000E39AA">
        <w:rPr>
          <w:rFonts w:ascii="Arial" w:hAnsi="Arial" w:cs="Arial"/>
        </w:rPr>
        <w:t>Established cancer bone pain models have found significant traction for the screening of novel drugs and therapies often targeting specific proteins and disrupting pathways involved in pain mechanisms (</w:t>
      </w:r>
      <w:r w:rsidR="003553F2" w:rsidRPr="000E39AA">
        <w:rPr>
          <w:rFonts w:ascii="Arial" w:hAnsi="Arial" w:cs="Arial"/>
          <w:b/>
          <w:bCs/>
        </w:rPr>
        <w:t>Fig</w:t>
      </w:r>
      <w:r w:rsidR="003553F2">
        <w:rPr>
          <w:rFonts w:ascii="Arial" w:hAnsi="Arial" w:cs="Arial"/>
          <w:b/>
          <w:bCs/>
        </w:rPr>
        <w:t>.</w:t>
      </w:r>
      <w:r w:rsidRPr="000E39AA">
        <w:rPr>
          <w:rFonts w:ascii="Arial" w:hAnsi="Arial" w:cs="Arial"/>
          <w:b/>
          <w:bCs/>
        </w:rPr>
        <w:t xml:space="preserve"> </w:t>
      </w:r>
      <w:r w:rsidR="00CD5473">
        <w:rPr>
          <w:rFonts w:ascii="Arial" w:hAnsi="Arial" w:cs="Arial"/>
          <w:b/>
          <w:bCs/>
        </w:rPr>
        <w:t>5</w:t>
      </w:r>
      <w:r w:rsidRPr="000E39AA">
        <w:rPr>
          <w:rFonts w:ascii="Arial" w:hAnsi="Arial" w:cs="Arial"/>
          <w:b/>
          <w:bCs/>
        </w:rPr>
        <w:t>b</w:t>
      </w:r>
      <w:r w:rsidRPr="000E39AA">
        <w:rPr>
          <w:rFonts w:ascii="Arial" w:hAnsi="Arial" w:cs="Arial"/>
        </w:rPr>
        <w:t xml:space="preserve">). Approaches include the Transient receptor potential ankyrin 1 (TRPA1), recently targeted by Liu and co-workers </w:t>
      </w:r>
      <w:r w:rsidRPr="000E39AA">
        <w:rPr>
          <w:rFonts w:ascii="Arial" w:hAnsi="Arial" w:cs="Arial"/>
        </w:rPr>
        <w:fldChar w:fldCharType="begin" w:fldLock="1"/>
      </w:r>
      <w:r w:rsidR="00A445D5">
        <w:rPr>
          <w:rFonts w:ascii="Arial" w:hAnsi="Arial" w:cs="Arial"/>
        </w:rPr>
        <w:instrText>ADDIN CSL_CITATION {"citationItems":[{"id":"ITEM-1","itemData":{"DOI":"10.3389/fpain.2021.638620","abstract":" Background: Bone cancer pain (BCP) significantly affects patient quality of life, results in great bodily and emotional pain, and creates difficulties in follow-up treatment and normal life. Transient receptor potential ankyrin 1 (TRPA1) is an essential transduction ion channel related to neuropathic and inflammatory pain. However, the role of TRPA1 in BCP remains poorly understood. This study aimed to explore the relationship between TRPA1 and BCP.  Methods: A BCP model was induced by Walker256 cells to the left tibia. The sham group was induced by normal saline to the left tibia. Thereafter, pain behaviors and TRPA1 expression between the BCP group and the sham group were observed on the 14th day of modeling. The TRPA1 antagonist A967079 (10 mg/kg) was injected via tail vein. TRPA1 antisense oligodeoxynucleotide (AS-ODN, 5 nmol/10 μl) and missense oligodeoxynucleotide (MS-ODN, 5 nmol/10 μl) were intrathecally delivered via a mini-osmotic pump for 5 consecutive days to assess the effect of TRPA1 on BCP. Behavioral tests were assessed preoperatively and postoperatively. Real-time quantitative PCR and western blot analyses were used to measure TRPA1 levels among the different groups.  Results: The BCP model was successfully established via X-ray and pathological sections at 14 days. Compared to the sham group, the BCP group was more sensitive to mechanical stimuli, cool stimuli and hot stimuli. Intravenously injected A967079 can relieve paw mechanical withdrawal threshold and paw withdrawal thermal latency in rats with BCP. Moreover, AS-ODN can relieve paw mechanical withdrawal threshold and paw withdrawal thermal latency in rats with BCP. Additionally, relative mRNA and protein expression of TRPA1 in the BCP group were much higher than those in the sham group (14.55 ± 1.97 vs. 1 ± 0.04, P &amp;lt; 0.01). Compared to the BCP group, the relative mRNA and protein expression of TRPA1 in the BCP+AS-ODN group was reduced (14.55 ± 1.97 vs. 2.59 ± 0.34, P &amp;lt; 0.01).  Conclusions: The TRPA1 channel mediates mechanical allodynia and thermal hyperalgesia in a rat BCP model. ","author":[{"dropping-particle":"","family":"Liu","given":"Qiangwei","non-dropping-particle":"","parse-names":false,"suffix":""},{"dropping-particle":"","family":"Feng","given":"Long","non-dropping-particle":"","parse-names":false,"suffix":""},{"dropping-particle":"","family":"Han","given":"Xiujing","non-dropping-particle":"","parse-names":false,"suffix":""},{"dropping-particle":"","family":"Zhang","given":"Weidong","non-dropping-particle":"","parse-names":false,"suffix":""},{"dropping-particle":"","family":"Zhang","given":"Hong","non-dropping-particle":"","parse-names":false,"suffix":""},{"dropping-particle":"","family":"Xu","given":"Longhe","non-dropping-particle":"","parse-names":false,"suffix":""}],"container-title":"Frontiers in Pain Research","id":"ITEM-1","issue":"March","issued":{"date-parts":[["2021"]]},"page":"1-10","title":"The TRPA1 Channel Mediates Mechanical Allodynia and Thermal Hyperalgesia in a Rat Bone Cancer Pain Model","type":"article-journal","volume":"2"},"uris":["http://www.mendeley.com/documents/?uuid=67ce1b00-936f-4a00-b081-73701616b8c6"]}],"mendeley":{"formattedCitation":"[136]","plainTextFormattedCitation":"[136]","previouslyFormattedCitation":"[136]"},"properties":{"noteIndex":0},"schema":"https://github.com/citation-style-language/schema/raw/master/csl-citation.json"}</w:instrText>
      </w:r>
      <w:r w:rsidRPr="000E39AA">
        <w:rPr>
          <w:rFonts w:ascii="Arial" w:hAnsi="Arial" w:cs="Arial"/>
        </w:rPr>
        <w:fldChar w:fldCharType="separate"/>
      </w:r>
      <w:r w:rsidR="0062132B" w:rsidRPr="0062132B">
        <w:rPr>
          <w:rFonts w:ascii="Arial" w:hAnsi="Arial" w:cs="Arial"/>
          <w:noProof/>
        </w:rPr>
        <w:t>[136]</w:t>
      </w:r>
      <w:r w:rsidRPr="000E39AA">
        <w:rPr>
          <w:rFonts w:ascii="Arial" w:hAnsi="Arial" w:cs="Arial"/>
        </w:rPr>
        <w:fldChar w:fldCharType="end"/>
      </w:r>
      <w:r w:rsidRPr="000E39AA">
        <w:rPr>
          <w:rFonts w:ascii="Arial" w:hAnsi="Arial" w:cs="Arial"/>
        </w:rPr>
        <w:t xml:space="preserve"> using TRPA1 antagonist and antisense oligodeoxynucleotide. Nevertheless, poor translation to human pathophysiology remains impairing pre-clinical drug screening and crucially, validation. </w:t>
      </w:r>
    </w:p>
    <w:p w14:paraId="053A9C7C" w14:textId="77777777" w:rsidR="00F03759" w:rsidRPr="000E39AA" w:rsidRDefault="00F03759" w:rsidP="00F03759">
      <w:pPr>
        <w:pStyle w:val="Heading3"/>
      </w:pPr>
      <w:bookmarkStart w:id="70" w:name="_Toc98937890"/>
      <w:r w:rsidRPr="000E39AA">
        <w:rPr>
          <w:i/>
        </w:rPr>
        <w:t>In vitro</w:t>
      </w:r>
      <w:r w:rsidRPr="000E39AA">
        <w:t xml:space="preserve"> bone pain models</w:t>
      </w:r>
      <w:bookmarkEnd w:id="70"/>
    </w:p>
    <w:p w14:paraId="3491E384" w14:textId="2B3A9C67" w:rsidR="00F03759" w:rsidRDefault="00F03759" w:rsidP="00F03759">
      <w:pPr>
        <w:spacing w:after="0" w:line="276" w:lineRule="auto"/>
        <w:jc w:val="both"/>
        <w:rPr>
          <w:rFonts w:ascii="Arial" w:hAnsi="Arial" w:cs="Arial"/>
        </w:rPr>
      </w:pPr>
      <w:r w:rsidRPr="000E39AA">
        <w:rPr>
          <w:rFonts w:ascii="Arial" w:hAnsi="Arial" w:cs="Arial"/>
        </w:rPr>
        <w:t xml:space="preserve">There remains an </w:t>
      </w:r>
      <w:r w:rsidR="005C56A9">
        <w:rPr>
          <w:rFonts w:ascii="Arial" w:hAnsi="Arial" w:cs="Arial"/>
        </w:rPr>
        <w:t xml:space="preserve">evident </w:t>
      </w:r>
      <w:r w:rsidRPr="000E39AA">
        <w:rPr>
          <w:rFonts w:ascii="Arial" w:hAnsi="Arial" w:cs="Arial"/>
        </w:rPr>
        <w:t xml:space="preserve">absence of </w:t>
      </w:r>
      <w:r w:rsidRPr="000E39AA">
        <w:rPr>
          <w:rFonts w:ascii="Arial" w:hAnsi="Arial" w:cs="Arial"/>
          <w:i/>
          <w:iCs/>
        </w:rPr>
        <w:t>in vitro</w:t>
      </w:r>
      <w:r w:rsidRPr="000E39AA">
        <w:rPr>
          <w:rFonts w:ascii="Arial" w:hAnsi="Arial" w:cs="Arial"/>
        </w:rPr>
        <w:t xml:space="preserve"> bone pain models with only a few </w:t>
      </w:r>
      <w:r w:rsidR="00B1527F" w:rsidRPr="000E39AA">
        <w:rPr>
          <w:rFonts w:ascii="Arial" w:hAnsi="Arial" w:cs="Arial"/>
        </w:rPr>
        <w:t>reports</w:t>
      </w:r>
      <w:r w:rsidRPr="000E39AA">
        <w:rPr>
          <w:rFonts w:ascii="Arial" w:hAnsi="Arial" w:cs="Arial"/>
        </w:rPr>
        <w:t xml:space="preserve"> detailing either fracture healing approaches without the involvement of neural fibres, or the </w:t>
      </w:r>
      <w:r w:rsidR="00000473">
        <w:rPr>
          <w:rFonts w:ascii="Arial" w:hAnsi="Arial" w:cs="Arial"/>
        </w:rPr>
        <w:t xml:space="preserve">exclusive </w:t>
      </w:r>
      <w:r w:rsidRPr="000E39AA">
        <w:rPr>
          <w:rFonts w:ascii="Arial" w:hAnsi="Arial" w:cs="Arial"/>
        </w:rPr>
        <w:t xml:space="preserve">use of functional nociceptive models. </w:t>
      </w:r>
      <w:r w:rsidRPr="000E39AA">
        <w:rPr>
          <w:rFonts w:ascii="Arial" w:hAnsi="Arial"/>
          <w:color w:val="000000"/>
        </w:rPr>
        <w:t xml:space="preserve">A recent </w:t>
      </w:r>
      <w:r w:rsidRPr="000E39AA">
        <w:rPr>
          <w:rFonts w:ascii="Arial" w:hAnsi="Arial" w:cs="Arial"/>
          <w:color w:val="000000"/>
        </w:rPr>
        <w:t>approach has harnessed</w:t>
      </w:r>
      <w:r w:rsidRPr="000E39AA">
        <w:rPr>
          <w:rFonts w:ascii="Arial" w:hAnsi="Arial" w:cs="Arial"/>
        </w:rPr>
        <w:t xml:space="preserve"> spinal organoid</w:t>
      </w:r>
      <w:r w:rsidR="0011709A">
        <w:rPr>
          <w:rFonts w:ascii="Arial" w:hAnsi="Arial" w:cs="Arial"/>
        </w:rPr>
        <w:t>s</w:t>
      </w:r>
      <w:r w:rsidRPr="000E39AA">
        <w:rPr>
          <w:rFonts w:ascii="Arial" w:hAnsi="Arial" w:cs="Arial"/>
        </w:rPr>
        <w:t xml:space="preserve">, 3D printing and microfluidic technologies to demonstrate the stable generation of an </w:t>
      </w:r>
      <w:r w:rsidRPr="000E39AA">
        <w:rPr>
          <w:rFonts w:ascii="Arial" w:hAnsi="Arial" w:cs="Arial"/>
          <w:i/>
          <w:iCs/>
        </w:rPr>
        <w:t xml:space="preserve">in vitro </w:t>
      </w:r>
      <w:r w:rsidRPr="000E39AA">
        <w:rPr>
          <w:rFonts w:ascii="Arial" w:hAnsi="Arial" w:cs="Arial"/>
        </w:rPr>
        <w:t>pain model (</w:t>
      </w:r>
      <w:r w:rsidR="003553F2" w:rsidRPr="000E39AA">
        <w:rPr>
          <w:rFonts w:ascii="Arial" w:hAnsi="Arial" w:cs="Arial"/>
          <w:b/>
          <w:bCs/>
        </w:rPr>
        <w:t>Fig</w:t>
      </w:r>
      <w:r w:rsidR="003553F2">
        <w:rPr>
          <w:rFonts w:ascii="Arial" w:hAnsi="Arial" w:cs="Arial"/>
          <w:b/>
          <w:bCs/>
        </w:rPr>
        <w:t>.</w:t>
      </w:r>
      <w:r w:rsidRPr="000E39AA">
        <w:rPr>
          <w:rFonts w:ascii="Arial" w:hAnsi="Arial" w:cs="Arial"/>
          <w:b/>
          <w:bCs/>
        </w:rPr>
        <w:t xml:space="preserve"> </w:t>
      </w:r>
      <w:r w:rsidR="00CD5473">
        <w:rPr>
          <w:rFonts w:ascii="Arial" w:hAnsi="Arial" w:cs="Arial"/>
          <w:b/>
          <w:bCs/>
        </w:rPr>
        <w:t>5</w:t>
      </w:r>
      <w:r w:rsidRPr="000E39AA">
        <w:rPr>
          <w:rFonts w:ascii="Arial" w:hAnsi="Arial" w:cs="Arial"/>
          <w:b/>
          <w:bCs/>
        </w:rPr>
        <w:t>c</w:t>
      </w:r>
      <w:r w:rsidRPr="000E39AA">
        <w:rPr>
          <w:rFonts w:ascii="Arial" w:hAnsi="Arial" w:cs="Arial"/>
        </w:rPr>
        <w:t xml:space="preserve">) </w:t>
      </w:r>
      <w:r w:rsidRPr="000E39AA">
        <w:rPr>
          <w:rFonts w:ascii="Arial" w:hAnsi="Arial" w:cs="Arial"/>
        </w:rPr>
        <w:fldChar w:fldCharType="begin" w:fldLock="1"/>
      </w:r>
      <w:r w:rsidR="00A445D5">
        <w:rPr>
          <w:rFonts w:ascii="Arial" w:hAnsi="Arial" w:cs="Arial"/>
        </w:rPr>
        <w:instrText>ADDIN CSL_CITATION {"citationItems":[{"id":"ITEM-1","itemData":{"DOI":"10.1021/acs.analchem.1c04641","ISSN":"0003-2700","author":[{"dropping-particle":"","family":"Ao","given":"Zheng","non-dropping-particle":"","parse-names":false,"suffix":""},{"dropping-particle":"","family":"Cai","given":"Hongwei","non-dropping-particle":"","parse-names":false,"suffix":""},{"dropping-particle":"","family":"Wu","given":"Zhuhao","non-dropping-particle":"","parse-names":false,"suffix":""},{"dropping-particle":"","family":"Krzesniak","given":"Jonathan","non-dropping-particle":"","parse-names":false,"suffix":""},{"dropping-particle":"","family":"Tian","given":"Chunhui","non-dropping-particle":"","parse-names":false,"suffix":""},{"dropping-particle":"","family":"Lai","given":"Yvonne Y","non-dropping-particle":"","parse-names":false,"suffix":""},{"dropping-particle":"","family":"Mackie","given":"Ken","non-dropping-particle":"","parse-names":false,"suffix":""},{"dropping-particle":"","family":"Guo","given":"Feng","non-dropping-particle":"","parse-names":false,"suffix":""}],"container-title":"Analytical Chemistry","id":"ITEM-1","issue":"2","issued":{"date-parts":[["2022","1","18"]]},"note":"doi: 10.1021/acs.analchem.1c04641","page":"1365-1372","publisher":"American Chemical Society","title":"Human Spinal Organoid-on-a-Chip to Model Nociceptive Circuitry for Pain Therapeutics Discovery","type":"article-journal","volume":"94"},"uris":["http://www.mendeley.com/documents/?uuid=4ff0e32f-f6da-4a6e-ad66-36a9b15319cb"]}],"mendeley":{"formattedCitation":"[131]","plainTextFormattedCitation":"[131]","previouslyFormattedCitation":"[131]"},"properties":{"noteIndex":0},"schema":"https://github.com/citation-style-language/schema/raw/master/csl-citation.json"}</w:instrText>
      </w:r>
      <w:r w:rsidRPr="000E39AA">
        <w:rPr>
          <w:rFonts w:ascii="Arial" w:hAnsi="Arial" w:cs="Arial"/>
        </w:rPr>
        <w:fldChar w:fldCharType="separate"/>
      </w:r>
      <w:r w:rsidR="0062132B" w:rsidRPr="0062132B">
        <w:rPr>
          <w:rFonts w:ascii="Arial" w:hAnsi="Arial" w:cs="Arial"/>
          <w:noProof/>
        </w:rPr>
        <w:t>[131]</w:t>
      </w:r>
      <w:r w:rsidRPr="000E39AA">
        <w:rPr>
          <w:rFonts w:ascii="Arial" w:hAnsi="Arial" w:cs="Arial"/>
        </w:rPr>
        <w:fldChar w:fldCharType="end"/>
      </w:r>
      <w:r w:rsidRPr="000E39AA">
        <w:rPr>
          <w:rFonts w:ascii="Arial" w:hAnsi="Arial" w:cs="Arial"/>
        </w:rPr>
        <w:t xml:space="preserve">. However, the use of </w:t>
      </w:r>
      <w:proofErr w:type="spellStart"/>
      <w:r w:rsidR="00C000C0">
        <w:rPr>
          <w:rFonts w:ascii="Arial" w:hAnsi="Arial" w:cs="Arial"/>
        </w:rPr>
        <w:t>hESCs</w:t>
      </w:r>
      <w:proofErr w:type="spellEnd"/>
      <w:r w:rsidRPr="000E39AA">
        <w:rPr>
          <w:rFonts w:ascii="Arial" w:hAnsi="Arial" w:cs="Arial"/>
        </w:rPr>
        <w:t>, the inability of include multiple cell types (</w:t>
      </w:r>
      <w:r w:rsidR="00B1527F" w:rsidRPr="000E39AA">
        <w:rPr>
          <w:rFonts w:ascii="Arial" w:hAnsi="Arial" w:cs="Arial"/>
        </w:rPr>
        <w:t>e.g.,</w:t>
      </w:r>
      <w:r w:rsidRPr="000E39AA">
        <w:rPr>
          <w:rFonts w:ascii="Arial" w:hAnsi="Arial" w:cs="Arial"/>
        </w:rPr>
        <w:t xml:space="preserve"> BMSCs, myocytes) and the lack of further investigation are still limitations in translational potential of such a drug screen platform. In essence incorporation of multiple cell types</w:t>
      </w:r>
      <w:r w:rsidR="004733FE">
        <w:rPr>
          <w:rFonts w:ascii="Arial" w:hAnsi="Arial" w:cs="Arial"/>
        </w:rPr>
        <w:t>, recapitulating a functional tissue interface,</w:t>
      </w:r>
      <w:r w:rsidRPr="000E39AA">
        <w:rPr>
          <w:rFonts w:ascii="Arial" w:hAnsi="Arial" w:cs="Arial"/>
        </w:rPr>
        <w:t xml:space="preserve"> is a prerequisite to study bone pain mechanism</w:t>
      </w:r>
      <w:r w:rsidR="0011709A">
        <w:rPr>
          <w:rFonts w:ascii="Arial" w:hAnsi="Arial" w:cs="Arial"/>
        </w:rPr>
        <w:t>s</w:t>
      </w:r>
      <w:r w:rsidRPr="000E39AA">
        <w:rPr>
          <w:rFonts w:ascii="Arial" w:hAnsi="Arial" w:cs="Arial"/>
        </w:rPr>
        <w:t xml:space="preserve">. This was illustrated by Pereira </w:t>
      </w:r>
      <w:r w:rsidR="00597A47">
        <w:rPr>
          <w:rFonts w:ascii="Arial" w:hAnsi="Arial" w:cs="Arial"/>
        </w:rPr>
        <w:t>and colleagues</w:t>
      </w:r>
      <w:r w:rsidRPr="000E39AA">
        <w:rPr>
          <w:rFonts w:ascii="Arial" w:hAnsi="Arial" w:cs="Arial"/>
          <w:i/>
          <w:iCs/>
        </w:rPr>
        <w:t xml:space="preserve"> </w:t>
      </w:r>
      <w:r w:rsidRPr="000E39AA">
        <w:rPr>
          <w:rFonts w:ascii="Arial" w:hAnsi="Arial" w:cs="Arial"/>
        </w:rPr>
        <w:fldChar w:fldCharType="begin" w:fldLock="1"/>
      </w:r>
      <w:r w:rsidR="00A445D5">
        <w:rPr>
          <w:rFonts w:ascii="Arial" w:hAnsi="Arial" w:cs="Arial"/>
        </w:rPr>
        <w:instrText>ADDIN CSL_CITATION {"citationItems":[{"id":"ITEM-1","itemData":{"DOI":"10.1038/s41467-021-24776-4","ISSN":"20411723","PMID":"34362895","abstract":"Human induced pluripotent stem cells (iPSC) hold promise for modeling diseases in individual human genetic backgrounds and thus for developing precision medicine. Here, we generate sensorimotor organoids containing physiologically functional neuromuscular junctions (NMJs) and apply the model to different subgroups of amyotrophic lateral sclerosis (ALS). Using a range of molecular, genomic, and physiological techniques, we identify and characterize motor neurons and skeletal muscle, along with sensory neurons, astrocytes, microglia, and vasculature. Organoid cultures derived from multiple human iPSC lines generated from individuals with ALS and isogenic lines edited to harbor familial ALS mutations show impairment at the level of the NMJ, as detected by both contraction and immunocytochemical measurements. The physiological resolution of the human NMJ synapse, combined with the generation of major cellular cohorts exerting autonomous and non-cell autonomous effects in motor and sensory diseases, may prove valuable to understand the pathophysiological mechanisms of ALS.","author":[{"dropping-particle":"","family":"Pereira","given":"João D.","non-dropping-particle":"","parse-names":false,"suffix":""},{"dropping-particle":"","family":"DuBreuil","given":"Daniel M.","non-dropping-particle":"","parse-names":false,"suffix":""},{"dropping-particle":"","family":"Devlin","given":"Anna Claire","non-dropping-particle":"","parse-names":false,"suffix":""},{"dropping-particle":"","family":"Held","given":"Aaron","non-dropping-particle":"","parse-names":false,"suffix":""},{"dropping-particle":"","family":"Sapir","given":"Yechiam","non-dropping-particle":"","parse-names":false,"suffix":""},{"dropping-particle":"","family":"Berezovski","given":"Eugene","non-dropping-particle":"","parse-names":false,"suffix":""},{"dropping-particle":"","family":"Hawrot","given":"James","non-dropping-particle":"","parse-names":false,"suffix":""},{"dropping-particle":"","family":"Dorfman","given":"Katherine","non-dropping-particle":"","parse-names":false,"suffix":""},{"dropping-particle":"","family":"Chander","given":"Vignesh","non-dropping-particle":"","parse-names":false,"suffix":""},{"dropping-particle":"","family":"Wainger","given":"Brian J.","non-dropping-particle":"","parse-names":false,"suffix":""}],"container-title":"Nature Communications","id":"ITEM-1","issue":"1","issued":{"date-parts":[["2021"]]},"publisher":"Springer US","title":"Human sensorimotor organoids derived from healthy and amyotrophic lateral sclerosis stem cells form neuromuscular junctions","type":"article-journal","volume":"12"},"uris":["http://www.mendeley.com/documents/?uuid=134884ea-7354-49f0-bdde-2f66cf1de465"]}],"mendeley":{"formattedCitation":"[144]","plainTextFormattedCitation":"[144]","previouslyFormattedCitation":"[144]"},"properties":{"noteIndex":0},"schema":"https://github.com/citation-style-language/schema/raw/master/csl-citation.json"}</w:instrText>
      </w:r>
      <w:r w:rsidRPr="000E39AA">
        <w:rPr>
          <w:rFonts w:ascii="Arial" w:hAnsi="Arial" w:cs="Arial"/>
        </w:rPr>
        <w:fldChar w:fldCharType="separate"/>
      </w:r>
      <w:r w:rsidR="0062132B" w:rsidRPr="0062132B">
        <w:rPr>
          <w:rFonts w:ascii="Arial" w:hAnsi="Arial" w:cs="Arial"/>
          <w:noProof/>
        </w:rPr>
        <w:t>[144]</w:t>
      </w:r>
      <w:r w:rsidRPr="000E39AA">
        <w:rPr>
          <w:rFonts w:ascii="Arial" w:hAnsi="Arial" w:cs="Arial"/>
        </w:rPr>
        <w:fldChar w:fldCharType="end"/>
      </w:r>
      <w:r w:rsidRPr="000E39AA">
        <w:rPr>
          <w:rFonts w:ascii="Arial" w:hAnsi="Arial" w:cs="Arial"/>
        </w:rPr>
        <w:t xml:space="preserve"> with the generation of a sensorimotor organoid model comprising both neurons (TUJ1+) and myocytes (SAA+) derived from iPSCs culture (</w:t>
      </w:r>
      <w:r w:rsidR="003553F2" w:rsidRPr="000E39AA">
        <w:rPr>
          <w:rFonts w:ascii="Arial" w:hAnsi="Arial" w:cs="Arial"/>
          <w:b/>
          <w:bCs/>
        </w:rPr>
        <w:t>Fig</w:t>
      </w:r>
      <w:r w:rsidR="003553F2">
        <w:rPr>
          <w:rFonts w:ascii="Arial" w:hAnsi="Arial" w:cs="Arial"/>
          <w:b/>
          <w:bCs/>
        </w:rPr>
        <w:t>.</w:t>
      </w:r>
      <w:r w:rsidRPr="000E39AA">
        <w:rPr>
          <w:rFonts w:ascii="Arial" w:hAnsi="Arial" w:cs="Arial"/>
          <w:b/>
          <w:bCs/>
        </w:rPr>
        <w:t xml:space="preserve"> </w:t>
      </w:r>
      <w:r w:rsidR="00CD5473">
        <w:rPr>
          <w:rFonts w:ascii="Arial" w:hAnsi="Arial" w:cs="Arial"/>
          <w:b/>
          <w:bCs/>
        </w:rPr>
        <w:t>5</w:t>
      </w:r>
      <w:r w:rsidRPr="000E39AA">
        <w:rPr>
          <w:rFonts w:ascii="Arial" w:hAnsi="Arial" w:cs="Arial"/>
          <w:b/>
          <w:bCs/>
        </w:rPr>
        <w:t>d</w:t>
      </w:r>
      <w:r w:rsidRPr="000E39AA">
        <w:rPr>
          <w:rFonts w:ascii="Arial" w:hAnsi="Arial" w:cs="Arial"/>
        </w:rPr>
        <w:t xml:space="preserve">). The presence of sensory neurons and muscle cells offer a stable 3D platform approach, </w:t>
      </w:r>
      <w:r w:rsidRPr="000E39AA">
        <w:rPr>
          <w:rFonts w:ascii="Arial" w:hAnsi="Arial" w:cs="Arial"/>
          <w:i/>
          <w:iCs/>
        </w:rPr>
        <w:t xml:space="preserve">in vitro, </w:t>
      </w:r>
      <w:r w:rsidRPr="000E39AA">
        <w:rPr>
          <w:rFonts w:ascii="Arial" w:hAnsi="Arial" w:cs="Arial"/>
        </w:rPr>
        <w:t xml:space="preserve">for the investigation of pain. An obvious next step would be the inclusion of skeletal </w:t>
      </w:r>
      <w:r w:rsidR="00C000C0">
        <w:rPr>
          <w:rFonts w:ascii="Arial" w:hAnsi="Arial" w:cs="Arial"/>
        </w:rPr>
        <w:t xml:space="preserve">cell </w:t>
      </w:r>
      <w:r w:rsidRPr="000E39AA">
        <w:rPr>
          <w:rFonts w:ascii="Arial" w:hAnsi="Arial" w:cs="Arial"/>
        </w:rPr>
        <w:t>populations to provide additional perspective in the musculoskeletal pain paradigm.</w:t>
      </w:r>
    </w:p>
    <w:p w14:paraId="730F48B9" w14:textId="77777777" w:rsidR="00F105B6" w:rsidRPr="000E39AA" w:rsidRDefault="00F105B6" w:rsidP="00F03759">
      <w:pPr>
        <w:spacing w:after="0" w:line="276" w:lineRule="auto"/>
        <w:jc w:val="both"/>
        <w:rPr>
          <w:rFonts w:ascii="Arial" w:hAnsi="Arial" w:cs="Arial"/>
        </w:rPr>
      </w:pPr>
    </w:p>
    <w:p w14:paraId="47FFE156" w14:textId="77777777" w:rsidR="00F03759" w:rsidRPr="000E39AA" w:rsidRDefault="00F03759" w:rsidP="007478CE">
      <w:pPr>
        <w:pStyle w:val="Heading2"/>
      </w:pPr>
      <w:r w:rsidRPr="000E39AA">
        <w:t xml:space="preserve">Summary, Challenges and Future Perspectives </w:t>
      </w:r>
    </w:p>
    <w:p w14:paraId="12F86646" w14:textId="69B42841" w:rsidR="00F03759" w:rsidRPr="000E39AA" w:rsidRDefault="00F03759" w:rsidP="0023525D">
      <w:pPr>
        <w:spacing w:after="0" w:line="276" w:lineRule="auto"/>
        <w:jc w:val="both"/>
        <w:rPr>
          <w:rFonts w:ascii="Arial" w:hAnsi="Arial" w:cs="Arial"/>
        </w:rPr>
      </w:pPr>
      <w:r w:rsidRPr="000E39AA">
        <w:rPr>
          <w:rFonts w:ascii="Arial" w:hAnsi="Arial" w:cs="Arial"/>
        </w:rPr>
        <w:t xml:space="preserve">Bone pain discomfort arising </w:t>
      </w:r>
      <w:proofErr w:type="gramStart"/>
      <w:r w:rsidRPr="000E39AA">
        <w:rPr>
          <w:rFonts w:ascii="Arial" w:hAnsi="Arial" w:cs="Arial"/>
        </w:rPr>
        <w:t>as a consequence of</w:t>
      </w:r>
      <w:proofErr w:type="gramEnd"/>
      <w:r w:rsidRPr="000E39AA">
        <w:rPr>
          <w:rFonts w:ascii="Arial" w:hAnsi="Arial" w:cs="Arial"/>
        </w:rPr>
        <w:t xml:space="preserve"> trauma </w:t>
      </w:r>
      <w:r w:rsidR="004733FE">
        <w:rPr>
          <w:rFonts w:ascii="Arial" w:hAnsi="Arial" w:cs="Arial"/>
        </w:rPr>
        <w:t xml:space="preserve">or </w:t>
      </w:r>
      <w:r w:rsidRPr="000E39AA">
        <w:rPr>
          <w:rFonts w:ascii="Arial" w:hAnsi="Arial" w:cs="Arial"/>
        </w:rPr>
        <w:t>skeletal diseases affect patient quality of life. Despite decades of research, the underlying mechanism</w:t>
      </w:r>
      <w:r w:rsidR="004733FE">
        <w:rPr>
          <w:rFonts w:ascii="Arial" w:hAnsi="Arial" w:cs="Arial"/>
        </w:rPr>
        <w:t>s</w:t>
      </w:r>
      <w:r w:rsidRPr="000E39AA">
        <w:rPr>
          <w:rFonts w:ascii="Arial" w:hAnsi="Arial" w:cs="Arial"/>
        </w:rPr>
        <w:t xml:space="preserve"> of pain affecting diseased or damaged bone tissue </w:t>
      </w:r>
      <w:r w:rsidR="004733FE">
        <w:rPr>
          <w:rFonts w:ascii="Arial" w:hAnsi="Arial" w:cs="Arial"/>
        </w:rPr>
        <w:t>is</w:t>
      </w:r>
      <w:r w:rsidRPr="000E39AA">
        <w:rPr>
          <w:rFonts w:ascii="Arial" w:hAnsi="Arial" w:cs="Arial"/>
        </w:rPr>
        <w:t xml:space="preserve"> to be fully elucidated. There remains an unmet need to generate functional models able to recapitulate the complex temporal cascade of biological </w:t>
      </w:r>
      <w:r w:rsidRPr="000E39AA">
        <w:rPr>
          <w:rFonts w:ascii="Arial" w:hAnsi="Arial" w:cs="Arial"/>
        </w:rPr>
        <w:lastRenderedPageBreak/>
        <w:t xml:space="preserve">events involved in bone pain </w:t>
      </w:r>
      <w:r w:rsidR="000A662D">
        <w:rPr>
          <w:rFonts w:ascii="Arial" w:hAnsi="Arial" w:cs="Arial"/>
        </w:rPr>
        <w:t>development</w:t>
      </w:r>
      <w:r w:rsidRPr="000E39AA">
        <w:rPr>
          <w:rFonts w:ascii="Arial" w:hAnsi="Arial" w:cs="Arial"/>
        </w:rPr>
        <w:t xml:space="preserve"> that could aid </w:t>
      </w:r>
      <w:r w:rsidR="00D83EB8">
        <w:rPr>
          <w:rFonts w:ascii="Arial" w:hAnsi="Arial" w:cs="Arial"/>
        </w:rPr>
        <w:t>to</w:t>
      </w:r>
      <w:r w:rsidRPr="000E39AA">
        <w:rPr>
          <w:rFonts w:ascii="Arial" w:hAnsi="Arial" w:cs="Arial"/>
        </w:rPr>
        <w:t xml:space="preserve"> new therapeutic modalities for clinical pain management and drug screen research. </w:t>
      </w:r>
    </w:p>
    <w:p w14:paraId="5DAF2C37" w14:textId="3F792572" w:rsidR="00B51655" w:rsidRPr="00CD5473" w:rsidRDefault="00F03759" w:rsidP="00B51655">
      <w:pPr>
        <w:spacing w:after="0" w:line="276" w:lineRule="auto"/>
        <w:jc w:val="both"/>
        <w:rPr>
          <w:rFonts w:ascii="Arial" w:hAnsi="Arial" w:cs="Arial"/>
        </w:rPr>
      </w:pPr>
      <w:r w:rsidRPr="000E39AA">
        <w:rPr>
          <w:rFonts w:ascii="Arial" w:hAnsi="Arial" w:cs="Arial"/>
        </w:rPr>
        <w:t>To date, animals have been routinely used as perceived most reliable model for the study of bone pain mechanisms and therapy development. However, (</w:t>
      </w:r>
      <w:proofErr w:type="spellStart"/>
      <w:r w:rsidRPr="000E39AA">
        <w:rPr>
          <w:rFonts w:ascii="Arial" w:hAnsi="Arial" w:cs="Arial"/>
        </w:rPr>
        <w:t>i</w:t>
      </w:r>
      <w:proofErr w:type="spellEnd"/>
      <w:r w:rsidRPr="000E39AA">
        <w:rPr>
          <w:rFonts w:ascii="Arial" w:hAnsi="Arial" w:cs="Arial"/>
        </w:rPr>
        <w:t xml:space="preserve">) ethical issues, (ii) species variability and (iii) intrinsic differences to human physiology limit routinely the translation of novel drug treatments. </w:t>
      </w:r>
      <w:r w:rsidR="00B51655" w:rsidRPr="00375EDB">
        <w:rPr>
          <w:rFonts w:ascii="Arial" w:hAnsi="Arial" w:cs="Arial"/>
          <w:lang w:val="en-US"/>
        </w:rPr>
        <w:t xml:space="preserve">Animal </w:t>
      </w:r>
      <w:r w:rsidR="00B51655" w:rsidRPr="00375EDB">
        <w:rPr>
          <w:rFonts w:ascii="Arial" w:hAnsi="Arial" w:cs="Arial"/>
          <w:i/>
          <w:iCs/>
          <w:lang w:val="en-US"/>
        </w:rPr>
        <w:t>in vivo</w:t>
      </w:r>
      <w:r w:rsidR="00B51655" w:rsidRPr="00375EDB">
        <w:rPr>
          <w:rFonts w:ascii="Arial" w:hAnsi="Arial" w:cs="Arial"/>
          <w:lang w:val="en-US"/>
        </w:rPr>
        <w:t xml:space="preserve"> models provide a rapid approach to gather preliminary results on the safety and efficacy of drugs. However, the conflicting pathophysiological differences between human and animal, are now making in vivo model obsolete. Today it is clear the need to resort to reliable </w:t>
      </w:r>
      <w:r w:rsidR="00B51655" w:rsidRPr="00375EDB">
        <w:rPr>
          <w:rFonts w:ascii="Arial" w:hAnsi="Arial" w:cs="Arial"/>
          <w:i/>
          <w:iCs/>
          <w:lang w:val="en-US"/>
        </w:rPr>
        <w:t>in vitro</w:t>
      </w:r>
      <w:r w:rsidR="00B51655" w:rsidRPr="00375EDB">
        <w:rPr>
          <w:rFonts w:ascii="Arial" w:hAnsi="Arial" w:cs="Arial"/>
          <w:lang w:val="en-US"/>
        </w:rPr>
        <w:t xml:space="preserve"> bone pain models to improve current therapies. To date, commercially available, functional, reproducible, and reliable </w:t>
      </w:r>
      <w:r w:rsidR="00B51655" w:rsidRPr="00375EDB">
        <w:rPr>
          <w:rFonts w:ascii="Arial" w:hAnsi="Arial" w:cs="Arial"/>
          <w:i/>
          <w:iCs/>
          <w:lang w:val="en-US"/>
        </w:rPr>
        <w:t>in vitro</w:t>
      </w:r>
      <w:r w:rsidR="00B51655" w:rsidRPr="00375EDB">
        <w:rPr>
          <w:rFonts w:ascii="Arial" w:hAnsi="Arial" w:cs="Arial"/>
          <w:lang w:val="en-US"/>
        </w:rPr>
        <w:t xml:space="preserve"> models capable of resembling painful skeletal pathologies are still not available.</w:t>
      </w:r>
    </w:p>
    <w:p w14:paraId="5E7840DA" w14:textId="49B3FA34" w:rsidR="00F03759" w:rsidRDefault="00F03759" w:rsidP="00D83EB8">
      <w:pPr>
        <w:spacing w:after="0" w:line="276" w:lineRule="auto"/>
        <w:jc w:val="both"/>
        <w:rPr>
          <w:rFonts w:ascii="Arial" w:hAnsi="Arial" w:cs="Arial"/>
        </w:rPr>
      </w:pPr>
      <w:r w:rsidRPr="000E39AA">
        <w:rPr>
          <w:rFonts w:ascii="Arial" w:hAnsi="Arial" w:cs="Arial"/>
        </w:rPr>
        <w:t xml:space="preserve">TE offers a </w:t>
      </w:r>
      <w:r w:rsidR="001E0809">
        <w:rPr>
          <w:rFonts w:ascii="Arial" w:hAnsi="Arial" w:cs="Arial"/>
        </w:rPr>
        <w:t>unique</w:t>
      </w:r>
      <w:r w:rsidR="001E0809" w:rsidRPr="000E39AA">
        <w:rPr>
          <w:rFonts w:ascii="Arial" w:hAnsi="Arial" w:cs="Arial"/>
        </w:rPr>
        <w:t xml:space="preserve"> </w:t>
      </w:r>
      <w:r w:rsidRPr="000E39AA">
        <w:rPr>
          <w:rFonts w:ascii="Arial" w:hAnsi="Arial" w:cs="Arial"/>
        </w:rPr>
        <w:t xml:space="preserve">way to address some of these issues, providing specific tools and models that harness relevant cell types, scaffolds together with biofabrication/microfluidic and biotechnology strategies to create new approaches to model human bone pain. </w:t>
      </w:r>
      <w:r w:rsidRPr="000E39AA">
        <w:rPr>
          <w:rFonts w:ascii="Arial" w:hAnsi="Arial" w:cs="Arial"/>
          <w:i/>
          <w:iCs/>
        </w:rPr>
        <w:t>In vitro</w:t>
      </w:r>
      <w:r w:rsidRPr="000E39AA">
        <w:rPr>
          <w:rFonts w:ascii="Arial" w:hAnsi="Arial" w:cs="Arial"/>
        </w:rPr>
        <w:t xml:space="preserve"> models </w:t>
      </w:r>
      <w:r w:rsidR="006B1B28">
        <w:rPr>
          <w:rFonts w:ascii="Arial" w:hAnsi="Arial" w:cs="Arial"/>
        </w:rPr>
        <w:t>hold</w:t>
      </w:r>
      <w:r w:rsidR="006B1B28" w:rsidRPr="000E39AA">
        <w:rPr>
          <w:rFonts w:ascii="Arial" w:hAnsi="Arial" w:cs="Arial"/>
        </w:rPr>
        <w:t xml:space="preserve"> </w:t>
      </w:r>
      <w:r w:rsidRPr="000E39AA">
        <w:rPr>
          <w:rFonts w:ascii="Arial" w:hAnsi="Arial" w:cs="Arial"/>
        </w:rPr>
        <w:t>significant potential</w:t>
      </w:r>
      <w:r w:rsidR="00DA69C3">
        <w:rPr>
          <w:rFonts w:ascii="Arial" w:hAnsi="Arial" w:cs="Arial"/>
        </w:rPr>
        <w:t xml:space="preserve"> and new vistas in research</w:t>
      </w:r>
      <w:r w:rsidRPr="000E39AA">
        <w:rPr>
          <w:rFonts w:ascii="Arial" w:hAnsi="Arial" w:cs="Arial"/>
        </w:rPr>
        <w:t xml:space="preserve"> in simulating both pathological and bone pain conditions, helping to reduce, refine and, ultimately, replace animal models for the testing of bone pain treatments. Current research in bone pain modelling seeks to reproduce, </w:t>
      </w:r>
      <w:r w:rsidRPr="000E39AA">
        <w:rPr>
          <w:rFonts w:ascii="Arial" w:hAnsi="Arial"/>
        </w:rPr>
        <w:t>in</w:t>
      </w:r>
      <w:r w:rsidRPr="000E39AA">
        <w:rPr>
          <w:rFonts w:ascii="Arial" w:hAnsi="Arial" w:cs="Arial"/>
          <w:i/>
          <w:iCs/>
        </w:rPr>
        <w:t xml:space="preserve"> vivo</w:t>
      </w:r>
      <w:r w:rsidRPr="000E39AA">
        <w:rPr>
          <w:rFonts w:ascii="Arial" w:hAnsi="Arial" w:cs="Arial"/>
        </w:rPr>
        <w:t xml:space="preserve">, the pathological state and to subsequently induce pain with a platform comparable to the human bone lesion. A central and rather obvious limitation in the field remains the inability to recapitulate physiological bone innervation </w:t>
      </w:r>
      <w:proofErr w:type="gramStart"/>
      <w:r w:rsidRPr="000E39AA">
        <w:rPr>
          <w:rFonts w:ascii="Arial" w:hAnsi="Arial" w:cs="Arial"/>
        </w:rPr>
        <w:t>as a consequence of</w:t>
      </w:r>
      <w:proofErr w:type="gramEnd"/>
      <w:r w:rsidRPr="000E39AA">
        <w:rPr>
          <w:rFonts w:ascii="Arial" w:hAnsi="Arial" w:cs="Arial"/>
        </w:rPr>
        <w:t>,</w:t>
      </w:r>
      <w:r w:rsidR="00064866">
        <w:rPr>
          <w:rFonts w:ascii="Arial" w:hAnsi="Arial" w:cs="Arial"/>
        </w:rPr>
        <w:t xml:space="preserve"> </w:t>
      </w:r>
      <w:r w:rsidRPr="000E39AA">
        <w:rPr>
          <w:rFonts w:ascii="Arial" w:hAnsi="Arial" w:cs="Arial"/>
        </w:rPr>
        <w:t>often oversimplified models, lacking the</w:t>
      </w:r>
      <w:r w:rsidR="00031F52">
        <w:rPr>
          <w:rFonts w:ascii="Arial" w:hAnsi="Arial" w:cs="Arial"/>
        </w:rPr>
        <w:t xml:space="preserve"> essential</w:t>
      </w:r>
      <w:r w:rsidRPr="000E39AA">
        <w:rPr>
          <w:rFonts w:ascii="Arial" w:hAnsi="Arial" w:cs="Arial"/>
        </w:rPr>
        <w:t xml:space="preserve"> requisite</w:t>
      </w:r>
      <w:r w:rsidR="00031F52">
        <w:rPr>
          <w:rFonts w:ascii="Arial" w:hAnsi="Arial" w:cs="Arial"/>
        </w:rPr>
        <w:t xml:space="preserve"> of</w:t>
      </w:r>
      <w:r w:rsidRPr="000E39AA">
        <w:rPr>
          <w:rFonts w:ascii="Arial" w:hAnsi="Arial" w:cs="Arial"/>
        </w:rPr>
        <w:t xml:space="preserve"> different cell types</w:t>
      </w:r>
      <w:r w:rsidR="00031F52">
        <w:rPr>
          <w:rFonts w:ascii="Arial" w:hAnsi="Arial" w:cs="Arial"/>
        </w:rPr>
        <w:t xml:space="preserve"> necessary</w:t>
      </w:r>
      <w:r w:rsidRPr="000E39AA">
        <w:rPr>
          <w:rFonts w:ascii="Arial" w:hAnsi="Arial" w:cs="Arial"/>
        </w:rPr>
        <w:t xml:space="preserve"> to recapitulate the bone</w:t>
      </w:r>
      <w:r w:rsidR="00031F52">
        <w:rPr>
          <w:rFonts w:ascii="Arial" w:hAnsi="Arial" w:cs="Arial"/>
        </w:rPr>
        <w:t>-related pain</w:t>
      </w:r>
      <w:r w:rsidRPr="000E39AA">
        <w:rPr>
          <w:rFonts w:ascii="Arial" w:hAnsi="Arial" w:cs="Arial"/>
        </w:rPr>
        <w:t xml:space="preserve"> cascade. Of course, these are not trivial issues, and the co-culture of bone and nerve cells is challenging. The possibility to engineer a micro-environment that can support chemical stimuli for cell survival, proliferation and </w:t>
      </w:r>
      <w:r w:rsidR="00F37A62" w:rsidRPr="000E39AA">
        <w:rPr>
          <w:rFonts w:ascii="Arial" w:hAnsi="Arial" w:cs="Arial"/>
        </w:rPr>
        <w:t>signalling</w:t>
      </w:r>
      <w:r w:rsidRPr="000E39AA">
        <w:rPr>
          <w:rFonts w:ascii="Arial" w:hAnsi="Arial" w:cs="Arial"/>
        </w:rPr>
        <w:t xml:space="preserve"> of pain, as well as mechanical stimuli due to external forces </w:t>
      </w:r>
      <w:r w:rsidR="004733FE">
        <w:rPr>
          <w:rFonts w:ascii="Arial" w:hAnsi="Arial" w:cs="Arial"/>
        </w:rPr>
        <w:t>and</w:t>
      </w:r>
      <w:r w:rsidRPr="000E39AA">
        <w:rPr>
          <w:rFonts w:ascii="Arial" w:hAnsi="Arial" w:cs="Arial"/>
        </w:rPr>
        <w:t xml:space="preserve"> matrix</w:t>
      </w:r>
      <w:r w:rsidR="004733FE">
        <w:rPr>
          <w:rFonts w:ascii="Arial" w:hAnsi="Arial" w:cs="Arial"/>
        </w:rPr>
        <w:t xml:space="preserve"> constraints</w:t>
      </w:r>
      <w:r w:rsidRPr="000E39AA">
        <w:rPr>
          <w:rFonts w:ascii="Arial" w:hAnsi="Arial" w:cs="Arial"/>
        </w:rPr>
        <w:t>, is hypothesised and yet, remains, by us and others in the field to be demonstrated</w:t>
      </w:r>
      <w:r w:rsidR="004733FE">
        <w:rPr>
          <w:rFonts w:ascii="Arial" w:hAnsi="Arial" w:cs="Arial"/>
        </w:rPr>
        <w:t>. T</w:t>
      </w:r>
      <w:r w:rsidRPr="000E39AA">
        <w:rPr>
          <w:rFonts w:ascii="Arial" w:hAnsi="Arial" w:cs="Arial"/>
        </w:rPr>
        <w:t xml:space="preserve">herein lies the challenge and need for collaborative synthesis of methodologies across traditional boundaries of skeletal, nerve and indeed pain research. </w:t>
      </w:r>
    </w:p>
    <w:p w14:paraId="465CD897" w14:textId="1E88E16F" w:rsidR="00F03759" w:rsidRDefault="00F03759" w:rsidP="00F03759">
      <w:pPr>
        <w:spacing w:after="0" w:line="276" w:lineRule="auto"/>
        <w:jc w:val="both"/>
        <w:rPr>
          <w:rFonts w:ascii="Arial" w:hAnsi="Arial" w:cs="Arial"/>
        </w:rPr>
      </w:pPr>
      <w:r w:rsidRPr="000E39AA">
        <w:rPr>
          <w:rFonts w:ascii="Arial" w:hAnsi="Arial" w:cs="Arial"/>
        </w:rPr>
        <w:t xml:space="preserve">The future is bright, interdisciplinary research harnessing life sciences, tissue engineers and clinicians and the raft of new methodologies for imaging to “omics” and biotechnology platforms auger well in the development of a third way, new avenues in the exploration of pain relief therapies, clearly needed for an aging demographic. Thus, new </w:t>
      </w:r>
      <w:r w:rsidRPr="000E39AA">
        <w:rPr>
          <w:rFonts w:ascii="Arial" w:hAnsi="Arial" w:cs="Arial"/>
          <w:i/>
          <w:iCs/>
        </w:rPr>
        <w:t xml:space="preserve">in vitro, </w:t>
      </w:r>
      <w:r w:rsidRPr="000E39AA">
        <w:rPr>
          <w:rFonts w:ascii="Arial" w:hAnsi="Arial" w:cs="Arial"/>
        </w:rPr>
        <w:t xml:space="preserve">models are anticipated, harnessing TE approaches that will lead to the prevention of bone pain with and widespread benefit across the global healthcare systems and, ultimately, patients. </w:t>
      </w:r>
    </w:p>
    <w:bookmarkEnd w:id="42"/>
    <w:p w14:paraId="34BFBEC1" w14:textId="77777777" w:rsidR="00F03759" w:rsidRPr="000E39AA" w:rsidRDefault="00F03759" w:rsidP="00F03759">
      <w:pPr>
        <w:spacing w:after="0" w:line="276" w:lineRule="auto"/>
        <w:jc w:val="both"/>
        <w:rPr>
          <w:rFonts w:ascii="Arial" w:hAnsi="Arial" w:cs="Arial"/>
        </w:rPr>
      </w:pPr>
    </w:p>
    <w:p w14:paraId="75013CD4" w14:textId="77777777" w:rsidR="001301CD" w:rsidRPr="000E39AA" w:rsidRDefault="001301CD" w:rsidP="00F03759">
      <w:pPr>
        <w:spacing w:after="0" w:line="276" w:lineRule="auto"/>
        <w:jc w:val="both"/>
        <w:rPr>
          <w:rFonts w:ascii="Arial" w:hAnsi="Arial" w:cs="Arial"/>
        </w:rPr>
      </w:pPr>
    </w:p>
    <w:p w14:paraId="699913DC" w14:textId="77777777" w:rsidR="00F03759" w:rsidRPr="000E39AA" w:rsidRDefault="00F03759" w:rsidP="007478CE">
      <w:pPr>
        <w:pStyle w:val="Heading2"/>
        <w:numPr>
          <w:ilvl w:val="0"/>
          <w:numId w:val="0"/>
        </w:numPr>
        <w:ind w:left="360"/>
      </w:pPr>
      <w:bookmarkStart w:id="71" w:name="_Toc97211829"/>
      <w:bookmarkStart w:id="72" w:name="_Toc98937892"/>
      <w:r w:rsidRPr="000E39AA">
        <w:t>Acknowledgements</w:t>
      </w:r>
      <w:bookmarkEnd w:id="71"/>
      <w:bookmarkEnd w:id="72"/>
    </w:p>
    <w:p w14:paraId="309BD815" w14:textId="77777777" w:rsidR="00F03759" w:rsidRPr="000E39AA" w:rsidRDefault="00F03759" w:rsidP="00F03759">
      <w:pPr>
        <w:spacing w:line="276" w:lineRule="auto"/>
        <w:jc w:val="both"/>
        <w:rPr>
          <w:rFonts w:ascii="Arial" w:hAnsi="Arial" w:cs="Arial"/>
        </w:rPr>
      </w:pPr>
    </w:p>
    <w:p w14:paraId="65BD6C74" w14:textId="0FDC015E" w:rsidR="00F03759" w:rsidRPr="000E39AA" w:rsidRDefault="00B01507" w:rsidP="00F03759">
      <w:pPr>
        <w:spacing w:line="276" w:lineRule="auto"/>
        <w:jc w:val="both"/>
        <w:rPr>
          <w:rFonts w:ascii="Arial" w:hAnsi="Arial" w:cs="Arial"/>
        </w:rPr>
      </w:pPr>
      <w:r w:rsidRPr="00B01507">
        <w:rPr>
          <w:rFonts w:ascii="Arial" w:hAnsi="Arial" w:cs="Arial"/>
        </w:rPr>
        <w:t xml:space="preserve">The authors have no conflicts of interest to declare. </w:t>
      </w:r>
      <w:r w:rsidR="00F03759" w:rsidRPr="000E39AA">
        <w:rPr>
          <w:rFonts w:ascii="Arial" w:hAnsi="Arial" w:cs="Arial"/>
        </w:rPr>
        <w:t>GC acknowledge funding from AIRC Aldi Fellowship under grant agreement No. 25412. ROCO acknowledges financial support from the Biotechnology and Biological Sciences Research Council (BB/P017711/1) and the UK Regenerative Medicine Platform “Acellular / Smart Materials – 3D Architecture” (MR/R015651/1).</w:t>
      </w:r>
      <w:r w:rsidR="00D724E1">
        <w:rPr>
          <w:rFonts w:ascii="Arial" w:hAnsi="Arial" w:cs="Arial"/>
        </w:rPr>
        <w:t xml:space="preserve"> </w:t>
      </w:r>
      <w:r w:rsidR="00D724E1" w:rsidRPr="00A538F8">
        <w:rPr>
          <w:rFonts w:ascii="Arial" w:hAnsi="Arial" w:cs="Arial"/>
          <w:lang w:val="en-US"/>
        </w:rPr>
        <w:t xml:space="preserve">MR and AC acknowledge </w:t>
      </w:r>
      <w:r w:rsidR="00D724E1" w:rsidRPr="0096743C">
        <w:rPr>
          <w:rFonts w:ascii="Arial" w:hAnsi="Arial" w:cs="Arial"/>
          <w:lang w:val="en-US"/>
        </w:rPr>
        <w:t xml:space="preserve">University of Pennsylvania Orphan Disease Center in partnership with the Fibrous Dysplasia Foundation </w:t>
      </w:r>
      <w:r w:rsidR="00D724E1">
        <w:rPr>
          <w:rFonts w:ascii="Arial" w:hAnsi="Arial" w:cs="Arial"/>
          <w:lang w:val="en-US"/>
        </w:rPr>
        <w:t>(</w:t>
      </w:r>
      <w:r w:rsidR="00D724E1" w:rsidRPr="0096743C">
        <w:rPr>
          <w:rFonts w:ascii="Arial" w:hAnsi="Arial" w:cs="Arial"/>
          <w:lang w:val="en-US"/>
        </w:rPr>
        <w:t>MDBR</w:t>
      </w:r>
      <w:r w:rsidR="00D724E1">
        <w:rPr>
          <w:rFonts w:ascii="Arial" w:hAnsi="Arial" w:cs="Arial"/>
          <w:lang w:val="en-US"/>
        </w:rPr>
        <w:t>-21</w:t>
      </w:r>
      <w:r w:rsidR="00D724E1" w:rsidRPr="0096743C">
        <w:rPr>
          <w:rFonts w:ascii="Arial" w:hAnsi="Arial" w:cs="Arial"/>
          <w:lang w:val="en-US"/>
        </w:rPr>
        <w:t>-11</w:t>
      </w:r>
      <w:r w:rsidR="00D724E1">
        <w:rPr>
          <w:rFonts w:ascii="Arial" w:hAnsi="Arial" w:cs="Arial"/>
          <w:lang w:val="en-US"/>
        </w:rPr>
        <w:t>0</w:t>
      </w:r>
      <w:r w:rsidR="00D724E1" w:rsidRPr="0096743C">
        <w:rPr>
          <w:rFonts w:ascii="Arial" w:hAnsi="Arial" w:cs="Arial"/>
          <w:lang w:val="en-US"/>
        </w:rPr>
        <w:t>-FD</w:t>
      </w:r>
      <w:r w:rsidR="00D724E1">
        <w:rPr>
          <w:rFonts w:ascii="Arial" w:hAnsi="Arial" w:cs="Arial"/>
          <w:lang w:val="en-US"/>
        </w:rPr>
        <w:t>)</w:t>
      </w:r>
      <w:r w:rsidR="00D724E1" w:rsidRPr="0096743C">
        <w:rPr>
          <w:rFonts w:ascii="Arial" w:hAnsi="Arial" w:cs="Arial"/>
          <w:lang w:val="en-US"/>
        </w:rPr>
        <w:t xml:space="preserve"> and Sapienza University </w:t>
      </w:r>
      <w:r w:rsidR="00D724E1" w:rsidRPr="0096743C">
        <w:rPr>
          <w:rFonts w:ascii="Arial" w:hAnsi="Arial" w:cs="Arial"/>
          <w:color w:val="000000"/>
          <w:lang w:val="en-US"/>
        </w:rPr>
        <w:t>RM120172B8BF5C15</w:t>
      </w:r>
      <w:r w:rsidR="00D724E1">
        <w:rPr>
          <w:rFonts w:ascii="Arial" w:hAnsi="Arial" w:cs="Arial"/>
          <w:color w:val="000000"/>
          <w:lang w:val="en-US"/>
        </w:rPr>
        <w:t xml:space="preserve">, </w:t>
      </w:r>
      <w:r w:rsidR="00D724E1" w:rsidRPr="00A538F8">
        <w:rPr>
          <w:rFonts w:ascii="Arial" w:hAnsi="Arial" w:cs="Arial"/>
          <w:color w:val="000000"/>
          <w:lang w:val="en-US"/>
        </w:rPr>
        <w:t>RM118164289636F0</w:t>
      </w:r>
      <w:r w:rsidR="00D724E1">
        <w:rPr>
          <w:rFonts w:ascii="Arial" w:hAnsi="Arial" w:cs="Arial"/>
          <w:color w:val="000000"/>
          <w:lang w:val="en-US"/>
        </w:rPr>
        <w:t xml:space="preserve">). </w:t>
      </w:r>
      <w:r w:rsidR="00F03759" w:rsidRPr="000E39AA">
        <w:rPr>
          <w:rFonts w:ascii="Arial" w:hAnsi="Arial" w:cs="Arial"/>
        </w:rPr>
        <w:t xml:space="preserve"> Figures were generated using </w:t>
      </w:r>
      <w:proofErr w:type="spellStart"/>
      <w:r w:rsidR="00F03759" w:rsidRPr="000E39AA">
        <w:rPr>
          <w:rFonts w:ascii="Arial" w:hAnsi="Arial" w:cs="Arial"/>
        </w:rPr>
        <w:t>Servier</w:t>
      </w:r>
      <w:proofErr w:type="spellEnd"/>
      <w:r w:rsidR="00F03759" w:rsidRPr="000E39AA">
        <w:rPr>
          <w:rFonts w:ascii="Arial" w:hAnsi="Arial" w:cs="Arial"/>
        </w:rPr>
        <w:t xml:space="preserve"> Medical Art (by </w:t>
      </w:r>
      <w:proofErr w:type="spellStart"/>
      <w:r w:rsidR="00F03759" w:rsidRPr="000E39AA">
        <w:rPr>
          <w:rFonts w:ascii="Arial" w:hAnsi="Arial" w:cs="Arial"/>
        </w:rPr>
        <w:t>Servier</w:t>
      </w:r>
      <w:proofErr w:type="spellEnd"/>
      <w:r w:rsidR="00F03759" w:rsidRPr="000E39AA">
        <w:rPr>
          <w:rFonts w:ascii="Arial" w:hAnsi="Arial" w:cs="Arial"/>
        </w:rPr>
        <w:t xml:space="preserve">, licensed under a Creative Commons Attribution 3.0 </w:t>
      </w:r>
      <w:proofErr w:type="spellStart"/>
      <w:r w:rsidR="00F03759" w:rsidRPr="000E39AA">
        <w:rPr>
          <w:rFonts w:ascii="Arial" w:hAnsi="Arial" w:cs="Arial"/>
        </w:rPr>
        <w:t>Unported</w:t>
      </w:r>
      <w:proofErr w:type="spellEnd"/>
      <w:r w:rsidR="00F03759" w:rsidRPr="000E39AA">
        <w:rPr>
          <w:rFonts w:ascii="Arial" w:hAnsi="Arial" w:cs="Arial"/>
        </w:rPr>
        <w:t xml:space="preserve"> License)</w:t>
      </w:r>
    </w:p>
    <w:p w14:paraId="40E4242A" w14:textId="77777777" w:rsidR="00F03759" w:rsidRPr="000E39AA" w:rsidRDefault="00F03759" w:rsidP="00F03759">
      <w:pPr>
        <w:spacing w:line="276" w:lineRule="auto"/>
        <w:jc w:val="both"/>
        <w:rPr>
          <w:rFonts w:ascii="Arial" w:hAnsi="Arial" w:cs="Arial"/>
        </w:rPr>
      </w:pPr>
    </w:p>
    <w:p w14:paraId="0B4C4324" w14:textId="77777777" w:rsidR="00F03759" w:rsidRPr="000E39AA" w:rsidRDefault="00F03759" w:rsidP="007478CE">
      <w:pPr>
        <w:pStyle w:val="Heading2"/>
        <w:numPr>
          <w:ilvl w:val="0"/>
          <w:numId w:val="0"/>
        </w:numPr>
        <w:ind w:left="360"/>
      </w:pPr>
      <w:bookmarkStart w:id="73" w:name="_Toc98937893"/>
      <w:r w:rsidRPr="000E39AA">
        <w:t>References</w:t>
      </w:r>
      <w:bookmarkEnd w:id="73"/>
    </w:p>
    <w:p w14:paraId="07B8746E" w14:textId="77777777" w:rsidR="00F03759" w:rsidRPr="000E39AA" w:rsidRDefault="00F03759" w:rsidP="00F03759">
      <w:pPr>
        <w:spacing w:line="276" w:lineRule="auto"/>
        <w:rPr>
          <w:rFonts w:ascii="Arial" w:hAnsi="Arial" w:cs="Arial"/>
        </w:rPr>
      </w:pPr>
    </w:p>
    <w:p w14:paraId="377CB78B" w14:textId="6549BB8A" w:rsidR="00A32EB8" w:rsidRPr="00A32EB8" w:rsidRDefault="00F03759" w:rsidP="00A32EB8">
      <w:pPr>
        <w:widowControl w:val="0"/>
        <w:autoSpaceDE w:val="0"/>
        <w:autoSpaceDN w:val="0"/>
        <w:adjustRightInd w:val="0"/>
        <w:spacing w:line="240" w:lineRule="auto"/>
        <w:ind w:left="640" w:hanging="640"/>
        <w:rPr>
          <w:rFonts w:ascii="Arial" w:hAnsi="Arial" w:cs="Arial"/>
          <w:noProof/>
          <w:szCs w:val="24"/>
        </w:rPr>
      </w:pPr>
      <w:r w:rsidRPr="000E39AA">
        <w:rPr>
          <w:rFonts w:ascii="Arial" w:hAnsi="Arial" w:cs="Arial"/>
        </w:rPr>
        <w:fldChar w:fldCharType="begin" w:fldLock="1"/>
      </w:r>
      <w:r w:rsidRPr="000E39AA">
        <w:rPr>
          <w:rFonts w:ascii="Arial" w:hAnsi="Arial" w:cs="Arial"/>
        </w:rPr>
        <w:instrText xml:space="preserve">ADDIN Mendeley Bibliography CSL_BIBLIOGRAPHY </w:instrText>
      </w:r>
      <w:r w:rsidRPr="000E39AA">
        <w:rPr>
          <w:rFonts w:ascii="Arial" w:hAnsi="Arial" w:cs="Arial"/>
        </w:rPr>
        <w:fldChar w:fldCharType="separate"/>
      </w:r>
      <w:r w:rsidR="00A32EB8" w:rsidRPr="00A32EB8">
        <w:rPr>
          <w:rFonts w:ascii="Arial" w:hAnsi="Arial" w:cs="Arial"/>
          <w:noProof/>
          <w:szCs w:val="24"/>
        </w:rPr>
        <w:t xml:space="preserve">1. </w:t>
      </w:r>
      <w:r w:rsidR="00A32EB8" w:rsidRPr="00A32EB8">
        <w:rPr>
          <w:rFonts w:ascii="Arial" w:hAnsi="Arial" w:cs="Arial"/>
          <w:noProof/>
          <w:szCs w:val="24"/>
        </w:rPr>
        <w:tab/>
        <w:t>Alves CJ, Neto E, Sousa DM, et al (2016) Fracture pain-Traveling unknown pathways. Bone 85:107–114. https://doi.org/10.1016/j.bone.2016.01.026</w:t>
      </w:r>
    </w:p>
    <w:p w14:paraId="469A273D" w14:textId="77777777" w:rsidR="00A32EB8" w:rsidRPr="00A32EB8" w:rsidRDefault="00A32EB8" w:rsidP="00A32EB8">
      <w:pPr>
        <w:widowControl w:val="0"/>
        <w:autoSpaceDE w:val="0"/>
        <w:autoSpaceDN w:val="0"/>
        <w:adjustRightInd w:val="0"/>
        <w:spacing w:line="240" w:lineRule="auto"/>
        <w:ind w:left="640" w:hanging="640"/>
        <w:rPr>
          <w:rFonts w:ascii="Arial" w:hAnsi="Arial" w:cs="Arial"/>
          <w:noProof/>
          <w:szCs w:val="24"/>
        </w:rPr>
      </w:pPr>
      <w:r w:rsidRPr="00A32EB8">
        <w:rPr>
          <w:rFonts w:ascii="Arial" w:hAnsi="Arial" w:cs="Arial"/>
          <w:noProof/>
          <w:szCs w:val="24"/>
        </w:rPr>
        <w:t xml:space="preserve">2. </w:t>
      </w:r>
      <w:r w:rsidRPr="00A32EB8">
        <w:rPr>
          <w:rFonts w:ascii="Arial" w:hAnsi="Arial" w:cs="Arial"/>
          <w:noProof/>
          <w:szCs w:val="24"/>
        </w:rPr>
        <w:tab/>
        <w:t>Lortet-Tieulent J, Georges D, Bray F, Vaccarella S (2020) Profiling global cancer incidence and mortality by socioeconomic development. Int J Cancer 147:3029–3036. https://doi.org/10.1002/ijc.33114</w:t>
      </w:r>
    </w:p>
    <w:p w14:paraId="22E01D8A" w14:textId="77777777" w:rsidR="00A32EB8" w:rsidRPr="00A32EB8" w:rsidRDefault="00A32EB8" w:rsidP="00A32EB8">
      <w:pPr>
        <w:widowControl w:val="0"/>
        <w:autoSpaceDE w:val="0"/>
        <w:autoSpaceDN w:val="0"/>
        <w:adjustRightInd w:val="0"/>
        <w:spacing w:line="240" w:lineRule="auto"/>
        <w:ind w:left="640" w:hanging="640"/>
        <w:rPr>
          <w:rFonts w:ascii="Arial" w:hAnsi="Arial" w:cs="Arial"/>
          <w:noProof/>
          <w:szCs w:val="24"/>
        </w:rPr>
      </w:pPr>
      <w:r w:rsidRPr="00A32EB8">
        <w:rPr>
          <w:rFonts w:ascii="Arial" w:hAnsi="Arial" w:cs="Arial"/>
          <w:noProof/>
          <w:szCs w:val="24"/>
        </w:rPr>
        <w:t xml:space="preserve">3. </w:t>
      </w:r>
      <w:r w:rsidRPr="00A32EB8">
        <w:rPr>
          <w:rFonts w:ascii="Arial" w:hAnsi="Arial" w:cs="Arial"/>
          <w:noProof/>
          <w:szCs w:val="24"/>
        </w:rPr>
        <w:tab/>
        <w:t>Frost CØ, Hansen RR, Heegaard AM (2016) Bone pain: Current and future treatments. Curr Opin Pharmacol 28:31–37. https://doi.org/10.1016/j.coph.2016.02.007</w:t>
      </w:r>
    </w:p>
    <w:p w14:paraId="0AD9EA76" w14:textId="77777777" w:rsidR="00A32EB8" w:rsidRPr="00A32EB8" w:rsidRDefault="00A32EB8" w:rsidP="00A32EB8">
      <w:pPr>
        <w:widowControl w:val="0"/>
        <w:autoSpaceDE w:val="0"/>
        <w:autoSpaceDN w:val="0"/>
        <w:adjustRightInd w:val="0"/>
        <w:spacing w:line="240" w:lineRule="auto"/>
        <w:ind w:left="640" w:hanging="640"/>
        <w:rPr>
          <w:rFonts w:ascii="Arial" w:hAnsi="Arial" w:cs="Arial"/>
          <w:noProof/>
          <w:szCs w:val="24"/>
        </w:rPr>
      </w:pPr>
      <w:r w:rsidRPr="00A32EB8">
        <w:rPr>
          <w:rFonts w:ascii="Arial" w:hAnsi="Arial" w:cs="Arial"/>
          <w:noProof/>
          <w:szCs w:val="24"/>
        </w:rPr>
        <w:t xml:space="preserve">4. </w:t>
      </w:r>
      <w:r w:rsidRPr="00A32EB8">
        <w:rPr>
          <w:rFonts w:ascii="Arial" w:hAnsi="Arial" w:cs="Arial"/>
          <w:noProof/>
          <w:szCs w:val="24"/>
        </w:rPr>
        <w:tab/>
        <w:t>Ripamonti C, Fulfaro F (2000) Malignant bone pain: pathophysiology and treatments. Curr Rev Pain 4:187–196. https://doi.org/10.1007/s11916-000-0078-3</w:t>
      </w:r>
    </w:p>
    <w:p w14:paraId="6504749A" w14:textId="77777777" w:rsidR="00A32EB8" w:rsidRPr="00A32EB8" w:rsidRDefault="00A32EB8" w:rsidP="00A32EB8">
      <w:pPr>
        <w:widowControl w:val="0"/>
        <w:autoSpaceDE w:val="0"/>
        <w:autoSpaceDN w:val="0"/>
        <w:adjustRightInd w:val="0"/>
        <w:spacing w:line="240" w:lineRule="auto"/>
        <w:ind w:left="640" w:hanging="640"/>
        <w:rPr>
          <w:rFonts w:ascii="Arial" w:hAnsi="Arial" w:cs="Arial"/>
          <w:noProof/>
          <w:szCs w:val="24"/>
        </w:rPr>
      </w:pPr>
      <w:r w:rsidRPr="00A32EB8">
        <w:rPr>
          <w:rFonts w:ascii="Arial" w:hAnsi="Arial" w:cs="Arial"/>
          <w:noProof/>
          <w:szCs w:val="24"/>
        </w:rPr>
        <w:t xml:space="preserve">5. </w:t>
      </w:r>
      <w:r w:rsidRPr="00A32EB8">
        <w:rPr>
          <w:rFonts w:ascii="Arial" w:hAnsi="Arial" w:cs="Arial"/>
          <w:noProof/>
          <w:szCs w:val="24"/>
        </w:rPr>
        <w:tab/>
        <w:t>Zajączkowska R, Kocot-Kępska M, Leppert W, Wordliczek J (2019) Bone pain in cancer patients: Mechanisms and current treatment. Int J Mol Sci 20:65–75. https://doi.org/10.3390/ijms20236047</w:t>
      </w:r>
    </w:p>
    <w:p w14:paraId="76FA1993" w14:textId="77777777" w:rsidR="00A32EB8" w:rsidRPr="00A32EB8" w:rsidRDefault="00A32EB8" w:rsidP="00A32EB8">
      <w:pPr>
        <w:widowControl w:val="0"/>
        <w:autoSpaceDE w:val="0"/>
        <w:autoSpaceDN w:val="0"/>
        <w:adjustRightInd w:val="0"/>
        <w:spacing w:line="240" w:lineRule="auto"/>
        <w:ind w:left="640" w:hanging="640"/>
        <w:rPr>
          <w:rFonts w:ascii="Arial" w:hAnsi="Arial" w:cs="Arial"/>
          <w:noProof/>
          <w:szCs w:val="24"/>
        </w:rPr>
      </w:pPr>
      <w:r w:rsidRPr="00A32EB8">
        <w:rPr>
          <w:rFonts w:ascii="Arial" w:hAnsi="Arial" w:cs="Arial"/>
          <w:noProof/>
          <w:szCs w:val="24"/>
        </w:rPr>
        <w:t xml:space="preserve">6. </w:t>
      </w:r>
      <w:r w:rsidRPr="00A32EB8">
        <w:rPr>
          <w:rFonts w:ascii="Arial" w:hAnsi="Arial" w:cs="Arial"/>
          <w:noProof/>
          <w:szCs w:val="24"/>
        </w:rPr>
        <w:tab/>
        <w:t>Haegerstam GAT (2001) Pathophysiology of bone pain: A review. Acta Orthop Scand 72:308–317. https://doi.org/10.1080/00016470152846682</w:t>
      </w:r>
    </w:p>
    <w:p w14:paraId="73B4103D" w14:textId="77777777" w:rsidR="00A32EB8" w:rsidRPr="00A32EB8" w:rsidRDefault="00A32EB8" w:rsidP="00A32EB8">
      <w:pPr>
        <w:widowControl w:val="0"/>
        <w:autoSpaceDE w:val="0"/>
        <w:autoSpaceDN w:val="0"/>
        <w:adjustRightInd w:val="0"/>
        <w:spacing w:line="240" w:lineRule="auto"/>
        <w:ind w:left="640" w:hanging="640"/>
        <w:rPr>
          <w:rFonts w:ascii="Arial" w:hAnsi="Arial" w:cs="Arial"/>
          <w:noProof/>
          <w:szCs w:val="24"/>
        </w:rPr>
      </w:pPr>
      <w:r w:rsidRPr="00A32EB8">
        <w:rPr>
          <w:rFonts w:ascii="Arial" w:hAnsi="Arial" w:cs="Arial"/>
          <w:noProof/>
          <w:szCs w:val="24"/>
        </w:rPr>
        <w:t xml:space="preserve">7. </w:t>
      </w:r>
      <w:r w:rsidRPr="00A32EB8">
        <w:rPr>
          <w:rFonts w:ascii="Arial" w:hAnsi="Arial" w:cs="Arial"/>
          <w:noProof/>
          <w:szCs w:val="24"/>
        </w:rPr>
        <w:tab/>
        <w:t>Falk S, Dickenson AH (2014) Pain and nociception: Mechanisms of cancer-induced bone pain. J Clin Oncol 32:1647–1654. https://doi.org/10.1200/JCO.2013.51.7219</w:t>
      </w:r>
    </w:p>
    <w:p w14:paraId="5DDFED78" w14:textId="77777777" w:rsidR="00A32EB8" w:rsidRPr="00A32EB8" w:rsidRDefault="00A32EB8" w:rsidP="00A32EB8">
      <w:pPr>
        <w:widowControl w:val="0"/>
        <w:autoSpaceDE w:val="0"/>
        <w:autoSpaceDN w:val="0"/>
        <w:adjustRightInd w:val="0"/>
        <w:spacing w:line="240" w:lineRule="auto"/>
        <w:ind w:left="640" w:hanging="640"/>
        <w:rPr>
          <w:rFonts w:ascii="Arial" w:hAnsi="Arial" w:cs="Arial"/>
          <w:noProof/>
          <w:szCs w:val="24"/>
        </w:rPr>
      </w:pPr>
      <w:r w:rsidRPr="00A32EB8">
        <w:rPr>
          <w:rFonts w:ascii="Arial" w:hAnsi="Arial" w:cs="Arial"/>
          <w:noProof/>
          <w:szCs w:val="24"/>
        </w:rPr>
        <w:t xml:space="preserve">8. </w:t>
      </w:r>
      <w:r w:rsidRPr="00A32EB8">
        <w:rPr>
          <w:rFonts w:ascii="Arial" w:hAnsi="Arial" w:cs="Arial"/>
          <w:noProof/>
          <w:szCs w:val="24"/>
        </w:rPr>
        <w:tab/>
        <w:t>Court-Brown CM, Wood AM, Aitken S (2008) The epidemiology of acute sports-related fractures in adults. Injury 39:1365–1372. https://doi.org/10.1016/j.injury.2008.02.004</w:t>
      </w:r>
    </w:p>
    <w:p w14:paraId="72A5F16D" w14:textId="77777777" w:rsidR="00A32EB8" w:rsidRPr="00A32EB8" w:rsidRDefault="00A32EB8" w:rsidP="00A32EB8">
      <w:pPr>
        <w:widowControl w:val="0"/>
        <w:autoSpaceDE w:val="0"/>
        <w:autoSpaceDN w:val="0"/>
        <w:adjustRightInd w:val="0"/>
        <w:spacing w:line="240" w:lineRule="auto"/>
        <w:ind w:left="640" w:hanging="640"/>
        <w:rPr>
          <w:rFonts w:ascii="Arial" w:hAnsi="Arial" w:cs="Arial"/>
          <w:noProof/>
          <w:szCs w:val="24"/>
        </w:rPr>
      </w:pPr>
      <w:r w:rsidRPr="00A32EB8">
        <w:rPr>
          <w:rFonts w:ascii="Arial" w:hAnsi="Arial" w:cs="Arial"/>
          <w:noProof/>
          <w:szCs w:val="24"/>
        </w:rPr>
        <w:t xml:space="preserve">9. </w:t>
      </w:r>
      <w:r w:rsidRPr="00A32EB8">
        <w:rPr>
          <w:rFonts w:ascii="Arial" w:hAnsi="Arial" w:cs="Arial"/>
          <w:noProof/>
          <w:szCs w:val="24"/>
        </w:rPr>
        <w:tab/>
        <w:t>Ehnert S, Rinderknecht H, Aspera-Werz RH, et al (2020) Use of in vitro bone models to screen for altered bone metabolism, osteopathies, and fracture healing: challenges of complex models. Arch Toxicol 94:3937–3958. https://doi.org/10.1007/s00204-020-02906-z</w:t>
      </w:r>
    </w:p>
    <w:p w14:paraId="632BE4D2" w14:textId="77777777" w:rsidR="00A32EB8" w:rsidRPr="00A32EB8" w:rsidRDefault="00A32EB8" w:rsidP="00A32EB8">
      <w:pPr>
        <w:widowControl w:val="0"/>
        <w:autoSpaceDE w:val="0"/>
        <w:autoSpaceDN w:val="0"/>
        <w:adjustRightInd w:val="0"/>
        <w:spacing w:line="240" w:lineRule="auto"/>
        <w:ind w:left="640" w:hanging="640"/>
        <w:rPr>
          <w:rFonts w:ascii="Arial" w:hAnsi="Arial" w:cs="Arial"/>
          <w:noProof/>
          <w:szCs w:val="24"/>
        </w:rPr>
      </w:pPr>
      <w:r w:rsidRPr="00A32EB8">
        <w:rPr>
          <w:rFonts w:ascii="Arial" w:hAnsi="Arial" w:cs="Arial"/>
          <w:noProof/>
          <w:szCs w:val="24"/>
        </w:rPr>
        <w:t xml:space="preserve">10. </w:t>
      </w:r>
      <w:r w:rsidRPr="00A32EB8">
        <w:rPr>
          <w:rFonts w:ascii="Arial" w:hAnsi="Arial" w:cs="Arial"/>
          <w:noProof/>
          <w:szCs w:val="24"/>
        </w:rPr>
        <w:tab/>
        <w:t>Daly RM (2017) Exercise and nutritional approaches to prevent frail bones, falls and fractures: an update. Climacteric 20:119–124. https://doi.org/10.1080/13697137.2017.1286890</w:t>
      </w:r>
    </w:p>
    <w:p w14:paraId="25F640CE" w14:textId="77777777" w:rsidR="00A32EB8" w:rsidRPr="00A32EB8" w:rsidRDefault="00A32EB8" w:rsidP="00A32EB8">
      <w:pPr>
        <w:widowControl w:val="0"/>
        <w:autoSpaceDE w:val="0"/>
        <w:autoSpaceDN w:val="0"/>
        <w:adjustRightInd w:val="0"/>
        <w:spacing w:line="240" w:lineRule="auto"/>
        <w:ind w:left="640" w:hanging="640"/>
        <w:rPr>
          <w:rFonts w:ascii="Arial" w:hAnsi="Arial" w:cs="Arial"/>
          <w:noProof/>
          <w:szCs w:val="24"/>
        </w:rPr>
      </w:pPr>
      <w:r w:rsidRPr="00A32EB8">
        <w:rPr>
          <w:rFonts w:ascii="Arial" w:hAnsi="Arial" w:cs="Arial"/>
          <w:noProof/>
          <w:szCs w:val="24"/>
        </w:rPr>
        <w:t xml:space="preserve">11. </w:t>
      </w:r>
      <w:r w:rsidRPr="00A32EB8">
        <w:rPr>
          <w:rFonts w:ascii="Arial" w:hAnsi="Arial" w:cs="Arial"/>
          <w:noProof/>
          <w:szCs w:val="24"/>
        </w:rPr>
        <w:tab/>
        <w:t>Drenjančević I, Davidović Cvetko E (2013) Influence of physical activity to bone metabolism. Med Glas  Off Publ Med Assoc Zenica-Doboj  Canton, Bosnia Herzegovina 10:12–19</w:t>
      </w:r>
    </w:p>
    <w:p w14:paraId="7320E39E" w14:textId="77777777" w:rsidR="00A32EB8" w:rsidRPr="00A32EB8" w:rsidRDefault="00A32EB8" w:rsidP="00A32EB8">
      <w:pPr>
        <w:widowControl w:val="0"/>
        <w:autoSpaceDE w:val="0"/>
        <w:autoSpaceDN w:val="0"/>
        <w:adjustRightInd w:val="0"/>
        <w:spacing w:line="240" w:lineRule="auto"/>
        <w:ind w:left="640" w:hanging="640"/>
        <w:rPr>
          <w:rFonts w:ascii="Arial" w:hAnsi="Arial" w:cs="Arial"/>
          <w:noProof/>
          <w:szCs w:val="24"/>
        </w:rPr>
      </w:pPr>
      <w:r w:rsidRPr="00A32EB8">
        <w:rPr>
          <w:rFonts w:ascii="Arial" w:hAnsi="Arial" w:cs="Arial"/>
          <w:noProof/>
          <w:szCs w:val="24"/>
        </w:rPr>
        <w:t xml:space="preserve">12. </w:t>
      </w:r>
      <w:r w:rsidRPr="00A32EB8">
        <w:rPr>
          <w:rFonts w:ascii="Arial" w:hAnsi="Arial" w:cs="Arial"/>
          <w:noProof/>
          <w:szCs w:val="24"/>
        </w:rPr>
        <w:tab/>
        <w:t>Borg SA, Buckley H, Owen R, et al (2018) Early life Vitamin D depletion alters the postnatal response to skeletal loading in growing and mature bone. PLoS One 13:1–17. https://doi.org/10.1371/journal.pone.0190675</w:t>
      </w:r>
    </w:p>
    <w:p w14:paraId="4FC91ADC" w14:textId="77777777" w:rsidR="00A32EB8" w:rsidRPr="00A32EB8" w:rsidRDefault="00A32EB8" w:rsidP="00A32EB8">
      <w:pPr>
        <w:widowControl w:val="0"/>
        <w:autoSpaceDE w:val="0"/>
        <w:autoSpaceDN w:val="0"/>
        <w:adjustRightInd w:val="0"/>
        <w:spacing w:line="240" w:lineRule="auto"/>
        <w:ind w:left="640" w:hanging="640"/>
        <w:rPr>
          <w:rFonts w:ascii="Arial" w:hAnsi="Arial" w:cs="Arial"/>
          <w:noProof/>
          <w:szCs w:val="24"/>
        </w:rPr>
      </w:pPr>
      <w:r w:rsidRPr="00A32EB8">
        <w:rPr>
          <w:rFonts w:ascii="Arial" w:hAnsi="Arial" w:cs="Arial"/>
          <w:noProof/>
          <w:szCs w:val="24"/>
        </w:rPr>
        <w:t xml:space="preserve">13. </w:t>
      </w:r>
      <w:r w:rsidRPr="00A32EB8">
        <w:rPr>
          <w:rFonts w:ascii="Arial" w:hAnsi="Arial" w:cs="Arial"/>
          <w:noProof/>
          <w:szCs w:val="24"/>
        </w:rPr>
        <w:tab/>
        <w:t>Mitchell SAT, Majuta LA, Mantyh PW (2018) New Insights in Understanding and Treating Bone Fracture Pain. Curr Osteoporos Rep 16:325–332. https://doi.org/10.1007/s11914-018-0446-8</w:t>
      </w:r>
    </w:p>
    <w:p w14:paraId="71184A80" w14:textId="77777777" w:rsidR="00A32EB8" w:rsidRPr="00A32EB8" w:rsidRDefault="00A32EB8" w:rsidP="00A32EB8">
      <w:pPr>
        <w:widowControl w:val="0"/>
        <w:autoSpaceDE w:val="0"/>
        <w:autoSpaceDN w:val="0"/>
        <w:adjustRightInd w:val="0"/>
        <w:spacing w:line="240" w:lineRule="auto"/>
        <w:ind w:left="640" w:hanging="640"/>
        <w:rPr>
          <w:rFonts w:ascii="Arial" w:hAnsi="Arial" w:cs="Arial"/>
          <w:noProof/>
          <w:szCs w:val="24"/>
        </w:rPr>
      </w:pPr>
      <w:r w:rsidRPr="00A32EB8">
        <w:rPr>
          <w:rFonts w:ascii="Arial" w:hAnsi="Arial" w:cs="Arial"/>
          <w:noProof/>
          <w:szCs w:val="24"/>
        </w:rPr>
        <w:t xml:space="preserve">14. </w:t>
      </w:r>
      <w:r w:rsidRPr="00A32EB8">
        <w:rPr>
          <w:rFonts w:ascii="Arial" w:hAnsi="Arial" w:cs="Arial"/>
          <w:noProof/>
          <w:szCs w:val="24"/>
        </w:rPr>
        <w:tab/>
        <w:t>Cecchini MG, Wetterwald A, van der Pluijm G, Thalmann GN (2005) Molecular and biological mechanisms of bone metastasis. EAU Updat Ser 3:214–226. https://doi.org/10.1016/j.euus.2005.09.006</w:t>
      </w:r>
    </w:p>
    <w:p w14:paraId="4BEF15DF" w14:textId="77777777" w:rsidR="00A32EB8" w:rsidRPr="00A32EB8" w:rsidRDefault="00A32EB8" w:rsidP="00A32EB8">
      <w:pPr>
        <w:widowControl w:val="0"/>
        <w:autoSpaceDE w:val="0"/>
        <w:autoSpaceDN w:val="0"/>
        <w:adjustRightInd w:val="0"/>
        <w:spacing w:line="240" w:lineRule="auto"/>
        <w:ind w:left="640" w:hanging="640"/>
        <w:rPr>
          <w:rFonts w:ascii="Arial" w:hAnsi="Arial" w:cs="Arial"/>
          <w:noProof/>
          <w:szCs w:val="24"/>
        </w:rPr>
      </w:pPr>
      <w:r w:rsidRPr="00A32EB8">
        <w:rPr>
          <w:rFonts w:ascii="Arial" w:hAnsi="Arial" w:cs="Arial"/>
          <w:noProof/>
          <w:szCs w:val="24"/>
        </w:rPr>
        <w:t xml:space="preserve">15. </w:t>
      </w:r>
      <w:r w:rsidRPr="00A32EB8">
        <w:rPr>
          <w:rFonts w:ascii="Arial" w:hAnsi="Arial" w:cs="Arial"/>
          <w:noProof/>
          <w:szCs w:val="24"/>
        </w:rPr>
        <w:tab/>
        <w:t xml:space="preserve">Park SH, Eber MR, Widner DB, Shiozawa Y (2018) Role of the bone </w:t>
      </w:r>
      <w:r w:rsidRPr="00A32EB8">
        <w:rPr>
          <w:rFonts w:ascii="Arial" w:hAnsi="Arial" w:cs="Arial"/>
          <w:noProof/>
          <w:szCs w:val="24"/>
        </w:rPr>
        <w:lastRenderedPageBreak/>
        <w:t>microenvironment in the development of painful complications of skeletal metastases. Cancers (Basel) 10:. https://doi.org/10.3390/cancers10050141</w:t>
      </w:r>
    </w:p>
    <w:p w14:paraId="2E26F224" w14:textId="77777777" w:rsidR="00A32EB8" w:rsidRPr="00A32EB8" w:rsidRDefault="00A32EB8" w:rsidP="00A32EB8">
      <w:pPr>
        <w:widowControl w:val="0"/>
        <w:autoSpaceDE w:val="0"/>
        <w:autoSpaceDN w:val="0"/>
        <w:adjustRightInd w:val="0"/>
        <w:spacing w:line="240" w:lineRule="auto"/>
        <w:ind w:left="640" w:hanging="640"/>
        <w:rPr>
          <w:rFonts w:ascii="Arial" w:hAnsi="Arial" w:cs="Arial"/>
          <w:noProof/>
          <w:szCs w:val="24"/>
        </w:rPr>
      </w:pPr>
      <w:r w:rsidRPr="00A32EB8">
        <w:rPr>
          <w:rFonts w:ascii="Arial" w:hAnsi="Arial" w:cs="Arial"/>
          <w:noProof/>
          <w:szCs w:val="24"/>
        </w:rPr>
        <w:t xml:space="preserve">16. </w:t>
      </w:r>
      <w:r w:rsidRPr="00A32EB8">
        <w:rPr>
          <w:rFonts w:ascii="Arial" w:hAnsi="Arial" w:cs="Arial"/>
          <w:noProof/>
          <w:szCs w:val="24"/>
        </w:rPr>
        <w:tab/>
        <w:t>Yoneda T, Hiasa M, Nagata Y, et al (2015) Acidic microenvironment and bone pain in cancer-colonized bone. Bonekey Rep 4:1–9. https://doi.org/10.1038/bonekey.2015.58</w:t>
      </w:r>
    </w:p>
    <w:p w14:paraId="272418A9" w14:textId="77777777" w:rsidR="00A32EB8" w:rsidRPr="00A32EB8" w:rsidRDefault="00A32EB8" w:rsidP="00A32EB8">
      <w:pPr>
        <w:widowControl w:val="0"/>
        <w:autoSpaceDE w:val="0"/>
        <w:autoSpaceDN w:val="0"/>
        <w:adjustRightInd w:val="0"/>
        <w:spacing w:line="240" w:lineRule="auto"/>
        <w:ind w:left="640" w:hanging="640"/>
        <w:rPr>
          <w:rFonts w:ascii="Arial" w:hAnsi="Arial" w:cs="Arial"/>
          <w:noProof/>
          <w:szCs w:val="24"/>
        </w:rPr>
      </w:pPr>
      <w:r w:rsidRPr="00A32EB8">
        <w:rPr>
          <w:rFonts w:ascii="Arial" w:hAnsi="Arial" w:cs="Arial"/>
          <w:noProof/>
          <w:szCs w:val="24"/>
        </w:rPr>
        <w:t xml:space="preserve">17. </w:t>
      </w:r>
      <w:r w:rsidRPr="00A32EB8">
        <w:rPr>
          <w:rFonts w:ascii="Arial" w:hAnsi="Arial" w:cs="Arial"/>
          <w:noProof/>
          <w:szCs w:val="24"/>
        </w:rPr>
        <w:tab/>
        <w:t>Mach DB, Rogers SD, Sabino MC, et al (2002) Origins of skeletal pain: Sensory and sympathetic innervation of the mouse femur. Neuroscience 113:155–166. https://doi.org/10.1016/S0306-4522(02)00165-3</w:t>
      </w:r>
    </w:p>
    <w:p w14:paraId="2ED2CD1C" w14:textId="77777777" w:rsidR="00A32EB8" w:rsidRPr="00A32EB8" w:rsidRDefault="00A32EB8" w:rsidP="00A32EB8">
      <w:pPr>
        <w:widowControl w:val="0"/>
        <w:autoSpaceDE w:val="0"/>
        <w:autoSpaceDN w:val="0"/>
        <w:adjustRightInd w:val="0"/>
        <w:spacing w:line="240" w:lineRule="auto"/>
        <w:ind w:left="640" w:hanging="640"/>
        <w:rPr>
          <w:rFonts w:ascii="Arial" w:hAnsi="Arial" w:cs="Arial"/>
          <w:noProof/>
          <w:szCs w:val="24"/>
        </w:rPr>
      </w:pPr>
      <w:r w:rsidRPr="00A32EB8">
        <w:rPr>
          <w:rFonts w:ascii="Arial" w:hAnsi="Arial" w:cs="Arial"/>
          <w:noProof/>
          <w:szCs w:val="24"/>
        </w:rPr>
        <w:t xml:space="preserve">18. </w:t>
      </w:r>
      <w:r w:rsidRPr="00A32EB8">
        <w:rPr>
          <w:rFonts w:ascii="Arial" w:hAnsi="Arial" w:cs="Arial"/>
          <w:noProof/>
          <w:szCs w:val="24"/>
        </w:rPr>
        <w:tab/>
        <w:t>Migliorini F, Maffulli N, Trivellas A, et al (2020) Bone metastases: a comprehensive review of the literature. Mol Biol Rep 47:6337–6345. https://doi.org/10.1007/s11033-020-05684-0</w:t>
      </w:r>
    </w:p>
    <w:p w14:paraId="68136A1C" w14:textId="77777777" w:rsidR="00A32EB8" w:rsidRPr="00A32EB8" w:rsidRDefault="00A32EB8" w:rsidP="00A32EB8">
      <w:pPr>
        <w:widowControl w:val="0"/>
        <w:autoSpaceDE w:val="0"/>
        <w:autoSpaceDN w:val="0"/>
        <w:adjustRightInd w:val="0"/>
        <w:spacing w:line="240" w:lineRule="auto"/>
        <w:ind w:left="640" w:hanging="640"/>
        <w:rPr>
          <w:rFonts w:ascii="Arial" w:hAnsi="Arial" w:cs="Arial"/>
          <w:noProof/>
          <w:szCs w:val="24"/>
        </w:rPr>
      </w:pPr>
      <w:r w:rsidRPr="00A32EB8">
        <w:rPr>
          <w:rFonts w:ascii="Arial" w:hAnsi="Arial" w:cs="Arial"/>
          <w:noProof/>
          <w:szCs w:val="24"/>
        </w:rPr>
        <w:t xml:space="preserve">19. </w:t>
      </w:r>
      <w:r w:rsidRPr="00A32EB8">
        <w:rPr>
          <w:rFonts w:ascii="Arial" w:hAnsi="Arial" w:cs="Arial"/>
          <w:noProof/>
          <w:szCs w:val="24"/>
        </w:rPr>
        <w:tab/>
        <w:t>Macedo F, Ladeira K, Pinho F, et al (2017) Bone metastases: An overview. Oncol Rev 11:. https://doi.org/10.4081/oncol.2017.321</w:t>
      </w:r>
    </w:p>
    <w:p w14:paraId="4BDAA430" w14:textId="77777777" w:rsidR="00A32EB8" w:rsidRPr="00A32EB8" w:rsidRDefault="00A32EB8" w:rsidP="00A32EB8">
      <w:pPr>
        <w:widowControl w:val="0"/>
        <w:autoSpaceDE w:val="0"/>
        <w:autoSpaceDN w:val="0"/>
        <w:adjustRightInd w:val="0"/>
        <w:spacing w:line="240" w:lineRule="auto"/>
        <w:ind w:left="640" w:hanging="640"/>
        <w:rPr>
          <w:rFonts w:ascii="Arial" w:hAnsi="Arial" w:cs="Arial"/>
          <w:noProof/>
          <w:szCs w:val="24"/>
        </w:rPr>
      </w:pPr>
      <w:r w:rsidRPr="00A32EB8">
        <w:rPr>
          <w:rFonts w:ascii="Arial" w:hAnsi="Arial" w:cs="Arial"/>
          <w:noProof/>
          <w:szCs w:val="24"/>
        </w:rPr>
        <w:t xml:space="preserve">20. </w:t>
      </w:r>
      <w:r w:rsidRPr="00A32EB8">
        <w:rPr>
          <w:rFonts w:ascii="Arial" w:hAnsi="Arial" w:cs="Arial"/>
          <w:noProof/>
          <w:szCs w:val="24"/>
        </w:rPr>
        <w:tab/>
        <w:t>Ural A (2020) Advanced Modeling Methods—Applications to Bone Fracture Mechanics. Curr Osteoporos Rep 18:568–576. https://doi.org/10.1007/s11914-020-00615-1</w:t>
      </w:r>
    </w:p>
    <w:p w14:paraId="1DD9B47C" w14:textId="77777777" w:rsidR="00A32EB8" w:rsidRPr="00A32EB8" w:rsidRDefault="00A32EB8" w:rsidP="00A32EB8">
      <w:pPr>
        <w:widowControl w:val="0"/>
        <w:autoSpaceDE w:val="0"/>
        <w:autoSpaceDN w:val="0"/>
        <w:adjustRightInd w:val="0"/>
        <w:spacing w:line="240" w:lineRule="auto"/>
        <w:ind w:left="640" w:hanging="640"/>
        <w:rPr>
          <w:rFonts w:ascii="Arial" w:hAnsi="Arial" w:cs="Arial"/>
          <w:noProof/>
          <w:szCs w:val="24"/>
        </w:rPr>
      </w:pPr>
      <w:r w:rsidRPr="00A32EB8">
        <w:rPr>
          <w:rFonts w:ascii="Arial" w:hAnsi="Arial" w:cs="Arial"/>
          <w:noProof/>
          <w:szCs w:val="24"/>
        </w:rPr>
        <w:t xml:space="preserve">21. </w:t>
      </w:r>
      <w:r w:rsidRPr="00A32EB8">
        <w:rPr>
          <w:rFonts w:ascii="Arial" w:hAnsi="Arial" w:cs="Arial"/>
          <w:noProof/>
          <w:szCs w:val="24"/>
        </w:rPr>
        <w:tab/>
        <w:t>George WT, Vashishth D (2006) Susceptibility of aging human bone to mixed-mode fracture increases bone fragility. Bone 38:105–111. https://doi.org/10.1016/j.bone.2005.08.002</w:t>
      </w:r>
    </w:p>
    <w:p w14:paraId="43EDB3DE" w14:textId="77777777" w:rsidR="00A32EB8" w:rsidRPr="00A32EB8" w:rsidRDefault="00A32EB8" w:rsidP="00A32EB8">
      <w:pPr>
        <w:widowControl w:val="0"/>
        <w:autoSpaceDE w:val="0"/>
        <w:autoSpaceDN w:val="0"/>
        <w:adjustRightInd w:val="0"/>
        <w:spacing w:line="240" w:lineRule="auto"/>
        <w:ind w:left="640" w:hanging="640"/>
        <w:rPr>
          <w:rFonts w:ascii="Arial" w:hAnsi="Arial" w:cs="Arial"/>
          <w:noProof/>
          <w:szCs w:val="24"/>
        </w:rPr>
      </w:pPr>
      <w:r w:rsidRPr="00A32EB8">
        <w:rPr>
          <w:rFonts w:ascii="Arial" w:hAnsi="Arial" w:cs="Arial"/>
          <w:noProof/>
          <w:szCs w:val="24"/>
        </w:rPr>
        <w:t xml:space="preserve">22. </w:t>
      </w:r>
      <w:r w:rsidRPr="00A32EB8">
        <w:rPr>
          <w:rFonts w:ascii="Arial" w:hAnsi="Arial" w:cs="Arial"/>
          <w:noProof/>
          <w:szCs w:val="24"/>
        </w:rPr>
        <w:tab/>
        <w:t xml:space="preserve">Danielle X. Morales, Sara E. Grineski  and TWC (2016) </w:t>
      </w:r>
      <w:r w:rsidRPr="00A32EB8">
        <w:rPr>
          <w:rFonts w:ascii="MS Gothic" w:eastAsia="MS Gothic" w:hAnsi="MS Gothic" w:cs="MS Gothic" w:hint="eastAsia"/>
          <w:noProof/>
          <w:szCs w:val="24"/>
        </w:rPr>
        <w:t>乳鼠心肌提取</w:t>
      </w:r>
      <w:r w:rsidRPr="00A32EB8">
        <w:rPr>
          <w:rFonts w:ascii="Arial" w:hAnsi="Arial" w:cs="Arial"/>
          <w:noProof/>
          <w:szCs w:val="24"/>
        </w:rPr>
        <w:t xml:space="preserve"> HHS Public Access. Physiol Behav 176:139–148. https://doi.org/10.1097/j.pain.0000000000001838.Peripheral</w:t>
      </w:r>
    </w:p>
    <w:p w14:paraId="111A15AE" w14:textId="77777777" w:rsidR="00A32EB8" w:rsidRPr="00A32EB8" w:rsidRDefault="00A32EB8" w:rsidP="00A32EB8">
      <w:pPr>
        <w:widowControl w:val="0"/>
        <w:autoSpaceDE w:val="0"/>
        <w:autoSpaceDN w:val="0"/>
        <w:adjustRightInd w:val="0"/>
        <w:spacing w:line="240" w:lineRule="auto"/>
        <w:ind w:left="640" w:hanging="640"/>
        <w:rPr>
          <w:rFonts w:ascii="Arial" w:hAnsi="Arial" w:cs="Arial"/>
          <w:noProof/>
          <w:szCs w:val="24"/>
        </w:rPr>
      </w:pPr>
      <w:r w:rsidRPr="00A32EB8">
        <w:rPr>
          <w:rFonts w:ascii="Arial" w:hAnsi="Arial" w:cs="Arial"/>
          <w:noProof/>
          <w:szCs w:val="24"/>
        </w:rPr>
        <w:t xml:space="preserve">23. </w:t>
      </w:r>
      <w:r w:rsidRPr="00A32EB8">
        <w:rPr>
          <w:rFonts w:ascii="Arial" w:hAnsi="Arial" w:cs="Arial"/>
          <w:noProof/>
          <w:szCs w:val="24"/>
        </w:rPr>
        <w:tab/>
        <w:t>Messlinger K (1997) [What is nociceptor]. Schmerz 11:353–35366. https://doi.org/10.1007/s004829700058</w:t>
      </w:r>
    </w:p>
    <w:p w14:paraId="30BE795F" w14:textId="77777777" w:rsidR="00A32EB8" w:rsidRPr="00A32EB8" w:rsidRDefault="00A32EB8" w:rsidP="00A32EB8">
      <w:pPr>
        <w:widowControl w:val="0"/>
        <w:autoSpaceDE w:val="0"/>
        <w:autoSpaceDN w:val="0"/>
        <w:adjustRightInd w:val="0"/>
        <w:spacing w:line="240" w:lineRule="auto"/>
        <w:ind w:left="640" w:hanging="640"/>
        <w:rPr>
          <w:rFonts w:ascii="Arial" w:hAnsi="Arial" w:cs="Arial"/>
          <w:noProof/>
          <w:szCs w:val="24"/>
        </w:rPr>
      </w:pPr>
      <w:r w:rsidRPr="00A32EB8">
        <w:rPr>
          <w:rFonts w:ascii="Arial" w:hAnsi="Arial" w:cs="Arial"/>
          <w:noProof/>
          <w:szCs w:val="24"/>
        </w:rPr>
        <w:t xml:space="preserve">24. </w:t>
      </w:r>
      <w:r w:rsidRPr="00A32EB8">
        <w:rPr>
          <w:rFonts w:ascii="Arial" w:hAnsi="Arial" w:cs="Arial"/>
          <w:noProof/>
          <w:szCs w:val="24"/>
        </w:rPr>
        <w:tab/>
        <w:t>Schmidt-Bleek K, Schell H, Kolar P, et al (2009) Cellular composition of the initial fracture hematoma compared to a muscle hematoma: A study in sheep. J Orthop Res 27:1147–1151. https://doi.org/https://doi.org/10.1002/jor.20901</w:t>
      </w:r>
    </w:p>
    <w:p w14:paraId="1642FE17" w14:textId="77777777" w:rsidR="00A32EB8" w:rsidRPr="00A32EB8" w:rsidRDefault="00A32EB8" w:rsidP="00A32EB8">
      <w:pPr>
        <w:widowControl w:val="0"/>
        <w:autoSpaceDE w:val="0"/>
        <w:autoSpaceDN w:val="0"/>
        <w:adjustRightInd w:val="0"/>
        <w:spacing w:line="240" w:lineRule="auto"/>
        <w:ind w:left="640" w:hanging="640"/>
        <w:rPr>
          <w:rFonts w:ascii="Arial" w:hAnsi="Arial" w:cs="Arial"/>
          <w:noProof/>
          <w:szCs w:val="24"/>
        </w:rPr>
      </w:pPr>
      <w:r w:rsidRPr="00A32EB8">
        <w:rPr>
          <w:rFonts w:ascii="Arial" w:hAnsi="Arial" w:cs="Arial"/>
          <w:noProof/>
          <w:szCs w:val="24"/>
        </w:rPr>
        <w:t xml:space="preserve">25. </w:t>
      </w:r>
      <w:r w:rsidRPr="00A32EB8">
        <w:rPr>
          <w:rFonts w:ascii="Arial" w:hAnsi="Arial" w:cs="Arial"/>
          <w:noProof/>
          <w:szCs w:val="24"/>
        </w:rPr>
        <w:tab/>
        <w:t>Sawa-Wejksza K, Kandefer-Szerszeń M (2018) Tumor-Associated Macrophages as Target for Antitumor Therapy. Arch Immunol Ther Exp (Warsz) 66:97–111. https://doi.org/10.1007/s00005-017-0480-8</w:t>
      </w:r>
    </w:p>
    <w:p w14:paraId="231A8443" w14:textId="77777777" w:rsidR="00A32EB8" w:rsidRPr="00A32EB8" w:rsidRDefault="00A32EB8" w:rsidP="00A32EB8">
      <w:pPr>
        <w:widowControl w:val="0"/>
        <w:autoSpaceDE w:val="0"/>
        <w:autoSpaceDN w:val="0"/>
        <w:adjustRightInd w:val="0"/>
        <w:spacing w:line="240" w:lineRule="auto"/>
        <w:ind w:left="640" w:hanging="640"/>
        <w:rPr>
          <w:rFonts w:ascii="Arial" w:hAnsi="Arial" w:cs="Arial"/>
          <w:noProof/>
          <w:szCs w:val="24"/>
        </w:rPr>
      </w:pPr>
      <w:r w:rsidRPr="00A32EB8">
        <w:rPr>
          <w:rFonts w:ascii="Arial" w:hAnsi="Arial" w:cs="Arial"/>
          <w:noProof/>
          <w:szCs w:val="24"/>
        </w:rPr>
        <w:t xml:space="preserve">26. </w:t>
      </w:r>
      <w:r w:rsidRPr="00A32EB8">
        <w:rPr>
          <w:rFonts w:ascii="Arial" w:hAnsi="Arial" w:cs="Arial"/>
          <w:noProof/>
          <w:szCs w:val="24"/>
        </w:rPr>
        <w:tab/>
        <w:t>Seike W (1976) Electrophysiological and histological studies on the sensibility of the bone marrow  nerve terminal. Yonago Acta Med 20:192–211</w:t>
      </w:r>
    </w:p>
    <w:p w14:paraId="4B50B1E4" w14:textId="77777777" w:rsidR="00A32EB8" w:rsidRPr="00A32EB8" w:rsidRDefault="00A32EB8" w:rsidP="00A32EB8">
      <w:pPr>
        <w:widowControl w:val="0"/>
        <w:autoSpaceDE w:val="0"/>
        <w:autoSpaceDN w:val="0"/>
        <w:adjustRightInd w:val="0"/>
        <w:spacing w:line="240" w:lineRule="auto"/>
        <w:ind w:left="640" w:hanging="640"/>
        <w:rPr>
          <w:rFonts w:ascii="Arial" w:hAnsi="Arial" w:cs="Arial"/>
          <w:noProof/>
          <w:szCs w:val="24"/>
        </w:rPr>
      </w:pPr>
      <w:r w:rsidRPr="00A32EB8">
        <w:rPr>
          <w:rFonts w:ascii="Arial" w:hAnsi="Arial" w:cs="Arial"/>
          <w:noProof/>
          <w:szCs w:val="24"/>
        </w:rPr>
        <w:t xml:space="preserve">27. </w:t>
      </w:r>
      <w:r w:rsidRPr="00A32EB8">
        <w:rPr>
          <w:rFonts w:ascii="Arial" w:hAnsi="Arial" w:cs="Arial"/>
          <w:noProof/>
          <w:szCs w:val="24"/>
        </w:rPr>
        <w:tab/>
        <w:t>Chapurlat RD, Gensburger D, Jimenez-Andrade JM, et al (2012) Pathophysiology and medical treatment of pain in fibrous dysplasia of bone. Orphanet J Rare Dis 7:1–9. https://doi.org/10.1186/1750-1172-7-S1-S3</w:t>
      </w:r>
    </w:p>
    <w:p w14:paraId="71C55077" w14:textId="77777777" w:rsidR="00A32EB8" w:rsidRPr="00A32EB8" w:rsidRDefault="00A32EB8" w:rsidP="00A32EB8">
      <w:pPr>
        <w:widowControl w:val="0"/>
        <w:autoSpaceDE w:val="0"/>
        <w:autoSpaceDN w:val="0"/>
        <w:adjustRightInd w:val="0"/>
        <w:spacing w:line="240" w:lineRule="auto"/>
        <w:ind w:left="640" w:hanging="640"/>
        <w:rPr>
          <w:rFonts w:ascii="Arial" w:hAnsi="Arial" w:cs="Arial"/>
          <w:noProof/>
          <w:szCs w:val="24"/>
        </w:rPr>
      </w:pPr>
      <w:r w:rsidRPr="00A32EB8">
        <w:rPr>
          <w:rFonts w:ascii="Arial" w:hAnsi="Arial" w:cs="Arial"/>
          <w:noProof/>
          <w:szCs w:val="24"/>
        </w:rPr>
        <w:t xml:space="preserve">28. </w:t>
      </w:r>
      <w:r w:rsidRPr="00A32EB8">
        <w:rPr>
          <w:rFonts w:ascii="Arial" w:hAnsi="Arial" w:cs="Arial"/>
          <w:noProof/>
          <w:szCs w:val="24"/>
        </w:rPr>
        <w:tab/>
        <w:t>Wakabayashi H, Hiraga T, Yoneda T (2006) Mechanism of cancer-induced bone pain. Clin Calcium 16:73–79. https://doi.org/CliCa0604605611</w:t>
      </w:r>
    </w:p>
    <w:p w14:paraId="39ACE0DD" w14:textId="77777777" w:rsidR="00A32EB8" w:rsidRPr="00A32EB8" w:rsidRDefault="00A32EB8" w:rsidP="00A32EB8">
      <w:pPr>
        <w:widowControl w:val="0"/>
        <w:autoSpaceDE w:val="0"/>
        <w:autoSpaceDN w:val="0"/>
        <w:adjustRightInd w:val="0"/>
        <w:spacing w:line="240" w:lineRule="auto"/>
        <w:ind w:left="640" w:hanging="640"/>
        <w:rPr>
          <w:rFonts w:ascii="Arial" w:hAnsi="Arial" w:cs="Arial"/>
          <w:noProof/>
          <w:szCs w:val="24"/>
        </w:rPr>
      </w:pPr>
      <w:r w:rsidRPr="00A32EB8">
        <w:rPr>
          <w:rFonts w:ascii="Arial" w:hAnsi="Arial" w:cs="Arial"/>
          <w:noProof/>
          <w:szCs w:val="24"/>
        </w:rPr>
        <w:t xml:space="preserve">29. </w:t>
      </w:r>
      <w:r w:rsidRPr="00A32EB8">
        <w:rPr>
          <w:rFonts w:ascii="Arial" w:hAnsi="Arial" w:cs="Arial"/>
          <w:noProof/>
          <w:szCs w:val="24"/>
        </w:rPr>
        <w:tab/>
        <w:t>COLEMAN R (2001) The role of zoledronic acid in cancer: Clinical studies in the treatment and prevention of bone metastases. Semin Oncol 28:11–16. https://doi.org/10.1016/s0093-7754(01)90260-x</w:t>
      </w:r>
    </w:p>
    <w:p w14:paraId="383B4D09" w14:textId="77777777" w:rsidR="00A32EB8" w:rsidRPr="00A32EB8" w:rsidRDefault="00A32EB8" w:rsidP="00A32EB8">
      <w:pPr>
        <w:widowControl w:val="0"/>
        <w:autoSpaceDE w:val="0"/>
        <w:autoSpaceDN w:val="0"/>
        <w:adjustRightInd w:val="0"/>
        <w:spacing w:line="240" w:lineRule="auto"/>
        <w:ind w:left="640" w:hanging="640"/>
        <w:rPr>
          <w:rFonts w:ascii="Arial" w:hAnsi="Arial" w:cs="Arial"/>
          <w:noProof/>
          <w:szCs w:val="24"/>
        </w:rPr>
      </w:pPr>
      <w:r w:rsidRPr="00A32EB8">
        <w:rPr>
          <w:rFonts w:ascii="Arial" w:hAnsi="Arial" w:cs="Arial"/>
          <w:noProof/>
          <w:szCs w:val="24"/>
        </w:rPr>
        <w:t xml:space="preserve">30. </w:t>
      </w:r>
      <w:r w:rsidRPr="00A32EB8">
        <w:rPr>
          <w:rFonts w:ascii="Arial" w:hAnsi="Arial" w:cs="Arial"/>
          <w:noProof/>
          <w:szCs w:val="24"/>
        </w:rPr>
        <w:tab/>
        <w:t>Costa L, Major PP (2009) Effect of bisphosphonates on pain and quality of life in patients with bone metastases. Nat Clin Pract Oncol 6:163–174. https://doi.org/10.1038/ncponc1323</w:t>
      </w:r>
    </w:p>
    <w:p w14:paraId="56072870" w14:textId="77777777" w:rsidR="00A32EB8" w:rsidRPr="00A32EB8" w:rsidRDefault="00A32EB8" w:rsidP="00A32EB8">
      <w:pPr>
        <w:widowControl w:val="0"/>
        <w:autoSpaceDE w:val="0"/>
        <w:autoSpaceDN w:val="0"/>
        <w:adjustRightInd w:val="0"/>
        <w:spacing w:line="240" w:lineRule="auto"/>
        <w:ind w:left="640" w:hanging="640"/>
        <w:rPr>
          <w:rFonts w:ascii="Arial" w:hAnsi="Arial" w:cs="Arial"/>
          <w:noProof/>
          <w:szCs w:val="24"/>
        </w:rPr>
      </w:pPr>
      <w:r w:rsidRPr="00A32EB8">
        <w:rPr>
          <w:rFonts w:ascii="Arial" w:hAnsi="Arial" w:cs="Arial"/>
          <w:noProof/>
          <w:szCs w:val="24"/>
        </w:rPr>
        <w:t xml:space="preserve">31. </w:t>
      </w:r>
      <w:r w:rsidRPr="00A32EB8">
        <w:rPr>
          <w:rFonts w:ascii="Arial" w:hAnsi="Arial" w:cs="Arial"/>
          <w:noProof/>
          <w:szCs w:val="24"/>
        </w:rPr>
        <w:tab/>
        <w:t>Clohisy DR, Mantyh PW (2004) Bone cancer pain and the role of RANKL/OPG. J Musculoskelet Neuronal Interact 4:293–300</w:t>
      </w:r>
    </w:p>
    <w:p w14:paraId="6BA7262E" w14:textId="77777777" w:rsidR="00A32EB8" w:rsidRPr="00A32EB8" w:rsidRDefault="00A32EB8" w:rsidP="00A32EB8">
      <w:pPr>
        <w:widowControl w:val="0"/>
        <w:autoSpaceDE w:val="0"/>
        <w:autoSpaceDN w:val="0"/>
        <w:adjustRightInd w:val="0"/>
        <w:spacing w:line="240" w:lineRule="auto"/>
        <w:ind w:left="640" w:hanging="640"/>
        <w:rPr>
          <w:rFonts w:ascii="Arial" w:hAnsi="Arial" w:cs="Arial"/>
          <w:noProof/>
          <w:szCs w:val="24"/>
        </w:rPr>
      </w:pPr>
      <w:r w:rsidRPr="00A32EB8">
        <w:rPr>
          <w:rFonts w:ascii="Arial" w:hAnsi="Arial" w:cs="Arial"/>
          <w:noProof/>
          <w:szCs w:val="24"/>
        </w:rPr>
        <w:lastRenderedPageBreak/>
        <w:t xml:space="preserve">32. </w:t>
      </w:r>
      <w:r w:rsidRPr="00A32EB8">
        <w:rPr>
          <w:rFonts w:ascii="Arial" w:hAnsi="Arial" w:cs="Arial"/>
          <w:noProof/>
          <w:szCs w:val="24"/>
        </w:rPr>
        <w:tab/>
        <w:t>Lipton A, Jun S (2008) RANKL inhibition in the treatment of bone metastases. Curr Opin Support Palliat Care 2:197–203. https://doi.org/10.1097/SPC.0b013e32830baac2</w:t>
      </w:r>
    </w:p>
    <w:p w14:paraId="06709638" w14:textId="77777777" w:rsidR="00A32EB8" w:rsidRPr="00A32EB8" w:rsidRDefault="00A32EB8" w:rsidP="00A32EB8">
      <w:pPr>
        <w:widowControl w:val="0"/>
        <w:autoSpaceDE w:val="0"/>
        <w:autoSpaceDN w:val="0"/>
        <w:adjustRightInd w:val="0"/>
        <w:spacing w:line="240" w:lineRule="auto"/>
        <w:ind w:left="640" w:hanging="640"/>
        <w:rPr>
          <w:rFonts w:ascii="Arial" w:hAnsi="Arial" w:cs="Arial"/>
          <w:noProof/>
          <w:szCs w:val="24"/>
        </w:rPr>
      </w:pPr>
      <w:r w:rsidRPr="00A32EB8">
        <w:rPr>
          <w:rFonts w:ascii="Arial" w:hAnsi="Arial" w:cs="Arial"/>
          <w:noProof/>
          <w:szCs w:val="24"/>
        </w:rPr>
        <w:t xml:space="preserve">33. </w:t>
      </w:r>
      <w:r w:rsidRPr="00A32EB8">
        <w:rPr>
          <w:rFonts w:ascii="Arial" w:hAnsi="Arial" w:cs="Arial"/>
          <w:noProof/>
          <w:szCs w:val="24"/>
        </w:rPr>
        <w:tab/>
        <w:t>Mantyh PW (2019) Mechanisms that drive bone pain across the lifespan. Br J Clin Pharmacol 85:1103–1113. https://doi.org/10.1111/bcp.13801</w:t>
      </w:r>
    </w:p>
    <w:p w14:paraId="283F9E37" w14:textId="77777777" w:rsidR="00A32EB8" w:rsidRPr="00A32EB8" w:rsidRDefault="00A32EB8" w:rsidP="00A32EB8">
      <w:pPr>
        <w:widowControl w:val="0"/>
        <w:autoSpaceDE w:val="0"/>
        <w:autoSpaceDN w:val="0"/>
        <w:adjustRightInd w:val="0"/>
        <w:spacing w:line="240" w:lineRule="auto"/>
        <w:ind w:left="640" w:hanging="640"/>
        <w:rPr>
          <w:rFonts w:ascii="Arial" w:hAnsi="Arial" w:cs="Arial"/>
          <w:noProof/>
          <w:szCs w:val="24"/>
        </w:rPr>
      </w:pPr>
      <w:r w:rsidRPr="00A32EB8">
        <w:rPr>
          <w:rFonts w:ascii="Arial" w:hAnsi="Arial" w:cs="Arial"/>
          <w:noProof/>
          <w:szCs w:val="24"/>
        </w:rPr>
        <w:t xml:space="preserve">34. </w:t>
      </w:r>
      <w:r w:rsidRPr="00A32EB8">
        <w:rPr>
          <w:rFonts w:ascii="Arial" w:hAnsi="Arial" w:cs="Arial"/>
          <w:noProof/>
          <w:szCs w:val="24"/>
        </w:rPr>
        <w:tab/>
        <w:t>Upadhya R K, Shenoy L, Venkateswaran R (2018) Effect of intravenous dexmedetomidine administered as bolus or as bolus-plus-infusion on subarachnoid anesthesia with hyperbaric bupivacaine. J Anaesthesiol Clin Pharmacol 34:46–50. https://doi.org/10.4103/joacp.JOACP</w:t>
      </w:r>
    </w:p>
    <w:p w14:paraId="2BA55C7A" w14:textId="77777777" w:rsidR="00A32EB8" w:rsidRPr="00A32EB8" w:rsidRDefault="00A32EB8" w:rsidP="00A32EB8">
      <w:pPr>
        <w:widowControl w:val="0"/>
        <w:autoSpaceDE w:val="0"/>
        <w:autoSpaceDN w:val="0"/>
        <w:adjustRightInd w:val="0"/>
        <w:spacing w:line="240" w:lineRule="auto"/>
        <w:ind w:left="640" w:hanging="640"/>
        <w:rPr>
          <w:rFonts w:ascii="Arial" w:hAnsi="Arial" w:cs="Arial"/>
          <w:noProof/>
          <w:szCs w:val="24"/>
        </w:rPr>
      </w:pPr>
      <w:r w:rsidRPr="00A32EB8">
        <w:rPr>
          <w:rFonts w:ascii="Arial" w:hAnsi="Arial" w:cs="Arial"/>
          <w:noProof/>
          <w:szCs w:val="24"/>
        </w:rPr>
        <w:t xml:space="preserve">35. </w:t>
      </w:r>
      <w:r w:rsidRPr="00A32EB8">
        <w:rPr>
          <w:rFonts w:ascii="Arial" w:hAnsi="Arial" w:cs="Arial"/>
          <w:noProof/>
          <w:szCs w:val="24"/>
        </w:rPr>
        <w:tab/>
        <w:t>Pountos I, Georgouli T, Calori GM, Giannoudis P V. (2012) Do nonsteroidal anti-inflammatory drugs affect bone healing? A critical analysis. ScientificWorldJournal 2012:. https://doi.org/10.1100/2012/606404</w:t>
      </w:r>
    </w:p>
    <w:p w14:paraId="01D98C84" w14:textId="77777777" w:rsidR="00A32EB8" w:rsidRPr="00A32EB8" w:rsidRDefault="00A32EB8" w:rsidP="00A32EB8">
      <w:pPr>
        <w:widowControl w:val="0"/>
        <w:autoSpaceDE w:val="0"/>
        <w:autoSpaceDN w:val="0"/>
        <w:adjustRightInd w:val="0"/>
        <w:spacing w:line="240" w:lineRule="auto"/>
        <w:ind w:left="640" w:hanging="640"/>
        <w:rPr>
          <w:rFonts w:ascii="Arial" w:hAnsi="Arial" w:cs="Arial"/>
          <w:noProof/>
          <w:szCs w:val="24"/>
        </w:rPr>
      </w:pPr>
      <w:r w:rsidRPr="00A32EB8">
        <w:rPr>
          <w:rFonts w:ascii="Arial" w:hAnsi="Arial" w:cs="Arial"/>
          <w:noProof/>
          <w:szCs w:val="24"/>
        </w:rPr>
        <w:t xml:space="preserve">36. </w:t>
      </w:r>
      <w:r w:rsidRPr="00A32EB8">
        <w:rPr>
          <w:rFonts w:ascii="Arial" w:hAnsi="Arial" w:cs="Arial"/>
          <w:noProof/>
          <w:szCs w:val="24"/>
        </w:rPr>
        <w:tab/>
        <w:t>Al Farii H, Farahdel L, Frazer A, et al (2021) The effect of NSAIDs on postfracture bone healing: a meta-analysis of randomized controlled trials. OTA Int Open Access J Orthop Trauma 4:e092. https://doi.org/10.1097/oi9.0000000000000092</w:t>
      </w:r>
    </w:p>
    <w:p w14:paraId="11F04F6A" w14:textId="77777777" w:rsidR="00A32EB8" w:rsidRPr="00A32EB8" w:rsidRDefault="00A32EB8" w:rsidP="00A32EB8">
      <w:pPr>
        <w:widowControl w:val="0"/>
        <w:autoSpaceDE w:val="0"/>
        <w:autoSpaceDN w:val="0"/>
        <w:adjustRightInd w:val="0"/>
        <w:spacing w:line="240" w:lineRule="auto"/>
        <w:ind w:left="640" w:hanging="640"/>
        <w:rPr>
          <w:rFonts w:ascii="Arial" w:hAnsi="Arial" w:cs="Arial"/>
          <w:noProof/>
          <w:szCs w:val="24"/>
        </w:rPr>
      </w:pPr>
      <w:r w:rsidRPr="00A32EB8">
        <w:rPr>
          <w:rFonts w:ascii="Arial" w:hAnsi="Arial" w:cs="Arial"/>
          <w:noProof/>
          <w:szCs w:val="24"/>
        </w:rPr>
        <w:t xml:space="preserve">37. </w:t>
      </w:r>
      <w:r w:rsidRPr="00A32EB8">
        <w:rPr>
          <w:rFonts w:ascii="Arial" w:hAnsi="Arial" w:cs="Arial"/>
          <w:noProof/>
          <w:szCs w:val="24"/>
        </w:rPr>
        <w:tab/>
        <w:t>Watanabe S, Bruera E (1994) Corticosteroids as adjuvant analgesics. J Pain Symptom Manage 9:442–445. https://doi.org/10.1016/0885-3924(94)90200-3</w:t>
      </w:r>
    </w:p>
    <w:p w14:paraId="4B235679" w14:textId="77777777" w:rsidR="00A32EB8" w:rsidRPr="00A32EB8" w:rsidRDefault="00A32EB8" w:rsidP="00A32EB8">
      <w:pPr>
        <w:widowControl w:val="0"/>
        <w:autoSpaceDE w:val="0"/>
        <w:autoSpaceDN w:val="0"/>
        <w:adjustRightInd w:val="0"/>
        <w:spacing w:line="240" w:lineRule="auto"/>
        <w:ind w:left="640" w:hanging="640"/>
        <w:rPr>
          <w:rFonts w:ascii="Arial" w:hAnsi="Arial" w:cs="Arial"/>
          <w:noProof/>
          <w:szCs w:val="24"/>
        </w:rPr>
      </w:pPr>
      <w:r w:rsidRPr="00A32EB8">
        <w:rPr>
          <w:rFonts w:ascii="Arial" w:hAnsi="Arial" w:cs="Arial"/>
          <w:noProof/>
          <w:szCs w:val="24"/>
        </w:rPr>
        <w:t xml:space="preserve">38. </w:t>
      </w:r>
      <w:r w:rsidRPr="00A32EB8">
        <w:rPr>
          <w:rFonts w:ascii="Arial" w:hAnsi="Arial" w:cs="Arial"/>
          <w:noProof/>
          <w:szCs w:val="24"/>
        </w:rPr>
        <w:tab/>
        <w:t>Mensah-Nyagan AG, Meyer L, Schaeffer V, et al (2009) Evidence for a key role of steroids in the modulation of pain. Psychoneuroendocrinology 34 Suppl 1:S169-77. https://doi.org/10.1016/j.psyneuen.2009.06.004</w:t>
      </w:r>
    </w:p>
    <w:p w14:paraId="25B93CF2" w14:textId="77777777" w:rsidR="00A32EB8" w:rsidRPr="00A32EB8" w:rsidRDefault="00A32EB8" w:rsidP="00A32EB8">
      <w:pPr>
        <w:widowControl w:val="0"/>
        <w:autoSpaceDE w:val="0"/>
        <w:autoSpaceDN w:val="0"/>
        <w:adjustRightInd w:val="0"/>
        <w:spacing w:line="240" w:lineRule="auto"/>
        <w:ind w:left="640" w:hanging="640"/>
        <w:rPr>
          <w:rFonts w:ascii="Arial" w:hAnsi="Arial" w:cs="Arial"/>
          <w:noProof/>
          <w:szCs w:val="24"/>
        </w:rPr>
      </w:pPr>
      <w:r w:rsidRPr="00A32EB8">
        <w:rPr>
          <w:rFonts w:ascii="Arial" w:hAnsi="Arial" w:cs="Arial"/>
          <w:noProof/>
          <w:szCs w:val="24"/>
        </w:rPr>
        <w:t xml:space="preserve">39. </w:t>
      </w:r>
      <w:r w:rsidRPr="00A32EB8">
        <w:rPr>
          <w:rFonts w:ascii="Arial" w:hAnsi="Arial" w:cs="Arial"/>
          <w:noProof/>
          <w:szCs w:val="24"/>
        </w:rPr>
        <w:tab/>
        <w:t>Sengupta D, Waldman SD, Li S (2014) From in vitro to in situ tissue engineering. Ann Biomed Eng 42:1537–1545. https://doi.org/10.1007/s10439-014-1022-8</w:t>
      </w:r>
    </w:p>
    <w:p w14:paraId="4E63D359" w14:textId="77777777" w:rsidR="00A32EB8" w:rsidRPr="00A32EB8" w:rsidRDefault="00A32EB8" w:rsidP="00A32EB8">
      <w:pPr>
        <w:widowControl w:val="0"/>
        <w:autoSpaceDE w:val="0"/>
        <w:autoSpaceDN w:val="0"/>
        <w:adjustRightInd w:val="0"/>
        <w:spacing w:line="240" w:lineRule="auto"/>
        <w:ind w:left="640" w:hanging="640"/>
        <w:rPr>
          <w:rFonts w:ascii="Arial" w:hAnsi="Arial" w:cs="Arial"/>
          <w:noProof/>
          <w:szCs w:val="24"/>
        </w:rPr>
      </w:pPr>
      <w:r w:rsidRPr="00A32EB8">
        <w:rPr>
          <w:rFonts w:ascii="Arial" w:hAnsi="Arial" w:cs="Arial"/>
          <w:noProof/>
          <w:szCs w:val="24"/>
        </w:rPr>
        <w:t xml:space="preserve">40. </w:t>
      </w:r>
      <w:r w:rsidRPr="00A32EB8">
        <w:rPr>
          <w:rFonts w:ascii="Arial" w:hAnsi="Arial" w:cs="Arial"/>
          <w:noProof/>
          <w:szCs w:val="24"/>
        </w:rPr>
        <w:tab/>
        <w:t>Zhu W, Ma X, Gou M, et al (2016) 3D printing of functional biomaterials for tissue engineering. Curr Opin Biotechnol 40:103–112. https://doi.org/10.1016/j.copbio.2016.03.014</w:t>
      </w:r>
    </w:p>
    <w:p w14:paraId="66AFE974" w14:textId="77777777" w:rsidR="00A32EB8" w:rsidRPr="00A32EB8" w:rsidRDefault="00A32EB8" w:rsidP="00A32EB8">
      <w:pPr>
        <w:widowControl w:val="0"/>
        <w:autoSpaceDE w:val="0"/>
        <w:autoSpaceDN w:val="0"/>
        <w:adjustRightInd w:val="0"/>
        <w:spacing w:line="240" w:lineRule="auto"/>
        <w:ind w:left="640" w:hanging="640"/>
        <w:rPr>
          <w:rFonts w:ascii="Arial" w:hAnsi="Arial" w:cs="Arial"/>
          <w:noProof/>
          <w:szCs w:val="24"/>
        </w:rPr>
      </w:pPr>
      <w:r w:rsidRPr="00A32EB8">
        <w:rPr>
          <w:rFonts w:ascii="Arial" w:hAnsi="Arial" w:cs="Arial"/>
          <w:noProof/>
          <w:szCs w:val="24"/>
        </w:rPr>
        <w:t xml:space="preserve">41. </w:t>
      </w:r>
      <w:r w:rsidRPr="00A32EB8">
        <w:rPr>
          <w:rFonts w:ascii="Arial" w:hAnsi="Arial" w:cs="Arial"/>
          <w:noProof/>
          <w:szCs w:val="24"/>
        </w:rPr>
        <w:tab/>
        <w:t>Alvarez-Viejo M, Menendez-Menendez Y, Blanco-Gelaz MA, et al (2013) Quantifying Mesenchymal Stem Cells in the Mononuclear Cell Fraction of Bone Marrow Samples Obtained for Cell Therapy. Transplant Proc 45:434–439. https://doi.org/https://doi.org/10.1016/j.transproceed.2012.05.091</w:t>
      </w:r>
    </w:p>
    <w:p w14:paraId="059BE51B" w14:textId="77777777" w:rsidR="00A32EB8" w:rsidRPr="00A32EB8" w:rsidRDefault="00A32EB8" w:rsidP="00A32EB8">
      <w:pPr>
        <w:widowControl w:val="0"/>
        <w:autoSpaceDE w:val="0"/>
        <w:autoSpaceDN w:val="0"/>
        <w:adjustRightInd w:val="0"/>
        <w:spacing w:line="240" w:lineRule="auto"/>
        <w:ind w:left="640" w:hanging="640"/>
        <w:rPr>
          <w:rFonts w:ascii="Arial" w:hAnsi="Arial" w:cs="Arial"/>
          <w:noProof/>
          <w:szCs w:val="24"/>
        </w:rPr>
      </w:pPr>
      <w:r w:rsidRPr="00A32EB8">
        <w:rPr>
          <w:rFonts w:ascii="Arial" w:hAnsi="Arial" w:cs="Arial"/>
          <w:noProof/>
          <w:szCs w:val="24"/>
        </w:rPr>
        <w:t xml:space="preserve">42. </w:t>
      </w:r>
      <w:r w:rsidRPr="00A32EB8">
        <w:rPr>
          <w:rFonts w:ascii="Arial" w:hAnsi="Arial" w:cs="Arial"/>
          <w:noProof/>
          <w:szCs w:val="24"/>
        </w:rPr>
        <w:tab/>
        <w:t>Borciani G, Montalbano G, Baldini N, et al (2020) Co–culture systems of osteoblasts and osteoclasts: Simulating in vitro bone remodeling in regenerative approaches. Acta Biomater 108:22–45. https://doi.org/10.1016/j.actbio.2020.03.043</w:t>
      </w:r>
    </w:p>
    <w:p w14:paraId="48B0E7BE" w14:textId="77777777" w:rsidR="00A32EB8" w:rsidRPr="00A32EB8" w:rsidRDefault="00A32EB8" w:rsidP="00A32EB8">
      <w:pPr>
        <w:widowControl w:val="0"/>
        <w:autoSpaceDE w:val="0"/>
        <w:autoSpaceDN w:val="0"/>
        <w:adjustRightInd w:val="0"/>
        <w:spacing w:line="240" w:lineRule="auto"/>
        <w:ind w:left="640" w:hanging="640"/>
        <w:rPr>
          <w:rFonts w:ascii="Arial" w:hAnsi="Arial" w:cs="Arial"/>
          <w:noProof/>
          <w:szCs w:val="24"/>
        </w:rPr>
      </w:pPr>
      <w:r w:rsidRPr="00A32EB8">
        <w:rPr>
          <w:rFonts w:ascii="Arial" w:hAnsi="Arial" w:cs="Arial"/>
          <w:noProof/>
          <w:szCs w:val="24"/>
        </w:rPr>
        <w:t xml:space="preserve">43. </w:t>
      </w:r>
      <w:r w:rsidRPr="00A32EB8">
        <w:rPr>
          <w:rFonts w:ascii="Arial" w:hAnsi="Arial" w:cs="Arial"/>
          <w:noProof/>
          <w:szCs w:val="24"/>
        </w:rPr>
        <w:tab/>
        <w:t>Bianco P, Robey PG (2001) Stem cells in tissue engineering. Nature 414:118–121. https://doi.org/10.1038/35102181</w:t>
      </w:r>
    </w:p>
    <w:p w14:paraId="45B740EF" w14:textId="77777777" w:rsidR="00A32EB8" w:rsidRPr="00A32EB8" w:rsidRDefault="00A32EB8" w:rsidP="00A32EB8">
      <w:pPr>
        <w:widowControl w:val="0"/>
        <w:autoSpaceDE w:val="0"/>
        <w:autoSpaceDN w:val="0"/>
        <w:adjustRightInd w:val="0"/>
        <w:spacing w:line="240" w:lineRule="auto"/>
        <w:ind w:left="640" w:hanging="640"/>
        <w:rPr>
          <w:rFonts w:ascii="Arial" w:hAnsi="Arial" w:cs="Arial"/>
          <w:noProof/>
          <w:szCs w:val="24"/>
        </w:rPr>
      </w:pPr>
      <w:r w:rsidRPr="00A32EB8">
        <w:rPr>
          <w:rFonts w:ascii="Arial" w:hAnsi="Arial" w:cs="Arial"/>
          <w:noProof/>
          <w:szCs w:val="24"/>
        </w:rPr>
        <w:t xml:space="preserve">44. </w:t>
      </w:r>
      <w:r w:rsidRPr="00A32EB8">
        <w:rPr>
          <w:rFonts w:ascii="Arial" w:hAnsi="Arial" w:cs="Arial"/>
          <w:noProof/>
          <w:szCs w:val="24"/>
        </w:rPr>
        <w:tab/>
        <w:t>Chrysostomidou L, Cooper AH, Weir GA (2021) Cellular models of pain: New technologies and their potential to progress preclinical research. Neurobiol Pain 10:100063. https://doi.org/10.1016/j.ynpai.2021.100063</w:t>
      </w:r>
    </w:p>
    <w:p w14:paraId="2242F3A8" w14:textId="77777777" w:rsidR="00A32EB8" w:rsidRPr="00A32EB8" w:rsidRDefault="00A32EB8" w:rsidP="00A32EB8">
      <w:pPr>
        <w:widowControl w:val="0"/>
        <w:autoSpaceDE w:val="0"/>
        <w:autoSpaceDN w:val="0"/>
        <w:adjustRightInd w:val="0"/>
        <w:spacing w:line="240" w:lineRule="auto"/>
        <w:ind w:left="640" w:hanging="640"/>
        <w:rPr>
          <w:rFonts w:ascii="Arial" w:hAnsi="Arial" w:cs="Arial"/>
          <w:noProof/>
          <w:szCs w:val="24"/>
        </w:rPr>
      </w:pPr>
      <w:r w:rsidRPr="00A32EB8">
        <w:rPr>
          <w:rFonts w:ascii="Arial" w:hAnsi="Arial" w:cs="Arial"/>
          <w:noProof/>
          <w:szCs w:val="24"/>
        </w:rPr>
        <w:t xml:space="preserve">45. </w:t>
      </w:r>
      <w:r w:rsidRPr="00A32EB8">
        <w:rPr>
          <w:rFonts w:ascii="Arial" w:hAnsi="Arial" w:cs="Arial"/>
          <w:noProof/>
          <w:szCs w:val="24"/>
        </w:rPr>
        <w:tab/>
        <w:t>Lee G, Chambers SM, Tomishima MJ, Studer L (2010) Derivation of neural crest cells from human pluripotent stem cells. Nat Protoc 5:688–701. https://doi.org/10.1038/nprot.2010.35</w:t>
      </w:r>
    </w:p>
    <w:p w14:paraId="7D8A3DE8" w14:textId="77777777" w:rsidR="00A32EB8" w:rsidRPr="00A32EB8" w:rsidRDefault="00A32EB8" w:rsidP="00A32EB8">
      <w:pPr>
        <w:widowControl w:val="0"/>
        <w:autoSpaceDE w:val="0"/>
        <w:autoSpaceDN w:val="0"/>
        <w:adjustRightInd w:val="0"/>
        <w:spacing w:line="240" w:lineRule="auto"/>
        <w:ind w:left="640" w:hanging="640"/>
        <w:rPr>
          <w:rFonts w:ascii="Arial" w:hAnsi="Arial" w:cs="Arial"/>
          <w:noProof/>
          <w:szCs w:val="24"/>
        </w:rPr>
      </w:pPr>
      <w:r w:rsidRPr="00A32EB8">
        <w:rPr>
          <w:rFonts w:ascii="Arial" w:hAnsi="Arial" w:cs="Arial"/>
          <w:noProof/>
          <w:szCs w:val="24"/>
        </w:rPr>
        <w:t xml:space="preserve">46. </w:t>
      </w:r>
      <w:r w:rsidRPr="00A32EB8">
        <w:rPr>
          <w:rFonts w:ascii="Arial" w:hAnsi="Arial" w:cs="Arial"/>
          <w:noProof/>
          <w:szCs w:val="24"/>
        </w:rPr>
        <w:tab/>
        <w:t>Chakrabarti S, Hore Z, Pattison LA, et al (2020) Sensitization of knee-innervating sensory neurons by tumor necrosis factor-α-activated fibroblast-like synoviocytes: an in vitro, coculture model of inflammatory pain. Pain 161:2129–2141. https://doi.org/10.1097/j.pain.0000000000001890</w:t>
      </w:r>
    </w:p>
    <w:p w14:paraId="3B75F13B" w14:textId="77777777" w:rsidR="00A32EB8" w:rsidRPr="00A32EB8" w:rsidRDefault="00A32EB8" w:rsidP="00A32EB8">
      <w:pPr>
        <w:widowControl w:val="0"/>
        <w:autoSpaceDE w:val="0"/>
        <w:autoSpaceDN w:val="0"/>
        <w:adjustRightInd w:val="0"/>
        <w:spacing w:line="240" w:lineRule="auto"/>
        <w:ind w:left="640" w:hanging="640"/>
        <w:rPr>
          <w:rFonts w:ascii="Arial" w:hAnsi="Arial" w:cs="Arial"/>
          <w:noProof/>
          <w:szCs w:val="24"/>
        </w:rPr>
      </w:pPr>
      <w:r w:rsidRPr="00A32EB8">
        <w:rPr>
          <w:rFonts w:ascii="Arial" w:hAnsi="Arial" w:cs="Arial"/>
          <w:noProof/>
          <w:szCs w:val="24"/>
        </w:rPr>
        <w:t xml:space="preserve">47. </w:t>
      </w:r>
      <w:r w:rsidRPr="00A32EB8">
        <w:rPr>
          <w:rFonts w:ascii="Arial" w:hAnsi="Arial" w:cs="Arial"/>
          <w:noProof/>
          <w:szCs w:val="24"/>
        </w:rPr>
        <w:tab/>
        <w:t xml:space="preserve">Vedadghavami A, Minooei F, Mohammadi MH, et al (2017) Manufacturing of hydrogel </w:t>
      </w:r>
      <w:r w:rsidRPr="00A32EB8">
        <w:rPr>
          <w:rFonts w:ascii="Arial" w:hAnsi="Arial" w:cs="Arial"/>
          <w:noProof/>
          <w:szCs w:val="24"/>
        </w:rPr>
        <w:lastRenderedPageBreak/>
        <w:t>biomaterials with controlled mechanical properties for tissue engineering applications. Acta Biomater 62:42–63. https://doi.org/10.1016/j.actbio.2017.07.028</w:t>
      </w:r>
    </w:p>
    <w:p w14:paraId="36B43954" w14:textId="77777777" w:rsidR="00A32EB8" w:rsidRPr="00A32EB8" w:rsidRDefault="00A32EB8" w:rsidP="00A32EB8">
      <w:pPr>
        <w:widowControl w:val="0"/>
        <w:autoSpaceDE w:val="0"/>
        <w:autoSpaceDN w:val="0"/>
        <w:adjustRightInd w:val="0"/>
        <w:spacing w:line="240" w:lineRule="auto"/>
        <w:ind w:left="640" w:hanging="640"/>
        <w:rPr>
          <w:rFonts w:ascii="Arial" w:hAnsi="Arial" w:cs="Arial"/>
          <w:noProof/>
          <w:szCs w:val="24"/>
        </w:rPr>
      </w:pPr>
      <w:r w:rsidRPr="00A32EB8">
        <w:rPr>
          <w:rFonts w:ascii="Arial" w:hAnsi="Arial" w:cs="Arial"/>
          <w:noProof/>
          <w:szCs w:val="24"/>
        </w:rPr>
        <w:t xml:space="preserve">48. </w:t>
      </w:r>
      <w:r w:rsidRPr="00A32EB8">
        <w:rPr>
          <w:rFonts w:ascii="Arial" w:hAnsi="Arial" w:cs="Arial"/>
          <w:noProof/>
          <w:szCs w:val="24"/>
        </w:rPr>
        <w:tab/>
        <w:t>Zhuang P, Xuyang A, An J, et al (2018) Biomaterials 3D neural tissue models : From spheroids to bioprinting. Biomaterials 154:113–133. https://doi.org/10.1016/j.biomaterials.2017.10.002</w:t>
      </w:r>
    </w:p>
    <w:p w14:paraId="3B081DA3" w14:textId="77777777" w:rsidR="00A32EB8" w:rsidRPr="00A32EB8" w:rsidRDefault="00A32EB8" w:rsidP="00A32EB8">
      <w:pPr>
        <w:widowControl w:val="0"/>
        <w:autoSpaceDE w:val="0"/>
        <w:autoSpaceDN w:val="0"/>
        <w:adjustRightInd w:val="0"/>
        <w:spacing w:line="240" w:lineRule="auto"/>
        <w:ind w:left="640" w:hanging="640"/>
        <w:rPr>
          <w:rFonts w:ascii="Arial" w:hAnsi="Arial" w:cs="Arial"/>
          <w:noProof/>
          <w:szCs w:val="24"/>
        </w:rPr>
      </w:pPr>
      <w:r w:rsidRPr="00A32EB8">
        <w:rPr>
          <w:rFonts w:ascii="Arial" w:hAnsi="Arial" w:cs="Arial"/>
          <w:noProof/>
          <w:szCs w:val="24"/>
        </w:rPr>
        <w:t xml:space="preserve">49. </w:t>
      </w:r>
      <w:r w:rsidRPr="00A32EB8">
        <w:rPr>
          <w:rFonts w:ascii="Arial" w:hAnsi="Arial" w:cs="Arial"/>
          <w:noProof/>
          <w:szCs w:val="24"/>
        </w:rPr>
        <w:tab/>
        <w:t>Mao AS, Shin J-W, Mooney DJ (2016) Effects of substrate stiffness and cell-cell contact on mesenchymal stem cell differentiation. Biomaterials 98:184–191. https://doi.org/10.1016/j.biomaterials.2016.05.004</w:t>
      </w:r>
    </w:p>
    <w:p w14:paraId="4165D30D" w14:textId="77777777" w:rsidR="00A32EB8" w:rsidRPr="00A32EB8" w:rsidRDefault="00A32EB8" w:rsidP="00A32EB8">
      <w:pPr>
        <w:widowControl w:val="0"/>
        <w:autoSpaceDE w:val="0"/>
        <w:autoSpaceDN w:val="0"/>
        <w:adjustRightInd w:val="0"/>
        <w:spacing w:line="240" w:lineRule="auto"/>
        <w:ind w:left="640" w:hanging="640"/>
        <w:rPr>
          <w:rFonts w:ascii="Arial" w:hAnsi="Arial" w:cs="Arial"/>
          <w:noProof/>
          <w:szCs w:val="24"/>
        </w:rPr>
      </w:pPr>
      <w:r w:rsidRPr="00A32EB8">
        <w:rPr>
          <w:rFonts w:ascii="Arial" w:hAnsi="Arial" w:cs="Arial"/>
          <w:noProof/>
          <w:szCs w:val="24"/>
        </w:rPr>
        <w:t xml:space="preserve">50. </w:t>
      </w:r>
      <w:r w:rsidRPr="00A32EB8">
        <w:rPr>
          <w:rFonts w:ascii="Arial" w:hAnsi="Arial" w:cs="Arial"/>
          <w:noProof/>
          <w:szCs w:val="24"/>
        </w:rPr>
        <w:tab/>
        <w:t>García-Gareta E, Coathup MJ, Blunn GW (2015) Osteoinduction of bone grafting materials for bone repair and regeneration. Bone 81:112–121. https://doi.org/10.1016/j.bone.2015.07.007</w:t>
      </w:r>
    </w:p>
    <w:p w14:paraId="7A5E7595" w14:textId="77777777" w:rsidR="00A32EB8" w:rsidRPr="00A32EB8" w:rsidRDefault="00A32EB8" w:rsidP="00A32EB8">
      <w:pPr>
        <w:widowControl w:val="0"/>
        <w:autoSpaceDE w:val="0"/>
        <w:autoSpaceDN w:val="0"/>
        <w:adjustRightInd w:val="0"/>
        <w:spacing w:line="240" w:lineRule="auto"/>
        <w:ind w:left="640" w:hanging="640"/>
        <w:rPr>
          <w:rFonts w:ascii="Arial" w:hAnsi="Arial" w:cs="Arial"/>
          <w:noProof/>
          <w:szCs w:val="24"/>
        </w:rPr>
      </w:pPr>
      <w:r w:rsidRPr="00A32EB8">
        <w:rPr>
          <w:rFonts w:ascii="Arial" w:hAnsi="Arial" w:cs="Arial"/>
          <w:noProof/>
          <w:szCs w:val="24"/>
        </w:rPr>
        <w:t xml:space="preserve">51. </w:t>
      </w:r>
      <w:r w:rsidRPr="00A32EB8">
        <w:rPr>
          <w:rFonts w:ascii="Arial" w:hAnsi="Arial" w:cs="Arial"/>
          <w:noProof/>
          <w:szCs w:val="24"/>
        </w:rPr>
        <w:tab/>
        <w:t>Lozano R, Stevens L, Thompson BC, et al (2015) 3D printing of layered brain-like structures using peptide modified gellan gum substrates. Biomaterials 67:264–273. https://doi.org/10.1016/j.biomaterials.2015.07.022</w:t>
      </w:r>
    </w:p>
    <w:p w14:paraId="14D1C97F" w14:textId="77777777" w:rsidR="00A32EB8" w:rsidRPr="00A32EB8" w:rsidRDefault="00A32EB8" w:rsidP="00A32EB8">
      <w:pPr>
        <w:widowControl w:val="0"/>
        <w:autoSpaceDE w:val="0"/>
        <w:autoSpaceDN w:val="0"/>
        <w:adjustRightInd w:val="0"/>
        <w:spacing w:line="240" w:lineRule="auto"/>
        <w:ind w:left="640" w:hanging="640"/>
        <w:rPr>
          <w:rFonts w:ascii="Arial" w:hAnsi="Arial" w:cs="Arial"/>
          <w:noProof/>
          <w:szCs w:val="24"/>
        </w:rPr>
      </w:pPr>
      <w:r w:rsidRPr="00A32EB8">
        <w:rPr>
          <w:rFonts w:ascii="Arial" w:hAnsi="Arial" w:cs="Arial"/>
          <w:noProof/>
          <w:szCs w:val="24"/>
        </w:rPr>
        <w:t xml:space="preserve">52. </w:t>
      </w:r>
      <w:r w:rsidRPr="00A32EB8">
        <w:rPr>
          <w:rFonts w:ascii="Arial" w:hAnsi="Arial" w:cs="Arial"/>
          <w:noProof/>
          <w:szCs w:val="24"/>
        </w:rPr>
        <w:tab/>
        <w:t>Saha K, Keung AJ, Irwin EF, et al (2008) Substrate modulus directs neural stem cell behavior. Biophys J 95:4426–4438. https://doi.org/10.1529/biophysj.108.132217</w:t>
      </w:r>
    </w:p>
    <w:p w14:paraId="4F2BC40F" w14:textId="77777777" w:rsidR="00A32EB8" w:rsidRPr="00A32EB8" w:rsidRDefault="00A32EB8" w:rsidP="00A32EB8">
      <w:pPr>
        <w:widowControl w:val="0"/>
        <w:autoSpaceDE w:val="0"/>
        <w:autoSpaceDN w:val="0"/>
        <w:adjustRightInd w:val="0"/>
        <w:spacing w:line="240" w:lineRule="auto"/>
        <w:ind w:left="640" w:hanging="640"/>
        <w:rPr>
          <w:rFonts w:ascii="Arial" w:hAnsi="Arial" w:cs="Arial"/>
          <w:noProof/>
          <w:szCs w:val="24"/>
        </w:rPr>
      </w:pPr>
      <w:r w:rsidRPr="00A32EB8">
        <w:rPr>
          <w:rFonts w:ascii="Arial" w:hAnsi="Arial" w:cs="Arial"/>
          <w:noProof/>
          <w:szCs w:val="24"/>
        </w:rPr>
        <w:t xml:space="preserve">53. </w:t>
      </w:r>
      <w:r w:rsidRPr="00A32EB8">
        <w:rPr>
          <w:rFonts w:ascii="Arial" w:hAnsi="Arial" w:cs="Arial"/>
          <w:noProof/>
          <w:szCs w:val="24"/>
        </w:rPr>
        <w:tab/>
        <w:t>Mota C, Puppi D, Chiellini F, Chiellini E (2015) Additive manufacturing techniques for the production of tissue engineering  constructs. J Tissue Eng Regen Med 9:174–190. https://doi.org/10.1002/term.1635</w:t>
      </w:r>
    </w:p>
    <w:p w14:paraId="5D0D52C2" w14:textId="77777777" w:rsidR="00A32EB8" w:rsidRPr="00A32EB8" w:rsidRDefault="00A32EB8" w:rsidP="00A32EB8">
      <w:pPr>
        <w:widowControl w:val="0"/>
        <w:autoSpaceDE w:val="0"/>
        <w:autoSpaceDN w:val="0"/>
        <w:adjustRightInd w:val="0"/>
        <w:spacing w:line="240" w:lineRule="auto"/>
        <w:ind w:left="640" w:hanging="640"/>
        <w:rPr>
          <w:rFonts w:ascii="Arial" w:hAnsi="Arial" w:cs="Arial"/>
          <w:noProof/>
          <w:szCs w:val="24"/>
        </w:rPr>
      </w:pPr>
      <w:r w:rsidRPr="00A32EB8">
        <w:rPr>
          <w:rFonts w:ascii="Arial" w:hAnsi="Arial" w:cs="Arial"/>
          <w:noProof/>
          <w:szCs w:val="24"/>
        </w:rPr>
        <w:t xml:space="preserve">54. </w:t>
      </w:r>
      <w:r w:rsidRPr="00A32EB8">
        <w:rPr>
          <w:rFonts w:ascii="Arial" w:hAnsi="Arial" w:cs="Arial"/>
          <w:noProof/>
          <w:szCs w:val="24"/>
        </w:rPr>
        <w:tab/>
        <w:t>Pirosa A, Gottardi R, Alexander PG, Tuan RS (2018) Engineering in-vitro stem cell-based vascularized bone models for drug screening and predictive toxicology. Stem Cell Res Ther 9:. https://doi.org/10.1186/s13287-018-0847-8</w:t>
      </w:r>
    </w:p>
    <w:p w14:paraId="632CB81D" w14:textId="77777777" w:rsidR="00A32EB8" w:rsidRPr="00A32EB8" w:rsidRDefault="00A32EB8" w:rsidP="00A32EB8">
      <w:pPr>
        <w:widowControl w:val="0"/>
        <w:autoSpaceDE w:val="0"/>
        <w:autoSpaceDN w:val="0"/>
        <w:adjustRightInd w:val="0"/>
        <w:spacing w:line="240" w:lineRule="auto"/>
        <w:ind w:left="640" w:hanging="640"/>
        <w:rPr>
          <w:rFonts w:ascii="Arial" w:hAnsi="Arial" w:cs="Arial"/>
          <w:noProof/>
          <w:szCs w:val="24"/>
        </w:rPr>
      </w:pPr>
      <w:r w:rsidRPr="00A32EB8">
        <w:rPr>
          <w:rFonts w:ascii="Arial" w:hAnsi="Arial" w:cs="Arial"/>
          <w:noProof/>
          <w:szCs w:val="24"/>
        </w:rPr>
        <w:t xml:space="preserve">55. </w:t>
      </w:r>
      <w:r w:rsidRPr="00A32EB8">
        <w:rPr>
          <w:rFonts w:ascii="Arial" w:hAnsi="Arial" w:cs="Arial"/>
          <w:noProof/>
          <w:szCs w:val="24"/>
        </w:rPr>
        <w:tab/>
        <w:t>Hann SY, Cui H, Esworthy T, et al (2021) Dual 3D printing for vascularized bone tissue regeneration. Acta Biomater 123:263–274. https://doi.org/10.1016/j.actbio.2021.01.012</w:t>
      </w:r>
    </w:p>
    <w:p w14:paraId="45A00FFE" w14:textId="77777777" w:rsidR="00A32EB8" w:rsidRPr="00A32EB8" w:rsidRDefault="00A32EB8" w:rsidP="00A32EB8">
      <w:pPr>
        <w:widowControl w:val="0"/>
        <w:autoSpaceDE w:val="0"/>
        <w:autoSpaceDN w:val="0"/>
        <w:adjustRightInd w:val="0"/>
        <w:spacing w:line="240" w:lineRule="auto"/>
        <w:ind w:left="640" w:hanging="640"/>
        <w:rPr>
          <w:rFonts w:ascii="Arial" w:hAnsi="Arial" w:cs="Arial"/>
          <w:noProof/>
          <w:szCs w:val="24"/>
        </w:rPr>
      </w:pPr>
      <w:r w:rsidRPr="00A32EB8">
        <w:rPr>
          <w:rFonts w:ascii="Arial" w:hAnsi="Arial" w:cs="Arial"/>
          <w:noProof/>
          <w:szCs w:val="24"/>
        </w:rPr>
        <w:t xml:space="preserve">56. </w:t>
      </w:r>
      <w:r w:rsidRPr="00A32EB8">
        <w:rPr>
          <w:rFonts w:ascii="Arial" w:hAnsi="Arial" w:cs="Arial"/>
          <w:noProof/>
          <w:szCs w:val="24"/>
        </w:rPr>
        <w:tab/>
        <w:t>Hutmacher DW, Sittinger M, Risbud M V (2004) Scaffold-based tissue engineering: rationale for computer-aided design and solid  free-form fabrication systems. Trends Biotechnol 22:354–362. https://doi.org/10.1016/j.tibtech.2004.05.005</w:t>
      </w:r>
    </w:p>
    <w:p w14:paraId="28926CD9" w14:textId="77777777" w:rsidR="00A32EB8" w:rsidRPr="00A32EB8" w:rsidRDefault="00A32EB8" w:rsidP="00A32EB8">
      <w:pPr>
        <w:widowControl w:val="0"/>
        <w:autoSpaceDE w:val="0"/>
        <w:autoSpaceDN w:val="0"/>
        <w:adjustRightInd w:val="0"/>
        <w:spacing w:line="240" w:lineRule="auto"/>
        <w:ind w:left="640" w:hanging="640"/>
        <w:rPr>
          <w:rFonts w:ascii="Arial" w:hAnsi="Arial" w:cs="Arial"/>
          <w:noProof/>
          <w:szCs w:val="24"/>
        </w:rPr>
      </w:pPr>
      <w:r w:rsidRPr="00A32EB8">
        <w:rPr>
          <w:rFonts w:ascii="Arial" w:hAnsi="Arial" w:cs="Arial"/>
          <w:noProof/>
          <w:szCs w:val="24"/>
        </w:rPr>
        <w:t xml:space="preserve">57. </w:t>
      </w:r>
      <w:r w:rsidRPr="00A32EB8">
        <w:rPr>
          <w:rFonts w:ascii="Arial" w:hAnsi="Arial" w:cs="Arial"/>
          <w:noProof/>
          <w:szCs w:val="24"/>
        </w:rPr>
        <w:tab/>
        <w:t>Ding S, Feng L, Wu J, et al (2018) Bioprinting of Stem Cells: Interplay of Bioprinting Process, Bioinks, and Stem Cell Properties. ACS Biomater Sci Eng 4:3108–3124. https://doi.org/10.1021/acsbiomaterials.8b00399</w:t>
      </w:r>
    </w:p>
    <w:p w14:paraId="1466980D" w14:textId="77777777" w:rsidR="00A32EB8" w:rsidRPr="00A32EB8" w:rsidRDefault="00A32EB8" w:rsidP="00A32EB8">
      <w:pPr>
        <w:widowControl w:val="0"/>
        <w:autoSpaceDE w:val="0"/>
        <w:autoSpaceDN w:val="0"/>
        <w:adjustRightInd w:val="0"/>
        <w:spacing w:line="240" w:lineRule="auto"/>
        <w:ind w:left="640" w:hanging="640"/>
        <w:rPr>
          <w:rFonts w:ascii="Arial" w:hAnsi="Arial" w:cs="Arial"/>
          <w:noProof/>
          <w:szCs w:val="24"/>
        </w:rPr>
      </w:pPr>
      <w:r w:rsidRPr="00A32EB8">
        <w:rPr>
          <w:rFonts w:ascii="Arial" w:hAnsi="Arial" w:cs="Arial"/>
          <w:noProof/>
          <w:szCs w:val="24"/>
        </w:rPr>
        <w:t xml:space="preserve">58. </w:t>
      </w:r>
      <w:r w:rsidRPr="00A32EB8">
        <w:rPr>
          <w:rFonts w:ascii="Arial" w:hAnsi="Arial" w:cs="Arial"/>
          <w:noProof/>
          <w:szCs w:val="24"/>
        </w:rPr>
        <w:tab/>
        <w:t>Whitesides GM (2006) The origins and the future of microfluidics. Nature 442:368–373. https://doi.org/10.1038/nature05058</w:t>
      </w:r>
    </w:p>
    <w:p w14:paraId="3EE3EEAF" w14:textId="77777777" w:rsidR="00A32EB8" w:rsidRPr="00A32EB8" w:rsidRDefault="00A32EB8" w:rsidP="00A32EB8">
      <w:pPr>
        <w:widowControl w:val="0"/>
        <w:autoSpaceDE w:val="0"/>
        <w:autoSpaceDN w:val="0"/>
        <w:adjustRightInd w:val="0"/>
        <w:spacing w:line="240" w:lineRule="auto"/>
        <w:ind w:left="640" w:hanging="640"/>
        <w:rPr>
          <w:rFonts w:ascii="Arial" w:hAnsi="Arial" w:cs="Arial"/>
          <w:noProof/>
          <w:szCs w:val="24"/>
        </w:rPr>
      </w:pPr>
      <w:r w:rsidRPr="00A32EB8">
        <w:rPr>
          <w:rFonts w:ascii="Arial" w:hAnsi="Arial" w:cs="Arial"/>
          <w:noProof/>
          <w:szCs w:val="24"/>
        </w:rPr>
        <w:t xml:space="preserve">59. </w:t>
      </w:r>
      <w:r w:rsidRPr="00A32EB8">
        <w:rPr>
          <w:rFonts w:ascii="Arial" w:hAnsi="Arial" w:cs="Arial"/>
          <w:noProof/>
          <w:szCs w:val="24"/>
        </w:rPr>
        <w:tab/>
        <w:t>Torisawa YS, Spina CS, Mammoto T, et al (2014) Bone marrow-on-a-chip replicates hematopoietic niche physiology in vitro. Nat Methods 11:663–669. https://doi.org/10.1038/nmeth.2938</w:t>
      </w:r>
    </w:p>
    <w:p w14:paraId="49487FBF" w14:textId="77777777" w:rsidR="00A32EB8" w:rsidRPr="00A32EB8" w:rsidRDefault="00A32EB8" w:rsidP="00A32EB8">
      <w:pPr>
        <w:widowControl w:val="0"/>
        <w:autoSpaceDE w:val="0"/>
        <w:autoSpaceDN w:val="0"/>
        <w:adjustRightInd w:val="0"/>
        <w:spacing w:line="240" w:lineRule="auto"/>
        <w:ind w:left="640" w:hanging="640"/>
        <w:rPr>
          <w:rFonts w:ascii="Arial" w:hAnsi="Arial" w:cs="Arial"/>
          <w:noProof/>
          <w:szCs w:val="24"/>
        </w:rPr>
      </w:pPr>
      <w:r w:rsidRPr="00A32EB8">
        <w:rPr>
          <w:rFonts w:ascii="Arial" w:hAnsi="Arial" w:cs="Arial"/>
          <w:noProof/>
          <w:szCs w:val="24"/>
        </w:rPr>
        <w:t xml:space="preserve">60. </w:t>
      </w:r>
      <w:r w:rsidRPr="00A32EB8">
        <w:rPr>
          <w:rFonts w:ascii="Arial" w:hAnsi="Arial" w:cs="Arial"/>
          <w:noProof/>
          <w:szCs w:val="24"/>
        </w:rPr>
        <w:tab/>
        <w:t>Benam KH, Villenave R, Lucchesi C, et al (2016) Small airway-on-a-chip enables analysis of human lung inflammation and drug responses in vitro. Nat Methods 13:151–157. https://doi.org/10.1038/nmeth.3697</w:t>
      </w:r>
    </w:p>
    <w:p w14:paraId="7D59A9DC" w14:textId="77777777" w:rsidR="00A32EB8" w:rsidRPr="00A32EB8" w:rsidRDefault="00A32EB8" w:rsidP="00A32EB8">
      <w:pPr>
        <w:widowControl w:val="0"/>
        <w:autoSpaceDE w:val="0"/>
        <w:autoSpaceDN w:val="0"/>
        <w:adjustRightInd w:val="0"/>
        <w:spacing w:line="240" w:lineRule="auto"/>
        <w:ind w:left="640" w:hanging="640"/>
        <w:rPr>
          <w:rFonts w:ascii="Arial" w:hAnsi="Arial" w:cs="Arial"/>
          <w:noProof/>
          <w:szCs w:val="24"/>
        </w:rPr>
      </w:pPr>
      <w:r w:rsidRPr="00A32EB8">
        <w:rPr>
          <w:rFonts w:ascii="Arial" w:hAnsi="Arial" w:cs="Arial"/>
          <w:noProof/>
          <w:szCs w:val="24"/>
        </w:rPr>
        <w:t xml:space="preserve">61. </w:t>
      </w:r>
      <w:r w:rsidRPr="00A32EB8">
        <w:rPr>
          <w:rFonts w:ascii="Arial" w:hAnsi="Arial" w:cs="Arial"/>
          <w:noProof/>
          <w:szCs w:val="24"/>
        </w:rPr>
        <w:tab/>
        <w:t>Huh D, Kim HJ, Fraser JP, et al (2013) Microfabrication of human organs-on-chips. Nat Protoc 8:2135–2157. https://doi.org/10.1038/nprot.2013.137</w:t>
      </w:r>
    </w:p>
    <w:p w14:paraId="73D65734" w14:textId="77777777" w:rsidR="00A32EB8" w:rsidRPr="00A32EB8" w:rsidRDefault="00A32EB8" w:rsidP="00A32EB8">
      <w:pPr>
        <w:widowControl w:val="0"/>
        <w:autoSpaceDE w:val="0"/>
        <w:autoSpaceDN w:val="0"/>
        <w:adjustRightInd w:val="0"/>
        <w:spacing w:line="240" w:lineRule="auto"/>
        <w:ind w:left="640" w:hanging="640"/>
        <w:rPr>
          <w:rFonts w:ascii="Arial" w:hAnsi="Arial" w:cs="Arial"/>
          <w:noProof/>
          <w:szCs w:val="24"/>
        </w:rPr>
      </w:pPr>
      <w:r w:rsidRPr="00A32EB8">
        <w:rPr>
          <w:rFonts w:ascii="Arial" w:hAnsi="Arial" w:cs="Arial"/>
          <w:noProof/>
          <w:szCs w:val="24"/>
        </w:rPr>
        <w:t xml:space="preserve">62. </w:t>
      </w:r>
      <w:r w:rsidRPr="00A32EB8">
        <w:rPr>
          <w:rFonts w:ascii="Arial" w:hAnsi="Arial" w:cs="Arial"/>
          <w:noProof/>
          <w:szCs w:val="24"/>
        </w:rPr>
        <w:tab/>
        <w:t>Silvani G, Scognamiglio C, Caprini D, et al (2019) Reversible Cavitation</w:t>
      </w:r>
      <w:r w:rsidRPr="00A32EB8">
        <w:rPr>
          <w:rFonts w:ascii="Cambria Math" w:hAnsi="Cambria Math" w:cs="Cambria Math"/>
          <w:noProof/>
          <w:szCs w:val="24"/>
        </w:rPr>
        <w:t>‐</w:t>
      </w:r>
      <w:r w:rsidRPr="00A32EB8">
        <w:rPr>
          <w:rFonts w:ascii="Arial" w:hAnsi="Arial" w:cs="Arial"/>
          <w:noProof/>
          <w:szCs w:val="24"/>
        </w:rPr>
        <w:t>Induced Junctional Opening in an Artificial Endothelial Layer. Small 15:1905375. https://doi.org/10.1002/smll.201905375</w:t>
      </w:r>
    </w:p>
    <w:p w14:paraId="00DC5085" w14:textId="77777777" w:rsidR="00A32EB8" w:rsidRPr="00A32EB8" w:rsidRDefault="00A32EB8" w:rsidP="00A32EB8">
      <w:pPr>
        <w:widowControl w:val="0"/>
        <w:autoSpaceDE w:val="0"/>
        <w:autoSpaceDN w:val="0"/>
        <w:adjustRightInd w:val="0"/>
        <w:spacing w:line="240" w:lineRule="auto"/>
        <w:ind w:left="640" w:hanging="640"/>
        <w:rPr>
          <w:rFonts w:ascii="Arial" w:hAnsi="Arial" w:cs="Arial"/>
          <w:noProof/>
          <w:szCs w:val="24"/>
        </w:rPr>
      </w:pPr>
      <w:r w:rsidRPr="00A32EB8">
        <w:rPr>
          <w:rFonts w:ascii="Arial" w:hAnsi="Arial" w:cs="Arial"/>
          <w:noProof/>
          <w:szCs w:val="24"/>
        </w:rPr>
        <w:t xml:space="preserve">63. </w:t>
      </w:r>
      <w:r w:rsidRPr="00A32EB8">
        <w:rPr>
          <w:rFonts w:ascii="Arial" w:hAnsi="Arial" w:cs="Arial"/>
          <w:noProof/>
          <w:szCs w:val="24"/>
        </w:rPr>
        <w:tab/>
        <w:t xml:space="preserve">Hallfors N, Khan A, Dickey MD, Taylor AM (2013) Integration of pre-aligned liquid </w:t>
      </w:r>
      <w:r w:rsidRPr="00A32EB8">
        <w:rPr>
          <w:rFonts w:ascii="Arial" w:hAnsi="Arial" w:cs="Arial"/>
          <w:noProof/>
          <w:szCs w:val="24"/>
        </w:rPr>
        <w:lastRenderedPageBreak/>
        <w:t>metal electrodes for neural stimulation within a user-friendly microfluidic platform. Lab Chip 13:522–526. https://doi.org/10.1039/C2LC40954B</w:t>
      </w:r>
    </w:p>
    <w:p w14:paraId="1F099DB7" w14:textId="77777777" w:rsidR="00A32EB8" w:rsidRPr="00A32EB8" w:rsidRDefault="00A32EB8" w:rsidP="00A32EB8">
      <w:pPr>
        <w:widowControl w:val="0"/>
        <w:autoSpaceDE w:val="0"/>
        <w:autoSpaceDN w:val="0"/>
        <w:adjustRightInd w:val="0"/>
        <w:spacing w:line="240" w:lineRule="auto"/>
        <w:ind w:left="640" w:hanging="640"/>
        <w:rPr>
          <w:rFonts w:ascii="Arial" w:hAnsi="Arial" w:cs="Arial"/>
          <w:noProof/>
          <w:szCs w:val="24"/>
        </w:rPr>
      </w:pPr>
      <w:r w:rsidRPr="00A32EB8">
        <w:rPr>
          <w:rFonts w:ascii="Arial" w:hAnsi="Arial" w:cs="Arial"/>
          <w:noProof/>
          <w:szCs w:val="24"/>
        </w:rPr>
        <w:t xml:space="preserve">64. </w:t>
      </w:r>
      <w:r w:rsidRPr="00A32EB8">
        <w:rPr>
          <w:rFonts w:ascii="Arial" w:hAnsi="Arial" w:cs="Arial"/>
          <w:noProof/>
          <w:szCs w:val="24"/>
        </w:rPr>
        <w:tab/>
        <w:t>Mehling M, Tay S (2014) Microfluidic cell culture. Curr Opin Biotechnol 25:95–102. https://doi.org/10.1016/j.copbio.2013.10.005</w:t>
      </w:r>
    </w:p>
    <w:p w14:paraId="4EF42D14" w14:textId="77777777" w:rsidR="00A32EB8" w:rsidRPr="00A32EB8" w:rsidRDefault="00A32EB8" w:rsidP="00A32EB8">
      <w:pPr>
        <w:widowControl w:val="0"/>
        <w:autoSpaceDE w:val="0"/>
        <w:autoSpaceDN w:val="0"/>
        <w:adjustRightInd w:val="0"/>
        <w:spacing w:line="240" w:lineRule="auto"/>
        <w:ind w:left="640" w:hanging="640"/>
        <w:rPr>
          <w:rFonts w:ascii="Arial" w:hAnsi="Arial" w:cs="Arial"/>
          <w:noProof/>
          <w:szCs w:val="24"/>
        </w:rPr>
      </w:pPr>
      <w:r w:rsidRPr="00A32EB8">
        <w:rPr>
          <w:rFonts w:ascii="Arial" w:hAnsi="Arial" w:cs="Arial"/>
          <w:noProof/>
          <w:szCs w:val="24"/>
        </w:rPr>
        <w:t xml:space="preserve">65. </w:t>
      </w:r>
      <w:r w:rsidRPr="00A32EB8">
        <w:rPr>
          <w:rFonts w:ascii="Arial" w:hAnsi="Arial" w:cs="Arial"/>
          <w:noProof/>
          <w:szCs w:val="24"/>
        </w:rPr>
        <w:tab/>
        <w:t>Gong L, Cao L, Shen Z, et al (2018) Materials for Neural Differentiation, Trans-Differentiation, and Modeling of Neurological Disease. Adv Mater 30:. https://doi.org/10.1002/adma.201705684</w:t>
      </w:r>
    </w:p>
    <w:p w14:paraId="08723511" w14:textId="77777777" w:rsidR="00A32EB8" w:rsidRPr="00A32EB8" w:rsidRDefault="00A32EB8" w:rsidP="00A32EB8">
      <w:pPr>
        <w:widowControl w:val="0"/>
        <w:autoSpaceDE w:val="0"/>
        <w:autoSpaceDN w:val="0"/>
        <w:adjustRightInd w:val="0"/>
        <w:spacing w:line="240" w:lineRule="auto"/>
        <w:ind w:left="640" w:hanging="640"/>
        <w:rPr>
          <w:rFonts w:ascii="Arial" w:hAnsi="Arial" w:cs="Arial"/>
          <w:noProof/>
          <w:szCs w:val="24"/>
        </w:rPr>
      </w:pPr>
      <w:r w:rsidRPr="00A32EB8">
        <w:rPr>
          <w:rFonts w:ascii="Arial" w:hAnsi="Arial" w:cs="Arial"/>
          <w:noProof/>
          <w:szCs w:val="24"/>
        </w:rPr>
        <w:t xml:space="preserve">66. </w:t>
      </w:r>
      <w:r w:rsidRPr="00A32EB8">
        <w:rPr>
          <w:rFonts w:ascii="Arial" w:hAnsi="Arial" w:cs="Arial"/>
          <w:noProof/>
          <w:szCs w:val="24"/>
        </w:rPr>
        <w:tab/>
        <w:t>Nikolakopoulou P, Rauti R, Voulgaris D, et al (2021) Recent progress in translational engineered in vitro models of the central nervous system. Brain 143:3181–3213. https://doi.org/10.1093/BRAIN/AWAA268</w:t>
      </w:r>
    </w:p>
    <w:p w14:paraId="206A9269" w14:textId="77777777" w:rsidR="00A32EB8" w:rsidRPr="00A32EB8" w:rsidRDefault="00A32EB8" w:rsidP="00A32EB8">
      <w:pPr>
        <w:widowControl w:val="0"/>
        <w:autoSpaceDE w:val="0"/>
        <w:autoSpaceDN w:val="0"/>
        <w:adjustRightInd w:val="0"/>
        <w:spacing w:line="240" w:lineRule="auto"/>
        <w:ind w:left="640" w:hanging="640"/>
        <w:rPr>
          <w:rFonts w:ascii="Arial" w:hAnsi="Arial" w:cs="Arial"/>
          <w:noProof/>
          <w:szCs w:val="24"/>
        </w:rPr>
      </w:pPr>
      <w:r w:rsidRPr="00A32EB8">
        <w:rPr>
          <w:rFonts w:ascii="Arial" w:hAnsi="Arial" w:cs="Arial"/>
          <w:noProof/>
          <w:szCs w:val="24"/>
        </w:rPr>
        <w:t xml:space="preserve">67. </w:t>
      </w:r>
      <w:r w:rsidRPr="00A32EB8">
        <w:rPr>
          <w:rFonts w:ascii="Arial" w:hAnsi="Arial" w:cs="Arial"/>
          <w:noProof/>
          <w:szCs w:val="24"/>
        </w:rPr>
        <w:tab/>
        <w:t>Corrò C, Novellasdemunt L, Li VSW (2020) A brief history of organoids. Am J Physiol - Cell Physiol 319:C151–C165. https://doi.org/10.1152/ajpcell.00120.2020</w:t>
      </w:r>
    </w:p>
    <w:p w14:paraId="337F99B1" w14:textId="77777777" w:rsidR="00A32EB8" w:rsidRPr="00A32EB8" w:rsidRDefault="00A32EB8" w:rsidP="00A32EB8">
      <w:pPr>
        <w:widowControl w:val="0"/>
        <w:autoSpaceDE w:val="0"/>
        <w:autoSpaceDN w:val="0"/>
        <w:adjustRightInd w:val="0"/>
        <w:spacing w:line="240" w:lineRule="auto"/>
        <w:ind w:left="640" w:hanging="640"/>
        <w:rPr>
          <w:rFonts w:ascii="Arial" w:hAnsi="Arial" w:cs="Arial"/>
          <w:noProof/>
          <w:szCs w:val="24"/>
        </w:rPr>
      </w:pPr>
      <w:r w:rsidRPr="00A32EB8">
        <w:rPr>
          <w:rFonts w:ascii="Arial" w:hAnsi="Arial" w:cs="Arial"/>
          <w:noProof/>
          <w:szCs w:val="24"/>
        </w:rPr>
        <w:t xml:space="preserve">68. </w:t>
      </w:r>
      <w:r w:rsidRPr="00A32EB8">
        <w:rPr>
          <w:rFonts w:ascii="Arial" w:hAnsi="Arial" w:cs="Arial"/>
          <w:noProof/>
          <w:szCs w:val="24"/>
        </w:rPr>
        <w:tab/>
        <w:t>Ingber DE (2016) Reverse Engineering Human Pathophysiology with Organs-on-Chips. Cell 164:1105–1109. https://doi.org/10.1016/j.cell.2016.02.049</w:t>
      </w:r>
    </w:p>
    <w:p w14:paraId="4137E315" w14:textId="77777777" w:rsidR="00A32EB8" w:rsidRPr="00A32EB8" w:rsidRDefault="00A32EB8" w:rsidP="00A32EB8">
      <w:pPr>
        <w:widowControl w:val="0"/>
        <w:autoSpaceDE w:val="0"/>
        <w:autoSpaceDN w:val="0"/>
        <w:adjustRightInd w:val="0"/>
        <w:spacing w:line="240" w:lineRule="auto"/>
        <w:ind w:left="640" w:hanging="640"/>
        <w:rPr>
          <w:rFonts w:ascii="Arial" w:hAnsi="Arial" w:cs="Arial"/>
          <w:noProof/>
          <w:szCs w:val="24"/>
        </w:rPr>
      </w:pPr>
      <w:r w:rsidRPr="00A32EB8">
        <w:rPr>
          <w:rFonts w:ascii="Arial" w:hAnsi="Arial" w:cs="Arial"/>
          <w:noProof/>
          <w:szCs w:val="24"/>
        </w:rPr>
        <w:t xml:space="preserve">69. </w:t>
      </w:r>
      <w:r w:rsidRPr="00A32EB8">
        <w:rPr>
          <w:rFonts w:ascii="Arial" w:hAnsi="Arial" w:cs="Arial"/>
          <w:noProof/>
          <w:szCs w:val="24"/>
        </w:rPr>
        <w:tab/>
        <w:t>Tortelli F, Pujic N, Liu Y, et al (2009) Osteoblast and osteoclast differentiation in an in vitro three-dimensional model of bone. Tissue Eng Part A 15:2373–2383. https://doi.org/10.1089/ten.tea.2008.0501</w:t>
      </w:r>
    </w:p>
    <w:p w14:paraId="180F76EC" w14:textId="77777777" w:rsidR="00A32EB8" w:rsidRPr="00A32EB8" w:rsidRDefault="00A32EB8" w:rsidP="00A32EB8">
      <w:pPr>
        <w:widowControl w:val="0"/>
        <w:autoSpaceDE w:val="0"/>
        <w:autoSpaceDN w:val="0"/>
        <w:adjustRightInd w:val="0"/>
        <w:spacing w:line="240" w:lineRule="auto"/>
        <w:ind w:left="640" w:hanging="640"/>
        <w:rPr>
          <w:rFonts w:ascii="Arial" w:hAnsi="Arial" w:cs="Arial"/>
          <w:noProof/>
          <w:szCs w:val="24"/>
        </w:rPr>
      </w:pPr>
      <w:r w:rsidRPr="00A32EB8">
        <w:rPr>
          <w:rFonts w:ascii="Arial" w:hAnsi="Arial" w:cs="Arial"/>
          <w:noProof/>
          <w:szCs w:val="24"/>
        </w:rPr>
        <w:t xml:space="preserve">70. </w:t>
      </w:r>
      <w:r w:rsidRPr="00A32EB8">
        <w:rPr>
          <w:rFonts w:ascii="Arial" w:hAnsi="Arial" w:cs="Arial"/>
          <w:noProof/>
          <w:szCs w:val="24"/>
        </w:rPr>
        <w:tab/>
        <w:t>Li J, Geng J, Lin T, et al (2022) A mouse model of disuse osteoporosis based on a movable noninvasive 3D-printed unloading device. J Orthop Transl 33:1–12. https://doi.org/10.1016/j.jot.2021.11.009</w:t>
      </w:r>
    </w:p>
    <w:p w14:paraId="2451EA7E" w14:textId="77777777" w:rsidR="00A32EB8" w:rsidRPr="00A32EB8" w:rsidRDefault="00A32EB8" w:rsidP="00A32EB8">
      <w:pPr>
        <w:widowControl w:val="0"/>
        <w:autoSpaceDE w:val="0"/>
        <w:autoSpaceDN w:val="0"/>
        <w:adjustRightInd w:val="0"/>
        <w:spacing w:line="240" w:lineRule="auto"/>
        <w:ind w:left="640" w:hanging="640"/>
        <w:rPr>
          <w:rFonts w:ascii="Arial" w:hAnsi="Arial" w:cs="Arial"/>
          <w:noProof/>
          <w:szCs w:val="24"/>
        </w:rPr>
      </w:pPr>
      <w:r w:rsidRPr="00A32EB8">
        <w:rPr>
          <w:rFonts w:ascii="Arial" w:hAnsi="Arial" w:cs="Arial"/>
          <w:noProof/>
          <w:szCs w:val="24"/>
        </w:rPr>
        <w:t xml:space="preserve">71. </w:t>
      </w:r>
      <w:r w:rsidRPr="00A32EB8">
        <w:rPr>
          <w:rFonts w:ascii="Arial" w:hAnsi="Arial" w:cs="Arial"/>
          <w:noProof/>
          <w:szCs w:val="24"/>
        </w:rPr>
        <w:tab/>
        <w:t>Li Z, Zhai S, Liu S, et al (2022) A sheep model of chronic cervical compressive myelopathy via an implantable wireless compression device. Eur Spine J. https://doi.org/10.1007/s00586-022-07138-6</w:t>
      </w:r>
    </w:p>
    <w:p w14:paraId="759DA46F" w14:textId="77777777" w:rsidR="00A32EB8" w:rsidRPr="00A32EB8" w:rsidRDefault="00A32EB8" w:rsidP="00A32EB8">
      <w:pPr>
        <w:widowControl w:val="0"/>
        <w:autoSpaceDE w:val="0"/>
        <w:autoSpaceDN w:val="0"/>
        <w:adjustRightInd w:val="0"/>
        <w:spacing w:line="240" w:lineRule="auto"/>
        <w:ind w:left="640" w:hanging="640"/>
        <w:rPr>
          <w:rFonts w:ascii="Arial" w:hAnsi="Arial" w:cs="Arial"/>
          <w:noProof/>
          <w:szCs w:val="24"/>
        </w:rPr>
      </w:pPr>
      <w:r w:rsidRPr="00A32EB8">
        <w:rPr>
          <w:rFonts w:ascii="Arial" w:hAnsi="Arial" w:cs="Arial"/>
          <w:noProof/>
          <w:szCs w:val="24"/>
        </w:rPr>
        <w:t xml:space="preserve">72. </w:t>
      </w:r>
      <w:r w:rsidRPr="00A32EB8">
        <w:rPr>
          <w:rFonts w:ascii="Arial" w:hAnsi="Arial" w:cs="Arial"/>
          <w:noProof/>
          <w:szCs w:val="24"/>
        </w:rPr>
        <w:tab/>
        <w:t>Cidonio G, Glinka M, Kim Y-H, et al (2020) Nanoclay-based 3D printed scaffolds promote vascular ingrowth ex vivo and generate  bone mineral tissue in vitro and in vivo. Biofabrication 12:35010. https://doi.org/10.1088/1758-5090/ab8753</w:t>
      </w:r>
    </w:p>
    <w:p w14:paraId="3BBA2D29" w14:textId="77777777" w:rsidR="00A32EB8" w:rsidRPr="00A32EB8" w:rsidRDefault="00A32EB8" w:rsidP="00A32EB8">
      <w:pPr>
        <w:widowControl w:val="0"/>
        <w:autoSpaceDE w:val="0"/>
        <w:autoSpaceDN w:val="0"/>
        <w:adjustRightInd w:val="0"/>
        <w:spacing w:line="240" w:lineRule="auto"/>
        <w:ind w:left="640" w:hanging="640"/>
        <w:rPr>
          <w:rFonts w:ascii="Arial" w:hAnsi="Arial" w:cs="Arial"/>
          <w:noProof/>
          <w:szCs w:val="24"/>
        </w:rPr>
      </w:pPr>
      <w:r w:rsidRPr="00A32EB8">
        <w:rPr>
          <w:rFonts w:ascii="Arial" w:hAnsi="Arial" w:cs="Arial"/>
          <w:noProof/>
          <w:szCs w:val="24"/>
        </w:rPr>
        <w:t xml:space="preserve">73. </w:t>
      </w:r>
      <w:r w:rsidRPr="00A32EB8">
        <w:rPr>
          <w:rFonts w:ascii="Arial" w:hAnsi="Arial" w:cs="Arial"/>
          <w:noProof/>
          <w:szCs w:val="24"/>
        </w:rPr>
        <w:tab/>
        <w:t>Cidonio G, Cooke M, Glinka M, et al (2019) Printing bone in a gel: using nanocomposite bioink to print functionalised bone scaffolds. Mater Today Bio 4:. https://doi.org/10.1016/j.mtbio.2019.100028</w:t>
      </w:r>
    </w:p>
    <w:p w14:paraId="70635B07" w14:textId="77777777" w:rsidR="00A32EB8" w:rsidRPr="00A32EB8" w:rsidRDefault="00A32EB8" w:rsidP="00A32EB8">
      <w:pPr>
        <w:widowControl w:val="0"/>
        <w:autoSpaceDE w:val="0"/>
        <w:autoSpaceDN w:val="0"/>
        <w:adjustRightInd w:val="0"/>
        <w:spacing w:line="240" w:lineRule="auto"/>
        <w:ind w:left="640" w:hanging="640"/>
        <w:rPr>
          <w:rFonts w:ascii="Arial" w:hAnsi="Arial" w:cs="Arial"/>
          <w:noProof/>
          <w:szCs w:val="24"/>
        </w:rPr>
      </w:pPr>
      <w:r w:rsidRPr="00A32EB8">
        <w:rPr>
          <w:rFonts w:ascii="Arial" w:hAnsi="Arial" w:cs="Arial"/>
          <w:noProof/>
          <w:szCs w:val="24"/>
        </w:rPr>
        <w:t xml:space="preserve">74. </w:t>
      </w:r>
      <w:r w:rsidRPr="00A32EB8">
        <w:rPr>
          <w:rFonts w:ascii="Arial" w:hAnsi="Arial" w:cs="Arial"/>
          <w:noProof/>
          <w:szCs w:val="24"/>
        </w:rPr>
        <w:tab/>
        <w:t>Ahlfeld T, Cidonio G, Kilian D, et al (2017) Development of a clay based bioink for 3D cell printing for skeletal application. Biofabrication 9:034103. https://doi.org/10.1088/1758-5090/aa7e96</w:t>
      </w:r>
    </w:p>
    <w:p w14:paraId="2EA81348" w14:textId="77777777" w:rsidR="00A32EB8" w:rsidRPr="00A32EB8" w:rsidRDefault="00A32EB8" w:rsidP="00A32EB8">
      <w:pPr>
        <w:widowControl w:val="0"/>
        <w:autoSpaceDE w:val="0"/>
        <w:autoSpaceDN w:val="0"/>
        <w:adjustRightInd w:val="0"/>
        <w:spacing w:line="240" w:lineRule="auto"/>
        <w:ind w:left="640" w:hanging="640"/>
        <w:rPr>
          <w:rFonts w:ascii="Arial" w:hAnsi="Arial" w:cs="Arial"/>
          <w:noProof/>
          <w:szCs w:val="24"/>
        </w:rPr>
      </w:pPr>
      <w:r w:rsidRPr="00A32EB8">
        <w:rPr>
          <w:rFonts w:ascii="Arial" w:hAnsi="Arial" w:cs="Arial"/>
          <w:noProof/>
          <w:szCs w:val="24"/>
        </w:rPr>
        <w:t xml:space="preserve">75. </w:t>
      </w:r>
      <w:r w:rsidRPr="00A32EB8">
        <w:rPr>
          <w:rFonts w:ascii="Arial" w:hAnsi="Arial" w:cs="Arial"/>
          <w:noProof/>
          <w:szCs w:val="24"/>
        </w:rPr>
        <w:tab/>
        <w:t>Ribitsch I, Baptista PM, Lange-Consiglio A, et al (2020) Large Animal Models in Regenerative Medicine and Tissue Engineering: To Do or Not to Do. Front Bioeng Biotechnol 8:1–28. https://doi.org/10.3389/fbioe.2020.00972</w:t>
      </w:r>
    </w:p>
    <w:p w14:paraId="00F86ED4" w14:textId="77777777" w:rsidR="00A32EB8" w:rsidRPr="00A32EB8" w:rsidRDefault="00A32EB8" w:rsidP="00A32EB8">
      <w:pPr>
        <w:widowControl w:val="0"/>
        <w:autoSpaceDE w:val="0"/>
        <w:autoSpaceDN w:val="0"/>
        <w:adjustRightInd w:val="0"/>
        <w:spacing w:line="240" w:lineRule="auto"/>
        <w:ind w:left="640" w:hanging="640"/>
        <w:rPr>
          <w:rFonts w:ascii="Arial" w:hAnsi="Arial" w:cs="Arial"/>
          <w:noProof/>
          <w:szCs w:val="24"/>
        </w:rPr>
      </w:pPr>
      <w:r w:rsidRPr="00A32EB8">
        <w:rPr>
          <w:rFonts w:ascii="Arial" w:hAnsi="Arial" w:cs="Arial"/>
          <w:noProof/>
          <w:szCs w:val="24"/>
        </w:rPr>
        <w:t xml:space="preserve">76. </w:t>
      </w:r>
      <w:r w:rsidRPr="00A32EB8">
        <w:rPr>
          <w:rFonts w:ascii="Arial" w:hAnsi="Arial" w:cs="Arial"/>
          <w:noProof/>
          <w:szCs w:val="24"/>
        </w:rPr>
        <w:tab/>
        <w:t>Nicole Gabriele Sommer, David Hahn, Begüm Okutan RM and A-MW (2019) We are IntechOpen , the world ’ s leading publisher of Open Access books Built by scientists , for scientists TOP 1 % Animal Models in Orthopedic Research : The Proper Animal Model to Answer Fundamental Questions on Bone Healing Depending on Pathology and. 0–19</w:t>
      </w:r>
    </w:p>
    <w:p w14:paraId="55C05AEF" w14:textId="77777777" w:rsidR="00A32EB8" w:rsidRPr="00A32EB8" w:rsidRDefault="00A32EB8" w:rsidP="00A32EB8">
      <w:pPr>
        <w:widowControl w:val="0"/>
        <w:autoSpaceDE w:val="0"/>
        <w:autoSpaceDN w:val="0"/>
        <w:adjustRightInd w:val="0"/>
        <w:spacing w:line="240" w:lineRule="auto"/>
        <w:ind w:left="640" w:hanging="640"/>
        <w:rPr>
          <w:rFonts w:ascii="Arial" w:hAnsi="Arial" w:cs="Arial"/>
          <w:noProof/>
          <w:szCs w:val="24"/>
        </w:rPr>
      </w:pPr>
      <w:r w:rsidRPr="00A32EB8">
        <w:rPr>
          <w:rFonts w:ascii="Arial" w:hAnsi="Arial" w:cs="Arial"/>
          <w:noProof/>
          <w:szCs w:val="24"/>
        </w:rPr>
        <w:t xml:space="preserve">77. </w:t>
      </w:r>
      <w:r w:rsidRPr="00A32EB8">
        <w:rPr>
          <w:rFonts w:ascii="Arial" w:hAnsi="Arial" w:cs="Arial"/>
          <w:noProof/>
          <w:szCs w:val="24"/>
        </w:rPr>
        <w:tab/>
        <w:t>Martine LC, Holzapfel BM, McGovern JA, et al (2017) Engineering a humanized bone organ model in mice to study bone metastases. Nat Protoc 12:639–663. https://doi.org/10.1038/nprot.2017.002</w:t>
      </w:r>
    </w:p>
    <w:p w14:paraId="4F6D6B33" w14:textId="77777777" w:rsidR="00A32EB8" w:rsidRPr="00A32EB8" w:rsidRDefault="00A32EB8" w:rsidP="00A32EB8">
      <w:pPr>
        <w:widowControl w:val="0"/>
        <w:autoSpaceDE w:val="0"/>
        <w:autoSpaceDN w:val="0"/>
        <w:adjustRightInd w:val="0"/>
        <w:spacing w:line="240" w:lineRule="auto"/>
        <w:ind w:left="640" w:hanging="640"/>
        <w:rPr>
          <w:rFonts w:ascii="Arial" w:hAnsi="Arial" w:cs="Arial"/>
          <w:noProof/>
          <w:szCs w:val="24"/>
        </w:rPr>
      </w:pPr>
      <w:r w:rsidRPr="00A32EB8">
        <w:rPr>
          <w:rFonts w:ascii="Arial" w:hAnsi="Arial" w:cs="Arial"/>
          <w:noProof/>
          <w:szCs w:val="24"/>
        </w:rPr>
        <w:t xml:space="preserve">78. </w:t>
      </w:r>
      <w:r w:rsidRPr="00A32EB8">
        <w:rPr>
          <w:rFonts w:ascii="Arial" w:hAnsi="Arial" w:cs="Arial"/>
          <w:noProof/>
          <w:szCs w:val="24"/>
        </w:rPr>
        <w:tab/>
        <w:t xml:space="preserve">Santos LF, Singulani MP, Stringhetta-Garcia CT, et al (2018) Oxytocin effects on osteoblastic differentiation of Bone Marrow Mesenchymal Stem  Cells from adult and </w:t>
      </w:r>
      <w:r w:rsidRPr="00A32EB8">
        <w:rPr>
          <w:rFonts w:ascii="Arial" w:hAnsi="Arial" w:cs="Arial"/>
          <w:noProof/>
          <w:szCs w:val="24"/>
        </w:rPr>
        <w:lastRenderedPageBreak/>
        <w:t>aging female Wistar rats. Exp Gerontol 113:58–63. https://doi.org/10.1016/j.exger.2018.09.023</w:t>
      </w:r>
    </w:p>
    <w:p w14:paraId="33B669CE" w14:textId="77777777" w:rsidR="00A32EB8" w:rsidRPr="00A32EB8" w:rsidRDefault="00A32EB8" w:rsidP="00A32EB8">
      <w:pPr>
        <w:widowControl w:val="0"/>
        <w:autoSpaceDE w:val="0"/>
        <w:autoSpaceDN w:val="0"/>
        <w:adjustRightInd w:val="0"/>
        <w:spacing w:line="240" w:lineRule="auto"/>
        <w:ind w:left="640" w:hanging="640"/>
        <w:rPr>
          <w:rFonts w:ascii="Arial" w:hAnsi="Arial" w:cs="Arial"/>
          <w:noProof/>
          <w:szCs w:val="24"/>
        </w:rPr>
      </w:pPr>
      <w:r w:rsidRPr="00A32EB8">
        <w:rPr>
          <w:rFonts w:ascii="Arial" w:hAnsi="Arial" w:cs="Arial"/>
          <w:noProof/>
          <w:szCs w:val="24"/>
        </w:rPr>
        <w:t xml:space="preserve">79. </w:t>
      </w:r>
      <w:r w:rsidRPr="00A32EB8">
        <w:rPr>
          <w:rFonts w:ascii="Arial" w:hAnsi="Arial" w:cs="Arial"/>
          <w:noProof/>
          <w:szCs w:val="24"/>
        </w:rPr>
        <w:tab/>
        <w:t>Manigrasso MB, O’Connor JP (2008) Comparison of fracture healing among different inbred mouse strains. Calcif Tissue Int 82:465–474. https://doi.org/10.1007/s00223-008-9144-3</w:t>
      </w:r>
    </w:p>
    <w:p w14:paraId="7805DB59" w14:textId="77777777" w:rsidR="00A32EB8" w:rsidRPr="00A32EB8" w:rsidRDefault="00A32EB8" w:rsidP="00A32EB8">
      <w:pPr>
        <w:widowControl w:val="0"/>
        <w:autoSpaceDE w:val="0"/>
        <w:autoSpaceDN w:val="0"/>
        <w:adjustRightInd w:val="0"/>
        <w:spacing w:line="240" w:lineRule="auto"/>
        <w:ind w:left="640" w:hanging="640"/>
        <w:rPr>
          <w:rFonts w:ascii="Arial" w:hAnsi="Arial" w:cs="Arial"/>
          <w:noProof/>
          <w:szCs w:val="24"/>
        </w:rPr>
      </w:pPr>
      <w:r w:rsidRPr="00A32EB8">
        <w:rPr>
          <w:rFonts w:ascii="Arial" w:hAnsi="Arial" w:cs="Arial"/>
          <w:noProof/>
          <w:szCs w:val="24"/>
        </w:rPr>
        <w:t xml:space="preserve">80. </w:t>
      </w:r>
      <w:r w:rsidRPr="00A32EB8">
        <w:rPr>
          <w:rFonts w:ascii="Arial" w:hAnsi="Arial" w:cs="Arial"/>
          <w:noProof/>
          <w:szCs w:val="24"/>
        </w:rPr>
        <w:tab/>
        <w:t>Herath TDK, Saigo L, Schaller B, et al (2021) In vivo efficacy of neutrophil-mediated bone regeneration using a rabbit calvarial defect model. Int J Mol Sci 22:. https://doi.org/10.3390/ijms222313016</w:t>
      </w:r>
    </w:p>
    <w:p w14:paraId="13BCEB88" w14:textId="77777777" w:rsidR="00A32EB8" w:rsidRPr="00A32EB8" w:rsidRDefault="00A32EB8" w:rsidP="00A32EB8">
      <w:pPr>
        <w:widowControl w:val="0"/>
        <w:autoSpaceDE w:val="0"/>
        <w:autoSpaceDN w:val="0"/>
        <w:adjustRightInd w:val="0"/>
        <w:spacing w:line="240" w:lineRule="auto"/>
        <w:ind w:left="640" w:hanging="640"/>
        <w:rPr>
          <w:rFonts w:ascii="Arial" w:hAnsi="Arial" w:cs="Arial"/>
          <w:noProof/>
          <w:szCs w:val="24"/>
        </w:rPr>
      </w:pPr>
      <w:r w:rsidRPr="00A32EB8">
        <w:rPr>
          <w:rFonts w:ascii="Arial" w:hAnsi="Arial" w:cs="Arial"/>
          <w:noProof/>
          <w:szCs w:val="24"/>
        </w:rPr>
        <w:t xml:space="preserve">81. </w:t>
      </w:r>
      <w:r w:rsidRPr="00A32EB8">
        <w:rPr>
          <w:rFonts w:ascii="Arial" w:hAnsi="Arial" w:cs="Arial"/>
          <w:noProof/>
          <w:szCs w:val="24"/>
        </w:rPr>
        <w:tab/>
        <w:t>Sato R, Matsuura T, Akizuki T, et al (2022) Influence of the bone graft materials used for guided bone regeneration on subsequent peri-implant inflammation: an experimental ligature-induced peri-implantitis model in Beagle dogs. Int J Implant Dent 8:. https://doi.org/10.1186/s40729-022-00403-9</w:t>
      </w:r>
    </w:p>
    <w:p w14:paraId="51A4802B" w14:textId="77777777" w:rsidR="00A32EB8" w:rsidRPr="00A32EB8" w:rsidRDefault="00A32EB8" w:rsidP="00A32EB8">
      <w:pPr>
        <w:widowControl w:val="0"/>
        <w:autoSpaceDE w:val="0"/>
        <w:autoSpaceDN w:val="0"/>
        <w:adjustRightInd w:val="0"/>
        <w:spacing w:line="240" w:lineRule="auto"/>
        <w:ind w:left="640" w:hanging="640"/>
        <w:rPr>
          <w:rFonts w:ascii="Arial" w:hAnsi="Arial" w:cs="Arial"/>
          <w:noProof/>
          <w:szCs w:val="24"/>
        </w:rPr>
      </w:pPr>
      <w:r w:rsidRPr="00A32EB8">
        <w:rPr>
          <w:rFonts w:ascii="Arial" w:hAnsi="Arial" w:cs="Arial"/>
          <w:noProof/>
          <w:szCs w:val="24"/>
        </w:rPr>
        <w:t xml:space="preserve">82. </w:t>
      </w:r>
      <w:r w:rsidRPr="00A32EB8">
        <w:rPr>
          <w:rFonts w:ascii="Arial" w:hAnsi="Arial" w:cs="Arial"/>
          <w:noProof/>
          <w:szCs w:val="24"/>
        </w:rPr>
        <w:tab/>
        <w:t>Dienel K, Abu-Shahba A, Kornilov R, et al (2022) Patient-Specific Bioimplants and Reconstruction Plates for Mandibular Defects: Production Workflow and In Vivo Large Animal Model Study. Macromol Biosci 2100398:1–15. https://doi.org/10.1002/mabi.202100398</w:t>
      </w:r>
    </w:p>
    <w:p w14:paraId="2ED5E191" w14:textId="77777777" w:rsidR="00A32EB8" w:rsidRPr="00A32EB8" w:rsidRDefault="00A32EB8" w:rsidP="00A32EB8">
      <w:pPr>
        <w:widowControl w:val="0"/>
        <w:autoSpaceDE w:val="0"/>
        <w:autoSpaceDN w:val="0"/>
        <w:adjustRightInd w:val="0"/>
        <w:spacing w:line="240" w:lineRule="auto"/>
        <w:ind w:left="640" w:hanging="640"/>
        <w:rPr>
          <w:rFonts w:ascii="Arial" w:hAnsi="Arial" w:cs="Arial"/>
          <w:noProof/>
          <w:szCs w:val="24"/>
        </w:rPr>
      </w:pPr>
      <w:r w:rsidRPr="00A32EB8">
        <w:rPr>
          <w:rFonts w:ascii="Arial" w:hAnsi="Arial" w:cs="Arial"/>
          <w:noProof/>
          <w:szCs w:val="24"/>
        </w:rPr>
        <w:t xml:space="preserve">83. </w:t>
      </w:r>
      <w:r w:rsidRPr="00A32EB8">
        <w:rPr>
          <w:rFonts w:ascii="Arial" w:hAnsi="Arial" w:cs="Arial"/>
          <w:noProof/>
          <w:szCs w:val="24"/>
        </w:rPr>
        <w:tab/>
        <w:t>Blanc-Sylvestre N, Bouchard P, Chaussain C, Bardet C (2021) Pre-clinical models in implant dentistry: Past, present, future. Biomedicines 9:. https://doi.org/10.3390/biomedicines9111538</w:t>
      </w:r>
    </w:p>
    <w:p w14:paraId="5E3B3963" w14:textId="77777777" w:rsidR="00A32EB8" w:rsidRPr="00A32EB8" w:rsidRDefault="00A32EB8" w:rsidP="00A32EB8">
      <w:pPr>
        <w:widowControl w:val="0"/>
        <w:autoSpaceDE w:val="0"/>
        <w:autoSpaceDN w:val="0"/>
        <w:adjustRightInd w:val="0"/>
        <w:spacing w:line="240" w:lineRule="auto"/>
        <w:ind w:left="640" w:hanging="640"/>
        <w:rPr>
          <w:rFonts w:ascii="Arial" w:hAnsi="Arial" w:cs="Arial"/>
          <w:noProof/>
          <w:szCs w:val="24"/>
        </w:rPr>
      </w:pPr>
      <w:r w:rsidRPr="00A32EB8">
        <w:rPr>
          <w:rFonts w:ascii="Arial" w:hAnsi="Arial" w:cs="Arial"/>
          <w:noProof/>
          <w:szCs w:val="24"/>
        </w:rPr>
        <w:t xml:space="preserve">84. </w:t>
      </w:r>
      <w:r w:rsidRPr="00A32EB8">
        <w:rPr>
          <w:rFonts w:ascii="Arial" w:hAnsi="Arial" w:cs="Arial"/>
          <w:noProof/>
          <w:szCs w:val="24"/>
        </w:rPr>
        <w:tab/>
        <w:t>Ma PX, Choi JW (2001) Biodegradable polymer scaffolds with well-defined interconnected spherical pore network. Tissue Eng 7:23–33. https://doi.org/10.1089/107632701300003269</w:t>
      </w:r>
    </w:p>
    <w:p w14:paraId="21157045" w14:textId="77777777" w:rsidR="00A32EB8" w:rsidRPr="00A32EB8" w:rsidRDefault="00A32EB8" w:rsidP="00A32EB8">
      <w:pPr>
        <w:widowControl w:val="0"/>
        <w:autoSpaceDE w:val="0"/>
        <w:autoSpaceDN w:val="0"/>
        <w:adjustRightInd w:val="0"/>
        <w:spacing w:line="240" w:lineRule="auto"/>
        <w:ind w:left="640" w:hanging="640"/>
        <w:rPr>
          <w:rFonts w:ascii="Arial" w:hAnsi="Arial" w:cs="Arial"/>
          <w:noProof/>
          <w:szCs w:val="24"/>
        </w:rPr>
      </w:pPr>
      <w:r w:rsidRPr="00A32EB8">
        <w:rPr>
          <w:rFonts w:ascii="Arial" w:hAnsi="Arial" w:cs="Arial"/>
          <w:noProof/>
          <w:szCs w:val="24"/>
        </w:rPr>
        <w:t xml:space="preserve">85. </w:t>
      </w:r>
      <w:r w:rsidRPr="00A32EB8">
        <w:rPr>
          <w:rFonts w:ascii="Arial" w:hAnsi="Arial" w:cs="Arial"/>
          <w:noProof/>
          <w:szCs w:val="24"/>
        </w:rPr>
        <w:tab/>
        <w:t>Zhang L, Yang G, Johnson BN, Jia X (2019) Three-dimensional (3D) printed scaffold and material selection for bone repair. Acta Biomater 84:16–33. https://doi.org/10.1016/j.actbio.2018.11.039</w:t>
      </w:r>
    </w:p>
    <w:p w14:paraId="4E80D0B8" w14:textId="77777777" w:rsidR="00A32EB8" w:rsidRPr="00A32EB8" w:rsidRDefault="00A32EB8" w:rsidP="00A32EB8">
      <w:pPr>
        <w:widowControl w:val="0"/>
        <w:autoSpaceDE w:val="0"/>
        <w:autoSpaceDN w:val="0"/>
        <w:adjustRightInd w:val="0"/>
        <w:spacing w:line="240" w:lineRule="auto"/>
        <w:ind w:left="640" w:hanging="640"/>
        <w:rPr>
          <w:rFonts w:ascii="Arial" w:hAnsi="Arial" w:cs="Arial"/>
          <w:noProof/>
          <w:szCs w:val="24"/>
        </w:rPr>
      </w:pPr>
      <w:r w:rsidRPr="00A32EB8">
        <w:rPr>
          <w:rFonts w:ascii="Arial" w:hAnsi="Arial" w:cs="Arial"/>
          <w:noProof/>
          <w:szCs w:val="24"/>
        </w:rPr>
        <w:t xml:space="preserve">86. </w:t>
      </w:r>
      <w:r w:rsidRPr="00A32EB8">
        <w:rPr>
          <w:rFonts w:ascii="Arial" w:hAnsi="Arial" w:cs="Arial"/>
          <w:noProof/>
          <w:szCs w:val="24"/>
        </w:rPr>
        <w:tab/>
        <w:t>Ahlfeld T, Doberenz F, Kilian D, et al (2018) Bioprinting of mineralized constructs utilizing multichannel plotting of a self-setting calcium phosphate cement and a cell-laden bioink. Biofabrication 10:045002. https://doi.org/10.1088/1758-5090/aad36d</w:t>
      </w:r>
    </w:p>
    <w:p w14:paraId="3ED411E3" w14:textId="77777777" w:rsidR="00A32EB8" w:rsidRPr="00A32EB8" w:rsidRDefault="00A32EB8" w:rsidP="00A32EB8">
      <w:pPr>
        <w:widowControl w:val="0"/>
        <w:autoSpaceDE w:val="0"/>
        <w:autoSpaceDN w:val="0"/>
        <w:adjustRightInd w:val="0"/>
        <w:spacing w:line="240" w:lineRule="auto"/>
        <w:ind w:left="640" w:hanging="640"/>
        <w:rPr>
          <w:rFonts w:ascii="Arial" w:hAnsi="Arial" w:cs="Arial"/>
          <w:noProof/>
          <w:szCs w:val="24"/>
        </w:rPr>
      </w:pPr>
      <w:r w:rsidRPr="00A32EB8">
        <w:rPr>
          <w:rFonts w:ascii="Arial" w:hAnsi="Arial" w:cs="Arial"/>
          <w:noProof/>
          <w:szCs w:val="24"/>
        </w:rPr>
        <w:t xml:space="preserve">87. </w:t>
      </w:r>
      <w:r w:rsidRPr="00A32EB8">
        <w:rPr>
          <w:rFonts w:ascii="Arial" w:hAnsi="Arial" w:cs="Arial"/>
          <w:noProof/>
          <w:szCs w:val="24"/>
        </w:rPr>
        <w:tab/>
        <w:t>Chang PC, Lin ZJ, Luo HT, et al (2021) Degradable RGD-Functionalized 3D-Printed Scaffold Promotes Osteogenesis. J Dent Res 100:1109–1117. https://doi.org/10.1177/00220345211024634</w:t>
      </w:r>
    </w:p>
    <w:p w14:paraId="68BF12A5" w14:textId="77777777" w:rsidR="00A32EB8" w:rsidRPr="00A32EB8" w:rsidRDefault="00A32EB8" w:rsidP="00A32EB8">
      <w:pPr>
        <w:widowControl w:val="0"/>
        <w:autoSpaceDE w:val="0"/>
        <w:autoSpaceDN w:val="0"/>
        <w:adjustRightInd w:val="0"/>
        <w:spacing w:line="240" w:lineRule="auto"/>
        <w:ind w:left="640" w:hanging="640"/>
        <w:rPr>
          <w:rFonts w:ascii="Arial" w:hAnsi="Arial" w:cs="Arial"/>
          <w:noProof/>
          <w:szCs w:val="24"/>
        </w:rPr>
      </w:pPr>
      <w:r w:rsidRPr="00A32EB8">
        <w:rPr>
          <w:rFonts w:ascii="Arial" w:hAnsi="Arial" w:cs="Arial"/>
          <w:noProof/>
          <w:szCs w:val="24"/>
        </w:rPr>
        <w:t xml:space="preserve">88. </w:t>
      </w:r>
      <w:r w:rsidRPr="00A32EB8">
        <w:rPr>
          <w:rFonts w:ascii="Arial" w:hAnsi="Arial" w:cs="Arial"/>
          <w:noProof/>
          <w:szCs w:val="24"/>
        </w:rPr>
        <w:tab/>
        <w:t>Liao H-T, Lee M-Y, Tsai W-W, et al (2016) Osteogenesis of adipose-derived stem cells on polycaprolactone- β -tricalcium phosphate scaffold fabricated via selective laser sintering and surface coating with collagen type I. J Tissue Eng Regen Med 10:E337–E353. https://doi.org/10.1002/term.1811</w:t>
      </w:r>
    </w:p>
    <w:p w14:paraId="053B3456" w14:textId="77777777" w:rsidR="00A32EB8" w:rsidRPr="00A32EB8" w:rsidRDefault="00A32EB8" w:rsidP="00A32EB8">
      <w:pPr>
        <w:widowControl w:val="0"/>
        <w:autoSpaceDE w:val="0"/>
        <w:autoSpaceDN w:val="0"/>
        <w:adjustRightInd w:val="0"/>
        <w:spacing w:line="240" w:lineRule="auto"/>
        <w:ind w:left="640" w:hanging="640"/>
        <w:rPr>
          <w:rFonts w:ascii="Arial" w:hAnsi="Arial" w:cs="Arial"/>
          <w:noProof/>
          <w:szCs w:val="24"/>
        </w:rPr>
      </w:pPr>
      <w:r w:rsidRPr="00A32EB8">
        <w:rPr>
          <w:rFonts w:ascii="Arial" w:hAnsi="Arial" w:cs="Arial"/>
          <w:noProof/>
          <w:szCs w:val="24"/>
        </w:rPr>
        <w:t xml:space="preserve">89. </w:t>
      </w:r>
      <w:r w:rsidRPr="00A32EB8">
        <w:rPr>
          <w:rFonts w:ascii="Arial" w:hAnsi="Arial" w:cs="Arial"/>
          <w:noProof/>
          <w:szCs w:val="24"/>
        </w:rPr>
        <w:tab/>
        <w:t>Wang M, Li H, Yang Y, et al (2021) A 3D-bioprinted scaffold with doxycycline-controlled BMP2-expressing cells for inducing bone regeneration and inhibiting bacterial infection. Bioact Mater 6:1318–1329. https://doi.org/10.1016/j.bioactmat.2020.10.022</w:t>
      </w:r>
    </w:p>
    <w:p w14:paraId="4B538C67" w14:textId="77777777" w:rsidR="00A32EB8" w:rsidRPr="00A32EB8" w:rsidRDefault="00A32EB8" w:rsidP="00A32EB8">
      <w:pPr>
        <w:widowControl w:val="0"/>
        <w:autoSpaceDE w:val="0"/>
        <w:autoSpaceDN w:val="0"/>
        <w:adjustRightInd w:val="0"/>
        <w:spacing w:line="240" w:lineRule="auto"/>
        <w:ind w:left="640" w:hanging="640"/>
        <w:rPr>
          <w:rFonts w:ascii="Arial" w:hAnsi="Arial" w:cs="Arial"/>
          <w:noProof/>
          <w:szCs w:val="24"/>
        </w:rPr>
      </w:pPr>
      <w:r w:rsidRPr="00A32EB8">
        <w:rPr>
          <w:rFonts w:ascii="Arial" w:hAnsi="Arial" w:cs="Arial"/>
          <w:noProof/>
          <w:szCs w:val="24"/>
        </w:rPr>
        <w:t xml:space="preserve">90. </w:t>
      </w:r>
      <w:r w:rsidRPr="00A32EB8">
        <w:rPr>
          <w:rFonts w:ascii="Arial" w:hAnsi="Arial" w:cs="Arial"/>
          <w:noProof/>
          <w:szCs w:val="24"/>
        </w:rPr>
        <w:tab/>
        <w:t>Stanco D, Urbán P, Tirendi S, et al (2020) 3D bioprinting for orthopaedic applications: Current advances, challenges and  regulatory considerations. Bioprinting (Amsterdam, Netherlands) 20:None. https://doi.org/10.1016/j.bprint.2020.e00103</w:t>
      </w:r>
    </w:p>
    <w:p w14:paraId="5F3E17FE" w14:textId="77777777" w:rsidR="00A32EB8" w:rsidRPr="00A32EB8" w:rsidRDefault="00A32EB8" w:rsidP="00A32EB8">
      <w:pPr>
        <w:widowControl w:val="0"/>
        <w:autoSpaceDE w:val="0"/>
        <w:autoSpaceDN w:val="0"/>
        <w:adjustRightInd w:val="0"/>
        <w:spacing w:line="240" w:lineRule="auto"/>
        <w:ind w:left="640" w:hanging="640"/>
        <w:rPr>
          <w:rFonts w:ascii="Arial" w:hAnsi="Arial" w:cs="Arial"/>
          <w:noProof/>
          <w:szCs w:val="24"/>
        </w:rPr>
      </w:pPr>
      <w:r w:rsidRPr="00A32EB8">
        <w:rPr>
          <w:rFonts w:ascii="Arial" w:hAnsi="Arial" w:cs="Arial"/>
          <w:noProof/>
          <w:szCs w:val="24"/>
        </w:rPr>
        <w:t xml:space="preserve">91. </w:t>
      </w:r>
      <w:r w:rsidRPr="00A32EB8">
        <w:rPr>
          <w:rFonts w:ascii="Arial" w:hAnsi="Arial" w:cs="Arial"/>
          <w:noProof/>
          <w:szCs w:val="24"/>
        </w:rPr>
        <w:tab/>
        <w:t>Cidonio G, Alcala-Orozco CR, Lim KS, et al (2019) Osteogenic and angiogenic tissue formation in high fidelity nanocomposite Laponite-gelatin bioinks. Biofabrication 11:035027. https://doi.org/10.1088/1758-5090/ab19fd</w:t>
      </w:r>
    </w:p>
    <w:p w14:paraId="6C2B5D89" w14:textId="77777777" w:rsidR="00A32EB8" w:rsidRPr="00A32EB8" w:rsidRDefault="00A32EB8" w:rsidP="00A32EB8">
      <w:pPr>
        <w:widowControl w:val="0"/>
        <w:autoSpaceDE w:val="0"/>
        <w:autoSpaceDN w:val="0"/>
        <w:adjustRightInd w:val="0"/>
        <w:spacing w:line="240" w:lineRule="auto"/>
        <w:ind w:left="640" w:hanging="640"/>
        <w:rPr>
          <w:rFonts w:ascii="Arial" w:hAnsi="Arial" w:cs="Arial"/>
          <w:noProof/>
          <w:szCs w:val="24"/>
        </w:rPr>
      </w:pPr>
      <w:r w:rsidRPr="00A32EB8">
        <w:rPr>
          <w:rFonts w:ascii="Arial" w:hAnsi="Arial" w:cs="Arial"/>
          <w:noProof/>
          <w:szCs w:val="24"/>
        </w:rPr>
        <w:t xml:space="preserve">92. </w:t>
      </w:r>
      <w:r w:rsidRPr="00A32EB8">
        <w:rPr>
          <w:rFonts w:ascii="Arial" w:hAnsi="Arial" w:cs="Arial"/>
          <w:noProof/>
          <w:szCs w:val="24"/>
        </w:rPr>
        <w:tab/>
        <w:t xml:space="preserve">Cidonio G, Glinka M, Kim YH, et al (2020) Nanoclay-based 3D printed scaffolds </w:t>
      </w:r>
      <w:r w:rsidRPr="00A32EB8">
        <w:rPr>
          <w:rFonts w:ascii="Arial" w:hAnsi="Arial" w:cs="Arial"/>
          <w:noProof/>
          <w:szCs w:val="24"/>
        </w:rPr>
        <w:lastRenderedPageBreak/>
        <w:t>promote vascular ingrowth ex vivo and generate bone mineral tissue in vitro and in vivo. Biofabrication 12:035010. https://doi.org/10.1088/1758-5090/ab8753</w:t>
      </w:r>
    </w:p>
    <w:p w14:paraId="56B0510C" w14:textId="77777777" w:rsidR="00A32EB8" w:rsidRPr="00A32EB8" w:rsidRDefault="00A32EB8" w:rsidP="00A32EB8">
      <w:pPr>
        <w:widowControl w:val="0"/>
        <w:autoSpaceDE w:val="0"/>
        <w:autoSpaceDN w:val="0"/>
        <w:adjustRightInd w:val="0"/>
        <w:spacing w:line="240" w:lineRule="auto"/>
        <w:ind w:left="640" w:hanging="640"/>
        <w:rPr>
          <w:rFonts w:ascii="Arial" w:hAnsi="Arial" w:cs="Arial"/>
          <w:noProof/>
          <w:szCs w:val="24"/>
        </w:rPr>
      </w:pPr>
      <w:r w:rsidRPr="00A32EB8">
        <w:rPr>
          <w:rFonts w:ascii="Arial" w:hAnsi="Arial" w:cs="Arial"/>
          <w:noProof/>
          <w:szCs w:val="24"/>
        </w:rPr>
        <w:t xml:space="preserve">93. </w:t>
      </w:r>
      <w:r w:rsidRPr="00A32EB8">
        <w:rPr>
          <w:rFonts w:ascii="Arial" w:hAnsi="Arial" w:cs="Arial"/>
          <w:noProof/>
          <w:szCs w:val="24"/>
        </w:rPr>
        <w:tab/>
        <w:t>Middleton K, Al-Dujaili S, Mei X, et al (2017) Microfluidic co-culture platform for investigating osteocyte-osteoclast signalling during fluid shear stress mechanostimulation. J Biomech 59:35–42. https://doi.org/https://doi.org/10.1016/j.jbiomech.2017.05.012</w:t>
      </w:r>
    </w:p>
    <w:p w14:paraId="45221200" w14:textId="77777777" w:rsidR="00A32EB8" w:rsidRPr="00A32EB8" w:rsidRDefault="00A32EB8" w:rsidP="00A32EB8">
      <w:pPr>
        <w:widowControl w:val="0"/>
        <w:autoSpaceDE w:val="0"/>
        <w:autoSpaceDN w:val="0"/>
        <w:adjustRightInd w:val="0"/>
        <w:spacing w:line="240" w:lineRule="auto"/>
        <w:ind w:left="640" w:hanging="640"/>
        <w:rPr>
          <w:rFonts w:ascii="Arial" w:hAnsi="Arial" w:cs="Arial"/>
          <w:noProof/>
          <w:szCs w:val="24"/>
        </w:rPr>
      </w:pPr>
      <w:r w:rsidRPr="00A32EB8">
        <w:rPr>
          <w:rFonts w:ascii="Arial" w:hAnsi="Arial" w:cs="Arial"/>
          <w:noProof/>
          <w:szCs w:val="24"/>
        </w:rPr>
        <w:t xml:space="preserve">94. </w:t>
      </w:r>
      <w:r w:rsidRPr="00A32EB8">
        <w:rPr>
          <w:rFonts w:ascii="Arial" w:hAnsi="Arial" w:cs="Arial"/>
          <w:noProof/>
          <w:szCs w:val="24"/>
        </w:rPr>
        <w:tab/>
        <w:t>Ma H-P, Deng X, Chen D-Y, et al (2022) A microfluidic chip-based co-culture of fibroblast-like synoviocytes with osteoblasts and osteoclasts to test bone erosion and drug evaluation. R Soc Open Sci 5:180528. https://doi.org/10.1098/rsos.180528</w:t>
      </w:r>
    </w:p>
    <w:p w14:paraId="47195F45" w14:textId="77777777" w:rsidR="00A32EB8" w:rsidRPr="00A32EB8" w:rsidRDefault="00A32EB8" w:rsidP="00A32EB8">
      <w:pPr>
        <w:widowControl w:val="0"/>
        <w:autoSpaceDE w:val="0"/>
        <w:autoSpaceDN w:val="0"/>
        <w:adjustRightInd w:val="0"/>
        <w:spacing w:line="240" w:lineRule="auto"/>
        <w:ind w:left="640" w:hanging="640"/>
        <w:rPr>
          <w:rFonts w:ascii="Arial" w:hAnsi="Arial" w:cs="Arial"/>
          <w:noProof/>
          <w:szCs w:val="24"/>
        </w:rPr>
      </w:pPr>
      <w:r w:rsidRPr="00A32EB8">
        <w:rPr>
          <w:rFonts w:ascii="Arial" w:hAnsi="Arial" w:cs="Arial"/>
          <w:noProof/>
          <w:szCs w:val="24"/>
        </w:rPr>
        <w:t xml:space="preserve">95. </w:t>
      </w:r>
      <w:r w:rsidRPr="00A32EB8">
        <w:rPr>
          <w:rFonts w:ascii="Arial" w:hAnsi="Arial" w:cs="Arial"/>
          <w:noProof/>
          <w:szCs w:val="24"/>
        </w:rPr>
        <w:tab/>
        <w:t>Hao S, Ha L, Cheng G, et al (2018) A Spontaneous 3D Bone-On-a-Chip for Bone Metastasis Study of Breast Cancer Cells. Small 14:1702787. https://doi.org/https://doi.org/10.1002/smll.201702787</w:t>
      </w:r>
    </w:p>
    <w:p w14:paraId="3368A8AB" w14:textId="77777777" w:rsidR="00A32EB8" w:rsidRPr="00A32EB8" w:rsidRDefault="00A32EB8" w:rsidP="00A32EB8">
      <w:pPr>
        <w:widowControl w:val="0"/>
        <w:autoSpaceDE w:val="0"/>
        <w:autoSpaceDN w:val="0"/>
        <w:adjustRightInd w:val="0"/>
        <w:spacing w:line="240" w:lineRule="auto"/>
        <w:ind w:left="640" w:hanging="640"/>
        <w:rPr>
          <w:rFonts w:ascii="Arial" w:hAnsi="Arial" w:cs="Arial"/>
          <w:noProof/>
          <w:szCs w:val="24"/>
        </w:rPr>
      </w:pPr>
      <w:r w:rsidRPr="00A32EB8">
        <w:rPr>
          <w:rFonts w:ascii="Arial" w:hAnsi="Arial" w:cs="Arial"/>
          <w:noProof/>
          <w:szCs w:val="24"/>
        </w:rPr>
        <w:t xml:space="preserve">96. </w:t>
      </w:r>
      <w:r w:rsidRPr="00A32EB8">
        <w:rPr>
          <w:rFonts w:ascii="Arial" w:hAnsi="Arial" w:cs="Arial"/>
          <w:noProof/>
          <w:szCs w:val="24"/>
        </w:rPr>
        <w:tab/>
        <w:t>Bersini S, Jeon JS, Dubini G, et al (2014) A microfluidic 3D invitro model for specificity of breast cancer metastasis to bone. Biomaterials 35:2454–2461. https://doi.org/10.1016/j.biomaterials.2013.11.050</w:t>
      </w:r>
    </w:p>
    <w:p w14:paraId="511B705A" w14:textId="77777777" w:rsidR="00A32EB8" w:rsidRPr="00A32EB8" w:rsidRDefault="00A32EB8" w:rsidP="00A32EB8">
      <w:pPr>
        <w:widowControl w:val="0"/>
        <w:autoSpaceDE w:val="0"/>
        <w:autoSpaceDN w:val="0"/>
        <w:adjustRightInd w:val="0"/>
        <w:spacing w:line="240" w:lineRule="auto"/>
        <w:ind w:left="640" w:hanging="640"/>
        <w:rPr>
          <w:rFonts w:ascii="Arial" w:hAnsi="Arial" w:cs="Arial"/>
          <w:noProof/>
          <w:szCs w:val="24"/>
        </w:rPr>
      </w:pPr>
      <w:r w:rsidRPr="00A32EB8">
        <w:rPr>
          <w:rFonts w:ascii="Arial" w:hAnsi="Arial" w:cs="Arial"/>
          <w:noProof/>
          <w:szCs w:val="24"/>
        </w:rPr>
        <w:t xml:space="preserve">97. </w:t>
      </w:r>
      <w:r w:rsidRPr="00A32EB8">
        <w:rPr>
          <w:rFonts w:ascii="Arial" w:hAnsi="Arial" w:cs="Arial"/>
          <w:noProof/>
          <w:szCs w:val="24"/>
        </w:rPr>
        <w:tab/>
        <w:t>S. JJ, Simone B, Mara G, et al (2015) Human 3D vascularized organotypic microfluidic assays to study breast cancer cell extravasation. Proc Natl Acad Sci 112:214–219. https://doi.org/10.1073/pnas.1417115112</w:t>
      </w:r>
    </w:p>
    <w:p w14:paraId="24B20A6F" w14:textId="77777777" w:rsidR="00A32EB8" w:rsidRPr="00A32EB8" w:rsidRDefault="00A32EB8" w:rsidP="00A32EB8">
      <w:pPr>
        <w:widowControl w:val="0"/>
        <w:autoSpaceDE w:val="0"/>
        <w:autoSpaceDN w:val="0"/>
        <w:adjustRightInd w:val="0"/>
        <w:spacing w:line="240" w:lineRule="auto"/>
        <w:ind w:left="640" w:hanging="640"/>
        <w:rPr>
          <w:rFonts w:ascii="Arial" w:hAnsi="Arial" w:cs="Arial"/>
          <w:noProof/>
          <w:szCs w:val="24"/>
        </w:rPr>
      </w:pPr>
      <w:r w:rsidRPr="00A32EB8">
        <w:rPr>
          <w:rFonts w:ascii="Arial" w:hAnsi="Arial" w:cs="Arial"/>
          <w:noProof/>
          <w:szCs w:val="24"/>
        </w:rPr>
        <w:t xml:space="preserve">98. </w:t>
      </w:r>
      <w:r w:rsidRPr="00A32EB8">
        <w:rPr>
          <w:rFonts w:ascii="Arial" w:hAnsi="Arial" w:cs="Arial"/>
          <w:noProof/>
          <w:szCs w:val="24"/>
        </w:rPr>
        <w:tab/>
        <w:t>Conceição F, Sousa DM, Loessberg-Zahl J, et al (2022) A metastasis-on-a-chip approach to explore the sympathetic modulation of breast cancer bone metastasis. Mater Today Bio 13:. https://doi.org/10.1016/j.mtbio.2022.100219</w:t>
      </w:r>
    </w:p>
    <w:p w14:paraId="5D4700B7" w14:textId="77777777" w:rsidR="00A32EB8" w:rsidRPr="00A32EB8" w:rsidRDefault="00A32EB8" w:rsidP="00A32EB8">
      <w:pPr>
        <w:widowControl w:val="0"/>
        <w:autoSpaceDE w:val="0"/>
        <w:autoSpaceDN w:val="0"/>
        <w:adjustRightInd w:val="0"/>
        <w:spacing w:line="240" w:lineRule="auto"/>
        <w:ind w:left="640" w:hanging="640"/>
        <w:rPr>
          <w:rFonts w:ascii="Arial" w:hAnsi="Arial" w:cs="Arial"/>
          <w:noProof/>
          <w:szCs w:val="24"/>
        </w:rPr>
      </w:pPr>
      <w:r w:rsidRPr="00A32EB8">
        <w:rPr>
          <w:rFonts w:ascii="Arial" w:hAnsi="Arial" w:cs="Arial"/>
          <w:noProof/>
          <w:szCs w:val="24"/>
        </w:rPr>
        <w:t xml:space="preserve">99. </w:t>
      </w:r>
      <w:r w:rsidRPr="00A32EB8">
        <w:rPr>
          <w:rFonts w:ascii="Arial" w:hAnsi="Arial" w:cs="Arial"/>
          <w:noProof/>
          <w:szCs w:val="24"/>
        </w:rPr>
        <w:tab/>
        <w:t>Abraham DM, Herman C, Witek L, et al (2022) Self-assembling human skeletal organoids for disease modeling and drug testing. J Biomed Mater Res Part B Appl Biomater 110:871–884. https://doi.org/https://doi.org/10.1002/jbm.b.34968</w:t>
      </w:r>
    </w:p>
    <w:p w14:paraId="07F355C2" w14:textId="77777777" w:rsidR="00A32EB8" w:rsidRPr="00A32EB8" w:rsidRDefault="00A32EB8" w:rsidP="00A32EB8">
      <w:pPr>
        <w:widowControl w:val="0"/>
        <w:autoSpaceDE w:val="0"/>
        <w:autoSpaceDN w:val="0"/>
        <w:adjustRightInd w:val="0"/>
        <w:spacing w:line="240" w:lineRule="auto"/>
        <w:ind w:left="640" w:hanging="640"/>
        <w:rPr>
          <w:rFonts w:ascii="Arial" w:hAnsi="Arial" w:cs="Arial"/>
          <w:noProof/>
          <w:szCs w:val="24"/>
        </w:rPr>
      </w:pPr>
      <w:r w:rsidRPr="00A32EB8">
        <w:rPr>
          <w:rFonts w:ascii="Arial" w:hAnsi="Arial" w:cs="Arial"/>
          <w:noProof/>
          <w:szCs w:val="24"/>
        </w:rPr>
        <w:t xml:space="preserve">100. </w:t>
      </w:r>
      <w:r w:rsidRPr="00A32EB8">
        <w:rPr>
          <w:rFonts w:ascii="Arial" w:hAnsi="Arial" w:cs="Arial"/>
          <w:noProof/>
          <w:szCs w:val="24"/>
        </w:rPr>
        <w:tab/>
        <w:t>Iordachescu A, Hughes EAB, Joseph S, et al (2021) Trabecular bone organoids: a micron-scale ‘humanised’ prototype designed to study the effects of microgravity and degeneration. npj Microgravity 7:. https://doi.org/10.1038/s41526-021-00146-8</w:t>
      </w:r>
    </w:p>
    <w:p w14:paraId="1D2DAED2" w14:textId="77777777" w:rsidR="00A32EB8" w:rsidRPr="00A32EB8" w:rsidRDefault="00A32EB8" w:rsidP="00A32EB8">
      <w:pPr>
        <w:widowControl w:val="0"/>
        <w:autoSpaceDE w:val="0"/>
        <w:autoSpaceDN w:val="0"/>
        <w:adjustRightInd w:val="0"/>
        <w:spacing w:line="240" w:lineRule="auto"/>
        <w:ind w:left="640" w:hanging="640"/>
        <w:rPr>
          <w:rFonts w:ascii="Arial" w:hAnsi="Arial" w:cs="Arial"/>
          <w:noProof/>
          <w:szCs w:val="24"/>
        </w:rPr>
      </w:pPr>
      <w:r w:rsidRPr="00A32EB8">
        <w:rPr>
          <w:rFonts w:ascii="Arial" w:hAnsi="Arial" w:cs="Arial"/>
          <w:noProof/>
          <w:szCs w:val="24"/>
        </w:rPr>
        <w:t xml:space="preserve">101. </w:t>
      </w:r>
      <w:r w:rsidRPr="00A32EB8">
        <w:rPr>
          <w:rFonts w:ascii="Arial" w:hAnsi="Arial" w:cs="Arial"/>
          <w:noProof/>
          <w:szCs w:val="24"/>
        </w:rPr>
        <w:tab/>
        <w:t>Roth JG, Huang MS, Li TL, et al (2021) Advancing models of neural development with biomaterials. Nat Rev Neurosci 22:593–615. https://doi.org/10.1038/s41583-021-00496-y</w:t>
      </w:r>
    </w:p>
    <w:p w14:paraId="7C9882BB" w14:textId="77777777" w:rsidR="00A32EB8" w:rsidRPr="00A32EB8" w:rsidRDefault="00A32EB8" w:rsidP="00A32EB8">
      <w:pPr>
        <w:widowControl w:val="0"/>
        <w:autoSpaceDE w:val="0"/>
        <w:autoSpaceDN w:val="0"/>
        <w:adjustRightInd w:val="0"/>
        <w:spacing w:line="240" w:lineRule="auto"/>
        <w:ind w:left="640" w:hanging="640"/>
        <w:rPr>
          <w:rFonts w:ascii="Arial" w:hAnsi="Arial" w:cs="Arial"/>
          <w:noProof/>
          <w:szCs w:val="24"/>
        </w:rPr>
      </w:pPr>
      <w:r w:rsidRPr="00A32EB8">
        <w:rPr>
          <w:rFonts w:ascii="Arial" w:hAnsi="Arial" w:cs="Arial"/>
          <w:noProof/>
          <w:szCs w:val="24"/>
        </w:rPr>
        <w:t xml:space="preserve">102. </w:t>
      </w:r>
      <w:r w:rsidRPr="00A32EB8">
        <w:rPr>
          <w:rFonts w:ascii="Arial" w:hAnsi="Arial" w:cs="Arial"/>
          <w:noProof/>
          <w:szCs w:val="24"/>
        </w:rPr>
        <w:tab/>
        <w:t>Basu P, Basu A (2020) In vitro and in vivo effects of flavonoids on peripheral neuropathic pain. Molecules 25:. https://doi.org/10.3390/molecules25051171</w:t>
      </w:r>
    </w:p>
    <w:p w14:paraId="01DC34FA" w14:textId="77777777" w:rsidR="00A32EB8" w:rsidRPr="00A32EB8" w:rsidRDefault="00A32EB8" w:rsidP="00A32EB8">
      <w:pPr>
        <w:widowControl w:val="0"/>
        <w:autoSpaceDE w:val="0"/>
        <w:autoSpaceDN w:val="0"/>
        <w:adjustRightInd w:val="0"/>
        <w:spacing w:line="240" w:lineRule="auto"/>
        <w:ind w:left="640" w:hanging="640"/>
        <w:rPr>
          <w:rFonts w:ascii="Arial" w:hAnsi="Arial" w:cs="Arial"/>
          <w:noProof/>
          <w:szCs w:val="24"/>
        </w:rPr>
      </w:pPr>
      <w:r w:rsidRPr="00A32EB8">
        <w:rPr>
          <w:rFonts w:ascii="Arial" w:hAnsi="Arial" w:cs="Arial"/>
          <w:noProof/>
          <w:szCs w:val="24"/>
        </w:rPr>
        <w:t xml:space="preserve">103. </w:t>
      </w:r>
      <w:r w:rsidRPr="00A32EB8">
        <w:rPr>
          <w:rFonts w:ascii="Arial" w:hAnsi="Arial" w:cs="Arial"/>
          <w:noProof/>
          <w:szCs w:val="24"/>
        </w:rPr>
        <w:tab/>
        <w:t>Xie AX, Taves S, McCarthy K (2022) Nuclear Factor κB-COX2 Pathway Activation in Non-myelinating Schwann Cells Is Necessary for the Maintenance of Neuropathic Pain in vivo. Front Cell Neurosci 15:. https://doi.org/10.3389/fncel.2021.782275</w:t>
      </w:r>
    </w:p>
    <w:p w14:paraId="77E903CE" w14:textId="77777777" w:rsidR="00A32EB8" w:rsidRPr="00A32EB8" w:rsidRDefault="00A32EB8" w:rsidP="00A32EB8">
      <w:pPr>
        <w:widowControl w:val="0"/>
        <w:autoSpaceDE w:val="0"/>
        <w:autoSpaceDN w:val="0"/>
        <w:adjustRightInd w:val="0"/>
        <w:spacing w:line="240" w:lineRule="auto"/>
        <w:ind w:left="640" w:hanging="640"/>
        <w:rPr>
          <w:rFonts w:ascii="Arial" w:hAnsi="Arial" w:cs="Arial"/>
          <w:noProof/>
          <w:szCs w:val="24"/>
        </w:rPr>
      </w:pPr>
      <w:r w:rsidRPr="00A32EB8">
        <w:rPr>
          <w:rFonts w:ascii="Arial" w:hAnsi="Arial" w:cs="Arial"/>
          <w:noProof/>
          <w:szCs w:val="24"/>
        </w:rPr>
        <w:t xml:space="preserve">104. </w:t>
      </w:r>
      <w:r w:rsidRPr="00A32EB8">
        <w:rPr>
          <w:rFonts w:ascii="Arial" w:hAnsi="Arial" w:cs="Arial"/>
          <w:noProof/>
          <w:szCs w:val="24"/>
        </w:rPr>
        <w:tab/>
        <w:t>Tang-Schomer MD, White JD, Tien LW, et al (2014) Bioengineered functional brain-like cortical tissue. Proc Natl Acad Sci U S A 111:13811–13816. https://doi.org/10.1073/pnas.1324214111</w:t>
      </w:r>
    </w:p>
    <w:p w14:paraId="4143DD64" w14:textId="77777777" w:rsidR="00A32EB8" w:rsidRPr="00A32EB8" w:rsidRDefault="00A32EB8" w:rsidP="00A32EB8">
      <w:pPr>
        <w:widowControl w:val="0"/>
        <w:autoSpaceDE w:val="0"/>
        <w:autoSpaceDN w:val="0"/>
        <w:adjustRightInd w:val="0"/>
        <w:spacing w:line="240" w:lineRule="auto"/>
        <w:ind w:left="640" w:hanging="640"/>
        <w:rPr>
          <w:rFonts w:ascii="Arial" w:hAnsi="Arial" w:cs="Arial"/>
          <w:noProof/>
          <w:szCs w:val="24"/>
        </w:rPr>
      </w:pPr>
      <w:r w:rsidRPr="00A32EB8">
        <w:rPr>
          <w:rFonts w:ascii="Arial" w:hAnsi="Arial" w:cs="Arial"/>
          <w:noProof/>
          <w:szCs w:val="24"/>
        </w:rPr>
        <w:t xml:space="preserve">105. </w:t>
      </w:r>
      <w:r w:rsidRPr="00A32EB8">
        <w:rPr>
          <w:rFonts w:ascii="Arial" w:hAnsi="Arial" w:cs="Arial"/>
          <w:noProof/>
          <w:szCs w:val="24"/>
        </w:rPr>
        <w:tab/>
        <w:t>Zhou L, Wolfes AC, Li Y, et al (2020) Lipid-Bilayer-Supported 3D Printing of Human Cerebral Cortex Cells Reveals Developmental Interactions. Adv Mater 2002183:. https://doi.org/10.1002/adma.202002183</w:t>
      </w:r>
    </w:p>
    <w:p w14:paraId="639110EE" w14:textId="77777777" w:rsidR="00A32EB8" w:rsidRPr="00A32EB8" w:rsidRDefault="00A32EB8" w:rsidP="00A32EB8">
      <w:pPr>
        <w:widowControl w:val="0"/>
        <w:autoSpaceDE w:val="0"/>
        <w:autoSpaceDN w:val="0"/>
        <w:adjustRightInd w:val="0"/>
        <w:spacing w:line="240" w:lineRule="auto"/>
        <w:ind w:left="640" w:hanging="640"/>
        <w:rPr>
          <w:rFonts w:ascii="Arial" w:hAnsi="Arial" w:cs="Arial"/>
          <w:noProof/>
          <w:szCs w:val="24"/>
        </w:rPr>
      </w:pPr>
      <w:r w:rsidRPr="00A32EB8">
        <w:rPr>
          <w:rFonts w:ascii="Arial" w:hAnsi="Arial" w:cs="Arial"/>
          <w:noProof/>
          <w:szCs w:val="24"/>
        </w:rPr>
        <w:t xml:space="preserve">106. </w:t>
      </w:r>
      <w:r w:rsidRPr="00A32EB8">
        <w:rPr>
          <w:rFonts w:ascii="Arial" w:hAnsi="Arial" w:cs="Arial"/>
          <w:noProof/>
          <w:szCs w:val="24"/>
        </w:rPr>
        <w:tab/>
        <w:t>Johnson BN, Lancaster KZ, Hogue IB, et al (2016) 3D printed nervous system on a chip. Lab Chip 16:1393–1400. https://doi.org/10.1039/c5lc01270h</w:t>
      </w:r>
    </w:p>
    <w:p w14:paraId="4F435EDD" w14:textId="77777777" w:rsidR="00A32EB8" w:rsidRPr="00A32EB8" w:rsidRDefault="00A32EB8" w:rsidP="00A32EB8">
      <w:pPr>
        <w:widowControl w:val="0"/>
        <w:autoSpaceDE w:val="0"/>
        <w:autoSpaceDN w:val="0"/>
        <w:adjustRightInd w:val="0"/>
        <w:spacing w:line="240" w:lineRule="auto"/>
        <w:ind w:left="640" w:hanging="640"/>
        <w:rPr>
          <w:rFonts w:ascii="Arial" w:hAnsi="Arial" w:cs="Arial"/>
          <w:noProof/>
          <w:szCs w:val="24"/>
        </w:rPr>
      </w:pPr>
      <w:r w:rsidRPr="00A32EB8">
        <w:rPr>
          <w:rFonts w:ascii="Arial" w:hAnsi="Arial" w:cs="Arial"/>
          <w:noProof/>
          <w:szCs w:val="24"/>
        </w:rPr>
        <w:t xml:space="preserve">107. </w:t>
      </w:r>
      <w:r w:rsidRPr="00A32EB8">
        <w:rPr>
          <w:rFonts w:ascii="Arial" w:hAnsi="Arial" w:cs="Arial"/>
          <w:noProof/>
          <w:szCs w:val="24"/>
        </w:rPr>
        <w:tab/>
        <w:t xml:space="preserve">Bennett GJ, Xie Y-K (1988) A peripheral mononeuropathy in rat that produces disorders of pain sensation like those seen in man. Pain 33:87–107. </w:t>
      </w:r>
      <w:r w:rsidRPr="00A32EB8">
        <w:rPr>
          <w:rFonts w:ascii="Arial" w:hAnsi="Arial" w:cs="Arial"/>
          <w:noProof/>
          <w:szCs w:val="24"/>
        </w:rPr>
        <w:lastRenderedPageBreak/>
        <w:t>https://doi.org/10.1016/0304-3959(88)90209-6</w:t>
      </w:r>
    </w:p>
    <w:p w14:paraId="669B2D68" w14:textId="77777777" w:rsidR="00A32EB8" w:rsidRPr="00A32EB8" w:rsidRDefault="00A32EB8" w:rsidP="00A32EB8">
      <w:pPr>
        <w:widowControl w:val="0"/>
        <w:autoSpaceDE w:val="0"/>
        <w:autoSpaceDN w:val="0"/>
        <w:adjustRightInd w:val="0"/>
        <w:spacing w:line="240" w:lineRule="auto"/>
        <w:ind w:left="640" w:hanging="640"/>
        <w:rPr>
          <w:rFonts w:ascii="Arial" w:hAnsi="Arial" w:cs="Arial"/>
          <w:noProof/>
          <w:szCs w:val="24"/>
        </w:rPr>
      </w:pPr>
      <w:r w:rsidRPr="00A32EB8">
        <w:rPr>
          <w:rFonts w:ascii="Arial" w:hAnsi="Arial" w:cs="Arial"/>
          <w:noProof/>
          <w:szCs w:val="24"/>
        </w:rPr>
        <w:t xml:space="preserve">108. </w:t>
      </w:r>
      <w:r w:rsidRPr="00A32EB8">
        <w:rPr>
          <w:rFonts w:ascii="Arial" w:hAnsi="Arial" w:cs="Arial"/>
          <w:noProof/>
          <w:szCs w:val="24"/>
        </w:rPr>
        <w:tab/>
        <w:t>Seltzer Z, Dubner R, Shir Y (1990) A novel behavioral model of neuropathic pain disorders produced in rats by partial  sciatic nerve injury. Pain 43:205–218. https://doi.org/10.1016/0304-3959(90)91074-S</w:t>
      </w:r>
    </w:p>
    <w:p w14:paraId="6A29E8EA" w14:textId="77777777" w:rsidR="00A32EB8" w:rsidRPr="00A32EB8" w:rsidRDefault="00A32EB8" w:rsidP="00A32EB8">
      <w:pPr>
        <w:widowControl w:val="0"/>
        <w:autoSpaceDE w:val="0"/>
        <w:autoSpaceDN w:val="0"/>
        <w:adjustRightInd w:val="0"/>
        <w:spacing w:line="240" w:lineRule="auto"/>
        <w:ind w:left="640" w:hanging="640"/>
        <w:rPr>
          <w:rFonts w:ascii="Arial" w:hAnsi="Arial" w:cs="Arial"/>
          <w:noProof/>
          <w:szCs w:val="24"/>
        </w:rPr>
      </w:pPr>
      <w:r w:rsidRPr="00A32EB8">
        <w:rPr>
          <w:rFonts w:ascii="Arial" w:hAnsi="Arial" w:cs="Arial"/>
          <w:noProof/>
          <w:szCs w:val="24"/>
        </w:rPr>
        <w:t xml:space="preserve">109. </w:t>
      </w:r>
      <w:r w:rsidRPr="00A32EB8">
        <w:rPr>
          <w:rFonts w:ascii="Arial" w:hAnsi="Arial" w:cs="Arial"/>
          <w:noProof/>
          <w:szCs w:val="24"/>
        </w:rPr>
        <w:tab/>
        <w:t>Schwarz N, Hedrich UBS, Schwarz H, et al (2017) Human Cerebrospinal fluid promotes long-term neuronal viability and network function in human neocortical organotypic brain slice cultures. Sci Rep 7:1–12. https://doi.org/10.1038/s41598-017-12527-9</w:t>
      </w:r>
    </w:p>
    <w:p w14:paraId="64D935B1" w14:textId="77777777" w:rsidR="00A32EB8" w:rsidRPr="00A32EB8" w:rsidRDefault="00A32EB8" w:rsidP="00A32EB8">
      <w:pPr>
        <w:widowControl w:val="0"/>
        <w:autoSpaceDE w:val="0"/>
        <w:autoSpaceDN w:val="0"/>
        <w:adjustRightInd w:val="0"/>
        <w:spacing w:line="240" w:lineRule="auto"/>
        <w:ind w:left="640" w:hanging="640"/>
        <w:rPr>
          <w:rFonts w:ascii="Arial" w:hAnsi="Arial" w:cs="Arial"/>
          <w:noProof/>
          <w:szCs w:val="24"/>
        </w:rPr>
      </w:pPr>
      <w:r w:rsidRPr="00A32EB8">
        <w:rPr>
          <w:rFonts w:ascii="Arial" w:hAnsi="Arial" w:cs="Arial"/>
          <w:noProof/>
          <w:szCs w:val="24"/>
        </w:rPr>
        <w:t xml:space="preserve">110. </w:t>
      </w:r>
      <w:r w:rsidRPr="00A32EB8">
        <w:rPr>
          <w:rFonts w:ascii="Arial" w:hAnsi="Arial" w:cs="Arial"/>
          <w:noProof/>
          <w:szCs w:val="24"/>
        </w:rPr>
        <w:tab/>
        <w:t>Benton G, George J, Kleinman HK, Arnaoutova IP (2009) Advancing science and technology via 3D culture on basement membrane matrix. J Cell Physiol 221:18–25. https://doi.org/10.1002/jcp.21832</w:t>
      </w:r>
    </w:p>
    <w:p w14:paraId="7BEDBB96" w14:textId="77777777" w:rsidR="00A32EB8" w:rsidRPr="00A32EB8" w:rsidRDefault="00A32EB8" w:rsidP="00A32EB8">
      <w:pPr>
        <w:widowControl w:val="0"/>
        <w:autoSpaceDE w:val="0"/>
        <w:autoSpaceDN w:val="0"/>
        <w:adjustRightInd w:val="0"/>
        <w:spacing w:line="240" w:lineRule="auto"/>
        <w:ind w:left="640" w:hanging="640"/>
        <w:rPr>
          <w:rFonts w:ascii="Arial" w:hAnsi="Arial" w:cs="Arial"/>
          <w:noProof/>
          <w:szCs w:val="24"/>
        </w:rPr>
      </w:pPr>
      <w:r w:rsidRPr="00A32EB8">
        <w:rPr>
          <w:rFonts w:ascii="Arial" w:hAnsi="Arial" w:cs="Arial"/>
          <w:noProof/>
          <w:szCs w:val="24"/>
        </w:rPr>
        <w:t xml:space="preserve">111. </w:t>
      </w:r>
      <w:r w:rsidRPr="00A32EB8">
        <w:rPr>
          <w:rFonts w:ascii="Arial" w:hAnsi="Arial" w:cs="Arial"/>
          <w:noProof/>
          <w:szCs w:val="24"/>
        </w:rPr>
        <w:tab/>
        <w:t>Frampton JP, Hynd MR, Shuler ML, Shain W (2011) Fabrication and optimization of alginate hydrogel constructs for use in 3D neural cell culture. Biomed Mater 6:15002. https://doi.org/10.1088/1748-6041/6/1/015002</w:t>
      </w:r>
    </w:p>
    <w:p w14:paraId="6A426618" w14:textId="77777777" w:rsidR="00A32EB8" w:rsidRPr="00A32EB8" w:rsidRDefault="00A32EB8" w:rsidP="00A32EB8">
      <w:pPr>
        <w:widowControl w:val="0"/>
        <w:autoSpaceDE w:val="0"/>
        <w:autoSpaceDN w:val="0"/>
        <w:adjustRightInd w:val="0"/>
        <w:spacing w:line="240" w:lineRule="auto"/>
        <w:ind w:left="640" w:hanging="640"/>
        <w:rPr>
          <w:rFonts w:ascii="Arial" w:hAnsi="Arial" w:cs="Arial"/>
          <w:noProof/>
          <w:szCs w:val="24"/>
        </w:rPr>
      </w:pPr>
      <w:r w:rsidRPr="00A32EB8">
        <w:rPr>
          <w:rFonts w:ascii="Arial" w:hAnsi="Arial" w:cs="Arial"/>
          <w:noProof/>
          <w:szCs w:val="24"/>
        </w:rPr>
        <w:t xml:space="preserve">112. </w:t>
      </w:r>
      <w:r w:rsidRPr="00A32EB8">
        <w:rPr>
          <w:rFonts w:ascii="Arial" w:hAnsi="Arial" w:cs="Arial"/>
          <w:noProof/>
          <w:szCs w:val="24"/>
        </w:rPr>
        <w:tab/>
        <w:t>Banerjee A, Arha M, Choudhary S, et al (2009) The influence of hydrogel modulus on the proliferation and differentiation of encapsulated neural stem cells. Biomaterials 30:4695–4699. https://doi.org/10.1016/j.biomaterials.2009.05.050</w:t>
      </w:r>
    </w:p>
    <w:p w14:paraId="1053A99F" w14:textId="77777777" w:rsidR="00A32EB8" w:rsidRPr="00A32EB8" w:rsidRDefault="00A32EB8" w:rsidP="00A32EB8">
      <w:pPr>
        <w:widowControl w:val="0"/>
        <w:autoSpaceDE w:val="0"/>
        <w:autoSpaceDN w:val="0"/>
        <w:adjustRightInd w:val="0"/>
        <w:spacing w:line="240" w:lineRule="auto"/>
        <w:ind w:left="640" w:hanging="640"/>
        <w:rPr>
          <w:rFonts w:ascii="Arial" w:hAnsi="Arial" w:cs="Arial"/>
          <w:noProof/>
          <w:szCs w:val="24"/>
        </w:rPr>
      </w:pPr>
      <w:r w:rsidRPr="00A32EB8">
        <w:rPr>
          <w:rFonts w:ascii="Arial" w:hAnsi="Arial" w:cs="Arial"/>
          <w:noProof/>
          <w:szCs w:val="24"/>
        </w:rPr>
        <w:t xml:space="preserve">113. </w:t>
      </w:r>
      <w:r w:rsidRPr="00A32EB8">
        <w:rPr>
          <w:rFonts w:ascii="Arial" w:hAnsi="Arial" w:cs="Arial"/>
          <w:noProof/>
          <w:szCs w:val="24"/>
        </w:rPr>
        <w:tab/>
        <w:t>Liu X, Hao M, Chen Z, et al (2021) 3D bioprinted neural tissue constructs for spinal cord injury repair. Biomaterials 272:120771. https://doi.org/10.1016/j.biomaterials.2021.120771</w:t>
      </w:r>
    </w:p>
    <w:p w14:paraId="749EF8BF" w14:textId="77777777" w:rsidR="00A32EB8" w:rsidRPr="00A32EB8" w:rsidRDefault="00A32EB8" w:rsidP="00A32EB8">
      <w:pPr>
        <w:widowControl w:val="0"/>
        <w:autoSpaceDE w:val="0"/>
        <w:autoSpaceDN w:val="0"/>
        <w:adjustRightInd w:val="0"/>
        <w:spacing w:line="240" w:lineRule="auto"/>
        <w:ind w:left="640" w:hanging="640"/>
        <w:rPr>
          <w:rFonts w:ascii="Arial" w:hAnsi="Arial" w:cs="Arial"/>
          <w:noProof/>
          <w:szCs w:val="24"/>
        </w:rPr>
      </w:pPr>
      <w:r w:rsidRPr="00A32EB8">
        <w:rPr>
          <w:rFonts w:ascii="Arial" w:hAnsi="Arial" w:cs="Arial"/>
          <w:noProof/>
          <w:szCs w:val="24"/>
        </w:rPr>
        <w:t xml:space="preserve">114. </w:t>
      </w:r>
      <w:r w:rsidRPr="00A32EB8">
        <w:rPr>
          <w:rFonts w:ascii="Arial" w:hAnsi="Arial" w:cs="Arial"/>
          <w:noProof/>
          <w:szCs w:val="24"/>
        </w:rPr>
        <w:tab/>
        <w:t>Gu Q, Tomaskovic-Crook E, Wallace GG, Crook JM (2017) 3D Bioprinting Human Induced Pluripotent Stem Cell Constructs for In Situ Cell Proliferation and Successive Multilineage Differentiation. Adv Healthc Mater 6:. https://doi.org/10.1002/adhm.201700175</w:t>
      </w:r>
    </w:p>
    <w:p w14:paraId="11B9BC3D" w14:textId="77777777" w:rsidR="00A32EB8" w:rsidRPr="00A32EB8" w:rsidRDefault="00A32EB8" w:rsidP="00A32EB8">
      <w:pPr>
        <w:widowControl w:val="0"/>
        <w:autoSpaceDE w:val="0"/>
        <w:autoSpaceDN w:val="0"/>
        <w:adjustRightInd w:val="0"/>
        <w:spacing w:line="240" w:lineRule="auto"/>
        <w:ind w:left="640" w:hanging="640"/>
        <w:rPr>
          <w:rFonts w:ascii="Arial" w:hAnsi="Arial" w:cs="Arial"/>
          <w:noProof/>
          <w:szCs w:val="24"/>
        </w:rPr>
      </w:pPr>
      <w:r w:rsidRPr="00A32EB8">
        <w:rPr>
          <w:rFonts w:ascii="Arial" w:hAnsi="Arial" w:cs="Arial"/>
          <w:noProof/>
          <w:szCs w:val="24"/>
        </w:rPr>
        <w:t xml:space="preserve">115. </w:t>
      </w:r>
      <w:r w:rsidRPr="00A32EB8">
        <w:rPr>
          <w:rFonts w:ascii="Arial" w:hAnsi="Arial" w:cs="Arial"/>
          <w:noProof/>
          <w:szCs w:val="24"/>
        </w:rPr>
        <w:tab/>
        <w:t>Ning L, Sun H, Lelong T, et al (2018) 3D bioprinting of scaffolds with living Schwann cells for potential nerve tissue engineering applications. Biofabrication 10:035014. https://doi.org/10.1088/1758-5090/aacd30</w:t>
      </w:r>
    </w:p>
    <w:p w14:paraId="1D772596" w14:textId="77777777" w:rsidR="00A32EB8" w:rsidRPr="00A32EB8" w:rsidRDefault="00A32EB8" w:rsidP="00A32EB8">
      <w:pPr>
        <w:widowControl w:val="0"/>
        <w:autoSpaceDE w:val="0"/>
        <w:autoSpaceDN w:val="0"/>
        <w:adjustRightInd w:val="0"/>
        <w:spacing w:line="240" w:lineRule="auto"/>
        <w:ind w:left="640" w:hanging="640"/>
        <w:rPr>
          <w:rFonts w:ascii="Arial" w:hAnsi="Arial" w:cs="Arial"/>
          <w:noProof/>
          <w:szCs w:val="24"/>
        </w:rPr>
      </w:pPr>
      <w:r w:rsidRPr="00A32EB8">
        <w:rPr>
          <w:rFonts w:ascii="Arial" w:hAnsi="Arial" w:cs="Arial"/>
          <w:noProof/>
          <w:szCs w:val="24"/>
        </w:rPr>
        <w:t xml:space="preserve">116. </w:t>
      </w:r>
      <w:r w:rsidRPr="00A32EB8">
        <w:rPr>
          <w:rFonts w:ascii="Arial" w:hAnsi="Arial" w:cs="Arial"/>
          <w:noProof/>
          <w:szCs w:val="24"/>
        </w:rPr>
        <w:tab/>
        <w:t>Cullen DK, Stabenfeldt SE, Simon CM, et al (2007) In vitro neural injury model for optimization of tissue-engineered constructs. J Neurosci Res 85:3642–3651. https://doi.org/https://doi.org/10.1002/jnr.21434</w:t>
      </w:r>
    </w:p>
    <w:p w14:paraId="7EE9B285" w14:textId="77777777" w:rsidR="00A32EB8" w:rsidRPr="00A32EB8" w:rsidRDefault="00A32EB8" w:rsidP="00A32EB8">
      <w:pPr>
        <w:widowControl w:val="0"/>
        <w:autoSpaceDE w:val="0"/>
        <w:autoSpaceDN w:val="0"/>
        <w:adjustRightInd w:val="0"/>
        <w:spacing w:line="240" w:lineRule="auto"/>
        <w:ind w:left="640" w:hanging="640"/>
        <w:rPr>
          <w:rFonts w:ascii="Arial" w:hAnsi="Arial" w:cs="Arial"/>
          <w:noProof/>
          <w:szCs w:val="24"/>
        </w:rPr>
      </w:pPr>
      <w:r w:rsidRPr="00A32EB8">
        <w:rPr>
          <w:rFonts w:ascii="Arial" w:hAnsi="Arial" w:cs="Arial"/>
          <w:noProof/>
          <w:szCs w:val="24"/>
        </w:rPr>
        <w:t xml:space="preserve">117. </w:t>
      </w:r>
      <w:r w:rsidRPr="00A32EB8">
        <w:rPr>
          <w:rFonts w:ascii="Arial" w:hAnsi="Arial" w:cs="Arial"/>
          <w:noProof/>
          <w:szCs w:val="24"/>
        </w:rPr>
        <w:tab/>
        <w:t>Mahoney MJ, Anseth KS (2006) Three-dimensional growth and function of neural tissue in degradable polyethylene glycol hydrogels. Biomaterials 27:2265–2274. https://doi.org/https://doi.org/10.1016/j.biomaterials.2005.11.007</w:t>
      </w:r>
    </w:p>
    <w:p w14:paraId="6672A002" w14:textId="77777777" w:rsidR="00A32EB8" w:rsidRPr="00A32EB8" w:rsidRDefault="00A32EB8" w:rsidP="00A32EB8">
      <w:pPr>
        <w:widowControl w:val="0"/>
        <w:autoSpaceDE w:val="0"/>
        <w:autoSpaceDN w:val="0"/>
        <w:adjustRightInd w:val="0"/>
        <w:spacing w:line="240" w:lineRule="auto"/>
        <w:ind w:left="640" w:hanging="640"/>
        <w:rPr>
          <w:rFonts w:ascii="Arial" w:hAnsi="Arial" w:cs="Arial"/>
          <w:noProof/>
          <w:szCs w:val="24"/>
        </w:rPr>
      </w:pPr>
      <w:r w:rsidRPr="00A32EB8">
        <w:rPr>
          <w:rFonts w:ascii="Arial" w:hAnsi="Arial" w:cs="Arial"/>
          <w:noProof/>
          <w:szCs w:val="24"/>
        </w:rPr>
        <w:t xml:space="preserve">118. </w:t>
      </w:r>
      <w:r w:rsidRPr="00A32EB8">
        <w:rPr>
          <w:rFonts w:ascii="Arial" w:hAnsi="Arial" w:cs="Arial"/>
          <w:noProof/>
          <w:szCs w:val="24"/>
        </w:rPr>
        <w:tab/>
        <w:t>Jamal M, Kadam SS, Xiao R, et al (2013) Bio-origami hydrogel scaffolds composed of photocrosslinked PEG bilayers. Adv Healthc Mater 2:1142–1150. https://doi.org/10.1002/adhm.201200458</w:t>
      </w:r>
    </w:p>
    <w:p w14:paraId="56716B21" w14:textId="77777777" w:rsidR="00A32EB8" w:rsidRPr="00A32EB8" w:rsidRDefault="00A32EB8" w:rsidP="00A32EB8">
      <w:pPr>
        <w:widowControl w:val="0"/>
        <w:autoSpaceDE w:val="0"/>
        <w:autoSpaceDN w:val="0"/>
        <w:adjustRightInd w:val="0"/>
        <w:spacing w:line="240" w:lineRule="auto"/>
        <w:ind w:left="640" w:hanging="640"/>
        <w:rPr>
          <w:rFonts w:ascii="Arial" w:hAnsi="Arial" w:cs="Arial"/>
          <w:noProof/>
          <w:szCs w:val="24"/>
        </w:rPr>
      </w:pPr>
      <w:r w:rsidRPr="00A32EB8">
        <w:rPr>
          <w:rFonts w:ascii="Arial" w:hAnsi="Arial" w:cs="Arial"/>
          <w:noProof/>
          <w:szCs w:val="24"/>
        </w:rPr>
        <w:t xml:space="preserve">119. </w:t>
      </w:r>
      <w:r w:rsidRPr="00A32EB8">
        <w:rPr>
          <w:rFonts w:ascii="Arial" w:hAnsi="Arial" w:cs="Arial"/>
          <w:noProof/>
          <w:szCs w:val="24"/>
        </w:rPr>
        <w:tab/>
        <w:t>Klotz BJ, Gawlitta D, Rosenberg AJWP, et al (2016) Gelatin-Methacryloyl Hydrogels: Towards Biofabrication-Based Tissue Repair. Trends Biotechnol 34:394–407. https://doi.org/https://doi.org/10.1016/j.tibtech.2016.01.002</w:t>
      </w:r>
    </w:p>
    <w:p w14:paraId="5827BB3C" w14:textId="77777777" w:rsidR="00A32EB8" w:rsidRPr="00A32EB8" w:rsidRDefault="00A32EB8" w:rsidP="00A32EB8">
      <w:pPr>
        <w:widowControl w:val="0"/>
        <w:autoSpaceDE w:val="0"/>
        <w:autoSpaceDN w:val="0"/>
        <w:adjustRightInd w:val="0"/>
        <w:spacing w:line="240" w:lineRule="auto"/>
        <w:ind w:left="640" w:hanging="640"/>
        <w:rPr>
          <w:rFonts w:ascii="Arial" w:hAnsi="Arial" w:cs="Arial"/>
          <w:noProof/>
          <w:szCs w:val="24"/>
        </w:rPr>
      </w:pPr>
      <w:r w:rsidRPr="00A32EB8">
        <w:rPr>
          <w:rFonts w:ascii="Arial" w:hAnsi="Arial" w:cs="Arial"/>
          <w:noProof/>
          <w:szCs w:val="24"/>
        </w:rPr>
        <w:t xml:space="preserve">120. </w:t>
      </w:r>
      <w:r w:rsidRPr="00A32EB8">
        <w:rPr>
          <w:rFonts w:ascii="Arial" w:hAnsi="Arial" w:cs="Arial"/>
          <w:noProof/>
          <w:szCs w:val="24"/>
        </w:rPr>
        <w:tab/>
        <w:t>Knowlton S, Anand S, Shah T, Tasoglu S (2018) Bioprinting for Neural Tissue Engineering. Trends Neurosci 41:31–46. https://doi.org/10.1016/j.tins.2017.11.001</w:t>
      </w:r>
    </w:p>
    <w:p w14:paraId="0746DC5E" w14:textId="77777777" w:rsidR="00A32EB8" w:rsidRPr="00A32EB8" w:rsidRDefault="00A32EB8" w:rsidP="00A32EB8">
      <w:pPr>
        <w:widowControl w:val="0"/>
        <w:autoSpaceDE w:val="0"/>
        <w:autoSpaceDN w:val="0"/>
        <w:adjustRightInd w:val="0"/>
        <w:spacing w:line="240" w:lineRule="auto"/>
        <w:ind w:left="640" w:hanging="640"/>
        <w:rPr>
          <w:rFonts w:ascii="Arial" w:hAnsi="Arial" w:cs="Arial"/>
          <w:noProof/>
          <w:szCs w:val="24"/>
        </w:rPr>
      </w:pPr>
      <w:r w:rsidRPr="00A32EB8">
        <w:rPr>
          <w:rFonts w:ascii="Arial" w:hAnsi="Arial" w:cs="Arial"/>
          <w:noProof/>
          <w:szCs w:val="24"/>
        </w:rPr>
        <w:t xml:space="preserve">121. </w:t>
      </w:r>
      <w:r w:rsidRPr="00A32EB8">
        <w:rPr>
          <w:rFonts w:ascii="Arial" w:hAnsi="Arial" w:cs="Arial"/>
          <w:noProof/>
          <w:szCs w:val="24"/>
        </w:rPr>
        <w:tab/>
        <w:t>Chen J, Huang D, Wang L, et al (2020) 3D bioprinted multiscale composite scaffolds based on gelatin methacryloyl (GelMA)/chitosan microspheres as a modular bioink for enhancing 3D neurite outgrowth and elongation. J Colloid Interface Sci 574:162–173. https://doi.org/10.1016/j.jcis.2020.04.040</w:t>
      </w:r>
    </w:p>
    <w:p w14:paraId="4480C762" w14:textId="77777777" w:rsidR="00A32EB8" w:rsidRPr="00A32EB8" w:rsidRDefault="00A32EB8" w:rsidP="00A32EB8">
      <w:pPr>
        <w:widowControl w:val="0"/>
        <w:autoSpaceDE w:val="0"/>
        <w:autoSpaceDN w:val="0"/>
        <w:adjustRightInd w:val="0"/>
        <w:spacing w:line="240" w:lineRule="auto"/>
        <w:ind w:left="640" w:hanging="640"/>
        <w:rPr>
          <w:rFonts w:ascii="Arial" w:hAnsi="Arial" w:cs="Arial"/>
          <w:noProof/>
          <w:szCs w:val="24"/>
        </w:rPr>
      </w:pPr>
      <w:r w:rsidRPr="00A32EB8">
        <w:rPr>
          <w:rFonts w:ascii="Arial" w:hAnsi="Arial" w:cs="Arial"/>
          <w:noProof/>
          <w:szCs w:val="24"/>
        </w:rPr>
        <w:lastRenderedPageBreak/>
        <w:t xml:space="preserve">122. </w:t>
      </w:r>
      <w:r w:rsidRPr="00A32EB8">
        <w:rPr>
          <w:rFonts w:ascii="Arial" w:hAnsi="Arial" w:cs="Arial"/>
          <w:noProof/>
          <w:szCs w:val="24"/>
        </w:rPr>
        <w:tab/>
        <w:t>Smits IPM, Blaschuk OW, Willerth SM (2020) Novel N-cadherin antagonist causes glioblastoma cell death in a 3D bioprinted co-culture model. Biochem Biophys Res Commun 529:162–168. https://doi.org/10.1016/j.bbrc.2020.06.001</w:t>
      </w:r>
    </w:p>
    <w:p w14:paraId="1B6DCE26" w14:textId="77777777" w:rsidR="00A32EB8" w:rsidRPr="00A32EB8" w:rsidRDefault="00A32EB8" w:rsidP="00A32EB8">
      <w:pPr>
        <w:widowControl w:val="0"/>
        <w:autoSpaceDE w:val="0"/>
        <w:autoSpaceDN w:val="0"/>
        <w:adjustRightInd w:val="0"/>
        <w:spacing w:line="240" w:lineRule="auto"/>
        <w:ind w:left="640" w:hanging="640"/>
        <w:rPr>
          <w:rFonts w:ascii="Arial" w:hAnsi="Arial" w:cs="Arial"/>
          <w:noProof/>
          <w:szCs w:val="24"/>
        </w:rPr>
      </w:pPr>
      <w:r w:rsidRPr="00A32EB8">
        <w:rPr>
          <w:rFonts w:ascii="Arial" w:hAnsi="Arial" w:cs="Arial"/>
          <w:noProof/>
          <w:szCs w:val="24"/>
        </w:rPr>
        <w:t xml:space="preserve">123. </w:t>
      </w:r>
      <w:r w:rsidRPr="00A32EB8">
        <w:rPr>
          <w:rFonts w:ascii="Arial" w:hAnsi="Arial" w:cs="Arial"/>
          <w:noProof/>
          <w:szCs w:val="24"/>
        </w:rPr>
        <w:tab/>
        <w:t>Kunze A, Giugliano M, Valero A, Renaud P (2011) Micropatterning neural cell cultures in 3D with a multi-layered scaffold. Biomaterials 32:2088–2098. https://doi.org/10.1016/j.biomaterials.2010.11.047</w:t>
      </w:r>
    </w:p>
    <w:p w14:paraId="5E8A4F96" w14:textId="77777777" w:rsidR="00A32EB8" w:rsidRPr="00A32EB8" w:rsidRDefault="00A32EB8" w:rsidP="00A32EB8">
      <w:pPr>
        <w:widowControl w:val="0"/>
        <w:autoSpaceDE w:val="0"/>
        <w:autoSpaceDN w:val="0"/>
        <w:adjustRightInd w:val="0"/>
        <w:spacing w:line="240" w:lineRule="auto"/>
        <w:ind w:left="640" w:hanging="640"/>
        <w:rPr>
          <w:rFonts w:ascii="Arial" w:hAnsi="Arial" w:cs="Arial"/>
          <w:noProof/>
          <w:szCs w:val="24"/>
        </w:rPr>
      </w:pPr>
      <w:r w:rsidRPr="00A32EB8">
        <w:rPr>
          <w:rFonts w:ascii="Arial" w:hAnsi="Arial" w:cs="Arial"/>
          <w:noProof/>
          <w:szCs w:val="24"/>
        </w:rPr>
        <w:t xml:space="preserve">124. </w:t>
      </w:r>
      <w:r w:rsidRPr="00A32EB8">
        <w:rPr>
          <w:rFonts w:ascii="Arial" w:hAnsi="Arial" w:cs="Arial"/>
          <w:noProof/>
          <w:szCs w:val="24"/>
        </w:rPr>
        <w:tab/>
        <w:t>Cho H, Seo JH, Wong KHK, et al (2015) Three-dimensional blood-brain barrier model for in vitro studies of neurovascular pathology. Sci Rep 5:1–9. https://doi.org/10.1038/srep15222</w:t>
      </w:r>
    </w:p>
    <w:p w14:paraId="7B1C07C7" w14:textId="77777777" w:rsidR="00A32EB8" w:rsidRPr="00A32EB8" w:rsidRDefault="00A32EB8" w:rsidP="00A32EB8">
      <w:pPr>
        <w:widowControl w:val="0"/>
        <w:autoSpaceDE w:val="0"/>
        <w:autoSpaceDN w:val="0"/>
        <w:adjustRightInd w:val="0"/>
        <w:spacing w:line="240" w:lineRule="auto"/>
        <w:ind w:left="640" w:hanging="640"/>
        <w:rPr>
          <w:rFonts w:ascii="Arial" w:hAnsi="Arial" w:cs="Arial"/>
          <w:noProof/>
          <w:szCs w:val="24"/>
        </w:rPr>
      </w:pPr>
      <w:r w:rsidRPr="00A32EB8">
        <w:rPr>
          <w:rFonts w:ascii="Arial" w:hAnsi="Arial" w:cs="Arial"/>
          <w:noProof/>
          <w:szCs w:val="24"/>
        </w:rPr>
        <w:t xml:space="preserve">125. </w:t>
      </w:r>
      <w:r w:rsidRPr="00A32EB8">
        <w:rPr>
          <w:rFonts w:ascii="Arial" w:hAnsi="Arial" w:cs="Arial"/>
          <w:noProof/>
          <w:szCs w:val="24"/>
        </w:rPr>
        <w:tab/>
        <w:t>Lei Y, Li J, Wang N, et al (2016) An on-chip model for investigating the interaction between neurons and cancer cells. Integr Biol 8:359–367. https://doi.org/10.1039/c5ib00309a</w:t>
      </w:r>
    </w:p>
    <w:p w14:paraId="7D6358C5" w14:textId="77777777" w:rsidR="00A32EB8" w:rsidRPr="00A32EB8" w:rsidRDefault="00A32EB8" w:rsidP="00A32EB8">
      <w:pPr>
        <w:widowControl w:val="0"/>
        <w:autoSpaceDE w:val="0"/>
        <w:autoSpaceDN w:val="0"/>
        <w:adjustRightInd w:val="0"/>
        <w:spacing w:line="240" w:lineRule="auto"/>
        <w:ind w:left="640" w:hanging="640"/>
        <w:rPr>
          <w:rFonts w:ascii="Arial" w:hAnsi="Arial" w:cs="Arial"/>
          <w:noProof/>
          <w:szCs w:val="24"/>
        </w:rPr>
      </w:pPr>
      <w:r w:rsidRPr="00A32EB8">
        <w:rPr>
          <w:rFonts w:ascii="Arial" w:hAnsi="Arial" w:cs="Arial"/>
          <w:noProof/>
          <w:szCs w:val="24"/>
        </w:rPr>
        <w:t xml:space="preserve">126. </w:t>
      </w:r>
      <w:r w:rsidRPr="00A32EB8">
        <w:rPr>
          <w:rFonts w:ascii="Arial" w:hAnsi="Arial" w:cs="Arial"/>
          <w:noProof/>
          <w:szCs w:val="24"/>
        </w:rPr>
        <w:tab/>
        <w:t>Fan Y, Nguyen DT, Akay Y, et al (2016) Engineering a Brain Cancer Chip for High-throughput Drug Screening. Sci Rep 6:25062. https://doi.org/10.1038/srep25062</w:t>
      </w:r>
    </w:p>
    <w:p w14:paraId="67518AF4" w14:textId="77777777" w:rsidR="00A32EB8" w:rsidRPr="00A32EB8" w:rsidRDefault="00A32EB8" w:rsidP="00A32EB8">
      <w:pPr>
        <w:widowControl w:val="0"/>
        <w:autoSpaceDE w:val="0"/>
        <w:autoSpaceDN w:val="0"/>
        <w:adjustRightInd w:val="0"/>
        <w:spacing w:line="240" w:lineRule="auto"/>
        <w:ind w:left="640" w:hanging="640"/>
        <w:rPr>
          <w:rFonts w:ascii="Arial" w:hAnsi="Arial" w:cs="Arial"/>
          <w:noProof/>
          <w:szCs w:val="24"/>
        </w:rPr>
      </w:pPr>
      <w:r w:rsidRPr="00A32EB8">
        <w:rPr>
          <w:rFonts w:ascii="Arial" w:hAnsi="Arial" w:cs="Arial"/>
          <w:noProof/>
          <w:szCs w:val="24"/>
        </w:rPr>
        <w:t xml:space="preserve">127. </w:t>
      </w:r>
      <w:r w:rsidRPr="00A32EB8">
        <w:rPr>
          <w:rFonts w:ascii="Arial" w:hAnsi="Arial" w:cs="Arial"/>
          <w:noProof/>
          <w:szCs w:val="24"/>
        </w:rPr>
        <w:tab/>
        <w:t>de Jongh R, Spijkers XM, Pasteuning-Vuhman S, et al (2021) Neuromuscular junction-on-a-chip: ALS disease modeling and read-out development in microfluidic devices. J Neurochem 157:393–412. https://doi.org/https://doi.org/10.1111/jnc.15289</w:t>
      </w:r>
    </w:p>
    <w:p w14:paraId="3E4CA98D" w14:textId="77777777" w:rsidR="00A32EB8" w:rsidRPr="00A32EB8" w:rsidRDefault="00A32EB8" w:rsidP="00A32EB8">
      <w:pPr>
        <w:widowControl w:val="0"/>
        <w:autoSpaceDE w:val="0"/>
        <w:autoSpaceDN w:val="0"/>
        <w:adjustRightInd w:val="0"/>
        <w:spacing w:line="240" w:lineRule="auto"/>
        <w:ind w:left="640" w:hanging="640"/>
        <w:rPr>
          <w:rFonts w:ascii="Arial" w:hAnsi="Arial" w:cs="Arial"/>
          <w:noProof/>
          <w:szCs w:val="24"/>
        </w:rPr>
      </w:pPr>
      <w:r w:rsidRPr="00A32EB8">
        <w:rPr>
          <w:rFonts w:ascii="Arial" w:hAnsi="Arial" w:cs="Arial"/>
          <w:noProof/>
          <w:szCs w:val="24"/>
        </w:rPr>
        <w:t xml:space="preserve">128. </w:t>
      </w:r>
      <w:r w:rsidRPr="00A32EB8">
        <w:rPr>
          <w:rFonts w:ascii="Arial" w:hAnsi="Arial" w:cs="Arial"/>
          <w:noProof/>
          <w:szCs w:val="24"/>
        </w:rPr>
        <w:tab/>
        <w:t>Vysokov N, McMahon SB, Raouf R (2019) The role of NaV channels in synaptic transmission after axotomy in a microfluidic culture platform. Sci Rep 9:12915. https://doi.org/10.1038/s41598-019-49214-w</w:t>
      </w:r>
    </w:p>
    <w:p w14:paraId="1E116A2E" w14:textId="77777777" w:rsidR="00A32EB8" w:rsidRPr="00A32EB8" w:rsidRDefault="00A32EB8" w:rsidP="00A32EB8">
      <w:pPr>
        <w:widowControl w:val="0"/>
        <w:autoSpaceDE w:val="0"/>
        <w:autoSpaceDN w:val="0"/>
        <w:adjustRightInd w:val="0"/>
        <w:spacing w:line="240" w:lineRule="auto"/>
        <w:ind w:left="640" w:hanging="640"/>
        <w:rPr>
          <w:rFonts w:ascii="Arial" w:hAnsi="Arial" w:cs="Arial"/>
          <w:noProof/>
          <w:szCs w:val="24"/>
        </w:rPr>
      </w:pPr>
      <w:r w:rsidRPr="00A32EB8">
        <w:rPr>
          <w:rFonts w:ascii="Arial" w:hAnsi="Arial" w:cs="Arial"/>
          <w:noProof/>
          <w:szCs w:val="24"/>
        </w:rPr>
        <w:t xml:space="preserve">129. </w:t>
      </w:r>
      <w:r w:rsidRPr="00A32EB8">
        <w:rPr>
          <w:rFonts w:ascii="Arial" w:hAnsi="Arial" w:cs="Arial"/>
          <w:noProof/>
          <w:szCs w:val="24"/>
        </w:rPr>
        <w:tab/>
        <w:t>Lancaster MA, Renner M, Martin CA, et al (2013) Cerebral organoids model human brain development and microcephaly. Nature 501:373–379. https://doi.org/10.1038/nature12517</w:t>
      </w:r>
    </w:p>
    <w:p w14:paraId="1D232607" w14:textId="77777777" w:rsidR="00A32EB8" w:rsidRPr="00A32EB8" w:rsidRDefault="00A32EB8" w:rsidP="00A32EB8">
      <w:pPr>
        <w:widowControl w:val="0"/>
        <w:autoSpaceDE w:val="0"/>
        <w:autoSpaceDN w:val="0"/>
        <w:adjustRightInd w:val="0"/>
        <w:spacing w:line="240" w:lineRule="auto"/>
        <w:ind w:left="640" w:hanging="640"/>
        <w:rPr>
          <w:rFonts w:ascii="Arial" w:hAnsi="Arial" w:cs="Arial"/>
          <w:noProof/>
          <w:szCs w:val="24"/>
        </w:rPr>
      </w:pPr>
      <w:r w:rsidRPr="00A32EB8">
        <w:rPr>
          <w:rFonts w:ascii="Arial" w:hAnsi="Arial" w:cs="Arial"/>
          <w:noProof/>
          <w:szCs w:val="24"/>
        </w:rPr>
        <w:t xml:space="preserve">130. </w:t>
      </w:r>
      <w:r w:rsidRPr="00A32EB8">
        <w:rPr>
          <w:rFonts w:ascii="Arial" w:hAnsi="Arial" w:cs="Arial"/>
          <w:noProof/>
          <w:szCs w:val="24"/>
        </w:rPr>
        <w:tab/>
        <w:t>Stem C, Author C, August PMC, et al (2017) HHS Public Access neurons. 19:248–257. https://doi.org/10.1016/j.stem.2016.07.005.Midbrain-like</w:t>
      </w:r>
    </w:p>
    <w:p w14:paraId="6876A0AC" w14:textId="77777777" w:rsidR="00A32EB8" w:rsidRPr="00A32EB8" w:rsidRDefault="00A32EB8" w:rsidP="00A32EB8">
      <w:pPr>
        <w:widowControl w:val="0"/>
        <w:autoSpaceDE w:val="0"/>
        <w:autoSpaceDN w:val="0"/>
        <w:adjustRightInd w:val="0"/>
        <w:spacing w:line="240" w:lineRule="auto"/>
        <w:ind w:left="640" w:hanging="640"/>
        <w:rPr>
          <w:rFonts w:ascii="Arial" w:hAnsi="Arial" w:cs="Arial"/>
          <w:noProof/>
          <w:szCs w:val="24"/>
        </w:rPr>
      </w:pPr>
      <w:r w:rsidRPr="00A32EB8">
        <w:rPr>
          <w:rFonts w:ascii="Arial" w:hAnsi="Arial" w:cs="Arial"/>
          <w:noProof/>
          <w:szCs w:val="24"/>
        </w:rPr>
        <w:t xml:space="preserve">131. </w:t>
      </w:r>
      <w:r w:rsidRPr="00A32EB8">
        <w:rPr>
          <w:rFonts w:ascii="Arial" w:hAnsi="Arial" w:cs="Arial"/>
          <w:noProof/>
          <w:szCs w:val="24"/>
        </w:rPr>
        <w:tab/>
        <w:t>Ao Z, Cai H, Wu Z, et al (2022) Human Spinal Organoid-on-a-Chip to Model Nociceptive Circuitry for Pain Therapeutics Discovery. Anal Chem 94:1365–1372. https://doi.org/10.1021/acs.analchem.1c04641</w:t>
      </w:r>
    </w:p>
    <w:p w14:paraId="29FEE74A" w14:textId="77777777" w:rsidR="00A32EB8" w:rsidRPr="00A32EB8" w:rsidRDefault="00A32EB8" w:rsidP="00A32EB8">
      <w:pPr>
        <w:widowControl w:val="0"/>
        <w:autoSpaceDE w:val="0"/>
        <w:autoSpaceDN w:val="0"/>
        <w:adjustRightInd w:val="0"/>
        <w:spacing w:line="240" w:lineRule="auto"/>
        <w:ind w:left="640" w:hanging="640"/>
        <w:rPr>
          <w:rFonts w:ascii="Arial" w:hAnsi="Arial" w:cs="Arial"/>
          <w:noProof/>
          <w:szCs w:val="24"/>
        </w:rPr>
      </w:pPr>
      <w:r w:rsidRPr="00A32EB8">
        <w:rPr>
          <w:rFonts w:ascii="Arial" w:hAnsi="Arial" w:cs="Arial"/>
          <w:noProof/>
          <w:szCs w:val="24"/>
        </w:rPr>
        <w:t xml:space="preserve">132. </w:t>
      </w:r>
      <w:r w:rsidRPr="00A32EB8">
        <w:rPr>
          <w:rFonts w:ascii="Arial" w:hAnsi="Arial" w:cs="Arial"/>
          <w:noProof/>
          <w:szCs w:val="24"/>
        </w:rPr>
        <w:tab/>
        <w:t>Thompson AL, Largent-Milnes TM, Vanderah TW (2019) Animal models for the study of bone-derived pain. Methods Mol Biol 1914:391–407. https://doi.org/10.1007/978-1-4939-8997-3_23</w:t>
      </w:r>
    </w:p>
    <w:p w14:paraId="32FBBE93" w14:textId="77777777" w:rsidR="00A32EB8" w:rsidRPr="00A32EB8" w:rsidRDefault="00A32EB8" w:rsidP="00A32EB8">
      <w:pPr>
        <w:widowControl w:val="0"/>
        <w:autoSpaceDE w:val="0"/>
        <w:autoSpaceDN w:val="0"/>
        <w:adjustRightInd w:val="0"/>
        <w:spacing w:line="240" w:lineRule="auto"/>
        <w:ind w:left="640" w:hanging="640"/>
        <w:rPr>
          <w:rFonts w:ascii="Arial" w:hAnsi="Arial" w:cs="Arial"/>
          <w:noProof/>
          <w:szCs w:val="24"/>
        </w:rPr>
      </w:pPr>
      <w:r w:rsidRPr="00A32EB8">
        <w:rPr>
          <w:rFonts w:ascii="Arial" w:hAnsi="Arial" w:cs="Arial"/>
          <w:noProof/>
          <w:szCs w:val="24"/>
        </w:rPr>
        <w:t xml:space="preserve">133. </w:t>
      </w:r>
      <w:r w:rsidRPr="00A32EB8">
        <w:rPr>
          <w:rFonts w:ascii="Arial" w:hAnsi="Arial" w:cs="Arial"/>
          <w:noProof/>
          <w:szCs w:val="24"/>
        </w:rPr>
        <w:tab/>
        <w:t>Remeniuk B, King T, Sukhtankar D, et al (2018) Disease modifying actions of interleukin-6 blockade in a rat model of bone cancer pain. Pain 159:684–698. https://doi.org/10.1097/j.pain.0000000000001139</w:t>
      </w:r>
    </w:p>
    <w:p w14:paraId="7ECAEC2F" w14:textId="77777777" w:rsidR="00A32EB8" w:rsidRPr="00A32EB8" w:rsidRDefault="00A32EB8" w:rsidP="00A32EB8">
      <w:pPr>
        <w:widowControl w:val="0"/>
        <w:autoSpaceDE w:val="0"/>
        <w:autoSpaceDN w:val="0"/>
        <w:adjustRightInd w:val="0"/>
        <w:spacing w:line="240" w:lineRule="auto"/>
        <w:ind w:left="640" w:hanging="640"/>
        <w:rPr>
          <w:rFonts w:ascii="Arial" w:hAnsi="Arial" w:cs="Arial"/>
          <w:noProof/>
          <w:szCs w:val="24"/>
        </w:rPr>
      </w:pPr>
      <w:r w:rsidRPr="00A32EB8">
        <w:rPr>
          <w:rFonts w:ascii="Arial" w:hAnsi="Arial" w:cs="Arial"/>
          <w:noProof/>
          <w:szCs w:val="24"/>
        </w:rPr>
        <w:t xml:space="preserve">134. </w:t>
      </w:r>
      <w:r w:rsidRPr="00A32EB8">
        <w:rPr>
          <w:rFonts w:ascii="Arial" w:hAnsi="Arial" w:cs="Arial"/>
          <w:noProof/>
          <w:szCs w:val="24"/>
        </w:rPr>
        <w:tab/>
        <w:t>Zhang Z, Deng M, Huang J, et al (2020) Microglial annexin A3 downregulation alleviates bone cancer-induced pain through inhibiting the Hif-1α/vascular endothelial growth factor signaling pathway. Pain 161:2750–2762. https://doi.org/10.1097/j.pain.0000000000001962</w:t>
      </w:r>
    </w:p>
    <w:p w14:paraId="49D3BEA9" w14:textId="77777777" w:rsidR="00A32EB8" w:rsidRPr="00A32EB8" w:rsidRDefault="00A32EB8" w:rsidP="00A32EB8">
      <w:pPr>
        <w:widowControl w:val="0"/>
        <w:autoSpaceDE w:val="0"/>
        <w:autoSpaceDN w:val="0"/>
        <w:adjustRightInd w:val="0"/>
        <w:spacing w:line="240" w:lineRule="auto"/>
        <w:ind w:left="640" w:hanging="640"/>
        <w:rPr>
          <w:rFonts w:ascii="Arial" w:hAnsi="Arial" w:cs="Arial"/>
          <w:noProof/>
          <w:szCs w:val="24"/>
        </w:rPr>
      </w:pPr>
      <w:r w:rsidRPr="00A32EB8">
        <w:rPr>
          <w:rFonts w:ascii="Arial" w:hAnsi="Arial" w:cs="Arial"/>
          <w:noProof/>
          <w:szCs w:val="24"/>
        </w:rPr>
        <w:t xml:space="preserve">135. </w:t>
      </w:r>
      <w:r w:rsidRPr="00A32EB8">
        <w:rPr>
          <w:rFonts w:ascii="Arial" w:hAnsi="Arial" w:cs="Arial"/>
          <w:noProof/>
          <w:szCs w:val="24"/>
        </w:rPr>
        <w:tab/>
        <w:t>Stine C, Coleman DL, Flohrschutz AT, et al (2020) Heat shock protein 90 inhibitors block the antinociceptive effects of opioids in mouse chemotherapy-induced neuropathy and cancer bone pain models. Pain 161:1798–1807. https://doi.org/10.1097/j.pain.0000000000001886</w:t>
      </w:r>
    </w:p>
    <w:p w14:paraId="5B462F56" w14:textId="77777777" w:rsidR="00A32EB8" w:rsidRPr="00A32EB8" w:rsidRDefault="00A32EB8" w:rsidP="00A32EB8">
      <w:pPr>
        <w:widowControl w:val="0"/>
        <w:autoSpaceDE w:val="0"/>
        <w:autoSpaceDN w:val="0"/>
        <w:adjustRightInd w:val="0"/>
        <w:spacing w:line="240" w:lineRule="auto"/>
        <w:ind w:left="640" w:hanging="640"/>
        <w:rPr>
          <w:rFonts w:ascii="Arial" w:hAnsi="Arial" w:cs="Arial"/>
          <w:noProof/>
          <w:szCs w:val="24"/>
        </w:rPr>
      </w:pPr>
      <w:r w:rsidRPr="00A32EB8">
        <w:rPr>
          <w:rFonts w:ascii="Arial" w:hAnsi="Arial" w:cs="Arial"/>
          <w:noProof/>
          <w:szCs w:val="24"/>
        </w:rPr>
        <w:t xml:space="preserve">136. </w:t>
      </w:r>
      <w:r w:rsidRPr="00A32EB8">
        <w:rPr>
          <w:rFonts w:ascii="Arial" w:hAnsi="Arial" w:cs="Arial"/>
          <w:noProof/>
          <w:szCs w:val="24"/>
        </w:rPr>
        <w:tab/>
        <w:t>Liu Q, Feng L, Han X, et al (2021) The TRPA1 Channel Mediates Mechanical Allodynia and Thermal Hyperalgesia in a Rat Bone Cancer Pain Model. Front Pain Res 2:1–10. https://doi.org/10.3389/fpain.2021.638620</w:t>
      </w:r>
    </w:p>
    <w:p w14:paraId="2E92DD32" w14:textId="77777777" w:rsidR="00A32EB8" w:rsidRPr="00A32EB8" w:rsidRDefault="00A32EB8" w:rsidP="00A32EB8">
      <w:pPr>
        <w:widowControl w:val="0"/>
        <w:autoSpaceDE w:val="0"/>
        <w:autoSpaceDN w:val="0"/>
        <w:adjustRightInd w:val="0"/>
        <w:spacing w:line="240" w:lineRule="auto"/>
        <w:ind w:left="640" w:hanging="640"/>
        <w:rPr>
          <w:rFonts w:ascii="Arial" w:hAnsi="Arial" w:cs="Arial"/>
          <w:noProof/>
          <w:szCs w:val="24"/>
        </w:rPr>
      </w:pPr>
      <w:r w:rsidRPr="00A32EB8">
        <w:rPr>
          <w:rFonts w:ascii="Arial" w:hAnsi="Arial" w:cs="Arial"/>
          <w:noProof/>
          <w:szCs w:val="24"/>
        </w:rPr>
        <w:lastRenderedPageBreak/>
        <w:t xml:space="preserve">137. </w:t>
      </w:r>
      <w:r w:rsidRPr="00A32EB8">
        <w:rPr>
          <w:rFonts w:ascii="Arial" w:hAnsi="Arial" w:cs="Arial"/>
          <w:noProof/>
          <w:szCs w:val="24"/>
        </w:rPr>
        <w:tab/>
        <w:t>Forte BL, Slosky LM, Zhang H, et al (2016) Angiotensin-(1-7)/Mas receptor as an antinociceptive agent in cancer-induced bone pain. Pain 157:2709–2721. https://doi.org/10.1097/j.pain.0000000000000690</w:t>
      </w:r>
    </w:p>
    <w:p w14:paraId="533C90AB" w14:textId="77777777" w:rsidR="00A32EB8" w:rsidRPr="00A32EB8" w:rsidRDefault="00A32EB8" w:rsidP="00A32EB8">
      <w:pPr>
        <w:widowControl w:val="0"/>
        <w:autoSpaceDE w:val="0"/>
        <w:autoSpaceDN w:val="0"/>
        <w:adjustRightInd w:val="0"/>
        <w:spacing w:line="240" w:lineRule="auto"/>
        <w:ind w:left="640" w:hanging="640"/>
        <w:rPr>
          <w:rFonts w:ascii="Arial" w:hAnsi="Arial" w:cs="Arial"/>
          <w:noProof/>
          <w:szCs w:val="24"/>
        </w:rPr>
      </w:pPr>
      <w:r w:rsidRPr="00A32EB8">
        <w:rPr>
          <w:rFonts w:ascii="Arial" w:hAnsi="Arial" w:cs="Arial"/>
          <w:noProof/>
          <w:szCs w:val="24"/>
        </w:rPr>
        <w:t xml:space="preserve">138. </w:t>
      </w:r>
      <w:r w:rsidRPr="00A32EB8">
        <w:rPr>
          <w:rFonts w:ascii="Arial" w:hAnsi="Arial" w:cs="Arial"/>
          <w:noProof/>
          <w:szCs w:val="24"/>
        </w:rPr>
        <w:tab/>
        <w:t>Fan L-J, Kan H-M, Chen X-T, et al (2022) Vascular endothelial growth factor-A/vascular endothelial growth factor2 signaling in spinal neurons contributes to bone cancer pain. Mol Pain 18:174480692210758. https://doi.org/10.1177/17448069221075891</w:t>
      </w:r>
    </w:p>
    <w:p w14:paraId="5586D13A" w14:textId="77777777" w:rsidR="00A32EB8" w:rsidRPr="00A32EB8" w:rsidRDefault="00A32EB8" w:rsidP="00A32EB8">
      <w:pPr>
        <w:widowControl w:val="0"/>
        <w:autoSpaceDE w:val="0"/>
        <w:autoSpaceDN w:val="0"/>
        <w:adjustRightInd w:val="0"/>
        <w:spacing w:line="240" w:lineRule="auto"/>
        <w:ind w:left="640" w:hanging="640"/>
        <w:rPr>
          <w:rFonts w:ascii="Arial" w:hAnsi="Arial" w:cs="Arial"/>
          <w:noProof/>
          <w:szCs w:val="24"/>
        </w:rPr>
      </w:pPr>
      <w:r w:rsidRPr="00A32EB8">
        <w:rPr>
          <w:rFonts w:ascii="Arial" w:hAnsi="Arial" w:cs="Arial"/>
          <w:noProof/>
          <w:szCs w:val="24"/>
        </w:rPr>
        <w:t xml:space="preserve">139. </w:t>
      </w:r>
      <w:r w:rsidRPr="00A32EB8">
        <w:rPr>
          <w:rFonts w:ascii="Arial" w:hAnsi="Arial" w:cs="Arial"/>
          <w:noProof/>
          <w:szCs w:val="24"/>
        </w:rPr>
        <w:tab/>
        <w:t>Nencini S, Thai J, Ivanusic JJ (2019) Sequestration of artemin reduces inflammation-induced activation and sensitization of bone marrow nociceptors in a rodent model of carrageenan-induced inflammatory bone pain. Eur J Pain (United Kingdom) 23:397–409. https://doi.org/10.1002/ejp.1315</w:t>
      </w:r>
    </w:p>
    <w:p w14:paraId="3015877F" w14:textId="77777777" w:rsidR="00A32EB8" w:rsidRPr="00A32EB8" w:rsidRDefault="00A32EB8" w:rsidP="00A32EB8">
      <w:pPr>
        <w:widowControl w:val="0"/>
        <w:autoSpaceDE w:val="0"/>
        <w:autoSpaceDN w:val="0"/>
        <w:adjustRightInd w:val="0"/>
        <w:spacing w:line="240" w:lineRule="auto"/>
        <w:ind w:left="640" w:hanging="640"/>
        <w:rPr>
          <w:rFonts w:ascii="Arial" w:hAnsi="Arial" w:cs="Arial"/>
          <w:noProof/>
          <w:szCs w:val="24"/>
        </w:rPr>
      </w:pPr>
      <w:r w:rsidRPr="00A32EB8">
        <w:rPr>
          <w:rFonts w:ascii="Arial" w:hAnsi="Arial" w:cs="Arial"/>
          <w:noProof/>
          <w:szCs w:val="24"/>
        </w:rPr>
        <w:t xml:space="preserve">140. </w:t>
      </w:r>
      <w:r w:rsidRPr="00A32EB8">
        <w:rPr>
          <w:rFonts w:ascii="Arial" w:hAnsi="Arial" w:cs="Arial"/>
          <w:noProof/>
          <w:szCs w:val="24"/>
        </w:rPr>
        <w:tab/>
        <w:t>Townsend K, Imbert I, Eaton V, et al (2022) Voluntary exercise blocks ongoing pain and diminishes bone remodeling while sparing protective mechanical pain in a rat model of advanced osteoarthritis pain. Pain 163:E476–E487. https://doi.org/10.1097/j.pain.0000000000002392</w:t>
      </w:r>
    </w:p>
    <w:p w14:paraId="44FBDC6B" w14:textId="77777777" w:rsidR="00A32EB8" w:rsidRPr="00A32EB8" w:rsidRDefault="00A32EB8" w:rsidP="00A32EB8">
      <w:pPr>
        <w:widowControl w:val="0"/>
        <w:autoSpaceDE w:val="0"/>
        <w:autoSpaceDN w:val="0"/>
        <w:adjustRightInd w:val="0"/>
        <w:spacing w:line="240" w:lineRule="auto"/>
        <w:ind w:left="640" w:hanging="640"/>
        <w:rPr>
          <w:rFonts w:ascii="Arial" w:hAnsi="Arial" w:cs="Arial"/>
          <w:noProof/>
          <w:szCs w:val="24"/>
        </w:rPr>
      </w:pPr>
      <w:r w:rsidRPr="00A32EB8">
        <w:rPr>
          <w:rFonts w:ascii="Arial" w:hAnsi="Arial" w:cs="Arial"/>
          <w:noProof/>
          <w:szCs w:val="24"/>
        </w:rPr>
        <w:t xml:space="preserve">141. </w:t>
      </w:r>
      <w:r w:rsidRPr="00A32EB8">
        <w:rPr>
          <w:rFonts w:ascii="Arial" w:hAnsi="Arial" w:cs="Arial"/>
          <w:noProof/>
          <w:szCs w:val="24"/>
        </w:rPr>
        <w:tab/>
        <w:t>Nencini S, Morgan M, Thai J, et al (2021) Piezo2 Knockdown Inhibits Noxious Mechanical Stimulation and NGF-Induced Sensitization in A-Delta Bone Afferent Neurons. Front Physiol 12:1–13. https://doi.org/10.3389/fphys.2021.644929</w:t>
      </w:r>
    </w:p>
    <w:p w14:paraId="0D43C114" w14:textId="77777777" w:rsidR="00A32EB8" w:rsidRPr="00A32EB8" w:rsidRDefault="00A32EB8" w:rsidP="00A32EB8">
      <w:pPr>
        <w:widowControl w:val="0"/>
        <w:autoSpaceDE w:val="0"/>
        <w:autoSpaceDN w:val="0"/>
        <w:adjustRightInd w:val="0"/>
        <w:spacing w:line="240" w:lineRule="auto"/>
        <w:ind w:left="640" w:hanging="640"/>
        <w:rPr>
          <w:rFonts w:ascii="Arial" w:hAnsi="Arial" w:cs="Arial"/>
          <w:noProof/>
          <w:szCs w:val="24"/>
        </w:rPr>
      </w:pPr>
      <w:r w:rsidRPr="00A32EB8">
        <w:rPr>
          <w:rFonts w:ascii="Arial" w:hAnsi="Arial" w:cs="Arial"/>
          <w:noProof/>
          <w:szCs w:val="24"/>
        </w:rPr>
        <w:t xml:space="preserve">142. </w:t>
      </w:r>
      <w:r w:rsidRPr="00A32EB8">
        <w:rPr>
          <w:rFonts w:ascii="Arial" w:hAnsi="Arial" w:cs="Arial"/>
          <w:noProof/>
          <w:szCs w:val="24"/>
        </w:rPr>
        <w:tab/>
        <w:t>Thai J, Kyloh M, Travis L, et al (2020) Identifying spinal afferent (sensory) nerve endings that innervate the marrow cavity and periosteum using anterograde tracing. J Comp Neurol 528:1903–1916. https://doi.org/10.1002/cne.24862</w:t>
      </w:r>
    </w:p>
    <w:p w14:paraId="7B52C553" w14:textId="77777777" w:rsidR="00A32EB8" w:rsidRPr="00A32EB8" w:rsidRDefault="00A32EB8" w:rsidP="00A32EB8">
      <w:pPr>
        <w:widowControl w:val="0"/>
        <w:autoSpaceDE w:val="0"/>
        <w:autoSpaceDN w:val="0"/>
        <w:adjustRightInd w:val="0"/>
        <w:spacing w:line="240" w:lineRule="auto"/>
        <w:ind w:left="640" w:hanging="640"/>
        <w:rPr>
          <w:rFonts w:ascii="Arial" w:hAnsi="Arial" w:cs="Arial"/>
          <w:noProof/>
          <w:szCs w:val="24"/>
        </w:rPr>
      </w:pPr>
      <w:r w:rsidRPr="00A32EB8">
        <w:rPr>
          <w:rFonts w:ascii="Arial" w:hAnsi="Arial" w:cs="Arial"/>
          <w:noProof/>
          <w:szCs w:val="24"/>
        </w:rPr>
        <w:t xml:space="preserve">143. </w:t>
      </w:r>
      <w:r w:rsidRPr="00A32EB8">
        <w:rPr>
          <w:rFonts w:ascii="Arial" w:hAnsi="Arial" w:cs="Arial"/>
          <w:noProof/>
          <w:szCs w:val="24"/>
        </w:rPr>
        <w:tab/>
        <w:t>Morgan M, Nencini S, Thai J, Ivanusic JJ (2019) TRPV1 activation alters the function of Aδ and C fiber sensory neurons that innervate bone. Bone 123:168–175. https://doi.org/10.1016/j.bone.2019.03.040</w:t>
      </w:r>
    </w:p>
    <w:p w14:paraId="3168EFAC" w14:textId="77777777" w:rsidR="00A32EB8" w:rsidRPr="00A32EB8" w:rsidRDefault="00A32EB8" w:rsidP="00A32EB8">
      <w:pPr>
        <w:widowControl w:val="0"/>
        <w:autoSpaceDE w:val="0"/>
        <w:autoSpaceDN w:val="0"/>
        <w:adjustRightInd w:val="0"/>
        <w:spacing w:line="240" w:lineRule="auto"/>
        <w:ind w:left="640" w:hanging="640"/>
        <w:rPr>
          <w:rFonts w:ascii="Arial" w:hAnsi="Arial" w:cs="Arial"/>
          <w:noProof/>
          <w:szCs w:val="24"/>
        </w:rPr>
      </w:pPr>
      <w:r w:rsidRPr="00A32EB8">
        <w:rPr>
          <w:rFonts w:ascii="Arial" w:hAnsi="Arial" w:cs="Arial"/>
          <w:noProof/>
          <w:szCs w:val="24"/>
        </w:rPr>
        <w:t xml:space="preserve">144. </w:t>
      </w:r>
      <w:r w:rsidRPr="00A32EB8">
        <w:rPr>
          <w:rFonts w:ascii="Arial" w:hAnsi="Arial" w:cs="Arial"/>
          <w:noProof/>
          <w:szCs w:val="24"/>
        </w:rPr>
        <w:tab/>
        <w:t>Pereira JD, DuBreuil DM, Devlin AC, et al (2021) Human sensorimotor organoids derived from healthy and amyotrophic lateral sclerosis stem cells form neuromuscular junctions. Nat Commun 12:. https://doi.org/10.1038/s41467-021-24776-4</w:t>
      </w:r>
    </w:p>
    <w:p w14:paraId="21BF7054" w14:textId="77777777" w:rsidR="00A32EB8" w:rsidRPr="00A32EB8" w:rsidRDefault="00A32EB8" w:rsidP="00A32EB8">
      <w:pPr>
        <w:widowControl w:val="0"/>
        <w:autoSpaceDE w:val="0"/>
        <w:autoSpaceDN w:val="0"/>
        <w:adjustRightInd w:val="0"/>
        <w:spacing w:line="240" w:lineRule="auto"/>
        <w:ind w:left="640" w:hanging="640"/>
        <w:rPr>
          <w:rFonts w:ascii="Arial" w:hAnsi="Arial" w:cs="Arial"/>
          <w:noProof/>
          <w:szCs w:val="24"/>
        </w:rPr>
      </w:pPr>
      <w:r w:rsidRPr="00A32EB8">
        <w:rPr>
          <w:rFonts w:ascii="Arial" w:hAnsi="Arial" w:cs="Arial"/>
          <w:noProof/>
          <w:szCs w:val="24"/>
        </w:rPr>
        <w:t xml:space="preserve">145. </w:t>
      </w:r>
      <w:r w:rsidRPr="00A32EB8">
        <w:rPr>
          <w:rFonts w:ascii="Arial" w:hAnsi="Arial" w:cs="Arial"/>
          <w:noProof/>
          <w:szCs w:val="24"/>
        </w:rPr>
        <w:tab/>
        <w:t>Schindeler A, Mills RJ, Bobyn JD, Little DG (2018) Preclinical models for orthopedic research and bone tissue engineering. J Orthop Res 36:832–840. https://doi.org/10.1002/jor.23824</w:t>
      </w:r>
    </w:p>
    <w:p w14:paraId="48450DFF" w14:textId="77777777" w:rsidR="00A32EB8" w:rsidRPr="00A32EB8" w:rsidRDefault="00A32EB8" w:rsidP="00A32EB8">
      <w:pPr>
        <w:widowControl w:val="0"/>
        <w:autoSpaceDE w:val="0"/>
        <w:autoSpaceDN w:val="0"/>
        <w:adjustRightInd w:val="0"/>
        <w:spacing w:line="240" w:lineRule="auto"/>
        <w:ind w:left="640" w:hanging="640"/>
        <w:rPr>
          <w:rFonts w:ascii="Arial" w:hAnsi="Arial" w:cs="Arial"/>
          <w:noProof/>
          <w:szCs w:val="24"/>
        </w:rPr>
      </w:pPr>
      <w:r w:rsidRPr="00A32EB8">
        <w:rPr>
          <w:rFonts w:ascii="Arial" w:hAnsi="Arial" w:cs="Arial"/>
          <w:noProof/>
          <w:szCs w:val="24"/>
        </w:rPr>
        <w:t xml:space="preserve">146. </w:t>
      </w:r>
      <w:r w:rsidRPr="00A32EB8">
        <w:rPr>
          <w:rFonts w:ascii="Arial" w:hAnsi="Arial" w:cs="Arial"/>
          <w:noProof/>
          <w:szCs w:val="24"/>
        </w:rPr>
        <w:tab/>
        <w:t>Haffner</w:t>
      </w:r>
      <w:r w:rsidRPr="00A32EB8">
        <w:rPr>
          <w:rFonts w:ascii="Cambria Math" w:hAnsi="Cambria Math" w:cs="Cambria Math"/>
          <w:noProof/>
          <w:szCs w:val="24"/>
        </w:rPr>
        <w:t>‐</w:t>
      </w:r>
      <w:r w:rsidRPr="00A32EB8">
        <w:rPr>
          <w:rFonts w:ascii="Arial" w:hAnsi="Arial" w:cs="Arial"/>
          <w:noProof/>
          <w:szCs w:val="24"/>
        </w:rPr>
        <w:t>Luntzer M, Hankenson KD, Ignatius A, et al (2019) Review of Animal Models of Comorbidities in Fracture</w:t>
      </w:r>
      <w:r w:rsidRPr="00A32EB8">
        <w:rPr>
          <w:rFonts w:ascii="Cambria Math" w:hAnsi="Cambria Math" w:cs="Cambria Math"/>
          <w:noProof/>
          <w:szCs w:val="24"/>
        </w:rPr>
        <w:t>‐</w:t>
      </w:r>
      <w:r w:rsidRPr="00A32EB8">
        <w:rPr>
          <w:rFonts w:ascii="Arial" w:hAnsi="Arial" w:cs="Arial"/>
          <w:noProof/>
          <w:szCs w:val="24"/>
        </w:rPr>
        <w:t>Healing Research. J Orthop Res 37:2491–2498. https://doi.org/10.1002/jor.24454</w:t>
      </w:r>
    </w:p>
    <w:p w14:paraId="1C36D46B" w14:textId="77777777" w:rsidR="00A32EB8" w:rsidRPr="00A32EB8" w:rsidRDefault="00A32EB8" w:rsidP="00A32EB8">
      <w:pPr>
        <w:widowControl w:val="0"/>
        <w:autoSpaceDE w:val="0"/>
        <w:autoSpaceDN w:val="0"/>
        <w:adjustRightInd w:val="0"/>
        <w:spacing w:line="240" w:lineRule="auto"/>
        <w:ind w:left="640" w:hanging="640"/>
        <w:rPr>
          <w:rFonts w:ascii="Arial" w:hAnsi="Arial" w:cs="Arial"/>
          <w:noProof/>
          <w:szCs w:val="24"/>
        </w:rPr>
      </w:pPr>
      <w:r w:rsidRPr="00A32EB8">
        <w:rPr>
          <w:rFonts w:ascii="Arial" w:hAnsi="Arial" w:cs="Arial"/>
          <w:noProof/>
          <w:szCs w:val="24"/>
        </w:rPr>
        <w:t xml:space="preserve">147. </w:t>
      </w:r>
      <w:r w:rsidRPr="00A32EB8">
        <w:rPr>
          <w:rFonts w:ascii="Arial" w:hAnsi="Arial" w:cs="Arial"/>
          <w:noProof/>
          <w:szCs w:val="24"/>
        </w:rPr>
        <w:tab/>
        <w:t>Bonnarens F, Einhorn TA (1984) Production of a standard closed fracture in laboratory animal bone. J Orthop Res  Off Publ Orthop Res  Soc 2:97–101. https://doi.org/10.1002/jor.1100020115</w:t>
      </w:r>
    </w:p>
    <w:p w14:paraId="7E7FCC1B" w14:textId="77777777" w:rsidR="00A32EB8" w:rsidRPr="00A32EB8" w:rsidRDefault="00A32EB8" w:rsidP="00A32EB8">
      <w:pPr>
        <w:widowControl w:val="0"/>
        <w:autoSpaceDE w:val="0"/>
        <w:autoSpaceDN w:val="0"/>
        <w:adjustRightInd w:val="0"/>
        <w:spacing w:line="240" w:lineRule="auto"/>
        <w:ind w:left="640" w:hanging="640"/>
        <w:rPr>
          <w:rFonts w:ascii="Arial" w:hAnsi="Arial" w:cs="Arial"/>
          <w:noProof/>
          <w:szCs w:val="24"/>
        </w:rPr>
      </w:pPr>
      <w:r w:rsidRPr="00A32EB8">
        <w:rPr>
          <w:rFonts w:ascii="Arial" w:hAnsi="Arial" w:cs="Arial"/>
          <w:noProof/>
          <w:szCs w:val="24"/>
        </w:rPr>
        <w:t xml:space="preserve">148. </w:t>
      </w:r>
      <w:r w:rsidRPr="00A32EB8">
        <w:rPr>
          <w:rFonts w:ascii="Arial" w:hAnsi="Arial" w:cs="Arial"/>
          <w:noProof/>
          <w:szCs w:val="24"/>
        </w:rPr>
        <w:tab/>
        <w:t>Tägil M, McDonald MM, Morse A, et al (2010) Intermittent PTH(1-34) does not increase union rates in open rat femoral fractures  and exhibits attenuated anabolic effects compared to closed fractures. Bone 46:852–859. https://doi.org/10.1016/j.bone.2009.11.009</w:t>
      </w:r>
    </w:p>
    <w:p w14:paraId="07C633B4" w14:textId="77777777" w:rsidR="00A32EB8" w:rsidRPr="00A32EB8" w:rsidRDefault="00A32EB8" w:rsidP="00A32EB8">
      <w:pPr>
        <w:widowControl w:val="0"/>
        <w:autoSpaceDE w:val="0"/>
        <w:autoSpaceDN w:val="0"/>
        <w:adjustRightInd w:val="0"/>
        <w:spacing w:line="240" w:lineRule="auto"/>
        <w:ind w:left="640" w:hanging="640"/>
        <w:rPr>
          <w:rFonts w:ascii="Arial" w:hAnsi="Arial" w:cs="Arial"/>
          <w:noProof/>
          <w:szCs w:val="24"/>
        </w:rPr>
      </w:pPr>
      <w:r w:rsidRPr="00A32EB8">
        <w:rPr>
          <w:rFonts w:ascii="Arial" w:hAnsi="Arial" w:cs="Arial"/>
          <w:noProof/>
          <w:szCs w:val="24"/>
        </w:rPr>
        <w:t xml:space="preserve">149. </w:t>
      </w:r>
      <w:r w:rsidRPr="00A32EB8">
        <w:rPr>
          <w:rFonts w:ascii="Arial" w:hAnsi="Arial" w:cs="Arial"/>
          <w:noProof/>
          <w:szCs w:val="24"/>
        </w:rPr>
        <w:tab/>
        <w:t>Ruan MZC, Dawson B, Jiang MM, et al (2013) Quantitative imaging of murine osteoarthritic cartilage by phase-contrast micro-computed tomography. Arthritis Rheum 65:388–396. https://doi.org/10.1002/art.37766</w:t>
      </w:r>
    </w:p>
    <w:p w14:paraId="59BA38A9" w14:textId="77777777" w:rsidR="00A32EB8" w:rsidRPr="00A32EB8" w:rsidRDefault="00A32EB8" w:rsidP="00A32EB8">
      <w:pPr>
        <w:widowControl w:val="0"/>
        <w:autoSpaceDE w:val="0"/>
        <w:autoSpaceDN w:val="0"/>
        <w:adjustRightInd w:val="0"/>
        <w:spacing w:line="240" w:lineRule="auto"/>
        <w:ind w:left="640" w:hanging="640"/>
        <w:rPr>
          <w:rFonts w:ascii="Arial" w:hAnsi="Arial" w:cs="Arial"/>
          <w:noProof/>
          <w:szCs w:val="24"/>
        </w:rPr>
      </w:pPr>
      <w:r w:rsidRPr="00A32EB8">
        <w:rPr>
          <w:rFonts w:ascii="Arial" w:hAnsi="Arial" w:cs="Arial"/>
          <w:noProof/>
          <w:szCs w:val="24"/>
        </w:rPr>
        <w:t xml:space="preserve">150. </w:t>
      </w:r>
      <w:r w:rsidRPr="00A32EB8">
        <w:rPr>
          <w:rFonts w:ascii="Arial" w:hAnsi="Arial" w:cs="Arial"/>
          <w:noProof/>
          <w:szCs w:val="24"/>
        </w:rPr>
        <w:tab/>
        <w:t>Arguello F, Baggs RB, Frantz CN (1988) A murine model of experimental metastasis to bone and bone marrow. Cancer Res 48:6876–6881</w:t>
      </w:r>
    </w:p>
    <w:p w14:paraId="581C950B" w14:textId="77777777" w:rsidR="00A32EB8" w:rsidRPr="00A32EB8" w:rsidRDefault="00A32EB8" w:rsidP="00A32EB8">
      <w:pPr>
        <w:widowControl w:val="0"/>
        <w:autoSpaceDE w:val="0"/>
        <w:autoSpaceDN w:val="0"/>
        <w:adjustRightInd w:val="0"/>
        <w:spacing w:line="240" w:lineRule="auto"/>
        <w:ind w:left="640" w:hanging="640"/>
        <w:rPr>
          <w:rFonts w:ascii="Arial" w:hAnsi="Arial" w:cs="Arial"/>
          <w:noProof/>
          <w:szCs w:val="24"/>
        </w:rPr>
      </w:pPr>
      <w:r w:rsidRPr="00A32EB8">
        <w:rPr>
          <w:rFonts w:ascii="Arial" w:hAnsi="Arial" w:cs="Arial"/>
          <w:noProof/>
          <w:szCs w:val="24"/>
        </w:rPr>
        <w:t xml:space="preserve">151. </w:t>
      </w:r>
      <w:r w:rsidRPr="00A32EB8">
        <w:rPr>
          <w:rFonts w:ascii="Arial" w:hAnsi="Arial" w:cs="Arial"/>
          <w:noProof/>
          <w:szCs w:val="24"/>
        </w:rPr>
        <w:tab/>
        <w:t xml:space="preserve">Schwei MJ, Honore P, Rogers SD, et al (1999) Neurochemical and cellular </w:t>
      </w:r>
      <w:r w:rsidRPr="00A32EB8">
        <w:rPr>
          <w:rFonts w:ascii="Arial" w:hAnsi="Arial" w:cs="Arial"/>
          <w:noProof/>
          <w:szCs w:val="24"/>
        </w:rPr>
        <w:lastRenderedPageBreak/>
        <w:t>reorganization of the spinal cord in a murine model of bone cancer pain. J Neurosci 19:10886–10897. https://doi.org/10.1523/jneurosci.19-24-10886.1999</w:t>
      </w:r>
    </w:p>
    <w:p w14:paraId="5B8EA52E" w14:textId="77777777" w:rsidR="00A32EB8" w:rsidRPr="00A32EB8" w:rsidRDefault="00A32EB8" w:rsidP="00A32EB8">
      <w:pPr>
        <w:widowControl w:val="0"/>
        <w:autoSpaceDE w:val="0"/>
        <w:autoSpaceDN w:val="0"/>
        <w:adjustRightInd w:val="0"/>
        <w:spacing w:line="240" w:lineRule="auto"/>
        <w:ind w:left="640" w:hanging="640"/>
        <w:rPr>
          <w:rFonts w:ascii="Arial" w:hAnsi="Arial" w:cs="Arial"/>
          <w:noProof/>
          <w:szCs w:val="24"/>
        </w:rPr>
      </w:pPr>
      <w:r w:rsidRPr="00A32EB8">
        <w:rPr>
          <w:rFonts w:ascii="Arial" w:hAnsi="Arial" w:cs="Arial"/>
          <w:noProof/>
          <w:szCs w:val="24"/>
        </w:rPr>
        <w:t xml:space="preserve">152. </w:t>
      </w:r>
      <w:r w:rsidRPr="00A32EB8">
        <w:rPr>
          <w:rFonts w:ascii="Arial" w:hAnsi="Arial" w:cs="Arial"/>
          <w:noProof/>
          <w:szCs w:val="24"/>
        </w:rPr>
        <w:tab/>
        <w:t>Nordstrand A, Nilsson J, Tieva Å, et al (2009) Establishment and validation of an in vitro co-culture model to study the interactions between bone and prostate cancer cells. Clin Exp Metastasis 26:945–953. https://doi.org/10.1007/s10585-009-9285-4</w:t>
      </w:r>
    </w:p>
    <w:p w14:paraId="0A63BBEB" w14:textId="77777777" w:rsidR="00A32EB8" w:rsidRPr="00A32EB8" w:rsidRDefault="00A32EB8" w:rsidP="00A32EB8">
      <w:pPr>
        <w:widowControl w:val="0"/>
        <w:autoSpaceDE w:val="0"/>
        <w:autoSpaceDN w:val="0"/>
        <w:adjustRightInd w:val="0"/>
        <w:spacing w:line="240" w:lineRule="auto"/>
        <w:ind w:left="640" w:hanging="640"/>
        <w:rPr>
          <w:rFonts w:ascii="Arial" w:hAnsi="Arial" w:cs="Arial"/>
          <w:noProof/>
        </w:rPr>
      </w:pPr>
      <w:r w:rsidRPr="00A32EB8">
        <w:rPr>
          <w:rFonts w:ascii="Arial" w:hAnsi="Arial" w:cs="Arial"/>
          <w:noProof/>
          <w:szCs w:val="24"/>
        </w:rPr>
        <w:t xml:space="preserve">153. </w:t>
      </w:r>
      <w:r w:rsidRPr="00A32EB8">
        <w:rPr>
          <w:rFonts w:ascii="Arial" w:hAnsi="Arial" w:cs="Arial"/>
          <w:noProof/>
          <w:szCs w:val="24"/>
        </w:rPr>
        <w:tab/>
        <w:t>Francesca S, Veronica B, Silvia B, et al (2016) An in vitro 3D bone metastasis model by using a human bone tissue culture and human sex-related cancer cells. Oncotarget 7:76966–76983. https://doi.org/10.18632/oncotarget.12763</w:t>
      </w:r>
    </w:p>
    <w:p w14:paraId="5A472237" w14:textId="77777777" w:rsidR="00F03759" w:rsidRPr="000E39AA" w:rsidRDefault="00F03759" w:rsidP="00F03759">
      <w:pPr>
        <w:widowControl w:val="0"/>
        <w:autoSpaceDE w:val="0"/>
        <w:autoSpaceDN w:val="0"/>
        <w:adjustRightInd w:val="0"/>
        <w:spacing w:line="276" w:lineRule="auto"/>
        <w:ind w:left="640" w:hanging="640"/>
        <w:rPr>
          <w:rFonts w:ascii="Arial" w:hAnsi="Arial" w:cs="Arial"/>
        </w:rPr>
      </w:pPr>
      <w:r w:rsidRPr="000E39AA">
        <w:rPr>
          <w:rFonts w:ascii="Arial" w:hAnsi="Arial" w:cs="Arial"/>
        </w:rPr>
        <w:fldChar w:fldCharType="end"/>
      </w:r>
    </w:p>
    <w:p w14:paraId="2934E89E" w14:textId="77777777" w:rsidR="00882B1F" w:rsidRDefault="00882B1F"/>
    <w:p w14:paraId="518F8519" w14:textId="77777777" w:rsidR="004A37CC" w:rsidRDefault="004A37CC" w:rsidP="004A37CC">
      <w:pPr>
        <w:pStyle w:val="Caption"/>
        <w:jc w:val="both"/>
        <w:rPr>
          <w:rFonts w:ascii="Arial" w:hAnsi="Arial" w:cs="Arial"/>
          <w:b/>
          <w:bCs/>
          <w:i w:val="0"/>
          <w:iCs w:val="0"/>
          <w:color w:val="auto"/>
          <w:sz w:val="20"/>
          <w:szCs w:val="20"/>
        </w:rPr>
      </w:pPr>
    </w:p>
    <w:sectPr w:rsidR="004A37CC" w:rsidSect="00FB5252">
      <w:footerReference w:type="default" r:id="rId1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28F643" w14:textId="77777777" w:rsidR="002E24DB" w:rsidRDefault="002E24DB">
      <w:pPr>
        <w:spacing w:after="0" w:line="240" w:lineRule="auto"/>
      </w:pPr>
      <w:r>
        <w:separator/>
      </w:r>
    </w:p>
  </w:endnote>
  <w:endnote w:type="continuationSeparator" w:id="0">
    <w:p w14:paraId="006C30CB" w14:textId="77777777" w:rsidR="002E24DB" w:rsidRDefault="002E24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77733567"/>
      <w:docPartObj>
        <w:docPartGallery w:val="Page Numbers (Bottom of Page)"/>
        <w:docPartUnique/>
      </w:docPartObj>
    </w:sdtPr>
    <w:sdtEndPr>
      <w:rPr>
        <w:noProof/>
      </w:rPr>
    </w:sdtEndPr>
    <w:sdtContent>
      <w:p w14:paraId="08E71025" w14:textId="2C81E50D" w:rsidR="00C84911" w:rsidRDefault="00C84911">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FCBA85D" w14:textId="77777777" w:rsidR="00C84911" w:rsidRDefault="00C8491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E68DF8" w14:textId="77777777" w:rsidR="002E24DB" w:rsidRDefault="002E24DB">
      <w:pPr>
        <w:spacing w:after="0" w:line="240" w:lineRule="auto"/>
      </w:pPr>
      <w:r>
        <w:separator/>
      </w:r>
    </w:p>
  </w:footnote>
  <w:footnote w:type="continuationSeparator" w:id="0">
    <w:p w14:paraId="34B88A60" w14:textId="77777777" w:rsidR="002E24DB" w:rsidRDefault="002E24D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060B8"/>
    <w:multiLevelType w:val="multilevel"/>
    <w:tmpl w:val="97C84C1E"/>
    <w:lvl w:ilvl="0">
      <w:start w:val="1"/>
      <w:numFmt w:val="decimal"/>
      <w:pStyle w:val="Heading2"/>
      <w:lvlText w:val="%1."/>
      <w:lvlJc w:val="left"/>
      <w:pPr>
        <w:ind w:left="360" w:hanging="360"/>
      </w:pPr>
      <w:rPr>
        <w:rFonts w:hint="default"/>
      </w:rPr>
    </w:lvl>
    <w:lvl w:ilvl="1">
      <w:start w:val="1"/>
      <w:numFmt w:val="decimal"/>
      <w:pStyle w:val="Heading3"/>
      <w:isLgl/>
      <w:lvlText w:val="%1.%2"/>
      <w:lvlJc w:val="left"/>
      <w:pPr>
        <w:ind w:left="644"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320" w:hanging="1440"/>
      </w:pPr>
      <w:rPr>
        <w:rFonts w:hint="default"/>
      </w:rPr>
    </w:lvl>
  </w:abstractNum>
  <w:num w:numId="1" w16cid:durableId="80687098">
    <w:abstractNumId w:val="0"/>
  </w:num>
  <w:num w:numId="2" w16cid:durableId="680200787">
    <w:abstractNumId w:val="0"/>
    <w:lvlOverride w:ilvl="0">
      <w:startOverride w:val="3"/>
    </w:lvlOverride>
    <w:lvlOverride w:ilvl="1">
      <w:startOverride w:val="3"/>
    </w:lvlOverride>
  </w:num>
  <w:num w:numId="3" w16cid:durableId="1222594158">
    <w:abstractNumId w:val="0"/>
  </w:num>
  <w:num w:numId="4" w16cid:durableId="89636112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NLIwNzYwMTI0NTexsLBU0lEKTi0uzszPAykwNKkFAEeOFRYtAAAA"/>
  </w:docVars>
  <w:rsids>
    <w:rsidRoot w:val="005F3FAB"/>
    <w:rsid w:val="00000473"/>
    <w:rsid w:val="00031F52"/>
    <w:rsid w:val="000330F1"/>
    <w:rsid w:val="00033C40"/>
    <w:rsid w:val="000350D5"/>
    <w:rsid w:val="000448E8"/>
    <w:rsid w:val="000459C9"/>
    <w:rsid w:val="00053A8C"/>
    <w:rsid w:val="000544D1"/>
    <w:rsid w:val="00055362"/>
    <w:rsid w:val="00064866"/>
    <w:rsid w:val="000713C5"/>
    <w:rsid w:val="000845DF"/>
    <w:rsid w:val="000A662D"/>
    <w:rsid w:val="000B2A82"/>
    <w:rsid w:val="000B5BE1"/>
    <w:rsid w:val="000C1035"/>
    <w:rsid w:val="000D10FD"/>
    <w:rsid w:val="000D250C"/>
    <w:rsid w:val="000E5584"/>
    <w:rsid w:val="001026F6"/>
    <w:rsid w:val="00106799"/>
    <w:rsid w:val="001069BB"/>
    <w:rsid w:val="0011630E"/>
    <w:rsid w:val="0011709A"/>
    <w:rsid w:val="001301CD"/>
    <w:rsid w:val="00143166"/>
    <w:rsid w:val="001552A3"/>
    <w:rsid w:val="00160D61"/>
    <w:rsid w:val="00171EE3"/>
    <w:rsid w:val="00196660"/>
    <w:rsid w:val="00196A0F"/>
    <w:rsid w:val="00197C08"/>
    <w:rsid w:val="001B0492"/>
    <w:rsid w:val="001B7894"/>
    <w:rsid w:val="001D5AC8"/>
    <w:rsid w:val="001E0809"/>
    <w:rsid w:val="001E54AB"/>
    <w:rsid w:val="001E68A1"/>
    <w:rsid w:val="0021164E"/>
    <w:rsid w:val="00211C9C"/>
    <w:rsid w:val="0023525D"/>
    <w:rsid w:val="00236BCF"/>
    <w:rsid w:val="00252A23"/>
    <w:rsid w:val="00255C8F"/>
    <w:rsid w:val="00257D4E"/>
    <w:rsid w:val="00294824"/>
    <w:rsid w:val="002A5D58"/>
    <w:rsid w:val="002B1CBB"/>
    <w:rsid w:val="002B6AB8"/>
    <w:rsid w:val="002D455E"/>
    <w:rsid w:val="002D77D2"/>
    <w:rsid w:val="002E24DB"/>
    <w:rsid w:val="002F38E8"/>
    <w:rsid w:val="003131B6"/>
    <w:rsid w:val="0031786B"/>
    <w:rsid w:val="00333FA5"/>
    <w:rsid w:val="00352775"/>
    <w:rsid w:val="003553F2"/>
    <w:rsid w:val="003849D4"/>
    <w:rsid w:val="00385FC1"/>
    <w:rsid w:val="003B434C"/>
    <w:rsid w:val="003B444E"/>
    <w:rsid w:val="003C3110"/>
    <w:rsid w:val="003C57A0"/>
    <w:rsid w:val="003E359B"/>
    <w:rsid w:val="003F0855"/>
    <w:rsid w:val="00401F58"/>
    <w:rsid w:val="004251CF"/>
    <w:rsid w:val="0043351E"/>
    <w:rsid w:val="00463AC5"/>
    <w:rsid w:val="004733FE"/>
    <w:rsid w:val="004909D7"/>
    <w:rsid w:val="0049554C"/>
    <w:rsid w:val="00496BB6"/>
    <w:rsid w:val="004A0796"/>
    <w:rsid w:val="004A37CC"/>
    <w:rsid w:val="004A78F0"/>
    <w:rsid w:val="004F3170"/>
    <w:rsid w:val="004F7693"/>
    <w:rsid w:val="00504BF1"/>
    <w:rsid w:val="00510C04"/>
    <w:rsid w:val="00526404"/>
    <w:rsid w:val="00531CBF"/>
    <w:rsid w:val="00532CDC"/>
    <w:rsid w:val="00533786"/>
    <w:rsid w:val="005378EA"/>
    <w:rsid w:val="005406F8"/>
    <w:rsid w:val="00541087"/>
    <w:rsid w:val="00546C43"/>
    <w:rsid w:val="00554B47"/>
    <w:rsid w:val="00561537"/>
    <w:rsid w:val="005772E7"/>
    <w:rsid w:val="00584B3C"/>
    <w:rsid w:val="00595C07"/>
    <w:rsid w:val="00597A47"/>
    <w:rsid w:val="005A4B38"/>
    <w:rsid w:val="005A54CC"/>
    <w:rsid w:val="005B0927"/>
    <w:rsid w:val="005C56A9"/>
    <w:rsid w:val="005D03AD"/>
    <w:rsid w:val="005E56DA"/>
    <w:rsid w:val="005F3FAB"/>
    <w:rsid w:val="0060386B"/>
    <w:rsid w:val="00615ADE"/>
    <w:rsid w:val="0062132B"/>
    <w:rsid w:val="00627710"/>
    <w:rsid w:val="00627EBD"/>
    <w:rsid w:val="006362C6"/>
    <w:rsid w:val="00652992"/>
    <w:rsid w:val="00655A0C"/>
    <w:rsid w:val="00656045"/>
    <w:rsid w:val="00671BE3"/>
    <w:rsid w:val="00682C71"/>
    <w:rsid w:val="0068588B"/>
    <w:rsid w:val="00697EE4"/>
    <w:rsid w:val="006A1F51"/>
    <w:rsid w:val="006B1B28"/>
    <w:rsid w:val="006B35EF"/>
    <w:rsid w:val="00703A59"/>
    <w:rsid w:val="00705FC9"/>
    <w:rsid w:val="00720724"/>
    <w:rsid w:val="00730C20"/>
    <w:rsid w:val="00731590"/>
    <w:rsid w:val="0073628D"/>
    <w:rsid w:val="00741760"/>
    <w:rsid w:val="007478CE"/>
    <w:rsid w:val="007605E0"/>
    <w:rsid w:val="007658FE"/>
    <w:rsid w:val="00771BAB"/>
    <w:rsid w:val="0077525C"/>
    <w:rsid w:val="007803D6"/>
    <w:rsid w:val="00782423"/>
    <w:rsid w:val="007865E2"/>
    <w:rsid w:val="007967A5"/>
    <w:rsid w:val="007C0BAE"/>
    <w:rsid w:val="007C2788"/>
    <w:rsid w:val="007C3DD1"/>
    <w:rsid w:val="007C53AC"/>
    <w:rsid w:val="007D1DF9"/>
    <w:rsid w:val="007D53B0"/>
    <w:rsid w:val="007E6764"/>
    <w:rsid w:val="007F3268"/>
    <w:rsid w:val="008123EC"/>
    <w:rsid w:val="00813851"/>
    <w:rsid w:val="00813945"/>
    <w:rsid w:val="00827B97"/>
    <w:rsid w:val="00840D31"/>
    <w:rsid w:val="00872572"/>
    <w:rsid w:val="00881AC2"/>
    <w:rsid w:val="00882B1F"/>
    <w:rsid w:val="008931AE"/>
    <w:rsid w:val="008C228C"/>
    <w:rsid w:val="008D5C3B"/>
    <w:rsid w:val="008F7D81"/>
    <w:rsid w:val="0090578F"/>
    <w:rsid w:val="00911C97"/>
    <w:rsid w:val="00920741"/>
    <w:rsid w:val="00932979"/>
    <w:rsid w:val="0094677F"/>
    <w:rsid w:val="009539B1"/>
    <w:rsid w:val="00954EA8"/>
    <w:rsid w:val="00960E70"/>
    <w:rsid w:val="00961CC1"/>
    <w:rsid w:val="00963964"/>
    <w:rsid w:val="00977788"/>
    <w:rsid w:val="009854AF"/>
    <w:rsid w:val="0099119B"/>
    <w:rsid w:val="009955DF"/>
    <w:rsid w:val="009A1F03"/>
    <w:rsid w:val="009A7000"/>
    <w:rsid w:val="009B04CE"/>
    <w:rsid w:val="009B5B14"/>
    <w:rsid w:val="009C7D0D"/>
    <w:rsid w:val="009D47B1"/>
    <w:rsid w:val="00A0570A"/>
    <w:rsid w:val="00A214C6"/>
    <w:rsid w:val="00A26DB9"/>
    <w:rsid w:val="00A31F9D"/>
    <w:rsid w:val="00A32EB8"/>
    <w:rsid w:val="00A3558F"/>
    <w:rsid w:val="00A445D5"/>
    <w:rsid w:val="00A50DCC"/>
    <w:rsid w:val="00A51C4A"/>
    <w:rsid w:val="00A64E40"/>
    <w:rsid w:val="00A85D3A"/>
    <w:rsid w:val="00A865C7"/>
    <w:rsid w:val="00A8785D"/>
    <w:rsid w:val="00AA2C79"/>
    <w:rsid w:val="00AB223E"/>
    <w:rsid w:val="00AD6395"/>
    <w:rsid w:val="00AD6F45"/>
    <w:rsid w:val="00B01507"/>
    <w:rsid w:val="00B0584A"/>
    <w:rsid w:val="00B06EE9"/>
    <w:rsid w:val="00B1527F"/>
    <w:rsid w:val="00B21CA2"/>
    <w:rsid w:val="00B21CEF"/>
    <w:rsid w:val="00B24EE2"/>
    <w:rsid w:val="00B426BD"/>
    <w:rsid w:val="00B51655"/>
    <w:rsid w:val="00B575E4"/>
    <w:rsid w:val="00B578F2"/>
    <w:rsid w:val="00B57C2A"/>
    <w:rsid w:val="00B710AE"/>
    <w:rsid w:val="00B760CB"/>
    <w:rsid w:val="00B82334"/>
    <w:rsid w:val="00B8751C"/>
    <w:rsid w:val="00B91488"/>
    <w:rsid w:val="00B961CA"/>
    <w:rsid w:val="00BB48DC"/>
    <w:rsid w:val="00BC139B"/>
    <w:rsid w:val="00BC47E9"/>
    <w:rsid w:val="00BD671B"/>
    <w:rsid w:val="00BE68C0"/>
    <w:rsid w:val="00BF3809"/>
    <w:rsid w:val="00C000C0"/>
    <w:rsid w:val="00C05C18"/>
    <w:rsid w:val="00C130A8"/>
    <w:rsid w:val="00C27BD6"/>
    <w:rsid w:val="00C3170D"/>
    <w:rsid w:val="00C44AFA"/>
    <w:rsid w:val="00C52213"/>
    <w:rsid w:val="00C531D8"/>
    <w:rsid w:val="00C8127A"/>
    <w:rsid w:val="00C84911"/>
    <w:rsid w:val="00C919B0"/>
    <w:rsid w:val="00C93FCF"/>
    <w:rsid w:val="00CA48E8"/>
    <w:rsid w:val="00CB77CF"/>
    <w:rsid w:val="00CC5B90"/>
    <w:rsid w:val="00CD1C3E"/>
    <w:rsid w:val="00CD5473"/>
    <w:rsid w:val="00CF09CF"/>
    <w:rsid w:val="00D266B0"/>
    <w:rsid w:val="00D35154"/>
    <w:rsid w:val="00D564BC"/>
    <w:rsid w:val="00D724E1"/>
    <w:rsid w:val="00D83EB8"/>
    <w:rsid w:val="00DA3C50"/>
    <w:rsid w:val="00DA4581"/>
    <w:rsid w:val="00DA69C3"/>
    <w:rsid w:val="00DC024D"/>
    <w:rsid w:val="00DC0380"/>
    <w:rsid w:val="00DD09AE"/>
    <w:rsid w:val="00DD1D16"/>
    <w:rsid w:val="00DE0D4E"/>
    <w:rsid w:val="00DF081C"/>
    <w:rsid w:val="00E04926"/>
    <w:rsid w:val="00E10FC8"/>
    <w:rsid w:val="00E1755C"/>
    <w:rsid w:val="00E2050A"/>
    <w:rsid w:val="00E23B4B"/>
    <w:rsid w:val="00E92104"/>
    <w:rsid w:val="00EA0F3D"/>
    <w:rsid w:val="00EA24A1"/>
    <w:rsid w:val="00EB1F9A"/>
    <w:rsid w:val="00EB6B36"/>
    <w:rsid w:val="00ED3CE7"/>
    <w:rsid w:val="00F01AFF"/>
    <w:rsid w:val="00F03759"/>
    <w:rsid w:val="00F03787"/>
    <w:rsid w:val="00F105B6"/>
    <w:rsid w:val="00F13B6A"/>
    <w:rsid w:val="00F22E6D"/>
    <w:rsid w:val="00F3491E"/>
    <w:rsid w:val="00F37A62"/>
    <w:rsid w:val="00F432BC"/>
    <w:rsid w:val="00F540E5"/>
    <w:rsid w:val="00F63A2B"/>
    <w:rsid w:val="00F744E0"/>
    <w:rsid w:val="00F775D3"/>
    <w:rsid w:val="00F84832"/>
    <w:rsid w:val="00FA6A9A"/>
    <w:rsid w:val="00FB279B"/>
    <w:rsid w:val="00FC1182"/>
    <w:rsid w:val="00FD3500"/>
    <w:rsid w:val="00FD7860"/>
    <w:rsid w:val="00FE2CF3"/>
    <w:rsid w:val="00FF1EF1"/>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19AA74"/>
  <w15:chartTrackingRefBased/>
  <w15:docId w15:val="{9D81A682-1D3A-4598-B358-6D2D5C477E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03759"/>
  </w:style>
  <w:style w:type="paragraph" w:styleId="Heading1">
    <w:name w:val="heading 1"/>
    <w:basedOn w:val="Normal"/>
    <w:next w:val="Normal"/>
    <w:link w:val="Heading1Char"/>
    <w:uiPriority w:val="9"/>
    <w:qFormat/>
    <w:rsid w:val="00F03759"/>
    <w:pPr>
      <w:outlineLvl w:val="0"/>
    </w:pPr>
    <w:rPr>
      <w:rFonts w:ascii="Arial" w:hAnsi="Arial" w:cs="Arial"/>
      <w:b/>
      <w:sz w:val="28"/>
      <w:szCs w:val="28"/>
    </w:rPr>
  </w:style>
  <w:style w:type="paragraph" w:styleId="Heading2">
    <w:name w:val="heading 2"/>
    <w:basedOn w:val="Normal"/>
    <w:next w:val="Normal"/>
    <w:link w:val="Heading2Char"/>
    <w:autoRedefine/>
    <w:uiPriority w:val="9"/>
    <w:unhideWhenUsed/>
    <w:qFormat/>
    <w:rsid w:val="007478CE"/>
    <w:pPr>
      <w:keepNext/>
      <w:keepLines/>
      <w:numPr>
        <w:numId w:val="1"/>
      </w:numPr>
      <w:spacing w:before="40" w:after="120"/>
      <w:outlineLvl w:val="1"/>
    </w:pPr>
    <w:rPr>
      <w:rFonts w:ascii="Arial" w:eastAsiaTheme="majorEastAsia" w:hAnsi="Arial" w:cs="Arial"/>
      <w:b/>
      <w:sz w:val="28"/>
      <w:szCs w:val="26"/>
    </w:rPr>
  </w:style>
  <w:style w:type="paragraph" w:styleId="Heading3">
    <w:name w:val="heading 3"/>
    <w:basedOn w:val="Normal"/>
    <w:next w:val="Normal"/>
    <w:link w:val="Heading3Char"/>
    <w:autoRedefine/>
    <w:uiPriority w:val="9"/>
    <w:unhideWhenUsed/>
    <w:qFormat/>
    <w:rsid w:val="00F03759"/>
    <w:pPr>
      <w:keepNext/>
      <w:keepLines/>
      <w:numPr>
        <w:ilvl w:val="1"/>
        <w:numId w:val="1"/>
      </w:numPr>
      <w:shd w:val="clear" w:color="auto" w:fill="FFFFFF"/>
      <w:spacing w:before="308" w:after="154" w:line="276" w:lineRule="auto"/>
      <w:outlineLvl w:val="2"/>
    </w:pPr>
    <w:rPr>
      <w:rFonts w:ascii="Arial" w:eastAsiaTheme="majorEastAsia" w:hAnsi="Arial" w:cs="Times New Roman"/>
      <w:b/>
      <w:bCs/>
      <w:sz w:val="26"/>
      <w:szCs w:val="26"/>
    </w:rPr>
  </w:style>
  <w:style w:type="paragraph" w:styleId="Heading4">
    <w:name w:val="heading 4"/>
    <w:basedOn w:val="Normal"/>
    <w:next w:val="Normal"/>
    <w:link w:val="Heading4Char"/>
    <w:autoRedefine/>
    <w:uiPriority w:val="9"/>
    <w:unhideWhenUsed/>
    <w:qFormat/>
    <w:rsid w:val="003B434C"/>
    <w:pPr>
      <w:keepNext/>
      <w:keepLines/>
      <w:shd w:val="clear" w:color="auto" w:fill="FFFFFF"/>
      <w:spacing w:after="120" w:line="276" w:lineRule="auto"/>
      <w:outlineLvl w:val="3"/>
    </w:pPr>
    <w:rPr>
      <w:rFonts w:ascii="Arial" w:eastAsiaTheme="majorEastAsia" w:hAnsi="Arial" w:cs="Arial"/>
      <w:i/>
      <w:sz w:val="24"/>
      <w:szCs w:val="24"/>
      <w:lang w:val="en-US"/>
    </w:rPr>
  </w:style>
  <w:style w:type="paragraph" w:styleId="Heading5">
    <w:name w:val="heading 5"/>
    <w:basedOn w:val="Normal"/>
    <w:next w:val="Normal"/>
    <w:link w:val="Heading5Char"/>
    <w:autoRedefine/>
    <w:uiPriority w:val="9"/>
    <w:unhideWhenUsed/>
    <w:qFormat/>
    <w:rsid w:val="00F03759"/>
    <w:pPr>
      <w:autoSpaceDE w:val="0"/>
      <w:autoSpaceDN w:val="0"/>
      <w:adjustRightInd w:val="0"/>
      <w:spacing w:after="240" w:line="276" w:lineRule="auto"/>
      <w:jc w:val="both"/>
      <w:outlineLvl w:val="4"/>
    </w:pPr>
    <w:rPr>
      <w:rFonts w:ascii="Arial" w:hAnsi="Arial" w:cs="Arial"/>
      <w:i/>
      <w:iCs/>
      <w:lang w:val="en-US"/>
    </w:rPr>
  </w:style>
  <w:style w:type="paragraph" w:styleId="Heading6">
    <w:name w:val="heading 6"/>
    <w:basedOn w:val="Heading5"/>
    <w:next w:val="Normal"/>
    <w:link w:val="Heading6Char"/>
    <w:uiPriority w:val="9"/>
    <w:unhideWhenUsed/>
    <w:qFormat/>
    <w:rsid w:val="00F03759"/>
    <w:pPr>
      <w:ind w:left="720"/>
      <w:outlineLvl w:val="5"/>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03759"/>
    <w:rPr>
      <w:rFonts w:ascii="Arial" w:hAnsi="Arial" w:cs="Arial"/>
      <w:b/>
      <w:sz w:val="28"/>
      <w:szCs w:val="28"/>
    </w:rPr>
  </w:style>
  <w:style w:type="character" w:customStyle="1" w:styleId="Heading2Char">
    <w:name w:val="Heading 2 Char"/>
    <w:basedOn w:val="DefaultParagraphFont"/>
    <w:link w:val="Heading2"/>
    <w:uiPriority w:val="9"/>
    <w:rsid w:val="007478CE"/>
    <w:rPr>
      <w:rFonts w:ascii="Arial" w:eastAsiaTheme="majorEastAsia" w:hAnsi="Arial" w:cs="Arial"/>
      <w:b/>
      <w:sz w:val="28"/>
      <w:szCs w:val="26"/>
    </w:rPr>
  </w:style>
  <w:style w:type="character" w:customStyle="1" w:styleId="Heading3Char">
    <w:name w:val="Heading 3 Char"/>
    <w:basedOn w:val="DefaultParagraphFont"/>
    <w:link w:val="Heading3"/>
    <w:uiPriority w:val="9"/>
    <w:rsid w:val="00F03759"/>
    <w:rPr>
      <w:rFonts w:ascii="Arial" w:eastAsiaTheme="majorEastAsia" w:hAnsi="Arial" w:cs="Times New Roman"/>
      <w:b/>
      <w:bCs/>
      <w:sz w:val="26"/>
      <w:szCs w:val="26"/>
      <w:shd w:val="clear" w:color="auto" w:fill="FFFFFF"/>
    </w:rPr>
  </w:style>
  <w:style w:type="character" w:customStyle="1" w:styleId="Heading4Char">
    <w:name w:val="Heading 4 Char"/>
    <w:basedOn w:val="DefaultParagraphFont"/>
    <w:link w:val="Heading4"/>
    <w:uiPriority w:val="9"/>
    <w:rsid w:val="003B434C"/>
    <w:rPr>
      <w:rFonts w:ascii="Arial" w:eastAsiaTheme="majorEastAsia" w:hAnsi="Arial" w:cs="Arial"/>
      <w:i/>
      <w:sz w:val="24"/>
      <w:szCs w:val="24"/>
      <w:shd w:val="clear" w:color="auto" w:fill="FFFFFF"/>
      <w:lang w:val="en-US"/>
    </w:rPr>
  </w:style>
  <w:style w:type="character" w:customStyle="1" w:styleId="Heading5Char">
    <w:name w:val="Heading 5 Char"/>
    <w:basedOn w:val="DefaultParagraphFont"/>
    <w:link w:val="Heading5"/>
    <w:uiPriority w:val="9"/>
    <w:rsid w:val="00F03759"/>
    <w:rPr>
      <w:rFonts w:ascii="Arial" w:hAnsi="Arial" w:cs="Arial"/>
      <w:i/>
      <w:iCs/>
      <w:lang w:val="en-US"/>
    </w:rPr>
  </w:style>
  <w:style w:type="character" w:customStyle="1" w:styleId="Heading6Char">
    <w:name w:val="Heading 6 Char"/>
    <w:basedOn w:val="DefaultParagraphFont"/>
    <w:link w:val="Heading6"/>
    <w:uiPriority w:val="9"/>
    <w:rsid w:val="00F03759"/>
    <w:rPr>
      <w:rFonts w:ascii="Arial" w:hAnsi="Arial" w:cs="Arial"/>
      <w:i/>
      <w:iCs/>
      <w:lang w:val="en-US"/>
    </w:rPr>
  </w:style>
  <w:style w:type="paragraph" w:styleId="TOCHeading">
    <w:name w:val="TOC Heading"/>
    <w:basedOn w:val="Heading1"/>
    <w:next w:val="Normal"/>
    <w:uiPriority w:val="39"/>
    <w:unhideWhenUsed/>
    <w:qFormat/>
    <w:rsid w:val="00F03759"/>
    <w:pPr>
      <w:outlineLvl w:val="9"/>
    </w:pPr>
    <w:rPr>
      <w:lang w:val="en-US"/>
    </w:rPr>
  </w:style>
  <w:style w:type="paragraph" w:styleId="TOC1">
    <w:name w:val="toc 1"/>
    <w:basedOn w:val="Normal"/>
    <w:next w:val="Normal"/>
    <w:autoRedefine/>
    <w:uiPriority w:val="39"/>
    <w:unhideWhenUsed/>
    <w:rsid w:val="00F03759"/>
    <w:pPr>
      <w:spacing w:before="360" w:after="0"/>
    </w:pPr>
    <w:rPr>
      <w:rFonts w:asciiTheme="majorHAnsi" w:hAnsiTheme="majorHAnsi"/>
      <w:b/>
      <w:bCs/>
      <w:caps/>
      <w:sz w:val="24"/>
      <w:szCs w:val="24"/>
    </w:rPr>
  </w:style>
  <w:style w:type="character" w:styleId="Hyperlink">
    <w:name w:val="Hyperlink"/>
    <w:basedOn w:val="DefaultParagraphFont"/>
    <w:uiPriority w:val="99"/>
    <w:unhideWhenUsed/>
    <w:rsid w:val="00F03759"/>
    <w:rPr>
      <w:color w:val="0563C1" w:themeColor="hyperlink"/>
      <w:u w:val="single"/>
    </w:rPr>
  </w:style>
  <w:style w:type="paragraph" w:styleId="TOC2">
    <w:name w:val="toc 2"/>
    <w:basedOn w:val="Normal"/>
    <w:next w:val="Normal"/>
    <w:autoRedefine/>
    <w:uiPriority w:val="39"/>
    <w:unhideWhenUsed/>
    <w:rsid w:val="00F03759"/>
    <w:pPr>
      <w:spacing w:before="240" w:after="0"/>
    </w:pPr>
    <w:rPr>
      <w:b/>
      <w:bCs/>
      <w:sz w:val="20"/>
      <w:szCs w:val="20"/>
    </w:rPr>
  </w:style>
  <w:style w:type="paragraph" w:styleId="TOC3">
    <w:name w:val="toc 3"/>
    <w:basedOn w:val="Normal"/>
    <w:next w:val="Normal"/>
    <w:autoRedefine/>
    <w:uiPriority w:val="39"/>
    <w:unhideWhenUsed/>
    <w:rsid w:val="00F03759"/>
    <w:pPr>
      <w:spacing w:after="0"/>
      <w:ind w:left="220"/>
    </w:pPr>
    <w:rPr>
      <w:sz w:val="20"/>
      <w:szCs w:val="20"/>
    </w:rPr>
  </w:style>
  <w:style w:type="paragraph" w:styleId="TOC4">
    <w:name w:val="toc 4"/>
    <w:basedOn w:val="Normal"/>
    <w:next w:val="Normal"/>
    <w:autoRedefine/>
    <w:uiPriority w:val="39"/>
    <w:unhideWhenUsed/>
    <w:rsid w:val="00F03759"/>
    <w:pPr>
      <w:spacing w:after="0"/>
      <w:ind w:left="440"/>
    </w:pPr>
    <w:rPr>
      <w:sz w:val="20"/>
      <w:szCs w:val="20"/>
    </w:rPr>
  </w:style>
  <w:style w:type="paragraph" w:styleId="TOC5">
    <w:name w:val="toc 5"/>
    <w:basedOn w:val="Normal"/>
    <w:next w:val="Normal"/>
    <w:autoRedefine/>
    <w:uiPriority w:val="39"/>
    <w:unhideWhenUsed/>
    <w:rsid w:val="00F03759"/>
    <w:pPr>
      <w:spacing w:after="0"/>
      <w:ind w:left="660"/>
    </w:pPr>
    <w:rPr>
      <w:sz w:val="20"/>
      <w:szCs w:val="20"/>
    </w:rPr>
  </w:style>
  <w:style w:type="paragraph" w:styleId="TOC6">
    <w:name w:val="toc 6"/>
    <w:basedOn w:val="Normal"/>
    <w:next w:val="Normal"/>
    <w:autoRedefine/>
    <w:uiPriority w:val="39"/>
    <w:unhideWhenUsed/>
    <w:rsid w:val="00F03759"/>
    <w:pPr>
      <w:spacing w:after="0"/>
      <w:ind w:left="880"/>
    </w:pPr>
    <w:rPr>
      <w:sz w:val="20"/>
      <w:szCs w:val="20"/>
    </w:rPr>
  </w:style>
  <w:style w:type="paragraph" w:styleId="TOC7">
    <w:name w:val="toc 7"/>
    <w:basedOn w:val="Normal"/>
    <w:next w:val="Normal"/>
    <w:autoRedefine/>
    <w:uiPriority w:val="39"/>
    <w:unhideWhenUsed/>
    <w:rsid w:val="00F03759"/>
    <w:pPr>
      <w:spacing w:after="0"/>
      <w:ind w:right="1132"/>
      <w:jc w:val="both"/>
    </w:pPr>
    <w:rPr>
      <w:sz w:val="20"/>
      <w:szCs w:val="20"/>
    </w:rPr>
  </w:style>
  <w:style w:type="paragraph" w:styleId="TOC8">
    <w:name w:val="toc 8"/>
    <w:basedOn w:val="Normal"/>
    <w:next w:val="Normal"/>
    <w:autoRedefine/>
    <w:uiPriority w:val="39"/>
    <w:unhideWhenUsed/>
    <w:rsid w:val="00F03759"/>
    <w:pPr>
      <w:spacing w:after="0"/>
      <w:ind w:left="1320"/>
    </w:pPr>
    <w:rPr>
      <w:sz w:val="20"/>
      <w:szCs w:val="20"/>
    </w:rPr>
  </w:style>
  <w:style w:type="paragraph" w:styleId="TOC9">
    <w:name w:val="toc 9"/>
    <w:basedOn w:val="Normal"/>
    <w:next w:val="Normal"/>
    <w:autoRedefine/>
    <w:uiPriority w:val="39"/>
    <w:unhideWhenUsed/>
    <w:rsid w:val="00F03759"/>
    <w:pPr>
      <w:spacing w:after="0"/>
      <w:ind w:left="1540"/>
    </w:pPr>
    <w:rPr>
      <w:sz w:val="20"/>
      <w:szCs w:val="20"/>
    </w:rPr>
  </w:style>
  <w:style w:type="paragraph" w:styleId="ListParagraph">
    <w:name w:val="List Paragraph"/>
    <w:basedOn w:val="Normal"/>
    <w:uiPriority w:val="34"/>
    <w:qFormat/>
    <w:rsid w:val="00F03759"/>
    <w:pPr>
      <w:ind w:left="720"/>
      <w:contextualSpacing/>
    </w:pPr>
  </w:style>
  <w:style w:type="paragraph" w:styleId="BalloonText">
    <w:name w:val="Balloon Text"/>
    <w:basedOn w:val="Normal"/>
    <w:link w:val="BalloonTextChar"/>
    <w:uiPriority w:val="99"/>
    <w:semiHidden/>
    <w:unhideWhenUsed/>
    <w:rsid w:val="00F0375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03759"/>
    <w:rPr>
      <w:rFonts w:ascii="Segoe UI" w:hAnsi="Segoe UI" w:cs="Segoe UI"/>
      <w:sz w:val="18"/>
      <w:szCs w:val="18"/>
    </w:rPr>
  </w:style>
  <w:style w:type="paragraph" w:styleId="NormalWeb">
    <w:name w:val="Normal (Web)"/>
    <w:basedOn w:val="Normal"/>
    <w:uiPriority w:val="99"/>
    <w:unhideWhenUsed/>
    <w:rsid w:val="00F03759"/>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Caption">
    <w:name w:val="caption"/>
    <w:basedOn w:val="Normal"/>
    <w:next w:val="Normal"/>
    <w:uiPriority w:val="35"/>
    <w:unhideWhenUsed/>
    <w:qFormat/>
    <w:rsid w:val="00F03759"/>
    <w:pPr>
      <w:spacing w:after="200" w:line="240" w:lineRule="auto"/>
    </w:pPr>
    <w:rPr>
      <w:i/>
      <w:iCs/>
      <w:color w:val="44546A" w:themeColor="text2"/>
      <w:sz w:val="18"/>
      <w:szCs w:val="18"/>
    </w:rPr>
  </w:style>
  <w:style w:type="paragraph" w:styleId="TableofFigures">
    <w:name w:val="table of figures"/>
    <w:basedOn w:val="Normal"/>
    <w:next w:val="Normal"/>
    <w:uiPriority w:val="99"/>
    <w:unhideWhenUsed/>
    <w:rsid w:val="00F03759"/>
    <w:pPr>
      <w:spacing w:after="0"/>
    </w:pPr>
  </w:style>
  <w:style w:type="paragraph" w:customStyle="1" w:styleId="Default">
    <w:name w:val="Default"/>
    <w:rsid w:val="00F03759"/>
    <w:pPr>
      <w:autoSpaceDE w:val="0"/>
      <w:autoSpaceDN w:val="0"/>
      <w:adjustRightInd w:val="0"/>
      <w:spacing w:after="0" w:line="240" w:lineRule="auto"/>
    </w:pPr>
    <w:rPr>
      <w:rFonts w:ascii="Calibri" w:hAnsi="Calibri" w:cs="Calibri"/>
      <w:color w:val="000000"/>
      <w:sz w:val="24"/>
      <w:szCs w:val="24"/>
    </w:rPr>
  </w:style>
  <w:style w:type="paragraph" w:styleId="Header">
    <w:name w:val="header"/>
    <w:basedOn w:val="Normal"/>
    <w:link w:val="HeaderChar"/>
    <w:uiPriority w:val="99"/>
    <w:unhideWhenUsed/>
    <w:rsid w:val="00F03759"/>
    <w:pPr>
      <w:tabs>
        <w:tab w:val="center" w:pos="4513"/>
        <w:tab w:val="right" w:pos="9026"/>
      </w:tabs>
      <w:spacing w:after="0" w:line="240" w:lineRule="auto"/>
    </w:pPr>
  </w:style>
  <w:style w:type="character" w:customStyle="1" w:styleId="HeaderChar">
    <w:name w:val="Header Char"/>
    <w:basedOn w:val="DefaultParagraphFont"/>
    <w:link w:val="Header"/>
    <w:uiPriority w:val="99"/>
    <w:rsid w:val="00F03759"/>
  </w:style>
  <w:style w:type="paragraph" w:styleId="Footer">
    <w:name w:val="footer"/>
    <w:basedOn w:val="Normal"/>
    <w:link w:val="FooterChar"/>
    <w:uiPriority w:val="99"/>
    <w:unhideWhenUsed/>
    <w:rsid w:val="00F03759"/>
    <w:pPr>
      <w:tabs>
        <w:tab w:val="center" w:pos="4513"/>
        <w:tab w:val="right" w:pos="9026"/>
      </w:tabs>
      <w:spacing w:after="0" w:line="240" w:lineRule="auto"/>
    </w:pPr>
  </w:style>
  <w:style w:type="character" w:customStyle="1" w:styleId="FooterChar">
    <w:name w:val="Footer Char"/>
    <w:basedOn w:val="DefaultParagraphFont"/>
    <w:link w:val="Footer"/>
    <w:uiPriority w:val="99"/>
    <w:rsid w:val="00F03759"/>
  </w:style>
  <w:style w:type="character" w:styleId="CommentReference">
    <w:name w:val="annotation reference"/>
    <w:basedOn w:val="DefaultParagraphFont"/>
    <w:uiPriority w:val="99"/>
    <w:semiHidden/>
    <w:unhideWhenUsed/>
    <w:rsid w:val="00F03759"/>
    <w:rPr>
      <w:sz w:val="16"/>
      <w:szCs w:val="16"/>
    </w:rPr>
  </w:style>
  <w:style w:type="paragraph" w:styleId="CommentText">
    <w:name w:val="annotation text"/>
    <w:basedOn w:val="Normal"/>
    <w:link w:val="CommentTextChar"/>
    <w:uiPriority w:val="99"/>
    <w:unhideWhenUsed/>
    <w:rsid w:val="00F03759"/>
    <w:pPr>
      <w:spacing w:line="240" w:lineRule="auto"/>
    </w:pPr>
    <w:rPr>
      <w:sz w:val="20"/>
      <w:szCs w:val="20"/>
    </w:rPr>
  </w:style>
  <w:style w:type="character" w:customStyle="1" w:styleId="CommentTextChar">
    <w:name w:val="Comment Text Char"/>
    <w:basedOn w:val="DefaultParagraphFont"/>
    <w:link w:val="CommentText"/>
    <w:uiPriority w:val="99"/>
    <w:rsid w:val="00F03759"/>
    <w:rPr>
      <w:sz w:val="20"/>
      <w:szCs w:val="20"/>
    </w:rPr>
  </w:style>
  <w:style w:type="character" w:customStyle="1" w:styleId="CommentSubjectChar">
    <w:name w:val="Comment Subject Char"/>
    <w:basedOn w:val="CommentTextChar"/>
    <w:link w:val="CommentSubject"/>
    <w:uiPriority w:val="99"/>
    <w:semiHidden/>
    <w:rsid w:val="00F03759"/>
    <w:rPr>
      <w:b/>
      <w:bCs/>
      <w:sz w:val="20"/>
      <w:szCs w:val="20"/>
    </w:rPr>
  </w:style>
  <w:style w:type="paragraph" w:styleId="CommentSubject">
    <w:name w:val="annotation subject"/>
    <w:basedOn w:val="CommentText"/>
    <w:next w:val="CommentText"/>
    <w:link w:val="CommentSubjectChar"/>
    <w:uiPriority w:val="99"/>
    <w:semiHidden/>
    <w:unhideWhenUsed/>
    <w:rsid w:val="00F03759"/>
    <w:rPr>
      <w:b/>
      <w:bCs/>
    </w:rPr>
  </w:style>
  <w:style w:type="character" w:styleId="Emphasis">
    <w:name w:val="Emphasis"/>
    <w:basedOn w:val="DefaultParagraphFont"/>
    <w:uiPriority w:val="20"/>
    <w:qFormat/>
    <w:rsid w:val="00F03759"/>
    <w:rPr>
      <w:i/>
      <w:iCs/>
    </w:rPr>
  </w:style>
  <w:style w:type="paragraph" w:styleId="BodyText">
    <w:name w:val="Body Text"/>
    <w:basedOn w:val="Normal"/>
    <w:link w:val="BodyTextChar"/>
    <w:rsid w:val="00F03759"/>
    <w:pPr>
      <w:tabs>
        <w:tab w:val="left" w:pos="284"/>
        <w:tab w:val="right" w:pos="4777"/>
      </w:tabs>
      <w:overflowPunct w:val="0"/>
      <w:autoSpaceDE w:val="0"/>
      <w:autoSpaceDN w:val="0"/>
      <w:adjustRightInd w:val="0"/>
      <w:spacing w:before="120" w:after="0" w:line="240" w:lineRule="auto"/>
      <w:jc w:val="both"/>
      <w:textAlignment w:val="baseline"/>
    </w:pPr>
    <w:rPr>
      <w:rFonts w:ascii="Times New Roman" w:eastAsia="Times New Roman" w:hAnsi="Times New Roman" w:cs="Times New Roman"/>
      <w:szCs w:val="20"/>
      <w:lang w:val="en-US"/>
    </w:rPr>
  </w:style>
  <w:style w:type="character" w:customStyle="1" w:styleId="BodyTextChar">
    <w:name w:val="Body Text Char"/>
    <w:basedOn w:val="DefaultParagraphFont"/>
    <w:link w:val="BodyText"/>
    <w:rsid w:val="00F03759"/>
    <w:rPr>
      <w:rFonts w:ascii="Times New Roman" w:eastAsia="Times New Roman" w:hAnsi="Times New Roman" w:cs="Times New Roman"/>
      <w:szCs w:val="20"/>
      <w:lang w:val="en-US"/>
    </w:rPr>
  </w:style>
  <w:style w:type="character" w:customStyle="1" w:styleId="csc8f6d761">
    <w:name w:val="csc8f6d761"/>
    <w:basedOn w:val="DefaultParagraphFont"/>
    <w:rsid w:val="00F03759"/>
    <w:rPr>
      <w:rFonts w:ascii="Calibri" w:hAnsi="Calibri" w:cs="Calibri" w:hint="default"/>
      <w:b w:val="0"/>
      <w:bCs w:val="0"/>
      <w:i w:val="0"/>
      <w:iCs w:val="0"/>
      <w:color w:val="000000"/>
      <w:sz w:val="22"/>
      <w:szCs w:val="22"/>
    </w:rPr>
  </w:style>
  <w:style w:type="paragraph" w:customStyle="1" w:styleId="csd98cf629">
    <w:name w:val="csd98cf629"/>
    <w:basedOn w:val="Normal"/>
    <w:rsid w:val="00F03759"/>
    <w:pPr>
      <w:spacing w:after="200" w:line="240" w:lineRule="auto"/>
    </w:pPr>
    <w:rPr>
      <w:rFonts w:ascii="Times New Roman" w:hAnsi="Times New Roman" w:cs="Times New Roman"/>
      <w:sz w:val="24"/>
      <w:szCs w:val="24"/>
      <w:lang w:eastAsia="en-GB"/>
    </w:rPr>
  </w:style>
  <w:style w:type="paragraph" w:customStyle="1" w:styleId="p">
    <w:name w:val="p"/>
    <w:basedOn w:val="Normal"/>
    <w:rsid w:val="00F03759"/>
    <w:pPr>
      <w:spacing w:before="100" w:beforeAutospacing="1" w:after="100" w:afterAutospacing="1" w:line="240" w:lineRule="auto"/>
    </w:pPr>
    <w:rPr>
      <w:rFonts w:ascii="Times New Roman" w:eastAsia="Times New Roman" w:hAnsi="Times New Roman" w:cs="Times New Roman"/>
      <w:sz w:val="24"/>
      <w:szCs w:val="24"/>
      <w:lang w:val="it-IT" w:eastAsia="it-IT"/>
    </w:rPr>
  </w:style>
  <w:style w:type="character" w:customStyle="1" w:styleId="mi">
    <w:name w:val="mi"/>
    <w:basedOn w:val="DefaultParagraphFont"/>
    <w:rsid w:val="00F03759"/>
  </w:style>
  <w:style w:type="character" w:customStyle="1" w:styleId="mn">
    <w:name w:val="mn"/>
    <w:basedOn w:val="DefaultParagraphFont"/>
    <w:rsid w:val="00F03759"/>
  </w:style>
  <w:style w:type="character" w:customStyle="1" w:styleId="mtext">
    <w:name w:val="mtext"/>
    <w:basedOn w:val="DefaultParagraphFont"/>
    <w:rsid w:val="00F03759"/>
  </w:style>
  <w:style w:type="character" w:customStyle="1" w:styleId="mo">
    <w:name w:val="mo"/>
    <w:basedOn w:val="DefaultParagraphFont"/>
    <w:rsid w:val="00F03759"/>
  </w:style>
  <w:style w:type="character" w:customStyle="1" w:styleId="small-caps">
    <w:name w:val="small-caps"/>
    <w:basedOn w:val="DefaultParagraphFont"/>
    <w:rsid w:val="00F03759"/>
  </w:style>
  <w:style w:type="character" w:customStyle="1" w:styleId="underline">
    <w:name w:val="underline"/>
    <w:basedOn w:val="DefaultParagraphFont"/>
    <w:rsid w:val="00F03759"/>
  </w:style>
  <w:style w:type="table" w:styleId="TableGrid">
    <w:name w:val="Table Grid"/>
    <w:basedOn w:val="TableNormal"/>
    <w:uiPriority w:val="39"/>
    <w:rsid w:val="00C849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C84911"/>
    <w:rPr>
      <w:color w:val="605E5C"/>
      <w:shd w:val="clear" w:color="auto" w:fill="E1DFDD"/>
    </w:rPr>
  </w:style>
  <w:style w:type="paragraph" w:styleId="Revision">
    <w:name w:val="Revision"/>
    <w:hidden/>
    <w:uiPriority w:val="99"/>
    <w:semiHidden/>
    <w:rsid w:val="00333FA5"/>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236D4A-4579-4DC0-AAAB-F3CF0567A6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TotalTime>
  <Pages>1</Pages>
  <Words>119269</Words>
  <Characters>679834</Characters>
  <Application>Microsoft Office Word</Application>
  <DocSecurity>0</DocSecurity>
  <Lines>5665</Lines>
  <Paragraphs>1595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797508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Gianluca Cidonio</dc:creator>
  <cp:keywords/>
  <dc:description/>
  <cp:lastModifiedBy>Gianluca Cidonio</cp:lastModifiedBy>
  <cp:revision>7</cp:revision>
  <dcterms:created xsi:type="dcterms:W3CDTF">2022-07-01T20:33:00Z</dcterms:created>
  <dcterms:modified xsi:type="dcterms:W3CDTF">2022-07-13T13:47:00Z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http://www.zotero.org/styles/biofabrication</vt:lpwstr>
  </property>
  <property fmtid="{D5CDD505-2E9C-101B-9397-08002B2CF9AE}" pid="5" name="Mendeley Recent Style Name 1_1">
    <vt:lpwstr>Biofabrication</vt:lpwstr>
  </property>
  <property fmtid="{D5CDD505-2E9C-101B-9397-08002B2CF9AE}" pid="6" name="Mendeley Recent Style Id 2_1">
    <vt:lpwstr>http://www.zotero.org/styles/biomaterials</vt:lpwstr>
  </property>
  <property fmtid="{D5CDD505-2E9C-101B-9397-08002B2CF9AE}" pid="7" name="Mendeley Recent Style Name 2_1">
    <vt:lpwstr>Biomaterials</vt:lpwstr>
  </property>
  <property fmtid="{D5CDD505-2E9C-101B-9397-08002B2CF9AE}" pid="8" name="Mendeley Recent Style Id 3_1">
    <vt:lpwstr>https://csl.mendeley.com/styles/451937251/cambridge-university-press-note</vt:lpwstr>
  </property>
  <property fmtid="{D5CDD505-2E9C-101B-9397-08002B2CF9AE}" pid="9" name="Mendeley Recent Style Name 3_1">
    <vt:lpwstr>Cambridge University Press (note, modified) - Gianluca Cidonio, PhD</vt:lpwstr>
  </property>
  <property fmtid="{D5CDD505-2E9C-101B-9397-08002B2CF9AE}" pid="10" name="Mendeley Recent Style Id 4_1">
    <vt:lpwstr>http://www.zotero.org/styles/modern-humanities-research-association</vt:lpwstr>
  </property>
  <property fmtid="{D5CDD505-2E9C-101B-9397-08002B2CF9AE}" pid="11" name="Mendeley Recent Style Name 4_1">
    <vt:lpwstr>Modern Humanities Research Association 3rd edition (note with bibliography)</vt:lpwstr>
  </property>
  <property fmtid="{D5CDD505-2E9C-101B-9397-08002B2CF9AE}" pid="12" name="Mendeley Recent Style Id 5_1">
    <vt:lpwstr>http://www.zotero.org/styles/nature</vt:lpwstr>
  </property>
  <property fmtid="{D5CDD505-2E9C-101B-9397-08002B2CF9AE}" pid="13" name="Mendeley Recent Style Name 5_1">
    <vt:lpwstr>Nature</vt:lpwstr>
  </property>
  <property fmtid="{D5CDD505-2E9C-101B-9397-08002B2CF9AE}" pid="14" name="Mendeley Recent Style Id 6_1">
    <vt:lpwstr>http://www.zotero.org/styles/pain</vt:lpwstr>
  </property>
  <property fmtid="{D5CDD505-2E9C-101B-9397-08002B2CF9AE}" pid="15" name="Mendeley Recent Style Name 6_1">
    <vt:lpwstr>PAIN</vt:lpwstr>
  </property>
  <property fmtid="{D5CDD505-2E9C-101B-9397-08002B2CF9AE}" pid="16" name="Mendeley Recent Style Id 7_1">
    <vt:lpwstr>http://www.zotero.org/styles/springer-basic-author-date</vt:lpwstr>
  </property>
  <property fmtid="{D5CDD505-2E9C-101B-9397-08002B2CF9AE}" pid="17" name="Mendeley Recent Style Name 7_1">
    <vt:lpwstr>Springer - Basic (author-date)</vt:lpwstr>
  </property>
  <property fmtid="{D5CDD505-2E9C-101B-9397-08002B2CF9AE}" pid="18" name="Mendeley Recent Style Id 8_1">
    <vt:lpwstr>http://www.zotero.org/styles/springer-basic-note</vt:lpwstr>
  </property>
  <property fmtid="{D5CDD505-2E9C-101B-9397-08002B2CF9AE}" pid="19" name="Mendeley Recent Style Name 8_1">
    <vt:lpwstr>Springer - Basic (note)</vt:lpwstr>
  </property>
  <property fmtid="{D5CDD505-2E9C-101B-9397-08002B2CF9AE}" pid="20" name="Mendeley Recent Style Id 9_1">
    <vt:lpwstr>http://www.zotero.org/styles/springer-basic-brackets</vt:lpwstr>
  </property>
  <property fmtid="{D5CDD505-2E9C-101B-9397-08002B2CF9AE}" pid="21" name="Mendeley Recent Style Name 9_1">
    <vt:lpwstr>Springer - Basic (numeric, brackets)</vt:lpwstr>
  </property>
  <property fmtid="{D5CDD505-2E9C-101B-9397-08002B2CF9AE}" pid="22" name="Mendeley Document_1">
    <vt:lpwstr>True</vt:lpwstr>
  </property>
  <property fmtid="{D5CDD505-2E9C-101B-9397-08002B2CF9AE}" pid="23" name="Mendeley Unique User Id_1">
    <vt:lpwstr>41ac2866-1a30-3874-9190-982c3cd4c2a7</vt:lpwstr>
  </property>
  <property fmtid="{D5CDD505-2E9C-101B-9397-08002B2CF9AE}" pid="24" name="Mendeley Citation Style_1">
    <vt:lpwstr>http://www.zotero.org/styles/springer-basic-brackets</vt:lpwstr>
  </property>
</Properties>
</file>