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9B032" w14:textId="77777777" w:rsidR="00A96478" w:rsidRPr="00A963E2" w:rsidRDefault="00A96478" w:rsidP="00A96478">
      <w:pPr>
        <w:pStyle w:val="NoTemplateAuthors"/>
        <w:spacing w:after="0"/>
        <w:rPr>
          <w:b/>
          <w:bCs/>
        </w:rPr>
      </w:pPr>
      <w:bookmarkStart w:id="0" w:name="_Hlk90041448"/>
      <w:r w:rsidRPr="00A963E2">
        <w:rPr>
          <w:b/>
          <w:bCs/>
        </w:rPr>
        <w:t xml:space="preserve">Mechanically axially chiral catenanes and noncanonical mechanically axially chiral </w:t>
      </w:r>
    </w:p>
    <w:p w14:paraId="5131C6BA" w14:textId="0E3D2B84" w:rsidR="00A96478" w:rsidRPr="00A11DCD" w:rsidRDefault="00470B56" w:rsidP="00A96478">
      <w:pPr>
        <w:pStyle w:val="NoTemplateTitle"/>
        <w:spacing w:after="0"/>
      </w:pPr>
      <w:r w:rsidRPr="00A11DCD">
        <w:t>r</w:t>
      </w:r>
      <w:r w:rsidR="00A96478" w:rsidRPr="00A11DCD">
        <w:t>otaxanes</w:t>
      </w:r>
    </w:p>
    <w:bookmarkEnd w:id="0"/>
    <w:p w14:paraId="33F28F47" w14:textId="7E4D9B96" w:rsidR="00E35F80" w:rsidRPr="00A11DCD" w:rsidRDefault="002A0246" w:rsidP="00D874EF">
      <w:pPr>
        <w:pStyle w:val="NoTemplateAuthors"/>
        <w:spacing w:after="0"/>
      </w:pPr>
      <w:r w:rsidRPr="00A11DCD">
        <w:t xml:space="preserve">John R. J. </w:t>
      </w:r>
      <w:proofErr w:type="gramStart"/>
      <w:r w:rsidRPr="00A11DCD">
        <w:t>Maynard,</w:t>
      </w:r>
      <w:r w:rsidR="00BA3A51" w:rsidRPr="00A11DCD">
        <w:rPr>
          <w:vertAlign w:val="superscript"/>
        </w:rPr>
        <w:t>+</w:t>
      </w:r>
      <w:proofErr w:type="gramEnd"/>
      <w:r w:rsidRPr="00A11DCD">
        <w:t xml:space="preserve"> Peter Gallagher</w:t>
      </w:r>
      <w:r w:rsidR="00D03D15" w:rsidRPr="00A11DCD">
        <w:t>,</w:t>
      </w:r>
      <w:r w:rsidR="00BA3A51" w:rsidRPr="00A11DCD">
        <w:rPr>
          <w:vertAlign w:val="superscript"/>
        </w:rPr>
        <w:t>+</w:t>
      </w:r>
      <w:r w:rsidR="00D03D15" w:rsidRPr="00A11DCD">
        <w:t xml:space="preserve"> David Lozano</w:t>
      </w:r>
      <w:r w:rsidR="00BA3A51" w:rsidRPr="00A11DCD">
        <w:t>, Patrick Butler</w:t>
      </w:r>
      <w:r w:rsidR="00BE1DD2" w:rsidRPr="00A11DCD">
        <w:t xml:space="preserve"> and</w:t>
      </w:r>
      <w:r w:rsidR="00E35F80" w:rsidRPr="00A11DCD">
        <w:t xml:space="preserve"> Stephen M. Goldup*</w:t>
      </w:r>
    </w:p>
    <w:p w14:paraId="0256B551" w14:textId="51FCC113" w:rsidR="00DE0A47" w:rsidRPr="00A11DCD" w:rsidRDefault="00DE0A47" w:rsidP="00BA3A51">
      <w:pPr>
        <w:pStyle w:val="NoTemplateAuthors"/>
      </w:pPr>
      <w:r w:rsidRPr="00A11DCD">
        <w:rPr>
          <w:vertAlign w:val="superscript"/>
        </w:rPr>
        <w:t>+</w:t>
      </w:r>
      <w:r w:rsidRPr="00A11DCD">
        <w:t>These authors contributed equally</w:t>
      </w:r>
    </w:p>
    <w:p w14:paraId="4EC666F8" w14:textId="77777777" w:rsidR="00DC6FDF" w:rsidRPr="00A11DCD" w:rsidRDefault="00DC6FDF" w:rsidP="00DC6FDF">
      <w:pPr>
        <w:spacing w:after="120" w:line="360" w:lineRule="auto"/>
      </w:pPr>
      <w:r w:rsidRPr="00A11DCD">
        <w:rPr>
          <w:rFonts w:cs="Arial"/>
          <w:szCs w:val="22"/>
        </w:rPr>
        <w:t xml:space="preserve">Chemistry, University of Southampton, </w:t>
      </w:r>
      <w:proofErr w:type="spellStart"/>
      <w:r w:rsidRPr="00A11DCD">
        <w:rPr>
          <w:rFonts w:cs="Arial"/>
          <w:szCs w:val="22"/>
        </w:rPr>
        <w:t>Highfield</w:t>
      </w:r>
      <w:proofErr w:type="spellEnd"/>
      <w:r w:rsidRPr="00A11DCD">
        <w:rPr>
          <w:rFonts w:cs="Arial"/>
          <w:szCs w:val="22"/>
        </w:rPr>
        <w:t xml:space="preserve">, Southampton, SO17 1BJ (UK), </w:t>
      </w:r>
      <w:hyperlink r:id="rId11" w:history="1">
        <w:r w:rsidRPr="00A11DCD">
          <w:rPr>
            <w:rStyle w:val="Hyperlink"/>
          </w:rPr>
          <w:t>*s.goldup@soton.ac.uk</w:t>
        </w:r>
      </w:hyperlink>
    </w:p>
    <w:p w14:paraId="5A1674F4" w14:textId="3DCB42D9" w:rsidR="00E31491" w:rsidRPr="00A11DCD" w:rsidRDefault="00042B55" w:rsidP="00E31491">
      <w:pPr>
        <w:pStyle w:val="NoTemplateHeading1"/>
      </w:pPr>
      <w:r>
        <w:t>ABSTRACT</w:t>
      </w:r>
    </w:p>
    <w:p w14:paraId="20F68349" w14:textId="2CD3F023" w:rsidR="00DA1D53" w:rsidRPr="00B45C84" w:rsidRDefault="00C260E2" w:rsidP="00DA1D53">
      <w:pPr>
        <w:spacing w:after="120" w:line="480" w:lineRule="auto"/>
        <w:rPr>
          <w:rFonts w:cs="Arial"/>
          <w:bCs/>
          <w:szCs w:val="22"/>
        </w:rPr>
      </w:pPr>
      <w:r w:rsidRPr="00A11DCD">
        <w:rPr>
          <w:rFonts w:cs="Arial"/>
          <w:bCs/>
          <w:szCs w:val="22"/>
        </w:rPr>
        <w:t xml:space="preserve">Chirality typically arises in molecules due to a rigidly chiral arrangement of </w:t>
      </w:r>
      <w:r>
        <w:rPr>
          <w:rFonts w:cs="Arial"/>
          <w:bCs/>
          <w:szCs w:val="22"/>
        </w:rPr>
        <w:t xml:space="preserve">covalently bonded </w:t>
      </w:r>
      <w:r w:rsidRPr="00A11DCD">
        <w:rPr>
          <w:rFonts w:cs="Arial"/>
          <w:bCs/>
          <w:szCs w:val="22"/>
        </w:rPr>
        <w:t xml:space="preserve">atoms. Less generally appreciated is that chirality can arise when molecules are threaded through one another to create a mechanical bond. For example, when two </w:t>
      </w:r>
      <w:r w:rsidR="006F2155">
        <w:rPr>
          <w:rFonts w:cs="Arial"/>
          <w:bCs/>
          <w:szCs w:val="22"/>
        </w:rPr>
        <w:t>macrocycles</w:t>
      </w:r>
      <w:r w:rsidRPr="00A11DCD">
        <w:rPr>
          <w:rFonts w:cs="Arial"/>
          <w:bCs/>
          <w:szCs w:val="22"/>
        </w:rPr>
        <w:t xml:space="preserve"> with chemically distinct faces are joined </w:t>
      </w:r>
      <w:r w:rsidR="00A96938">
        <w:rPr>
          <w:rFonts w:cs="Arial"/>
          <w:bCs/>
          <w:szCs w:val="22"/>
        </w:rPr>
        <w:t xml:space="preserve">to form a catenane, </w:t>
      </w:r>
      <w:r w:rsidRPr="00A11DCD">
        <w:rPr>
          <w:rFonts w:cs="Arial"/>
          <w:bCs/>
          <w:szCs w:val="22"/>
        </w:rPr>
        <w:t xml:space="preserve">the structure is chiral </w:t>
      </w:r>
      <w:r w:rsidR="00E222F8">
        <w:rPr>
          <w:rFonts w:cs="Arial"/>
          <w:bCs/>
          <w:szCs w:val="22"/>
        </w:rPr>
        <w:t>although</w:t>
      </w:r>
      <w:r w:rsidRPr="00A11DCD">
        <w:rPr>
          <w:rFonts w:cs="Arial"/>
          <w:bCs/>
          <w:szCs w:val="22"/>
        </w:rPr>
        <w:t xml:space="preserve"> the rings themselves are not. </w:t>
      </w:r>
      <w:r w:rsidR="007E0CBB">
        <w:rPr>
          <w:rFonts w:cs="Arial"/>
          <w:bCs/>
          <w:szCs w:val="22"/>
        </w:rPr>
        <w:t>However</w:t>
      </w:r>
      <w:r w:rsidR="005F4755" w:rsidRPr="00BF0332">
        <w:rPr>
          <w:rFonts w:cs="Arial"/>
          <w:bCs/>
          <w:szCs w:val="22"/>
        </w:rPr>
        <w:t xml:space="preserve">, enantiopure </w:t>
      </w:r>
      <w:r w:rsidR="00E222F8">
        <w:rPr>
          <w:rFonts w:cs="Arial"/>
          <w:bCs/>
          <w:szCs w:val="22"/>
        </w:rPr>
        <w:t xml:space="preserve">mechanically </w:t>
      </w:r>
      <w:r w:rsidR="005F4755" w:rsidRPr="00BF0332">
        <w:rPr>
          <w:rFonts w:cs="Arial"/>
          <w:bCs/>
          <w:szCs w:val="22"/>
        </w:rPr>
        <w:t xml:space="preserve">axially chiral catenanes in which the mechanical bond provides the sole source of </w:t>
      </w:r>
      <w:r w:rsidR="005F4755">
        <w:rPr>
          <w:rFonts w:cs="Arial"/>
          <w:bCs/>
          <w:szCs w:val="22"/>
        </w:rPr>
        <w:t>stereochemistry</w:t>
      </w:r>
      <w:r w:rsidR="005F4755" w:rsidRPr="00BF0332">
        <w:rPr>
          <w:rFonts w:cs="Arial"/>
          <w:bCs/>
          <w:szCs w:val="22"/>
        </w:rPr>
        <w:t xml:space="preserve"> </w:t>
      </w:r>
      <w:r w:rsidR="00CC268C" w:rsidRPr="00BF0332">
        <w:rPr>
          <w:rFonts w:cs="Arial"/>
          <w:bCs/>
          <w:szCs w:val="22"/>
        </w:rPr>
        <w:t>ha</w:t>
      </w:r>
      <w:r w:rsidR="00CC268C">
        <w:rPr>
          <w:rFonts w:cs="Arial"/>
          <w:bCs/>
          <w:szCs w:val="22"/>
        </w:rPr>
        <w:t>ve</w:t>
      </w:r>
      <w:r w:rsidR="00CC268C" w:rsidRPr="00BF0332">
        <w:rPr>
          <w:rFonts w:cs="Arial"/>
          <w:bCs/>
          <w:szCs w:val="22"/>
        </w:rPr>
        <w:t xml:space="preserve"> </w:t>
      </w:r>
      <w:r w:rsidR="00C24464">
        <w:rPr>
          <w:rFonts w:cs="Arial"/>
          <w:bCs/>
          <w:szCs w:val="22"/>
        </w:rPr>
        <w:t xml:space="preserve">not </w:t>
      </w:r>
      <w:r w:rsidR="005F4755" w:rsidRPr="00BF0332">
        <w:rPr>
          <w:rFonts w:cs="Arial"/>
          <w:bCs/>
          <w:szCs w:val="22"/>
        </w:rPr>
        <w:t>been reported.</w:t>
      </w:r>
      <w:r w:rsidR="005F4755">
        <w:rPr>
          <w:rFonts w:cs="Arial"/>
          <w:bCs/>
          <w:szCs w:val="22"/>
        </w:rPr>
        <w:t xml:space="preserve"> </w:t>
      </w:r>
      <w:r w:rsidRPr="00A11DCD">
        <w:rPr>
          <w:rFonts w:cs="Arial"/>
          <w:bCs/>
          <w:szCs w:val="22"/>
        </w:rPr>
        <w:t xml:space="preserve">We re-examined the symmetry properties of </w:t>
      </w:r>
      <w:r w:rsidR="00254E6A">
        <w:rPr>
          <w:rFonts w:cs="Arial"/>
          <w:bCs/>
          <w:szCs w:val="22"/>
        </w:rPr>
        <w:t>these molecules</w:t>
      </w:r>
      <w:r w:rsidRPr="00A11DCD">
        <w:rPr>
          <w:rFonts w:cs="Arial"/>
          <w:bCs/>
          <w:szCs w:val="22"/>
        </w:rPr>
        <w:t xml:space="preserve"> and in doing so identified a straightforward route to </w:t>
      </w:r>
      <w:r w:rsidR="00DD19D8">
        <w:rPr>
          <w:rFonts w:cs="Arial"/>
          <w:bCs/>
          <w:szCs w:val="22"/>
        </w:rPr>
        <w:t>access them</w:t>
      </w:r>
      <w:r w:rsidRPr="00A11DCD">
        <w:rPr>
          <w:rFonts w:cs="Arial"/>
          <w:bCs/>
          <w:szCs w:val="22"/>
        </w:rPr>
        <w:t xml:space="preserve"> from simple </w:t>
      </w:r>
      <w:r w:rsidR="006F2155">
        <w:rPr>
          <w:rFonts w:cs="Arial"/>
          <w:bCs/>
          <w:szCs w:val="22"/>
        </w:rPr>
        <w:t xml:space="preserve">chiral </w:t>
      </w:r>
      <w:r w:rsidRPr="00A11DCD">
        <w:rPr>
          <w:rFonts w:cs="Arial"/>
          <w:bCs/>
          <w:szCs w:val="22"/>
        </w:rPr>
        <w:t>building blocks</w:t>
      </w:r>
      <w:r w:rsidR="00DA1D53" w:rsidRPr="00BF0332">
        <w:rPr>
          <w:rFonts w:cs="Arial"/>
          <w:bCs/>
          <w:szCs w:val="22"/>
        </w:rPr>
        <w:t xml:space="preserve">. </w:t>
      </w:r>
      <w:r w:rsidR="00C24464">
        <w:rPr>
          <w:rFonts w:cs="Arial"/>
          <w:bCs/>
          <w:szCs w:val="22"/>
        </w:rPr>
        <w:t>O</w:t>
      </w:r>
      <w:r w:rsidR="00DA1D53">
        <w:rPr>
          <w:rFonts w:cs="Arial"/>
          <w:bCs/>
          <w:szCs w:val="22"/>
        </w:rPr>
        <w:t xml:space="preserve">ur </w:t>
      </w:r>
      <w:r w:rsidR="00A52A33">
        <w:rPr>
          <w:rFonts w:cs="Arial"/>
          <w:bCs/>
          <w:szCs w:val="22"/>
        </w:rPr>
        <w:t>analysis</w:t>
      </w:r>
      <w:r w:rsidR="00DA1D53">
        <w:rPr>
          <w:rFonts w:cs="Arial"/>
          <w:bCs/>
          <w:szCs w:val="22"/>
        </w:rPr>
        <w:t xml:space="preserve"> </w:t>
      </w:r>
      <w:r w:rsidR="00C24464">
        <w:rPr>
          <w:rFonts w:cs="Arial"/>
          <w:bCs/>
          <w:szCs w:val="22"/>
        </w:rPr>
        <w:t xml:space="preserve">also </w:t>
      </w:r>
      <w:r w:rsidR="00DA1D53">
        <w:rPr>
          <w:rFonts w:cs="Arial"/>
          <w:bCs/>
          <w:szCs w:val="22"/>
        </w:rPr>
        <w:t xml:space="preserve">led </w:t>
      </w:r>
      <w:r w:rsidR="00C975C2">
        <w:rPr>
          <w:rFonts w:cs="Arial"/>
          <w:bCs/>
          <w:szCs w:val="22"/>
        </w:rPr>
        <w:t>us to identify</w:t>
      </w:r>
      <w:r w:rsidR="008F4824">
        <w:rPr>
          <w:rFonts w:cs="Arial"/>
          <w:bCs/>
          <w:szCs w:val="22"/>
        </w:rPr>
        <w:t xml:space="preserve"> </w:t>
      </w:r>
      <w:r w:rsidR="00AC36CB">
        <w:rPr>
          <w:rFonts w:cs="Arial"/>
          <w:bCs/>
          <w:szCs w:val="22"/>
        </w:rPr>
        <w:t>a</w:t>
      </w:r>
      <w:r w:rsidR="00350430">
        <w:rPr>
          <w:rFonts w:cs="Arial"/>
          <w:bCs/>
          <w:szCs w:val="22"/>
        </w:rPr>
        <w:t>n analogous but</w:t>
      </w:r>
      <w:r w:rsidR="00AC36CB">
        <w:rPr>
          <w:rFonts w:cs="Arial"/>
          <w:bCs/>
          <w:szCs w:val="22"/>
        </w:rPr>
        <w:t xml:space="preserve"> </w:t>
      </w:r>
      <w:r w:rsidR="00B25286">
        <w:rPr>
          <w:rFonts w:cs="Arial"/>
          <w:bCs/>
          <w:szCs w:val="22"/>
        </w:rPr>
        <w:t xml:space="preserve">previously unremarked upon </w:t>
      </w:r>
      <w:r w:rsidR="00AC36CB">
        <w:rPr>
          <w:rFonts w:cs="Arial"/>
          <w:bCs/>
          <w:szCs w:val="22"/>
        </w:rPr>
        <w:t xml:space="preserve">rotaxane </w:t>
      </w:r>
      <w:r w:rsidR="00B25286">
        <w:rPr>
          <w:rFonts w:cs="Arial"/>
          <w:bCs/>
          <w:szCs w:val="22"/>
        </w:rPr>
        <w:t>stereogenic unit</w:t>
      </w:r>
      <w:r w:rsidR="00350430">
        <w:rPr>
          <w:rFonts w:cs="Arial"/>
          <w:bCs/>
          <w:szCs w:val="22"/>
        </w:rPr>
        <w:t>,</w:t>
      </w:r>
      <w:r w:rsidR="00AC36CB">
        <w:rPr>
          <w:rFonts w:cs="Arial"/>
          <w:bCs/>
          <w:szCs w:val="22"/>
        </w:rPr>
        <w:t xml:space="preserve"> which also yielded to our co-conformational auxiliary approach</w:t>
      </w:r>
      <w:r w:rsidR="00DA1D53">
        <w:rPr>
          <w:rFonts w:cs="Arial"/>
          <w:bCs/>
          <w:szCs w:val="22"/>
        </w:rPr>
        <w:t>.</w:t>
      </w:r>
      <w:r w:rsidR="00DA1D53" w:rsidRPr="00BF0332">
        <w:rPr>
          <w:rFonts w:cs="Arial"/>
          <w:bCs/>
          <w:szCs w:val="22"/>
        </w:rPr>
        <w:t xml:space="preserve"> </w:t>
      </w:r>
      <w:r w:rsidR="00DA1D53">
        <w:rPr>
          <w:rFonts w:cs="Arial"/>
          <w:bCs/>
          <w:szCs w:val="22"/>
        </w:rPr>
        <w:t xml:space="preserve">With methods to access mechanically axially chiral </w:t>
      </w:r>
      <w:r w:rsidR="006F2155">
        <w:rPr>
          <w:rFonts w:cs="Arial"/>
          <w:bCs/>
          <w:szCs w:val="22"/>
        </w:rPr>
        <w:t>molecules</w:t>
      </w:r>
      <w:r w:rsidR="00DA1D53">
        <w:rPr>
          <w:rFonts w:cs="Arial"/>
          <w:bCs/>
          <w:szCs w:val="22"/>
        </w:rPr>
        <w:t xml:space="preserve"> in hand, their properties and applications</w:t>
      </w:r>
      <w:r w:rsidR="00E61BA4">
        <w:rPr>
          <w:rFonts w:cs="Arial"/>
          <w:bCs/>
          <w:szCs w:val="22"/>
        </w:rPr>
        <w:t xml:space="preserve"> can now be </w:t>
      </w:r>
      <w:r w:rsidR="00E61BA4" w:rsidRPr="00B45C84">
        <w:rPr>
          <w:rFonts w:cs="Arial"/>
          <w:bCs/>
          <w:szCs w:val="22"/>
        </w:rPr>
        <w:t>explored</w:t>
      </w:r>
      <w:r w:rsidR="00DA1D53" w:rsidRPr="00B45C84">
        <w:rPr>
          <w:rFonts w:cs="Arial"/>
          <w:bCs/>
          <w:szCs w:val="22"/>
        </w:rPr>
        <w:t>.</w:t>
      </w:r>
    </w:p>
    <w:p w14:paraId="6A0E7EA6" w14:textId="710C20D8" w:rsidR="00E35F80" w:rsidRDefault="004F7652" w:rsidP="005A09EF">
      <w:pPr>
        <w:pStyle w:val="NoTemplateHeading1"/>
      </w:pPr>
      <w:r>
        <w:t>________________________</w:t>
      </w:r>
    </w:p>
    <w:p w14:paraId="5282C932" w14:textId="15EB5B89" w:rsidR="004F7652" w:rsidRDefault="004F7652" w:rsidP="005C629A">
      <w:pPr>
        <w:pStyle w:val="NoTemplateMainText"/>
      </w:pPr>
    </w:p>
    <w:p w14:paraId="1F51F31C" w14:textId="43DC5F20" w:rsidR="007A0744" w:rsidRPr="00A11DCD" w:rsidRDefault="00496EE9" w:rsidP="007A0744">
      <w:pPr>
        <w:spacing w:after="120" w:line="480" w:lineRule="auto"/>
        <w:rPr>
          <w:rFonts w:cs="Arial"/>
          <w:bCs/>
          <w:szCs w:val="22"/>
        </w:rPr>
      </w:pPr>
      <w:r w:rsidRPr="00B45C84">
        <w:rPr>
          <w:rFonts w:cs="Arial"/>
          <w:bCs/>
          <w:szCs w:val="22"/>
        </w:rPr>
        <w:t>The term chiral was introduced by Lord Kelvin over a century ago to describe objects that are distinct from their own mirror image</w:t>
      </w:r>
      <w:r w:rsidRPr="00B45C84">
        <w:rPr>
          <w:rStyle w:val="EndnoteReference"/>
          <w:rFonts w:ascii="Arial" w:hAnsi="Arial" w:cs="Arial"/>
          <w:bCs/>
          <w:sz w:val="22"/>
          <w:szCs w:val="22"/>
        </w:rPr>
        <w:endnoteReference w:id="2"/>
      </w:r>
      <w:r w:rsidRPr="00B45C84">
        <w:rPr>
          <w:rFonts w:cs="Arial"/>
          <w:bCs/>
          <w:szCs w:val="22"/>
        </w:rPr>
        <w:t>. Chirality is relevant in many scientific areas</w:t>
      </w:r>
      <w:r w:rsidRPr="00B45C84">
        <w:rPr>
          <w:rFonts w:cs="Arial"/>
          <w:bCs/>
          <w:szCs w:val="22"/>
          <w:vertAlign w:val="superscript"/>
        </w:rPr>
        <w:endnoteReference w:id="3"/>
      </w:r>
      <w:r w:rsidRPr="00B45C84">
        <w:rPr>
          <w:rFonts w:cs="Arial"/>
          <w:bCs/>
          <w:szCs w:val="22"/>
          <w:vertAlign w:val="superscript"/>
        </w:rPr>
        <w:t>,</w:t>
      </w:r>
      <w:r w:rsidRPr="00B45C84">
        <w:rPr>
          <w:rFonts w:cs="Arial"/>
          <w:bCs/>
          <w:szCs w:val="22"/>
          <w:vertAlign w:val="superscript"/>
        </w:rPr>
        <w:endnoteReference w:id="4"/>
      </w:r>
      <w:r w:rsidRPr="00B45C84">
        <w:rPr>
          <w:rFonts w:cs="Arial"/>
          <w:bCs/>
          <w:szCs w:val="22"/>
          <w:vertAlign w:val="superscript"/>
        </w:rPr>
        <w:t>,</w:t>
      </w:r>
      <w:r w:rsidRPr="00B45C84">
        <w:rPr>
          <w:rFonts w:cs="Arial"/>
          <w:bCs/>
          <w:szCs w:val="22"/>
          <w:vertAlign w:val="superscript"/>
        </w:rPr>
        <w:endnoteReference w:id="5"/>
      </w:r>
      <w:r w:rsidRPr="00B45C84">
        <w:rPr>
          <w:rFonts w:cs="Arial"/>
          <w:bCs/>
          <w:szCs w:val="22"/>
          <w:vertAlign w:val="superscript"/>
        </w:rPr>
        <w:t>,</w:t>
      </w:r>
      <w:r w:rsidRPr="00B45C84">
        <w:rPr>
          <w:rFonts w:cs="Arial"/>
          <w:bCs/>
          <w:szCs w:val="22"/>
          <w:vertAlign w:val="superscript"/>
        </w:rPr>
        <w:endnoteReference w:id="6"/>
      </w:r>
      <w:r w:rsidRPr="00B45C84">
        <w:rPr>
          <w:rFonts w:cs="Arial"/>
          <w:bCs/>
          <w:szCs w:val="22"/>
        </w:rPr>
        <w:t xml:space="preserve"> but particularly chemistry because different mirror image forms of a molecule famously have different biological properties. </w:t>
      </w:r>
      <w:r w:rsidR="00FF3035" w:rsidRPr="00B45C84">
        <w:rPr>
          <w:rFonts w:cs="Arial"/>
          <w:bCs/>
          <w:szCs w:val="22"/>
        </w:rPr>
        <w:t>Indeed, t</w:t>
      </w:r>
      <w:r w:rsidR="007A0744" w:rsidRPr="00B45C84">
        <w:rPr>
          <w:rFonts w:cs="Arial"/>
          <w:bCs/>
          <w:szCs w:val="22"/>
        </w:rPr>
        <w:t>he shape of a molecule is a major determinant of its function</w:t>
      </w:r>
      <w:r w:rsidR="00576249" w:rsidRPr="00B45C84">
        <w:rPr>
          <w:rStyle w:val="EndnoteReference"/>
          <w:rFonts w:ascii="Arial" w:hAnsi="Arial" w:cs="Arial"/>
          <w:bCs/>
          <w:sz w:val="22"/>
          <w:szCs w:val="22"/>
        </w:rPr>
        <w:endnoteReference w:id="7"/>
      </w:r>
      <w:r w:rsidR="005741DD" w:rsidRPr="00B45C84">
        <w:rPr>
          <w:rFonts w:cs="Arial"/>
          <w:bCs/>
          <w:szCs w:val="22"/>
        </w:rPr>
        <w:t>.</w:t>
      </w:r>
      <w:r w:rsidR="001327E1" w:rsidRPr="00B45C84">
        <w:rPr>
          <w:rFonts w:cs="Arial"/>
          <w:bCs/>
          <w:szCs w:val="22"/>
        </w:rPr>
        <w:t xml:space="preserve"> </w:t>
      </w:r>
      <w:r w:rsidR="005741DD" w:rsidRPr="00B45C84">
        <w:rPr>
          <w:rFonts w:cs="Arial"/>
          <w:bCs/>
          <w:szCs w:val="22"/>
        </w:rPr>
        <w:t>Thus,</w:t>
      </w:r>
      <w:r w:rsidR="007A0744" w:rsidRPr="00B45C84">
        <w:rPr>
          <w:rFonts w:cs="Arial"/>
          <w:bCs/>
          <w:szCs w:val="22"/>
        </w:rPr>
        <w:t xml:space="preserve"> chemists have invested significant effort </w:t>
      </w:r>
      <w:r w:rsidR="00CA279F" w:rsidRPr="00B45C84">
        <w:rPr>
          <w:rFonts w:cs="Arial"/>
          <w:bCs/>
          <w:szCs w:val="22"/>
        </w:rPr>
        <w:t>to develop</w:t>
      </w:r>
      <w:r w:rsidR="00231BBE" w:rsidRPr="00B45C84">
        <w:rPr>
          <w:rFonts w:cs="Arial"/>
          <w:bCs/>
          <w:szCs w:val="22"/>
        </w:rPr>
        <w:t xml:space="preserve"> </w:t>
      </w:r>
      <w:r w:rsidR="007A0744" w:rsidRPr="00B45C84">
        <w:rPr>
          <w:rFonts w:cs="Arial"/>
          <w:bCs/>
          <w:szCs w:val="22"/>
        </w:rPr>
        <w:t xml:space="preserve">methods </w:t>
      </w:r>
      <w:r w:rsidR="00CA279F" w:rsidRPr="00B45C84">
        <w:rPr>
          <w:rFonts w:cs="Arial"/>
          <w:bCs/>
          <w:szCs w:val="22"/>
        </w:rPr>
        <w:t>that</w:t>
      </w:r>
      <w:r w:rsidR="007A0744" w:rsidRPr="00B45C84">
        <w:rPr>
          <w:rFonts w:cs="Arial"/>
          <w:bCs/>
          <w:szCs w:val="22"/>
        </w:rPr>
        <w:t xml:space="preserve"> produce</w:t>
      </w:r>
      <w:r w:rsidR="007A0744" w:rsidRPr="00A11DCD">
        <w:rPr>
          <w:rFonts w:cs="Arial"/>
          <w:bCs/>
          <w:szCs w:val="22"/>
        </w:rPr>
        <w:t xml:space="preserve"> molecules with control over their stereochemistry</w:t>
      </w:r>
      <w:bookmarkStart w:id="1" w:name="_Ref89435447"/>
      <w:r w:rsidR="002252B3" w:rsidRPr="00A11DCD">
        <w:rPr>
          <w:rFonts w:cs="Arial"/>
          <w:bCs/>
          <w:szCs w:val="22"/>
          <w:vertAlign w:val="superscript"/>
        </w:rPr>
        <w:endnoteReference w:id="8"/>
      </w:r>
      <w:bookmarkEnd w:id="1"/>
      <w:r w:rsidR="001327E1" w:rsidRPr="00A11DCD">
        <w:rPr>
          <w:rFonts w:cs="Arial"/>
          <w:bCs/>
          <w:szCs w:val="22"/>
        </w:rPr>
        <w:t>.</w:t>
      </w:r>
      <w:r w:rsidR="007A0744" w:rsidRPr="00A11DCD">
        <w:rPr>
          <w:rFonts w:cs="Arial"/>
          <w:bCs/>
          <w:szCs w:val="22"/>
        </w:rPr>
        <w:t xml:space="preserve"> </w:t>
      </w:r>
      <w:r w:rsidR="001327E1" w:rsidRPr="00A11DCD">
        <w:rPr>
          <w:rFonts w:cs="Arial"/>
          <w:bCs/>
          <w:szCs w:val="22"/>
        </w:rPr>
        <w:t>A</w:t>
      </w:r>
      <w:r w:rsidR="007A0744" w:rsidRPr="00A11DCD">
        <w:rPr>
          <w:rFonts w:cs="Arial"/>
          <w:bCs/>
          <w:szCs w:val="22"/>
        </w:rPr>
        <w:t xml:space="preserve"> major part of </w:t>
      </w:r>
      <w:r w:rsidR="001327E1" w:rsidRPr="00A11DCD">
        <w:rPr>
          <w:rFonts w:cs="Arial"/>
          <w:bCs/>
          <w:szCs w:val="22"/>
        </w:rPr>
        <w:t>this effort</w:t>
      </w:r>
      <w:r w:rsidR="00376D88" w:rsidRPr="00A11DCD">
        <w:rPr>
          <w:rFonts w:cs="Arial"/>
          <w:bCs/>
          <w:szCs w:val="22"/>
        </w:rPr>
        <w:t>, which has led to two Nobel prizes</w:t>
      </w:r>
      <w:r w:rsidR="00376D88" w:rsidRPr="00A11DCD">
        <w:rPr>
          <w:rFonts w:cs="Arial"/>
          <w:bCs/>
          <w:szCs w:val="22"/>
          <w:vertAlign w:val="superscript"/>
        </w:rPr>
        <w:endnoteReference w:id="9"/>
      </w:r>
      <w:r w:rsidR="00544E70" w:rsidRPr="00A11DCD">
        <w:rPr>
          <w:rFonts w:cs="Arial"/>
          <w:bCs/>
          <w:szCs w:val="22"/>
          <w:vertAlign w:val="superscript"/>
        </w:rPr>
        <w:t>,</w:t>
      </w:r>
      <w:r w:rsidR="00544E70" w:rsidRPr="00A11DCD">
        <w:rPr>
          <w:rFonts w:cs="Arial"/>
          <w:bCs/>
          <w:szCs w:val="22"/>
          <w:vertAlign w:val="superscript"/>
        </w:rPr>
        <w:endnoteReference w:id="10"/>
      </w:r>
      <w:r w:rsidR="00376D88" w:rsidRPr="00A11DCD">
        <w:rPr>
          <w:rFonts w:cs="Arial"/>
          <w:bCs/>
          <w:szCs w:val="22"/>
        </w:rPr>
        <w:t>,</w:t>
      </w:r>
      <w:r w:rsidR="007A0744" w:rsidRPr="00A11DCD">
        <w:rPr>
          <w:rFonts w:cs="Arial"/>
          <w:bCs/>
          <w:szCs w:val="22"/>
        </w:rPr>
        <w:t xml:space="preserve"> has </w:t>
      </w:r>
      <w:r w:rsidR="0066142E" w:rsidRPr="00A11DCD">
        <w:rPr>
          <w:rFonts w:cs="Arial"/>
          <w:bCs/>
          <w:szCs w:val="22"/>
        </w:rPr>
        <w:t>focused</w:t>
      </w:r>
      <w:r w:rsidR="007A0744" w:rsidRPr="00A11DCD">
        <w:rPr>
          <w:rFonts w:cs="Arial"/>
          <w:bCs/>
          <w:szCs w:val="22"/>
        </w:rPr>
        <w:t xml:space="preserve"> on </w:t>
      </w:r>
      <w:r w:rsidR="00F21AE8" w:rsidRPr="00A11DCD">
        <w:rPr>
          <w:rFonts w:cs="Arial"/>
          <w:bCs/>
          <w:szCs w:val="22"/>
        </w:rPr>
        <w:t>methods</w:t>
      </w:r>
      <w:r w:rsidR="007A0744" w:rsidRPr="00A11DCD">
        <w:rPr>
          <w:rFonts w:cs="Arial"/>
          <w:bCs/>
          <w:szCs w:val="22"/>
        </w:rPr>
        <w:t xml:space="preserve"> to selectively make molecules in one mirror image form</w:t>
      </w:r>
      <w:r w:rsidR="000151CA" w:rsidRPr="00A11DCD">
        <w:rPr>
          <w:rFonts w:cs="Arial"/>
          <w:bCs/>
          <w:szCs w:val="22"/>
        </w:rPr>
        <w:t xml:space="preserve"> because</w:t>
      </w:r>
      <w:r w:rsidR="007A0744" w:rsidRPr="00A11DCD">
        <w:rPr>
          <w:rFonts w:cs="Arial"/>
          <w:bCs/>
          <w:szCs w:val="22"/>
        </w:rPr>
        <w:t xml:space="preserve"> </w:t>
      </w:r>
      <w:r w:rsidR="00343DB0" w:rsidRPr="00A11DCD">
        <w:rPr>
          <w:rFonts w:cs="Arial"/>
          <w:bCs/>
          <w:szCs w:val="22"/>
        </w:rPr>
        <w:t>these</w:t>
      </w:r>
      <w:r w:rsidR="008E6B36" w:rsidRPr="00A11DCD">
        <w:rPr>
          <w:rFonts w:cs="Arial"/>
          <w:bCs/>
          <w:szCs w:val="22"/>
        </w:rPr>
        <w:t xml:space="preserve"> </w:t>
      </w:r>
      <w:r w:rsidR="00A73F70" w:rsidRPr="00A11DCD">
        <w:rPr>
          <w:rFonts w:cs="Arial"/>
          <w:bCs/>
          <w:szCs w:val="22"/>
        </w:rPr>
        <w:t>are hard to separate using standard techniques</w:t>
      </w:r>
      <w:r w:rsidR="007A0744" w:rsidRPr="00A11DCD">
        <w:rPr>
          <w:rFonts w:cs="Arial"/>
          <w:bCs/>
          <w:szCs w:val="22"/>
        </w:rPr>
        <w:t>. Although chirality is a whole-molecule property</w:t>
      </w:r>
      <w:r w:rsidR="0074601F" w:rsidRPr="00A11DCD">
        <w:rPr>
          <w:rFonts w:cs="Arial"/>
          <w:bCs/>
          <w:szCs w:val="22"/>
          <w:vertAlign w:val="superscript"/>
        </w:rPr>
        <w:endnoteReference w:id="11"/>
      </w:r>
      <w:r w:rsidR="007A0744" w:rsidRPr="00A11DCD">
        <w:rPr>
          <w:rFonts w:cs="Arial"/>
          <w:bCs/>
          <w:szCs w:val="22"/>
        </w:rPr>
        <w:t>, chemists often trace the appearance of molecular chirality back to one or more rigidly chiral arrangements of atoms in the structure</w:t>
      </w:r>
      <w:r w:rsidR="00DE3E65" w:rsidRPr="00A11DCD">
        <w:rPr>
          <w:rFonts w:cs="Arial"/>
          <w:bCs/>
          <w:szCs w:val="22"/>
        </w:rPr>
        <w:t>. The</w:t>
      </w:r>
      <w:r w:rsidR="007A0744" w:rsidRPr="00A11DCD">
        <w:rPr>
          <w:rFonts w:cs="Arial"/>
          <w:bCs/>
          <w:szCs w:val="22"/>
        </w:rPr>
        <w:t xml:space="preserve"> most famous of </w:t>
      </w:r>
      <w:r w:rsidR="00DE3E65" w:rsidRPr="00A11DCD">
        <w:rPr>
          <w:rFonts w:cs="Arial"/>
          <w:bCs/>
          <w:szCs w:val="22"/>
        </w:rPr>
        <w:t>these</w:t>
      </w:r>
      <w:r w:rsidR="007A0744" w:rsidRPr="00A11DCD">
        <w:rPr>
          <w:rFonts w:cs="Arial"/>
          <w:bCs/>
          <w:szCs w:val="22"/>
        </w:rPr>
        <w:t xml:space="preserve"> is the </w:t>
      </w:r>
      <w:r w:rsidR="00F8446A">
        <w:rPr>
          <w:rFonts w:cs="Arial"/>
          <w:bCs/>
          <w:szCs w:val="22"/>
        </w:rPr>
        <w:t>'</w:t>
      </w:r>
      <w:r w:rsidR="007A0744" w:rsidRPr="00A11DCD">
        <w:rPr>
          <w:rFonts w:cs="Arial"/>
          <w:bCs/>
          <w:szCs w:val="22"/>
        </w:rPr>
        <w:t xml:space="preserve">stereogenic </w:t>
      </w:r>
      <w:proofErr w:type="spellStart"/>
      <w:r w:rsidR="007A0744" w:rsidRPr="00A11DCD">
        <w:rPr>
          <w:rFonts w:cs="Arial"/>
          <w:bCs/>
          <w:szCs w:val="22"/>
        </w:rPr>
        <w:t>cent</w:t>
      </w:r>
      <w:r w:rsidR="00F8446A">
        <w:rPr>
          <w:rFonts w:cs="Arial"/>
          <w:bCs/>
          <w:szCs w:val="22"/>
        </w:rPr>
        <w:t>re</w:t>
      </w:r>
      <w:proofErr w:type="spellEnd"/>
      <w:r w:rsidR="00F8446A">
        <w:rPr>
          <w:rFonts w:cs="Arial"/>
          <w:bCs/>
          <w:szCs w:val="22"/>
        </w:rPr>
        <w:t>'</w:t>
      </w:r>
      <w:r w:rsidR="00F8446A" w:rsidRPr="00A11DCD">
        <w:rPr>
          <w:rFonts w:cs="Arial"/>
          <w:bCs/>
          <w:szCs w:val="22"/>
        </w:rPr>
        <w:t xml:space="preserve"> </w:t>
      </w:r>
      <w:r w:rsidR="007A0744" w:rsidRPr="00A11DCD">
        <w:rPr>
          <w:rFonts w:cs="Arial"/>
          <w:bCs/>
          <w:szCs w:val="22"/>
        </w:rPr>
        <w:t xml:space="preserve">embodied by a tetrahedral carbon atom bonded to four different substituents, although stereogenic planes and axes are also found in </w:t>
      </w:r>
      <w:r w:rsidR="008E6B36" w:rsidRPr="00A11DCD">
        <w:rPr>
          <w:rFonts w:cs="Arial"/>
          <w:bCs/>
          <w:szCs w:val="22"/>
        </w:rPr>
        <w:t xml:space="preserve">important </w:t>
      </w:r>
      <w:r w:rsidR="007A0744" w:rsidRPr="00A11DCD">
        <w:rPr>
          <w:rFonts w:cs="Arial"/>
          <w:bCs/>
          <w:szCs w:val="22"/>
        </w:rPr>
        <w:t xml:space="preserve">natural and </w:t>
      </w:r>
      <w:r w:rsidR="007A0744" w:rsidRPr="00A11DCD">
        <w:rPr>
          <w:rFonts w:cs="Arial"/>
          <w:bCs/>
          <w:szCs w:val="22"/>
        </w:rPr>
        <w:lastRenderedPageBreak/>
        <w:t xml:space="preserve">synthetic structures. </w:t>
      </w:r>
      <w:r w:rsidR="00621ADF" w:rsidRPr="00A11DCD">
        <w:rPr>
          <w:rFonts w:cs="Arial"/>
          <w:bCs/>
          <w:szCs w:val="22"/>
        </w:rPr>
        <w:t>Chiral molecules containing such classical covalent stereogenic units have been studied extensively. Less explored are chiral molecules whose stereochemistry arises absent any covalent stereogenic unit, such as Möbius ladders</w:t>
      </w:r>
      <w:r w:rsidR="00621ADF" w:rsidRPr="00A11DCD">
        <w:rPr>
          <w:rFonts w:cs="Arial"/>
          <w:bCs/>
          <w:szCs w:val="22"/>
          <w:vertAlign w:val="superscript"/>
        </w:rPr>
        <w:endnoteReference w:id="12"/>
      </w:r>
      <w:r w:rsidR="007E375D">
        <w:rPr>
          <w:rFonts w:cs="Arial"/>
          <w:bCs/>
          <w:szCs w:val="22"/>
        </w:rPr>
        <w:t>,</w:t>
      </w:r>
      <w:r w:rsidR="00621ADF" w:rsidRPr="00A11DCD">
        <w:rPr>
          <w:rFonts w:cs="Arial"/>
          <w:bCs/>
          <w:szCs w:val="22"/>
        </w:rPr>
        <w:t xml:space="preserve"> molecular knots</w:t>
      </w:r>
      <w:r w:rsidR="00621ADF" w:rsidRPr="00A11DCD">
        <w:rPr>
          <w:rFonts w:cs="Arial"/>
          <w:bCs/>
          <w:szCs w:val="22"/>
          <w:vertAlign w:val="superscript"/>
        </w:rPr>
        <w:endnoteReference w:id="13"/>
      </w:r>
      <w:r w:rsidR="007E375D">
        <w:rPr>
          <w:rFonts w:cs="Arial"/>
          <w:bCs/>
          <w:szCs w:val="22"/>
        </w:rPr>
        <w:t>,</w:t>
      </w:r>
      <w:r w:rsidR="00621ADF" w:rsidRPr="00A11DCD">
        <w:rPr>
          <w:rFonts w:cs="Arial"/>
          <w:bCs/>
          <w:szCs w:val="22"/>
        </w:rPr>
        <w:t xml:space="preserve"> and mechanically interlocked molecules</w:t>
      </w:r>
      <w:bookmarkStart w:id="2" w:name="_Ref90046833"/>
      <w:r w:rsidR="00DC57CC" w:rsidRPr="00A11DCD">
        <w:rPr>
          <w:rStyle w:val="EndnoteReference"/>
          <w:rFonts w:ascii="Arial" w:hAnsi="Arial"/>
          <w:sz w:val="22"/>
        </w:rPr>
        <w:endnoteReference w:id="14"/>
      </w:r>
      <w:bookmarkEnd w:id="2"/>
      <w:r w:rsidR="00DC57CC" w:rsidRPr="00A11DCD">
        <w:rPr>
          <w:rFonts w:cs="Arial"/>
          <w:bCs/>
          <w:szCs w:val="22"/>
          <w:vertAlign w:val="superscript"/>
        </w:rPr>
        <w:t>,</w:t>
      </w:r>
      <w:bookmarkStart w:id="3" w:name="_Ref90051811"/>
      <w:r w:rsidR="00DC57CC" w:rsidRPr="00A11DCD">
        <w:rPr>
          <w:rFonts w:cs="Arial"/>
          <w:bCs/>
          <w:szCs w:val="22"/>
          <w:vertAlign w:val="superscript"/>
        </w:rPr>
        <w:endnoteReference w:id="15"/>
      </w:r>
      <w:bookmarkEnd w:id="3"/>
      <w:r w:rsidR="00621ADF" w:rsidRPr="00A11DCD">
        <w:rPr>
          <w:rFonts w:cs="Arial"/>
          <w:bCs/>
          <w:szCs w:val="22"/>
        </w:rPr>
        <w:t>.</w:t>
      </w:r>
    </w:p>
    <w:p w14:paraId="25E835F1" w14:textId="08781DC8" w:rsidR="007A0744" w:rsidRPr="00A11DCD" w:rsidRDefault="00BB3EE7" w:rsidP="00370ACB">
      <w:pPr>
        <w:spacing w:after="120" w:line="480" w:lineRule="auto"/>
        <w:ind w:firstLine="720"/>
        <w:rPr>
          <w:rFonts w:cs="Arial"/>
          <w:bCs/>
          <w:szCs w:val="22"/>
        </w:rPr>
      </w:pPr>
      <w:r w:rsidRPr="00A11DCD">
        <w:rPr>
          <w:rFonts w:cs="Arial"/>
          <w:bCs/>
          <w:szCs w:val="22"/>
        </w:rPr>
        <w:t xml:space="preserve">In 1961 </w:t>
      </w:r>
      <w:r w:rsidR="00A92090" w:rsidRPr="00A11DCD">
        <w:rPr>
          <w:rFonts w:cs="Arial"/>
          <w:bCs/>
          <w:szCs w:val="22"/>
        </w:rPr>
        <w:t xml:space="preserve">Wasserman and Frisch identified that </w:t>
      </w:r>
      <w:r w:rsidR="007A0744" w:rsidRPr="00A11DCD">
        <w:rPr>
          <w:rFonts w:cs="Arial"/>
          <w:bCs/>
          <w:szCs w:val="22"/>
        </w:rPr>
        <w:t xml:space="preserve">interlocked molecules </w:t>
      </w:r>
      <w:r w:rsidRPr="00A11DCD">
        <w:rPr>
          <w:rFonts w:cs="Arial"/>
          <w:bCs/>
          <w:szCs w:val="22"/>
        </w:rPr>
        <w:t>called</w:t>
      </w:r>
      <w:r w:rsidR="007A0744" w:rsidRPr="00A11DCD">
        <w:rPr>
          <w:rFonts w:cs="Arial"/>
          <w:bCs/>
          <w:szCs w:val="22"/>
        </w:rPr>
        <w:t xml:space="preserve"> catenanes (two molecular ring</w:t>
      </w:r>
      <w:r w:rsidR="009871BB" w:rsidRPr="00A11DCD">
        <w:rPr>
          <w:rFonts w:cs="Arial"/>
          <w:bCs/>
          <w:szCs w:val="22"/>
        </w:rPr>
        <w:t>s</w:t>
      </w:r>
      <w:r w:rsidR="007A0744" w:rsidRPr="00A11DCD">
        <w:rPr>
          <w:rFonts w:cs="Arial"/>
          <w:bCs/>
          <w:szCs w:val="22"/>
        </w:rPr>
        <w:t xml:space="preserve"> joined like links in a chain) </w:t>
      </w:r>
      <w:r w:rsidR="007057C6" w:rsidRPr="00A11DCD">
        <w:rPr>
          <w:rFonts w:cs="Arial"/>
          <w:bCs/>
          <w:szCs w:val="22"/>
        </w:rPr>
        <w:t xml:space="preserve">can </w:t>
      </w:r>
      <w:r w:rsidR="007A0744" w:rsidRPr="00A11DCD">
        <w:rPr>
          <w:rFonts w:cs="Arial"/>
          <w:bCs/>
          <w:szCs w:val="22"/>
        </w:rPr>
        <w:t xml:space="preserve">display non-classical </w:t>
      </w:r>
      <w:r w:rsidR="00621ADF" w:rsidRPr="00A11DCD">
        <w:rPr>
          <w:rFonts w:cs="Arial"/>
          <w:bCs/>
          <w:szCs w:val="22"/>
        </w:rPr>
        <w:t xml:space="preserve">“mechanical” </w:t>
      </w:r>
      <w:r w:rsidR="007A0744" w:rsidRPr="00A11DCD">
        <w:rPr>
          <w:rFonts w:cs="Arial"/>
          <w:bCs/>
          <w:szCs w:val="22"/>
        </w:rPr>
        <w:t>stereochemistry</w:t>
      </w:r>
      <w:bookmarkStart w:id="4" w:name="_Ref100654383"/>
      <w:r w:rsidR="00C21780" w:rsidRPr="00A11DCD">
        <w:rPr>
          <w:rFonts w:cs="Arial"/>
          <w:bCs/>
          <w:szCs w:val="22"/>
          <w:vertAlign w:val="superscript"/>
        </w:rPr>
        <w:endnoteReference w:id="16"/>
      </w:r>
      <w:bookmarkEnd w:id="4"/>
      <w:r w:rsidRPr="00A11DCD">
        <w:rPr>
          <w:rFonts w:cs="Arial"/>
          <w:bCs/>
          <w:szCs w:val="22"/>
        </w:rPr>
        <w:t>; when</w:t>
      </w:r>
      <w:r w:rsidR="007A0744" w:rsidRPr="00A11DCD">
        <w:rPr>
          <w:rFonts w:cs="Arial"/>
          <w:bCs/>
          <w:szCs w:val="22"/>
        </w:rPr>
        <w:t xml:space="preserve"> </w:t>
      </w:r>
      <w:r w:rsidRPr="00A11DCD">
        <w:rPr>
          <w:rFonts w:cs="Arial"/>
          <w:bCs/>
          <w:szCs w:val="22"/>
        </w:rPr>
        <w:t xml:space="preserve">both </w:t>
      </w:r>
      <w:r w:rsidR="007A0744" w:rsidRPr="00A11DCD">
        <w:rPr>
          <w:rFonts w:cs="Arial"/>
          <w:bCs/>
          <w:szCs w:val="22"/>
        </w:rPr>
        <w:t>rings</w:t>
      </w:r>
      <w:r w:rsidRPr="00A11DCD">
        <w:rPr>
          <w:rFonts w:cs="Arial"/>
          <w:bCs/>
          <w:szCs w:val="22"/>
        </w:rPr>
        <w:t xml:space="preserve"> are </w:t>
      </w:r>
      <w:r w:rsidR="00F8446A">
        <w:rPr>
          <w:rFonts w:cs="Arial"/>
          <w:bCs/>
          <w:szCs w:val="22"/>
        </w:rPr>
        <w:t>'</w:t>
      </w:r>
      <w:r w:rsidRPr="00A11DCD">
        <w:rPr>
          <w:rFonts w:cs="Arial"/>
          <w:bCs/>
          <w:szCs w:val="22"/>
        </w:rPr>
        <w:t>oriented</w:t>
      </w:r>
      <w:r w:rsidR="00F8446A">
        <w:rPr>
          <w:rFonts w:cs="Arial"/>
          <w:bCs/>
          <w:szCs w:val="22"/>
        </w:rPr>
        <w:t>'</w:t>
      </w:r>
      <w:r w:rsidR="00F8446A" w:rsidRPr="00A11DCD">
        <w:rPr>
          <w:rFonts w:cs="Arial"/>
          <w:bCs/>
          <w:szCs w:val="22"/>
        </w:rPr>
        <w:t xml:space="preserve"> </w:t>
      </w:r>
      <w:r w:rsidR="007A0744" w:rsidRPr="00A11DCD">
        <w:rPr>
          <w:rFonts w:cs="Arial"/>
          <w:bCs/>
          <w:szCs w:val="22"/>
        </w:rPr>
        <w:t>(</w:t>
      </w:r>
      <w:proofErr w:type="spellStart"/>
      <w:r w:rsidR="007A0744" w:rsidRPr="00A11DCD">
        <w:rPr>
          <w:rFonts w:cs="Arial"/>
          <w:bCs/>
          <w:szCs w:val="22"/>
        </w:rPr>
        <w:t>C</w:t>
      </w:r>
      <w:r w:rsidR="007A0744" w:rsidRPr="005C629A">
        <w:rPr>
          <w:rFonts w:cs="Arial"/>
          <w:bCs/>
          <w:i/>
          <w:szCs w:val="22"/>
          <w:vertAlign w:val="subscript"/>
        </w:rPr>
        <w:t>n</w:t>
      </w:r>
      <w:r w:rsidR="007A0744" w:rsidRPr="00A11DCD">
        <w:rPr>
          <w:rFonts w:cs="Arial"/>
          <w:bCs/>
          <w:szCs w:val="22"/>
          <w:vertAlign w:val="subscript"/>
        </w:rPr>
        <w:t>h</w:t>
      </w:r>
      <w:proofErr w:type="spellEnd"/>
      <w:r w:rsidR="007A0744" w:rsidRPr="00A11DCD">
        <w:rPr>
          <w:rFonts w:cs="Arial"/>
          <w:bCs/>
          <w:szCs w:val="22"/>
        </w:rPr>
        <w:t xml:space="preserve"> symmetry) </w:t>
      </w:r>
      <w:r w:rsidRPr="00A11DCD">
        <w:rPr>
          <w:rFonts w:cs="Arial"/>
          <w:bCs/>
          <w:szCs w:val="22"/>
        </w:rPr>
        <w:t xml:space="preserve">a catenane </w:t>
      </w:r>
      <w:r w:rsidR="007A0744" w:rsidRPr="00A11DCD">
        <w:rPr>
          <w:rFonts w:cs="Arial"/>
          <w:bCs/>
          <w:szCs w:val="22"/>
        </w:rPr>
        <w:t>exist</w:t>
      </w:r>
      <w:r w:rsidRPr="00A11DCD">
        <w:rPr>
          <w:rFonts w:cs="Arial"/>
          <w:bCs/>
          <w:szCs w:val="22"/>
        </w:rPr>
        <w:t>s</w:t>
      </w:r>
      <w:r w:rsidR="007A0744" w:rsidRPr="00A11DCD">
        <w:rPr>
          <w:rFonts w:cs="Arial"/>
          <w:bCs/>
          <w:szCs w:val="22"/>
        </w:rPr>
        <w:t xml:space="preserve"> in two mirror image forms</w:t>
      </w:r>
      <w:r w:rsidR="00E81ECD" w:rsidRPr="00A11DCD">
        <w:rPr>
          <w:rFonts w:cs="Arial"/>
          <w:bCs/>
          <w:szCs w:val="22"/>
        </w:rPr>
        <w:t xml:space="preserve"> (</w:t>
      </w:r>
      <w:r w:rsidR="00F8446A" w:rsidRPr="00A11DCD">
        <w:rPr>
          <w:rFonts w:cs="Arial"/>
          <w:bCs/>
          <w:szCs w:val="22"/>
        </w:rPr>
        <w:t>Fig</w:t>
      </w:r>
      <w:r w:rsidR="00F8446A">
        <w:rPr>
          <w:rFonts w:cs="Arial"/>
          <w:bCs/>
          <w:szCs w:val="22"/>
        </w:rPr>
        <w:t>.</w:t>
      </w:r>
      <w:r w:rsidR="00F8446A" w:rsidRPr="00A11DCD">
        <w:rPr>
          <w:rFonts w:cs="Arial"/>
          <w:bCs/>
          <w:szCs w:val="22"/>
        </w:rPr>
        <w:t xml:space="preserve"> </w:t>
      </w:r>
      <w:r w:rsidR="00E81ECD" w:rsidRPr="00A11DCD">
        <w:rPr>
          <w:rFonts w:cs="Arial"/>
          <w:bCs/>
          <w:szCs w:val="22"/>
        </w:rPr>
        <w:t>1a)</w:t>
      </w:r>
      <w:r w:rsidR="007A0744" w:rsidRPr="00A11DCD">
        <w:rPr>
          <w:rFonts w:cs="Arial"/>
          <w:bCs/>
          <w:szCs w:val="22"/>
        </w:rPr>
        <w:t>. A decade later</w:t>
      </w:r>
      <w:r w:rsidRPr="00A11DCD">
        <w:rPr>
          <w:rFonts w:cs="Arial"/>
          <w:bCs/>
          <w:szCs w:val="22"/>
        </w:rPr>
        <w:t xml:space="preserve">, </w:t>
      </w:r>
      <w:proofErr w:type="spellStart"/>
      <w:r w:rsidRPr="00A11DCD">
        <w:rPr>
          <w:rFonts w:cs="Arial"/>
          <w:bCs/>
          <w:szCs w:val="22"/>
        </w:rPr>
        <w:t>Schill</w:t>
      </w:r>
      <w:proofErr w:type="spellEnd"/>
      <w:r w:rsidRPr="00A11DCD">
        <w:rPr>
          <w:rFonts w:cs="Arial"/>
          <w:bCs/>
          <w:szCs w:val="22"/>
        </w:rPr>
        <w:t xml:space="preserve"> proposed that rotaxanes </w:t>
      </w:r>
      <w:r w:rsidR="007A0744" w:rsidRPr="00A11DCD">
        <w:rPr>
          <w:rFonts w:cs="Arial"/>
          <w:bCs/>
          <w:szCs w:val="22"/>
        </w:rPr>
        <w:t>composed of an oriented ring encircling an axle whose ends are distinct</w:t>
      </w:r>
      <w:r w:rsidR="00E81ECD" w:rsidRPr="00A11DCD">
        <w:rPr>
          <w:rFonts w:cs="Arial"/>
          <w:bCs/>
          <w:szCs w:val="22"/>
        </w:rPr>
        <w:t xml:space="preserve"> </w:t>
      </w:r>
      <w:r w:rsidR="006B0915" w:rsidRPr="00A11DCD">
        <w:rPr>
          <w:rFonts w:cs="Arial"/>
          <w:bCs/>
          <w:szCs w:val="22"/>
        </w:rPr>
        <w:t xml:space="preserve">are also chiral </w:t>
      </w:r>
      <w:r w:rsidR="00E81ECD" w:rsidRPr="00A11DCD">
        <w:rPr>
          <w:rFonts w:cs="Arial"/>
          <w:bCs/>
          <w:szCs w:val="22"/>
        </w:rPr>
        <w:t>(Fig</w:t>
      </w:r>
      <w:r w:rsidR="0069260F" w:rsidRPr="00A11DCD">
        <w:rPr>
          <w:rFonts w:cs="Arial"/>
          <w:bCs/>
          <w:szCs w:val="22"/>
        </w:rPr>
        <w:t>.</w:t>
      </w:r>
      <w:r w:rsidR="00E81ECD" w:rsidRPr="00A11DCD">
        <w:rPr>
          <w:rFonts w:cs="Arial"/>
          <w:bCs/>
          <w:szCs w:val="22"/>
        </w:rPr>
        <w:t xml:space="preserve"> 1a)</w:t>
      </w:r>
      <w:r w:rsidR="00BB5995" w:rsidRPr="00A11DCD">
        <w:rPr>
          <w:rFonts w:cs="Arial"/>
          <w:bCs/>
          <w:szCs w:val="22"/>
          <w:vertAlign w:val="superscript"/>
        </w:rPr>
        <w:endnoteReference w:id="17"/>
      </w:r>
      <w:r w:rsidR="007A0744" w:rsidRPr="00A11DCD">
        <w:rPr>
          <w:rFonts w:cs="Arial"/>
          <w:bCs/>
          <w:szCs w:val="22"/>
        </w:rPr>
        <w:t xml:space="preserve">. In both cases, the sub-components that make up the interlocked structure are not themselves chiral, </w:t>
      </w:r>
      <w:r w:rsidR="00FD7D6C" w:rsidRPr="00A11DCD">
        <w:rPr>
          <w:rFonts w:cs="Arial"/>
          <w:bCs/>
          <w:szCs w:val="22"/>
        </w:rPr>
        <w:t>which</w:t>
      </w:r>
      <w:r w:rsidR="007A0744" w:rsidRPr="00A11DCD">
        <w:rPr>
          <w:rFonts w:cs="Arial"/>
          <w:bCs/>
          <w:szCs w:val="22"/>
        </w:rPr>
        <w:t xml:space="preserve"> is readily </w:t>
      </w:r>
      <w:r w:rsidR="0069260F" w:rsidRPr="00A11DCD">
        <w:rPr>
          <w:rFonts w:cs="Arial"/>
          <w:bCs/>
          <w:szCs w:val="22"/>
        </w:rPr>
        <w:t>emphasized</w:t>
      </w:r>
      <w:r w:rsidR="007A0744" w:rsidRPr="00A11DCD">
        <w:rPr>
          <w:rFonts w:cs="Arial"/>
          <w:bCs/>
          <w:szCs w:val="22"/>
        </w:rPr>
        <w:t xml:space="preserve"> using </w:t>
      </w:r>
      <w:r w:rsidR="00FD7D6C" w:rsidRPr="00A11DCD">
        <w:rPr>
          <w:rFonts w:cs="Arial"/>
          <w:bCs/>
          <w:szCs w:val="22"/>
        </w:rPr>
        <w:t xml:space="preserve">commonly employed </w:t>
      </w:r>
      <w:r w:rsidR="007A0744" w:rsidRPr="00A11DCD">
        <w:rPr>
          <w:rFonts w:cs="Arial"/>
          <w:bCs/>
          <w:szCs w:val="22"/>
        </w:rPr>
        <w:t>schematic representations that focus on the symmetry properties of the components (Fig</w:t>
      </w:r>
      <w:r w:rsidR="0069260F" w:rsidRPr="00A11DCD">
        <w:rPr>
          <w:rFonts w:cs="Arial"/>
          <w:bCs/>
          <w:szCs w:val="22"/>
        </w:rPr>
        <w:t>.</w:t>
      </w:r>
      <w:r w:rsidR="007A0744" w:rsidRPr="00A11DCD">
        <w:rPr>
          <w:rFonts w:cs="Arial"/>
          <w:bCs/>
          <w:szCs w:val="22"/>
        </w:rPr>
        <w:t xml:space="preserve"> 1a). </w:t>
      </w:r>
      <w:r w:rsidR="00FD7D6C" w:rsidRPr="00A11DCD">
        <w:rPr>
          <w:rFonts w:cs="Arial"/>
          <w:bCs/>
          <w:szCs w:val="22"/>
        </w:rPr>
        <w:t>These</w:t>
      </w:r>
      <w:r w:rsidR="007A0744" w:rsidRPr="00A11DCD">
        <w:rPr>
          <w:rFonts w:cs="Arial"/>
          <w:bCs/>
          <w:szCs w:val="22"/>
        </w:rPr>
        <w:t xml:space="preserve"> representations also make clear that </w:t>
      </w:r>
      <w:r w:rsidR="006B0915" w:rsidRPr="00A11DCD">
        <w:rPr>
          <w:rFonts w:cs="Arial"/>
          <w:bCs/>
          <w:szCs w:val="22"/>
        </w:rPr>
        <w:t xml:space="preserve">such </w:t>
      </w:r>
      <w:r w:rsidR="007A0744" w:rsidRPr="00A11DCD">
        <w:rPr>
          <w:rFonts w:cs="Arial"/>
          <w:bCs/>
          <w:szCs w:val="22"/>
        </w:rPr>
        <w:t>topologically chiral catenane</w:t>
      </w:r>
      <w:r w:rsidR="00694F86" w:rsidRPr="00A11DCD">
        <w:rPr>
          <w:rFonts w:cs="Arial"/>
          <w:bCs/>
          <w:szCs w:val="22"/>
        </w:rPr>
        <w:t>s</w:t>
      </w:r>
      <w:r w:rsidR="007A0744" w:rsidRPr="00A11DCD">
        <w:rPr>
          <w:rFonts w:cs="Arial"/>
          <w:bCs/>
          <w:szCs w:val="22"/>
        </w:rPr>
        <w:t xml:space="preserve"> </w:t>
      </w:r>
      <w:r w:rsidR="00694F86" w:rsidRPr="00A11DCD">
        <w:rPr>
          <w:rFonts w:cs="Arial"/>
          <w:bCs/>
          <w:szCs w:val="22"/>
        </w:rPr>
        <w:t xml:space="preserve">and </w:t>
      </w:r>
      <w:r w:rsidR="007A0744" w:rsidRPr="00A11DCD">
        <w:rPr>
          <w:rFonts w:cs="Arial"/>
          <w:bCs/>
          <w:szCs w:val="22"/>
        </w:rPr>
        <w:t>mechanically planar chiral rotaxane</w:t>
      </w:r>
      <w:r w:rsidR="00694F86" w:rsidRPr="00A11DCD">
        <w:rPr>
          <w:rFonts w:cs="Arial"/>
          <w:bCs/>
          <w:szCs w:val="22"/>
        </w:rPr>
        <w:t>s are related</w:t>
      </w:r>
      <w:r w:rsidR="007A0744" w:rsidRPr="00A11DCD">
        <w:rPr>
          <w:rFonts w:cs="Arial"/>
          <w:bCs/>
          <w:szCs w:val="22"/>
        </w:rPr>
        <w:t xml:space="preserve"> </w:t>
      </w:r>
      <w:r w:rsidR="00C638FE" w:rsidRPr="00A11DCD">
        <w:rPr>
          <w:rFonts w:cs="Arial"/>
          <w:bCs/>
          <w:szCs w:val="22"/>
        </w:rPr>
        <w:t>notionally through</w:t>
      </w:r>
      <w:r w:rsidR="007A0744" w:rsidRPr="00A11DCD">
        <w:rPr>
          <w:rFonts w:cs="Arial"/>
          <w:bCs/>
          <w:szCs w:val="22"/>
        </w:rPr>
        <w:t xml:space="preserve"> ring opening. Although such molecules were initially challenging to make </w:t>
      </w:r>
      <w:r w:rsidR="00B93D74" w:rsidRPr="00A11DCD">
        <w:rPr>
          <w:rFonts w:cs="Arial"/>
          <w:bCs/>
          <w:szCs w:val="22"/>
        </w:rPr>
        <w:t>as single enantiomers</w:t>
      </w:r>
      <w:bookmarkStart w:id="5" w:name="_Ref81907755"/>
      <w:r w:rsidR="005F16FC" w:rsidRPr="00A11DCD">
        <w:rPr>
          <w:rFonts w:cs="Arial"/>
          <w:bCs/>
          <w:szCs w:val="22"/>
          <w:vertAlign w:val="superscript"/>
        </w:rPr>
        <w:endnoteReference w:id="18"/>
      </w:r>
      <w:bookmarkEnd w:id="5"/>
      <w:r w:rsidR="005F16FC" w:rsidRPr="00A11DCD">
        <w:rPr>
          <w:rFonts w:cs="Arial"/>
          <w:bCs/>
          <w:szCs w:val="22"/>
          <w:vertAlign w:val="superscript"/>
        </w:rPr>
        <w:t>,</w:t>
      </w:r>
      <w:r w:rsidR="007A0744" w:rsidRPr="00A11DCD">
        <w:rPr>
          <w:rFonts w:cs="Arial"/>
          <w:bCs/>
          <w:szCs w:val="22"/>
          <w:vertAlign w:val="superscript"/>
        </w:rPr>
        <w:endnoteReference w:id="19"/>
      </w:r>
      <w:r w:rsidR="007A0744" w:rsidRPr="00A11DCD">
        <w:rPr>
          <w:rFonts w:cs="Arial"/>
          <w:bCs/>
          <w:szCs w:val="22"/>
          <w:vertAlign w:val="superscript"/>
        </w:rPr>
        <w:t>,</w:t>
      </w:r>
      <w:r w:rsidR="007A0744" w:rsidRPr="00A11DCD">
        <w:rPr>
          <w:rFonts w:cs="Arial"/>
          <w:bCs/>
          <w:szCs w:val="22"/>
          <w:vertAlign w:val="superscript"/>
        </w:rPr>
        <w:endnoteReference w:id="20"/>
      </w:r>
      <w:r w:rsidR="007A0744" w:rsidRPr="00A11DCD">
        <w:rPr>
          <w:rFonts w:cs="Arial"/>
          <w:bCs/>
          <w:szCs w:val="22"/>
          <w:vertAlign w:val="superscript"/>
        </w:rPr>
        <w:t>,</w:t>
      </w:r>
      <w:r w:rsidR="007A0744" w:rsidRPr="00A11DCD">
        <w:rPr>
          <w:rFonts w:cs="Arial"/>
          <w:bCs/>
          <w:szCs w:val="22"/>
          <w:vertAlign w:val="superscript"/>
        </w:rPr>
        <w:endnoteReference w:id="21"/>
      </w:r>
      <w:r w:rsidR="007A0744" w:rsidRPr="00A11DCD">
        <w:rPr>
          <w:rFonts w:cs="Arial"/>
          <w:bCs/>
          <w:szCs w:val="22"/>
          <w:vertAlign w:val="superscript"/>
        </w:rPr>
        <w:t>,</w:t>
      </w:r>
      <w:r w:rsidR="007A0744" w:rsidRPr="00A11DCD">
        <w:rPr>
          <w:rFonts w:cs="Arial"/>
          <w:bCs/>
          <w:szCs w:val="22"/>
          <w:vertAlign w:val="superscript"/>
        </w:rPr>
        <w:endnoteReference w:id="22"/>
      </w:r>
      <w:r w:rsidR="007A0744" w:rsidRPr="00A11DCD">
        <w:rPr>
          <w:rFonts w:cs="Arial"/>
          <w:bCs/>
          <w:szCs w:val="22"/>
        </w:rPr>
        <w:t xml:space="preserve">, recent efforts have allowed them to be </w:t>
      </w:r>
      <w:r w:rsidR="006B4FF3" w:rsidRPr="00A11DCD">
        <w:rPr>
          <w:rFonts w:cs="Arial"/>
          <w:bCs/>
          <w:szCs w:val="22"/>
        </w:rPr>
        <w:t>accessed</w:t>
      </w:r>
      <w:r w:rsidR="007A0744" w:rsidRPr="00A11DCD">
        <w:rPr>
          <w:rFonts w:cs="Arial"/>
          <w:bCs/>
          <w:szCs w:val="22"/>
        </w:rPr>
        <w:t xml:space="preserve"> </w:t>
      </w:r>
      <w:r w:rsidR="00B93D74" w:rsidRPr="00A11DCD">
        <w:rPr>
          <w:rFonts w:cs="Arial"/>
          <w:bCs/>
          <w:szCs w:val="22"/>
        </w:rPr>
        <w:t xml:space="preserve">in good enantiopurity </w:t>
      </w:r>
      <w:r w:rsidR="007A0744" w:rsidRPr="00A11DCD">
        <w:rPr>
          <w:rFonts w:cs="Arial"/>
          <w:bCs/>
          <w:szCs w:val="22"/>
        </w:rPr>
        <w:t>using standard synthetic approaches</w:t>
      </w:r>
      <w:r w:rsidR="007A0744" w:rsidRPr="00A11DCD">
        <w:rPr>
          <w:rFonts w:cs="Arial"/>
          <w:bCs/>
          <w:szCs w:val="22"/>
          <w:vertAlign w:val="superscript"/>
        </w:rPr>
        <w:endnoteReference w:id="23"/>
      </w:r>
      <w:r w:rsidR="007A0744" w:rsidRPr="00A11DCD">
        <w:rPr>
          <w:rFonts w:cs="Arial"/>
          <w:bCs/>
          <w:szCs w:val="22"/>
          <w:vertAlign w:val="superscript"/>
        </w:rPr>
        <w:t>,</w:t>
      </w:r>
      <w:r w:rsidR="007A0744" w:rsidRPr="00A11DCD">
        <w:rPr>
          <w:rFonts w:cs="Arial"/>
          <w:bCs/>
          <w:szCs w:val="22"/>
          <w:vertAlign w:val="superscript"/>
        </w:rPr>
        <w:endnoteReference w:id="24"/>
      </w:r>
      <w:r w:rsidR="007A0744" w:rsidRPr="00A11DCD">
        <w:rPr>
          <w:rFonts w:cs="Arial"/>
          <w:bCs/>
          <w:szCs w:val="22"/>
          <w:vertAlign w:val="superscript"/>
        </w:rPr>
        <w:t>,</w:t>
      </w:r>
      <w:r w:rsidR="007A0744" w:rsidRPr="00A11DCD">
        <w:rPr>
          <w:rFonts w:cs="Arial"/>
          <w:bCs/>
          <w:szCs w:val="22"/>
          <w:vertAlign w:val="superscript"/>
        </w:rPr>
        <w:endnoteReference w:id="25"/>
      </w:r>
      <w:r w:rsidR="007A0744" w:rsidRPr="00A11DCD">
        <w:rPr>
          <w:rFonts w:cs="Arial"/>
          <w:bCs/>
          <w:szCs w:val="22"/>
          <w:vertAlign w:val="superscript"/>
        </w:rPr>
        <w:t>,</w:t>
      </w:r>
      <w:r w:rsidR="007A0744" w:rsidRPr="00A11DCD">
        <w:rPr>
          <w:rFonts w:cs="Arial"/>
          <w:bCs/>
          <w:szCs w:val="22"/>
          <w:vertAlign w:val="superscript"/>
        </w:rPr>
        <w:endnoteReference w:id="26"/>
      </w:r>
      <w:r w:rsidR="007A0744" w:rsidRPr="00A11DCD">
        <w:rPr>
          <w:rFonts w:cs="Arial"/>
          <w:bCs/>
          <w:szCs w:val="22"/>
          <w:vertAlign w:val="superscript"/>
        </w:rPr>
        <w:t>,</w:t>
      </w:r>
      <w:r w:rsidR="007A0744" w:rsidRPr="00A11DCD">
        <w:rPr>
          <w:rFonts w:cs="Arial"/>
          <w:bCs/>
          <w:szCs w:val="22"/>
          <w:vertAlign w:val="superscript"/>
        </w:rPr>
        <w:endnoteReference w:id="27"/>
      </w:r>
      <w:r w:rsidR="007A0744" w:rsidRPr="00A11DCD">
        <w:rPr>
          <w:rFonts w:cs="Arial"/>
          <w:bCs/>
          <w:szCs w:val="22"/>
          <w:vertAlign w:val="superscript"/>
        </w:rPr>
        <w:t>,</w:t>
      </w:r>
      <w:r w:rsidR="007A0744" w:rsidRPr="00A11DCD">
        <w:rPr>
          <w:rFonts w:cs="Arial"/>
          <w:bCs/>
          <w:szCs w:val="22"/>
          <w:vertAlign w:val="superscript"/>
        </w:rPr>
        <w:endnoteReference w:id="28"/>
      </w:r>
      <w:r w:rsidR="007A0744" w:rsidRPr="00A11DCD">
        <w:rPr>
          <w:rFonts w:cs="Arial"/>
          <w:bCs/>
          <w:szCs w:val="22"/>
        </w:rPr>
        <w:t>.</w:t>
      </w:r>
    </w:p>
    <w:p w14:paraId="56A76E87" w14:textId="6ABD4C99" w:rsidR="00B060ED" w:rsidRDefault="00D03DC8" w:rsidP="00370ACB">
      <w:pPr>
        <w:spacing w:after="120" w:line="480" w:lineRule="auto"/>
        <w:ind w:firstLine="720"/>
        <w:rPr>
          <w:rFonts w:cs="Arial"/>
          <w:bCs/>
          <w:szCs w:val="22"/>
        </w:rPr>
      </w:pPr>
      <w:r>
        <w:rPr>
          <w:rFonts w:cs="Arial"/>
          <w:bCs/>
          <w:szCs w:val="22"/>
        </w:rPr>
        <w:t>Wasserman and Frisch also hinted</w:t>
      </w:r>
      <w:r w:rsidR="00111AB9">
        <w:rPr>
          <w:rFonts w:cs="Arial"/>
          <w:bCs/>
          <w:szCs w:val="22"/>
        </w:rPr>
        <w:t xml:space="preserve"> at</w:t>
      </w:r>
      <w:r w:rsidR="002C064F">
        <w:rPr>
          <w:rFonts w:cs="Arial"/>
          <w:bCs/>
          <w:szCs w:val="22"/>
        </w:rPr>
        <w:t>, but did not explicitly depict,</w:t>
      </w:r>
      <w:r>
        <w:rPr>
          <w:rFonts w:cs="Arial"/>
          <w:bCs/>
          <w:szCs w:val="22"/>
        </w:rPr>
        <w:t xml:space="preserve"> a second form of </w:t>
      </w:r>
      <w:r w:rsidR="008837CA">
        <w:rPr>
          <w:rFonts w:cs="Arial"/>
          <w:bCs/>
          <w:szCs w:val="22"/>
        </w:rPr>
        <w:t xml:space="preserve">catenane stereochemistry that arises when </w:t>
      </w:r>
      <w:r w:rsidR="008837CA" w:rsidRPr="00A11DCD">
        <w:rPr>
          <w:rFonts w:cs="Arial"/>
          <w:bCs/>
          <w:szCs w:val="22"/>
        </w:rPr>
        <w:t>achiral rings with distinct faces</w:t>
      </w:r>
      <w:r w:rsidR="008837CA">
        <w:rPr>
          <w:rFonts w:cs="Arial"/>
          <w:bCs/>
          <w:szCs w:val="22"/>
        </w:rPr>
        <w:t xml:space="preserve"> </w:t>
      </w:r>
      <w:r w:rsidR="00111AB9" w:rsidRPr="00A11DCD">
        <w:rPr>
          <w:rFonts w:cs="Arial"/>
          <w:bCs/>
          <w:szCs w:val="22"/>
        </w:rPr>
        <w:t>(</w:t>
      </w:r>
      <w:proofErr w:type="spellStart"/>
      <w:r w:rsidR="00111AB9" w:rsidRPr="00A11DCD">
        <w:rPr>
          <w:rFonts w:cs="Arial"/>
          <w:bCs/>
          <w:szCs w:val="22"/>
        </w:rPr>
        <w:t>C</w:t>
      </w:r>
      <w:r w:rsidR="00111AB9" w:rsidRPr="005C629A">
        <w:rPr>
          <w:rFonts w:cs="Arial"/>
          <w:bCs/>
          <w:i/>
          <w:szCs w:val="22"/>
          <w:vertAlign w:val="subscript"/>
        </w:rPr>
        <w:t>n</w:t>
      </w:r>
      <w:r w:rsidR="00111AB9" w:rsidRPr="00A11DCD">
        <w:rPr>
          <w:rFonts w:cs="Arial"/>
          <w:bCs/>
          <w:szCs w:val="22"/>
          <w:vertAlign w:val="subscript"/>
        </w:rPr>
        <w:t>v</w:t>
      </w:r>
      <w:proofErr w:type="spellEnd"/>
      <w:r w:rsidR="00111AB9" w:rsidRPr="00A11DCD">
        <w:rPr>
          <w:rFonts w:cs="Arial"/>
          <w:bCs/>
          <w:szCs w:val="22"/>
        </w:rPr>
        <w:t xml:space="preserve">) </w:t>
      </w:r>
      <w:r w:rsidR="008837CA">
        <w:rPr>
          <w:rFonts w:cs="Arial"/>
          <w:bCs/>
          <w:szCs w:val="22"/>
        </w:rPr>
        <w:t>are combined</w:t>
      </w:r>
      <w:r w:rsidR="008837CA" w:rsidRPr="00A11DCD">
        <w:rPr>
          <w:rFonts w:cs="Arial"/>
          <w:bCs/>
          <w:szCs w:val="22"/>
        </w:rPr>
        <w:t xml:space="preserve"> (Fig. 1b)</w:t>
      </w:r>
      <w:r w:rsidR="008837CA" w:rsidRPr="008837CA">
        <w:rPr>
          <w:rFonts w:cs="Arial"/>
          <w:bCs/>
          <w:szCs w:val="22"/>
          <w:vertAlign w:val="superscript"/>
        </w:rPr>
        <w:fldChar w:fldCharType="begin"/>
      </w:r>
      <w:r w:rsidR="008837CA" w:rsidRPr="008837CA">
        <w:rPr>
          <w:rFonts w:cs="Arial"/>
          <w:bCs/>
          <w:szCs w:val="22"/>
          <w:vertAlign w:val="superscript"/>
        </w:rPr>
        <w:instrText xml:space="preserve"> NOTEREF _Ref100654383 \h </w:instrText>
      </w:r>
      <w:r w:rsidR="008837CA">
        <w:rPr>
          <w:rFonts w:cs="Arial"/>
          <w:bCs/>
          <w:szCs w:val="22"/>
          <w:vertAlign w:val="superscript"/>
        </w:rPr>
        <w:instrText xml:space="preserve"> \* MERGEFORMAT </w:instrText>
      </w:r>
      <w:r w:rsidR="008837CA" w:rsidRPr="008837CA">
        <w:rPr>
          <w:rFonts w:cs="Arial"/>
          <w:bCs/>
          <w:szCs w:val="22"/>
          <w:vertAlign w:val="superscript"/>
        </w:rPr>
      </w:r>
      <w:r w:rsidR="008837CA" w:rsidRPr="008837CA">
        <w:rPr>
          <w:rFonts w:cs="Arial"/>
          <w:bCs/>
          <w:szCs w:val="22"/>
          <w:vertAlign w:val="superscript"/>
        </w:rPr>
        <w:fldChar w:fldCharType="separate"/>
      </w:r>
      <w:r w:rsidR="008837CA" w:rsidRPr="008837CA">
        <w:rPr>
          <w:rFonts w:cs="Arial"/>
          <w:bCs/>
          <w:szCs w:val="22"/>
          <w:vertAlign w:val="superscript"/>
        </w:rPr>
        <w:t>15</w:t>
      </w:r>
      <w:r w:rsidR="008837CA" w:rsidRPr="008837CA">
        <w:rPr>
          <w:rFonts w:cs="Arial"/>
          <w:bCs/>
          <w:szCs w:val="22"/>
          <w:vertAlign w:val="superscript"/>
        </w:rPr>
        <w:fldChar w:fldCharType="end"/>
      </w:r>
      <w:r w:rsidR="008837CA">
        <w:rPr>
          <w:rFonts w:cs="Arial"/>
          <w:bCs/>
          <w:szCs w:val="22"/>
        </w:rPr>
        <w:t>.</w:t>
      </w:r>
      <w:r w:rsidR="0044667C">
        <w:rPr>
          <w:rFonts w:cs="Arial"/>
          <w:bCs/>
          <w:szCs w:val="22"/>
        </w:rPr>
        <w:t xml:space="preserve"> </w:t>
      </w:r>
      <w:r w:rsidR="007A0744" w:rsidRPr="00A11DCD">
        <w:rPr>
          <w:rFonts w:cs="Arial"/>
          <w:bCs/>
          <w:szCs w:val="22"/>
        </w:rPr>
        <w:t>In 2002</w:t>
      </w:r>
      <w:r w:rsidR="00EE58F0" w:rsidRPr="00A11DCD">
        <w:rPr>
          <w:rFonts w:cs="Arial"/>
          <w:bCs/>
          <w:szCs w:val="22"/>
        </w:rPr>
        <w:t>,</w:t>
      </w:r>
      <w:r w:rsidR="007A0744" w:rsidRPr="00A11DCD">
        <w:rPr>
          <w:rFonts w:cs="Arial"/>
          <w:bCs/>
          <w:szCs w:val="22"/>
        </w:rPr>
        <w:t xml:space="preserve"> </w:t>
      </w:r>
      <w:proofErr w:type="spellStart"/>
      <w:r w:rsidR="007A0744" w:rsidRPr="00A11DCD">
        <w:rPr>
          <w:rFonts w:cs="Arial"/>
          <w:bCs/>
          <w:szCs w:val="22"/>
        </w:rPr>
        <w:t>Puddephat</w:t>
      </w:r>
      <w:proofErr w:type="spellEnd"/>
      <w:r w:rsidR="007A0744" w:rsidRPr="00A11DCD">
        <w:rPr>
          <w:rFonts w:cs="Arial"/>
          <w:bCs/>
          <w:szCs w:val="22"/>
        </w:rPr>
        <w:t xml:space="preserve"> and co-workers </w:t>
      </w:r>
      <w:r w:rsidR="00DF4BFE" w:rsidRPr="00A11DCD">
        <w:rPr>
          <w:rFonts w:cs="Arial"/>
          <w:bCs/>
          <w:szCs w:val="22"/>
        </w:rPr>
        <w:t xml:space="preserve">reported </w:t>
      </w:r>
      <w:r w:rsidR="0044667C">
        <w:rPr>
          <w:rFonts w:cs="Arial"/>
          <w:bCs/>
          <w:szCs w:val="22"/>
        </w:rPr>
        <w:t xml:space="preserve">the </w:t>
      </w:r>
      <w:r w:rsidR="00F27180">
        <w:rPr>
          <w:rFonts w:cs="Arial"/>
          <w:bCs/>
          <w:szCs w:val="22"/>
        </w:rPr>
        <w:t xml:space="preserve">first </w:t>
      </w:r>
      <w:r w:rsidR="0044667C">
        <w:rPr>
          <w:rFonts w:cs="Arial"/>
          <w:bCs/>
          <w:szCs w:val="22"/>
        </w:rPr>
        <w:t xml:space="preserve">synthesis of </w:t>
      </w:r>
      <w:r w:rsidR="00F27180">
        <w:rPr>
          <w:rFonts w:cs="Arial"/>
          <w:bCs/>
          <w:szCs w:val="22"/>
        </w:rPr>
        <w:t xml:space="preserve">such </w:t>
      </w:r>
      <w:r w:rsidR="00853879" w:rsidRPr="00A11DCD">
        <w:rPr>
          <w:rFonts w:cs="Arial"/>
          <w:bCs/>
          <w:szCs w:val="22"/>
        </w:rPr>
        <w:t xml:space="preserve">a </w:t>
      </w:r>
      <w:r w:rsidR="00F27180">
        <w:rPr>
          <w:rFonts w:cs="Arial"/>
          <w:bCs/>
          <w:szCs w:val="22"/>
        </w:rPr>
        <w:t xml:space="preserve">mechanically axially </w:t>
      </w:r>
      <w:r w:rsidR="00DF4BFE" w:rsidRPr="00A11DCD">
        <w:rPr>
          <w:rFonts w:cs="Arial"/>
          <w:bCs/>
          <w:szCs w:val="22"/>
        </w:rPr>
        <w:t>chiral</w:t>
      </w:r>
      <w:r w:rsidR="007A0744" w:rsidRPr="00A11DCD">
        <w:rPr>
          <w:rFonts w:cs="Arial"/>
          <w:bCs/>
          <w:szCs w:val="22"/>
        </w:rPr>
        <w:t xml:space="preserve"> catenane</w:t>
      </w:r>
      <w:bookmarkStart w:id="6" w:name="_Ref90046694"/>
      <w:r w:rsidR="00111AB9">
        <w:rPr>
          <w:rFonts w:cs="Arial"/>
          <w:bCs/>
          <w:szCs w:val="22"/>
        </w:rPr>
        <w:t xml:space="preserve"> as a racemate</w:t>
      </w:r>
      <w:r w:rsidR="00BF729E" w:rsidRPr="00A11DCD">
        <w:rPr>
          <w:rFonts w:cs="Arial"/>
          <w:bCs/>
          <w:szCs w:val="22"/>
          <w:vertAlign w:val="superscript"/>
        </w:rPr>
        <w:endnoteReference w:id="29"/>
      </w:r>
      <w:bookmarkEnd w:id="6"/>
      <w:r w:rsidR="003C50EE">
        <w:rPr>
          <w:rFonts w:cs="Arial"/>
          <w:bCs/>
          <w:szCs w:val="22"/>
          <w:vertAlign w:val="superscript"/>
        </w:rPr>
        <w:t>,</w:t>
      </w:r>
      <w:r w:rsidR="00AF6A07" w:rsidRPr="00370ACB">
        <w:rPr>
          <w:vertAlign w:val="superscript"/>
        </w:rPr>
        <w:endnoteReference w:id="30"/>
      </w:r>
      <w:r w:rsidR="002C064F">
        <w:rPr>
          <w:rFonts w:cs="Arial"/>
          <w:bCs/>
          <w:szCs w:val="22"/>
        </w:rPr>
        <w:t>. However,</w:t>
      </w:r>
      <w:r w:rsidR="007A0744" w:rsidRPr="00A11DCD">
        <w:rPr>
          <w:rFonts w:cs="Arial"/>
          <w:bCs/>
          <w:szCs w:val="22"/>
        </w:rPr>
        <w:t xml:space="preserve"> no enantiopure examples where the mechanical bond provides the sole source of stereochemistry</w:t>
      </w:r>
      <w:r w:rsidR="00F53BE3" w:rsidRPr="00A11DCD">
        <w:rPr>
          <w:rFonts w:cs="Arial"/>
          <w:bCs/>
          <w:szCs w:val="22"/>
        </w:rPr>
        <w:t xml:space="preserve"> have been disclosed to date</w:t>
      </w:r>
      <w:bookmarkStart w:id="7" w:name="_Ref87275820"/>
      <w:r w:rsidR="007A0744" w:rsidRPr="00A11DCD">
        <w:rPr>
          <w:rFonts w:cs="Arial"/>
          <w:bCs/>
          <w:szCs w:val="22"/>
          <w:vertAlign w:val="superscript"/>
        </w:rPr>
        <w:endnoteReference w:id="31"/>
      </w:r>
      <w:bookmarkEnd w:id="7"/>
      <w:r w:rsidR="00DF4BFE" w:rsidRPr="00A11DCD">
        <w:rPr>
          <w:rFonts w:cs="Arial"/>
          <w:bCs/>
          <w:szCs w:val="22"/>
        </w:rPr>
        <w:t>.</w:t>
      </w:r>
      <w:r w:rsidR="007A0744" w:rsidRPr="00A11DCD">
        <w:rPr>
          <w:rFonts w:cs="Arial"/>
          <w:bCs/>
          <w:szCs w:val="22"/>
        </w:rPr>
        <w:t xml:space="preserve"> </w:t>
      </w:r>
      <w:r w:rsidR="00A40B76" w:rsidRPr="00A11DCD">
        <w:rPr>
          <w:rFonts w:cs="Arial"/>
          <w:bCs/>
          <w:szCs w:val="22"/>
        </w:rPr>
        <w:t xml:space="preserve">To address this challenge, we re-examined the mechanical axial stereogenic unit of catenanes with a focus on not just the symmetry of the components but how this arises structurally. </w:t>
      </w:r>
      <w:r w:rsidR="007C4E99" w:rsidRPr="00A11DCD">
        <w:rPr>
          <w:rFonts w:cs="Arial"/>
          <w:bCs/>
          <w:szCs w:val="22"/>
        </w:rPr>
        <w:t xml:space="preserve">This led us not only to an efficient approach to enantiopure </w:t>
      </w:r>
      <w:r w:rsidR="007C4E99">
        <w:rPr>
          <w:rFonts w:cs="Arial"/>
          <w:bCs/>
          <w:szCs w:val="22"/>
        </w:rPr>
        <w:t xml:space="preserve">mechanically </w:t>
      </w:r>
      <w:r w:rsidR="007C4E99" w:rsidRPr="00A11DCD">
        <w:rPr>
          <w:rFonts w:cs="Arial"/>
          <w:bCs/>
          <w:szCs w:val="22"/>
        </w:rPr>
        <w:t xml:space="preserve">axially chiral catenanes but also to recognize and synthesize a noncanonical class of mechanically </w:t>
      </w:r>
      <w:r w:rsidR="007C4E99">
        <w:rPr>
          <w:rFonts w:cs="Arial"/>
          <w:bCs/>
          <w:szCs w:val="22"/>
        </w:rPr>
        <w:t xml:space="preserve">chiral </w:t>
      </w:r>
      <w:r w:rsidR="007C4E99" w:rsidRPr="00A11DCD">
        <w:rPr>
          <w:rFonts w:cs="Arial"/>
          <w:bCs/>
          <w:szCs w:val="22"/>
        </w:rPr>
        <w:t>rotaxanes that had previously been overlooked</w:t>
      </w:r>
      <w:r w:rsidR="007C4E99">
        <w:rPr>
          <w:rFonts w:cs="Arial"/>
          <w:bCs/>
          <w:szCs w:val="22"/>
        </w:rPr>
        <w:t>.</w:t>
      </w:r>
    </w:p>
    <w:p w14:paraId="2BC6F593" w14:textId="77777777" w:rsidR="00577FFC" w:rsidRDefault="00577FFC">
      <w:pPr>
        <w:spacing w:after="160" w:line="259" w:lineRule="auto"/>
        <w:jc w:val="left"/>
        <w:rPr>
          <w:rFonts w:cs="Arial"/>
          <w:b/>
          <w:bCs/>
          <w:sz w:val="20"/>
        </w:rPr>
      </w:pPr>
      <w:r>
        <w:rPr>
          <w:b/>
          <w:bCs/>
        </w:rPr>
        <w:br w:type="page"/>
      </w:r>
    </w:p>
    <w:p w14:paraId="040B7407" w14:textId="69C7A9B8" w:rsidR="006D6192" w:rsidRDefault="006D6192" w:rsidP="006D6192">
      <w:pPr>
        <w:pStyle w:val="NoTemplateFigHeading"/>
      </w:pPr>
      <w:r>
        <w:rPr>
          <w:b/>
          <w:bCs/>
        </w:rPr>
        <w:lastRenderedPageBreak/>
        <w:t>Figure 1.</w:t>
      </w:r>
      <w:r>
        <w:t xml:space="preserve"> Schematic depictions of the mechanical stereogenic units of chiral catenanes and rotaxanes (</w:t>
      </w:r>
      <w:proofErr w:type="spellStart"/>
      <w:r>
        <w:t>stereolabels</w:t>
      </w:r>
      <w:proofErr w:type="spellEnd"/>
      <w:r>
        <w:t xml:space="preserve"> are arbitrary). (a) The mechanical topological and planar chiral stereogenic units of catenanes and rotaxanes are related by a notional ring opening process. (b) The minimal schematic representation of a mechanically axially chiral catenane suggests that there is no analogous axially chiral rotaxane. (c) Semi-structural representations of axially chiral catenanes reveal that such molecules can display co-conformational covalent chirality alongside the fixed mechanical stereogenic unit. (d) The semi-structural representation reveals that rotaxanes display a related but previously unrecognized form of stereochemistry.</w:t>
      </w:r>
    </w:p>
    <w:p w14:paraId="6F165D51" w14:textId="77777777" w:rsidR="00577FFC" w:rsidRDefault="00577FFC" w:rsidP="00DC557B">
      <w:pPr>
        <w:pStyle w:val="NoTemplateFigHeading"/>
        <w:rPr>
          <w:b/>
          <w:bCs/>
        </w:rPr>
      </w:pPr>
      <w:r>
        <w:rPr>
          <w:b/>
          <w:bCs/>
          <w:noProof/>
        </w:rPr>
        <w:drawing>
          <wp:inline distT="0" distB="0" distL="0" distR="0" wp14:anchorId="1C8500FF" wp14:editId="4622A2C3">
            <wp:extent cx="6263640" cy="36804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3640" cy="3680460"/>
                    </a:xfrm>
                    <a:prstGeom prst="rect">
                      <a:avLst/>
                    </a:prstGeom>
                    <a:noFill/>
                    <a:ln>
                      <a:noFill/>
                    </a:ln>
                  </pic:spPr>
                </pic:pic>
              </a:graphicData>
            </a:graphic>
          </wp:inline>
        </w:drawing>
      </w:r>
    </w:p>
    <w:p w14:paraId="4358315C" w14:textId="3F405573" w:rsidR="005F02CD" w:rsidRPr="00A11DCD" w:rsidRDefault="005F02CD" w:rsidP="002E2320">
      <w:pPr>
        <w:spacing w:after="0"/>
        <w:jc w:val="center"/>
      </w:pPr>
    </w:p>
    <w:p w14:paraId="27D4F2BF" w14:textId="402ADBCA" w:rsidR="000F1593" w:rsidRPr="00A11DCD" w:rsidRDefault="000F1593" w:rsidP="000F1593">
      <w:pPr>
        <w:pStyle w:val="NoTemplateHeading1"/>
      </w:pPr>
      <w:r w:rsidRPr="00A11DCD">
        <w:t>Results and discussion</w:t>
      </w:r>
    </w:p>
    <w:p w14:paraId="22BB2337" w14:textId="4E939379" w:rsidR="00191531" w:rsidRPr="00A11DCD" w:rsidRDefault="00DF0EDB" w:rsidP="00327773">
      <w:pPr>
        <w:pStyle w:val="NoTemplateMainText"/>
        <w:ind w:firstLine="0"/>
      </w:pPr>
      <w:r w:rsidRPr="00A11DCD">
        <w:rPr>
          <w:b/>
          <w:bCs/>
        </w:rPr>
        <w:t>Insights from s</w:t>
      </w:r>
      <w:r w:rsidR="009D0C51" w:rsidRPr="00A11DCD">
        <w:rPr>
          <w:b/>
          <w:bCs/>
        </w:rPr>
        <w:t>emi</w:t>
      </w:r>
      <w:r w:rsidRPr="00A11DCD">
        <w:rPr>
          <w:b/>
          <w:bCs/>
        </w:rPr>
        <w:t>-</w:t>
      </w:r>
      <w:r w:rsidR="009D0C51" w:rsidRPr="00A11DCD">
        <w:rPr>
          <w:b/>
          <w:bCs/>
        </w:rPr>
        <w:t>structural</w:t>
      </w:r>
      <w:r w:rsidR="00C352E1" w:rsidRPr="00A11DCD">
        <w:rPr>
          <w:b/>
          <w:bCs/>
        </w:rPr>
        <w:t xml:space="preserve"> </w:t>
      </w:r>
      <w:r w:rsidR="009E17A0" w:rsidRPr="00A11DCD">
        <w:rPr>
          <w:b/>
          <w:bCs/>
        </w:rPr>
        <w:t>schematic representations</w:t>
      </w:r>
      <w:r w:rsidR="00846801" w:rsidRPr="00A11DCD">
        <w:rPr>
          <w:b/>
          <w:bCs/>
        </w:rPr>
        <w:t>.</w:t>
      </w:r>
      <w:r w:rsidR="00846801" w:rsidRPr="00A11DCD">
        <w:t xml:space="preserve"> </w:t>
      </w:r>
      <w:r w:rsidR="00C03518" w:rsidRPr="00A11DCD">
        <w:t>T</w:t>
      </w:r>
      <w:r w:rsidR="008F0349" w:rsidRPr="00A11DCD">
        <w:t xml:space="preserve">he </w:t>
      </w:r>
      <w:r w:rsidR="00A10AF7" w:rsidRPr="00A11DCD">
        <w:t>minimal</w:t>
      </w:r>
      <w:r w:rsidR="00C03518" w:rsidRPr="00A11DCD">
        <w:t xml:space="preserve"> </w:t>
      </w:r>
      <w:r w:rsidR="009E17A0" w:rsidRPr="00A11DCD">
        <w:t>schematic</w:t>
      </w:r>
      <w:r w:rsidR="008F0349" w:rsidRPr="00A11DCD">
        <w:t xml:space="preserve"> representation</w:t>
      </w:r>
      <w:r w:rsidR="00C03518" w:rsidRPr="00A11DCD">
        <w:t xml:space="preserve"> of a mechanically axially chiral catenane</w:t>
      </w:r>
      <w:r w:rsidR="008F0349" w:rsidRPr="00A11DCD">
        <w:t xml:space="preserve"> </w:t>
      </w:r>
      <w:r w:rsidR="00A10AF7" w:rsidRPr="00A11DCD">
        <w:t>(</w:t>
      </w:r>
      <w:r w:rsidR="00E53FF2" w:rsidRPr="00A11DCD">
        <w:t>Fig.</w:t>
      </w:r>
      <w:r w:rsidR="00A10AF7" w:rsidRPr="00A11DCD">
        <w:t xml:space="preserve"> 1b) </w:t>
      </w:r>
      <w:r w:rsidR="008F0349" w:rsidRPr="00A11DCD">
        <w:t xml:space="preserve">does not specify how the facial dissymmetry of the macrocycles arises. </w:t>
      </w:r>
      <w:r w:rsidR="003F196E" w:rsidRPr="00A11DCD">
        <w:t>The most obvious way this can be achieved</w:t>
      </w:r>
      <w:r w:rsidR="009E17A0" w:rsidRPr="00A11DCD">
        <w:t xml:space="preserve"> chemically</w:t>
      </w:r>
      <w:r w:rsidR="00E57416" w:rsidRPr="00A11DCD">
        <w:t xml:space="preserve"> </w:t>
      </w:r>
      <w:r w:rsidR="003F196E" w:rsidRPr="00A11DCD">
        <w:t>is by</w:t>
      </w:r>
      <w:r w:rsidR="00197F2B" w:rsidRPr="00A11DCD">
        <w:t xml:space="preserve"> including</w:t>
      </w:r>
      <w:r w:rsidR="008F0349" w:rsidRPr="00A11DCD">
        <w:t xml:space="preserve"> </w:t>
      </w:r>
      <w:r w:rsidR="00850B01" w:rsidRPr="00A11DCD">
        <w:t xml:space="preserve">a </w:t>
      </w:r>
      <w:r w:rsidR="00627A51" w:rsidRPr="00A11DCD">
        <w:t>prochiral unit in both rings</w:t>
      </w:r>
      <w:r w:rsidR="00365E8E" w:rsidRPr="00A11DCD">
        <w:t xml:space="preserve"> (</w:t>
      </w:r>
      <w:r w:rsidR="000F5FF6" w:rsidRPr="00A11DCD">
        <w:rPr>
          <w:b/>
          <w:bCs/>
        </w:rPr>
        <w:t>I</w:t>
      </w:r>
      <w:r w:rsidR="000F5FF6" w:rsidRPr="00A11DCD">
        <w:t xml:space="preserve">, </w:t>
      </w:r>
      <w:r w:rsidR="00E53FF2" w:rsidRPr="00A11DCD">
        <w:t>Fig.</w:t>
      </w:r>
      <w:r w:rsidR="00365E8E" w:rsidRPr="00A11DCD">
        <w:t xml:space="preserve"> </w:t>
      </w:r>
      <w:r w:rsidR="00487905" w:rsidRPr="00A11DCD">
        <w:t>1c</w:t>
      </w:r>
      <w:r w:rsidR="00365E8E" w:rsidRPr="00A11DCD">
        <w:t>)</w:t>
      </w:r>
      <w:r w:rsidR="00A11DCD" w:rsidRPr="00A11DCD">
        <w:rPr>
          <w:vertAlign w:val="superscript"/>
        </w:rPr>
        <w:fldChar w:fldCharType="begin"/>
      </w:r>
      <w:r w:rsidR="00A11DCD" w:rsidRPr="00A11DCD">
        <w:rPr>
          <w:vertAlign w:val="superscript"/>
        </w:rPr>
        <w:instrText xml:space="preserve"> NOTEREF _Ref90046694 \h  \* MERGEFORMAT </w:instrText>
      </w:r>
      <w:r w:rsidR="00A11DCD" w:rsidRPr="00A11DCD">
        <w:rPr>
          <w:vertAlign w:val="superscript"/>
        </w:rPr>
      </w:r>
      <w:r w:rsidR="00A11DCD" w:rsidRPr="00A11DCD">
        <w:rPr>
          <w:vertAlign w:val="superscript"/>
        </w:rPr>
        <w:fldChar w:fldCharType="separate"/>
      </w:r>
      <w:r w:rsidR="009A0403">
        <w:rPr>
          <w:vertAlign w:val="superscript"/>
        </w:rPr>
        <w:t>28</w:t>
      </w:r>
      <w:r w:rsidR="00A11DCD" w:rsidRPr="00A11DCD">
        <w:rPr>
          <w:vertAlign w:val="superscript"/>
        </w:rPr>
        <w:fldChar w:fldCharType="end"/>
      </w:r>
      <w:r w:rsidR="00771751" w:rsidRPr="00A11DCD">
        <w:rPr>
          <w:vertAlign w:val="superscript"/>
        </w:rPr>
        <w:t>,</w:t>
      </w:r>
      <w:r w:rsidR="00771751" w:rsidRPr="00A11DCD">
        <w:rPr>
          <w:vertAlign w:val="superscript"/>
        </w:rPr>
        <w:fldChar w:fldCharType="begin"/>
      </w:r>
      <w:r w:rsidR="00771751" w:rsidRPr="00A11DCD">
        <w:rPr>
          <w:vertAlign w:val="superscript"/>
        </w:rPr>
        <w:instrText xml:space="preserve"> NOTEREF _Ref87275820 \h </w:instrText>
      </w:r>
      <w:r w:rsidR="00A11DCD">
        <w:rPr>
          <w:vertAlign w:val="superscript"/>
        </w:rPr>
        <w:instrText xml:space="preserve"> \* MERGEFORMAT </w:instrText>
      </w:r>
      <w:r w:rsidR="00771751" w:rsidRPr="00A11DCD">
        <w:rPr>
          <w:vertAlign w:val="superscript"/>
        </w:rPr>
      </w:r>
      <w:r w:rsidR="00771751" w:rsidRPr="00A11DCD">
        <w:rPr>
          <w:vertAlign w:val="superscript"/>
        </w:rPr>
        <w:fldChar w:fldCharType="separate"/>
      </w:r>
      <w:r w:rsidR="009A0403">
        <w:rPr>
          <w:vertAlign w:val="superscript"/>
        </w:rPr>
        <w:t>30</w:t>
      </w:r>
      <w:r w:rsidR="00771751" w:rsidRPr="00A11DCD">
        <w:rPr>
          <w:vertAlign w:val="superscript"/>
        </w:rPr>
        <w:fldChar w:fldCharType="end"/>
      </w:r>
      <w:r w:rsidR="00AC7951" w:rsidRPr="00A11DCD">
        <w:rPr>
          <w:vertAlign w:val="superscript"/>
        </w:rPr>
        <w:t>,</w:t>
      </w:r>
      <w:r w:rsidR="008F0349" w:rsidRPr="00A11DCD">
        <w:t xml:space="preserve">. </w:t>
      </w:r>
      <w:r w:rsidR="008D44D2" w:rsidRPr="00A11DCD">
        <w:t>Strikingly</w:t>
      </w:r>
      <w:r w:rsidR="00260EFC" w:rsidRPr="00A11DCD">
        <w:t xml:space="preserve">, whereas the minimal </w:t>
      </w:r>
      <w:r w:rsidR="007827E4" w:rsidRPr="00A11DCD">
        <w:t>schematic</w:t>
      </w:r>
      <w:r w:rsidR="00260EFC" w:rsidRPr="00A11DCD">
        <w:t xml:space="preserve"> representation of a mechanically axially chiral catenane suggests there can be no rotaxane equivalent of this stereogenic unit (Fig. 1b), </w:t>
      </w:r>
      <w:r w:rsidR="0070271A" w:rsidRPr="00A11DCD">
        <w:t>the</w:t>
      </w:r>
      <w:r w:rsidR="00260EFC" w:rsidRPr="00A11DCD">
        <w:t xml:space="preserve"> semi-structural representation</w:t>
      </w:r>
      <w:r w:rsidR="0070271A" w:rsidRPr="00A11DCD">
        <w:t xml:space="preserve"> reveals</w:t>
      </w:r>
      <w:r w:rsidR="00260EFC" w:rsidRPr="00A11DCD">
        <w:t xml:space="preserve"> that the notional ring opening process </w:t>
      </w:r>
      <w:r w:rsidR="0075299A" w:rsidRPr="00A11DCD">
        <w:t>gives rise to</w:t>
      </w:r>
      <w:r w:rsidR="00260EFC" w:rsidRPr="00A11DCD">
        <w:t xml:space="preserve"> a chiral </w:t>
      </w:r>
      <w:r w:rsidR="0075299A" w:rsidRPr="00A11DCD">
        <w:t>rotaxane</w:t>
      </w:r>
      <w:r w:rsidR="00260EFC" w:rsidRPr="00A11DCD">
        <w:t xml:space="preserve"> (Fig. </w:t>
      </w:r>
      <w:r w:rsidR="009E47DC" w:rsidRPr="00A11DCD">
        <w:t>1d</w:t>
      </w:r>
      <w:r w:rsidR="00260EFC" w:rsidRPr="00A11DCD">
        <w:t>); even when the ring encircles the prochiral unit of the axle</w:t>
      </w:r>
      <w:r w:rsidR="00BC29E5" w:rsidRPr="00A11DCD">
        <w:t xml:space="preserve"> (</w:t>
      </w:r>
      <w:r w:rsidR="00BC29E5" w:rsidRPr="00A11DCD">
        <w:rPr>
          <w:b/>
          <w:bCs/>
        </w:rPr>
        <w:t>IV</w:t>
      </w:r>
      <w:r w:rsidR="00BC29E5" w:rsidRPr="00A11DCD">
        <w:t>)</w:t>
      </w:r>
      <w:r w:rsidR="00260EFC" w:rsidRPr="00A11DCD">
        <w:t xml:space="preserve"> there is no representation that is achiral. Thus, </w:t>
      </w:r>
      <w:r w:rsidR="00886DBD" w:rsidRPr="00A11DCD">
        <w:t>we see</w:t>
      </w:r>
      <w:r w:rsidR="00260EFC" w:rsidRPr="00A11DCD">
        <w:t xml:space="preserve"> that rotaxanes can display </w:t>
      </w:r>
      <w:r w:rsidR="009D26A9" w:rsidRPr="00A11DCD">
        <w:t xml:space="preserve">a previously unremarked </w:t>
      </w:r>
      <w:r w:rsidR="007E15EB" w:rsidRPr="00A11DCD">
        <w:t xml:space="preserve">upon </w:t>
      </w:r>
      <w:r w:rsidR="00A56A64" w:rsidRPr="00A11DCD">
        <w:t xml:space="preserve">noncanonical </w:t>
      </w:r>
      <w:r w:rsidR="00260EFC" w:rsidRPr="00A11DCD">
        <w:t>mechanical</w:t>
      </w:r>
      <w:r w:rsidR="009D26A9" w:rsidRPr="00A11DCD">
        <w:t>ly</w:t>
      </w:r>
      <w:r w:rsidR="00260EFC" w:rsidRPr="00A11DCD">
        <w:t xml:space="preserve"> axial</w:t>
      </w:r>
      <w:r w:rsidR="009D26A9" w:rsidRPr="00A11DCD">
        <w:t>ly chiral</w:t>
      </w:r>
      <w:r w:rsidR="00260EFC" w:rsidRPr="00A11DCD">
        <w:t xml:space="preserve"> stereo</w:t>
      </w:r>
      <w:r w:rsidR="009D26A9" w:rsidRPr="00A11DCD">
        <w:t>genic unit</w:t>
      </w:r>
      <w:r w:rsidR="008C0143" w:rsidRPr="00A11DCD">
        <w:t>.</w:t>
      </w:r>
    </w:p>
    <w:p w14:paraId="5BE74AEE" w14:textId="35F66FCA" w:rsidR="009D77E5" w:rsidRPr="00A11DCD" w:rsidRDefault="00FC602D" w:rsidP="0062526F">
      <w:pPr>
        <w:pStyle w:val="NoTemplateMainText"/>
      </w:pPr>
      <w:r w:rsidRPr="00A11DCD">
        <w:t>Building on th</w:t>
      </w:r>
      <w:r w:rsidR="008811EC" w:rsidRPr="00A11DCD">
        <w:t xml:space="preserve">e semi-structural analysis above, </w:t>
      </w:r>
      <w:r w:rsidR="00123029" w:rsidRPr="00A11DCD">
        <w:t>we return</w:t>
      </w:r>
      <w:r w:rsidR="00C8050D" w:rsidRPr="00A11DCD">
        <w:t>ed</w:t>
      </w:r>
      <w:r w:rsidR="00123029" w:rsidRPr="00A11DCD">
        <w:t xml:space="preserve"> to the general symmetry properties of </w:t>
      </w:r>
      <w:r w:rsidR="00E544ED" w:rsidRPr="00A11DCD">
        <w:t>mechanically axially chiral molecules</w:t>
      </w:r>
      <w:r w:rsidR="00F3221C" w:rsidRPr="00A11DCD">
        <w:t xml:space="preserve">. </w:t>
      </w:r>
      <w:r w:rsidR="00C866AC" w:rsidRPr="00A11DCD">
        <w:t xml:space="preserve">Whereas </w:t>
      </w:r>
      <w:r w:rsidR="00296E98" w:rsidRPr="00A11DCD">
        <w:t xml:space="preserve">the components of catenane </w:t>
      </w:r>
      <w:r w:rsidR="00296E98" w:rsidRPr="00A11DCD">
        <w:rPr>
          <w:b/>
          <w:bCs/>
        </w:rPr>
        <w:t>I</w:t>
      </w:r>
      <w:r w:rsidR="00435D0A" w:rsidRPr="00A11DCD">
        <w:rPr>
          <w:b/>
          <w:bCs/>
        </w:rPr>
        <w:t>I</w:t>
      </w:r>
      <w:r w:rsidR="00296E98" w:rsidRPr="00A11DCD">
        <w:t xml:space="preserve"> and rotaxane </w:t>
      </w:r>
      <w:r w:rsidR="00275E3C" w:rsidRPr="00A11DCD">
        <w:rPr>
          <w:b/>
          <w:bCs/>
        </w:rPr>
        <w:t>IV</w:t>
      </w:r>
      <w:r w:rsidR="00275E3C" w:rsidRPr="00A11DCD">
        <w:t xml:space="preserve"> </w:t>
      </w:r>
      <w:r w:rsidR="00114C70" w:rsidRPr="00A11DCD">
        <w:t>have</w:t>
      </w:r>
      <w:r w:rsidR="00275E3C" w:rsidRPr="00A11DCD">
        <w:t xml:space="preserve"> C</w:t>
      </w:r>
      <w:r w:rsidR="00275E3C" w:rsidRPr="00A11DCD">
        <w:softHyphen/>
      </w:r>
      <w:r w:rsidR="00275E3C" w:rsidRPr="00A11DCD">
        <w:rPr>
          <w:vertAlign w:val="subscript"/>
        </w:rPr>
        <w:t>1v</w:t>
      </w:r>
      <w:r w:rsidR="00275E3C" w:rsidRPr="00A11DCD">
        <w:t xml:space="preserve"> </w:t>
      </w:r>
      <w:r w:rsidR="00435D0A" w:rsidRPr="00A11DCD">
        <w:t xml:space="preserve">point group </w:t>
      </w:r>
      <w:r w:rsidR="00275E3C" w:rsidRPr="00A11DCD">
        <w:t>symmetry</w:t>
      </w:r>
      <w:r w:rsidR="008E0C9C" w:rsidRPr="00A11DCD">
        <w:t>, more generally</w:t>
      </w:r>
      <w:r w:rsidR="00B74D63" w:rsidRPr="00A11DCD">
        <w:t xml:space="preserve"> mechanical axial stereochemistry will arise in catenanes whose rings have </w:t>
      </w:r>
      <w:proofErr w:type="spellStart"/>
      <w:r w:rsidR="00B74D63" w:rsidRPr="00A11DCD">
        <w:t>C</w:t>
      </w:r>
      <w:r w:rsidR="00B74D63" w:rsidRPr="006C1B5D">
        <w:rPr>
          <w:i/>
          <w:vertAlign w:val="subscript"/>
        </w:rPr>
        <w:t>n</w:t>
      </w:r>
      <w:r w:rsidR="00B74D63" w:rsidRPr="00A11DCD">
        <w:rPr>
          <w:vertAlign w:val="subscript"/>
        </w:rPr>
        <w:t>v</w:t>
      </w:r>
      <w:proofErr w:type="spellEnd"/>
      <w:r w:rsidR="00B74D63" w:rsidRPr="00A11DCD">
        <w:t xml:space="preserve"> symmetry and rotaxanes</w:t>
      </w:r>
      <w:r w:rsidR="00D84166" w:rsidRPr="00A11DCD">
        <w:t xml:space="preserve"> whose axle has C</w:t>
      </w:r>
      <w:r w:rsidR="00D84166" w:rsidRPr="00A11DCD">
        <w:rPr>
          <w:vertAlign w:val="subscript"/>
        </w:rPr>
        <w:t>1v</w:t>
      </w:r>
      <w:r w:rsidR="00D84166" w:rsidRPr="00A11DCD">
        <w:t xml:space="preserve"> symmetry</w:t>
      </w:r>
      <w:r w:rsidR="00E05C4A">
        <w:t xml:space="preserve"> </w:t>
      </w:r>
      <w:r w:rsidR="00E05C4A" w:rsidRPr="00A11DCD">
        <w:t>(</w:t>
      </w:r>
      <w:r w:rsidR="00E05C4A">
        <w:t xml:space="preserve">for an extended </w:t>
      </w:r>
      <w:r w:rsidR="00E05C4A">
        <w:lastRenderedPageBreak/>
        <w:t xml:space="preserve">discussion see </w:t>
      </w:r>
      <w:r w:rsidR="00E05C4A" w:rsidRPr="00A11DCD">
        <w:t xml:space="preserve">Supplementary section </w:t>
      </w:r>
      <w:r w:rsidR="00E343B7" w:rsidRPr="00A11DCD">
        <w:t>1</w:t>
      </w:r>
      <w:r w:rsidR="00E343B7">
        <w:t>3</w:t>
      </w:r>
      <w:r w:rsidR="00E05C4A" w:rsidRPr="00A11DCD">
        <w:t>.1)</w:t>
      </w:r>
      <w:r w:rsidR="00114C70" w:rsidRPr="00A11DCD">
        <w:t>. Such structures</w:t>
      </w:r>
      <w:r w:rsidR="00BB69C2" w:rsidRPr="00A11DCD">
        <w:t xml:space="preserve"> </w:t>
      </w:r>
      <w:r w:rsidR="00712B78" w:rsidRPr="00A11DCD">
        <w:t xml:space="preserve">will </w:t>
      </w:r>
      <w:r w:rsidR="00C510AC" w:rsidRPr="00A11DCD">
        <w:t>tend to exhibit prochirality</w:t>
      </w:r>
      <w:r w:rsidR="002023B1" w:rsidRPr="00A11DCD">
        <w:rPr>
          <w:rStyle w:val="EndnoteReference"/>
          <w:rFonts w:ascii="Arial" w:hAnsi="Arial"/>
          <w:sz w:val="22"/>
        </w:rPr>
        <w:endnoteReference w:id="32"/>
      </w:r>
      <w:r w:rsidR="00C510AC" w:rsidRPr="00A11DCD">
        <w:t xml:space="preserve"> – any single structural modification that </w:t>
      </w:r>
      <w:r w:rsidR="000258EC" w:rsidRPr="00A11DCD">
        <w:t>does not lie on a symmetry plane will result in a chiral object</w:t>
      </w:r>
      <w:r w:rsidR="002023B1" w:rsidRPr="00A11DCD">
        <w:t xml:space="preserve"> </w:t>
      </w:r>
      <w:r w:rsidR="00327773" w:rsidRPr="00A11DCD">
        <w:t>(</w:t>
      </w:r>
      <w:r w:rsidR="00BE2361">
        <w:t xml:space="preserve">for an extended discussion see </w:t>
      </w:r>
      <w:r w:rsidR="00327773" w:rsidRPr="00A11DCD">
        <w:t xml:space="preserve">Supplementary section </w:t>
      </w:r>
      <w:r w:rsidR="00E343B7" w:rsidRPr="00A11DCD">
        <w:t>1</w:t>
      </w:r>
      <w:r w:rsidR="00E343B7">
        <w:t>3</w:t>
      </w:r>
      <w:r w:rsidR="00327773" w:rsidRPr="00A11DCD">
        <w:t xml:space="preserve">.2). As a </w:t>
      </w:r>
      <w:r w:rsidR="00114C70" w:rsidRPr="00A11DCD">
        <w:t xml:space="preserve">direct </w:t>
      </w:r>
      <w:r w:rsidR="00327773" w:rsidRPr="00A11DCD">
        <w:t xml:space="preserve">consequence, although </w:t>
      </w:r>
      <w:r w:rsidR="00E12814" w:rsidRPr="00A11DCD">
        <w:t xml:space="preserve">mechanically axially chiral molecules </w:t>
      </w:r>
      <w:r w:rsidR="00492444" w:rsidRPr="00A11DCD">
        <w:t>can always, in theory, adopt</w:t>
      </w:r>
      <w:r w:rsidR="00327773" w:rsidRPr="00A11DCD">
        <w:t xml:space="preserve"> a highly symmetrical </w:t>
      </w:r>
      <w:r w:rsidR="00F855F4" w:rsidRPr="00A11DCD">
        <w:t>co-conformation</w:t>
      </w:r>
      <w:r w:rsidR="00327773" w:rsidRPr="00A11DCD">
        <w:t xml:space="preserve"> (</w:t>
      </w:r>
      <w:proofErr w:type="gramStart"/>
      <w:r w:rsidR="00F855F4" w:rsidRPr="00A11DCD">
        <w:t>e.g.</w:t>
      </w:r>
      <w:proofErr w:type="gramEnd"/>
      <w:r w:rsidR="00F855F4" w:rsidRPr="00A11DCD">
        <w:t xml:space="preserve"> </w:t>
      </w:r>
      <w:r w:rsidR="00327773" w:rsidRPr="00A11DCD">
        <w:rPr>
          <w:b/>
          <w:bCs/>
        </w:rPr>
        <w:t>I</w:t>
      </w:r>
      <w:r w:rsidR="00F855F4" w:rsidRPr="00A11DCD">
        <w:rPr>
          <w:b/>
          <w:bCs/>
        </w:rPr>
        <w:t xml:space="preserve">I </w:t>
      </w:r>
      <w:r w:rsidR="00F855F4" w:rsidRPr="00A11DCD">
        <w:t xml:space="preserve">and </w:t>
      </w:r>
      <w:r w:rsidR="00F855F4" w:rsidRPr="00A11DCD">
        <w:rPr>
          <w:b/>
          <w:bCs/>
        </w:rPr>
        <w:t>IV</w:t>
      </w:r>
      <w:r w:rsidR="00327773" w:rsidRPr="00A11DCD">
        <w:t>) that only expresses mechanical axial stereochemistry, if either ring is displaced from this arrangement the resulting structure contains both a mechanically axially chiral stereogenic unit and a co-conformational covalent stereogenic unit (</w:t>
      </w:r>
      <w:r w:rsidR="00492444" w:rsidRPr="00A11DCD">
        <w:t>e.g.</w:t>
      </w:r>
      <w:r w:rsidR="00F8446A">
        <w:t>,</w:t>
      </w:r>
      <w:r w:rsidR="00492444" w:rsidRPr="00A11DCD">
        <w:t xml:space="preserve"> </w:t>
      </w:r>
      <w:r w:rsidR="00327773" w:rsidRPr="00A11DCD">
        <w:rPr>
          <w:b/>
          <w:bCs/>
        </w:rPr>
        <w:t>III</w:t>
      </w:r>
      <w:r w:rsidR="00492444" w:rsidRPr="00A11DCD">
        <w:t xml:space="preserve"> and </w:t>
      </w:r>
      <w:r w:rsidR="00492444" w:rsidRPr="00A11DCD">
        <w:rPr>
          <w:b/>
          <w:bCs/>
        </w:rPr>
        <w:t>V</w:t>
      </w:r>
      <w:r w:rsidR="00327773" w:rsidRPr="00A11DCD">
        <w:t>). These lower symmetry arrangements exist as pairs of co-conformational diastereomers</w:t>
      </w:r>
      <w:r w:rsidR="00492444" w:rsidRPr="00A11DCD">
        <w:t xml:space="preserve"> and are an inherent property of mechanically axial chiral molecules</w:t>
      </w:r>
      <w:r w:rsidR="00327773" w:rsidRPr="00A11DCD">
        <w:t xml:space="preserve"> (</w:t>
      </w:r>
      <w:r w:rsidR="00A4555D">
        <w:t xml:space="preserve">for an extended discussion see </w:t>
      </w:r>
      <w:r w:rsidR="00327773" w:rsidRPr="00A11DCD">
        <w:t>Supplementary section 1</w:t>
      </w:r>
      <w:r w:rsidR="00E402C9">
        <w:t>3</w:t>
      </w:r>
      <w:r w:rsidR="00327773" w:rsidRPr="00A11DCD">
        <w:t>.3).</w:t>
      </w:r>
      <w:r w:rsidR="00B74D63" w:rsidRPr="00A11DCD">
        <w:t xml:space="preserve"> </w:t>
      </w:r>
      <w:r w:rsidR="00C866AC" w:rsidRPr="00A11DCD">
        <w:t xml:space="preserve"> </w:t>
      </w:r>
    </w:p>
    <w:p w14:paraId="3B9513A4" w14:textId="1F167CC9" w:rsidR="007C01B4" w:rsidRDefault="00B335D6" w:rsidP="007C01B4">
      <w:pPr>
        <w:pStyle w:val="NoTemplateMainText"/>
        <w:ind w:firstLine="0"/>
      </w:pPr>
      <w:r w:rsidRPr="00A11DCD">
        <w:rPr>
          <w:b/>
          <w:bCs/>
        </w:rPr>
        <w:t>A</w:t>
      </w:r>
      <w:r w:rsidR="00D6085A" w:rsidRPr="00A11DCD">
        <w:rPr>
          <w:b/>
          <w:bCs/>
        </w:rPr>
        <w:t xml:space="preserve"> co-conformational auxiliary approach to</w:t>
      </w:r>
      <w:r w:rsidR="00252C0F" w:rsidRPr="00A11DCD">
        <w:rPr>
          <w:b/>
          <w:bCs/>
        </w:rPr>
        <w:t xml:space="preserve"> axially chiral catenane</w:t>
      </w:r>
      <w:r w:rsidR="00D6085A" w:rsidRPr="00A11DCD">
        <w:rPr>
          <w:b/>
          <w:bCs/>
        </w:rPr>
        <w:t>s</w:t>
      </w:r>
      <w:r w:rsidR="00252C0F" w:rsidRPr="00A11DCD">
        <w:rPr>
          <w:b/>
          <w:bCs/>
        </w:rPr>
        <w:t xml:space="preserve"> and rotaxane</w:t>
      </w:r>
      <w:r w:rsidR="00D6085A" w:rsidRPr="00A11DCD">
        <w:rPr>
          <w:b/>
          <w:bCs/>
        </w:rPr>
        <w:t>s</w:t>
      </w:r>
      <w:r w:rsidR="000914CA" w:rsidRPr="00A11DCD">
        <w:rPr>
          <w:b/>
          <w:bCs/>
        </w:rPr>
        <w:t>.</w:t>
      </w:r>
      <w:r w:rsidR="007C01B4" w:rsidRPr="00A11DCD">
        <w:rPr>
          <w:b/>
          <w:bCs/>
        </w:rPr>
        <w:t xml:space="preserve"> </w:t>
      </w:r>
      <w:r w:rsidR="007C01B4" w:rsidRPr="00A11DCD">
        <w:t xml:space="preserve">Having recognized that co-conformational diastereoisomerism is a fundamental property of mechanically axially chiral molecules, </w:t>
      </w:r>
      <w:r w:rsidR="0027528E" w:rsidRPr="00A11DCD">
        <w:t>it became obvious</w:t>
      </w:r>
      <w:r w:rsidR="007C01B4" w:rsidRPr="00A11DCD">
        <w:t xml:space="preserve"> that a co-conformational stereogenic unit could act as a temporary source of chiral information in their synthesis (Fig. 2). By forming a mechanical bond selectively on one side of a prochiral unit (route </w:t>
      </w:r>
      <w:r w:rsidR="00D30682">
        <w:t>A</w:t>
      </w:r>
      <w:r w:rsidR="007C01B4" w:rsidRPr="00A11DCD">
        <w:t xml:space="preserve"> and designing the structure such that co-conformational exchange is initially blocked, the mechanically axially chiral catenane product would be formed as a pair of separable diastereomers with identical co-conformational configuration (here </w:t>
      </w:r>
      <w:proofErr w:type="spellStart"/>
      <w:r w:rsidR="007C01B4" w:rsidRPr="00A11DCD">
        <w:rPr>
          <w:i/>
          <w:iCs/>
        </w:rPr>
        <w:t>R</w:t>
      </w:r>
      <w:r w:rsidR="007C01B4" w:rsidRPr="00A11DCD">
        <w:rPr>
          <w:vertAlign w:val="subscript"/>
        </w:rPr>
        <w:t>co</w:t>
      </w:r>
      <w:proofErr w:type="spellEnd"/>
      <w:r w:rsidR="007C01B4" w:rsidRPr="00A11DCD">
        <w:rPr>
          <w:vertAlign w:val="subscript"/>
        </w:rPr>
        <w:t>-c</w:t>
      </w:r>
      <w:r w:rsidR="007C01B4" w:rsidRPr="00A11DCD">
        <w:t>) but opposite mechanical axial configuration (</w:t>
      </w:r>
      <w:proofErr w:type="spellStart"/>
      <w:r w:rsidR="007C01B4" w:rsidRPr="00A11DCD">
        <w:rPr>
          <w:i/>
          <w:iCs/>
        </w:rPr>
        <w:t>R</w:t>
      </w:r>
      <w:r w:rsidR="007C01B4" w:rsidRPr="00A11DCD">
        <w:rPr>
          <w:vertAlign w:val="subscript"/>
        </w:rPr>
        <w:t>ma</w:t>
      </w:r>
      <w:proofErr w:type="spellEnd"/>
      <w:r w:rsidR="007C01B4" w:rsidRPr="00A11DCD">
        <w:t xml:space="preserve"> or </w:t>
      </w:r>
      <w:proofErr w:type="spellStart"/>
      <w:r w:rsidR="007C01B4" w:rsidRPr="00A11DCD">
        <w:rPr>
          <w:i/>
          <w:iCs/>
        </w:rPr>
        <w:t>S</w:t>
      </w:r>
      <w:r w:rsidR="007C01B4" w:rsidRPr="00A11DCD">
        <w:rPr>
          <w:vertAlign w:val="subscript"/>
        </w:rPr>
        <w:t>ma</w:t>
      </w:r>
      <w:proofErr w:type="spellEnd"/>
      <w:r w:rsidR="007C01B4" w:rsidRPr="00A11DCD">
        <w:t xml:space="preserve">). Alternatively, installing a facially symmetrical ring on one side of a prochiral center would give rise to a single co-conformational enantiomer (route </w:t>
      </w:r>
      <w:r w:rsidR="00D30682">
        <w:t>B</w:t>
      </w:r>
      <w:r w:rsidR="007C01B4" w:rsidRPr="00A11DCD">
        <w:t xml:space="preserve">). Subsequent </w:t>
      </w:r>
      <w:proofErr w:type="spellStart"/>
      <w:r w:rsidR="00C10882" w:rsidRPr="00A11DCD">
        <w:t>desymmetri</w:t>
      </w:r>
      <w:r w:rsidR="00C10882">
        <w:t>z</w:t>
      </w:r>
      <w:r w:rsidR="00C10882" w:rsidRPr="00A11DCD">
        <w:t>ation</w:t>
      </w:r>
      <w:proofErr w:type="spellEnd"/>
      <w:r w:rsidR="00C10882" w:rsidRPr="00A11DCD">
        <w:t xml:space="preserve"> </w:t>
      </w:r>
      <w:r w:rsidR="007C01B4" w:rsidRPr="00A11DCD">
        <w:t>of the faces of the ring would give rise to the same pair of diastereomers. Removal of the groups preventing co-conformational motion would give mechanically axially chiral enantiomers in which the mechanical bond provides the sole fixed source of stereochemistry. An advantage of this co-conformational chiral auxiliary approaches is that co-conformational enantiomers can be made using chiral pool starting materials by choosing where the mechanical bond is formed</w:t>
      </w:r>
      <w:r w:rsidR="007C01B4" w:rsidRPr="00A11DCD">
        <w:rPr>
          <w:vertAlign w:val="superscript"/>
        </w:rPr>
        <w:fldChar w:fldCharType="begin"/>
      </w:r>
      <w:r w:rsidR="007C01B4" w:rsidRPr="00A11DCD">
        <w:rPr>
          <w:vertAlign w:val="superscript"/>
        </w:rPr>
        <w:instrText xml:space="preserve"> NOTEREF _Ref81907755 \h  \* MERGEFORMAT </w:instrText>
      </w:r>
      <w:r w:rsidR="007C01B4" w:rsidRPr="00A11DCD">
        <w:rPr>
          <w:vertAlign w:val="superscript"/>
        </w:rPr>
      </w:r>
      <w:r w:rsidR="007C01B4" w:rsidRPr="00A11DCD">
        <w:rPr>
          <w:vertAlign w:val="superscript"/>
        </w:rPr>
        <w:fldChar w:fldCharType="separate"/>
      </w:r>
      <w:r w:rsidR="009A0403">
        <w:rPr>
          <w:vertAlign w:val="superscript"/>
        </w:rPr>
        <w:t>17</w:t>
      </w:r>
      <w:r w:rsidR="007C01B4" w:rsidRPr="00A11DCD">
        <w:rPr>
          <w:vertAlign w:val="superscript"/>
        </w:rPr>
        <w:fldChar w:fldCharType="end"/>
      </w:r>
      <w:bookmarkStart w:id="8" w:name="_Ref76473639"/>
      <w:r w:rsidR="007C01B4" w:rsidRPr="00A11DCD">
        <w:rPr>
          <w:vertAlign w:val="superscript"/>
        </w:rPr>
        <w:t>,</w:t>
      </w:r>
      <w:r w:rsidR="007C01B4" w:rsidRPr="00A11DCD">
        <w:rPr>
          <w:vertAlign w:val="superscript"/>
        </w:rPr>
        <w:endnoteReference w:id="33"/>
      </w:r>
      <w:bookmarkEnd w:id="8"/>
      <w:r w:rsidR="007C01B4" w:rsidRPr="00A11DCD">
        <w:rPr>
          <w:vertAlign w:val="superscript"/>
        </w:rPr>
        <w:t>,</w:t>
      </w:r>
      <w:bookmarkStart w:id="9" w:name="_Ref76473641"/>
      <w:r w:rsidR="007C01B4" w:rsidRPr="00A11DCD">
        <w:rPr>
          <w:vertAlign w:val="superscript"/>
        </w:rPr>
        <w:endnoteReference w:id="34"/>
      </w:r>
      <w:bookmarkEnd w:id="9"/>
      <w:r w:rsidR="007C01B4" w:rsidRPr="00A11DCD">
        <w:rPr>
          <w:vertAlign w:val="superscript"/>
        </w:rPr>
        <w:t>,</w:t>
      </w:r>
      <w:bookmarkStart w:id="10" w:name="_Ref76475149"/>
      <w:r w:rsidR="007C01B4" w:rsidRPr="00A11DCD">
        <w:rPr>
          <w:vertAlign w:val="superscript"/>
        </w:rPr>
        <w:endnoteReference w:id="35"/>
      </w:r>
      <w:bookmarkEnd w:id="10"/>
      <w:r w:rsidR="007C01B4" w:rsidRPr="00A11DCD">
        <w:t>.</w:t>
      </w:r>
    </w:p>
    <w:p w14:paraId="193DE0D4" w14:textId="77777777" w:rsidR="007F7EED" w:rsidRDefault="007F7EED">
      <w:pPr>
        <w:spacing w:after="160" w:line="259" w:lineRule="auto"/>
        <w:jc w:val="left"/>
        <w:rPr>
          <w:rFonts w:cs="Arial"/>
          <w:b/>
          <w:bCs/>
          <w:sz w:val="20"/>
        </w:rPr>
      </w:pPr>
      <w:r>
        <w:rPr>
          <w:b/>
          <w:bCs/>
        </w:rPr>
        <w:br w:type="page"/>
      </w:r>
    </w:p>
    <w:p w14:paraId="3E6CD9AF" w14:textId="587846B8" w:rsidR="007F7EED" w:rsidRDefault="007F7EED" w:rsidP="007F7EED">
      <w:pPr>
        <w:pStyle w:val="NoTemplateFigHeading"/>
      </w:pPr>
      <w:r>
        <w:rPr>
          <w:b/>
          <w:bCs/>
        </w:rPr>
        <w:lastRenderedPageBreak/>
        <w:t>Figure 2.</w:t>
      </w:r>
      <w:r>
        <w:t xml:space="preserve"> Proposed co-conformational auxiliary approach for the synthesis of axially chiral catenanes. If the prochiral substituents and blocking groups are large enough to prevent co-conformational isomerism, the diastereomers can be separated and then converted into enantiomeric axially chiral catenanes.</w:t>
      </w:r>
    </w:p>
    <w:p w14:paraId="3CBDEF48" w14:textId="27892517" w:rsidR="007F7EED" w:rsidRPr="00A11DCD" w:rsidRDefault="007F7EED" w:rsidP="007C01B4">
      <w:pPr>
        <w:pStyle w:val="NoTemplateMainText"/>
        <w:ind w:firstLine="0"/>
      </w:pPr>
      <w:r>
        <w:rPr>
          <w:noProof/>
        </w:rPr>
        <w:drawing>
          <wp:inline distT="0" distB="0" distL="0" distR="0" wp14:anchorId="5FF88009" wp14:editId="320BFB4E">
            <wp:extent cx="6263640" cy="21183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3640" cy="2118360"/>
                    </a:xfrm>
                    <a:prstGeom prst="rect">
                      <a:avLst/>
                    </a:prstGeom>
                    <a:noFill/>
                    <a:ln>
                      <a:noFill/>
                    </a:ln>
                  </pic:spPr>
                </pic:pic>
              </a:graphicData>
            </a:graphic>
          </wp:inline>
        </w:drawing>
      </w:r>
    </w:p>
    <w:p w14:paraId="53C30D88" w14:textId="39B419DA" w:rsidR="00973B2E" w:rsidRDefault="00644BA9" w:rsidP="00144FC3">
      <w:pPr>
        <w:pStyle w:val="NoTemplateMainText"/>
      </w:pPr>
      <w:r>
        <w:t xml:space="preserve">To demonstrate our </w:t>
      </w:r>
      <w:r w:rsidR="00BD7539">
        <w:t xml:space="preserve">co-conformational auxiliary </w:t>
      </w:r>
      <w:r>
        <w:t xml:space="preserve">approach, </w:t>
      </w:r>
      <w:r w:rsidR="00DB588D" w:rsidRPr="00A11DCD">
        <w:t>(</w:t>
      </w:r>
      <w:r w:rsidR="00DB588D" w:rsidRPr="00A11DCD">
        <w:rPr>
          <w:i/>
          <w:iCs/>
        </w:rPr>
        <w:t>R</w:t>
      </w:r>
      <w:r w:rsidR="00DB588D" w:rsidRPr="00A11DCD">
        <w:t>)-</w:t>
      </w:r>
      <w:r w:rsidR="00C10882">
        <w:t>s</w:t>
      </w:r>
      <w:r w:rsidR="00C10882" w:rsidRPr="00A11DCD">
        <w:t xml:space="preserve">erine </w:t>
      </w:r>
      <w:r w:rsidR="00DB588D" w:rsidRPr="00A11DCD">
        <w:t>was elaborated</w:t>
      </w:r>
      <w:r w:rsidR="009C1D8A" w:rsidRPr="00A11DCD">
        <w:t xml:space="preserve"> </w:t>
      </w:r>
      <w:r w:rsidR="00DB588D" w:rsidRPr="00A11DCD">
        <w:t>to pre-macrocycle (</w:t>
      </w:r>
      <w:r w:rsidR="00DB588D" w:rsidRPr="00A11DCD">
        <w:rPr>
          <w:i/>
          <w:iCs/>
        </w:rPr>
        <w:t>R</w:t>
      </w:r>
      <w:r w:rsidR="00DB588D" w:rsidRPr="00A11DCD">
        <w:t>)-</w:t>
      </w:r>
      <w:r w:rsidR="00DB588D" w:rsidRPr="00A11DCD">
        <w:rPr>
          <w:b/>
          <w:bCs/>
        </w:rPr>
        <w:t>1</w:t>
      </w:r>
      <w:r w:rsidR="00DB588D" w:rsidRPr="00A11DCD">
        <w:t xml:space="preserve"> </w:t>
      </w:r>
      <w:r w:rsidR="00F07AEF" w:rsidRPr="00A11DCD">
        <w:t>(</w:t>
      </w:r>
      <w:r w:rsidR="008B608B" w:rsidRPr="00A11DCD">
        <w:t xml:space="preserve">Supplementary </w:t>
      </w:r>
      <w:r w:rsidR="00F7205D" w:rsidRPr="00A11DCD">
        <w:t xml:space="preserve">section </w:t>
      </w:r>
      <w:r w:rsidR="00E135FB" w:rsidRPr="00A11DCD">
        <w:t>2</w:t>
      </w:r>
      <w:r w:rsidR="00F07AEF" w:rsidRPr="00A11DCD">
        <w:t xml:space="preserve">) </w:t>
      </w:r>
      <w:r w:rsidR="00AF449C" w:rsidRPr="00A11DCD">
        <w:t>(</w:t>
      </w:r>
      <w:r w:rsidR="009C1D8A" w:rsidRPr="00A11DCD">
        <w:t>Fig. 3</w:t>
      </w:r>
      <w:r w:rsidR="00AF449C" w:rsidRPr="00A11DCD">
        <w:t>a)</w:t>
      </w:r>
      <w:r w:rsidR="00DB588D" w:rsidRPr="00A11DCD">
        <w:t xml:space="preserve">. </w:t>
      </w:r>
      <w:r w:rsidR="00097295" w:rsidRPr="00A11DCD">
        <w:t xml:space="preserve">Macrocycle </w:t>
      </w:r>
      <w:r w:rsidR="00097295" w:rsidRPr="00A11DCD">
        <w:rPr>
          <w:b/>
          <w:bCs/>
        </w:rPr>
        <w:t>2</w:t>
      </w:r>
      <w:r w:rsidR="00D923AD" w:rsidRPr="00A11DCD">
        <w:t>,</w:t>
      </w:r>
      <w:r w:rsidR="00063105" w:rsidRPr="00A11DCD">
        <w:t xml:space="preserve"> which contains a</w:t>
      </w:r>
      <w:r w:rsidR="00A667BB" w:rsidRPr="00A11DCD">
        <w:t xml:space="preserve"> </w:t>
      </w:r>
      <w:r w:rsidR="00727946" w:rsidRPr="00A11DCD">
        <w:t>prochiral</w:t>
      </w:r>
      <w:r w:rsidR="00A667BB" w:rsidRPr="00A11DCD">
        <w:t xml:space="preserve"> </w:t>
      </w:r>
      <w:r w:rsidR="00727946" w:rsidRPr="00A11DCD">
        <w:t>sulfoxide</w:t>
      </w:r>
      <w:r w:rsidR="00D923AD" w:rsidRPr="00A11DCD">
        <w:t>,</w:t>
      </w:r>
      <w:r w:rsidR="00996272" w:rsidRPr="00A11DCD">
        <w:t xml:space="preserve"> was readily synthesized </w:t>
      </w:r>
      <w:r w:rsidR="00AF449C" w:rsidRPr="00A11DCD">
        <w:t>(Supp</w:t>
      </w:r>
      <w:r w:rsidR="007E05CE" w:rsidRPr="00A11DCD">
        <w:t>lementary</w:t>
      </w:r>
      <w:r w:rsidR="00AF449C" w:rsidRPr="00A11DCD">
        <w:t xml:space="preserve"> section </w:t>
      </w:r>
      <w:r w:rsidR="00715729" w:rsidRPr="00A11DCD">
        <w:t>3</w:t>
      </w:r>
      <w:r w:rsidR="00AF449C" w:rsidRPr="00A11DCD">
        <w:t xml:space="preserve">) </w:t>
      </w:r>
      <w:r w:rsidR="00996272" w:rsidRPr="00A11DCD">
        <w:t xml:space="preserve">using </w:t>
      </w:r>
      <w:r w:rsidR="00051CD9" w:rsidRPr="00A11DCD">
        <w:t>a</w:t>
      </w:r>
      <w:r w:rsidR="00996272" w:rsidRPr="00A11DCD">
        <w:t xml:space="preserve"> Ni-mediated macrocyclization protocol</w:t>
      </w:r>
      <w:r w:rsidR="00064A47" w:rsidRPr="00A11DCD">
        <w:rPr>
          <w:vertAlign w:val="superscript"/>
        </w:rPr>
        <w:endnoteReference w:id="36"/>
      </w:r>
      <w:r w:rsidR="00996272" w:rsidRPr="00A11DCD">
        <w:t>.</w:t>
      </w:r>
      <w:r w:rsidR="00724F22" w:rsidRPr="00A11DCD">
        <w:t xml:space="preserve"> </w:t>
      </w:r>
      <w:r w:rsidR="00DB588D" w:rsidRPr="00A11DCD">
        <w:t>Catenane formation was achieved by reacting (</w:t>
      </w:r>
      <w:r w:rsidR="00DB588D" w:rsidRPr="00A11DCD">
        <w:rPr>
          <w:i/>
          <w:iCs/>
        </w:rPr>
        <w:t>R</w:t>
      </w:r>
      <w:r w:rsidR="00DB588D" w:rsidRPr="00A11DCD">
        <w:t>)-</w:t>
      </w:r>
      <w:r w:rsidR="00DB588D" w:rsidRPr="00A11DCD">
        <w:rPr>
          <w:b/>
          <w:bCs/>
        </w:rPr>
        <w:t>1</w:t>
      </w:r>
      <w:r w:rsidR="00DB588D" w:rsidRPr="00A11DCD">
        <w:t xml:space="preserve"> with macrocycle </w:t>
      </w:r>
      <w:r w:rsidR="00DB588D" w:rsidRPr="00A11DCD">
        <w:rPr>
          <w:b/>
          <w:bCs/>
        </w:rPr>
        <w:t xml:space="preserve">2 </w:t>
      </w:r>
      <w:r w:rsidR="00DB588D" w:rsidRPr="00A11DCD">
        <w:t>under active template</w:t>
      </w:r>
      <w:r w:rsidR="00A84D44" w:rsidRPr="00A11DCD">
        <w:rPr>
          <w:vertAlign w:val="superscript"/>
        </w:rPr>
        <w:endnoteReference w:id="37"/>
      </w:r>
      <w:r w:rsidR="00DB588D" w:rsidRPr="00A11DCD">
        <w:t xml:space="preserve"> Cu-mediated alkyne</w:t>
      </w:r>
      <w:r w:rsidR="00C10882">
        <w:t>–</w:t>
      </w:r>
      <w:r w:rsidR="00DB588D" w:rsidRPr="00A11DCD">
        <w:t>azide cycloaddition (AT-CuAAC)</w:t>
      </w:r>
      <w:r w:rsidR="00A84D44" w:rsidRPr="00A11DCD">
        <w:rPr>
          <w:vertAlign w:val="superscript"/>
        </w:rPr>
        <w:endnoteReference w:id="38"/>
      </w:r>
      <w:r w:rsidR="00DB588D" w:rsidRPr="00A11DCD">
        <w:t xml:space="preserve"> conditions</w:t>
      </w:r>
      <w:r w:rsidR="00A84D44" w:rsidRPr="00A11DCD">
        <w:rPr>
          <w:vertAlign w:val="superscript"/>
        </w:rPr>
        <w:endnoteReference w:id="39"/>
      </w:r>
      <w:r w:rsidR="002B0113" w:rsidRPr="00A11DCD">
        <w:t xml:space="preserve"> </w:t>
      </w:r>
      <w:r w:rsidR="00B75370" w:rsidRPr="00A11DCD">
        <w:t>(</w:t>
      </w:r>
      <w:r w:rsidR="009B1136" w:rsidRPr="00A11DCD">
        <w:t xml:space="preserve">route </w:t>
      </w:r>
      <w:r w:rsidR="00D30682">
        <w:t>A</w:t>
      </w:r>
      <w:r w:rsidR="009B1136" w:rsidRPr="00A11DCD">
        <w:t xml:space="preserve"> </w:t>
      </w:r>
      <w:r w:rsidR="00B75370" w:rsidRPr="00A11DCD">
        <w:t>Supplementary section 4</w:t>
      </w:r>
      <w:r w:rsidR="00B75370">
        <w:t>.1</w:t>
      </w:r>
      <w:r w:rsidR="00B75370" w:rsidRPr="00A11DCD">
        <w:t>)</w:t>
      </w:r>
      <w:r w:rsidR="007117E2">
        <w:t>; slow addition of (</w:t>
      </w:r>
      <w:r w:rsidR="007117E2">
        <w:rPr>
          <w:i/>
          <w:iCs/>
        </w:rPr>
        <w:t>R</w:t>
      </w:r>
      <w:r w:rsidR="007117E2">
        <w:t>)-</w:t>
      </w:r>
      <w:r w:rsidR="007117E2">
        <w:rPr>
          <w:b/>
          <w:bCs/>
        </w:rPr>
        <w:t>1</w:t>
      </w:r>
      <w:r w:rsidR="007117E2">
        <w:t xml:space="preserve"> to a solution of </w:t>
      </w:r>
      <w:r w:rsidR="007117E2">
        <w:rPr>
          <w:b/>
          <w:bCs/>
        </w:rPr>
        <w:t>2</w:t>
      </w:r>
      <w:r w:rsidR="007117E2">
        <w:t>, [Cu(</w:t>
      </w:r>
      <w:proofErr w:type="spellStart"/>
      <w:r w:rsidR="007117E2">
        <w:t>MeCN</w:t>
      </w:r>
      <w:proofErr w:type="spellEnd"/>
      <w:r w:rsidR="007117E2">
        <w:t>)</w:t>
      </w:r>
      <w:r w:rsidR="007117E2">
        <w:rPr>
          <w:vertAlign w:val="subscript"/>
        </w:rPr>
        <w:t>4</w:t>
      </w:r>
      <w:r w:rsidR="007117E2">
        <w:t>] and N</w:t>
      </w:r>
      <w:r w:rsidR="007117E2">
        <w:rPr>
          <w:i/>
          <w:iCs/>
          <w:vertAlign w:val="superscript"/>
        </w:rPr>
        <w:t>i</w:t>
      </w:r>
      <w:r w:rsidR="007117E2">
        <w:t>Pr</w:t>
      </w:r>
      <w:r w:rsidR="007117E2">
        <w:rPr>
          <w:vertAlign w:val="subscript"/>
        </w:rPr>
        <w:t>2</w:t>
      </w:r>
      <w:r w:rsidR="007117E2">
        <w:t>Et in a mixture of CHCl</w:t>
      </w:r>
      <w:r w:rsidR="007117E2">
        <w:rPr>
          <w:vertAlign w:val="subscript"/>
        </w:rPr>
        <w:t>3</w:t>
      </w:r>
      <w:r w:rsidR="00C10882">
        <w:t>–</w:t>
      </w:r>
      <w:r w:rsidR="007117E2">
        <w:t>EtOH gave catenane</w:t>
      </w:r>
      <w:r w:rsidR="001E14BA">
        <w:t>s</w:t>
      </w:r>
      <w:r w:rsidR="007117E2">
        <w:t xml:space="preserve"> </w:t>
      </w:r>
      <w:r w:rsidR="007117E2">
        <w:rPr>
          <w:b/>
          <w:bCs/>
        </w:rPr>
        <w:t>3</w:t>
      </w:r>
      <w:r w:rsidR="00351CED">
        <w:t>,</w:t>
      </w:r>
      <w:r w:rsidR="007117E2">
        <w:t xml:space="preserve"> in</w:t>
      </w:r>
      <w:r w:rsidR="00351CED" w:rsidRPr="00351CED">
        <w:t xml:space="preserve"> </w:t>
      </w:r>
      <w:r w:rsidR="00351CED" w:rsidRPr="00A11DCD">
        <w:t xml:space="preserve">which co-conformational motion is prevented by the bulky ester and </w:t>
      </w:r>
      <w:r w:rsidR="00351CED" w:rsidRPr="00A11DCD">
        <w:rPr>
          <w:i/>
          <w:iCs/>
        </w:rPr>
        <w:t>N</w:t>
      </w:r>
      <w:r w:rsidR="00351CED" w:rsidRPr="00A11DCD">
        <w:t>-Boc groups</w:t>
      </w:r>
      <w:r w:rsidR="009B1136">
        <w:t xml:space="preserve">, as </w:t>
      </w:r>
      <w:r w:rsidR="00A51DEE">
        <w:t>a separable mixture of diastereomers (</w:t>
      </w:r>
      <w:proofErr w:type="spellStart"/>
      <w:r w:rsidR="00A51DEE">
        <w:t>d.r.</w:t>
      </w:r>
      <w:proofErr w:type="spellEnd"/>
      <w:r w:rsidR="00A51DEE">
        <w:t xml:space="preserve"> = 71:29). A brief screen of reaction solvent </w:t>
      </w:r>
      <w:r w:rsidR="00FF641C">
        <w:t xml:space="preserve">did not </w:t>
      </w:r>
      <w:r w:rsidR="006268B9">
        <w:t xml:space="preserve">allow us to identify conditions that </w:t>
      </w:r>
      <w:r w:rsidR="00FF641C">
        <w:t>enhance</w:t>
      </w:r>
      <w:r w:rsidR="006268B9">
        <w:t>d</w:t>
      </w:r>
      <w:r w:rsidR="00FF641C">
        <w:t xml:space="preserve"> the stereoselectivity of the reaction (Supplementary section </w:t>
      </w:r>
      <w:r w:rsidR="00E402C9">
        <w:t>10.1</w:t>
      </w:r>
      <w:r w:rsidR="00FF641C">
        <w:t>).</w:t>
      </w:r>
      <w:r w:rsidR="00175431">
        <w:t xml:space="preserve"> </w:t>
      </w:r>
      <w:r w:rsidR="00354864" w:rsidRPr="00A11DCD">
        <w:t>C</w:t>
      </w:r>
      <w:r w:rsidR="00C066D4" w:rsidRPr="00A11DCD">
        <w:t xml:space="preserve">atenanes </w:t>
      </w:r>
      <w:r w:rsidR="00EB6D19" w:rsidRPr="00A11DCD">
        <w:rPr>
          <w:b/>
          <w:bCs/>
        </w:rPr>
        <w:t>3</w:t>
      </w:r>
      <w:r w:rsidR="00C066D4" w:rsidRPr="00A11DCD">
        <w:t xml:space="preserve"> </w:t>
      </w:r>
      <w:r w:rsidR="00CC50D0">
        <w:t>were</w:t>
      </w:r>
      <w:r w:rsidR="00CC50D0" w:rsidRPr="00A11DCD">
        <w:t xml:space="preserve"> </w:t>
      </w:r>
      <w:r w:rsidR="00354864" w:rsidRPr="00A11DCD">
        <w:t xml:space="preserve">also </w:t>
      </w:r>
      <w:proofErr w:type="spellStart"/>
      <w:r w:rsidR="00CC50D0">
        <w:t>synthesised</w:t>
      </w:r>
      <w:proofErr w:type="spellEnd"/>
      <w:r w:rsidR="00C066D4" w:rsidRPr="00A11DCD">
        <w:t xml:space="preserve"> </w:t>
      </w:r>
      <w:r w:rsidR="00181113" w:rsidRPr="00A11DCD">
        <w:t xml:space="preserve">by </w:t>
      </w:r>
      <w:r w:rsidR="00C066D4" w:rsidRPr="00A11DCD">
        <w:t>reaction of (</w:t>
      </w:r>
      <w:r w:rsidR="00C066D4" w:rsidRPr="00A11DCD">
        <w:rPr>
          <w:i/>
          <w:iCs/>
        </w:rPr>
        <w:t>R</w:t>
      </w:r>
      <w:r w:rsidR="00C066D4" w:rsidRPr="00A11DCD">
        <w:t>)-</w:t>
      </w:r>
      <w:r w:rsidR="00C066D4" w:rsidRPr="00A11DCD">
        <w:rPr>
          <w:b/>
          <w:bCs/>
        </w:rPr>
        <w:t>1</w:t>
      </w:r>
      <w:r w:rsidR="00C066D4" w:rsidRPr="00A11DCD">
        <w:t xml:space="preserve"> with macrocycle </w:t>
      </w:r>
      <w:r w:rsidR="00EB6D19" w:rsidRPr="00A11DCD">
        <w:rPr>
          <w:b/>
          <w:bCs/>
        </w:rPr>
        <w:t>4</w:t>
      </w:r>
      <w:r w:rsidR="00EB6D19" w:rsidRPr="00A11DCD">
        <w:t xml:space="preserve"> </w:t>
      </w:r>
      <w:r w:rsidR="002C582B" w:rsidRPr="00A11DCD">
        <w:t xml:space="preserve">to give </w:t>
      </w:r>
      <w:r w:rsidR="00563215" w:rsidRPr="00A11DCD">
        <w:t>(</w:t>
      </w:r>
      <w:proofErr w:type="spellStart"/>
      <w:r w:rsidR="00563215" w:rsidRPr="00A11DCD">
        <w:rPr>
          <w:i/>
          <w:iCs/>
        </w:rPr>
        <w:t>R</w:t>
      </w:r>
      <w:r w:rsidR="00563215" w:rsidRPr="00A11DCD">
        <w:rPr>
          <w:vertAlign w:val="subscript"/>
        </w:rPr>
        <w:t>co</w:t>
      </w:r>
      <w:proofErr w:type="spellEnd"/>
      <w:r w:rsidR="00563215" w:rsidRPr="00A11DCD">
        <w:rPr>
          <w:vertAlign w:val="subscript"/>
        </w:rPr>
        <w:t>-c</w:t>
      </w:r>
      <w:r w:rsidR="00563215" w:rsidRPr="00A11DCD">
        <w:t>)-</w:t>
      </w:r>
      <w:r w:rsidR="00E511DC" w:rsidRPr="00A11DCD">
        <w:rPr>
          <w:b/>
          <w:bCs/>
        </w:rPr>
        <w:t>5</w:t>
      </w:r>
      <w:r w:rsidR="00EE0CE5" w:rsidRPr="00A11DCD">
        <w:t xml:space="preserve"> followed</w:t>
      </w:r>
      <w:r w:rsidR="0011297B" w:rsidRPr="00A11DCD">
        <w:t xml:space="preserve"> </w:t>
      </w:r>
      <w:r w:rsidR="00EE0CE5" w:rsidRPr="00A11DCD">
        <w:t>oxidation</w:t>
      </w:r>
      <w:r w:rsidR="00595760" w:rsidRPr="00A11DCD">
        <w:t xml:space="preserve"> to give</w:t>
      </w:r>
      <w:r w:rsidR="002C582B" w:rsidRPr="00A11DCD">
        <w:t xml:space="preserve"> </w:t>
      </w:r>
      <w:r w:rsidR="00595760" w:rsidRPr="00A11DCD">
        <w:t xml:space="preserve">catenanes </w:t>
      </w:r>
      <w:r w:rsidR="00595760" w:rsidRPr="00A11DCD">
        <w:rPr>
          <w:b/>
          <w:bCs/>
        </w:rPr>
        <w:t>3</w:t>
      </w:r>
      <w:r w:rsidR="0028762A" w:rsidRPr="00A11DCD">
        <w:t xml:space="preserve"> (route </w:t>
      </w:r>
      <w:r w:rsidR="00865EAC">
        <w:t>B</w:t>
      </w:r>
      <w:r w:rsidR="0028762A" w:rsidRPr="00A11DCD">
        <w:t>).</w:t>
      </w:r>
      <w:r w:rsidR="00595760" w:rsidRPr="00A11DCD">
        <w:t xml:space="preserve"> </w:t>
      </w:r>
      <w:r w:rsidR="00175431">
        <w:t xml:space="preserve">The diastereoselectivity obtained depended </w:t>
      </w:r>
      <w:r w:rsidR="00660210">
        <w:t xml:space="preserve">strongly </w:t>
      </w:r>
      <w:r w:rsidR="00175431">
        <w:t>on the oxidant used</w:t>
      </w:r>
      <w:r w:rsidR="00681CE2">
        <w:t xml:space="preserve"> (see Supplementary section </w:t>
      </w:r>
      <w:r w:rsidR="005C5D35">
        <w:t>10.2</w:t>
      </w:r>
      <w:r w:rsidR="00681CE2">
        <w:t>)</w:t>
      </w:r>
      <w:r w:rsidR="0010188D">
        <w:t>. T</w:t>
      </w:r>
      <w:r w:rsidR="00175431">
        <w:t xml:space="preserve">he maximum selectivity </w:t>
      </w:r>
      <w:r w:rsidR="0010188D">
        <w:t>(</w:t>
      </w:r>
      <w:r w:rsidR="0064330D">
        <w:t>39</w:t>
      </w:r>
      <w:r w:rsidR="0010188D">
        <w:t>:</w:t>
      </w:r>
      <w:r w:rsidR="0064330D">
        <w:t>61</w:t>
      </w:r>
      <w:r w:rsidR="0010188D">
        <w:t xml:space="preserve"> </w:t>
      </w:r>
      <w:proofErr w:type="spellStart"/>
      <w:r w:rsidR="0010188D">
        <w:t>d.r.</w:t>
      </w:r>
      <w:proofErr w:type="spellEnd"/>
      <w:r w:rsidR="0010188D">
        <w:t xml:space="preserve">) </w:t>
      </w:r>
      <w:r w:rsidR="00501462">
        <w:t xml:space="preserve">without significant over-oxidation </w:t>
      </w:r>
      <w:r w:rsidR="0010188D">
        <w:t xml:space="preserve">was </w:t>
      </w:r>
      <w:r w:rsidR="00F43B17">
        <w:t>achieved</w:t>
      </w:r>
      <w:r w:rsidR="00175431">
        <w:t xml:space="preserve"> when </w:t>
      </w:r>
      <w:r w:rsidR="00C22E0C" w:rsidRPr="00A11DCD">
        <w:t>2-iodoxybenzoic acid</w:t>
      </w:r>
      <w:r w:rsidR="00175431" w:rsidRPr="00065A88">
        <w:rPr>
          <w:vertAlign w:val="superscript"/>
        </w:rPr>
        <w:endnoteReference w:id="40"/>
      </w:r>
      <w:r w:rsidR="00175431">
        <w:t xml:space="preserve"> </w:t>
      </w:r>
      <w:r w:rsidR="00306805">
        <w:t xml:space="preserve">(IBX) </w:t>
      </w:r>
      <w:r w:rsidR="00175431">
        <w:t>was employed.</w:t>
      </w:r>
      <w:r w:rsidR="00904EE6">
        <w:t xml:space="preserve"> Thus, under </w:t>
      </w:r>
      <w:r w:rsidR="00F43B17">
        <w:t xml:space="preserve">our </w:t>
      </w:r>
      <w:r w:rsidR="00904EE6">
        <w:t>optim</w:t>
      </w:r>
      <w:r w:rsidR="00F43B17">
        <w:t>al</w:t>
      </w:r>
      <w:r w:rsidR="00904EE6">
        <w:t xml:space="preserve"> conditions, r</w:t>
      </w:r>
      <w:r w:rsidR="00595760" w:rsidRPr="00A11DCD">
        <w:t xml:space="preserve">outes </w:t>
      </w:r>
      <w:r w:rsidR="009A7E80" w:rsidRPr="00A11DCD">
        <w:t xml:space="preserve">a and b </w:t>
      </w:r>
      <w:r w:rsidR="00595760" w:rsidRPr="00A11DCD">
        <w:t xml:space="preserve">proceeded with appreciable but </w:t>
      </w:r>
      <w:r w:rsidR="003924A3" w:rsidRPr="00A11DCD">
        <w:t>opposite stereoselectivity</w:t>
      </w:r>
      <w:r w:rsidR="00170DE1" w:rsidRPr="00A11DCD">
        <w:t>.</w:t>
      </w:r>
      <w:r w:rsidR="009220E0">
        <w:t xml:space="preserve"> </w:t>
      </w:r>
      <w:r w:rsidR="001C6A7E" w:rsidRPr="00A11DCD">
        <w:t>S</w:t>
      </w:r>
      <w:r w:rsidR="008B608B" w:rsidRPr="00A11DCD">
        <w:t xml:space="preserve">ingle crystal x-ray diffraction (SCXRD) </w:t>
      </w:r>
      <w:r w:rsidR="001C6A7E" w:rsidRPr="00A11DCD">
        <w:t xml:space="preserve">analysis </w:t>
      </w:r>
      <w:r w:rsidR="008B608B" w:rsidRPr="00A11DCD">
        <w:t xml:space="preserve">of the major </w:t>
      </w:r>
      <w:r w:rsidR="00891B7E" w:rsidRPr="00A11DCD">
        <w:t>product of</w:t>
      </w:r>
      <w:r w:rsidR="008B608B" w:rsidRPr="00A11DCD">
        <w:t xml:space="preserve"> </w:t>
      </w:r>
      <w:r w:rsidR="008B608B" w:rsidRPr="00A11DCD">
        <w:rPr>
          <w:i/>
          <w:iCs/>
        </w:rPr>
        <w:t>rac</w:t>
      </w:r>
      <w:r w:rsidR="008B608B" w:rsidRPr="00A11DCD">
        <w:t>-</w:t>
      </w:r>
      <w:r w:rsidR="008B608B" w:rsidRPr="00A11DCD">
        <w:rPr>
          <w:b/>
          <w:bCs/>
        </w:rPr>
        <w:t>1</w:t>
      </w:r>
      <w:r w:rsidR="008B608B" w:rsidRPr="00A11DCD">
        <w:t xml:space="preserve"> and </w:t>
      </w:r>
      <w:r w:rsidR="003651B7" w:rsidRPr="00A11DCD">
        <w:rPr>
          <w:b/>
          <w:bCs/>
        </w:rPr>
        <w:t>2</w:t>
      </w:r>
      <w:r w:rsidR="008B608B" w:rsidRPr="00A11DCD">
        <w:t xml:space="preserve"> allowed </w:t>
      </w:r>
      <w:r w:rsidR="003C72FA" w:rsidRPr="00A11DCD">
        <w:t>the</w:t>
      </w:r>
      <w:r w:rsidR="005811E0" w:rsidRPr="00A11DCD">
        <w:t xml:space="preserve"> different</w:t>
      </w:r>
      <w:r w:rsidR="003C72FA" w:rsidRPr="00A11DCD">
        <w:t xml:space="preserve"> major </w:t>
      </w:r>
      <w:r w:rsidR="00940BFE" w:rsidRPr="00A11DCD">
        <w:t>stereoisomer</w:t>
      </w:r>
      <w:r w:rsidR="005811E0" w:rsidRPr="00A11DCD">
        <w:t>s</w:t>
      </w:r>
      <w:r w:rsidR="00BA211F" w:rsidRPr="00A11DCD">
        <w:t xml:space="preserve"> </w:t>
      </w:r>
      <w:r w:rsidR="00940BFE" w:rsidRPr="00A11DCD">
        <w:t>produced in</w:t>
      </w:r>
      <w:r w:rsidR="00BA211F" w:rsidRPr="00A11DCD">
        <w:t xml:space="preserve"> routes </w:t>
      </w:r>
      <w:r w:rsidR="00D30682">
        <w:t>A</w:t>
      </w:r>
      <w:r w:rsidR="00BA211F" w:rsidRPr="00A11DCD">
        <w:t xml:space="preserve"> and </w:t>
      </w:r>
      <w:r w:rsidR="00D30682">
        <w:t>B</w:t>
      </w:r>
      <w:r w:rsidR="00BA211F" w:rsidRPr="00A11DCD">
        <w:t xml:space="preserve"> to be assigned</w:t>
      </w:r>
      <w:r w:rsidR="00863CB1" w:rsidRPr="00A11DCD">
        <w:t xml:space="preserve"> (Fig. 3c</w:t>
      </w:r>
      <w:r w:rsidR="005811E0" w:rsidRPr="00A11DCD">
        <w:t xml:space="preserve">, Supplementary section </w:t>
      </w:r>
      <w:r w:rsidR="005C5D35" w:rsidRPr="00A11DCD">
        <w:t>1</w:t>
      </w:r>
      <w:r w:rsidR="005C5D35">
        <w:t>2</w:t>
      </w:r>
      <w:r w:rsidR="007F6ECA" w:rsidRPr="00A11DCD">
        <w:t>.1</w:t>
      </w:r>
      <w:r w:rsidR="00863CB1" w:rsidRPr="00A11DCD">
        <w:t>)</w:t>
      </w:r>
      <w:r w:rsidR="00BA211F" w:rsidRPr="00A11DCD">
        <w:t>.</w:t>
      </w:r>
    </w:p>
    <w:p w14:paraId="4D5093AA" w14:textId="77777777" w:rsidR="00973B2E" w:rsidRDefault="00973B2E">
      <w:pPr>
        <w:spacing w:after="160" w:line="259" w:lineRule="auto"/>
        <w:jc w:val="left"/>
        <w:rPr>
          <w:rFonts w:cs="Arial"/>
          <w:szCs w:val="22"/>
        </w:rPr>
      </w:pPr>
      <w:r>
        <w:br w:type="page"/>
      </w:r>
    </w:p>
    <w:p w14:paraId="273DC7F0" w14:textId="77777777" w:rsidR="00973B2E" w:rsidRDefault="00973B2E" w:rsidP="00973B2E">
      <w:pPr>
        <w:spacing w:after="160" w:line="256" w:lineRule="auto"/>
        <w:rPr>
          <w:sz w:val="20"/>
        </w:rPr>
      </w:pPr>
      <w:r>
        <w:rPr>
          <w:b/>
          <w:bCs/>
          <w:sz w:val="20"/>
        </w:rPr>
        <w:lastRenderedPageBreak/>
        <w:t>Figure 3.</w:t>
      </w:r>
      <w:r>
        <w:rPr>
          <w:sz w:val="20"/>
        </w:rPr>
        <w:t xml:space="preserve"> Synthesis and analysis of enantiopure axially chiral catenane </w:t>
      </w:r>
      <w:r>
        <w:rPr>
          <w:b/>
          <w:bCs/>
          <w:sz w:val="20"/>
        </w:rPr>
        <w:t>6</w:t>
      </w:r>
      <w:r>
        <w:rPr>
          <w:sz w:val="20"/>
        </w:rPr>
        <w:t xml:space="preserve">. (a) Synthesis and separation of catenane diastereomers </w:t>
      </w:r>
      <w:r>
        <w:rPr>
          <w:b/>
          <w:bCs/>
          <w:sz w:val="20"/>
        </w:rPr>
        <w:t>3</w:t>
      </w:r>
      <w:r>
        <w:rPr>
          <w:sz w:val="20"/>
        </w:rPr>
        <w:t xml:space="preserve"> from (</w:t>
      </w:r>
      <w:r>
        <w:rPr>
          <w:i/>
          <w:iCs/>
          <w:sz w:val="20"/>
        </w:rPr>
        <w:t>R</w:t>
      </w:r>
      <w:r>
        <w:rPr>
          <w:sz w:val="20"/>
        </w:rPr>
        <w:t>)-</w:t>
      </w:r>
      <w:r>
        <w:rPr>
          <w:b/>
          <w:bCs/>
          <w:sz w:val="20"/>
        </w:rPr>
        <w:t xml:space="preserve">1 </w:t>
      </w:r>
      <w:r>
        <w:rPr>
          <w:sz w:val="20"/>
        </w:rPr>
        <w:t>by route A or route B (Fig. 2) with opposite diastereoselectivity. Reagents and conditions: i. [</w:t>
      </w:r>
      <w:proofErr w:type="gramStart"/>
      <w:r>
        <w:rPr>
          <w:sz w:val="20"/>
        </w:rPr>
        <w:t>Cu(</w:t>
      </w:r>
      <w:proofErr w:type="spellStart"/>
      <w:proofErr w:type="gramEnd"/>
      <w:r>
        <w:rPr>
          <w:sz w:val="20"/>
        </w:rPr>
        <w:t>MeCN</w:t>
      </w:r>
      <w:proofErr w:type="spellEnd"/>
      <w:r>
        <w:rPr>
          <w:sz w:val="20"/>
        </w:rPr>
        <w:t>)</w:t>
      </w:r>
      <w:r>
        <w:rPr>
          <w:sz w:val="20"/>
          <w:vertAlign w:val="subscript"/>
        </w:rPr>
        <w:t>4</w:t>
      </w:r>
      <w:r>
        <w:rPr>
          <w:sz w:val="20"/>
        </w:rPr>
        <w:t>]PF</w:t>
      </w:r>
      <w:r>
        <w:rPr>
          <w:sz w:val="20"/>
          <w:vertAlign w:val="subscript"/>
        </w:rPr>
        <w:t>6</w:t>
      </w:r>
      <w:r>
        <w:rPr>
          <w:sz w:val="20"/>
        </w:rPr>
        <w:t>, N</w:t>
      </w:r>
      <w:r>
        <w:rPr>
          <w:i/>
          <w:iCs/>
          <w:sz w:val="20"/>
          <w:vertAlign w:val="superscript"/>
        </w:rPr>
        <w:t>i</w:t>
      </w:r>
      <w:r>
        <w:rPr>
          <w:sz w:val="20"/>
        </w:rPr>
        <w:t>Pr</w:t>
      </w:r>
      <w:r>
        <w:rPr>
          <w:sz w:val="20"/>
          <w:vertAlign w:val="subscript"/>
        </w:rPr>
        <w:t>2</w:t>
      </w:r>
      <w:r>
        <w:rPr>
          <w:sz w:val="20"/>
        </w:rPr>
        <w:t>Et, CH</w:t>
      </w:r>
      <w:r>
        <w:rPr>
          <w:sz w:val="20"/>
          <w:vertAlign w:val="subscript"/>
        </w:rPr>
        <w:t>2</w:t>
      </w:r>
      <w:r>
        <w:rPr>
          <w:sz w:val="20"/>
        </w:rPr>
        <w:t>Cl</w:t>
      </w:r>
      <w:r>
        <w:rPr>
          <w:sz w:val="20"/>
          <w:vertAlign w:val="subscript"/>
        </w:rPr>
        <w:t>2</w:t>
      </w:r>
      <w:r>
        <w:rPr>
          <w:sz w:val="20"/>
        </w:rPr>
        <w:t>, rt, 16 h; ii. IBX, NEt</w:t>
      </w:r>
      <w:r>
        <w:rPr>
          <w:sz w:val="20"/>
          <w:vertAlign w:val="subscript"/>
        </w:rPr>
        <w:t>4</w:t>
      </w:r>
      <w:r>
        <w:rPr>
          <w:sz w:val="20"/>
        </w:rPr>
        <w:t>Br, CHCl</w:t>
      </w:r>
      <w:r>
        <w:rPr>
          <w:sz w:val="20"/>
          <w:vertAlign w:val="subscript"/>
        </w:rPr>
        <w:t>3</w:t>
      </w:r>
      <w:r>
        <w:rPr>
          <w:sz w:val="20"/>
        </w:rPr>
        <w:t>-H</w:t>
      </w:r>
      <w:r>
        <w:rPr>
          <w:sz w:val="20"/>
          <w:vertAlign w:val="subscript"/>
        </w:rPr>
        <w:t>2</w:t>
      </w:r>
      <w:r>
        <w:rPr>
          <w:sz w:val="20"/>
        </w:rPr>
        <w:t>O (</w:t>
      </w:r>
      <w:proofErr w:type="gramStart"/>
      <w:r>
        <w:rPr>
          <w:sz w:val="20"/>
        </w:rPr>
        <w:t>99 :</w:t>
      </w:r>
      <w:proofErr w:type="gramEnd"/>
      <w:r>
        <w:rPr>
          <w:sz w:val="20"/>
        </w:rPr>
        <w:t xml:space="preserve"> 1), rt, 16 h.  (b) Conversion of catenane </w:t>
      </w:r>
      <w:r>
        <w:rPr>
          <w:b/>
          <w:bCs/>
          <w:sz w:val="20"/>
        </w:rPr>
        <w:t>3</w:t>
      </w:r>
      <w:r>
        <w:rPr>
          <w:sz w:val="20"/>
        </w:rPr>
        <w:t xml:space="preserve"> to enantiomeric catenanes </w:t>
      </w:r>
      <w:r>
        <w:rPr>
          <w:b/>
          <w:bCs/>
          <w:sz w:val="20"/>
        </w:rPr>
        <w:t>6</w:t>
      </w:r>
      <w:r>
        <w:rPr>
          <w:sz w:val="20"/>
        </w:rPr>
        <w:t>. Reagents and conditions: CF</w:t>
      </w:r>
      <w:r>
        <w:rPr>
          <w:sz w:val="20"/>
          <w:vertAlign w:val="subscript"/>
        </w:rPr>
        <w:t>3</w:t>
      </w:r>
      <w:r>
        <w:rPr>
          <w:sz w:val="20"/>
        </w:rPr>
        <w:t>CO</w:t>
      </w:r>
      <w:r>
        <w:rPr>
          <w:sz w:val="20"/>
          <w:vertAlign w:val="subscript"/>
        </w:rPr>
        <w:t>2</w:t>
      </w:r>
      <w:r>
        <w:rPr>
          <w:sz w:val="20"/>
        </w:rPr>
        <w:t>H, CH</w:t>
      </w:r>
      <w:r>
        <w:rPr>
          <w:sz w:val="20"/>
          <w:vertAlign w:val="subscript"/>
        </w:rPr>
        <w:t>2</w:t>
      </w:r>
      <w:r>
        <w:rPr>
          <w:sz w:val="20"/>
        </w:rPr>
        <w:t>Cl</w:t>
      </w:r>
      <w:r>
        <w:rPr>
          <w:sz w:val="20"/>
          <w:vertAlign w:val="subscript"/>
        </w:rPr>
        <w:t>2</w:t>
      </w:r>
      <w:r>
        <w:rPr>
          <w:sz w:val="20"/>
        </w:rPr>
        <w:t>, 0</w:t>
      </w:r>
      <w:r>
        <w:rPr>
          <w:rFonts w:eastAsiaTheme="minorHAnsi"/>
          <w:sz w:val="20"/>
          <w:lang w:val="en-GB"/>
        </w:rPr>
        <w:t xml:space="preserve"> °</w:t>
      </w:r>
      <w:r>
        <w:rPr>
          <w:sz w:val="20"/>
        </w:rPr>
        <w:t xml:space="preserve">C, 1 h. (c) The solid-state structure of </w:t>
      </w:r>
      <w:proofErr w:type="spellStart"/>
      <w:r>
        <w:rPr>
          <w:i/>
          <w:iCs/>
          <w:sz w:val="20"/>
        </w:rPr>
        <w:t>rac</w:t>
      </w:r>
      <w:proofErr w:type="spellEnd"/>
      <w:r>
        <w:rPr>
          <w:sz w:val="20"/>
        </w:rPr>
        <w:t>-(</w:t>
      </w:r>
      <w:proofErr w:type="spellStart"/>
      <w:proofErr w:type="gramStart"/>
      <w:r>
        <w:rPr>
          <w:i/>
          <w:iCs/>
          <w:sz w:val="20"/>
        </w:rPr>
        <w:t>S</w:t>
      </w:r>
      <w:r>
        <w:rPr>
          <w:sz w:val="20"/>
          <w:vertAlign w:val="subscript"/>
        </w:rPr>
        <w:t>ma</w:t>
      </w:r>
      <w:r>
        <w:rPr>
          <w:sz w:val="20"/>
        </w:rPr>
        <w:t>,</w:t>
      </w:r>
      <w:r>
        <w:rPr>
          <w:i/>
          <w:iCs/>
          <w:sz w:val="20"/>
        </w:rPr>
        <w:t>R</w:t>
      </w:r>
      <w:r>
        <w:rPr>
          <w:sz w:val="20"/>
          <w:vertAlign w:val="subscript"/>
        </w:rPr>
        <w:t>co</w:t>
      </w:r>
      <w:proofErr w:type="spellEnd"/>
      <w:proofErr w:type="gramEnd"/>
      <w:r>
        <w:rPr>
          <w:sz w:val="20"/>
          <w:vertAlign w:val="subscript"/>
        </w:rPr>
        <w:t>-c</w:t>
      </w:r>
      <w:r>
        <w:rPr>
          <w:sz w:val="20"/>
        </w:rPr>
        <w:t>)-</w:t>
      </w:r>
      <w:r>
        <w:rPr>
          <w:b/>
          <w:bCs/>
          <w:sz w:val="20"/>
        </w:rPr>
        <w:t>3</w:t>
      </w:r>
      <w:r>
        <w:rPr>
          <w:sz w:val="20"/>
        </w:rPr>
        <w:t xml:space="preserve"> allowed the major products of routes a and b to be assigned. (d) The solid-state structure of </w:t>
      </w:r>
      <w:r>
        <w:rPr>
          <w:i/>
          <w:iCs/>
          <w:sz w:val="20"/>
        </w:rPr>
        <w:t>rac</w:t>
      </w:r>
      <w:r>
        <w:rPr>
          <w:sz w:val="20"/>
        </w:rPr>
        <w:t>-</w:t>
      </w:r>
      <w:r>
        <w:rPr>
          <w:b/>
          <w:bCs/>
          <w:sz w:val="20"/>
        </w:rPr>
        <w:t>6</w:t>
      </w:r>
      <w:r>
        <w:rPr>
          <w:sz w:val="20"/>
        </w:rPr>
        <w:t xml:space="preserve"> contains </w:t>
      </w:r>
      <w:proofErr w:type="spellStart"/>
      <w:r>
        <w:rPr>
          <w:i/>
          <w:iCs/>
          <w:sz w:val="20"/>
        </w:rPr>
        <w:t>rac</w:t>
      </w:r>
      <w:proofErr w:type="spellEnd"/>
      <w:r>
        <w:rPr>
          <w:sz w:val="20"/>
        </w:rPr>
        <w:t>-(</w:t>
      </w:r>
      <w:proofErr w:type="spellStart"/>
      <w:proofErr w:type="gramStart"/>
      <w:r>
        <w:rPr>
          <w:i/>
          <w:iCs/>
          <w:sz w:val="20"/>
        </w:rPr>
        <w:t>S</w:t>
      </w:r>
      <w:r>
        <w:rPr>
          <w:sz w:val="20"/>
          <w:vertAlign w:val="subscript"/>
        </w:rPr>
        <w:t>ma</w:t>
      </w:r>
      <w:r>
        <w:rPr>
          <w:sz w:val="20"/>
        </w:rPr>
        <w:t>,</w:t>
      </w:r>
      <w:r>
        <w:rPr>
          <w:i/>
          <w:iCs/>
          <w:sz w:val="20"/>
        </w:rPr>
        <w:t>R</w:t>
      </w:r>
      <w:r>
        <w:rPr>
          <w:sz w:val="20"/>
          <w:vertAlign w:val="subscript"/>
        </w:rPr>
        <w:t>co</w:t>
      </w:r>
      <w:proofErr w:type="spellEnd"/>
      <w:proofErr w:type="gramEnd"/>
      <w:r>
        <w:rPr>
          <w:sz w:val="20"/>
          <w:vertAlign w:val="subscript"/>
        </w:rPr>
        <w:t>-c</w:t>
      </w:r>
      <w:r>
        <w:rPr>
          <w:sz w:val="20"/>
        </w:rPr>
        <w:t>)-</w:t>
      </w:r>
      <w:r>
        <w:rPr>
          <w:b/>
          <w:bCs/>
          <w:sz w:val="20"/>
        </w:rPr>
        <w:t>6</w:t>
      </w:r>
      <w:r>
        <w:rPr>
          <w:sz w:val="20"/>
        </w:rPr>
        <w:t xml:space="preserve"> as the major co-conformational diastereomer. Analysis of (</w:t>
      </w:r>
      <w:proofErr w:type="spellStart"/>
      <w:r>
        <w:rPr>
          <w:i/>
          <w:iCs/>
          <w:sz w:val="20"/>
        </w:rPr>
        <w:t>R</w:t>
      </w:r>
      <w:r>
        <w:rPr>
          <w:sz w:val="20"/>
          <w:vertAlign w:val="subscript"/>
        </w:rPr>
        <w:t>ma</w:t>
      </w:r>
      <w:proofErr w:type="spellEnd"/>
      <w:r>
        <w:rPr>
          <w:sz w:val="20"/>
        </w:rPr>
        <w:t>)-</w:t>
      </w:r>
      <w:r>
        <w:rPr>
          <w:b/>
          <w:bCs/>
          <w:sz w:val="20"/>
        </w:rPr>
        <w:t>6</w:t>
      </w:r>
      <w:r>
        <w:rPr>
          <w:sz w:val="20"/>
        </w:rPr>
        <w:t xml:space="preserve"> (purple) and (</w:t>
      </w:r>
      <w:proofErr w:type="spellStart"/>
      <w:r>
        <w:rPr>
          <w:i/>
          <w:iCs/>
          <w:sz w:val="20"/>
        </w:rPr>
        <w:t>S</w:t>
      </w:r>
      <w:r>
        <w:rPr>
          <w:sz w:val="20"/>
          <w:vertAlign w:val="subscript"/>
        </w:rPr>
        <w:t>ma</w:t>
      </w:r>
      <w:proofErr w:type="spellEnd"/>
      <w:r>
        <w:rPr>
          <w:sz w:val="20"/>
        </w:rPr>
        <w:t>)-</w:t>
      </w:r>
      <w:r>
        <w:rPr>
          <w:b/>
          <w:bCs/>
          <w:sz w:val="20"/>
        </w:rPr>
        <w:t>6</w:t>
      </w:r>
      <w:r>
        <w:rPr>
          <w:sz w:val="20"/>
        </w:rPr>
        <w:t xml:space="preserve"> (orange) by (e) chiral-stationary-phase high-performance liquid chromatography and (f) circular dichroism spectroscopy respectively confirmed their enantiopurity and their chiral nature. IBX = 2-iodoxybenzoic acid. R = CO</w:t>
      </w:r>
      <w:r>
        <w:rPr>
          <w:sz w:val="20"/>
          <w:vertAlign w:val="subscript"/>
        </w:rPr>
        <w:t>2</w:t>
      </w:r>
      <w:r>
        <w:rPr>
          <w:sz w:val="20"/>
        </w:rPr>
        <w:t>Me.</w:t>
      </w:r>
    </w:p>
    <w:p w14:paraId="3FE47047" w14:textId="16B94049" w:rsidR="009220E0" w:rsidRDefault="000F73F1" w:rsidP="000F73F1">
      <w:pPr>
        <w:pStyle w:val="NoTemplateMainText"/>
        <w:ind w:firstLine="0"/>
      </w:pPr>
      <w:r>
        <w:rPr>
          <w:noProof/>
        </w:rPr>
        <w:drawing>
          <wp:inline distT="0" distB="0" distL="0" distR="0" wp14:anchorId="428D5750" wp14:editId="5838D110">
            <wp:extent cx="6263640" cy="6324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3640" cy="6324600"/>
                    </a:xfrm>
                    <a:prstGeom prst="rect">
                      <a:avLst/>
                    </a:prstGeom>
                    <a:noFill/>
                    <a:ln>
                      <a:noFill/>
                    </a:ln>
                  </pic:spPr>
                </pic:pic>
              </a:graphicData>
            </a:graphic>
          </wp:inline>
        </w:drawing>
      </w:r>
    </w:p>
    <w:p w14:paraId="4BEA70CD" w14:textId="3A152A20" w:rsidR="009E1327" w:rsidRPr="00A11DCD" w:rsidRDefault="007427D0" w:rsidP="00144FC3">
      <w:pPr>
        <w:pStyle w:val="NoTemplateMainText"/>
        <w:rPr>
          <w:b/>
          <w:bCs/>
        </w:rPr>
      </w:pPr>
      <w:r w:rsidRPr="00A11DCD">
        <w:t>C</w:t>
      </w:r>
      <w:r w:rsidR="00B337D9" w:rsidRPr="00A11DCD">
        <w:t>onver</w:t>
      </w:r>
      <w:r w:rsidRPr="00A11DCD">
        <w:t>sion of</w:t>
      </w:r>
      <w:r w:rsidR="00B337D9" w:rsidRPr="00A11DCD">
        <w:t xml:space="preserve"> </w:t>
      </w:r>
      <w:r w:rsidR="00B02715" w:rsidRPr="00A11DCD">
        <w:t xml:space="preserve">diastereomers </w:t>
      </w:r>
      <w:r w:rsidR="00B02715" w:rsidRPr="00A11DCD">
        <w:rPr>
          <w:b/>
          <w:bCs/>
        </w:rPr>
        <w:t>3</w:t>
      </w:r>
      <w:r w:rsidR="00B02715" w:rsidRPr="00A11DCD">
        <w:t xml:space="preserve"> to structures in which the mechanically axially chiral stereogenic unit is the only fixed source of stereochemistry</w:t>
      </w:r>
      <w:r w:rsidR="00A644E7" w:rsidRPr="00A11DCD">
        <w:t xml:space="preserve"> can be achieved by removing the Boc group</w:t>
      </w:r>
      <w:r w:rsidR="005436A2" w:rsidRPr="00A11DCD">
        <w:t xml:space="preserve"> (Fig. </w:t>
      </w:r>
      <w:r w:rsidR="00366BFD" w:rsidRPr="00A11DCD">
        <w:t>3</w:t>
      </w:r>
      <w:r w:rsidR="005436A2" w:rsidRPr="00A11DCD">
        <w:t>b</w:t>
      </w:r>
      <w:r w:rsidR="002C192A" w:rsidRPr="00A11DCD">
        <w:t xml:space="preserve"> and Supplementary section 5</w:t>
      </w:r>
      <w:r w:rsidR="005436A2" w:rsidRPr="00A11DCD">
        <w:t>)</w:t>
      </w:r>
      <w:r w:rsidR="00BC2EBF" w:rsidRPr="00A11DCD">
        <w:t xml:space="preserve"> or</w:t>
      </w:r>
      <w:r w:rsidR="00A644E7" w:rsidRPr="00A11DCD">
        <w:t xml:space="preserve"> reducing the esters </w:t>
      </w:r>
      <w:r w:rsidR="005436A2" w:rsidRPr="00A11DCD">
        <w:t>(</w:t>
      </w:r>
      <w:r w:rsidR="006405D3" w:rsidRPr="00A11DCD">
        <w:t>Supplementary</w:t>
      </w:r>
      <w:r w:rsidR="005436A2" w:rsidRPr="00A11DCD">
        <w:t xml:space="preserve"> section</w:t>
      </w:r>
      <w:r w:rsidR="00484A27" w:rsidRPr="00A11DCD">
        <w:t xml:space="preserve"> </w:t>
      </w:r>
      <w:r w:rsidR="00CB48E6" w:rsidRPr="00A11DCD">
        <w:t>6</w:t>
      </w:r>
      <w:r w:rsidR="005436A2" w:rsidRPr="00A11DCD">
        <w:t>)</w:t>
      </w:r>
      <w:r w:rsidR="00977200" w:rsidRPr="00A11DCD">
        <w:t>.</w:t>
      </w:r>
      <w:r w:rsidR="00AF14C0" w:rsidRPr="00A11DCD">
        <w:t xml:space="preserve"> </w:t>
      </w:r>
      <w:r w:rsidR="00C82C3A" w:rsidRPr="00A11DCD">
        <w:t xml:space="preserve">Accordingly, </w:t>
      </w:r>
      <w:r w:rsidR="00AF14C0" w:rsidRPr="00A11DCD">
        <w:t xml:space="preserve">removal of the Boc group </w:t>
      </w:r>
      <w:r w:rsidR="008F682E" w:rsidRPr="00A11DCD">
        <w:t>from</w:t>
      </w:r>
      <w:r w:rsidR="009E1327" w:rsidRPr="00A11DCD">
        <w:t xml:space="preserve"> (</w:t>
      </w:r>
      <w:proofErr w:type="spellStart"/>
      <w:proofErr w:type="gramStart"/>
      <w:r w:rsidR="009E1327" w:rsidRPr="00A11DCD">
        <w:rPr>
          <w:i/>
          <w:iCs/>
        </w:rPr>
        <w:t>R</w:t>
      </w:r>
      <w:r w:rsidR="009E1327" w:rsidRPr="00A11DCD">
        <w:rPr>
          <w:vertAlign w:val="subscript"/>
        </w:rPr>
        <w:t>ma</w:t>
      </w:r>
      <w:r w:rsidR="009E1327" w:rsidRPr="00A11DCD">
        <w:t>,</w:t>
      </w:r>
      <w:r w:rsidR="009E1327" w:rsidRPr="00A11DCD">
        <w:rPr>
          <w:i/>
          <w:iCs/>
        </w:rPr>
        <w:t>R</w:t>
      </w:r>
      <w:r w:rsidR="009E1327" w:rsidRPr="00A11DCD">
        <w:rPr>
          <w:vertAlign w:val="subscript"/>
        </w:rPr>
        <w:t>co</w:t>
      </w:r>
      <w:proofErr w:type="spellEnd"/>
      <w:proofErr w:type="gramEnd"/>
      <w:r w:rsidR="009E1327" w:rsidRPr="00A11DCD">
        <w:rPr>
          <w:vertAlign w:val="subscript"/>
        </w:rPr>
        <w:t>-c</w:t>
      </w:r>
      <w:r w:rsidR="009E1327" w:rsidRPr="00A11DCD">
        <w:t>)-</w:t>
      </w:r>
      <w:r w:rsidR="009E1327" w:rsidRPr="00A11DCD">
        <w:rPr>
          <w:b/>
          <w:bCs/>
        </w:rPr>
        <w:t>3</w:t>
      </w:r>
      <w:r w:rsidR="009E1327" w:rsidRPr="00A11DCD">
        <w:t xml:space="preserve"> </w:t>
      </w:r>
      <w:r w:rsidR="008F682E" w:rsidRPr="00A11DCD">
        <w:t>or</w:t>
      </w:r>
      <w:r w:rsidR="009E1327" w:rsidRPr="00A11DCD">
        <w:t xml:space="preserve"> (</w:t>
      </w:r>
      <w:proofErr w:type="spellStart"/>
      <w:r w:rsidR="009E1327" w:rsidRPr="00A11DCD">
        <w:rPr>
          <w:i/>
          <w:iCs/>
        </w:rPr>
        <w:t>S</w:t>
      </w:r>
      <w:r w:rsidR="009E1327" w:rsidRPr="00A11DCD">
        <w:rPr>
          <w:vertAlign w:val="subscript"/>
        </w:rPr>
        <w:t>ma</w:t>
      </w:r>
      <w:r w:rsidR="009E1327" w:rsidRPr="00A11DCD">
        <w:t>,</w:t>
      </w:r>
      <w:r w:rsidR="009E1327" w:rsidRPr="00A11DCD">
        <w:rPr>
          <w:i/>
          <w:iCs/>
        </w:rPr>
        <w:t>R</w:t>
      </w:r>
      <w:r w:rsidR="009E1327" w:rsidRPr="00A11DCD">
        <w:rPr>
          <w:vertAlign w:val="subscript"/>
        </w:rPr>
        <w:t>co</w:t>
      </w:r>
      <w:proofErr w:type="spellEnd"/>
      <w:r w:rsidR="009E1327" w:rsidRPr="00A11DCD">
        <w:rPr>
          <w:vertAlign w:val="subscript"/>
        </w:rPr>
        <w:t>-c</w:t>
      </w:r>
      <w:r w:rsidR="009E1327" w:rsidRPr="00A11DCD">
        <w:t>)-</w:t>
      </w:r>
      <w:r w:rsidR="009E1327" w:rsidRPr="00A11DCD">
        <w:rPr>
          <w:b/>
          <w:bCs/>
        </w:rPr>
        <w:t>3</w:t>
      </w:r>
      <w:r w:rsidR="009E1327" w:rsidRPr="00A11DCD">
        <w:t xml:space="preserve"> </w:t>
      </w:r>
      <w:r w:rsidR="00FB489B" w:rsidRPr="00A11DCD">
        <w:t>gave (</w:t>
      </w:r>
      <w:proofErr w:type="spellStart"/>
      <w:r w:rsidR="00FB489B" w:rsidRPr="00A11DCD">
        <w:rPr>
          <w:i/>
          <w:iCs/>
        </w:rPr>
        <w:t>R</w:t>
      </w:r>
      <w:r w:rsidR="00FB489B" w:rsidRPr="00A11DCD">
        <w:rPr>
          <w:vertAlign w:val="subscript"/>
        </w:rPr>
        <w:t>ma</w:t>
      </w:r>
      <w:proofErr w:type="spellEnd"/>
      <w:r w:rsidR="00FB489B" w:rsidRPr="00A11DCD">
        <w:t>)-</w:t>
      </w:r>
      <w:r w:rsidR="00FB489B" w:rsidRPr="00A11DCD">
        <w:rPr>
          <w:b/>
          <w:bCs/>
        </w:rPr>
        <w:t>6</w:t>
      </w:r>
      <w:r w:rsidR="00FB489B" w:rsidRPr="00A11DCD">
        <w:t xml:space="preserve"> (</w:t>
      </w:r>
      <w:r w:rsidR="00E1702E" w:rsidRPr="00A11DCD">
        <w:t>&gt;99</w:t>
      </w:r>
      <w:r w:rsidR="00FB489B" w:rsidRPr="00A11DCD">
        <w:t xml:space="preserve">% </w:t>
      </w:r>
      <w:proofErr w:type="spellStart"/>
      <w:r w:rsidR="00FB489B" w:rsidRPr="00A11DCD">
        <w:t>e.e.</w:t>
      </w:r>
      <w:proofErr w:type="spellEnd"/>
      <w:r w:rsidR="00FB489B" w:rsidRPr="00A11DCD">
        <w:t>) and (</w:t>
      </w:r>
      <w:proofErr w:type="spellStart"/>
      <w:r w:rsidR="00FB489B" w:rsidRPr="00A11DCD">
        <w:rPr>
          <w:i/>
          <w:iCs/>
        </w:rPr>
        <w:t>S</w:t>
      </w:r>
      <w:r w:rsidR="00FB489B" w:rsidRPr="00A11DCD">
        <w:rPr>
          <w:vertAlign w:val="subscript"/>
        </w:rPr>
        <w:t>ma</w:t>
      </w:r>
      <w:proofErr w:type="spellEnd"/>
      <w:r w:rsidR="00FB489B" w:rsidRPr="00A11DCD">
        <w:t>)-</w:t>
      </w:r>
      <w:r w:rsidR="00FB489B" w:rsidRPr="00A11DCD">
        <w:rPr>
          <w:b/>
          <w:bCs/>
        </w:rPr>
        <w:t>6</w:t>
      </w:r>
      <w:r w:rsidR="00FB489B" w:rsidRPr="00A11DCD">
        <w:t xml:space="preserve">  (</w:t>
      </w:r>
      <w:r w:rsidR="00E1702E" w:rsidRPr="00A11DCD">
        <w:t>&gt;99</w:t>
      </w:r>
      <w:r w:rsidR="00FB489B" w:rsidRPr="00A11DCD">
        <w:t xml:space="preserve">% </w:t>
      </w:r>
      <w:proofErr w:type="spellStart"/>
      <w:r w:rsidR="00FB489B" w:rsidRPr="00A11DCD">
        <w:t>e.e.</w:t>
      </w:r>
      <w:proofErr w:type="spellEnd"/>
      <w:r w:rsidR="00FB489B" w:rsidRPr="00A11DCD">
        <w:t>) respectively</w:t>
      </w:r>
      <w:r w:rsidR="00C82C3A" w:rsidRPr="00A11DCD">
        <w:t xml:space="preserve"> (Fig. 3e)</w:t>
      </w:r>
      <w:r w:rsidR="009E1327" w:rsidRPr="00A11DCD">
        <w:t xml:space="preserve">. The enantiomeric nature of these structures is supported by circular dichroism </w:t>
      </w:r>
      <w:r w:rsidR="009E1327" w:rsidRPr="00A11DCD">
        <w:lastRenderedPageBreak/>
        <w:t xml:space="preserve">(CD) analysis (Fig. </w:t>
      </w:r>
      <w:r w:rsidR="0024300F" w:rsidRPr="00A11DCD">
        <w:t>3f</w:t>
      </w:r>
      <w:r w:rsidR="009E1327" w:rsidRPr="00A11DCD">
        <w:t xml:space="preserve">). The solid-state structure of </w:t>
      </w:r>
      <w:r w:rsidR="009E1327" w:rsidRPr="00A11DCD">
        <w:rPr>
          <w:i/>
          <w:iCs/>
        </w:rPr>
        <w:t>rac</w:t>
      </w:r>
      <w:r w:rsidR="009E1327" w:rsidRPr="00A11DCD">
        <w:t>-</w:t>
      </w:r>
      <w:r w:rsidR="009E1327" w:rsidRPr="00A11DCD">
        <w:rPr>
          <w:b/>
          <w:bCs/>
        </w:rPr>
        <w:t>6</w:t>
      </w:r>
      <w:r w:rsidR="009E1327" w:rsidRPr="00A11DCD">
        <w:t xml:space="preserve"> </w:t>
      </w:r>
      <w:r w:rsidR="0024300F" w:rsidRPr="00A11DCD">
        <w:t xml:space="preserve">(Fig. 3d) </w:t>
      </w:r>
      <w:r w:rsidR="009E1327" w:rsidRPr="00A11DCD">
        <w:t xml:space="preserve">contains both co-conformational diastereomers with the </w:t>
      </w:r>
      <w:proofErr w:type="spellStart"/>
      <w:r w:rsidR="00EE0387" w:rsidRPr="00A11DCD">
        <w:rPr>
          <w:i/>
          <w:iCs/>
        </w:rPr>
        <w:t>rac</w:t>
      </w:r>
      <w:proofErr w:type="spellEnd"/>
      <w:r w:rsidR="00EE0387" w:rsidRPr="00A11DCD">
        <w:t>-</w:t>
      </w:r>
      <w:r w:rsidR="009E1327" w:rsidRPr="00A11DCD">
        <w:t>(</w:t>
      </w:r>
      <w:proofErr w:type="spellStart"/>
      <w:r w:rsidR="0003182E" w:rsidRPr="00A11DCD">
        <w:rPr>
          <w:i/>
          <w:iCs/>
        </w:rPr>
        <w:t>S</w:t>
      </w:r>
      <w:r w:rsidR="009E1327" w:rsidRPr="00A11DCD">
        <w:rPr>
          <w:vertAlign w:val="subscript"/>
        </w:rPr>
        <w:t>ma</w:t>
      </w:r>
      <w:proofErr w:type="spellEnd"/>
      <w:r w:rsidR="009E1327" w:rsidRPr="00A11DCD">
        <w:t>-</w:t>
      </w:r>
      <w:proofErr w:type="spellStart"/>
      <w:r w:rsidR="009E1327" w:rsidRPr="00A11DCD">
        <w:rPr>
          <w:i/>
          <w:iCs/>
        </w:rPr>
        <w:t>R</w:t>
      </w:r>
      <w:r w:rsidR="009E1327" w:rsidRPr="00A11DCD">
        <w:rPr>
          <w:vertAlign w:val="subscript"/>
        </w:rPr>
        <w:t>co</w:t>
      </w:r>
      <w:proofErr w:type="spellEnd"/>
      <w:r w:rsidR="009E1327" w:rsidRPr="00A11DCD">
        <w:rPr>
          <w:vertAlign w:val="subscript"/>
        </w:rPr>
        <w:t>-c</w:t>
      </w:r>
      <w:r w:rsidR="009E1327" w:rsidRPr="00A11DCD">
        <w:t>) co-conformation observed to dominate (</w:t>
      </w:r>
      <w:r w:rsidR="0024300F" w:rsidRPr="00A11DCD">
        <w:t>~</w:t>
      </w:r>
      <w:r w:rsidR="00CE2A1B" w:rsidRPr="00A11DCD">
        <w:t>80</w:t>
      </w:r>
      <w:r w:rsidR="009E1327" w:rsidRPr="00A11DCD">
        <w:t>:</w:t>
      </w:r>
      <w:r w:rsidR="00CE2A1B" w:rsidRPr="00A11DCD">
        <w:t>20</w:t>
      </w:r>
      <w:r w:rsidR="000D292C" w:rsidRPr="00A11DCD">
        <w:t xml:space="preserve">, Supplementary section </w:t>
      </w:r>
      <w:r w:rsidR="005C5D35" w:rsidRPr="00A11DCD">
        <w:t>1</w:t>
      </w:r>
      <w:r w:rsidR="005C5D35">
        <w:t>2</w:t>
      </w:r>
      <w:r w:rsidR="0061427E" w:rsidRPr="00A11DCD">
        <w:t>.2</w:t>
      </w:r>
      <w:r w:rsidR="009E1327" w:rsidRPr="00A11DCD">
        <w:t>).</w:t>
      </w:r>
    </w:p>
    <w:p w14:paraId="0C6432B6" w14:textId="77777777" w:rsidR="00E90E0E" w:rsidRDefault="00E90E0E" w:rsidP="00E90E0E">
      <w:pPr>
        <w:pStyle w:val="NoTemplateFigHeading"/>
      </w:pPr>
      <w:r>
        <w:rPr>
          <w:b/>
          <w:bCs/>
        </w:rPr>
        <w:t>Figure 4.</w:t>
      </w:r>
      <w:r>
        <w:t xml:space="preserve"> Synthesis of mechanically axially chiral rotaxane </w:t>
      </w:r>
      <w:r>
        <w:rPr>
          <w:b/>
          <w:bCs/>
        </w:rPr>
        <w:t>10</w:t>
      </w:r>
      <w:r>
        <w:t xml:space="preserve">. (a) Synthesis of diastereomeric mechanically axially chiral rotaxanes </w:t>
      </w:r>
      <w:r>
        <w:rPr>
          <w:b/>
          <w:bCs/>
        </w:rPr>
        <w:t>9</w:t>
      </w:r>
      <w:r>
        <w:t xml:space="preserve"> by route A or B gives separable rotaxanes </w:t>
      </w:r>
      <w:r>
        <w:rPr>
          <w:b/>
          <w:bCs/>
        </w:rPr>
        <w:t>9</w:t>
      </w:r>
      <w:r>
        <w:t xml:space="preserve"> that are converted to </w:t>
      </w:r>
      <w:r>
        <w:rPr>
          <w:b/>
          <w:bCs/>
        </w:rPr>
        <w:t>10</w:t>
      </w:r>
      <w:r>
        <w:t xml:space="preserve"> by removal of the </w:t>
      </w:r>
      <w:proofErr w:type="spellStart"/>
      <w:r>
        <w:t>Boc</w:t>
      </w:r>
      <w:proofErr w:type="spellEnd"/>
      <w:r>
        <w:t xml:space="preserve"> group. Reagents and conditions: i. macrocycle </w:t>
      </w:r>
      <w:r>
        <w:rPr>
          <w:b/>
          <w:bCs/>
        </w:rPr>
        <w:t>2</w:t>
      </w:r>
      <w:r>
        <w:t xml:space="preserve"> (route A) or macrocycle </w:t>
      </w:r>
      <w:r>
        <w:rPr>
          <w:b/>
          <w:bCs/>
        </w:rPr>
        <w:t>4</w:t>
      </w:r>
      <w:r>
        <w:t xml:space="preserve"> (route B), [</w:t>
      </w:r>
      <w:proofErr w:type="gramStart"/>
      <w:r>
        <w:t>Cu(</w:t>
      </w:r>
      <w:proofErr w:type="spellStart"/>
      <w:proofErr w:type="gramEnd"/>
      <w:r>
        <w:t>MeCN</w:t>
      </w:r>
      <w:proofErr w:type="spellEnd"/>
      <w:r>
        <w:t>)</w:t>
      </w:r>
      <w:r>
        <w:rPr>
          <w:vertAlign w:val="subscript"/>
        </w:rPr>
        <w:t>4</w:t>
      </w:r>
      <w:r>
        <w:t>]PF</w:t>
      </w:r>
      <w:r>
        <w:rPr>
          <w:vertAlign w:val="subscript"/>
        </w:rPr>
        <w:t>6</w:t>
      </w:r>
      <w:r>
        <w:t>, N</w:t>
      </w:r>
      <w:r>
        <w:rPr>
          <w:i/>
          <w:iCs/>
          <w:vertAlign w:val="superscript"/>
        </w:rPr>
        <w:t>i</w:t>
      </w:r>
      <w:r>
        <w:t>Pr</w:t>
      </w:r>
      <w:r>
        <w:rPr>
          <w:vertAlign w:val="subscript"/>
        </w:rPr>
        <w:t>2</w:t>
      </w:r>
      <w:r>
        <w:t>Et, CH</w:t>
      </w:r>
      <w:r>
        <w:rPr>
          <w:vertAlign w:val="subscript"/>
        </w:rPr>
        <w:t>2</w:t>
      </w:r>
      <w:r>
        <w:t>Cl</w:t>
      </w:r>
      <w:r>
        <w:rPr>
          <w:vertAlign w:val="subscript"/>
        </w:rPr>
        <w:t>2</w:t>
      </w:r>
      <w:r>
        <w:t>, rt, 16 h; ii. IBX, NEt</w:t>
      </w:r>
      <w:r>
        <w:rPr>
          <w:vertAlign w:val="subscript"/>
        </w:rPr>
        <w:t>4</w:t>
      </w:r>
      <w:r>
        <w:t>Br, CHCl</w:t>
      </w:r>
      <w:r>
        <w:rPr>
          <w:vertAlign w:val="subscript"/>
        </w:rPr>
        <w:t>3</w:t>
      </w:r>
      <w:r>
        <w:t>-H</w:t>
      </w:r>
      <w:r>
        <w:rPr>
          <w:vertAlign w:val="subscript"/>
        </w:rPr>
        <w:t>2</w:t>
      </w:r>
      <w:r>
        <w:t>O (</w:t>
      </w:r>
      <w:proofErr w:type="gramStart"/>
      <w:r>
        <w:t>99 :</w:t>
      </w:r>
      <w:proofErr w:type="gramEnd"/>
      <w:r>
        <w:t xml:space="preserve"> 1), rt, 16 h; iii. CF</w:t>
      </w:r>
      <w:r>
        <w:rPr>
          <w:vertAlign w:val="subscript"/>
        </w:rPr>
        <w:t>3</w:t>
      </w:r>
      <w:r>
        <w:t>CO</w:t>
      </w:r>
      <w:r>
        <w:rPr>
          <w:vertAlign w:val="subscript"/>
        </w:rPr>
        <w:t>2</w:t>
      </w:r>
      <w:r>
        <w:t>H, CH</w:t>
      </w:r>
      <w:r>
        <w:rPr>
          <w:vertAlign w:val="subscript"/>
        </w:rPr>
        <w:t>2</w:t>
      </w:r>
      <w:r>
        <w:t>Cl</w:t>
      </w:r>
      <w:r>
        <w:rPr>
          <w:vertAlign w:val="subscript"/>
        </w:rPr>
        <w:t>2</w:t>
      </w:r>
      <w:r>
        <w:t>, rt, 16 h. (b) SCXRD analysis of (</w:t>
      </w:r>
      <w:proofErr w:type="spellStart"/>
      <w:proofErr w:type="gramStart"/>
      <w:r>
        <w:rPr>
          <w:i/>
          <w:iCs/>
        </w:rPr>
        <w:t>R</w:t>
      </w:r>
      <w:r>
        <w:rPr>
          <w:vertAlign w:val="subscript"/>
        </w:rPr>
        <w:t>ma</w:t>
      </w:r>
      <w:r>
        <w:t>,</w:t>
      </w:r>
      <w:r>
        <w:rPr>
          <w:i/>
          <w:iCs/>
        </w:rPr>
        <w:t>R</w:t>
      </w:r>
      <w:r>
        <w:rPr>
          <w:vertAlign w:val="subscript"/>
        </w:rPr>
        <w:t>co</w:t>
      </w:r>
      <w:proofErr w:type="spellEnd"/>
      <w:proofErr w:type="gramEnd"/>
      <w:r>
        <w:rPr>
          <w:vertAlign w:val="subscript"/>
        </w:rPr>
        <w:t>-c</w:t>
      </w:r>
      <w:r>
        <w:t>)-</w:t>
      </w:r>
      <w:r>
        <w:rPr>
          <w:b/>
          <w:bCs/>
        </w:rPr>
        <w:t xml:space="preserve">9 </w:t>
      </w:r>
      <w:r>
        <w:t>allowed the major products of routes a and b to assigned. Analysis of (</w:t>
      </w:r>
      <w:proofErr w:type="spellStart"/>
      <w:r>
        <w:rPr>
          <w:i/>
          <w:iCs/>
        </w:rPr>
        <w:t>R</w:t>
      </w:r>
      <w:r>
        <w:rPr>
          <w:vertAlign w:val="subscript"/>
        </w:rPr>
        <w:t>ma</w:t>
      </w:r>
      <w:proofErr w:type="spellEnd"/>
      <w:r>
        <w:t>)-</w:t>
      </w:r>
      <w:r>
        <w:rPr>
          <w:b/>
          <w:bCs/>
        </w:rPr>
        <w:t>10</w:t>
      </w:r>
      <w:r>
        <w:t xml:space="preserve"> (purple) and (</w:t>
      </w:r>
      <w:proofErr w:type="spellStart"/>
      <w:r>
        <w:rPr>
          <w:i/>
          <w:iCs/>
        </w:rPr>
        <w:t>S</w:t>
      </w:r>
      <w:r>
        <w:rPr>
          <w:vertAlign w:val="subscript"/>
        </w:rPr>
        <w:t>ma</w:t>
      </w:r>
      <w:proofErr w:type="spellEnd"/>
      <w:r>
        <w:t>)-</w:t>
      </w:r>
      <w:r>
        <w:rPr>
          <w:b/>
          <w:bCs/>
        </w:rPr>
        <w:t>10</w:t>
      </w:r>
      <w:r>
        <w:t xml:space="preserve"> (orange) by (c) chiral-stationary-phase high-performance liquid chromatography and (d) circular dichroism spectroscopy respectively confirmed their enantiopurity and their chiral nature. IBX = 2-iodoxybenzoic acid.</w:t>
      </w:r>
    </w:p>
    <w:p w14:paraId="0DA27F9A" w14:textId="28013E98" w:rsidR="00E90E0E" w:rsidRDefault="00E90E0E" w:rsidP="00E90E0E">
      <w:pPr>
        <w:pStyle w:val="NoTemplateMainText"/>
        <w:ind w:firstLine="0"/>
      </w:pPr>
      <w:r>
        <w:rPr>
          <w:noProof/>
        </w:rPr>
        <w:drawing>
          <wp:inline distT="0" distB="0" distL="0" distR="0" wp14:anchorId="55F7C323" wp14:editId="6A9A65EF">
            <wp:extent cx="6263640" cy="39319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3640" cy="3931920"/>
                    </a:xfrm>
                    <a:prstGeom prst="rect">
                      <a:avLst/>
                    </a:prstGeom>
                    <a:noFill/>
                    <a:ln>
                      <a:noFill/>
                    </a:ln>
                  </pic:spPr>
                </pic:pic>
              </a:graphicData>
            </a:graphic>
          </wp:inline>
        </w:drawing>
      </w:r>
    </w:p>
    <w:p w14:paraId="55644A9B" w14:textId="77777777" w:rsidR="00A1275C" w:rsidRDefault="00A1275C" w:rsidP="00A1275C">
      <w:pPr>
        <w:pStyle w:val="NoTemplateMainText"/>
      </w:pPr>
      <w:r w:rsidRPr="00A11DCD">
        <w:t xml:space="preserve">The same strategy was used to synthesize mechanically axially chiral rotaxane </w:t>
      </w:r>
      <w:r w:rsidRPr="00A11DCD">
        <w:rPr>
          <w:b/>
          <w:bCs/>
        </w:rPr>
        <w:t>1</w:t>
      </w:r>
      <w:r>
        <w:rPr>
          <w:b/>
          <w:bCs/>
        </w:rPr>
        <w:t>0</w:t>
      </w:r>
      <w:r w:rsidRPr="00A11DCD">
        <w:t xml:space="preserve"> (Fig. 4). Serine-derived azide (</w:t>
      </w:r>
      <w:r w:rsidRPr="00A11DCD">
        <w:rPr>
          <w:i/>
          <w:iCs/>
        </w:rPr>
        <w:t>R</w:t>
      </w:r>
      <w:r w:rsidRPr="00A11DCD">
        <w:t>)-</w:t>
      </w:r>
      <w:r w:rsidRPr="00A11DCD">
        <w:rPr>
          <w:b/>
          <w:bCs/>
        </w:rPr>
        <w:t>7</w:t>
      </w:r>
      <w:r w:rsidRPr="00A11DCD">
        <w:t xml:space="preserve"> (Supplementary section 7), alkyne </w:t>
      </w:r>
      <w:r w:rsidRPr="00A11DCD">
        <w:rPr>
          <w:b/>
          <w:bCs/>
        </w:rPr>
        <w:t>8</w:t>
      </w:r>
      <w:r w:rsidRPr="00A11DCD">
        <w:t xml:space="preserve"> and macrocycle </w:t>
      </w:r>
      <w:r w:rsidRPr="00A11DCD">
        <w:rPr>
          <w:b/>
          <w:bCs/>
        </w:rPr>
        <w:t>2</w:t>
      </w:r>
      <w:r w:rsidRPr="00A11DCD">
        <w:t xml:space="preserve"> were reacted under AT-CuAAC conditions</w:t>
      </w:r>
      <w:r w:rsidRPr="00A11DCD">
        <w:rPr>
          <w:vertAlign w:val="superscript"/>
        </w:rPr>
        <w:endnoteReference w:id="41"/>
      </w:r>
      <w:r w:rsidRPr="00A11DCD">
        <w:t xml:space="preserve"> to give </w:t>
      </w:r>
      <w:r>
        <w:t xml:space="preserve">a separable mixture (75:25 </w:t>
      </w:r>
      <w:proofErr w:type="spellStart"/>
      <w:r>
        <w:t>d.r.</w:t>
      </w:r>
      <w:proofErr w:type="spellEnd"/>
      <w:r>
        <w:t xml:space="preserve">) of </w:t>
      </w:r>
      <w:r w:rsidRPr="00A11DCD">
        <w:t xml:space="preserve">rotaxane diastereomers </w:t>
      </w:r>
      <w:r w:rsidRPr="00A11DCD">
        <w:rPr>
          <w:b/>
          <w:bCs/>
        </w:rPr>
        <w:t>9</w:t>
      </w:r>
      <w:r w:rsidRPr="00A11DCD">
        <w:t xml:space="preserve"> (route </w:t>
      </w:r>
      <w:r>
        <w:t>A</w:t>
      </w:r>
      <w:r w:rsidRPr="00A11DCD">
        <w:t xml:space="preserve">). Rotaxanes </w:t>
      </w:r>
      <w:r w:rsidRPr="00A11DCD">
        <w:rPr>
          <w:b/>
          <w:bCs/>
        </w:rPr>
        <w:t>9</w:t>
      </w:r>
      <w:r w:rsidRPr="00A11DCD">
        <w:t xml:space="preserve"> could also be accessed by reaction of (</w:t>
      </w:r>
      <w:r w:rsidRPr="00A11DCD">
        <w:rPr>
          <w:i/>
          <w:iCs/>
        </w:rPr>
        <w:t>R</w:t>
      </w:r>
      <w:r w:rsidRPr="00A11DCD">
        <w:t>)-</w:t>
      </w:r>
      <w:r w:rsidRPr="00A11DCD">
        <w:rPr>
          <w:b/>
          <w:bCs/>
        </w:rPr>
        <w:t>7</w:t>
      </w:r>
      <w:r w:rsidRPr="00A11DCD">
        <w:t xml:space="preserve">, </w:t>
      </w:r>
      <w:r w:rsidRPr="00A11DCD">
        <w:rPr>
          <w:b/>
          <w:bCs/>
        </w:rPr>
        <w:t>8</w:t>
      </w:r>
      <w:r w:rsidRPr="00A11DCD">
        <w:t xml:space="preserve"> and macrocycle </w:t>
      </w:r>
      <w:r w:rsidRPr="00A11DCD">
        <w:rPr>
          <w:b/>
          <w:bCs/>
        </w:rPr>
        <w:t>4</w:t>
      </w:r>
      <w:r w:rsidRPr="00A11DCD">
        <w:t xml:space="preserve"> followed by oxidation (route </w:t>
      </w:r>
      <w:r>
        <w:t>B</w:t>
      </w:r>
      <w:r w:rsidRPr="00A11DCD">
        <w:t>).</w:t>
      </w:r>
      <w:r>
        <w:t xml:space="preserve"> As with catenanes </w:t>
      </w:r>
      <w:r w:rsidRPr="002F34F2">
        <w:rPr>
          <w:b/>
          <w:bCs/>
        </w:rPr>
        <w:t>3</w:t>
      </w:r>
      <w:r>
        <w:t xml:space="preserve">, the diastereoselectivity of route B varied depending on the oxidant used (see Supplementary section 10.4) and the highest diastereoselectivity was obtained with IBX (40:60). </w:t>
      </w:r>
      <w:r w:rsidRPr="00A11DCD">
        <w:t>SCXRD analysis (Supplementary section 1</w:t>
      </w:r>
      <w:r>
        <w:t>2</w:t>
      </w:r>
      <w:r w:rsidRPr="00A11DCD">
        <w:t xml:space="preserve">.4) of the major isomer obtained using route </w:t>
      </w:r>
      <w:r>
        <w:t>B</w:t>
      </w:r>
      <w:r w:rsidRPr="00A11DCD">
        <w:t xml:space="preserve"> with (</w:t>
      </w:r>
      <w:r w:rsidRPr="00A11DCD">
        <w:rPr>
          <w:i/>
          <w:iCs/>
        </w:rPr>
        <w:t>R</w:t>
      </w:r>
      <w:r w:rsidRPr="00A11DCD">
        <w:t>)-</w:t>
      </w:r>
      <w:r w:rsidRPr="00A11DCD">
        <w:rPr>
          <w:b/>
          <w:bCs/>
        </w:rPr>
        <w:t>7</w:t>
      </w:r>
      <w:r w:rsidRPr="00A11DCD">
        <w:t xml:space="preserve"> (Fig. 4b) allowed the major products of routes </w:t>
      </w:r>
      <w:r>
        <w:t>A</w:t>
      </w:r>
      <w:r w:rsidRPr="00A11DCD">
        <w:t xml:space="preserve"> and </w:t>
      </w:r>
      <w:r>
        <w:t>B</w:t>
      </w:r>
      <w:r w:rsidRPr="00A11DCD">
        <w:t xml:space="preserve"> to be assigned. Removal of the </w:t>
      </w:r>
      <w:proofErr w:type="spellStart"/>
      <w:r w:rsidRPr="00A11DCD">
        <w:t>Boc</w:t>
      </w:r>
      <w:proofErr w:type="spellEnd"/>
      <w:r w:rsidRPr="00A11DCD">
        <w:t xml:space="preserve"> group from separated samples of (</w:t>
      </w:r>
      <w:proofErr w:type="spellStart"/>
      <w:proofErr w:type="gramStart"/>
      <w:r w:rsidRPr="00A11DCD">
        <w:rPr>
          <w:i/>
          <w:iCs/>
        </w:rPr>
        <w:t>R</w:t>
      </w:r>
      <w:r w:rsidRPr="00A11DCD">
        <w:rPr>
          <w:vertAlign w:val="subscript"/>
        </w:rPr>
        <w:t>ma</w:t>
      </w:r>
      <w:r w:rsidRPr="00A11DCD">
        <w:t>,</w:t>
      </w:r>
      <w:r w:rsidRPr="00A11DCD">
        <w:rPr>
          <w:i/>
          <w:iCs/>
        </w:rPr>
        <w:t>R</w:t>
      </w:r>
      <w:r w:rsidRPr="00A11DCD">
        <w:rPr>
          <w:vertAlign w:val="subscript"/>
        </w:rPr>
        <w:t>co</w:t>
      </w:r>
      <w:proofErr w:type="spellEnd"/>
      <w:proofErr w:type="gramEnd"/>
      <w:r w:rsidRPr="00A11DCD">
        <w:rPr>
          <w:vertAlign w:val="subscript"/>
        </w:rPr>
        <w:t>-c</w:t>
      </w:r>
      <w:r w:rsidRPr="00A11DCD">
        <w:t>)-</w:t>
      </w:r>
      <w:r w:rsidRPr="00A11DCD">
        <w:rPr>
          <w:b/>
          <w:bCs/>
        </w:rPr>
        <w:t>9</w:t>
      </w:r>
      <w:r w:rsidRPr="00A11DCD">
        <w:t xml:space="preserve"> and (</w:t>
      </w:r>
      <w:proofErr w:type="spellStart"/>
      <w:r w:rsidRPr="00A11DCD">
        <w:rPr>
          <w:i/>
          <w:iCs/>
        </w:rPr>
        <w:t>S</w:t>
      </w:r>
      <w:r w:rsidRPr="00A11DCD">
        <w:rPr>
          <w:vertAlign w:val="subscript"/>
        </w:rPr>
        <w:t>ma</w:t>
      </w:r>
      <w:r w:rsidRPr="00A11DCD">
        <w:t>,</w:t>
      </w:r>
      <w:r w:rsidRPr="00A11DCD">
        <w:rPr>
          <w:i/>
          <w:iCs/>
        </w:rPr>
        <w:t>R</w:t>
      </w:r>
      <w:r w:rsidRPr="00A11DCD">
        <w:rPr>
          <w:vertAlign w:val="subscript"/>
        </w:rPr>
        <w:t>co</w:t>
      </w:r>
      <w:proofErr w:type="spellEnd"/>
      <w:r w:rsidRPr="00A11DCD">
        <w:rPr>
          <w:vertAlign w:val="subscript"/>
        </w:rPr>
        <w:noBreakHyphen/>
        <w:t>c</w:t>
      </w:r>
      <w:r w:rsidRPr="00A11DCD">
        <w:t>)</w:t>
      </w:r>
      <w:r w:rsidRPr="00A11DCD">
        <w:noBreakHyphen/>
      </w:r>
      <w:r w:rsidRPr="00A11DCD">
        <w:rPr>
          <w:b/>
          <w:bCs/>
        </w:rPr>
        <w:t xml:space="preserve">9 </w:t>
      </w:r>
      <w:r w:rsidRPr="00A11DCD">
        <w:t>gave (</w:t>
      </w:r>
      <w:proofErr w:type="spellStart"/>
      <w:r w:rsidRPr="00A11DCD">
        <w:rPr>
          <w:i/>
          <w:iCs/>
        </w:rPr>
        <w:t>R</w:t>
      </w:r>
      <w:r w:rsidRPr="00A11DCD">
        <w:rPr>
          <w:vertAlign w:val="subscript"/>
        </w:rPr>
        <w:t>ma</w:t>
      </w:r>
      <w:proofErr w:type="spellEnd"/>
      <w:r w:rsidRPr="00A11DCD">
        <w:t>)-</w:t>
      </w:r>
      <w:r w:rsidRPr="00A11DCD">
        <w:rPr>
          <w:b/>
          <w:bCs/>
        </w:rPr>
        <w:t>10</w:t>
      </w:r>
      <w:r w:rsidRPr="00A11DCD">
        <w:t xml:space="preserve"> and (</w:t>
      </w:r>
      <w:proofErr w:type="spellStart"/>
      <w:r w:rsidRPr="00A11DCD">
        <w:rPr>
          <w:i/>
          <w:iCs/>
        </w:rPr>
        <w:t>S</w:t>
      </w:r>
      <w:r w:rsidRPr="00A11DCD">
        <w:rPr>
          <w:vertAlign w:val="subscript"/>
        </w:rPr>
        <w:t>ma</w:t>
      </w:r>
      <w:proofErr w:type="spellEnd"/>
      <w:r w:rsidRPr="00A11DCD">
        <w:t>)-</w:t>
      </w:r>
      <w:r w:rsidRPr="00A11DCD">
        <w:rPr>
          <w:b/>
          <w:bCs/>
        </w:rPr>
        <w:t>10</w:t>
      </w:r>
      <w:r w:rsidRPr="00A11DCD">
        <w:t xml:space="preserve"> respectively in </w:t>
      </w:r>
      <w:r w:rsidRPr="00A11DCD">
        <w:lastRenderedPageBreak/>
        <w:t xml:space="preserve">excellent enantiopurity (&gt;99% </w:t>
      </w:r>
      <w:proofErr w:type="spellStart"/>
      <w:r w:rsidRPr="00A11DCD">
        <w:t>e.e.</w:t>
      </w:r>
      <w:proofErr w:type="spellEnd"/>
      <w:r w:rsidRPr="00A11DCD">
        <w:t>, Fig. 4c). (</w:t>
      </w:r>
      <w:proofErr w:type="spellStart"/>
      <w:r w:rsidRPr="00A11DCD">
        <w:rPr>
          <w:i/>
          <w:iCs/>
        </w:rPr>
        <w:t>R</w:t>
      </w:r>
      <w:r w:rsidRPr="00A11DCD">
        <w:rPr>
          <w:vertAlign w:val="subscript"/>
        </w:rPr>
        <w:t>ma</w:t>
      </w:r>
      <w:proofErr w:type="spellEnd"/>
      <w:r w:rsidRPr="00A11DCD">
        <w:t>)</w:t>
      </w:r>
      <w:r w:rsidRPr="00A11DCD">
        <w:noBreakHyphen/>
      </w:r>
      <w:r w:rsidRPr="00A11DCD">
        <w:rPr>
          <w:b/>
          <w:bCs/>
        </w:rPr>
        <w:t>10</w:t>
      </w:r>
      <w:r w:rsidRPr="00A11DCD">
        <w:t xml:space="preserve"> and (</w:t>
      </w:r>
      <w:proofErr w:type="spellStart"/>
      <w:r w:rsidRPr="00A11DCD">
        <w:rPr>
          <w:i/>
          <w:iCs/>
        </w:rPr>
        <w:t>S</w:t>
      </w:r>
      <w:r w:rsidRPr="00A11DCD">
        <w:rPr>
          <w:vertAlign w:val="subscript"/>
        </w:rPr>
        <w:t>ma</w:t>
      </w:r>
      <w:proofErr w:type="spellEnd"/>
      <w:r w:rsidRPr="00A11DCD">
        <w:t>)-</w:t>
      </w:r>
      <w:r w:rsidRPr="00A11DCD">
        <w:rPr>
          <w:b/>
          <w:bCs/>
        </w:rPr>
        <w:t>10</w:t>
      </w:r>
      <w:r w:rsidRPr="00A11DCD">
        <w:t xml:space="preserve"> produce mirror-image CD spectra (Fig. 4d) emphasizing the chiral nature of the </w:t>
      </w:r>
      <w:r>
        <w:t xml:space="preserve">new </w:t>
      </w:r>
      <w:r w:rsidRPr="00A11DCD">
        <w:t>rotaxane mechanical axial stereogenic unit.</w:t>
      </w:r>
    </w:p>
    <w:p w14:paraId="05277ACA" w14:textId="591FA4D0" w:rsidR="00981331" w:rsidRPr="00A11DCD" w:rsidRDefault="00062A5F" w:rsidP="002A7E5E">
      <w:pPr>
        <w:pStyle w:val="NoTemplateMainText"/>
        <w:ind w:firstLine="0"/>
      </w:pPr>
      <w:r w:rsidRPr="00A11DCD">
        <w:rPr>
          <w:b/>
          <w:bCs/>
        </w:rPr>
        <w:t>Stereochemical assig</w:t>
      </w:r>
      <w:r w:rsidR="00CE2EB9" w:rsidRPr="00A11DCD">
        <w:rPr>
          <w:b/>
          <w:bCs/>
        </w:rPr>
        <w:t>n</w:t>
      </w:r>
      <w:r w:rsidRPr="00A11DCD">
        <w:rPr>
          <w:b/>
          <w:bCs/>
        </w:rPr>
        <w:t>ment and properties of the mechanically axially chiral stereogenic unit.</w:t>
      </w:r>
      <w:r w:rsidRPr="00A11DCD">
        <w:t xml:space="preserve"> </w:t>
      </w:r>
      <w:r w:rsidR="00B024B4" w:rsidRPr="00A11DCD">
        <w:t xml:space="preserve">The assignment of the mechanically axially chiral stereogenic unit relies on identifying the highest priority faces of </w:t>
      </w:r>
      <w:r w:rsidR="00F71BB6" w:rsidRPr="00A11DCD">
        <w:t>each ring</w:t>
      </w:r>
      <w:r w:rsidR="00B84308" w:rsidRPr="00A11DCD">
        <w:t xml:space="preserve">, </w:t>
      </w:r>
      <w:r w:rsidR="0004068E" w:rsidRPr="00A11DCD">
        <w:t xml:space="preserve">as proposed </w:t>
      </w:r>
      <w:r w:rsidR="00A74B19" w:rsidRPr="00A11DCD">
        <w:t>by</w:t>
      </w:r>
      <w:r w:rsidR="00BB47BE" w:rsidRPr="00A11DCD">
        <w:t xml:space="preserve"> Stoddart and Bruns</w:t>
      </w:r>
      <w:r w:rsidR="008A426C" w:rsidRPr="00A11DCD">
        <w:rPr>
          <w:vertAlign w:val="superscript"/>
        </w:rPr>
        <w:fldChar w:fldCharType="begin"/>
      </w:r>
      <w:r w:rsidR="008A426C" w:rsidRPr="00A11DCD">
        <w:rPr>
          <w:vertAlign w:val="superscript"/>
        </w:rPr>
        <w:instrText xml:space="preserve"> NOTEREF _Ref90046833 \h  \* MERGEFORMAT </w:instrText>
      </w:r>
      <w:r w:rsidR="008A426C" w:rsidRPr="00A11DCD">
        <w:rPr>
          <w:vertAlign w:val="superscript"/>
        </w:rPr>
      </w:r>
      <w:r w:rsidR="008A426C" w:rsidRPr="00A11DCD">
        <w:rPr>
          <w:vertAlign w:val="superscript"/>
        </w:rPr>
        <w:fldChar w:fldCharType="separate"/>
      </w:r>
      <w:r w:rsidR="009A0403">
        <w:rPr>
          <w:vertAlign w:val="superscript"/>
        </w:rPr>
        <w:t>13</w:t>
      </w:r>
      <w:r w:rsidR="008A426C" w:rsidRPr="00A11DCD">
        <w:rPr>
          <w:vertAlign w:val="superscript"/>
        </w:rPr>
        <w:fldChar w:fldCharType="end"/>
      </w:r>
      <w:r w:rsidR="00A74B19" w:rsidRPr="00A11DCD">
        <w:t>. However, because this rule had not been applied in a real system, we immediately encountered difficulties</w:t>
      </w:r>
      <w:r w:rsidR="00D8235A" w:rsidRPr="00A11DCD">
        <w:t xml:space="preserve">; to </w:t>
      </w:r>
      <w:r w:rsidR="00D56F3F" w:rsidRPr="00A11DCD">
        <w:t>unambiguously</w:t>
      </w:r>
      <w:r w:rsidR="00D8235A" w:rsidRPr="00A11DCD">
        <w:t xml:space="preserve"> assign the highest</w:t>
      </w:r>
      <w:r w:rsidR="00D56F3F" w:rsidRPr="00A11DCD">
        <w:t xml:space="preserve"> priority face of each ring</w:t>
      </w:r>
      <w:r w:rsidR="00A74B19" w:rsidRPr="00A11DCD">
        <w:t xml:space="preserve"> </w:t>
      </w:r>
      <w:r w:rsidR="00D56F3F" w:rsidRPr="00A11DCD">
        <w:t>the relative orientations of the prochiral units must be specified</w:t>
      </w:r>
      <w:r w:rsidR="00ED3F79">
        <w:t xml:space="preserve"> </w:t>
      </w:r>
      <w:r w:rsidR="00ED3F79" w:rsidRPr="00A11DCD">
        <w:t>(</w:t>
      </w:r>
      <w:r w:rsidR="00ED3F79">
        <w:t xml:space="preserve">for an extended discussion see </w:t>
      </w:r>
      <w:r w:rsidR="00ED3F79" w:rsidRPr="00A11DCD">
        <w:t>Supplementary section 1</w:t>
      </w:r>
      <w:r w:rsidR="00ED3F79">
        <w:t>4</w:t>
      </w:r>
      <w:r w:rsidR="00ED3F79" w:rsidRPr="00A11DCD">
        <w:t>.1)</w:t>
      </w:r>
      <w:r w:rsidR="00D56F3F" w:rsidRPr="00A11DCD">
        <w:t xml:space="preserve">. On reflection, we </w:t>
      </w:r>
      <w:r w:rsidR="006F4341" w:rsidRPr="00A11DCD">
        <w:t>suggest</w:t>
      </w:r>
      <w:r w:rsidR="00CA6C2A" w:rsidRPr="00A11DCD">
        <w:t xml:space="preserve"> that in the case of catenanes the </w:t>
      </w:r>
      <w:r w:rsidR="000835C1" w:rsidRPr="00A11DCD">
        <w:t xml:space="preserve">in-plane substituents of the </w:t>
      </w:r>
      <w:r w:rsidR="00CA6C2A" w:rsidRPr="00A11DCD">
        <w:t xml:space="preserve">prochiral moieties be </w:t>
      </w:r>
      <w:r w:rsidR="00ED3F79">
        <w:t xml:space="preserve">positioned at the extremities of the structure and </w:t>
      </w:r>
      <w:r w:rsidR="00BF352B" w:rsidRPr="00A11DCD">
        <w:t xml:space="preserve">oriented so they </w:t>
      </w:r>
      <w:r w:rsidR="00002B4C">
        <w:t>'</w:t>
      </w:r>
      <w:r w:rsidR="00BF352B" w:rsidRPr="00A11DCD">
        <w:t>point</w:t>
      </w:r>
      <w:r w:rsidR="00002B4C">
        <w:t>'</w:t>
      </w:r>
      <w:r w:rsidR="00002B4C" w:rsidRPr="00A11DCD">
        <w:t xml:space="preserve"> </w:t>
      </w:r>
      <w:r w:rsidR="00BF352B" w:rsidRPr="00A11DCD">
        <w:t>towards one another (Fig</w:t>
      </w:r>
      <w:r w:rsidR="00D17E61" w:rsidRPr="00A11DCD">
        <w:t>.</w:t>
      </w:r>
      <w:r w:rsidR="00BF352B" w:rsidRPr="00A11DCD">
        <w:t xml:space="preserve"> </w:t>
      </w:r>
      <w:r w:rsidR="00CB0A80" w:rsidRPr="00A11DCD">
        <w:t>5</w:t>
      </w:r>
      <w:r w:rsidR="00BF352B" w:rsidRPr="00A11DCD">
        <w:t>a)</w:t>
      </w:r>
      <w:r w:rsidR="00BB47BE" w:rsidRPr="00A11DCD">
        <w:t>. Conversely,</w:t>
      </w:r>
      <w:r w:rsidR="00BF352B" w:rsidRPr="00A11DCD">
        <w:t xml:space="preserve"> in the equivalent rotaxane</w:t>
      </w:r>
      <w:r w:rsidR="00B90E3F" w:rsidRPr="00A11DCD">
        <w:t>, we suggest they</w:t>
      </w:r>
      <w:r w:rsidR="00BB47BE" w:rsidRPr="00A11DCD">
        <w:t xml:space="preserve"> be oriented to</w:t>
      </w:r>
      <w:r w:rsidR="00B90E3F" w:rsidRPr="00A11DCD">
        <w:t xml:space="preserve"> point in the same direction</w:t>
      </w:r>
      <w:r w:rsidR="00BB47BE" w:rsidRPr="00A11DCD">
        <w:t xml:space="preserve"> </w:t>
      </w:r>
      <w:r w:rsidR="009A11B0" w:rsidRPr="00A11DCD">
        <w:t xml:space="preserve">(Fig. </w:t>
      </w:r>
      <w:r w:rsidR="00CB0A80" w:rsidRPr="00A11DCD">
        <w:t>5</w:t>
      </w:r>
      <w:r w:rsidR="009A11B0" w:rsidRPr="00A11DCD">
        <w:t>b)</w:t>
      </w:r>
      <w:r w:rsidR="00B90E3F" w:rsidRPr="00A11DCD">
        <w:t xml:space="preserve">. </w:t>
      </w:r>
      <w:r w:rsidR="003C1F4E" w:rsidRPr="00A11DCD">
        <w:t xml:space="preserve">The latter, somewhat </w:t>
      </w:r>
      <w:r w:rsidR="00B90E3F" w:rsidRPr="00A11DCD">
        <w:t>counterintuitive</w:t>
      </w:r>
      <w:r w:rsidR="003C1F4E" w:rsidRPr="00A11DCD">
        <w:t>,</w:t>
      </w:r>
      <w:r w:rsidR="00B90E3F" w:rsidRPr="00A11DCD">
        <w:t xml:space="preserve"> proposal</w:t>
      </w:r>
      <w:r w:rsidR="00BD03D1" w:rsidRPr="00A11DCD">
        <w:t xml:space="preserve"> is </w:t>
      </w:r>
      <w:r w:rsidR="00B90E3F" w:rsidRPr="00A11DCD">
        <w:t xml:space="preserve">designed to ensure that </w:t>
      </w:r>
      <w:r w:rsidR="000F3D0B" w:rsidRPr="00A11DCD">
        <w:t xml:space="preserve">a mechanically axially chiral rotaxane </w:t>
      </w:r>
      <w:r w:rsidR="00F72160" w:rsidRPr="00A11DCD">
        <w:t>derived from the notional ring opening of</w:t>
      </w:r>
      <w:r w:rsidR="000F3D0B" w:rsidRPr="00A11DCD">
        <w:t xml:space="preserve"> an axially chiral catenane </w:t>
      </w:r>
      <w:r w:rsidR="002B0207" w:rsidRPr="00A11DCD">
        <w:t xml:space="preserve">would </w:t>
      </w:r>
      <w:r w:rsidR="006F4341" w:rsidRPr="00A11DCD">
        <w:t>retain</w:t>
      </w:r>
      <w:r w:rsidR="002B0207" w:rsidRPr="00A11DCD">
        <w:t xml:space="preserve"> the same </w:t>
      </w:r>
      <w:proofErr w:type="spellStart"/>
      <w:r w:rsidR="002B0207" w:rsidRPr="00A11DCD">
        <w:t>stereolabel</w:t>
      </w:r>
      <w:proofErr w:type="spellEnd"/>
      <w:r w:rsidR="002B0207" w:rsidRPr="00A11DCD">
        <w:t>.</w:t>
      </w:r>
      <w:r w:rsidR="00507C3E" w:rsidRPr="00A11DCD">
        <w:t xml:space="preserve"> The absolute stereochemistry </w:t>
      </w:r>
      <w:r w:rsidR="00B77BFA" w:rsidRPr="00A11DCD">
        <w:t xml:space="preserve">of both mechanically axially chiral catenanes and rotaxanes </w:t>
      </w:r>
      <w:r w:rsidR="007D7557" w:rsidRPr="00A11DCD">
        <w:t>can</w:t>
      </w:r>
      <w:r w:rsidR="00507C3E" w:rsidRPr="00A11DCD">
        <w:t xml:space="preserve"> then</w:t>
      </w:r>
      <w:r w:rsidR="007D7557" w:rsidRPr="00A11DCD">
        <w:t xml:space="preserve"> be</w:t>
      </w:r>
      <w:r w:rsidR="00507C3E" w:rsidRPr="00A11DCD">
        <w:t xml:space="preserve"> assigned by </w:t>
      </w:r>
      <w:r w:rsidR="00E84E9D" w:rsidRPr="00A11DCD">
        <w:t xml:space="preserve">viewing the ensemble </w:t>
      </w:r>
      <w:r w:rsidR="00981331" w:rsidRPr="00A11DCD">
        <w:t xml:space="preserve">along the axis connecting the prochiral units and observing the relative orientation of the vectors </w:t>
      </w:r>
      <w:r w:rsidR="00BB5ADC" w:rsidRPr="00A11DCD">
        <w:t xml:space="preserve">from the </w:t>
      </w:r>
      <w:r w:rsidR="00AC2318" w:rsidRPr="00A11DCD">
        <w:t xml:space="preserve">out of plane substituent </w:t>
      </w:r>
      <w:r w:rsidR="00BB5ADC" w:rsidRPr="00A11DCD">
        <w:t xml:space="preserve">with the highest priority </w:t>
      </w:r>
      <w:r w:rsidR="00AC2318" w:rsidRPr="00A11DCD">
        <w:t xml:space="preserve">to the </w:t>
      </w:r>
      <w:r w:rsidR="00BB5ADC" w:rsidRPr="00A11DCD">
        <w:t xml:space="preserve">lowest priority as shown; </w:t>
      </w:r>
      <w:r w:rsidR="002A7E5E" w:rsidRPr="00A11DCD">
        <w:t>a clockwise directio</w:t>
      </w:r>
      <w:r w:rsidR="00981331" w:rsidRPr="00A11DCD">
        <w:t>n of rotation from the head of the front vector to the tail of the rear vector</w:t>
      </w:r>
      <w:r w:rsidR="002A7E5E" w:rsidRPr="00A11DCD">
        <w:t xml:space="preserve"> is</w:t>
      </w:r>
      <w:r w:rsidR="00981331" w:rsidRPr="00A11DCD">
        <w:t xml:space="preserve"> assigned as </w:t>
      </w:r>
      <w:proofErr w:type="spellStart"/>
      <w:r w:rsidR="00981331" w:rsidRPr="00A11DCD">
        <w:rPr>
          <w:i/>
          <w:iCs/>
        </w:rPr>
        <w:t>R</w:t>
      </w:r>
      <w:r w:rsidR="00981331" w:rsidRPr="00A11DCD">
        <w:rPr>
          <w:vertAlign w:val="subscript"/>
        </w:rPr>
        <w:t>ma</w:t>
      </w:r>
      <w:proofErr w:type="spellEnd"/>
      <w:r w:rsidR="006A6A97" w:rsidRPr="00A11DCD">
        <w:t xml:space="preserve"> and</w:t>
      </w:r>
      <w:r w:rsidR="00981331" w:rsidRPr="00A11DCD">
        <w:t xml:space="preserve"> a</w:t>
      </w:r>
      <w:r w:rsidR="006A6A97" w:rsidRPr="00A11DCD">
        <w:t>n anticlockwise path</w:t>
      </w:r>
      <w:r w:rsidR="00981331" w:rsidRPr="00A11DCD">
        <w:t xml:space="preserve"> assigned as </w:t>
      </w:r>
      <w:proofErr w:type="spellStart"/>
      <w:r w:rsidR="00981331" w:rsidRPr="00A11DCD">
        <w:rPr>
          <w:i/>
          <w:iCs/>
        </w:rPr>
        <w:t>S</w:t>
      </w:r>
      <w:r w:rsidR="00981331" w:rsidRPr="00A11DCD">
        <w:rPr>
          <w:vertAlign w:val="subscript"/>
        </w:rPr>
        <w:t>ma</w:t>
      </w:r>
      <w:proofErr w:type="spellEnd"/>
      <w:r w:rsidR="00981331" w:rsidRPr="00A11DCD">
        <w:t xml:space="preserve">. </w:t>
      </w:r>
      <w:r w:rsidR="00A4332C" w:rsidRPr="00A11DCD">
        <w:t xml:space="preserve">This approach can be readily extended to molecules where </w:t>
      </w:r>
      <w:r w:rsidR="0099641D" w:rsidRPr="00A11DCD">
        <w:t xml:space="preserve">facial dissymmetry arises due to </w:t>
      </w:r>
      <w:r w:rsidR="00DE446B">
        <w:t xml:space="preserve">prochiral </w:t>
      </w:r>
      <w:r w:rsidR="0099641D" w:rsidRPr="00A11DCD">
        <w:t xml:space="preserve">stereogenic axes or planes (Supplementary section </w:t>
      </w:r>
      <w:r w:rsidR="00AC35D7" w:rsidRPr="00A11DCD">
        <w:t>1</w:t>
      </w:r>
      <w:r w:rsidR="00E402C9">
        <w:t>4</w:t>
      </w:r>
      <w:r w:rsidR="00AC35D7" w:rsidRPr="00A11DCD">
        <w:t>.2)</w:t>
      </w:r>
      <w:r w:rsidR="002E5D09" w:rsidRPr="00A11DCD">
        <w:t>.</w:t>
      </w:r>
    </w:p>
    <w:p w14:paraId="0488E90C" w14:textId="441426B1" w:rsidR="00B629A3" w:rsidRPr="00A11DCD" w:rsidRDefault="002B0207" w:rsidP="00062A5F">
      <w:pPr>
        <w:pStyle w:val="NoTemplateMainText"/>
        <w:ind w:firstLine="0"/>
      </w:pPr>
      <w:r w:rsidRPr="00A11DCD">
        <w:tab/>
      </w:r>
      <w:r w:rsidR="009F54C8" w:rsidRPr="00A11DCD">
        <w:t xml:space="preserve">Finally, </w:t>
      </w:r>
      <w:r w:rsidR="009F23A2" w:rsidRPr="00A11DCD">
        <w:t>we</w:t>
      </w:r>
      <w:r w:rsidR="009F54C8" w:rsidRPr="00A11DCD">
        <w:t xml:space="preserve"> consider</w:t>
      </w:r>
      <w:r w:rsidR="006F4341" w:rsidRPr="00A11DCD">
        <w:t>ed</w:t>
      </w:r>
      <w:r w:rsidR="009F54C8" w:rsidRPr="00A11DCD">
        <w:t xml:space="preserve"> the</w:t>
      </w:r>
      <w:r w:rsidR="0038311B" w:rsidRPr="00A11DCD">
        <w:t xml:space="preserve"> stereochemical</w:t>
      </w:r>
      <w:r w:rsidR="009F54C8" w:rsidRPr="00A11DCD">
        <w:t xml:space="preserve"> nature of catenanes </w:t>
      </w:r>
      <w:r w:rsidR="0082198C" w:rsidRPr="00A11DCD">
        <w:t>in which</w:t>
      </w:r>
      <w:r w:rsidR="009F54C8" w:rsidRPr="00A11DCD">
        <w:t xml:space="preserve"> one or </w:t>
      </w:r>
      <w:r w:rsidR="001D58B3" w:rsidRPr="00A11DCD">
        <w:t>both prochiral</w:t>
      </w:r>
      <w:r w:rsidR="009F54C8" w:rsidRPr="00A11DCD">
        <w:t xml:space="preserve"> units are replaced with covalent stereocentres</w:t>
      </w:r>
      <w:r w:rsidR="006821B1" w:rsidRPr="00A11DCD">
        <w:t>. Such structures</w:t>
      </w:r>
      <w:r w:rsidR="00FE3B77" w:rsidRPr="00A11DCD">
        <w:t xml:space="preserve"> represent logical </w:t>
      </w:r>
      <w:r w:rsidR="006821B1" w:rsidRPr="00A11DCD">
        <w:t xml:space="preserve">alternative </w:t>
      </w:r>
      <w:r w:rsidR="00FE3B77" w:rsidRPr="00A11DCD">
        <w:t>precursors to axially chiral</w:t>
      </w:r>
      <w:r w:rsidR="006821B1" w:rsidRPr="00A11DCD">
        <w:t xml:space="preserve"> catenanes i</w:t>
      </w:r>
      <w:r w:rsidR="00320A62" w:rsidRPr="00A11DCD">
        <w:t xml:space="preserve">f they could be prepared </w:t>
      </w:r>
      <w:proofErr w:type="spellStart"/>
      <w:r w:rsidR="00320A62" w:rsidRPr="00A11DCD">
        <w:t>diastereoselectively</w:t>
      </w:r>
      <w:proofErr w:type="spellEnd"/>
      <w:r w:rsidR="00320A62" w:rsidRPr="00A11DCD">
        <w:t xml:space="preserve"> and</w:t>
      </w:r>
      <w:r w:rsidR="006821B1" w:rsidRPr="00A11DCD">
        <w:t xml:space="preserve"> the in-plane substituents</w:t>
      </w:r>
      <w:r w:rsidR="00320A62" w:rsidRPr="00A11DCD">
        <w:t xml:space="preserve"> subsequently symmetrized. Furthermore,</w:t>
      </w:r>
      <w:r w:rsidR="00FE3B77" w:rsidRPr="00A11DCD">
        <w:t xml:space="preserve"> </w:t>
      </w:r>
      <w:r w:rsidR="002E1E8C" w:rsidRPr="00A11DCD">
        <w:t xml:space="preserve">there has been a suggestion that </w:t>
      </w:r>
      <w:r w:rsidR="00694124" w:rsidRPr="00A11DCD">
        <w:t xml:space="preserve">the latter class </w:t>
      </w:r>
      <w:r w:rsidR="001D58B3" w:rsidRPr="00A11DCD">
        <w:t xml:space="preserve">might contain both mechanical axial and </w:t>
      </w:r>
      <w:r w:rsidR="003D60E4" w:rsidRPr="00A11DCD">
        <w:t xml:space="preserve">mechanical </w:t>
      </w:r>
      <w:r w:rsidR="001D58B3" w:rsidRPr="00A11DCD">
        <w:t>topological stereogenic units</w:t>
      </w:r>
      <w:r w:rsidR="00DF325A" w:rsidRPr="00A11DCD">
        <w:rPr>
          <w:vertAlign w:val="superscript"/>
        </w:rPr>
        <w:endnoteReference w:id="42"/>
      </w:r>
      <w:r w:rsidR="00FE3B77" w:rsidRPr="00A11DCD">
        <w:t xml:space="preserve">. </w:t>
      </w:r>
      <w:r w:rsidR="00ED4B6E" w:rsidRPr="00A11DCD">
        <w:t xml:space="preserve">In the </w:t>
      </w:r>
      <w:r w:rsidR="00516582" w:rsidRPr="00A11DCD">
        <w:t xml:space="preserve">case of catenanes containing one stereogenic and one prochiral </w:t>
      </w:r>
      <w:proofErr w:type="spellStart"/>
      <w:r w:rsidR="00516582" w:rsidRPr="00A11DCD">
        <w:t>centre</w:t>
      </w:r>
      <w:proofErr w:type="spellEnd"/>
      <w:r w:rsidR="00694124" w:rsidRPr="00A11DCD">
        <w:t xml:space="preserve"> (Fig. </w:t>
      </w:r>
      <w:r w:rsidR="009709DB" w:rsidRPr="00A11DCD">
        <w:t>5</w:t>
      </w:r>
      <w:r w:rsidR="006F0898" w:rsidRPr="00A11DCD">
        <w:t>c)</w:t>
      </w:r>
      <w:r w:rsidR="00ED4B6E" w:rsidRPr="00A11DCD">
        <w:t>, ligand permutation</w:t>
      </w:r>
      <w:r w:rsidR="00682D39" w:rsidRPr="00A11DCD">
        <w:t xml:space="preserve"> analysis</w:t>
      </w:r>
      <w:r w:rsidR="00A94B1D" w:rsidRPr="00A11DCD">
        <w:t xml:space="preserve"> </w:t>
      </w:r>
      <w:r w:rsidR="001820E6" w:rsidRPr="00A11DCD">
        <w:t xml:space="preserve">reveals </w:t>
      </w:r>
      <w:r w:rsidR="00F87288" w:rsidRPr="00A11DCD">
        <w:t>two diastereomer</w:t>
      </w:r>
      <w:r w:rsidR="00C9758C" w:rsidRPr="00A11DCD">
        <w:t>s</w:t>
      </w:r>
      <w:r w:rsidR="00F87288" w:rsidRPr="00A11DCD">
        <w:t xml:space="preserve"> </w:t>
      </w:r>
      <w:r w:rsidR="006210DB" w:rsidRPr="00A11DCD">
        <w:t>(shown) and their enantiomers</w:t>
      </w:r>
      <w:r w:rsidR="00052D25" w:rsidRPr="00A11DCD">
        <w:t xml:space="preserve"> (</w:t>
      </w:r>
      <w:proofErr w:type="gramStart"/>
      <w:r w:rsidR="00052D25" w:rsidRPr="00A11DCD">
        <w:t>i.e.</w:t>
      </w:r>
      <w:proofErr w:type="gramEnd"/>
      <w:r w:rsidR="00052D25" w:rsidRPr="00A11DCD">
        <w:t xml:space="preserve"> four stereoisomers</w:t>
      </w:r>
      <w:r w:rsidR="00A94B1D" w:rsidRPr="00A11DCD">
        <w:t xml:space="preserve"> total</w:t>
      </w:r>
      <w:r w:rsidR="00052D25" w:rsidRPr="00A11DCD">
        <w:t>),</w:t>
      </w:r>
      <w:r w:rsidR="00F87288" w:rsidRPr="00A11DCD">
        <w:t xml:space="preserve"> consistent with </w:t>
      </w:r>
      <w:r w:rsidR="006165CE" w:rsidRPr="00A11DCD">
        <w:t xml:space="preserve">one </w:t>
      </w:r>
      <w:r w:rsidR="00EB7777" w:rsidRPr="00A11DCD">
        <w:t>covalent</w:t>
      </w:r>
      <w:r w:rsidR="006165CE" w:rsidRPr="00A11DCD">
        <w:t xml:space="preserve"> </w:t>
      </w:r>
      <w:proofErr w:type="spellStart"/>
      <w:r w:rsidR="00F5222F" w:rsidRPr="00A11DCD">
        <w:t>centre</w:t>
      </w:r>
      <w:proofErr w:type="spellEnd"/>
      <w:r w:rsidR="00F5222F" w:rsidRPr="00A11DCD">
        <w:t xml:space="preserve"> </w:t>
      </w:r>
      <w:r w:rsidR="006165CE" w:rsidRPr="00A11DCD">
        <w:t>and one mechanical axial stereogenic unit</w:t>
      </w:r>
      <w:r w:rsidR="00D57906">
        <w:t xml:space="preserve"> </w:t>
      </w:r>
      <w:r w:rsidR="00D57906" w:rsidRPr="00A11DCD">
        <w:t>(</w:t>
      </w:r>
      <w:r w:rsidR="00D57906">
        <w:t xml:space="preserve">for an extended discussion see </w:t>
      </w:r>
      <w:r w:rsidR="00D57906" w:rsidRPr="00A11DCD">
        <w:t>Supplementary section 1</w:t>
      </w:r>
      <w:r w:rsidR="00D57906">
        <w:t>5</w:t>
      </w:r>
      <w:r w:rsidR="00D57906" w:rsidRPr="00A11DCD">
        <w:t>.1)</w:t>
      </w:r>
      <w:r w:rsidR="006165CE" w:rsidRPr="00A11DCD">
        <w:t>.</w:t>
      </w:r>
    </w:p>
    <w:p w14:paraId="030F5249" w14:textId="77777777" w:rsidR="00A1275C" w:rsidRDefault="00A1275C" w:rsidP="00A1275C">
      <w:pPr>
        <w:pStyle w:val="NoTemplateFigHeading"/>
      </w:pPr>
      <w:r>
        <w:rPr>
          <w:b/>
          <w:bCs/>
        </w:rPr>
        <w:lastRenderedPageBreak/>
        <w:t>Figure 5.</w:t>
      </w:r>
      <w:r>
        <w:t xml:space="preserve"> Assignment and further analysis of the mechanical axial stereogenic unit. Methods to assign the stereogenic units of mechanically axially chiral (a) catenanes and (b) rotaxanes by specifying the relative orientation of prochiral moieties. (c) The two diastereomers identified in catenanes containing one prochiral and one fixed covalent stereogenic center. (d) The four diastereomers identified in catenanes containing a covalent stereogenic center in both rings whose structures can be specified using either a mechanical topological or axial </w:t>
      </w:r>
      <w:proofErr w:type="spellStart"/>
      <w:r>
        <w:t>stereodescriptor</w:t>
      </w:r>
      <w:proofErr w:type="spellEnd"/>
      <w:r>
        <w:t xml:space="preserve">. (e) Selective </w:t>
      </w:r>
      <w:proofErr w:type="spellStart"/>
      <w:r>
        <w:t>symmetrization</w:t>
      </w:r>
      <w:proofErr w:type="spellEnd"/>
      <w:r>
        <w:t xml:space="preserve"> of the in-plane or out of plane substituents of one diastereomers of (d) gives a topologically or axially chiral catenane respectively. R = CO</w:t>
      </w:r>
      <w:r>
        <w:rPr>
          <w:vertAlign w:val="subscript"/>
        </w:rPr>
        <w:t>2</w:t>
      </w:r>
      <w:r>
        <w:t>Me.</w:t>
      </w:r>
    </w:p>
    <w:p w14:paraId="1B4A0E32" w14:textId="7D537503" w:rsidR="00A1275C" w:rsidRDefault="005228AE" w:rsidP="00A1275C">
      <w:pPr>
        <w:pStyle w:val="NoTemplateMainText"/>
        <w:ind w:firstLine="0"/>
      </w:pPr>
      <w:r>
        <w:rPr>
          <w:noProof/>
        </w:rPr>
        <w:drawing>
          <wp:inline distT="0" distB="0" distL="0" distR="0" wp14:anchorId="64B31852" wp14:editId="1BA0A7D6">
            <wp:extent cx="6263640" cy="41300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3640" cy="4130040"/>
                    </a:xfrm>
                    <a:prstGeom prst="rect">
                      <a:avLst/>
                    </a:prstGeom>
                    <a:noFill/>
                    <a:ln>
                      <a:noFill/>
                    </a:ln>
                  </pic:spPr>
                </pic:pic>
              </a:graphicData>
            </a:graphic>
          </wp:inline>
        </w:drawing>
      </w:r>
    </w:p>
    <w:p w14:paraId="1DA5F02E" w14:textId="69BBF969" w:rsidR="00C716B7" w:rsidRDefault="006165CE" w:rsidP="005228AE">
      <w:pPr>
        <w:pStyle w:val="NoTemplateMainText"/>
      </w:pPr>
      <w:r w:rsidRPr="00A11DCD">
        <w:t xml:space="preserve">In the </w:t>
      </w:r>
      <w:r w:rsidR="00B629A3" w:rsidRPr="00A11DCD">
        <w:t xml:space="preserve">case of catenanes containing </w:t>
      </w:r>
      <w:r w:rsidR="00C43B0B" w:rsidRPr="00A11DCD">
        <w:t xml:space="preserve">a stereogenic </w:t>
      </w:r>
      <w:proofErr w:type="spellStart"/>
      <w:r w:rsidR="00C43B0B" w:rsidRPr="00A11DCD">
        <w:t>centre</w:t>
      </w:r>
      <w:proofErr w:type="spellEnd"/>
      <w:r w:rsidR="00C43B0B" w:rsidRPr="00A11DCD">
        <w:t xml:space="preserve"> in each ring</w:t>
      </w:r>
      <w:r w:rsidRPr="00A11DCD">
        <w:t>,</w:t>
      </w:r>
      <w:r w:rsidR="001F343B" w:rsidRPr="00A11DCD">
        <w:t xml:space="preserve"> ligand permutation</w:t>
      </w:r>
      <w:r w:rsidR="0020769F" w:rsidRPr="00A11DCD">
        <w:t xml:space="preserve"> </w:t>
      </w:r>
      <w:r w:rsidR="00E23613" w:rsidRPr="00A11DCD">
        <w:t>reveals</w:t>
      </w:r>
      <w:r w:rsidR="00BC34AF" w:rsidRPr="00A11DCD">
        <w:t xml:space="preserve"> </w:t>
      </w:r>
      <w:r w:rsidR="00FD1264" w:rsidRPr="00A11DCD">
        <w:t>four diaster</w:t>
      </w:r>
      <w:r w:rsidR="00AB5A53">
        <w:t>e</w:t>
      </w:r>
      <w:r w:rsidR="00FD1264" w:rsidRPr="00A11DCD">
        <w:t>omers</w:t>
      </w:r>
      <w:r w:rsidR="006E04F7" w:rsidRPr="00A11DCD">
        <w:t xml:space="preserve"> </w:t>
      </w:r>
      <w:r w:rsidR="00FC59C3" w:rsidRPr="00A11DCD">
        <w:t>(Fig. 5d)</w:t>
      </w:r>
      <w:r w:rsidR="006E04F7" w:rsidRPr="00A11DCD">
        <w:t xml:space="preserve"> and their enantiomers</w:t>
      </w:r>
      <w:r w:rsidR="00052D25" w:rsidRPr="00A11DCD">
        <w:t xml:space="preserve"> (eight stereoisomers</w:t>
      </w:r>
      <w:r w:rsidR="00A94B1D" w:rsidRPr="00A11DCD">
        <w:t xml:space="preserve"> total</w:t>
      </w:r>
      <w:r w:rsidR="00052D25" w:rsidRPr="00A11DCD">
        <w:t>),</w:t>
      </w:r>
      <w:r w:rsidRPr="00A11DCD">
        <w:t xml:space="preserve"> consistent with two covalent and one mechanical stereogenic unit</w:t>
      </w:r>
      <w:r w:rsidR="00D57906">
        <w:t xml:space="preserve"> </w:t>
      </w:r>
      <w:r w:rsidR="00D57906" w:rsidRPr="00A11DCD">
        <w:t>(</w:t>
      </w:r>
      <w:r w:rsidR="00D57906">
        <w:t xml:space="preserve">for an extended discussion see </w:t>
      </w:r>
      <w:r w:rsidR="00D57906" w:rsidRPr="00A11DCD">
        <w:t>Supplementary section 1</w:t>
      </w:r>
      <w:r w:rsidR="00D57906">
        <w:t>5</w:t>
      </w:r>
      <w:r w:rsidR="00D57906" w:rsidRPr="00A11DCD">
        <w:t>.2)</w:t>
      </w:r>
      <w:r w:rsidR="00052D25" w:rsidRPr="00A11DCD">
        <w:t>. However,</w:t>
      </w:r>
      <w:r w:rsidR="00BC34AF" w:rsidRPr="00A11DCD">
        <w:t xml:space="preserve"> </w:t>
      </w:r>
      <w:r w:rsidRPr="00A11DCD">
        <w:t xml:space="preserve">the nature of the mechanical stereochemistry is </w:t>
      </w:r>
      <w:r w:rsidR="00BC34AF" w:rsidRPr="00A11DCD">
        <w:t>ambiguous</w:t>
      </w:r>
      <w:r w:rsidR="001E2D79" w:rsidRPr="00A11DCD">
        <w:t>;</w:t>
      </w:r>
      <w:r w:rsidR="00052D25" w:rsidRPr="00A11DCD">
        <w:t xml:space="preserve"> </w:t>
      </w:r>
      <w:r w:rsidR="00A4017F" w:rsidRPr="00A11DCD">
        <w:t>e</w:t>
      </w:r>
      <w:r w:rsidR="00693F86" w:rsidRPr="00A11DCD">
        <w:t xml:space="preserve">ach </w:t>
      </w:r>
      <w:r w:rsidR="00C11880" w:rsidRPr="00A11DCD">
        <w:t>structure</w:t>
      </w:r>
      <w:r w:rsidR="00693F86" w:rsidRPr="00A11DCD">
        <w:t xml:space="preserve"> can be assigned </w:t>
      </w:r>
      <w:r w:rsidR="00C11880" w:rsidRPr="00A11DCD">
        <w:t>both</w:t>
      </w:r>
      <w:r w:rsidR="00693F86" w:rsidRPr="00A11DCD">
        <w:t xml:space="preserve"> a mechanical axial</w:t>
      </w:r>
      <w:r w:rsidRPr="00A11DCD">
        <w:t xml:space="preserve"> </w:t>
      </w:r>
      <w:proofErr w:type="gramStart"/>
      <w:r w:rsidR="00693F86" w:rsidRPr="00A11DCD">
        <w:t>or</w:t>
      </w:r>
      <w:proofErr w:type="gramEnd"/>
      <w:r w:rsidR="00693F86" w:rsidRPr="00A11DCD">
        <w:t xml:space="preserve"> a mechanical topological </w:t>
      </w:r>
      <w:proofErr w:type="spellStart"/>
      <w:r w:rsidR="00693F86" w:rsidRPr="00A11DCD">
        <w:t>stereodescriptor</w:t>
      </w:r>
      <w:proofErr w:type="spellEnd"/>
      <w:r w:rsidR="007526B5" w:rsidRPr="00A11DCD">
        <w:t>,</w:t>
      </w:r>
      <w:r w:rsidR="00A4017F" w:rsidRPr="00A11DCD">
        <w:t xml:space="preserve"> </w:t>
      </w:r>
      <w:r w:rsidR="00C11880" w:rsidRPr="00A11DCD">
        <w:t xml:space="preserve">but </w:t>
      </w:r>
      <w:r w:rsidR="00DA54D2" w:rsidRPr="00A11DCD">
        <w:t xml:space="preserve">only one </w:t>
      </w:r>
      <w:r w:rsidR="007526B5" w:rsidRPr="00A11DCD">
        <w:t xml:space="preserve">of </w:t>
      </w:r>
      <w:r w:rsidR="00C11880" w:rsidRPr="00A11DCD">
        <w:t>these</w:t>
      </w:r>
      <w:r w:rsidR="00DA54D2" w:rsidRPr="00A11DCD">
        <w:t xml:space="preserve"> is required to </w:t>
      </w:r>
      <w:r w:rsidR="001A2D36" w:rsidRPr="00A11DCD">
        <w:t xml:space="preserve">fully </w:t>
      </w:r>
      <w:r w:rsidR="00DA54D2" w:rsidRPr="00A11DCD">
        <w:t>specify the structure</w:t>
      </w:r>
      <w:r w:rsidR="001933B3" w:rsidRPr="00A11DCD">
        <w:t>. This</w:t>
      </w:r>
      <w:r w:rsidR="00C71B9C" w:rsidRPr="00A11DCD">
        <w:t xml:space="preserve"> </w:t>
      </w:r>
      <w:r w:rsidR="003D1A3B" w:rsidRPr="00A11DCD">
        <w:t xml:space="preserve">analysis </w:t>
      </w:r>
      <w:r w:rsidR="00C71B9C" w:rsidRPr="00A11DCD">
        <w:t>suggest</w:t>
      </w:r>
      <w:r w:rsidR="001933B3" w:rsidRPr="00A11DCD">
        <w:t>s</w:t>
      </w:r>
      <w:r w:rsidR="00C71B9C" w:rsidRPr="00A11DCD">
        <w:t xml:space="preserve"> </w:t>
      </w:r>
      <w:r w:rsidR="001933B3" w:rsidRPr="00A11DCD">
        <w:t xml:space="preserve">that </w:t>
      </w:r>
      <w:r w:rsidR="00C71B9C" w:rsidRPr="00A11DCD">
        <w:t>it would be</w:t>
      </w:r>
      <w:r w:rsidR="00493B31" w:rsidRPr="00A11DCD">
        <w:t xml:space="preserve"> incorrect to </w:t>
      </w:r>
      <w:r w:rsidR="00C71B9C" w:rsidRPr="00A11DCD">
        <w:t xml:space="preserve">describe </w:t>
      </w:r>
      <w:r w:rsidR="007526B5" w:rsidRPr="00A11DCD">
        <w:t xml:space="preserve">such catenanes as </w:t>
      </w:r>
      <w:r w:rsidR="007C10FF" w:rsidRPr="00A11DCD">
        <w:t xml:space="preserve">simultaneously </w:t>
      </w:r>
      <w:r w:rsidR="00493B31" w:rsidRPr="00A11DCD">
        <w:t>topologically and mechanically axially chiral</w:t>
      </w:r>
      <w:r w:rsidR="001933B3" w:rsidRPr="00A11DCD">
        <w:t xml:space="preserve"> – one of the </w:t>
      </w:r>
      <w:proofErr w:type="spellStart"/>
      <w:r w:rsidR="001933B3" w:rsidRPr="00A11DCD">
        <w:t>stereolabels</w:t>
      </w:r>
      <w:proofErr w:type="spellEnd"/>
      <w:r w:rsidR="001933B3" w:rsidRPr="00A11DCD">
        <w:t xml:space="preserve"> would be redundant</w:t>
      </w:r>
      <w:r w:rsidR="00F104F0" w:rsidRPr="00A11DCD">
        <w:t xml:space="preserve"> – but that it is unclear which description should take priority</w:t>
      </w:r>
      <w:r w:rsidR="00DA54D2" w:rsidRPr="00A11DCD">
        <w:t xml:space="preserve">. </w:t>
      </w:r>
      <w:r w:rsidR="00EC1534">
        <w:t xml:space="preserve">Our preference would be to </w:t>
      </w:r>
      <w:r w:rsidR="00B86787">
        <w:t>apply</w:t>
      </w:r>
      <w:r w:rsidR="00EC1534">
        <w:t xml:space="preserve"> the mechanical topological </w:t>
      </w:r>
      <w:proofErr w:type="spellStart"/>
      <w:r w:rsidR="00EC1534">
        <w:t>stereodescriptor</w:t>
      </w:r>
      <w:proofErr w:type="spellEnd"/>
      <w:r w:rsidR="00EC1534">
        <w:t xml:space="preserve"> as </w:t>
      </w:r>
      <w:proofErr w:type="gramStart"/>
      <w:r w:rsidR="00EC1534">
        <w:t xml:space="preserve">this </w:t>
      </w:r>
      <w:r w:rsidR="00B86787">
        <w:t>captures</w:t>
      </w:r>
      <w:proofErr w:type="gramEnd"/>
      <w:r w:rsidR="00B86787">
        <w:t xml:space="preserve"> one of the interesting features of the system, that </w:t>
      </w:r>
      <w:r w:rsidR="0010394F">
        <w:t xml:space="preserve">one of component of its stereochemistry is topologically </w:t>
      </w:r>
      <w:r w:rsidR="0010394F" w:rsidRPr="00046836">
        <w:t>invariant</w:t>
      </w:r>
      <w:r w:rsidR="006F158C" w:rsidRPr="00046836">
        <w:rPr>
          <w:rStyle w:val="EndnoteReference"/>
          <w:rFonts w:ascii="Arial" w:hAnsi="Arial"/>
          <w:sz w:val="22"/>
        </w:rPr>
        <w:endnoteReference w:id="43"/>
      </w:r>
      <w:r w:rsidR="0010394F" w:rsidRPr="00046836">
        <w:t>.</w:t>
      </w:r>
      <w:r w:rsidR="0010394F">
        <w:t xml:space="preserve"> </w:t>
      </w:r>
      <w:r w:rsidR="00505F38" w:rsidRPr="00A11DCD">
        <w:t xml:space="preserve">This </w:t>
      </w:r>
      <w:r w:rsidR="007C10FF" w:rsidRPr="00A11DCD">
        <w:t xml:space="preserve">analysis </w:t>
      </w:r>
      <w:r w:rsidR="00505F38" w:rsidRPr="00A11DCD">
        <w:t>may appear philosophical in nature but has implications for the synthesis of chiral catenanes</w:t>
      </w:r>
      <w:r w:rsidR="007C10FF" w:rsidRPr="00A11DCD">
        <w:t>. I</w:t>
      </w:r>
      <w:r w:rsidR="00505F38" w:rsidRPr="00A11DCD">
        <w:t xml:space="preserve">f a single diastereomer of such a catenane could be isolated, it could be converted to an axially chiral </w:t>
      </w:r>
      <w:r w:rsidR="007C10FF" w:rsidRPr="00A11DCD">
        <w:t>catenane</w:t>
      </w:r>
      <w:r w:rsidR="00505F38" w:rsidRPr="00A11DCD">
        <w:t xml:space="preserve"> by selective </w:t>
      </w:r>
      <w:proofErr w:type="spellStart"/>
      <w:r w:rsidR="00505F38" w:rsidRPr="00A11DCD">
        <w:t>symmetri</w:t>
      </w:r>
      <w:r w:rsidR="00FC1709" w:rsidRPr="00A11DCD">
        <w:t>z</w:t>
      </w:r>
      <w:r w:rsidR="00505F38" w:rsidRPr="00A11DCD">
        <w:t>ation</w:t>
      </w:r>
      <w:proofErr w:type="spellEnd"/>
      <w:r w:rsidR="00505F38" w:rsidRPr="00A11DCD">
        <w:t xml:space="preserve"> of the in-plane substituents, or a topologically </w:t>
      </w:r>
      <w:r w:rsidR="00505F38" w:rsidRPr="00A11DCD">
        <w:lastRenderedPageBreak/>
        <w:t xml:space="preserve">chiral catenane by </w:t>
      </w:r>
      <w:proofErr w:type="spellStart"/>
      <w:r w:rsidR="00505F38" w:rsidRPr="00A11DCD">
        <w:t>symmetri</w:t>
      </w:r>
      <w:r w:rsidR="00FC1709" w:rsidRPr="00A11DCD">
        <w:t>z</w:t>
      </w:r>
      <w:r w:rsidR="00505F38" w:rsidRPr="00A11DCD">
        <w:t>ation</w:t>
      </w:r>
      <w:proofErr w:type="spellEnd"/>
      <w:r w:rsidR="00505F38" w:rsidRPr="00A11DCD">
        <w:t xml:space="preserve"> of the out</w:t>
      </w:r>
      <w:r w:rsidR="007822CC" w:rsidRPr="00A11DCD">
        <w:t>-</w:t>
      </w:r>
      <w:r w:rsidR="00505F38" w:rsidRPr="00A11DCD">
        <w:t>of</w:t>
      </w:r>
      <w:r w:rsidR="007822CC" w:rsidRPr="00A11DCD">
        <w:t>-</w:t>
      </w:r>
      <w:r w:rsidR="00505F38" w:rsidRPr="00A11DCD">
        <w:t>plane substituents</w:t>
      </w:r>
      <w:r w:rsidR="007C10FF" w:rsidRPr="00A11DCD">
        <w:t xml:space="preserve"> (Fig. 5e)</w:t>
      </w:r>
      <w:r w:rsidR="00FC1709" w:rsidRPr="00A11DCD">
        <w:t xml:space="preserve">. This </w:t>
      </w:r>
      <w:r w:rsidR="007C10FF" w:rsidRPr="00A11DCD">
        <w:t>analysis</w:t>
      </w:r>
      <w:r w:rsidR="00FC1709" w:rsidRPr="00A11DCD">
        <w:t xml:space="preserve"> further</w:t>
      </w:r>
      <w:r w:rsidR="00505F38" w:rsidRPr="00A11DCD">
        <w:t xml:space="preserve"> highlight</w:t>
      </w:r>
      <w:r w:rsidR="00FC1709" w:rsidRPr="00A11DCD">
        <w:t>s</w:t>
      </w:r>
      <w:r w:rsidR="00505F38" w:rsidRPr="00A11DCD">
        <w:t xml:space="preserve"> </w:t>
      </w:r>
      <w:r w:rsidR="007C10FF" w:rsidRPr="00A11DCD">
        <w:t xml:space="preserve">that </w:t>
      </w:r>
      <w:r w:rsidR="00505F38" w:rsidRPr="00A11DCD">
        <w:t>how a stereogenic unit is conceptualized can guide the development of new methodologies.</w:t>
      </w:r>
    </w:p>
    <w:p w14:paraId="22B2BCCC" w14:textId="25648DF0" w:rsidR="004F5554" w:rsidRPr="00A11DCD" w:rsidRDefault="004F5554" w:rsidP="00BA26E1">
      <w:pPr>
        <w:pStyle w:val="NoTemplateHeading1"/>
      </w:pPr>
      <w:r w:rsidRPr="00A11DCD">
        <w:t>Conclusions</w:t>
      </w:r>
    </w:p>
    <w:p w14:paraId="55546336" w14:textId="422F1BE3" w:rsidR="0002351D" w:rsidRDefault="00570F17" w:rsidP="001E59EC">
      <w:pPr>
        <w:pStyle w:val="NoTemplateMainText"/>
        <w:ind w:firstLine="0"/>
      </w:pPr>
      <w:bookmarkStart w:id="11" w:name="OLE_LINK1"/>
      <w:r w:rsidRPr="00A11DCD">
        <w:t xml:space="preserve">Detailed analysis of the symmetry properties of the mechanically axially chiral stereogenic unit of catenanes, and </w:t>
      </w:r>
      <w:proofErr w:type="gramStart"/>
      <w:r w:rsidRPr="00A11DCD">
        <w:t>in particular the</w:t>
      </w:r>
      <w:proofErr w:type="gramEnd"/>
      <w:r w:rsidRPr="00A11DCD">
        <w:t xml:space="preserve"> use of s</w:t>
      </w:r>
      <w:r w:rsidR="00F9642C" w:rsidRPr="00A11DCD">
        <w:t xml:space="preserve">emi-structural </w:t>
      </w:r>
      <w:r w:rsidRPr="00A11DCD">
        <w:t xml:space="preserve">representations, </w:t>
      </w:r>
      <w:r w:rsidR="00766989" w:rsidRPr="00A11DCD">
        <w:t>allowed us to</w:t>
      </w:r>
      <w:r w:rsidR="00C864E2" w:rsidRPr="00A11DCD">
        <w:t xml:space="preserve"> identif</w:t>
      </w:r>
      <w:r w:rsidR="00766989" w:rsidRPr="00A11DCD">
        <w:t>y</w:t>
      </w:r>
      <w:r w:rsidR="000643ED" w:rsidRPr="00A11DCD">
        <w:t xml:space="preserve"> </w:t>
      </w:r>
      <w:r w:rsidR="00C864E2" w:rsidRPr="00A11DCD">
        <w:t xml:space="preserve">an efficient </w:t>
      </w:r>
      <w:r w:rsidR="000643ED" w:rsidRPr="00A11DCD">
        <w:t xml:space="preserve">co-conformational auxiliary </w:t>
      </w:r>
      <w:r w:rsidR="00C864E2" w:rsidRPr="00A11DCD">
        <w:t xml:space="preserve">approach to </w:t>
      </w:r>
      <w:r w:rsidR="00F9642C" w:rsidRPr="00A11DCD">
        <w:t>mechanically axially chiral catenanes</w:t>
      </w:r>
      <w:r w:rsidR="00EE2882" w:rsidRPr="00A11DCD">
        <w:t xml:space="preserve"> </w:t>
      </w:r>
      <w:r w:rsidR="00C63491" w:rsidRPr="00A11DCD">
        <w:t>and</w:t>
      </w:r>
      <w:r w:rsidR="00ED42B3" w:rsidRPr="00A11DCD">
        <w:t xml:space="preserve"> </w:t>
      </w:r>
      <w:r w:rsidR="00C864E2" w:rsidRPr="00A11DCD">
        <w:t xml:space="preserve">revealed </w:t>
      </w:r>
      <w:r w:rsidR="000643ED" w:rsidRPr="00A11DCD">
        <w:t xml:space="preserve">a previously overlooked </w:t>
      </w:r>
      <w:r w:rsidR="00545781" w:rsidRPr="00A11DCD">
        <w:t xml:space="preserve">noncanonical </w:t>
      </w:r>
      <w:r w:rsidR="000643ED" w:rsidRPr="00A11DCD">
        <w:t>axially chiral stereogenic unit i</w:t>
      </w:r>
      <w:r w:rsidR="007867FD" w:rsidRPr="00A11DCD">
        <w:t>n</w:t>
      </w:r>
      <w:r w:rsidR="000643ED" w:rsidRPr="00A11DCD">
        <w:t xml:space="preserve"> rotaxanes</w:t>
      </w:r>
      <w:bookmarkEnd w:id="11"/>
      <w:r w:rsidR="00EE2882" w:rsidRPr="00A11DCD">
        <w:t>. The latter is</w:t>
      </w:r>
      <w:r w:rsidR="00197435" w:rsidRPr="00A11DCD">
        <w:t xml:space="preserve"> a rare example of a </w:t>
      </w:r>
      <w:r w:rsidR="0002351D">
        <w:t>'</w:t>
      </w:r>
      <w:r w:rsidR="00197435" w:rsidRPr="00A11DCD">
        <w:t>new</w:t>
      </w:r>
      <w:r w:rsidR="0002351D">
        <w:t>'</w:t>
      </w:r>
      <w:r w:rsidR="0002351D" w:rsidRPr="00A11DCD">
        <w:t xml:space="preserve"> </w:t>
      </w:r>
      <w:r w:rsidR="00DE34C7" w:rsidRPr="00A11DCD">
        <w:t>source</w:t>
      </w:r>
      <w:r w:rsidR="00197435" w:rsidRPr="00A11DCD">
        <w:t xml:space="preserve"> of stereoisomerism,</w:t>
      </w:r>
      <w:r w:rsidR="004369B0" w:rsidRPr="00A11DCD">
        <w:t xml:space="preserve"> as opposed to </w:t>
      </w:r>
      <w:r w:rsidR="00C63491" w:rsidRPr="00A11DCD">
        <w:t>a</w:t>
      </w:r>
      <w:r w:rsidR="009F0071" w:rsidRPr="00A11DCD">
        <w:t>n overlooked</w:t>
      </w:r>
      <w:r w:rsidR="00C63491" w:rsidRPr="00A11DCD">
        <w:t xml:space="preserve"> </w:t>
      </w:r>
      <w:r w:rsidR="004369B0" w:rsidRPr="00A11DCD">
        <w:t>p</w:t>
      </w:r>
      <w:r w:rsidR="00607019" w:rsidRPr="00A11DCD">
        <w:t>athway of isomer exchange</w:t>
      </w:r>
      <w:r w:rsidR="00607019" w:rsidRPr="00A11DCD">
        <w:rPr>
          <w:rStyle w:val="EndnoteReference"/>
          <w:rFonts w:ascii="Arial" w:hAnsi="Arial"/>
          <w:sz w:val="22"/>
        </w:rPr>
        <w:endnoteReference w:id="44"/>
      </w:r>
      <w:r w:rsidR="00DE5EE1" w:rsidRPr="00A11DCD">
        <w:rPr>
          <w:vertAlign w:val="superscript"/>
        </w:rPr>
        <w:t>,</w:t>
      </w:r>
      <w:r w:rsidR="00DE5EE1" w:rsidRPr="00A11DCD">
        <w:fldChar w:fldCharType="begin"/>
      </w:r>
      <w:r w:rsidR="00DE5EE1" w:rsidRPr="00A11DCD">
        <w:instrText xml:space="preserve"> LINK </w:instrText>
      </w:r>
      <w:r w:rsidR="00274152">
        <w:instrText xml:space="preserve">Word.Document.12 "https://sotonac.sharepoint.com/teams/GoldupGroup2/Shared Documents/z Peter Gallagher/2021 NatChem MAC/Manuscript/2020 11 08 axial chirality Nature.docx" OLE_LINK2 </w:instrText>
      </w:r>
      <w:r w:rsidR="00DE5EE1" w:rsidRPr="00A11DCD">
        <w:instrText xml:space="preserve">\a \r </w:instrText>
      </w:r>
      <w:r w:rsidR="00A11DCD">
        <w:instrText xml:space="preserve"> \* MERGEFORMAT </w:instrText>
      </w:r>
      <w:r w:rsidR="00DE5EE1" w:rsidRPr="00A11DCD">
        <w:fldChar w:fldCharType="separate"/>
      </w:r>
      <w:bookmarkStart w:id="12" w:name="_1699885822"/>
      <w:bookmarkEnd w:id="12"/>
      <w:r w:rsidR="00C225CA" w:rsidRPr="00E17D2D">
        <w:rPr>
          <w:rStyle w:val="EndnoteReference"/>
          <w:rFonts w:ascii="Arial" w:hAnsi="Arial"/>
          <w:sz w:val="22"/>
        </w:rPr>
        <w:endnoteReference w:id="45"/>
      </w:r>
      <w:r w:rsidR="00DE5EE1" w:rsidRPr="00A11DCD">
        <w:fldChar w:fldCharType="end"/>
      </w:r>
      <w:r w:rsidR="00DE5EE1" w:rsidRPr="00A11DCD">
        <w:t xml:space="preserve"> </w:t>
      </w:r>
      <w:r w:rsidR="00B71D1D" w:rsidRPr="00A11DCD">
        <w:t xml:space="preserve">or an overlooked opportunity for </w:t>
      </w:r>
      <w:proofErr w:type="spellStart"/>
      <w:r w:rsidR="00B71D1D" w:rsidRPr="00A11DCD">
        <w:t>atropis</w:t>
      </w:r>
      <w:r w:rsidR="00071205" w:rsidRPr="00A11DCD">
        <w:t>omerism</w:t>
      </w:r>
      <w:bookmarkStart w:id="13" w:name="OLE_LINK2"/>
      <w:proofErr w:type="spellEnd"/>
      <w:r w:rsidR="008C59D2" w:rsidRPr="00A11DCD">
        <w:rPr>
          <w:rStyle w:val="EndnoteReference"/>
          <w:rFonts w:ascii="Arial" w:hAnsi="Arial"/>
          <w:sz w:val="22"/>
        </w:rPr>
        <w:endnoteReference w:id="46"/>
      </w:r>
      <w:bookmarkEnd w:id="13"/>
      <w:r w:rsidR="00071205" w:rsidRPr="00A11DCD">
        <w:t xml:space="preserve">, </w:t>
      </w:r>
      <w:r w:rsidR="008C59D2" w:rsidRPr="00A11DCD">
        <w:t>as</w:t>
      </w:r>
      <w:r w:rsidR="00071205" w:rsidRPr="00A11DCD">
        <w:t xml:space="preserve"> have recently been reported</w:t>
      </w:r>
      <w:r w:rsidR="007356BE" w:rsidRPr="00A11DCD">
        <w:t>.</w:t>
      </w:r>
      <w:r w:rsidR="001E59EC" w:rsidRPr="00A11DCD">
        <w:t xml:space="preserve"> </w:t>
      </w:r>
      <w:r w:rsidR="00A55B70" w:rsidRPr="00A11DCD">
        <w:t>T</w:t>
      </w:r>
      <w:r w:rsidR="00107FB8" w:rsidRPr="00A11DCD">
        <w:t xml:space="preserve">he </w:t>
      </w:r>
      <w:r w:rsidR="00B83B30" w:rsidRPr="00A11DCD">
        <w:t xml:space="preserve">rotaxane </w:t>
      </w:r>
      <w:r w:rsidR="00107FB8" w:rsidRPr="00A11DCD">
        <w:t xml:space="preserve">mechanical axial stereogenic </w:t>
      </w:r>
      <w:r w:rsidR="007356BE" w:rsidRPr="00A11DCD">
        <w:t>is</w:t>
      </w:r>
      <w:r w:rsidR="00197435" w:rsidRPr="00A11DCD">
        <w:t xml:space="preserve"> so closely related to that of catenanes it </w:t>
      </w:r>
      <w:r w:rsidR="00DA1EA1" w:rsidRPr="00A11DCD">
        <w:t xml:space="preserve">is </w:t>
      </w:r>
      <w:r w:rsidR="00DA0747" w:rsidRPr="00A11DCD">
        <w:t>surprising that it</w:t>
      </w:r>
      <w:r w:rsidR="007356BE" w:rsidRPr="00A11DCD">
        <w:t xml:space="preserve"> was overlooked for so long</w:t>
      </w:r>
      <w:r w:rsidR="00A55B70" w:rsidRPr="00A11DCD">
        <w:t xml:space="preserve">, which may </w:t>
      </w:r>
      <w:r w:rsidR="00DA1EA1" w:rsidRPr="00A11DCD">
        <w:t>in part</w:t>
      </w:r>
      <w:r w:rsidR="00A55B70" w:rsidRPr="00A11DCD">
        <w:t xml:space="preserve"> be</w:t>
      </w:r>
      <w:r w:rsidR="00DA1EA1" w:rsidRPr="00A11DCD">
        <w:t xml:space="preserve"> due to the use of</w:t>
      </w:r>
      <w:r w:rsidR="00F57969" w:rsidRPr="00A11DCD">
        <w:t xml:space="preserve"> schematic </w:t>
      </w:r>
      <w:r w:rsidR="007827E4" w:rsidRPr="00A11DCD">
        <w:t>structure</w:t>
      </w:r>
      <w:r w:rsidR="00F57969" w:rsidRPr="00A11DCD">
        <w:t xml:space="preserve">s </w:t>
      </w:r>
      <w:r w:rsidR="00387697" w:rsidRPr="00A11DCD">
        <w:t xml:space="preserve">(Fig. 1b) </w:t>
      </w:r>
      <w:r w:rsidR="00F57969" w:rsidRPr="00A11DCD">
        <w:t xml:space="preserve">that focus on symmetry without reference to </w:t>
      </w:r>
      <w:r w:rsidR="001776E3" w:rsidRPr="00A11DCD">
        <w:t>underlying</w:t>
      </w:r>
      <w:r w:rsidR="00F57969" w:rsidRPr="00A11DCD">
        <w:t xml:space="preserve"> chemical </w:t>
      </w:r>
      <w:r w:rsidR="00387697" w:rsidRPr="00A11DCD">
        <w:t>structure</w:t>
      </w:r>
      <w:r w:rsidR="006F07C0" w:rsidRPr="00A11DCD">
        <w:t>;</w:t>
      </w:r>
      <w:r w:rsidR="007827E4" w:rsidRPr="00A11DCD">
        <w:t xml:space="preserve"> although </w:t>
      </w:r>
      <w:r w:rsidR="006F07C0" w:rsidRPr="00A11DCD">
        <w:t xml:space="preserve">these are </w:t>
      </w:r>
      <w:r w:rsidR="00E402C9" w:rsidRPr="00A11DCD">
        <w:t>useful,</w:t>
      </w:r>
      <w:r w:rsidR="006F07C0" w:rsidRPr="00A11DCD">
        <w:t xml:space="preserve"> they</w:t>
      </w:r>
      <w:r w:rsidR="00F57969" w:rsidRPr="00A11DCD">
        <w:t xml:space="preserve"> can </w:t>
      </w:r>
      <w:r w:rsidR="006F07C0" w:rsidRPr="00A11DCD">
        <w:t xml:space="preserve">also </w:t>
      </w:r>
      <w:r w:rsidR="00F57969" w:rsidRPr="00A11DCD">
        <w:t xml:space="preserve">obscure important chemical information. </w:t>
      </w:r>
      <w:r w:rsidR="00871B38" w:rsidRPr="00A11DCD">
        <w:t>Indeed, given that the fixed mechanical stereogenic units of catenanes (topological and axial) now both have an equivalent in rotaxane structures (planar and axial), it appears sensible to suggest that the stereochemistry of rotaxanes and catenanes be unified rather than treated as separate as they are typically</w:t>
      </w:r>
      <w:r w:rsidR="00871B38" w:rsidRPr="00A11DCD">
        <w:rPr>
          <w:rStyle w:val="EndnoteReference"/>
          <w:rFonts w:ascii="Arial" w:hAnsi="Arial"/>
          <w:sz w:val="22"/>
        </w:rPr>
        <w:endnoteReference w:id="47"/>
      </w:r>
      <w:r w:rsidR="00871B38" w:rsidRPr="00A11DCD">
        <w:t xml:space="preserve">. </w:t>
      </w:r>
    </w:p>
    <w:p w14:paraId="1BA9FE89" w14:textId="5B2809E8" w:rsidR="00DA3CB5" w:rsidRDefault="0002351D" w:rsidP="001E59EC">
      <w:pPr>
        <w:pStyle w:val="NoTemplateMainText"/>
        <w:ind w:firstLine="0"/>
      </w:pPr>
      <w:r>
        <w:tab/>
      </w:r>
      <w:r w:rsidR="00E0318B" w:rsidRPr="00A11DCD">
        <w:t>O</w:t>
      </w:r>
      <w:r w:rsidR="008850D2" w:rsidRPr="00A11DCD">
        <w:t>ur</w:t>
      </w:r>
      <w:r w:rsidR="00017CD8" w:rsidRPr="00A11DCD">
        <w:t xml:space="preserve"> </w:t>
      </w:r>
      <w:r w:rsidR="00E0318B" w:rsidRPr="00A11DCD">
        <w:t>analysis</w:t>
      </w:r>
      <w:r w:rsidR="00E303FA" w:rsidRPr="00A11DCD">
        <w:t xml:space="preserve"> </w:t>
      </w:r>
      <w:r w:rsidR="00E0318B" w:rsidRPr="00A11DCD">
        <w:t xml:space="preserve">also led </w:t>
      </w:r>
      <w:r w:rsidR="004A3B91" w:rsidRPr="00A11DCD">
        <w:t xml:space="preserve">to the surprising conclusion that catenanes </w:t>
      </w:r>
      <w:r w:rsidR="00F81932" w:rsidRPr="00A11DCD">
        <w:t xml:space="preserve">based on </w:t>
      </w:r>
      <w:r w:rsidR="00E0318B" w:rsidRPr="00A11DCD">
        <w:t xml:space="preserve">two </w:t>
      </w:r>
      <w:r w:rsidR="00F81932" w:rsidRPr="00A11DCD">
        <w:t xml:space="preserve">rings </w:t>
      </w:r>
      <w:r w:rsidR="008850D2" w:rsidRPr="00A11DCD">
        <w:t xml:space="preserve">each </w:t>
      </w:r>
      <w:r w:rsidR="00F81932" w:rsidRPr="00A11DCD">
        <w:t xml:space="preserve">containing a single stereogenic center can be described as either mechanically topologically or axially chiral but </w:t>
      </w:r>
      <w:r w:rsidR="00C90928" w:rsidRPr="00A11DCD">
        <w:t xml:space="preserve">that only one </w:t>
      </w:r>
      <w:r w:rsidR="00923014" w:rsidRPr="00A11DCD">
        <w:t xml:space="preserve">mechanical </w:t>
      </w:r>
      <w:proofErr w:type="spellStart"/>
      <w:r w:rsidR="00C90928" w:rsidRPr="00A11DCD">
        <w:t>stereodescriptor</w:t>
      </w:r>
      <w:proofErr w:type="spellEnd"/>
      <w:r w:rsidR="00C90928" w:rsidRPr="00A11DCD">
        <w:t xml:space="preserve"> is required to specify their structure</w:t>
      </w:r>
      <w:r w:rsidR="007A5057" w:rsidRPr="00A11DCD">
        <w:t>,</w:t>
      </w:r>
      <w:r w:rsidR="001A6825" w:rsidRPr="00A11DCD">
        <w:t xml:space="preserve"> an</w:t>
      </w:r>
      <w:r w:rsidR="00F81932" w:rsidRPr="00A11DCD">
        <w:t xml:space="preserve"> observation </w:t>
      </w:r>
      <w:r w:rsidR="001A6825" w:rsidRPr="00A11DCD">
        <w:t>with</w:t>
      </w:r>
      <w:r w:rsidR="00F81932" w:rsidRPr="00A11DCD">
        <w:t xml:space="preserve"> implications for </w:t>
      </w:r>
      <w:r w:rsidR="00301D12" w:rsidRPr="00A11DCD">
        <w:t>future</w:t>
      </w:r>
      <w:r w:rsidR="00F81932" w:rsidRPr="00A11DCD">
        <w:t xml:space="preserve"> </w:t>
      </w:r>
      <w:r w:rsidR="008850D2" w:rsidRPr="00A11DCD">
        <w:t>studies</w:t>
      </w:r>
      <w:r w:rsidR="001A6825" w:rsidRPr="00A11DCD">
        <w:t xml:space="preserve">. </w:t>
      </w:r>
      <w:r w:rsidR="00BA00CE" w:rsidRPr="00A11DCD">
        <w:t>Given</w:t>
      </w:r>
      <w:r w:rsidR="009B4DFF" w:rsidRPr="00A11DCD">
        <w:t xml:space="preserve"> the</w:t>
      </w:r>
      <w:r w:rsidR="00BA00CE" w:rsidRPr="00A11DCD">
        <w:t xml:space="preserve"> </w:t>
      </w:r>
      <w:r w:rsidR="00A2491B" w:rsidRPr="00A11DCD">
        <w:t>increasing interest in applications of chiral interlocked molecules</w:t>
      </w:r>
      <w:r w:rsidR="00A2491B" w:rsidRPr="00A11DCD">
        <w:rPr>
          <w:vertAlign w:val="superscript"/>
        </w:rPr>
        <w:endnoteReference w:id="48"/>
      </w:r>
      <w:r w:rsidR="00A2491B" w:rsidRPr="00A11DCD">
        <w:rPr>
          <w:vertAlign w:val="superscript"/>
        </w:rPr>
        <w:t>,</w:t>
      </w:r>
      <w:r w:rsidR="00A2491B" w:rsidRPr="00A11DCD">
        <w:rPr>
          <w:vertAlign w:val="superscript"/>
        </w:rPr>
        <w:endnoteReference w:id="49"/>
      </w:r>
      <w:r w:rsidR="00A2491B" w:rsidRPr="00A11DCD">
        <w:rPr>
          <w:vertAlign w:val="superscript"/>
        </w:rPr>
        <w:t>,</w:t>
      </w:r>
      <w:r w:rsidR="00A2491B" w:rsidRPr="00A11DCD">
        <w:rPr>
          <w:vertAlign w:val="superscript"/>
        </w:rPr>
        <w:endnoteReference w:id="50"/>
      </w:r>
      <w:r w:rsidR="00A2491B" w:rsidRPr="00A11DCD">
        <w:rPr>
          <w:vertAlign w:val="superscript"/>
        </w:rPr>
        <w:t>,</w:t>
      </w:r>
      <w:r w:rsidR="00A2491B" w:rsidRPr="00A11DCD">
        <w:rPr>
          <w:vertAlign w:val="superscript"/>
        </w:rPr>
        <w:endnoteReference w:id="51"/>
      </w:r>
      <w:r w:rsidR="00A2491B" w:rsidRPr="00A11DCD">
        <w:rPr>
          <w:vertAlign w:val="superscript"/>
        </w:rPr>
        <w:t>,</w:t>
      </w:r>
      <w:r w:rsidR="00A2491B" w:rsidRPr="00A11DCD">
        <w:rPr>
          <w:vertAlign w:val="superscript"/>
        </w:rPr>
        <w:endnoteReference w:id="52"/>
      </w:r>
      <w:r w:rsidR="00A2491B" w:rsidRPr="00A11DCD">
        <w:rPr>
          <w:vertAlign w:val="superscript"/>
        </w:rPr>
        <w:t>,</w:t>
      </w:r>
      <w:r w:rsidR="00A2491B" w:rsidRPr="00A11DCD">
        <w:rPr>
          <w:vertAlign w:val="superscript"/>
        </w:rPr>
        <w:fldChar w:fldCharType="begin"/>
      </w:r>
      <w:r w:rsidR="00A2491B" w:rsidRPr="00A11DCD">
        <w:rPr>
          <w:vertAlign w:val="superscript"/>
        </w:rPr>
        <w:instrText xml:space="preserve"> NOTEREF _Ref76475149 \h  \* MERGEFORMAT </w:instrText>
      </w:r>
      <w:r w:rsidR="00A2491B" w:rsidRPr="00A11DCD">
        <w:rPr>
          <w:vertAlign w:val="superscript"/>
        </w:rPr>
      </w:r>
      <w:r w:rsidR="00A2491B" w:rsidRPr="00A11DCD">
        <w:rPr>
          <w:vertAlign w:val="superscript"/>
        </w:rPr>
        <w:fldChar w:fldCharType="separate"/>
      </w:r>
      <w:r w:rsidR="009A0403">
        <w:rPr>
          <w:vertAlign w:val="superscript"/>
        </w:rPr>
        <w:t>34</w:t>
      </w:r>
      <w:r w:rsidR="00A2491B" w:rsidRPr="00A11DCD">
        <w:rPr>
          <w:vertAlign w:val="superscript"/>
        </w:rPr>
        <w:fldChar w:fldCharType="end"/>
      </w:r>
      <w:r w:rsidR="00A2491B" w:rsidRPr="00A11DCD">
        <w:t xml:space="preserve"> including examples based on mechanical</w:t>
      </w:r>
      <w:r w:rsidR="00E1534B" w:rsidRPr="00A11DCD">
        <w:t xml:space="preserve"> and co-conformationally</w:t>
      </w:r>
      <w:r w:rsidR="00A2491B" w:rsidRPr="00A11DCD">
        <w:t xml:space="preserve"> chiral systems</w:t>
      </w:r>
      <w:r w:rsidR="009D18BC" w:rsidRPr="00A11DCD">
        <w:rPr>
          <w:vertAlign w:val="superscript"/>
        </w:rPr>
        <w:endnoteReference w:id="53"/>
      </w:r>
      <w:r w:rsidR="00BA00CE" w:rsidRPr="00A11DCD">
        <w:rPr>
          <w:vertAlign w:val="superscript"/>
        </w:rPr>
        <w:t>,</w:t>
      </w:r>
      <w:r w:rsidR="00BA00CE" w:rsidRPr="00A11DCD">
        <w:rPr>
          <w:vertAlign w:val="superscript"/>
        </w:rPr>
        <w:endnoteReference w:id="54"/>
      </w:r>
      <w:r w:rsidR="00BA00CE" w:rsidRPr="00A11DCD">
        <w:rPr>
          <w:vertAlign w:val="superscript"/>
        </w:rPr>
        <w:t>,</w:t>
      </w:r>
      <w:r w:rsidR="00BA00CE" w:rsidRPr="00A11DCD">
        <w:rPr>
          <w:vertAlign w:val="superscript"/>
        </w:rPr>
        <w:endnoteReference w:id="55"/>
      </w:r>
      <w:r w:rsidR="00BA00CE" w:rsidRPr="00A11DCD">
        <w:t xml:space="preserve">, </w:t>
      </w:r>
      <w:r w:rsidR="00EB79AE" w:rsidRPr="00A11DCD">
        <w:t xml:space="preserve">as well as other exotic or hard to access </w:t>
      </w:r>
      <w:r w:rsidR="00C31ECC" w:rsidRPr="00A11DCD">
        <w:t>mechanical stereogenic units</w:t>
      </w:r>
      <w:r w:rsidR="006139B6" w:rsidRPr="00A11DCD">
        <w:rPr>
          <w:vertAlign w:val="superscript"/>
        </w:rPr>
        <w:endnoteReference w:id="56"/>
      </w:r>
      <w:r w:rsidR="006139B6" w:rsidRPr="00A11DCD">
        <w:rPr>
          <w:vertAlign w:val="superscript"/>
        </w:rPr>
        <w:t>,</w:t>
      </w:r>
      <w:r w:rsidR="006139B6" w:rsidRPr="00A11DCD">
        <w:rPr>
          <w:vertAlign w:val="superscript"/>
        </w:rPr>
        <w:endnoteReference w:id="57"/>
      </w:r>
      <w:r w:rsidR="006139B6" w:rsidRPr="00A11DCD">
        <w:rPr>
          <w:vertAlign w:val="superscript"/>
        </w:rPr>
        <w:t>,</w:t>
      </w:r>
      <w:r w:rsidR="006139B6" w:rsidRPr="00A11DCD">
        <w:rPr>
          <w:vertAlign w:val="superscript"/>
        </w:rPr>
        <w:endnoteReference w:id="58"/>
      </w:r>
      <w:r w:rsidR="00F564F1" w:rsidRPr="00A11DCD">
        <w:rPr>
          <w:vertAlign w:val="superscript"/>
        </w:rPr>
        <w:t>,</w:t>
      </w:r>
      <w:r w:rsidR="00F564F1" w:rsidRPr="00A11DCD">
        <w:rPr>
          <w:vertAlign w:val="superscript"/>
        </w:rPr>
        <w:endnoteReference w:id="59"/>
      </w:r>
      <w:r w:rsidR="00A0451F" w:rsidRPr="00A11DCD">
        <w:rPr>
          <w:vertAlign w:val="superscript"/>
        </w:rPr>
        <w:t>,</w:t>
      </w:r>
      <w:r w:rsidR="00A0451F" w:rsidRPr="00A11DCD">
        <w:rPr>
          <w:vertAlign w:val="superscript"/>
        </w:rPr>
        <w:endnoteReference w:id="60"/>
      </w:r>
      <w:r w:rsidR="008C3ECF" w:rsidRPr="00A11DCD">
        <w:rPr>
          <w:vertAlign w:val="superscript"/>
        </w:rPr>
        <w:t>,</w:t>
      </w:r>
      <w:r w:rsidR="008C3ECF" w:rsidRPr="00A11DCD">
        <w:rPr>
          <w:vertAlign w:val="superscript"/>
        </w:rPr>
        <w:endnoteReference w:id="61"/>
      </w:r>
      <w:r w:rsidR="00C31ECC" w:rsidRPr="00A11DCD">
        <w:t xml:space="preserve">, </w:t>
      </w:r>
      <w:r w:rsidR="00A2491B" w:rsidRPr="00A11DCD">
        <w:t xml:space="preserve">we anticipate </w:t>
      </w:r>
      <w:r w:rsidR="004A2753" w:rsidRPr="00A11DCD">
        <w:t>these results</w:t>
      </w:r>
      <w:r w:rsidR="000A1C8C" w:rsidRPr="00A11DCD">
        <w:t xml:space="preserve"> </w:t>
      </w:r>
      <w:r w:rsidR="00BA00CE" w:rsidRPr="00A11DCD">
        <w:t xml:space="preserve">will spur progress in the development of functional chiral </w:t>
      </w:r>
      <w:r w:rsidR="00E1534B" w:rsidRPr="00A11DCD">
        <w:t xml:space="preserve">interlocked </w:t>
      </w:r>
      <w:r w:rsidR="00BA00CE" w:rsidRPr="00A11DCD">
        <w:t>systems</w:t>
      </w:r>
      <w:r w:rsidR="000478CA" w:rsidRPr="00A11DCD">
        <w:rPr>
          <w:vertAlign w:val="superscript"/>
        </w:rPr>
        <w:endnoteReference w:id="62"/>
      </w:r>
      <w:r w:rsidR="00BA00CE" w:rsidRPr="00A11DCD">
        <w:t>.</w:t>
      </w:r>
      <w:r w:rsidR="004D001C" w:rsidRPr="00A11DCD">
        <w:t xml:space="preserve"> </w:t>
      </w:r>
      <w:r w:rsidR="00BA0945" w:rsidRPr="00A11DCD">
        <w:t>Finally, it should be noted that dynamic stereochemistry related to that of mechanically axially chiral catenanes and rotaxanes can also arise due to conformational and co-conformational processes</w:t>
      </w:r>
      <w:r w:rsidR="00041E11" w:rsidRPr="00A11DCD">
        <w:rPr>
          <w:vertAlign w:val="superscript"/>
        </w:rPr>
        <w:endnoteReference w:id="63"/>
      </w:r>
      <w:r w:rsidR="00041E11" w:rsidRPr="00A11DCD">
        <w:rPr>
          <w:vertAlign w:val="superscript"/>
        </w:rPr>
        <w:t>,</w:t>
      </w:r>
      <w:r w:rsidR="00041E11" w:rsidRPr="00A11DCD">
        <w:rPr>
          <w:vertAlign w:val="superscript"/>
        </w:rPr>
        <w:endnoteReference w:id="64"/>
      </w:r>
      <w:r w:rsidR="00BA0945" w:rsidRPr="00A11DCD">
        <w:t>, both of which have been observed but are poorly understood</w:t>
      </w:r>
      <w:r w:rsidR="00F65134" w:rsidRPr="00A11DCD">
        <w:t xml:space="preserve"> (</w:t>
      </w:r>
      <w:r w:rsidR="00935A6B">
        <w:t xml:space="preserve">for an extended discussion </w:t>
      </w:r>
      <w:r w:rsidR="003D5007">
        <w:t xml:space="preserve">see </w:t>
      </w:r>
      <w:r w:rsidR="00F65134" w:rsidRPr="00A11DCD">
        <w:t xml:space="preserve">Supplementary section </w:t>
      </w:r>
      <w:r w:rsidR="0071274B" w:rsidRPr="00A11DCD">
        <w:t>1</w:t>
      </w:r>
      <w:r w:rsidR="00E402C9">
        <w:t>6</w:t>
      </w:r>
      <w:r w:rsidR="00F65134" w:rsidRPr="00A11DCD">
        <w:t>)</w:t>
      </w:r>
      <w:r w:rsidR="00BA0945" w:rsidRPr="00A11DCD">
        <w:t xml:space="preserve">. </w:t>
      </w:r>
      <w:r w:rsidR="00B16300">
        <w:t>Such systems have</w:t>
      </w:r>
      <w:r w:rsidR="00BA0945" w:rsidRPr="00A11DCD">
        <w:t xml:space="preserve"> potential applications as stereodynamic probes.</w:t>
      </w:r>
    </w:p>
    <w:p w14:paraId="2A10F93A" w14:textId="101FB70B" w:rsidR="008712A4" w:rsidRDefault="008712A4" w:rsidP="001E59EC">
      <w:pPr>
        <w:pStyle w:val="NoTemplateMainText"/>
        <w:ind w:firstLine="0"/>
      </w:pPr>
    </w:p>
    <w:p w14:paraId="66536264" w14:textId="77777777" w:rsidR="005228AE" w:rsidRDefault="005228AE" w:rsidP="005228AE">
      <w:pPr>
        <w:spacing w:after="120" w:line="480" w:lineRule="auto"/>
      </w:pPr>
      <w:r w:rsidRPr="00A11DCD">
        <w:rPr>
          <w:rFonts w:cs="Arial"/>
          <w:b/>
          <w:bCs/>
          <w:szCs w:val="22"/>
        </w:rPr>
        <w:lastRenderedPageBreak/>
        <w:t>ACKNOWLEDGEMENTS</w:t>
      </w:r>
      <w:r w:rsidRPr="00A11DCD">
        <w:rPr>
          <w:rFonts w:cs="Arial"/>
          <w:szCs w:val="22"/>
        </w:rPr>
        <w:br/>
      </w:r>
      <w:r w:rsidRPr="00A11DCD">
        <w:t xml:space="preserve">SMG thanks the ERC (Agreement no. 724987) and the Royal Society for a Wolfson Research Fellowship (RSWF\FT\180010). PB thanks the University of Southampton for a Presidential Scholarship. </w:t>
      </w:r>
      <w:r>
        <w:t>PRG thanks the university of Southampton for funding.</w:t>
      </w:r>
    </w:p>
    <w:p w14:paraId="27F2903D" w14:textId="77777777" w:rsidR="005228AE" w:rsidRPr="00A11DCD" w:rsidRDefault="005228AE" w:rsidP="005228AE">
      <w:pPr>
        <w:spacing w:after="120" w:line="480" w:lineRule="auto"/>
        <w:rPr>
          <w:rFonts w:cs="Arial"/>
          <w:b/>
          <w:bCs/>
          <w:szCs w:val="22"/>
        </w:rPr>
      </w:pPr>
      <w:r w:rsidRPr="00A11DCD">
        <w:rPr>
          <w:rFonts w:cs="Arial"/>
          <w:b/>
          <w:bCs/>
          <w:szCs w:val="22"/>
        </w:rPr>
        <w:t>AUTHOR CONTRIBUTIONS</w:t>
      </w:r>
    </w:p>
    <w:p w14:paraId="1F943BF2" w14:textId="77777777" w:rsidR="005228AE" w:rsidRPr="00A11DCD" w:rsidRDefault="005228AE" w:rsidP="005228AE">
      <w:pPr>
        <w:spacing w:after="120" w:line="480" w:lineRule="auto"/>
      </w:pPr>
      <w:r w:rsidRPr="00A11DCD">
        <w:t xml:space="preserve">JRJM and PRG contributed equally; both have the right to place themselves as first author on their CVs. JRJM and SMG developed the co-conformational auxiliary concept. JRJM synthesized </w:t>
      </w:r>
      <w:r w:rsidRPr="00A11DCD">
        <w:rPr>
          <w:b/>
          <w:bCs/>
        </w:rPr>
        <w:t>3</w:t>
      </w:r>
      <w:r w:rsidRPr="00A11DCD">
        <w:t xml:space="preserve"> and </w:t>
      </w:r>
      <w:r w:rsidRPr="00A11DCD">
        <w:rPr>
          <w:b/>
          <w:bCs/>
        </w:rPr>
        <w:t>5</w:t>
      </w:r>
      <w:r w:rsidRPr="00A11DCD">
        <w:t xml:space="preserve"> and collected SCXRD diffraction data for a reduced product of catenane </w:t>
      </w:r>
      <w:r w:rsidRPr="00A11DCD">
        <w:rPr>
          <w:b/>
          <w:bCs/>
        </w:rPr>
        <w:t>5</w:t>
      </w:r>
      <w:r w:rsidRPr="00A11DCD">
        <w:t xml:space="preserve">. PRG synthesized </w:t>
      </w:r>
      <w:r w:rsidRPr="00A11DCD">
        <w:rPr>
          <w:b/>
          <w:bCs/>
        </w:rPr>
        <w:t>9</w:t>
      </w:r>
      <w:r w:rsidRPr="00A11DCD">
        <w:t xml:space="preserve"> and </w:t>
      </w:r>
      <w:r w:rsidRPr="00A11DCD">
        <w:rPr>
          <w:b/>
          <w:bCs/>
        </w:rPr>
        <w:t>10</w:t>
      </w:r>
      <w:r w:rsidRPr="00A11DCD">
        <w:t xml:space="preserve">, determined the stereochemistry of rotaxanes </w:t>
      </w:r>
      <w:r w:rsidRPr="00A11DCD">
        <w:rPr>
          <w:b/>
          <w:bCs/>
        </w:rPr>
        <w:t>9</w:t>
      </w:r>
      <w:r w:rsidRPr="00A11DCD">
        <w:t xml:space="preserve"> and managed the preparation of manuscript graphics. DL optimized the synthesis and purification of </w:t>
      </w:r>
      <w:r w:rsidRPr="00A11DCD">
        <w:rPr>
          <w:b/>
          <w:bCs/>
        </w:rPr>
        <w:t>3</w:t>
      </w:r>
      <w:r w:rsidRPr="00A11DCD">
        <w:t xml:space="preserve">, </w:t>
      </w:r>
      <w:r w:rsidRPr="00A11DCD">
        <w:rPr>
          <w:b/>
          <w:bCs/>
        </w:rPr>
        <w:t>5</w:t>
      </w:r>
      <w:r w:rsidRPr="00A11DCD">
        <w:t xml:space="preserve">, synthesized </w:t>
      </w:r>
      <w:r w:rsidRPr="00A11DCD">
        <w:rPr>
          <w:b/>
          <w:bCs/>
        </w:rPr>
        <w:t>6</w:t>
      </w:r>
      <w:r w:rsidRPr="00A11DCD">
        <w:t xml:space="preserve"> and determined the stereochemistry of catenanes </w:t>
      </w:r>
      <w:r w:rsidRPr="00A11DCD">
        <w:rPr>
          <w:b/>
          <w:bCs/>
        </w:rPr>
        <w:t>3</w:t>
      </w:r>
      <w:r w:rsidRPr="00A11DCD">
        <w:t xml:space="preserve">. PB collected the X-ray diffraction data of </w:t>
      </w:r>
      <w:r w:rsidRPr="00A11DCD">
        <w:rPr>
          <w:b/>
          <w:bCs/>
        </w:rPr>
        <w:t>3</w:t>
      </w:r>
      <w:r w:rsidRPr="00A11DCD">
        <w:t xml:space="preserve">, </w:t>
      </w:r>
      <w:r w:rsidRPr="00A11DCD">
        <w:rPr>
          <w:b/>
          <w:bCs/>
        </w:rPr>
        <w:t>6</w:t>
      </w:r>
      <w:r w:rsidRPr="00A11DCD">
        <w:t xml:space="preserve"> and </w:t>
      </w:r>
      <w:r w:rsidRPr="00A11DCD">
        <w:rPr>
          <w:b/>
          <w:bCs/>
        </w:rPr>
        <w:t>9</w:t>
      </w:r>
      <w:r w:rsidRPr="00A11DCD">
        <w:t xml:space="preserve"> and fully refined all SCXRD data. DL and PRG managed the preparation of the Supporting Information.</w:t>
      </w:r>
      <w:r w:rsidRPr="00A11DCD">
        <w:rPr>
          <w:rFonts w:cs="Arial"/>
          <w:szCs w:val="22"/>
        </w:rPr>
        <w:t xml:space="preserve"> SMG directed the research. All authors contributed to the analysis of the results and the writing of the manuscript</w:t>
      </w:r>
      <w:r w:rsidRPr="00A11DCD">
        <w:t xml:space="preserve">.  </w:t>
      </w:r>
    </w:p>
    <w:p w14:paraId="14CC66D8" w14:textId="77777777" w:rsidR="005228AE" w:rsidRPr="00A11DCD" w:rsidRDefault="005228AE" w:rsidP="005228AE">
      <w:pPr>
        <w:spacing w:after="120" w:line="480" w:lineRule="auto"/>
        <w:rPr>
          <w:rFonts w:cs="Arial"/>
          <w:b/>
          <w:bCs/>
          <w:szCs w:val="22"/>
        </w:rPr>
      </w:pPr>
      <w:bookmarkStart w:id="14" w:name="_Hlk67653251"/>
      <w:r w:rsidRPr="00A11DCD">
        <w:rPr>
          <w:rFonts w:cs="Arial"/>
          <w:b/>
          <w:bCs/>
          <w:szCs w:val="22"/>
        </w:rPr>
        <w:t xml:space="preserve">COMPETING INTERESTS STATEMENT   </w:t>
      </w:r>
      <w:bookmarkEnd w:id="14"/>
    </w:p>
    <w:p w14:paraId="00921B3A" w14:textId="77777777" w:rsidR="005228AE" w:rsidRDefault="005228AE" w:rsidP="005228AE">
      <w:pPr>
        <w:spacing w:after="120" w:line="480" w:lineRule="auto"/>
        <w:jc w:val="left"/>
        <w:rPr>
          <w:rFonts w:cs="Arial"/>
          <w:szCs w:val="22"/>
        </w:rPr>
      </w:pPr>
      <w:r w:rsidRPr="00A11DCD">
        <w:rPr>
          <w:rFonts w:cs="Arial"/>
          <w:szCs w:val="22"/>
        </w:rPr>
        <w:t>The authors declare no competing interests.</w:t>
      </w:r>
    </w:p>
    <w:p w14:paraId="002B40BD" w14:textId="77777777" w:rsidR="005228AE" w:rsidRPr="00A11DCD" w:rsidRDefault="005228AE" w:rsidP="005228AE">
      <w:pPr>
        <w:spacing w:after="120" w:line="480" w:lineRule="auto"/>
        <w:rPr>
          <w:rFonts w:cs="Arial"/>
          <w:b/>
          <w:bCs/>
          <w:szCs w:val="22"/>
        </w:rPr>
      </w:pPr>
      <w:r w:rsidRPr="00A11DCD">
        <w:rPr>
          <w:rFonts w:cs="Arial"/>
          <w:b/>
          <w:bCs/>
          <w:szCs w:val="22"/>
        </w:rPr>
        <w:t xml:space="preserve">DATA AVAILABILITY STATEMENT   </w:t>
      </w:r>
    </w:p>
    <w:p w14:paraId="3C3981C4" w14:textId="0C158052" w:rsidR="00E01E60" w:rsidRDefault="005228AE" w:rsidP="001F61BF">
      <w:pPr>
        <w:spacing w:after="120" w:line="480" w:lineRule="auto"/>
        <w:jc w:val="left"/>
      </w:pPr>
      <w:r w:rsidRPr="00A11DCD">
        <w:rPr>
          <w:rFonts w:cs="Arial"/>
          <w:szCs w:val="22"/>
        </w:rPr>
        <w:t xml:space="preserve">All characterization data for novel compounds (NMR, MS, CD, HPLC) </w:t>
      </w:r>
      <w:r>
        <w:rPr>
          <w:rFonts w:cs="Arial"/>
          <w:szCs w:val="22"/>
        </w:rPr>
        <w:t>is</w:t>
      </w:r>
      <w:r w:rsidRPr="00A11DCD">
        <w:rPr>
          <w:rFonts w:cs="Arial"/>
          <w:szCs w:val="22"/>
        </w:rPr>
        <w:t xml:space="preserve"> available through the University of Southampton data repository </w:t>
      </w:r>
      <w:r>
        <w:rPr>
          <w:rFonts w:cs="Arial"/>
          <w:szCs w:val="22"/>
        </w:rPr>
        <w:t>(</w:t>
      </w:r>
      <w:hyperlink r:id="rId17" w:history="1">
        <w:r w:rsidRPr="00000886">
          <w:rPr>
            <w:rStyle w:val="Hyperlink"/>
            <w:rFonts w:cs="Arial"/>
            <w:szCs w:val="22"/>
          </w:rPr>
          <w:t>https://doi.org/10.5258/SOTON/D2185</w:t>
        </w:r>
      </w:hyperlink>
      <w:r>
        <w:rPr>
          <w:rFonts w:cs="Arial"/>
          <w:szCs w:val="22"/>
        </w:rPr>
        <w:t>)</w:t>
      </w:r>
      <w:r w:rsidRPr="00A11DCD">
        <w:rPr>
          <w:rFonts w:cs="Arial"/>
          <w:szCs w:val="22"/>
        </w:rPr>
        <w:t>. Crystallographic data has been uploaded to the CCDC and is availab</w:t>
      </w:r>
      <w:r>
        <w:rPr>
          <w:rFonts w:cs="Arial"/>
          <w:szCs w:val="22"/>
        </w:rPr>
        <w:t>le</w:t>
      </w:r>
      <w:r w:rsidRPr="00A11DCD">
        <w:rPr>
          <w:rFonts w:cs="Arial"/>
          <w:szCs w:val="22"/>
        </w:rPr>
        <w:t xml:space="preserve"> under the accession numbers 2109976 (</w:t>
      </w:r>
      <w:proofErr w:type="spellStart"/>
      <w:r w:rsidRPr="00A11DCD">
        <w:rPr>
          <w:i/>
        </w:rPr>
        <w:t>rac</w:t>
      </w:r>
      <w:proofErr w:type="spellEnd"/>
      <w:r w:rsidRPr="00A11DCD">
        <w:t>-(</w:t>
      </w:r>
      <w:proofErr w:type="spellStart"/>
      <w:proofErr w:type="gramStart"/>
      <w:r w:rsidRPr="00A11DCD">
        <w:rPr>
          <w:i/>
        </w:rPr>
        <w:t>S</w:t>
      </w:r>
      <w:r w:rsidRPr="00A11DCD">
        <w:rPr>
          <w:vertAlign w:val="subscript"/>
        </w:rPr>
        <w:t>ma</w:t>
      </w:r>
      <w:r w:rsidRPr="00A11DCD">
        <w:t>,</w:t>
      </w:r>
      <w:r w:rsidRPr="00A11DCD">
        <w:rPr>
          <w:i/>
        </w:rPr>
        <w:t>R</w:t>
      </w:r>
      <w:r w:rsidRPr="00A11DCD">
        <w:rPr>
          <w:vertAlign w:val="subscript"/>
        </w:rPr>
        <w:t>co</w:t>
      </w:r>
      <w:proofErr w:type="spellEnd"/>
      <w:proofErr w:type="gramEnd"/>
      <w:r w:rsidRPr="00A11DCD">
        <w:rPr>
          <w:vertAlign w:val="subscript"/>
        </w:rPr>
        <w:t>-c</w:t>
      </w:r>
      <w:r w:rsidRPr="00A11DCD">
        <w:t>)-</w:t>
      </w:r>
      <w:r w:rsidRPr="00A11DCD">
        <w:rPr>
          <w:b/>
          <w:bCs/>
        </w:rPr>
        <w:t>3</w:t>
      </w:r>
      <w:r w:rsidRPr="00A11DCD">
        <w:t>), 2115463 (</w:t>
      </w:r>
      <w:r w:rsidRPr="00A11DCD">
        <w:rPr>
          <w:i/>
          <w:iCs/>
        </w:rPr>
        <w:t>rac</w:t>
      </w:r>
      <w:r w:rsidRPr="00A11DCD">
        <w:t>-</w:t>
      </w:r>
      <w:r w:rsidRPr="00A11DCD">
        <w:rPr>
          <w:b/>
          <w:bCs/>
        </w:rPr>
        <w:t>6</w:t>
      </w:r>
      <w:r w:rsidRPr="00A11DCD">
        <w:t>), 2109991 (</w:t>
      </w:r>
      <w:r w:rsidRPr="00A11DCD">
        <w:rPr>
          <w:i/>
        </w:rPr>
        <w:t>rac</w:t>
      </w:r>
      <w:r w:rsidRPr="00A11DCD">
        <w:t>-</w:t>
      </w:r>
      <w:r w:rsidRPr="00A11DCD">
        <w:rPr>
          <w:b/>
        </w:rPr>
        <w:t>S15</w:t>
      </w:r>
      <w:r w:rsidRPr="00A11DCD">
        <w:rPr>
          <w:bCs/>
        </w:rPr>
        <w:t xml:space="preserve">) and </w:t>
      </w:r>
      <w:r w:rsidRPr="00A11DCD">
        <w:rPr>
          <w:lang w:val="en-AU"/>
        </w:rPr>
        <w:t>2109992 (</w:t>
      </w:r>
      <w:r w:rsidRPr="00A11DCD">
        <w:t>(</w:t>
      </w:r>
      <w:proofErr w:type="spellStart"/>
      <w:r w:rsidRPr="00A11DCD">
        <w:rPr>
          <w:i/>
          <w:iCs/>
        </w:rPr>
        <w:t>R</w:t>
      </w:r>
      <w:r w:rsidRPr="00A11DCD">
        <w:rPr>
          <w:vertAlign w:val="subscript"/>
        </w:rPr>
        <w:t>ma</w:t>
      </w:r>
      <w:r w:rsidRPr="00A11DCD">
        <w:rPr>
          <w:i/>
          <w:iCs/>
        </w:rPr>
        <w:t>,R</w:t>
      </w:r>
      <w:r w:rsidRPr="00A11DCD">
        <w:rPr>
          <w:vertAlign w:val="subscript"/>
        </w:rPr>
        <w:t>co</w:t>
      </w:r>
      <w:proofErr w:type="spellEnd"/>
      <w:r w:rsidRPr="00A11DCD">
        <w:rPr>
          <w:vertAlign w:val="subscript"/>
        </w:rPr>
        <w:t>-c</w:t>
      </w:r>
      <w:r w:rsidRPr="00A11DCD">
        <w:t>)-</w:t>
      </w:r>
      <w:r w:rsidRPr="00A11DCD">
        <w:rPr>
          <w:b/>
          <w:bCs/>
        </w:rPr>
        <w:t>9</w:t>
      </w:r>
      <w:r w:rsidRPr="00A11DCD">
        <w:t>).</w:t>
      </w:r>
    </w:p>
    <w:sectPr w:rsidR="00E01E60" w:rsidSect="00093485">
      <w:footerReference w:type="even" r:id="rId18"/>
      <w:footerReference w:type="default" r:id="rId19"/>
      <w:endnotePr>
        <w:numFmt w:val="decimal"/>
      </w:endnotePr>
      <w:pgSz w:w="11906" w:h="16838" w:code="9"/>
      <w:pgMar w:top="720" w:right="1325" w:bottom="720" w:left="720" w:header="720" w:footer="0" w:gutter="0"/>
      <w:cols w:space="46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F24EA" w14:textId="77777777" w:rsidR="00C57516" w:rsidRPr="0099229D" w:rsidRDefault="00C57516" w:rsidP="0099229D">
      <w:pPr>
        <w:pStyle w:val="Footer"/>
      </w:pPr>
    </w:p>
  </w:endnote>
  <w:endnote w:type="continuationSeparator" w:id="0">
    <w:p w14:paraId="634AE50A" w14:textId="77777777" w:rsidR="00C57516" w:rsidRPr="0099229D" w:rsidRDefault="00C57516" w:rsidP="0099229D">
      <w:pPr>
        <w:pStyle w:val="Footer"/>
      </w:pPr>
    </w:p>
  </w:endnote>
  <w:endnote w:type="continuationNotice" w:id="1">
    <w:p w14:paraId="2CDD1075" w14:textId="77777777" w:rsidR="00C57516" w:rsidRPr="0099229D" w:rsidRDefault="00C57516" w:rsidP="0099229D">
      <w:pPr>
        <w:pStyle w:val="Footer"/>
      </w:pPr>
    </w:p>
  </w:endnote>
  <w:endnote w:id="2">
    <w:p w14:paraId="656559DC" w14:textId="3317AF34" w:rsidR="00093485" w:rsidRPr="00093485" w:rsidRDefault="00093485" w:rsidP="00496EE9">
      <w:pPr>
        <w:spacing w:after="0" w:line="360" w:lineRule="auto"/>
        <w:rPr>
          <w:b/>
          <w:bCs/>
          <w:noProof/>
        </w:rPr>
      </w:pPr>
      <w:r w:rsidRPr="00093485">
        <w:rPr>
          <w:b/>
          <w:bCs/>
          <w:noProof/>
        </w:rPr>
        <w:t>REFERENCES</w:t>
      </w:r>
    </w:p>
    <w:p w14:paraId="73C6FAEC" w14:textId="38BDD371" w:rsidR="00496EE9" w:rsidRPr="001E2309" w:rsidRDefault="00496EE9" w:rsidP="00496EE9">
      <w:pPr>
        <w:spacing w:after="0" w:line="360" w:lineRule="auto"/>
        <w:rPr>
          <w:lang w:val="en-GB"/>
        </w:rPr>
      </w:pPr>
      <w:r>
        <w:rPr>
          <w:noProof/>
        </w:rPr>
        <w:t>(</w:t>
      </w:r>
      <w:r w:rsidRPr="00ED28E8">
        <w:rPr>
          <w:noProof/>
        </w:rPr>
        <w:endnoteRef/>
      </w:r>
      <w:r>
        <w:rPr>
          <w:noProof/>
        </w:rPr>
        <w:t>) W. T. Kelvin, Baltimore Lectures on Molecular Dynamics and the Wave Theory of Light (C. J. Clay, London, 1904), p. 619</w:t>
      </w:r>
    </w:p>
  </w:endnote>
  <w:endnote w:id="3">
    <w:p w14:paraId="3395279F" w14:textId="30C685E5" w:rsidR="00496EE9" w:rsidRPr="00764C0F" w:rsidRDefault="00496EE9" w:rsidP="00496EE9">
      <w:pPr>
        <w:spacing w:after="0" w:line="360" w:lineRule="auto"/>
        <w:rPr>
          <w:lang w:val="en-GB"/>
        </w:rPr>
      </w:pPr>
      <w:r>
        <w:rPr>
          <w:noProof/>
        </w:rPr>
        <w:t>(</w:t>
      </w:r>
      <w:r w:rsidRPr="00B23314">
        <w:rPr>
          <w:noProof/>
        </w:rPr>
        <w:endnoteRef/>
      </w:r>
      <w:r>
        <w:rPr>
          <w:noProof/>
        </w:rPr>
        <w:t>) Zschiesche, D.</w:t>
      </w:r>
      <w:r w:rsidRPr="007B6F37">
        <w:rPr>
          <w:i/>
          <w:noProof/>
        </w:rPr>
        <w:t xml:space="preserve"> et al.</w:t>
      </w:r>
      <w:r>
        <w:rPr>
          <w:noProof/>
        </w:rPr>
        <w:t xml:space="preserve"> Chiral symmetries in nuclear physics. </w:t>
      </w:r>
      <w:r w:rsidRPr="007B6F37">
        <w:rPr>
          <w:i/>
          <w:noProof/>
        </w:rPr>
        <w:t>HNPS Proceedings</w:t>
      </w:r>
      <w:r>
        <w:rPr>
          <w:noProof/>
        </w:rPr>
        <w:t xml:space="preserve"> </w:t>
      </w:r>
      <w:r w:rsidRPr="007B6F37">
        <w:rPr>
          <w:b/>
          <w:noProof/>
        </w:rPr>
        <w:t>9</w:t>
      </w:r>
      <w:r>
        <w:rPr>
          <w:noProof/>
        </w:rPr>
        <w:t xml:space="preserve"> (2020).</w:t>
      </w:r>
    </w:p>
  </w:endnote>
  <w:endnote w:id="4">
    <w:p w14:paraId="7C1DCA36" w14:textId="0E9CFEE1" w:rsidR="00496EE9" w:rsidRPr="007B6F37" w:rsidRDefault="00496EE9" w:rsidP="00496EE9">
      <w:pPr>
        <w:spacing w:after="0" w:line="360" w:lineRule="auto"/>
        <w:rPr>
          <w:lang w:val="en-GB"/>
        </w:rPr>
      </w:pPr>
      <w:r>
        <w:rPr>
          <w:noProof/>
        </w:rPr>
        <w:t>(</w:t>
      </w:r>
      <w:r w:rsidRPr="00B23314">
        <w:rPr>
          <w:noProof/>
        </w:rPr>
        <w:endnoteRef/>
      </w:r>
      <w:r>
        <w:rPr>
          <w:noProof/>
        </w:rPr>
        <w:t xml:space="preserve">) Petitjean, M. Symmetry, Antisymmetry, and Chirality: Use and Misuse of Terminology. </w:t>
      </w:r>
      <w:r w:rsidRPr="00C42BB3">
        <w:rPr>
          <w:i/>
          <w:noProof/>
        </w:rPr>
        <w:t>Symmetry</w:t>
      </w:r>
      <w:r>
        <w:rPr>
          <w:noProof/>
        </w:rPr>
        <w:t xml:space="preserve"> </w:t>
      </w:r>
      <w:r w:rsidRPr="00C42BB3">
        <w:rPr>
          <w:b/>
          <w:noProof/>
        </w:rPr>
        <w:t>13</w:t>
      </w:r>
      <w:r>
        <w:rPr>
          <w:noProof/>
        </w:rPr>
        <w:t xml:space="preserve"> (2021).</w:t>
      </w:r>
    </w:p>
  </w:endnote>
  <w:endnote w:id="5">
    <w:p w14:paraId="1DE37673" w14:textId="442CBF2B" w:rsidR="00496EE9" w:rsidRPr="002407FB" w:rsidRDefault="00496EE9" w:rsidP="00496EE9">
      <w:pPr>
        <w:spacing w:after="0" w:line="360" w:lineRule="auto"/>
        <w:rPr>
          <w:lang w:val="en-GB"/>
        </w:rPr>
      </w:pPr>
      <w:r>
        <w:rPr>
          <w:noProof/>
        </w:rPr>
        <w:t>(</w:t>
      </w:r>
      <w:r w:rsidRPr="00B23314">
        <w:rPr>
          <w:noProof/>
        </w:rPr>
        <w:endnoteRef/>
      </w:r>
      <w:r>
        <w:rPr>
          <w:noProof/>
        </w:rPr>
        <w:t xml:space="preserve">) </w:t>
      </w:r>
      <w:r w:rsidR="0042181F">
        <w:rPr>
          <w:noProof/>
        </w:rPr>
        <w:t xml:space="preserve">Mezey, P. G. Chirality Measures and Graph Representations. </w:t>
      </w:r>
      <w:r w:rsidR="0042181F" w:rsidRPr="0042181F">
        <w:rPr>
          <w:i/>
          <w:noProof/>
        </w:rPr>
        <w:t>Comput. Math. Appl.</w:t>
      </w:r>
      <w:r w:rsidR="0042181F">
        <w:rPr>
          <w:noProof/>
        </w:rPr>
        <w:t xml:space="preserve"> </w:t>
      </w:r>
      <w:r w:rsidR="0042181F" w:rsidRPr="0042181F">
        <w:rPr>
          <w:b/>
          <w:noProof/>
        </w:rPr>
        <w:t>34</w:t>
      </w:r>
      <w:r w:rsidR="0042181F">
        <w:rPr>
          <w:noProof/>
        </w:rPr>
        <w:t>, 105-112 (1997).</w:t>
      </w:r>
      <w:r>
        <w:tab/>
      </w:r>
    </w:p>
  </w:endnote>
  <w:endnote w:id="6">
    <w:p w14:paraId="3A43E4EE" w14:textId="5C8217E7" w:rsidR="00496EE9" w:rsidRPr="00643281" w:rsidRDefault="00496EE9" w:rsidP="00496EE9">
      <w:pPr>
        <w:spacing w:after="0" w:line="360" w:lineRule="auto"/>
        <w:rPr>
          <w:lang w:val="en-GB"/>
        </w:rPr>
      </w:pPr>
      <w:r>
        <w:rPr>
          <w:noProof/>
        </w:rPr>
        <w:t>(</w:t>
      </w:r>
      <w:r w:rsidRPr="00B23314">
        <w:rPr>
          <w:noProof/>
        </w:rPr>
        <w:endnoteRef/>
      </w:r>
      <w:r>
        <w:rPr>
          <w:noProof/>
        </w:rPr>
        <w:t xml:space="preserve">) </w:t>
      </w:r>
      <w:r w:rsidR="0054092B">
        <w:rPr>
          <w:noProof/>
          <w:lang w:val="en-GB"/>
        </w:rPr>
        <w:t xml:space="preserve">da Motta, H. Chirality and neutrinos, a student first approach. </w:t>
      </w:r>
      <w:r w:rsidR="0054092B" w:rsidRPr="0054092B">
        <w:rPr>
          <w:i/>
          <w:noProof/>
          <w:lang w:val="en-GB"/>
        </w:rPr>
        <w:t>J. Phys.: Conf. Ser.</w:t>
      </w:r>
      <w:r w:rsidR="0054092B">
        <w:rPr>
          <w:noProof/>
          <w:lang w:val="en-GB"/>
        </w:rPr>
        <w:t xml:space="preserve"> </w:t>
      </w:r>
      <w:r w:rsidR="0054092B" w:rsidRPr="0054092B">
        <w:rPr>
          <w:b/>
          <w:noProof/>
          <w:lang w:val="en-GB"/>
        </w:rPr>
        <w:t>1558</w:t>
      </w:r>
      <w:r w:rsidR="0054092B">
        <w:rPr>
          <w:noProof/>
          <w:lang w:val="en-GB"/>
        </w:rPr>
        <w:t>, 012014 (2020).</w:t>
      </w:r>
    </w:p>
  </w:endnote>
  <w:endnote w:id="7">
    <w:p w14:paraId="16CFDE06" w14:textId="55C929D5" w:rsidR="00576249" w:rsidRDefault="00576249" w:rsidP="00F00EDA">
      <w:pPr>
        <w:spacing w:after="0" w:line="360" w:lineRule="auto"/>
      </w:pPr>
      <w:r>
        <w:t>(</w:t>
      </w:r>
      <w:r w:rsidRPr="00576249">
        <w:endnoteRef/>
      </w:r>
      <w:r>
        <w:t xml:space="preserve">) </w:t>
      </w:r>
      <w:r w:rsidR="00334266">
        <w:rPr>
          <w:noProof/>
        </w:rPr>
        <w:t>Diaz, D. B.</w:t>
      </w:r>
      <w:r w:rsidR="00334266" w:rsidRPr="00334266">
        <w:rPr>
          <w:i/>
          <w:noProof/>
        </w:rPr>
        <w:t xml:space="preserve"> et al.</w:t>
      </w:r>
      <w:r w:rsidR="00334266">
        <w:rPr>
          <w:noProof/>
        </w:rPr>
        <w:t xml:space="preserve"> Illuminating the dark conformational space of macrocycles using dominant rotors. </w:t>
      </w:r>
      <w:r w:rsidR="00334266" w:rsidRPr="00334266">
        <w:rPr>
          <w:i/>
          <w:noProof/>
        </w:rPr>
        <w:t>Nat. Chem.</w:t>
      </w:r>
      <w:r w:rsidR="00334266">
        <w:rPr>
          <w:noProof/>
        </w:rPr>
        <w:t xml:space="preserve"> </w:t>
      </w:r>
      <w:r w:rsidR="00334266" w:rsidRPr="00334266">
        <w:rPr>
          <w:b/>
          <w:noProof/>
        </w:rPr>
        <w:t>13</w:t>
      </w:r>
      <w:r w:rsidR="00334266">
        <w:rPr>
          <w:noProof/>
        </w:rPr>
        <w:t>, 218-225 (2021).</w:t>
      </w:r>
      <w:r>
        <w:t xml:space="preserve"> </w:t>
      </w:r>
    </w:p>
  </w:endnote>
  <w:endnote w:id="8">
    <w:p w14:paraId="69656B9C" w14:textId="160649EC" w:rsidR="002252B3" w:rsidRDefault="002252B3" w:rsidP="002252B3">
      <w:pPr>
        <w:spacing w:after="0" w:line="360" w:lineRule="auto"/>
      </w:pPr>
      <w:r>
        <w:t>(</w:t>
      </w:r>
      <w:r w:rsidRPr="00B7624D">
        <w:endnoteRef/>
      </w:r>
      <w:r w:rsidRPr="00B7624D">
        <w:t>)</w:t>
      </w:r>
      <w:r>
        <w:t xml:space="preserve"> </w:t>
      </w:r>
      <w:r>
        <w:rPr>
          <w:noProof/>
        </w:rPr>
        <w:t xml:space="preserve">Eliel, E. L., Wilen, S. H. &amp; Mander, L. N. </w:t>
      </w:r>
      <w:r w:rsidRPr="00DE6423">
        <w:rPr>
          <w:i/>
          <w:noProof/>
        </w:rPr>
        <w:t>Stereochemistry of Organic Compounds</w:t>
      </w:r>
      <w:r>
        <w:rPr>
          <w:noProof/>
        </w:rPr>
        <w:t>.  (John Wiley and Sons, Inc., 1994).</w:t>
      </w:r>
    </w:p>
  </w:endnote>
  <w:endnote w:id="9">
    <w:p w14:paraId="34DC2AF8" w14:textId="2C7F2DA0" w:rsidR="00376D88" w:rsidRDefault="00376D88" w:rsidP="00F00EDA">
      <w:pPr>
        <w:spacing w:after="0" w:line="360" w:lineRule="auto"/>
      </w:pPr>
      <w:r>
        <w:t>(</w:t>
      </w:r>
      <w:r w:rsidRPr="00B7624D">
        <w:endnoteRef/>
      </w:r>
      <w:r w:rsidRPr="00B7624D">
        <w:t>)</w:t>
      </w:r>
      <w:r>
        <w:t xml:space="preserve"> </w:t>
      </w:r>
      <w:hyperlink r:id="rId1" w:history="1">
        <w:r w:rsidR="00544E70">
          <w:rPr>
            <w:rStyle w:val="Hyperlink"/>
          </w:rPr>
          <w:t>The Nobel Prize in Chemistry 2001 - NobelPrize.org</w:t>
        </w:r>
      </w:hyperlink>
      <w:r w:rsidR="00544E70">
        <w:t>, accessed 9/11/2021.</w:t>
      </w:r>
    </w:p>
  </w:endnote>
  <w:endnote w:id="10">
    <w:p w14:paraId="1EBE5023" w14:textId="32AEE51E" w:rsidR="00544E70" w:rsidRDefault="00544E70" w:rsidP="00F00EDA">
      <w:pPr>
        <w:spacing w:after="0" w:line="360" w:lineRule="auto"/>
      </w:pPr>
      <w:r>
        <w:t>(</w:t>
      </w:r>
      <w:r w:rsidRPr="00B7624D">
        <w:endnoteRef/>
      </w:r>
      <w:r w:rsidRPr="00B7624D">
        <w:t>)</w:t>
      </w:r>
      <w:r>
        <w:t xml:space="preserve"> </w:t>
      </w:r>
      <w:hyperlink r:id="rId2" w:history="1">
        <w:r w:rsidR="002A49CE">
          <w:rPr>
            <w:rStyle w:val="Hyperlink"/>
          </w:rPr>
          <w:t>The Nobel Prize in Chemistry 2021 - NobelPrize.org</w:t>
        </w:r>
      </w:hyperlink>
      <w:r>
        <w:t>, accessed 9/11/2021.</w:t>
      </w:r>
    </w:p>
  </w:endnote>
  <w:endnote w:id="11">
    <w:p w14:paraId="5B4C8EAB" w14:textId="058074CD" w:rsidR="0074601F" w:rsidRDefault="0074601F" w:rsidP="00F00EDA">
      <w:pPr>
        <w:spacing w:after="0" w:line="360" w:lineRule="auto"/>
      </w:pPr>
      <w:r>
        <w:t>(</w:t>
      </w:r>
      <w:r w:rsidRPr="00B7624D">
        <w:endnoteRef/>
      </w:r>
      <w:r w:rsidRPr="00B7624D">
        <w:t>)</w:t>
      </w:r>
      <w:r>
        <w:t xml:space="preserve"> </w:t>
      </w:r>
      <w:r w:rsidR="004A57A4">
        <w:rPr>
          <w:noProof/>
        </w:rPr>
        <w:t xml:space="preserve">Mislow, K. &amp; Siegel, J. Stereoisomerism and Local Chirality. </w:t>
      </w:r>
      <w:r w:rsidR="004A57A4" w:rsidRPr="004A57A4">
        <w:rPr>
          <w:i/>
          <w:noProof/>
        </w:rPr>
        <w:t>J. Am. Chem. Soc.</w:t>
      </w:r>
      <w:r w:rsidR="004A57A4">
        <w:rPr>
          <w:noProof/>
        </w:rPr>
        <w:t xml:space="preserve"> </w:t>
      </w:r>
      <w:r w:rsidR="004A57A4" w:rsidRPr="004A57A4">
        <w:rPr>
          <w:b/>
          <w:noProof/>
        </w:rPr>
        <w:t>106</w:t>
      </w:r>
      <w:r w:rsidR="004A57A4">
        <w:rPr>
          <w:noProof/>
        </w:rPr>
        <w:t>, 3319-3328 (1984).</w:t>
      </w:r>
    </w:p>
  </w:endnote>
  <w:endnote w:id="12">
    <w:p w14:paraId="33273DAC" w14:textId="1D3327A7" w:rsidR="00621ADF" w:rsidRPr="00A11B15" w:rsidRDefault="00621ADF" w:rsidP="00F00EDA">
      <w:pPr>
        <w:spacing w:after="0" w:line="360" w:lineRule="auto"/>
        <w:rPr>
          <w:szCs w:val="16"/>
        </w:rPr>
      </w:pPr>
      <w:r w:rsidRPr="00A11B15">
        <w:rPr>
          <w:noProof/>
          <w:szCs w:val="16"/>
        </w:rPr>
        <w:t>(</w:t>
      </w:r>
      <w:r w:rsidRPr="000478CA">
        <w:rPr>
          <w:noProof/>
        </w:rPr>
        <w:endnoteRef/>
      </w:r>
      <w:r w:rsidRPr="000478CA">
        <w:rPr>
          <w:noProof/>
          <w:szCs w:val="16"/>
        </w:rPr>
        <w:t>)</w:t>
      </w:r>
      <w:r w:rsidR="0049696E">
        <w:rPr>
          <w:noProof/>
          <w:szCs w:val="16"/>
        </w:rPr>
        <w:t xml:space="preserve"> </w:t>
      </w:r>
      <w:r w:rsidR="00AE2785">
        <w:rPr>
          <w:noProof/>
          <w:szCs w:val="16"/>
        </w:rPr>
        <w:t xml:space="preserve">Herges, R. Topology in chemistry: designing Mobius molecules. </w:t>
      </w:r>
      <w:r w:rsidR="00AE2785" w:rsidRPr="00AE2785">
        <w:rPr>
          <w:i/>
          <w:noProof/>
          <w:szCs w:val="16"/>
        </w:rPr>
        <w:t>Chem. Rev.</w:t>
      </w:r>
      <w:r w:rsidR="00AE2785">
        <w:rPr>
          <w:noProof/>
          <w:szCs w:val="16"/>
        </w:rPr>
        <w:t xml:space="preserve"> </w:t>
      </w:r>
      <w:r w:rsidR="00AE2785" w:rsidRPr="00AE2785">
        <w:rPr>
          <w:b/>
          <w:noProof/>
          <w:szCs w:val="16"/>
        </w:rPr>
        <w:t>106</w:t>
      </w:r>
      <w:r w:rsidR="00AE2785">
        <w:rPr>
          <w:noProof/>
          <w:szCs w:val="16"/>
        </w:rPr>
        <w:t>, 4820-4842 (2006).</w:t>
      </w:r>
      <w:r w:rsidRPr="00A11B15">
        <w:rPr>
          <w:szCs w:val="16"/>
        </w:rPr>
        <w:t xml:space="preserve"> </w:t>
      </w:r>
    </w:p>
  </w:endnote>
  <w:endnote w:id="13">
    <w:p w14:paraId="0375CFFF" w14:textId="5E400C9E" w:rsidR="00621ADF" w:rsidRPr="00A11B15" w:rsidRDefault="00621ADF" w:rsidP="00F00EDA">
      <w:pPr>
        <w:spacing w:after="0" w:line="360" w:lineRule="auto"/>
        <w:rPr>
          <w:szCs w:val="16"/>
        </w:rPr>
      </w:pPr>
      <w:r w:rsidRPr="00A11B15">
        <w:rPr>
          <w:noProof/>
          <w:szCs w:val="16"/>
        </w:rPr>
        <w:t>(</w:t>
      </w:r>
      <w:r w:rsidRPr="000478CA">
        <w:rPr>
          <w:noProof/>
        </w:rPr>
        <w:endnoteRef/>
      </w:r>
      <w:r w:rsidRPr="00A11B15">
        <w:rPr>
          <w:noProof/>
          <w:szCs w:val="16"/>
        </w:rPr>
        <w:t xml:space="preserve">) </w:t>
      </w:r>
      <w:r>
        <w:rPr>
          <w:noProof/>
          <w:szCs w:val="16"/>
        </w:rPr>
        <w:t xml:space="preserve">Fielden, S. D. P., Leigh, D. A. &amp; Woltering, S. L. Molecular Knots. </w:t>
      </w:r>
      <w:r w:rsidRPr="004547AD">
        <w:rPr>
          <w:i/>
          <w:noProof/>
          <w:szCs w:val="16"/>
        </w:rPr>
        <w:t>Angew. Chem. Int. Ed.</w:t>
      </w:r>
      <w:r>
        <w:rPr>
          <w:noProof/>
          <w:szCs w:val="16"/>
        </w:rPr>
        <w:t xml:space="preserve"> </w:t>
      </w:r>
      <w:r w:rsidRPr="004547AD">
        <w:rPr>
          <w:b/>
          <w:noProof/>
          <w:szCs w:val="16"/>
        </w:rPr>
        <w:t>56</w:t>
      </w:r>
      <w:r>
        <w:rPr>
          <w:noProof/>
          <w:szCs w:val="16"/>
        </w:rPr>
        <w:t>, 11166-11194 (2017).</w:t>
      </w:r>
    </w:p>
  </w:endnote>
  <w:endnote w:id="14">
    <w:p w14:paraId="6CFD9A76" w14:textId="217EC1D7" w:rsidR="00DC57CC" w:rsidRPr="007934C4" w:rsidRDefault="00DC57CC" w:rsidP="00DC57CC">
      <w:pPr>
        <w:spacing w:after="0" w:line="360" w:lineRule="auto"/>
        <w:rPr>
          <w:noProof/>
          <w:szCs w:val="22"/>
        </w:rPr>
      </w:pPr>
      <w:r>
        <w:rPr>
          <w:noProof/>
          <w:szCs w:val="22"/>
        </w:rPr>
        <w:t>(</w:t>
      </w:r>
      <w:r w:rsidRPr="007934C4">
        <w:rPr>
          <w:noProof/>
          <w:szCs w:val="22"/>
        </w:rPr>
        <w:endnoteRef/>
      </w:r>
      <w:r>
        <w:rPr>
          <w:noProof/>
          <w:szCs w:val="22"/>
        </w:rPr>
        <w:t xml:space="preserve">) Bruns, C. J. &amp; Stoddart, J. F. </w:t>
      </w:r>
      <w:r w:rsidRPr="00A9511E">
        <w:rPr>
          <w:i/>
          <w:noProof/>
          <w:szCs w:val="22"/>
        </w:rPr>
        <w:t>The Nature of the Mechanical Bond: From Molecules to Machines</w:t>
      </w:r>
      <w:r>
        <w:rPr>
          <w:noProof/>
          <w:szCs w:val="22"/>
        </w:rPr>
        <w:t>.  (Wiley, 2016).</w:t>
      </w:r>
      <w:r w:rsidRPr="007934C4">
        <w:rPr>
          <w:noProof/>
          <w:szCs w:val="22"/>
        </w:rPr>
        <w:t xml:space="preserve"> </w:t>
      </w:r>
    </w:p>
  </w:endnote>
  <w:endnote w:id="15">
    <w:p w14:paraId="581B99CD" w14:textId="0A46F508" w:rsidR="00DC57CC" w:rsidRDefault="00DC57CC" w:rsidP="00DC57CC">
      <w:pPr>
        <w:spacing w:after="0" w:line="360" w:lineRule="auto"/>
      </w:pPr>
      <w:r>
        <w:t>(</w:t>
      </w:r>
      <w:r w:rsidRPr="00B7624D">
        <w:endnoteRef/>
      </w:r>
      <w:r w:rsidRPr="00B7624D">
        <w:t>)</w:t>
      </w:r>
      <w:r>
        <w:t xml:space="preserve"> </w:t>
      </w:r>
      <w:r>
        <w:rPr>
          <w:noProof/>
        </w:rPr>
        <w:t xml:space="preserve">Jamieson, E. M. G., Modicom, F. &amp; Goldup, S. M. Chirality in rotaxanes and catenanes. </w:t>
      </w:r>
      <w:r w:rsidRPr="00334266">
        <w:rPr>
          <w:i/>
          <w:noProof/>
        </w:rPr>
        <w:t>Chem. Soc. Rev.</w:t>
      </w:r>
      <w:r>
        <w:rPr>
          <w:noProof/>
        </w:rPr>
        <w:t xml:space="preserve"> </w:t>
      </w:r>
      <w:r w:rsidRPr="00334266">
        <w:rPr>
          <w:b/>
          <w:noProof/>
        </w:rPr>
        <w:t>47</w:t>
      </w:r>
      <w:r>
        <w:rPr>
          <w:noProof/>
        </w:rPr>
        <w:t>, 5266-5311 (2018).</w:t>
      </w:r>
    </w:p>
  </w:endnote>
  <w:endnote w:id="16">
    <w:p w14:paraId="32F8F136" w14:textId="3DE95786" w:rsidR="00C21780" w:rsidRDefault="00C21780" w:rsidP="00F00EDA">
      <w:pPr>
        <w:spacing w:after="0" w:line="360" w:lineRule="auto"/>
      </w:pPr>
      <w:r>
        <w:t>(</w:t>
      </w:r>
      <w:r w:rsidRPr="00B7624D">
        <w:endnoteRef/>
      </w:r>
      <w:r w:rsidRPr="00B7624D">
        <w:t>)</w:t>
      </w:r>
      <w:r>
        <w:t xml:space="preserve"> </w:t>
      </w:r>
      <w:r w:rsidR="002042DE">
        <w:rPr>
          <w:noProof/>
        </w:rPr>
        <w:t xml:space="preserve">Frisch, H. L. &amp; Wasserman, E. Chemical Topology. </w:t>
      </w:r>
      <w:r w:rsidR="002042DE" w:rsidRPr="002042DE">
        <w:rPr>
          <w:i/>
          <w:noProof/>
        </w:rPr>
        <w:t>J. Am. Chem. Soc.</w:t>
      </w:r>
      <w:r w:rsidR="002042DE">
        <w:rPr>
          <w:noProof/>
        </w:rPr>
        <w:t xml:space="preserve"> </w:t>
      </w:r>
      <w:r w:rsidR="002042DE" w:rsidRPr="002042DE">
        <w:rPr>
          <w:b/>
          <w:noProof/>
        </w:rPr>
        <w:t>83</w:t>
      </w:r>
      <w:r w:rsidR="002042DE">
        <w:rPr>
          <w:noProof/>
        </w:rPr>
        <w:t>, 3789-3795 (1961).</w:t>
      </w:r>
    </w:p>
  </w:endnote>
  <w:endnote w:id="17">
    <w:p w14:paraId="408E3340" w14:textId="25C70EE0" w:rsidR="00BB5995" w:rsidRDefault="00BB5995" w:rsidP="00F00EDA">
      <w:pPr>
        <w:spacing w:after="0" w:line="360" w:lineRule="auto"/>
      </w:pPr>
      <w:r>
        <w:t>(</w:t>
      </w:r>
      <w:r w:rsidRPr="00B7624D">
        <w:endnoteRef/>
      </w:r>
      <w:r w:rsidRPr="00B7624D">
        <w:t>)</w:t>
      </w:r>
      <w:r>
        <w:t xml:space="preserve"> </w:t>
      </w:r>
      <w:r w:rsidR="00AA223F">
        <w:rPr>
          <w:noProof/>
        </w:rPr>
        <w:t xml:space="preserve">Schill, G. </w:t>
      </w:r>
      <w:r w:rsidR="00AA223F" w:rsidRPr="00AA223F">
        <w:rPr>
          <w:i/>
          <w:noProof/>
        </w:rPr>
        <w:t>Catenanes, Rotaxanes and Knots</w:t>
      </w:r>
      <w:r w:rsidR="00AA223F">
        <w:rPr>
          <w:noProof/>
        </w:rPr>
        <w:t>.  (Academic Press, 1971).</w:t>
      </w:r>
    </w:p>
  </w:endnote>
  <w:endnote w:id="18">
    <w:p w14:paraId="20658041" w14:textId="6D4365DE" w:rsidR="005F16FC" w:rsidRDefault="005F16FC" w:rsidP="00F00EDA">
      <w:pPr>
        <w:spacing w:after="0" w:line="360" w:lineRule="auto"/>
      </w:pPr>
      <w:r>
        <w:t>(</w:t>
      </w:r>
      <w:r w:rsidRPr="00065A88">
        <w:endnoteRef/>
      </w:r>
      <w:r>
        <w:t xml:space="preserve">)  </w:t>
      </w:r>
      <w:r>
        <w:rPr>
          <w:noProof/>
        </w:rPr>
        <w:t xml:space="preserve">Maynard, J. R. J. &amp; Goldup, S. M. Strategies for the Synthesis of Enantiopure Mechanically Chiral Molecules. </w:t>
      </w:r>
      <w:r w:rsidRPr="00310B54">
        <w:rPr>
          <w:i/>
          <w:noProof/>
        </w:rPr>
        <w:t>Chem</w:t>
      </w:r>
      <w:r>
        <w:rPr>
          <w:noProof/>
        </w:rPr>
        <w:t xml:space="preserve"> </w:t>
      </w:r>
      <w:r w:rsidRPr="00310B54">
        <w:rPr>
          <w:b/>
          <w:noProof/>
        </w:rPr>
        <w:t>6</w:t>
      </w:r>
      <w:r>
        <w:rPr>
          <w:noProof/>
        </w:rPr>
        <w:t>, 1914-1932 (2020).</w:t>
      </w:r>
    </w:p>
  </w:endnote>
  <w:endnote w:id="19">
    <w:p w14:paraId="1C11579D" w14:textId="47CEA063" w:rsidR="007A0744" w:rsidRDefault="007A0744" w:rsidP="00F00EDA">
      <w:pPr>
        <w:spacing w:after="0" w:line="360" w:lineRule="auto"/>
      </w:pPr>
      <w:r>
        <w:t>(</w:t>
      </w:r>
      <w:r w:rsidRPr="00065A88">
        <w:endnoteRef/>
      </w:r>
      <w:r>
        <w:t xml:space="preserve">) </w:t>
      </w:r>
      <w:r>
        <w:rPr>
          <w:noProof/>
        </w:rPr>
        <w:t xml:space="preserve">Chambron, J. C., Dietrich-Buchecker, C., Rapenne, G. &amp; Sauvage, J. P. Resolution of topologically chiral molecular objects. </w:t>
      </w:r>
      <w:r w:rsidRPr="00225009">
        <w:rPr>
          <w:i/>
          <w:noProof/>
        </w:rPr>
        <w:t>Chirality</w:t>
      </w:r>
      <w:r>
        <w:rPr>
          <w:noProof/>
        </w:rPr>
        <w:t xml:space="preserve"> </w:t>
      </w:r>
      <w:r w:rsidRPr="00225009">
        <w:rPr>
          <w:b/>
          <w:noProof/>
        </w:rPr>
        <w:t>10</w:t>
      </w:r>
      <w:r>
        <w:rPr>
          <w:noProof/>
        </w:rPr>
        <w:t>, 125-133 (1998).</w:t>
      </w:r>
    </w:p>
  </w:endnote>
  <w:endnote w:id="20">
    <w:p w14:paraId="605AD37C" w14:textId="46A5B6A6" w:rsidR="007A0744" w:rsidRDefault="007A0744" w:rsidP="00F00EDA">
      <w:pPr>
        <w:spacing w:after="0" w:line="360" w:lineRule="auto"/>
      </w:pPr>
      <w:r>
        <w:t>(</w:t>
      </w:r>
      <w:r w:rsidRPr="00065A88">
        <w:endnoteRef/>
      </w:r>
      <w:r>
        <w:t xml:space="preserve">) </w:t>
      </w:r>
      <w:r>
        <w:rPr>
          <w:noProof/>
        </w:rPr>
        <w:t xml:space="preserve">Yamamoto, C., Okamoto, Y., Schmidt, T., Jager, R. &amp; Vogtle, F. Enantiomeric resolution of cycloenantiomeric rotaxane, topologically chiral catenane, and pretzel-shaped molecules: Observation of pronounced circular dichroism. </w:t>
      </w:r>
      <w:r w:rsidRPr="00BA523C">
        <w:rPr>
          <w:i/>
          <w:noProof/>
        </w:rPr>
        <w:t>J. Am. Chem. Soc.</w:t>
      </w:r>
      <w:r>
        <w:rPr>
          <w:noProof/>
        </w:rPr>
        <w:t xml:space="preserve"> </w:t>
      </w:r>
      <w:r w:rsidRPr="00BA523C">
        <w:rPr>
          <w:b/>
          <w:noProof/>
        </w:rPr>
        <w:t>119</w:t>
      </w:r>
      <w:r>
        <w:rPr>
          <w:noProof/>
        </w:rPr>
        <w:t>, 10547-10548 (1997).</w:t>
      </w:r>
    </w:p>
  </w:endnote>
  <w:endnote w:id="21">
    <w:p w14:paraId="177037C2" w14:textId="4D0C0D0B" w:rsidR="007A0744" w:rsidRDefault="007A0744" w:rsidP="00F00EDA">
      <w:pPr>
        <w:spacing w:after="0" w:line="360" w:lineRule="auto"/>
      </w:pPr>
      <w:r>
        <w:t>(</w:t>
      </w:r>
      <w:r w:rsidRPr="00065A88">
        <w:endnoteRef/>
      </w:r>
      <w:r>
        <w:t xml:space="preserve">) </w:t>
      </w:r>
      <w:r w:rsidR="00D1566F">
        <w:rPr>
          <w:noProof/>
        </w:rPr>
        <w:t>Hirose, K.</w:t>
      </w:r>
      <w:r w:rsidR="00D1566F" w:rsidRPr="00D1566F">
        <w:rPr>
          <w:i/>
          <w:noProof/>
        </w:rPr>
        <w:t xml:space="preserve"> et al.</w:t>
      </w:r>
      <w:r w:rsidR="00D1566F">
        <w:rPr>
          <w:noProof/>
        </w:rPr>
        <w:t xml:space="preserve"> The Asymmetry is Derived from Mechanical Interlocking of Achiral Axle and Achiral Ring Components -Syntheses and Properties of Optically Pure [2]Rotaxanes. </w:t>
      </w:r>
      <w:r w:rsidR="00D1566F" w:rsidRPr="00D1566F">
        <w:rPr>
          <w:i/>
          <w:noProof/>
        </w:rPr>
        <w:t>Symmetry</w:t>
      </w:r>
      <w:r w:rsidR="00D1566F">
        <w:rPr>
          <w:noProof/>
        </w:rPr>
        <w:t xml:space="preserve"> </w:t>
      </w:r>
      <w:r w:rsidR="00D1566F" w:rsidRPr="00D1566F">
        <w:rPr>
          <w:b/>
          <w:noProof/>
        </w:rPr>
        <w:t>10</w:t>
      </w:r>
      <w:r w:rsidR="00D1566F">
        <w:rPr>
          <w:noProof/>
        </w:rPr>
        <w:t>, 20 (2018).</w:t>
      </w:r>
    </w:p>
  </w:endnote>
  <w:endnote w:id="22">
    <w:p w14:paraId="4717BCAE" w14:textId="2E6E2F00" w:rsidR="007A0744" w:rsidRDefault="007A0744" w:rsidP="00F00EDA">
      <w:pPr>
        <w:spacing w:after="0" w:line="360" w:lineRule="auto"/>
      </w:pPr>
      <w:r>
        <w:t>(</w:t>
      </w:r>
      <w:r w:rsidRPr="00065A88">
        <w:endnoteRef/>
      </w:r>
      <w:r>
        <w:t xml:space="preserve">) </w:t>
      </w:r>
      <w:r>
        <w:rPr>
          <w:noProof/>
        </w:rPr>
        <w:t>Gaedke, M.</w:t>
      </w:r>
      <w:r w:rsidRPr="00C45973">
        <w:rPr>
          <w:i/>
          <w:noProof/>
        </w:rPr>
        <w:t xml:space="preserve"> et al.</w:t>
      </w:r>
      <w:r>
        <w:rPr>
          <w:noProof/>
        </w:rPr>
        <w:t xml:space="preserve"> Chiroptical inversion of a planar chiral redox-switchable rotaxane. </w:t>
      </w:r>
      <w:r w:rsidRPr="00C45973">
        <w:rPr>
          <w:i/>
          <w:noProof/>
        </w:rPr>
        <w:t>Chem. Sci.</w:t>
      </w:r>
      <w:r>
        <w:rPr>
          <w:noProof/>
        </w:rPr>
        <w:t xml:space="preserve"> </w:t>
      </w:r>
      <w:r w:rsidRPr="00C45973">
        <w:rPr>
          <w:b/>
          <w:noProof/>
        </w:rPr>
        <w:t>10</w:t>
      </w:r>
      <w:r>
        <w:rPr>
          <w:noProof/>
        </w:rPr>
        <w:t>, 10003-10009 (2019).</w:t>
      </w:r>
    </w:p>
  </w:endnote>
  <w:endnote w:id="23">
    <w:p w14:paraId="74AE49AE" w14:textId="025E92D6" w:rsidR="007A0744" w:rsidRDefault="007A0744" w:rsidP="00F00EDA">
      <w:pPr>
        <w:spacing w:after="0" w:line="360" w:lineRule="auto"/>
      </w:pPr>
      <w:r>
        <w:t>(</w:t>
      </w:r>
      <w:r w:rsidRPr="00065A88">
        <w:endnoteRef/>
      </w:r>
      <w:r>
        <w:t xml:space="preserve">) </w:t>
      </w:r>
      <w:r>
        <w:rPr>
          <w:noProof/>
        </w:rPr>
        <w:t>Imayoshi, A.</w:t>
      </w:r>
      <w:r w:rsidRPr="00EC6340">
        <w:rPr>
          <w:i/>
          <w:noProof/>
        </w:rPr>
        <w:t xml:space="preserve"> et al.</w:t>
      </w:r>
      <w:r>
        <w:rPr>
          <w:noProof/>
        </w:rPr>
        <w:t xml:space="preserve"> Enantioselective preparation of mechanically planar chiral rotaxanes by kinetic resolution strategy. </w:t>
      </w:r>
      <w:r w:rsidRPr="00EC6340">
        <w:rPr>
          <w:i/>
          <w:noProof/>
        </w:rPr>
        <w:t>Nat. Commun.</w:t>
      </w:r>
      <w:r>
        <w:rPr>
          <w:noProof/>
        </w:rPr>
        <w:t xml:space="preserve"> </w:t>
      </w:r>
      <w:r w:rsidRPr="00EC6340">
        <w:rPr>
          <w:b/>
          <w:noProof/>
        </w:rPr>
        <w:t>12</w:t>
      </w:r>
      <w:r>
        <w:rPr>
          <w:noProof/>
        </w:rPr>
        <w:t>, 404 (2021).</w:t>
      </w:r>
    </w:p>
  </w:endnote>
  <w:endnote w:id="24">
    <w:p w14:paraId="5D4D9CAF" w14:textId="3C1183FA" w:rsidR="007A0744" w:rsidRDefault="007A0744" w:rsidP="00F00EDA">
      <w:pPr>
        <w:spacing w:after="0" w:line="360" w:lineRule="auto"/>
      </w:pPr>
      <w:r>
        <w:t>(</w:t>
      </w:r>
      <w:r w:rsidRPr="00065A88">
        <w:endnoteRef/>
      </w:r>
      <w:r>
        <w:t xml:space="preserve">) </w:t>
      </w:r>
      <w:r>
        <w:rPr>
          <w:noProof/>
        </w:rPr>
        <w:t xml:space="preserve">Tian, C., Fielden, S. D. P., Perez-Saavedra, B., Vitorica-Yrezabal, I. J. &amp; Leigh, D. A. Single-Step Enantioselective Synthesis of Mechanically Planar Chiral [2]Rotaxanes Using a Chiral Leaving Group Strategy. </w:t>
      </w:r>
      <w:r w:rsidRPr="004C3A98">
        <w:rPr>
          <w:i/>
          <w:noProof/>
        </w:rPr>
        <w:t>J. Am. Chem. Soc.</w:t>
      </w:r>
      <w:r>
        <w:rPr>
          <w:noProof/>
        </w:rPr>
        <w:t xml:space="preserve"> </w:t>
      </w:r>
      <w:r w:rsidRPr="004C3A98">
        <w:rPr>
          <w:b/>
          <w:noProof/>
        </w:rPr>
        <w:t>142</w:t>
      </w:r>
      <w:r>
        <w:rPr>
          <w:noProof/>
        </w:rPr>
        <w:t>, 9803-9808 (2020).</w:t>
      </w:r>
    </w:p>
  </w:endnote>
  <w:endnote w:id="25">
    <w:p w14:paraId="0580C4D0" w14:textId="454E7E6E" w:rsidR="007A0744" w:rsidRDefault="007A0744" w:rsidP="00F00EDA">
      <w:pPr>
        <w:spacing w:after="0" w:line="360" w:lineRule="auto"/>
      </w:pPr>
      <w:r>
        <w:t>(</w:t>
      </w:r>
      <w:r w:rsidRPr="00065A88">
        <w:endnoteRef/>
      </w:r>
      <w:r>
        <w:t xml:space="preserve">)  </w:t>
      </w:r>
      <w:r w:rsidR="00544859">
        <w:rPr>
          <w:noProof/>
        </w:rPr>
        <w:t xml:space="preserve">Bordoli, R. J. &amp; Goldup, S. M. An efficient approach to mechanically planar chiral rotaxanes. </w:t>
      </w:r>
      <w:r w:rsidR="00544859" w:rsidRPr="00544859">
        <w:rPr>
          <w:i/>
          <w:noProof/>
        </w:rPr>
        <w:t>J. Am. Chem. Soc.</w:t>
      </w:r>
      <w:r w:rsidR="00544859">
        <w:rPr>
          <w:noProof/>
        </w:rPr>
        <w:t xml:space="preserve"> </w:t>
      </w:r>
      <w:r w:rsidR="00544859" w:rsidRPr="00544859">
        <w:rPr>
          <w:b/>
          <w:noProof/>
        </w:rPr>
        <w:t>136</w:t>
      </w:r>
      <w:r w:rsidR="00544859">
        <w:rPr>
          <w:noProof/>
        </w:rPr>
        <w:t>, 4817-4820 (2014).</w:t>
      </w:r>
    </w:p>
  </w:endnote>
  <w:endnote w:id="26">
    <w:p w14:paraId="380B0DDE" w14:textId="2DB10950" w:rsidR="007A0744" w:rsidRDefault="007A0744" w:rsidP="00F00EDA">
      <w:pPr>
        <w:spacing w:after="0" w:line="360" w:lineRule="auto"/>
      </w:pPr>
      <w:r>
        <w:t>(</w:t>
      </w:r>
      <w:r w:rsidRPr="00065A88">
        <w:endnoteRef/>
      </w:r>
      <w:r>
        <w:t xml:space="preserve">)  </w:t>
      </w:r>
      <w:r>
        <w:rPr>
          <w:noProof/>
        </w:rPr>
        <w:t>Jinks, M. A.</w:t>
      </w:r>
      <w:r w:rsidRPr="00390F32">
        <w:rPr>
          <w:i/>
          <w:noProof/>
        </w:rPr>
        <w:t xml:space="preserve"> et al.</w:t>
      </w:r>
      <w:r>
        <w:rPr>
          <w:noProof/>
        </w:rPr>
        <w:t xml:space="preserve"> Stereoselective Synthesis of Mechanically Planar Chiral Rotaxanes. </w:t>
      </w:r>
      <w:r w:rsidRPr="00390F32">
        <w:rPr>
          <w:i/>
          <w:noProof/>
        </w:rPr>
        <w:t>Angew. Chem. Int. Ed.</w:t>
      </w:r>
      <w:r>
        <w:rPr>
          <w:noProof/>
        </w:rPr>
        <w:t xml:space="preserve"> </w:t>
      </w:r>
      <w:r w:rsidRPr="00390F32">
        <w:rPr>
          <w:b/>
          <w:noProof/>
        </w:rPr>
        <w:t>57</w:t>
      </w:r>
      <w:r>
        <w:rPr>
          <w:noProof/>
        </w:rPr>
        <w:t>, 14806-14810 (2018).</w:t>
      </w:r>
    </w:p>
  </w:endnote>
  <w:endnote w:id="27">
    <w:p w14:paraId="1B1FE13B" w14:textId="6A45A520" w:rsidR="007A0744" w:rsidRDefault="007A0744" w:rsidP="00F00EDA">
      <w:pPr>
        <w:spacing w:after="0" w:line="360" w:lineRule="auto"/>
      </w:pPr>
      <w:r>
        <w:t>(</w:t>
      </w:r>
      <w:r w:rsidRPr="00065A88">
        <w:endnoteRef/>
      </w:r>
      <w:r>
        <w:t xml:space="preserve">)  </w:t>
      </w:r>
      <w:r w:rsidR="002D2484">
        <w:rPr>
          <w:noProof/>
        </w:rPr>
        <w:t>de Juan, A.</w:t>
      </w:r>
      <w:r w:rsidR="002D2484" w:rsidRPr="002D2484">
        <w:rPr>
          <w:i/>
          <w:noProof/>
        </w:rPr>
        <w:t xml:space="preserve"> et al.</w:t>
      </w:r>
      <w:r w:rsidR="002D2484">
        <w:rPr>
          <w:noProof/>
        </w:rPr>
        <w:t xml:space="preserve"> A chiral interlocking auxiliary strategy for the synthesis of mechanically planar chiral rotaxanes. </w:t>
      </w:r>
      <w:r w:rsidR="002D2484" w:rsidRPr="002D2484">
        <w:rPr>
          <w:i/>
          <w:noProof/>
        </w:rPr>
        <w:t>Nat. Chem.</w:t>
      </w:r>
      <w:r w:rsidR="002D2484">
        <w:rPr>
          <w:noProof/>
        </w:rPr>
        <w:t xml:space="preserve"> </w:t>
      </w:r>
      <w:r w:rsidR="002D2484" w:rsidRPr="002D2484">
        <w:rPr>
          <w:b/>
          <w:noProof/>
        </w:rPr>
        <w:t>14</w:t>
      </w:r>
      <w:r w:rsidR="002D2484">
        <w:rPr>
          <w:noProof/>
        </w:rPr>
        <w:t>, 179-187 (2022).</w:t>
      </w:r>
    </w:p>
  </w:endnote>
  <w:endnote w:id="28">
    <w:p w14:paraId="31105745" w14:textId="0B44E2B1" w:rsidR="007A0744" w:rsidRDefault="007A0744" w:rsidP="00F00EDA">
      <w:pPr>
        <w:spacing w:after="0" w:line="360" w:lineRule="auto"/>
      </w:pPr>
      <w:r>
        <w:t>(</w:t>
      </w:r>
      <w:r w:rsidRPr="00065A88">
        <w:endnoteRef/>
      </w:r>
      <w:r>
        <w:t xml:space="preserve">)  </w:t>
      </w:r>
      <w:r>
        <w:rPr>
          <w:noProof/>
        </w:rPr>
        <w:t xml:space="preserve">Denis, M., Lewis, J. E. M., Modicom, F. &amp; Goldup, S. M. An Auxiliary Approach for the Stereoselective Synthesis of Topologically Chiral Catenanes. </w:t>
      </w:r>
      <w:r w:rsidRPr="00DB087B">
        <w:rPr>
          <w:i/>
          <w:noProof/>
        </w:rPr>
        <w:t>Chem</w:t>
      </w:r>
      <w:r>
        <w:rPr>
          <w:noProof/>
        </w:rPr>
        <w:t xml:space="preserve"> </w:t>
      </w:r>
      <w:r w:rsidRPr="00DB087B">
        <w:rPr>
          <w:b/>
          <w:noProof/>
        </w:rPr>
        <w:t>5</w:t>
      </w:r>
      <w:r>
        <w:rPr>
          <w:noProof/>
        </w:rPr>
        <w:t>, 1512-1520 (2019).</w:t>
      </w:r>
    </w:p>
  </w:endnote>
  <w:endnote w:id="29">
    <w:p w14:paraId="7FD5C981" w14:textId="1CBE8BBE" w:rsidR="00BF729E" w:rsidRPr="00880F41" w:rsidRDefault="00BF729E" w:rsidP="00BF729E">
      <w:pPr>
        <w:spacing w:after="0" w:line="360" w:lineRule="auto"/>
        <w:rPr>
          <w:lang w:val="en-GB"/>
        </w:rPr>
      </w:pPr>
      <w:r>
        <w:t>(</w:t>
      </w:r>
      <w:r w:rsidRPr="00065A88">
        <w:endnoteRef/>
      </w:r>
      <w:r>
        <w:t xml:space="preserve">)  </w:t>
      </w:r>
      <w:r>
        <w:rPr>
          <w:noProof/>
        </w:rPr>
        <w:t xml:space="preserve">McArdle, C. P., Van, S., Jennings, M. C. &amp; Puddephatt, R. J. Gold(I) macrocycles and topologically chiral [2]catenanes. </w:t>
      </w:r>
      <w:r w:rsidRPr="00544859">
        <w:rPr>
          <w:i/>
          <w:noProof/>
        </w:rPr>
        <w:t>J. Am. Chem. Soc.</w:t>
      </w:r>
      <w:r>
        <w:rPr>
          <w:noProof/>
        </w:rPr>
        <w:t xml:space="preserve"> </w:t>
      </w:r>
      <w:r w:rsidRPr="00544859">
        <w:rPr>
          <w:b/>
          <w:noProof/>
        </w:rPr>
        <w:t>124</w:t>
      </w:r>
      <w:r>
        <w:rPr>
          <w:noProof/>
        </w:rPr>
        <w:t>, 3959-3965 (2002).</w:t>
      </w:r>
    </w:p>
  </w:endnote>
  <w:endnote w:id="30">
    <w:p w14:paraId="5BF8A30F" w14:textId="0C7A7546" w:rsidR="00AF6A07" w:rsidRPr="00AF6A07" w:rsidRDefault="00AF6A07" w:rsidP="00AF6A07">
      <w:pPr>
        <w:spacing w:after="0" w:line="360" w:lineRule="auto"/>
        <w:rPr>
          <w:noProof/>
          <w:lang w:val="en-GB"/>
        </w:rPr>
      </w:pPr>
      <w:r>
        <w:rPr>
          <w:noProof/>
          <w:lang w:val="en-GB"/>
        </w:rPr>
        <w:t>(</w:t>
      </w:r>
      <w:r w:rsidRPr="00AF6A07">
        <w:rPr>
          <w:noProof/>
          <w:lang w:val="en-GB"/>
        </w:rPr>
        <w:endnoteRef/>
      </w:r>
      <w:r>
        <w:rPr>
          <w:noProof/>
          <w:lang w:val="en-GB"/>
        </w:rPr>
        <w:t xml:space="preserve">) </w:t>
      </w:r>
      <w:r w:rsidR="005F2B5D">
        <w:rPr>
          <w:noProof/>
          <w:lang w:val="en-GB"/>
        </w:rPr>
        <w:t xml:space="preserve">Habermehl, N. C., Jennings, M. C., McArdle, C. P., Mohr, F. &amp; Puddephatt, R. J. Selectivity in the Self-Assembly of Organometallic Gold(I) Rings and [2]Catenanes. </w:t>
      </w:r>
      <w:r w:rsidR="005F2B5D" w:rsidRPr="005F2B5D">
        <w:rPr>
          <w:i/>
          <w:noProof/>
          <w:lang w:val="en-GB"/>
        </w:rPr>
        <w:t>Organometallics</w:t>
      </w:r>
      <w:r w:rsidR="005F2B5D">
        <w:rPr>
          <w:noProof/>
          <w:lang w:val="en-GB"/>
        </w:rPr>
        <w:t xml:space="preserve"> </w:t>
      </w:r>
      <w:r w:rsidR="005F2B5D" w:rsidRPr="005F2B5D">
        <w:rPr>
          <w:b/>
          <w:noProof/>
          <w:lang w:val="en-GB"/>
        </w:rPr>
        <w:t>24</w:t>
      </w:r>
      <w:r w:rsidR="005F2B5D">
        <w:rPr>
          <w:noProof/>
          <w:lang w:val="en-GB"/>
        </w:rPr>
        <w:t>, 5004-5014 (2005).</w:t>
      </w:r>
      <w:r w:rsidRPr="00AF6A07">
        <w:rPr>
          <w:noProof/>
          <w:lang w:val="en-GB"/>
        </w:rPr>
        <w:t xml:space="preserve"> </w:t>
      </w:r>
    </w:p>
  </w:endnote>
  <w:endnote w:id="31">
    <w:p w14:paraId="58D3E4B8" w14:textId="645116CB" w:rsidR="007A0744" w:rsidRPr="00880F41" w:rsidRDefault="007A0744" w:rsidP="00F00EDA">
      <w:pPr>
        <w:spacing w:after="0" w:line="360" w:lineRule="auto"/>
        <w:rPr>
          <w:lang w:val="en-GB"/>
        </w:rPr>
      </w:pPr>
      <w:r w:rsidRPr="00880F41">
        <w:rPr>
          <w:lang w:val="en-GB"/>
        </w:rPr>
        <w:t>(</w:t>
      </w:r>
      <w:r w:rsidRPr="00065A88">
        <w:endnoteRef/>
      </w:r>
      <w:r w:rsidRPr="00880F41">
        <w:rPr>
          <w:lang w:val="en-GB"/>
        </w:rPr>
        <w:t xml:space="preserve">)  </w:t>
      </w:r>
      <w:r w:rsidR="00BC77EF" w:rsidRPr="00BC77EF">
        <w:rPr>
          <w:noProof/>
          <w:lang w:val="en-GB"/>
        </w:rPr>
        <w:t xml:space="preserve">Theil, A., Mauve, C., Adeline, M.-T., Marinetti, A. &amp; Sauvage, J.-P. Phosphorus-Containing [2]Catenanes as an Example of Interlocking Chiral Structures. </w:t>
      </w:r>
      <w:r w:rsidR="00BC77EF" w:rsidRPr="00BC77EF">
        <w:rPr>
          <w:i/>
          <w:noProof/>
          <w:lang w:val="en-GB"/>
        </w:rPr>
        <w:t>Angew. Chem. Int. Ed.</w:t>
      </w:r>
      <w:r w:rsidR="00BC77EF" w:rsidRPr="00BC77EF">
        <w:rPr>
          <w:noProof/>
          <w:lang w:val="en-GB"/>
        </w:rPr>
        <w:t xml:space="preserve"> </w:t>
      </w:r>
      <w:r w:rsidR="00BC77EF" w:rsidRPr="00BC77EF">
        <w:rPr>
          <w:b/>
          <w:noProof/>
          <w:lang w:val="en-GB"/>
        </w:rPr>
        <w:t>45</w:t>
      </w:r>
      <w:r w:rsidR="00BC77EF" w:rsidRPr="00BC77EF">
        <w:rPr>
          <w:noProof/>
          <w:lang w:val="en-GB"/>
        </w:rPr>
        <w:t>, 2104-2107 (2006).</w:t>
      </w:r>
    </w:p>
  </w:endnote>
  <w:endnote w:id="32">
    <w:p w14:paraId="36CFC4F8" w14:textId="77777777" w:rsidR="002023B1" w:rsidRPr="00FF3ED0" w:rsidRDefault="002023B1" w:rsidP="00F00EDA">
      <w:pPr>
        <w:pStyle w:val="NoTemplateRefs"/>
        <w:spacing w:line="360" w:lineRule="auto"/>
      </w:pPr>
      <w:r>
        <w:t>(</w:t>
      </w:r>
      <w:r w:rsidRPr="00FF3ED0">
        <w:endnoteRef/>
      </w:r>
      <w:r>
        <w:t xml:space="preserve">) </w:t>
      </w:r>
      <w:r w:rsidRPr="00FF3ED0">
        <w:t> IUPAC. Compendium of Chemical Terminology, 2nd ed. (the "Gold Book"). Compiled by A. D. McNaught and A. Wilkinson. Blackwell Scientific Publications, Oxford (1997). Online version (2019-) created by S. J. Chalk. ISBN 0-9678550-9-8. https://doi.org/10.1351/goldbook.</w:t>
      </w:r>
    </w:p>
  </w:endnote>
  <w:endnote w:id="33">
    <w:p w14:paraId="07F3D5B2" w14:textId="76206830" w:rsidR="007C01B4" w:rsidRDefault="007C01B4" w:rsidP="00F00EDA">
      <w:pPr>
        <w:pStyle w:val="NoTemplateRefs"/>
        <w:spacing w:line="360" w:lineRule="auto"/>
      </w:pPr>
      <w:r>
        <w:t>(</w:t>
      </w:r>
      <w:r w:rsidRPr="00065A88">
        <w:endnoteRef/>
      </w:r>
      <w:r>
        <w:t xml:space="preserve">)  </w:t>
      </w:r>
      <w:r w:rsidR="00544859">
        <w:t xml:space="preserve">Alvarez-Perez, M., Goldup, S. M., Leigh, D. A. &amp; Slawin, A. M. A chemically-driven molecular information ratchet. </w:t>
      </w:r>
      <w:r w:rsidR="00544859" w:rsidRPr="00544859">
        <w:rPr>
          <w:i/>
        </w:rPr>
        <w:t>J. Am. Chem. Soc.</w:t>
      </w:r>
      <w:r w:rsidR="00544859">
        <w:t xml:space="preserve"> </w:t>
      </w:r>
      <w:r w:rsidR="00544859" w:rsidRPr="00544859">
        <w:rPr>
          <w:b/>
        </w:rPr>
        <w:t>130</w:t>
      </w:r>
      <w:r w:rsidR="00544859">
        <w:t>, 1836-1838 (2008).</w:t>
      </w:r>
    </w:p>
  </w:endnote>
  <w:endnote w:id="34">
    <w:p w14:paraId="3059C975" w14:textId="35009A11" w:rsidR="007C01B4" w:rsidRDefault="007C01B4" w:rsidP="00F00EDA">
      <w:pPr>
        <w:pStyle w:val="NoTemplateRefs"/>
        <w:spacing w:line="360" w:lineRule="auto"/>
      </w:pPr>
      <w:r>
        <w:t>(</w:t>
      </w:r>
      <w:r w:rsidRPr="00065A88">
        <w:endnoteRef/>
      </w:r>
      <w:r>
        <w:t xml:space="preserve">)  </w:t>
      </w:r>
      <w:r w:rsidR="00AE2785">
        <w:t xml:space="preserve">Carlone, A., Goldup, S. M., Lebrasseur, N., Leigh, D. A. &amp; Wilson, A. A three-compartment chemically-driven molecular information ratchet. </w:t>
      </w:r>
      <w:r w:rsidR="00AE2785" w:rsidRPr="00AE2785">
        <w:rPr>
          <w:i/>
        </w:rPr>
        <w:t>J. Am. Chem. Soc.</w:t>
      </w:r>
      <w:r w:rsidR="00AE2785">
        <w:t xml:space="preserve"> </w:t>
      </w:r>
      <w:r w:rsidR="00AE2785" w:rsidRPr="00AE2785">
        <w:rPr>
          <w:b/>
        </w:rPr>
        <w:t>134</w:t>
      </w:r>
      <w:r w:rsidR="00AE2785">
        <w:t>, 8321-8323 (2012).</w:t>
      </w:r>
    </w:p>
  </w:endnote>
  <w:endnote w:id="35">
    <w:p w14:paraId="7F926564" w14:textId="2DB2461A" w:rsidR="007C01B4" w:rsidRDefault="007C01B4" w:rsidP="00F00EDA">
      <w:pPr>
        <w:pStyle w:val="NoTemplateRefs"/>
        <w:spacing w:line="360" w:lineRule="auto"/>
      </w:pPr>
      <w:r>
        <w:t>(</w:t>
      </w:r>
      <w:r w:rsidRPr="00065A88">
        <w:endnoteRef/>
      </w:r>
      <w:r>
        <w:t xml:space="preserve">)  </w:t>
      </w:r>
      <w:r w:rsidR="00544859">
        <w:t xml:space="preserve">Cakmak, Y., Erbas-Cakmak, S. &amp; Leigh, D. A. Asymmetric Catalysis with a Mechanically Point-Chiral Rotaxane. </w:t>
      </w:r>
      <w:r w:rsidR="00544859" w:rsidRPr="00544859">
        <w:rPr>
          <w:i/>
        </w:rPr>
        <w:t>J. Am. Chem. Soc.</w:t>
      </w:r>
      <w:r w:rsidR="00544859">
        <w:t xml:space="preserve"> </w:t>
      </w:r>
      <w:r w:rsidR="00544859" w:rsidRPr="00544859">
        <w:rPr>
          <w:b/>
        </w:rPr>
        <w:t>138</w:t>
      </w:r>
      <w:r w:rsidR="00544859">
        <w:t>, 1749-1751 (2016).</w:t>
      </w:r>
    </w:p>
  </w:endnote>
  <w:endnote w:id="36">
    <w:p w14:paraId="1EB6CFFD" w14:textId="2214BEE3" w:rsidR="00064A47" w:rsidRDefault="00064A47" w:rsidP="00F00EDA">
      <w:pPr>
        <w:pStyle w:val="NoTemplateRefs"/>
        <w:spacing w:line="360" w:lineRule="auto"/>
      </w:pPr>
      <w:r>
        <w:t>(</w:t>
      </w:r>
      <w:r w:rsidRPr="00065A88">
        <w:endnoteRef/>
      </w:r>
      <w:r>
        <w:t xml:space="preserve">)  </w:t>
      </w:r>
      <w:r w:rsidR="00334266">
        <w:t>Lewis, J. E. M.</w:t>
      </w:r>
      <w:r w:rsidR="00334266" w:rsidRPr="00334266">
        <w:rPr>
          <w:i/>
        </w:rPr>
        <w:t xml:space="preserve"> et al.</w:t>
      </w:r>
      <w:r w:rsidR="00334266">
        <w:t xml:space="preserve"> High yielding synthesis of 2,2′-bipyridine macrocycles, versatile intermediates in the synthesis of rotaxanes. </w:t>
      </w:r>
      <w:r w:rsidR="00334266" w:rsidRPr="00334266">
        <w:rPr>
          <w:i/>
        </w:rPr>
        <w:t>Chem. Sci.</w:t>
      </w:r>
      <w:r w:rsidR="00334266">
        <w:t xml:space="preserve"> </w:t>
      </w:r>
      <w:r w:rsidR="00334266" w:rsidRPr="00334266">
        <w:rPr>
          <w:b/>
        </w:rPr>
        <w:t>7</w:t>
      </w:r>
      <w:r w:rsidR="00334266">
        <w:t>, 3154-3161 (2016).</w:t>
      </w:r>
    </w:p>
  </w:endnote>
  <w:endnote w:id="37">
    <w:p w14:paraId="14CF1D4B" w14:textId="428BAE10" w:rsidR="00A84D44" w:rsidRDefault="00A84D44" w:rsidP="00F00EDA">
      <w:pPr>
        <w:pStyle w:val="NoTemplateRefs"/>
        <w:spacing w:line="360" w:lineRule="auto"/>
      </w:pPr>
      <w:r>
        <w:t>(</w:t>
      </w:r>
      <w:r w:rsidRPr="00065A88">
        <w:endnoteRef/>
      </w:r>
      <w:r>
        <w:t xml:space="preserve">)  </w:t>
      </w:r>
      <w:r w:rsidR="00334266">
        <w:t xml:space="preserve">Denis, M. &amp; Goldup, S. M. The active template approach to interlocked molecules. </w:t>
      </w:r>
      <w:r w:rsidR="00334266" w:rsidRPr="00334266">
        <w:rPr>
          <w:i/>
        </w:rPr>
        <w:t>Nat. Rev. Chem.</w:t>
      </w:r>
      <w:r w:rsidR="00334266">
        <w:t xml:space="preserve"> </w:t>
      </w:r>
      <w:r w:rsidR="00334266" w:rsidRPr="00334266">
        <w:rPr>
          <w:b/>
        </w:rPr>
        <w:t>1</w:t>
      </w:r>
      <w:r w:rsidR="00334266">
        <w:t>, 0061 (2017).</w:t>
      </w:r>
    </w:p>
  </w:endnote>
  <w:endnote w:id="38">
    <w:p w14:paraId="48CA9F59" w14:textId="63FD5B68" w:rsidR="00A84D44" w:rsidRDefault="00A84D44" w:rsidP="00F00EDA">
      <w:pPr>
        <w:pStyle w:val="NoTemplateRefs"/>
        <w:spacing w:line="360" w:lineRule="auto"/>
      </w:pPr>
      <w:r>
        <w:t>(</w:t>
      </w:r>
      <w:r w:rsidRPr="00065A88">
        <w:endnoteRef/>
      </w:r>
      <w:r>
        <w:t xml:space="preserve">)  </w:t>
      </w:r>
      <w:r w:rsidR="00544859">
        <w:t xml:space="preserve">Aucagne, V., Hanni, K. D., Leigh, D. A., Lusby, P. J. &amp; Walker, D. B. Catalytic "click" rotaxanes: a substoichiometric metal-template pathway to mechanically interlocked architectures. </w:t>
      </w:r>
      <w:r w:rsidR="00544859" w:rsidRPr="00544859">
        <w:rPr>
          <w:i/>
        </w:rPr>
        <w:t>J. Am. Chem. Soc.</w:t>
      </w:r>
      <w:r w:rsidR="00544859">
        <w:t xml:space="preserve"> </w:t>
      </w:r>
      <w:r w:rsidR="00544859" w:rsidRPr="00544859">
        <w:rPr>
          <w:b/>
        </w:rPr>
        <w:t>128</w:t>
      </w:r>
      <w:r w:rsidR="00544859">
        <w:t>, 2186-2187 (2006).</w:t>
      </w:r>
    </w:p>
  </w:endnote>
  <w:endnote w:id="39">
    <w:p w14:paraId="304E7099" w14:textId="241EFC9F" w:rsidR="00A84D44" w:rsidRDefault="00A84D44" w:rsidP="00F00EDA">
      <w:pPr>
        <w:pStyle w:val="NoTemplateRefs"/>
        <w:spacing w:line="360" w:lineRule="auto"/>
      </w:pPr>
      <w:r>
        <w:t>(</w:t>
      </w:r>
      <w:r w:rsidRPr="00065A88">
        <w:endnoteRef/>
      </w:r>
      <w:r>
        <w:t xml:space="preserve">)  </w:t>
      </w:r>
      <w:r w:rsidR="00544859">
        <w:t xml:space="preserve">Lewis, J. E. M., Modicom, F. &amp; Goldup, S. M. Efficient Multicomponent Active Template Synthesis of Catenanes. </w:t>
      </w:r>
      <w:r w:rsidR="00544859" w:rsidRPr="00544859">
        <w:rPr>
          <w:i/>
        </w:rPr>
        <w:t>J. Am. Chem. Soc.</w:t>
      </w:r>
      <w:r w:rsidR="00544859">
        <w:t xml:space="preserve"> </w:t>
      </w:r>
      <w:r w:rsidR="00544859" w:rsidRPr="00544859">
        <w:rPr>
          <w:b/>
        </w:rPr>
        <w:t>140</w:t>
      </w:r>
      <w:r w:rsidR="00544859">
        <w:t>, 4787-4791 (2018).</w:t>
      </w:r>
    </w:p>
  </w:endnote>
  <w:endnote w:id="40">
    <w:p w14:paraId="1F9E5301" w14:textId="245A561C" w:rsidR="00175431" w:rsidRDefault="00175431" w:rsidP="00175431">
      <w:pPr>
        <w:pStyle w:val="NoTemplateRefs"/>
      </w:pPr>
      <w:r>
        <w:t>(</w:t>
      </w:r>
      <w:r w:rsidRPr="00065A88">
        <w:endnoteRef/>
      </w:r>
      <w:r>
        <w:t xml:space="preserve">)  </w:t>
      </w:r>
      <w:r w:rsidR="00937EB0">
        <w:t xml:space="preserve">Shukla, V. G., Salgaonkar, P. D. &amp; Akamanchi, K. G. A mild, chemoselective oxidation of sulfides to sulfoxides using o-iodoxybenzoic acid and tetraethylammonium bromide as catalyst. </w:t>
      </w:r>
      <w:r w:rsidR="00937EB0" w:rsidRPr="00937EB0">
        <w:rPr>
          <w:i/>
        </w:rPr>
        <w:t>J. Org. Chem.</w:t>
      </w:r>
      <w:r w:rsidR="00937EB0">
        <w:t xml:space="preserve"> </w:t>
      </w:r>
      <w:r w:rsidR="00937EB0" w:rsidRPr="00937EB0">
        <w:rPr>
          <w:b/>
        </w:rPr>
        <w:t>68</w:t>
      </w:r>
      <w:r w:rsidR="00937EB0">
        <w:t>, 5422-5425 (2003).</w:t>
      </w:r>
    </w:p>
  </w:endnote>
  <w:endnote w:id="41">
    <w:p w14:paraId="038EF6E7" w14:textId="77777777" w:rsidR="00A1275C" w:rsidRDefault="00A1275C" w:rsidP="00A1275C">
      <w:pPr>
        <w:pStyle w:val="NoTemplateRefs"/>
        <w:spacing w:line="360" w:lineRule="auto"/>
      </w:pPr>
      <w:r>
        <w:t>(</w:t>
      </w:r>
      <w:r w:rsidRPr="00065A88">
        <w:endnoteRef/>
      </w:r>
      <w:r>
        <w:t xml:space="preserve">)  Lahlali, H., Jobe, K., Watkinson, M. &amp; Goldup, S. M. Macrocycle size matters: "small" functionalized rotaxanes in excellent yield using the CuAAC active template approach. </w:t>
      </w:r>
      <w:r w:rsidRPr="00133203">
        <w:rPr>
          <w:i/>
        </w:rPr>
        <w:t>Angew. Chem. Int. Ed.</w:t>
      </w:r>
      <w:r>
        <w:t xml:space="preserve"> </w:t>
      </w:r>
      <w:r w:rsidRPr="00133203">
        <w:rPr>
          <w:b/>
        </w:rPr>
        <w:t>50</w:t>
      </w:r>
      <w:r>
        <w:t>, 4151-4155 (2011).</w:t>
      </w:r>
    </w:p>
  </w:endnote>
  <w:endnote w:id="42">
    <w:p w14:paraId="796D4176" w14:textId="0E80279E" w:rsidR="00DF325A" w:rsidRPr="00DF325A" w:rsidRDefault="00DF325A" w:rsidP="00EC174E">
      <w:pPr>
        <w:spacing w:after="0" w:line="360" w:lineRule="auto"/>
        <w:rPr>
          <w:noProof/>
          <w:szCs w:val="22"/>
        </w:rPr>
      </w:pPr>
      <w:r>
        <w:rPr>
          <w:noProof/>
          <w:szCs w:val="22"/>
        </w:rPr>
        <w:t>(</w:t>
      </w:r>
      <w:r w:rsidRPr="00DF325A">
        <w:rPr>
          <w:noProof/>
          <w:szCs w:val="22"/>
        </w:rPr>
        <w:endnoteRef/>
      </w:r>
      <w:r>
        <w:rPr>
          <w:noProof/>
          <w:szCs w:val="22"/>
        </w:rPr>
        <w:t xml:space="preserve">) </w:t>
      </w:r>
      <w:r w:rsidR="00E077D6">
        <w:rPr>
          <w:noProof/>
          <w:szCs w:val="22"/>
        </w:rPr>
        <w:t xml:space="preserve">Schroder, H. V., Zhang, Y. &amp; Link, A. J. Dynamic covalent self-assembly of mechanically interlocked molecules solely made from peptides. </w:t>
      </w:r>
      <w:r w:rsidR="00E077D6" w:rsidRPr="00E077D6">
        <w:rPr>
          <w:i/>
          <w:noProof/>
          <w:szCs w:val="22"/>
        </w:rPr>
        <w:t>Nat. Chem.</w:t>
      </w:r>
      <w:r w:rsidR="00E077D6">
        <w:rPr>
          <w:noProof/>
          <w:szCs w:val="22"/>
        </w:rPr>
        <w:t xml:space="preserve"> (2021).</w:t>
      </w:r>
      <w:r w:rsidRPr="00DF325A">
        <w:rPr>
          <w:noProof/>
          <w:szCs w:val="22"/>
        </w:rPr>
        <w:t xml:space="preserve"> </w:t>
      </w:r>
    </w:p>
  </w:endnote>
  <w:endnote w:id="43">
    <w:p w14:paraId="73208BBB" w14:textId="7476B469" w:rsidR="006F158C" w:rsidRPr="006F158C" w:rsidRDefault="006F158C" w:rsidP="006F158C">
      <w:pPr>
        <w:spacing w:after="0" w:line="360" w:lineRule="auto"/>
        <w:rPr>
          <w:lang w:val="en-GB"/>
        </w:rPr>
      </w:pPr>
      <w:r>
        <w:rPr>
          <w:noProof/>
          <w:szCs w:val="22"/>
        </w:rPr>
        <w:t>(</w:t>
      </w:r>
      <w:r w:rsidRPr="006F158C">
        <w:rPr>
          <w:noProof/>
          <w:szCs w:val="22"/>
        </w:rPr>
        <w:endnoteRef/>
      </w:r>
      <w:r>
        <w:rPr>
          <w:noProof/>
          <w:szCs w:val="22"/>
        </w:rPr>
        <w:t xml:space="preserve">) </w:t>
      </w:r>
      <w:r w:rsidR="00046836">
        <w:rPr>
          <w:noProof/>
          <w:szCs w:val="22"/>
        </w:rPr>
        <w:t xml:space="preserve">Walba, D. M. Topological Stereochemistry. </w:t>
      </w:r>
      <w:r w:rsidR="00046836" w:rsidRPr="00046836">
        <w:rPr>
          <w:i/>
          <w:noProof/>
          <w:szCs w:val="22"/>
        </w:rPr>
        <w:t>Tetrahedron</w:t>
      </w:r>
      <w:r w:rsidR="00046836">
        <w:rPr>
          <w:noProof/>
          <w:szCs w:val="22"/>
        </w:rPr>
        <w:t xml:space="preserve"> </w:t>
      </w:r>
      <w:r w:rsidR="00046836" w:rsidRPr="00046836">
        <w:rPr>
          <w:b/>
          <w:noProof/>
          <w:szCs w:val="22"/>
        </w:rPr>
        <w:t>41</w:t>
      </w:r>
      <w:r w:rsidR="00046836">
        <w:rPr>
          <w:noProof/>
          <w:szCs w:val="22"/>
        </w:rPr>
        <w:t>, 3161-3212 (1985).</w:t>
      </w:r>
      <w:r w:rsidRPr="006F158C">
        <w:rPr>
          <w:noProof/>
          <w:szCs w:val="22"/>
        </w:rPr>
        <w:t xml:space="preserve"> </w:t>
      </w:r>
    </w:p>
  </w:endnote>
  <w:endnote w:id="44">
    <w:p w14:paraId="3FD4F781" w14:textId="56150A0C" w:rsidR="00607019" w:rsidRPr="00287FEC" w:rsidRDefault="00607019" w:rsidP="00EC174E">
      <w:pPr>
        <w:spacing w:after="0" w:line="360" w:lineRule="auto"/>
        <w:rPr>
          <w:noProof/>
          <w:szCs w:val="22"/>
        </w:rPr>
      </w:pPr>
      <w:r>
        <w:rPr>
          <w:noProof/>
          <w:szCs w:val="22"/>
        </w:rPr>
        <w:t>(</w:t>
      </w:r>
      <w:r w:rsidRPr="00287FEC">
        <w:rPr>
          <w:noProof/>
          <w:szCs w:val="22"/>
        </w:rPr>
        <w:endnoteRef/>
      </w:r>
      <w:r>
        <w:rPr>
          <w:noProof/>
          <w:szCs w:val="22"/>
        </w:rPr>
        <w:t xml:space="preserve">) </w:t>
      </w:r>
      <w:r w:rsidR="00334266">
        <w:rPr>
          <w:noProof/>
          <w:szCs w:val="22"/>
        </w:rPr>
        <w:t>Canfield, P. J.</w:t>
      </w:r>
      <w:r w:rsidR="00334266" w:rsidRPr="00334266">
        <w:rPr>
          <w:i/>
          <w:noProof/>
          <w:szCs w:val="22"/>
        </w:rPr>
        <w:t xml:space="preserve"> et al.</w:t>
      </w:r>
      <w:r w:rsidR="00334266">
        <w:rPr>
          <w:noProof/>
          <w:szCs w:val="22"/>
        </w:rPr>
        <w:t xml:space="preserve"> A new fundamental type of conformational isomerism. </w:t>
      </w:r>
      <w:r w:rsidR="00334266" w:rsidRPr="00334266">
        <w:rPr>
          <w:i/>
          <w:noProof/>
          <w:szCs w:val="22"/>
        </w:rPr>
        <w:t>Nat. Chem.</w:t>
      </w:r>
      <w:r w:rsidR="00334266">
        <w:rPr>
          <w:noProof/>
          <w:szCs w:val="22"/>
        </w:rPr>
        <w:t xml:space="preserve"> </w:t>
      </w:r>
      <w:r w:rsidR="00334266" w:rsidRPr="00334266">
        <w:rPr>
          <w:b/>
          <w:noProof/>
          <w:szCs w:val="22"/>
        </w:rPr>
        <w:t>10</w:t>
      </w:r>
      <w:r w:rsidR="00334266">
        <w:rPr>
          <w:noProof/>
          <w:szCs w:val="22"/>
        </w:rPr>
        <w:t>, 615-624 (2018).</w:t>
      </w:r>
      <w:r w:rsidRPr="00287FEC">
        <w:rPr>
          <w:noProof/>
          <w:szCs w:val="22"/>
        </w:rPr>
        <w:t xml:space="preserve"> </w:t>
      </w:r>
    </w:p>
  </w:endnote>
  <w:endnote w:id="45">
    <w:p w14:paraId="5813ED6C" w14:textId="6C00EBC9" w:rsidR="00C225CA" w:rsidRDefault="00C225CA" w:rsidP="00253B4D">
      <w:pPr>
        <w:spacing w:after="0" w:line="360" w:lineRule="auto"/>
      </w:pPr>
      <w:r>
        <w:rPr>
          <w:noProof/>
          <w:szCs w:val="22"/>
        </w:rPr>
        <w:t>(</w:t>
      </w:r>
      <w:r w:rsidRPr="00287FEC">
        <w:rPr>
          <w:noProof/>
          <w:szCs w:val="22"/>
        </w:rPr>
        <w:endnoteRef/>
      </w:r>
      <w:r>
        <w:rPr>
          <w:noProof/>
          <w:szCs w:val="22"/>
        </w:rPr>
        <w:t>)</w:t>
      </w:r>
      <w:r w:rsidR="00AE2785">
        <w:rPr>
          <w:noProof/>
          <w:szCs w:val="22"/>
        </w:rPr>
        <w:t xml:space="preserve"> </w:t>
      </w:r>
      <w:r w:rsidR="00AE2785">
        <w:rPr>
          <w:rFonts w:ascii="Roboto" w:hAnsi="Roboto"/>
          <w:spacing w:val="2"/>
          <w:sz w:val="21"/>
          <w:szCs w:val="21"/>
          <w:shd w:val="clear" w:color="auto" w:fill="FFFFFF"/>
        </w:rPr>
        <w:t>Canfield, P. J., Govenlock, L. J., Reimers, J. &amp; Crossley, M. J. Recent Advances in Stereochemistry Reveal Classification Shortcomings. </w:t>
      </w:r>
      <w:r w:rsidR="00AE2785">
        <w:rPr>
          <w:rFonts w:ascii="Roboto" w:hAnsi="Roboto"/>
          <w:i/>
          <w:iCs/>
          <w:spacing w:val="2"/>
          <w:sz w:val="21"/>
          <w:szCs w:val="21"/>
          <w:shd w:val="clear" w:color="auto" w:fill="FFFFFF"/>
        </w:rPr>
        <w:t>ChemRxiv</w:t>
      </w:r>
      <w:r w:rsidR="00AE2785">
        <w:rPr>
          <w:rFonts w:ascii="Roboto" w:hAnsi="Roboto"/>
          <w:spacing w:val="2"/>
          <w:sz w:val="21"/>
          <w:szCs w:val="21"/>
          <w:shd w:val="clear" w:color="auto" w:fill="FFFFFF"/>
        </w:rPr>
        <w:t> (2020). doi:10.26434/chemrxiv.12488525.v1 This content is a preprint and has not been peer-reviewed.</w:t>
      </w:r>
    </w:p>
  </w:endnote>
  <w:endnote w:id="46">
    <w:p w14:paraId="1C9820F5" w14:textId="5040B312" w:rsidR="008C59D2" w:rsidRPr="00287FEC" w:rsidRDefault="008C59D2" w:rsidP="00EC174E">
      <w:pPr>
        <w:spacing w:after="0" w:line="360" w:lineRule="auto"/>
        <w:rPr>
          <w:noProof/>
          <w:szCs w:val="22"/>
        </w:rPr>
      </w:pPr>
      <w:r>
        <w:rPr>
          <w:noProof/>
          <w:szCs w:val="22"/>
        </w:rPr>
        <w:t>(</w:t>
      </w:r>
      <w:r w:rsidRPr="00287FEC">
        <w:rPr>
          <w:noProof/>
          <w:szCs w:val="22"/>
        </w:rPr>
        <w:endnoteRef/>
      </w:r>
      <w:r>
        <w:rPr>
          <w:noProof/>
          <w:szCs w:val="22"/>
        </w:rPr>
        <w:t xml:space="preserve">) </w:t>
      </w:r>
      <w:r w:rsidR="00AE2785">
        <w:rPr>
          <w:noProof/>
          <w:szCs w:val="22"/>
        </w:rPr>
        <w:t>Reisberg, S. H.</w:t>
      </w:r>
      <w:r w:rsidR="00AE2785" w:rsidRPr="00AE2785">
        <w:rPr>
          <w:i/>
          <w:noProof/>
          <w:szCs w:val="22"/>
        </w:rPr>
        <w:t xml:space="preserve"> et al.</w:t>
      </w:r>
      <w:r w:rsidR="00AE2785">
        <w:rPr>
          <w:noProof/>
          <w:szCs w:val="22"/>
        </w:rPr>
        <w:t xml:space="preserve"> Total synthesis reveals atypical atropisomerism in a small-molecule natural product, tryptorubin A. </w:t>
      </w:r>
      <w:r w:rsidR="00AE2785" w:rsidRPr="00AE2785">
        <w:rPr>
          <w:i/>
          <w:noProof/>
          <w:szCs w:val="22"/>
        </w:rPr>
        <w:t>Science</w:t>
      </w:r>
      <w:r w:rsidR="00AE2785">
        <w:rPr>
          <w:noProof/>
          <w:szCs w:val="22"/>
        </w:rPr>
        <w:t xml:space="preserve"> </w:t>
      </w:r>
      <w:r w:rsidR="00AE2785" w:rsidRPr="00AE2785">
        <w:rPr>
          <w:b/>
          <w:noProof/>
          <w:szCs w:val="22"/>
        </w:rPr>
        <w:t>367</w:t>
      </w:r>
      <w:r w:rsidR="00AE2785">
        <w:rPr>
          <w:noProof/>
          <w:szCs w:val="22"/>
        </w:rPr>
        <w:t>, 458-463 (2020).</w:t>
      </w:r>
    </w:p>
  </w:endnote>
  <w:endnote w:id="47">
    <w:p w14:paraId="69B0E30A" w14:textId="12ECDCDF" w:rsidR="00871B38" w:rsidRPr="00287FEC" w:rsidRDefault="00871B38" w:rsidP="00EC174E">
      <w:pPr>
        <w:spacing w:after="0" w:line="360" w:lineRule="auto"/>
        <w:rPr>
          <w:noProof/>
          <w:szCs w:val="22"/>
        </w:rPr>
      </w:pPr>
      <w:r>
        <w:rPr>
          <w:noProof/>
          <w:szCs w:val="22"/>
        </w:rPr>
        <w:t>(</w:t>
      </w:r>
      <w:r w:rsidRPr="00287FEC">
        <w:rPr>
          <w:noProof/>
          <w:szCs w:val="22"/>
        </w:rPr>
        <w:endnoteRef/>
      </w:r>
      <w:r>
        <w:rPr>
          <w:noProof/>
          <w:szCs w:val="22"/>
        </w:rPr>
        <w:t xml:space="preserve">) </w:t>
      </w:r>
      <w:r w:rsidR="00334266">
        <w:rPr>
          <w:noProof/>
          <w:szCs w:val="22"/>
        </w:rPr>
        <w:t xml:space="preserve">Lukin, O., Godt, A. &amp; Vogtle, F. Residual topological isomerism of intertwined molecules. </w:t>
      </w:r>
      <w:r w:rsidR="00334266" w:rsidRPr="00334266">
        <w:rPr>
          <w:i/>
          <w:noProof/>
          <w:szCs w:val="22"/>
        </w:rPr>
        <w:t>Chem. Eur. J.</w:t>
      </w:r>
      <w:r w:rsidR="00334266">
        <w:rPr>
          <w:noProof/>
          <w:szCs w:val="22"/>
        </w:rPr>
        <w:t xml:space="preserve"> </w:t>
      </w:r>
      <w:r w:rsidR="00334266" w:rsidRPr="00334266">
        <w:rPr>
          <w:b/>
          <w:noProof/>
          <w:szCs w:val="22"/>
        </w:rPr>
        <w:t>10</w:t>
      </w:r>
      <w:r w:rsidR="00334266">
        <w:rPr>
          <w:noProof/>
          <w:szCs w:val="22"/>
        </w:rPr>
        <w:t>, 1878-1883 (2004).</w:t>
      </w:r>
    </w:p>
  </w:endnote>
  <w:endnote w:id="48">
    <w:p w14:paraId="2B61038B" w14:textId="30911C67" w:rsidR="00A2491B" w:rsidRPr="00337775" w:rsidRDefault="00A2491B" w:rsidP="00EC174E">
      <w:pPr>
        <w:spacing w:after="0" w:line="360" w:lineRule="auto"/>
        <w:rPr>
          <w:noProof/>
          <w:szCs w:val="22"/>
        </w:rPr>
      </w:pPr>
      <w:r w:rsidRPr="00337775">
        <w:rPr>
          <w:noProof/>
          <w:szCs w:val="22"/>
        </w:rPr>
        <w:t>(</w:t>
      </w:r>
      <w:r w:rsidRPr="00337775">
        <w:rPr>
          <w:noProof/>
          <w:szCs w:val="22"/>
        </w:rPr>
        <w:endnoteRef/>
      </w:r>
      <w:r w:rsidRPr="00337775">
        <w:rPr>
          <w:noProof/>
          <w:szCs w:val="22"/>
        </w:rPr>
        <w:t xml:space="preserve">) </w:t>
      </w:r>
      <w:r w:rsidR="00F02EFA">
        <w:rPr>
          <w:noProof/>
          <w:szCs w:val="22"/>
        </w:rPr>
        <w:t xml:space="preserve">Martinez-Cuezva, A., Saura-Sanmartin, A., Alajarin, M. &amp; Berna, J. Mechanically Interlocked Catalysts for Asymmetric Synthesis. </w:t>
      </w:r>
      <w:r w:rsidR="00F02EFA" w:rsidRPr="00F02EFA">
        <w:rPr>
          <w:i/>
          <w:noProof/>
          <w:szCs w:val="22"/>
        </w:rPr>
        <w:t>ACS Catal.</w:t>
      </w:r>
      <w:r w:rsidR="00F02EFA">
        <w:rPr>
          <w:noProof/>
          <w:szCs w:val="22"/>
        </w:rPr>
        <w:t xml:space="preserve"> </w:t>
      </w:r>
      <w:r w:rsidR="00F02EFA" w:rsidRPr="00F02EFA">
        <w:rPr>
          <w:b/>
          <w:noProof/>
          <w:szCs w:val="22"/>
        </w:rPr>
        <w:t>10</w:t>
      </w:r>
      <w:r w:rsidR="00F02EFA">
        <w:rPr>
          <w:noProof/>
          <w:szCs w:val="22"/>
        </w:rPr>
        <w:t>, 7719-7733 (2020).</w:t>
      </w:r>
    </w:p>
  </w:endnote>
  <w:endnote w:id="49">
    <w:p w14:paraId="43D1B8D2" w14:textId="798082BD" w:rsidR="00A2491B" w:rsidRPr="00337775" w:rsidRDefault="00A2491B" w:rsidP="00EC174E">
      <w:pPr>
        <w:spacing w:after="0" w:line="360" w:lineRule="auto"/>
        <w:rPr>
          <w:noProof/>
          <w:szCs w:val="22"/>
        </w:rPr>
      </w:pPr>
      <w:r w:rsidRPr="00337775">
        <w:rPr>
          <w:noProof/>
          <w:szCs w:val="22"/>
        </w:rPr>
        <w:t>(</w:t>
      </w:r>
      <w:r w:rsidRPr="00337775">
        <w:rPr>
          <w:noProof/>
          <w:szCs w:val="22"/>
        </w:rPr>
        <w:endnoteRef/>
      </w:r>
      <w:r w:rsidRPr="00337775">
        <w:rPr>
          <w:noProof/>
          <w:szCs w:val="22"/>
        </w:rPr>
        <w:t xml:space="preserve">) </w:t>
      </w:r>
      <w:r>
        <w:rPr>
          <w:noProof/>
          <w:szCs w:val="22"/>
        </w:rPr>
        <w:t xml:space="preserve">Pairault, N. &amp; Niemeyer, J. Chiral Mechanically Interlocked Molecules - Applications of Rotaxanes, Catenanes and Molecular Knots in Stereoselective Chemosensing and Catalysis. </w:t>
      </w:r>
      <w:r w:rsidRPr="00DD6D03">
        <w:rPr>
          <w:i/>
          <w:noProof/>
          <w:szCs w:val="22"/>
        </w:rPr>
        <w:t>Synlett</w:t>
      </w:r>
      <w:r>
        <w:rPr>
          <w:noProof/>
          <w:szCs w:val="22"/>
        </w:rPr>
        <w:t xml:space="preserve"> </w:t>
      </w:r>
      <w:r w:rsidRPr="00DD6D03">
        <w:rPr>
          <w:b/>
          <w:noProof/>
          <w:szCs w:val="22"/>
        </w:rPr>
        <w:t>29</w:t>
      </w:r>
      <w:r>
        <w:rPr>
          <w:noProof/>
          <w:szCs w:val="22"/>
        </w:rPr>
        <w:t>, 689-698 (2018).</w:t>
      </w:r>
    </w:p>
  </w:endnote>
  <w:endnote w:id="50">
    <w:p w14:paraId="5FAC3B83" w14:textId="1CEBE974" w:rsidR="00A2491B" w:rsidRPr="00337775" w:rsidRDefault="00A2491B" w:rsidP="00EC174E">
      <w:pPr>
        <w:spacing w:after="0" w:line="360" w:lineRule="auto"/>
        <w:rPr>
          <w:noProof/>
          <w:szCs w:val="22"/>
        </w:rPr>
      </w:pPr>
      <w:r w:rsidRPr="00337775">
        <w:rPr>
          <w:noProof/>
          <w:szCs w:val="22"/>
        </w:rPr>
        <w:t>(</w:t>
      </w:r>
      <w:r w:rsidRPr="00337775">
        <w:rPr>
          <w:noProof/>
          <w:szCs w:val="22"/>
        </w:rPr>
        <w:endnoteRef/>
      </w:r>
      <w:r w:rsidRPr="00337775">
        <w:rPr>
          <w:noProof/>
          <w:szCs w:val="22"/>
        </w:rPr>
        <w:t xml:space="preserve">) </w:t>
      </w:r>
      <w:r>
        <w:rPr>
          <w:noProof/>
          <w:szCs w:val="22"/>
        </w:rPr>
        <w:t xml:space="preserve">Mitra, R., Zhu, H., Grimme, S. &amp; Niemeyer, J. Functional Mechanically Interlocked Molecules: Asymmetric Organocatalysis with a Catenated Bifunctional Bronsted Acid. </w:t>
      </w:r>
      <w:r w:rsidRPr="00DD6D03">
        <w:rPr>
          <w:i/>
          <w:noProof/>
          <w:szCs w:val="22"/>
        </w:rPr>
        <w:t>Angew. Chem. Int. Ed.</w:t>
      </w:r>
      <w:r>
        <w:rPr>
          <w:noProof/>
          <w:szCs w:val="22"/>
        </w:rPr>
        <w:t xml:space="preserve"> </w:t>
      </w:r>
      <w:r w:rsidRPr="00DD6D03">
        <w:rPr>
          <w:b/>
          <w:noProof/>
          <w:szCs w:val="22"/>
        </w:rPr>
        <w:t>56</w:t>
      </w:r>
      <w:r>
        <w:rPr>
          <w:noProof/>
          <w:szCs w:val="22"/>
        </w:rPr>
        <w:t>, 11456-11459 (2017).</w:t>
      </w:r>
    </w:p>
  </w:endnote>
  <w:endnote w:id="51">
    <w:p w14:paraId="6D73E7A7" w14:textId="7A7E46D7" w:rsidR="00A2491B" w:rsidRPr="00337775" w:rsidRDefault="00A2491B" w:rsidP="00EC174E">
      <w:pPr>
        <w:spacing w:after="0" w:line="360" w:lineRule="auto"/>
        <w:rPr>
          <w:noProof/>
          <w:szCs w:val="22"/>
        </w:rPr>
      </w:pPr>
      <w:r w:rsidRPr="00337775">
        <w:rPr>
          <w:noProof/>
          <w:szCs w:val="22"/>
        </w:rPr>
        <w:t>(</w:t>
      </w:r>
      <w:r w:rsidRPr="00337775">
        <w:rPr>
          <w:noProof/>
          <w:szCs w:val="22"/>
        </w:rPr>
        <w:endnoteRef/>
      </w:r>
      <w:r w:rsidRPr="00337775">
        <w:rPr>
          <w:noProof/>
          <w:szCs w:val="22"/>
        </w:rPr>
        <w:t xml:space="preserve">) </w:t>
      </w:r>
      <w:r>
        <w:rPr>
          <w:noProof/>
          <w:szCs w:val="22"/>
        </w:rPr>
        <w:t>Pairault, N.</w:t>
      </w:r>
      <w:r w:rsidRPr="00390F32">
        <w:rPr>
          <w:i/>
          <w:noProof/>
          <w:szCs w:val="22"/>
        </w:rPr>
        <w:t xml:space="preserve"> et al.</w:t>
      </w:r>
      <w:r>
        <w:rPr>
          <w:noProof/>
          <w:szCs w:val="22"/>
        </w:rPr>
        <w:t xml:space="preserve"> Heterobifunctional Rotaxanes for Asymmetric Catalysis. </w:t>
      </w:r>
      <w:r w:rsidRPr="00390F32">
        <w:rPr>
          <w:i/>
          <w:noProof/>
          <w:szCs w:val="22"/>
        </w:rPr>
        <w:t>Angew. Chem. Int. Ed.</w:t>
      </w:r>
      <w:r>
        <w:rPr>
          <w:noProof/>
          <w:szCs w:val="22"/>
        </w:rPr>
        <w:t xml:space="preserve"> </w:t>
      </w:r>
      <w:r w:rsidRPr="00390F32">
        <w:rPr>
          <w:b/>
          <w:noProof/>
          <w:szCs w:val="22"/>
        </w:rPr>
        <w:t>59</w:t>
      </w:r>
      <w:r>
        <w:rPr>
          <w:noProof/>
          <w:szCs w:val="22"/>
        </w:rPr>
        <w:t>, 5102-5107 (2020).</w:t>
      </w:r>
    </w:p>
  </w:endnote>
  <w:endnote w:id="52">
    <w:p w14:paraId="128AF46C" w14:textId="4FC32C60" w:rsidR="00A2491B" w:rsidRPr="00337775" w:rsidRDefault="00A2491B" w:rsidP="00EC174E">
      <w:pPr>
        <w:spacing w:after="0" w:line="360" w:lineRule="auto"/>
        <w:rPr>
          <w:noProof/>
          <w:szCs w:val="22"/>
        </w:rPr>
      </w:pPr>
      <w:r w:rsidRPr="00337775">
        <w:rPr>
          <w:noProof/>
          <w:szCs w:val="22"/>
        </w:rPr>
        <w:t>(</w:t>
      </w:r>
      <w:r w:rsidRPr="00337775">
        <w:rPr>
          <w:noProof/>
          <w:szCs w:val="22"/>
        </w:rPr>
        <w:endnoteRef/>
      </w:r>
      <w:r w:rsidRPr="00337775">
        <w:rPr>
          <w:noProof/>
          <w:szCs w:val="22"/>
        </w:rPr>
        <w:t xml:space="preserve">) </w:t>
      </w:r>
      <w:r>
        <w:rPr>
          <w:noProof/>
          <w:szCs w:val="22"/>
        </w:rPr>
        <w:t xml:space="preserve">Dommaschk, M., Echavarren, J., Leigh, D. A., Marcos, V. &amp; Singleton, T. A. Dynamic Control of Chiral Space Through Local Symmetry Breaking in a Rotaxane Organocatalyst. </w:t>
      </w:r>
      <w:r w:rsidRPr="00DD6D03">
        <w:rPr>
          <w:i/>
          <w:noProof/>
          <w:szCs w:val="22"/>
        </w:rPr>
        <w:t>Angew. Chem. Int. Ed.</w:t>
      </w:r>
      <w:r>
        <w:rPr>
          <w:noProof/>
          <w:szCs w:val="22"/>
        </w:rPr>
        <w:t xml:space="preserve"> </w:t>
      </w:r>
      <w:r w:rsidRPr="00DD6D03">
        <w:rPr>
          <w:b/>
          <w:noProof/>
          <w:szCs w:val="22"/>
        </w:rPr>
        <w:t>58</w:t>
      </w:r>
      <w:r>
        <w:rPr>
          <w:noProof/>
          <w:szCs w:val="22"/>
        </w:rPr>
        <w:t>, 14955-14958 (2019).</w:t>
      </w:r>
    </w:p>
  </w:endnote>
  <w:endnote w:id="53">
    <w:p w14:paraId="6A67FDF4" w14:textId="0D9714A9" w:rsidR="009D18BC" w:rsidRDefault="009D18BC" w:rsidP="00F00EDA">
      <w:pPr>
        <w:pStyle w:val="NoTemplateRefs"/>
        <w:spacing w:line="360" w:lineRule="auto"/>
      </w:pPr>
      <w:r>
        <w:t>(</w:t>
      </w:r>
      <w:r w:rsidRPr="00065A88">
        <w:endnoteRef/>
      </w:r>
      <w:r>
        <w:t xml:space="preserve">)  Heard, A. W. &amp; Goldup, S. M. Synthesis of a Mechanically Planar Chiral Rotaxane Ligand for Enantioselective Catalysis. </w:t>
      </w:r>
      <w:r w:rsidRPr="009D18BC">
        <w:rPr>
          <w:i/>
        </w:rPr>
        <w:t>Chem</w:t>
      </w:r>
      <w:r>
        <w:t xml:space="preserve"> </w:t>
      </w:r>
      <w:r w:rsidRPr="009D18BC">
        <w:rPr>
          <w:b/>
        </w:rPr>
        <w:t>6</w:t>
      </w:r>
      <w:r>
        <w:t>, 994-1006 (2020).</w:t>
      </w:r>
    </w:p>
  </w:endnote>
  <w:endnote w:id="54">
    <w:p w14:paraId="4DAE4F65" w14:textId="3F3973B1" w:rsidR="00BA00CE" w:rsidRPr="00337775" w:rsidRDefault="00BA00CE" w:rsidP="00F00EDA">
      <w:pPr>
        <w:spacing w:after="0" w:line="360" w:lineRule="auto"/>
        <w:rPr>
          <w:noProof/>
          <w:szCs w:val="22"/>
        </w:rPr>
      </w:pPr>
      <w:r w:rsidRPr="00337775">
        <w:rPr>
          <w:noProof/>
          <w:szCs w:val="22"/>
        </w:rPr>
        <w:t>(</w:t>
      </w:r>
      <w:r w:rsidRPr="00337775">
        <w:rPr>
          <w:noProof/>
          <w:szCs w:val="22"/>
        </w:rPr>
        <w:endnoteRef/>
      </w:r>
      <w:r w:rsidRPr="00337775">
        <w:rPr>
          <w:noProof/>
          <w:szCs w:val="22"/>
        </w:rPr>
        <w:t xml:space="preserve">) </w:t>
      </w:r>
      <w:r w:rsidR="00C45973">
        <w:rPr>
          <w:noProof/>
          <w:szCs w:val="22"/>
        </w:rPr>
        <w:t>Gaedke, M.</w:t>
      </w:r>
      <w:r w:rsidR="00C45973" w:rsidRPr="00C45973">
        <w:rPr>
          <w:i/>
          <w:noProof/>
          <w:szCs w:val="22"/>
        </w:rPr>
        <w:t xml:space="preserve"> et al.</w:t>
      </w:r>
      <w:r w:rsidR="00C45973">
        <w:rPr>
          <w:noProof/>
          <w:szCs w:val="22"/>
        </w:rPr>
        <w:t xml:space="preserve"> Chiroptical inversion of a planar chiral redox-switchable rotaxane. </w:t>
      </w:r>
      <w:r w:rsidR="00C45973" w:rsidRPr="00C45973">
        <w:rPr>
          <w:i/>
          <w:noProof/>
          <w:szCs w:val="22"/>
        </w:rPr>
        <w:t>Chem. Sci.</w:t>
      </w:r>
      <w:r w:rsidR="00C45973">
        <w:rPr>
          <w:noProof/>
          <w:szCs w:val="22"/>
        </w:rPr>
        <w:t xml:space="preserve"> </w:t>
      </w:r>
      <w:r w:rsidR="00C45973" w:rsidRPr="00C45973">
        <w:rPr>
          <w:b/>
          <w:noProof/>
          <w:szCs w:val="22"/>
        </w:rPr>
        <w:t>10</w:t>
      </w:r>
      <w:r w:rsidR="00C45973">
        <w:rPr>
          <w:noProof/>
          <w:szCs w:val="22"/>
        </w:rPr>
        <w:t>, 10003-10009 (2019).</w:t>
      </w:r>
    </w:p>
  </w:endnote>
  <w:endnote w:id="55">
    <w:p w14:paraId="3328BD78" w14:textId="0BBF1404" w:rsidR="00BA00CE" w:rsidRPr="00337775" w:rsidRDefault="00BA00CE" w:rsidP="00F00EDA">
      <w:pPr>
        <w:spacing w:after="0" w:line="360" w:lineRule="auto"/>
        <w:rPr>
          <w:noProof/>
          <w:szCs w:val="22"/>
        </w:rPr>
      </w:pPr>
      <w:r w:rsidRPr="00337775">
        <w:rPr>
          <w:noProof/>
          <w:szCs w:val="22"/>
        </w:rPr>
        <w:t>(</w:t>
      </w:r>
      <w:r w:rsidRPr="00337775">
        <w:rPr>
          <w:noProof/>
          <w:szCs w:val="22"/>
        </w:rPr>
        <w:endnoteRef/>
      </w:r>
      <w:r w:rsidRPr="00337775">
        <w:rPr>
          <w:noProof/>
          <w:szCs w:val="22"/>
        </w:rPr>
        <w:t xml:space="preserve">) </w:t>
      </w:r>
      <w:r w:rsidR="00390F32">
        <w:rPr>
          <w:noProof/>
          <w:szCs w:val="22"/>
        </w:rPr>
        <w:t>Corra, S.</w:t>
      </w:r>
      <w:r w:rsidR="00390F32" w:rsidRPr="00390F32">
        <w:rPr>
          <w:i/>
          <w:noProof/>
          <w:szCs w:val="22"/>
        </w:rPr>
        <w:t xml:space="preserve"> et al.</w:t>
      </w:r>
      <w:r w:rsidR="00390F32">
        <w:rPr>
          <w:noProof/>
          <w:szCs w:val="22"/>
        </w:rPr>
        <w:t xml:space="preserve"> Chemical On/Off Switching of Mechanically Planar Chirality and Chiral Anion Recognition in a [2]Rotaxane Molecular Shuttle. </w:t>
      </w:r>
      <w:r w:rsidR="00390F32" w:rsidRPr="00390F32">
        <w:rPr>
          <w:i/>
          <w:noProof/>
          <w:szCs w:val="22"/>
        </w:rPr>
        <w:t>J. Am. Chem. Soc.</w:t>
      </w:r>
      <w:r w:rsidR="00390F32">
        <w:rPr>
          <w:noProof/>
          <w:szCs w:val="22"/>
        </w:rPr>
        <w:t xml:space="preserve"> </w:t>
      </w:r>
      <w:r w:rsidR="00390F32" w:rsidRPr="00390F32">
        <w:rPr>
          <w:b/>
          <w:noProof/>
          <w:szCs w:val="22"/>
        </w:rPr>
        <w:t>141</w:t>
      </w:r>
      <w:r w:rsidR="00390F32">
        <w:rPr>
          <w:noProof/>
          <w:szCs w:val="22"/>
        </w:rPr>
        <w:t>, 9129-9133 (2019).</w:t>
      </w:r>
    </w:p>
  </w:endnote>
  <w:endnote w:id="56">
    <w:p w14:paraId="6CAAD4CC" w14:textId="1F0F2C86" w:rsidR="006139B6" w:rsidRDefault="006139B6" w:rsidP="00F00EDA">
      <w:pPr>
        <w:pStyle w:val="NoTemplateRefs"/>
        <w:spacing w:line="360" w:lineRule="auto"/>
      </w:pPr>
      <w:r>
        <w:t>(</w:t>
      </w:r>
      <w:r w:rsidRPr="00065A88">
        <w:endnoteRef/>
      </w:r>
      <w:r>
        <w:t xml:space="preserve">) </w:t>
      </w:r>
      <w:r w:rsidR="00334266">
        <w:t xml:space="preserve">Wood, C. S., Ronson, T. K., Belenguer, A. M., Holstein, J. J. &amp; Nitschke, J. R. Two-stage directed self-assembly of a cyclic [3]catenane. </w:t>
      </w:r>
      <w:r w:rsidR="00334266" w:rsidRPr="00334266">
        <w:rPr>
          <w:i/>
        </w:rPr>
        <w:t>Nat. Chem.</w:t>
      </w:r>
      <w:r w:rsidR="00334266">
        <w:t xml:space="preserve"> </w:t>
      </w:r>
      <w:r w:rsidR="00334266" w:rsidRPr="00334266">
        <w:rPr>
          <w:b/>
        </w:rPr>
        <w:t>7</w:t>
      </w:r>
      <w:r w:rsidR="00334266">
        <w:t>, 354-358 (2015).</w:t>
      </w:r>
    </w:p>
  </w:endnote>
  <w:endnote w:id="57">
    <w:p w14:paraId="5054CAF8" w14:textId="3FDA0FA4" w:rsidR="006139B6" w:rsidRDefault="006139B6" w:rsidP="00F00EDA">
      <w:pPr>
        <w:pStyle w:val="NoTemplateRefs"/>
        <w:spacing w:line="360" w:lineRule="auto"/>
      </w:pPr>
      <w:r>
        <w:t>(</w:t>
      </w:r>
      <w:r w:rsidRPr="00065A88">
        <w:endnoteRef/>
      </w:r>
      <w:r>
        <w:t xml:space="preserve">) </w:t>
      </w:r>
      <w:r w:rsidR="007A2FE5">
        <w:t>Caprice, K.</w:t>
      </w:r>
      <w:r w:rsidR="007A2FE5" w:rsidRPr="007A2FE5">
        <w:rPr>
          <w:i/>
        </w:rPr>
        <w:t xml:space="preserve"> et al.</w:t>
      </w:r>
      <w:r w:rsidR="007A2FE5">
        <w:t xml:space="preserve"> Diastereoselective Amplification of a Mechanically Chiral [2]Catenane. </w:t>
      </w:r>
      <w:r w:rsidR="007A2FE5" w:rsidRPr="007A2FE5">
        <w:rPr>
          <w:i/>
        </w:rPr>
        <w:t>J. Am. Chem. Soc.</w:t>
      </w:r>
      <w:r w:rsidR="007A2FE5">
        <w:t xml:space="preserve"> </w:t>
      </w:r>
      <w:r w:rsidR="007A2FE5" w:rsidRPr="007A2FE5">
        <w:rPr>
          <w:b/>
        </w:rPr>
        <w:t>143</w:t>
      </w:r>
      <w:r w:rsidR="007A2FE5">
        <w:t>, 11957-11962 (2021).</w:t>
      </w:r>
    </w:p>
  </w:endnote>
  <w:endnote w:id="58">
    <w:p w14:paraId="5FDA6135" w14:textId="55A5209F" w:rsidR="006139B6" w:rsidRDefault="006139B6" w:rsidP="00F00EDA">
      <w:pPr>
        <w:pStyle w:val="NoTemplateRefs"/>
        <w:spacing w:line="360" w:lineRule="auto"/>
      </w:pPr>
      <w:r>
        <w:t>(</w:t>
      </w:r>
      <w:r w:rsidRPr="00065A88">
        <w:endnoteRef/>
      </w:r>
      <w:r>
        <w:t>)</w:t>
      </w:r>
      <w:r w:rsidR="006754A8">
        <w:t xml:space="preserve"> </w:t>
      </w:r>
      <w:r w:rsidR="00544859">
        <w:t xml:space="preserve">Cui, Z., Lu, Y., Gao, X., Feng, H. J. &amp; Jin, G. X. Stereoselective Synthesis of a Topologically Chiral Solomon Link. </w:t>
      </w:r>
      <w:r w:rsidR="00544859" w:rsidRPr="00544859">
        <w:rPr>
          <w:i/>
        </w:rPr>
        <w:t>J. Am. Chem. Soc.</w:t>
      </w:r>
      <w:r w:rsidR="00544859">
        <w:t xml:space="preserve"> </w:t>
      </w:r>
      <w:r w:rsidR="00544859" w:rsidRPr="00544859">
        <w:rPr>
          <w:b/>
        </w:rPr>
        <w:t>142</w:t>
      </w:r>
      <w:r w:rsidR="00544859">
        <w:t>, 13667-13671 (2020).</w:t>
      </w:r>
    </w:p>
  </w:endnote>
  <w:endnote w:id="59">
    <w:p w14:paraId="18EC0315" w14:textId="70A17C28" w:rsidR="00F564F1" w:rsidRDefault="00F564F1" w:rsidP="00F00EDA">
      <w:pPr>
        <w:pStyle w:val="NoTemplateRefs"/>
        <w:spacing w:line="360" w:lineRule="auto"/>
      </w:pPr>
      <w:r>
        <w:t>(</w:t>
      </w:r>
      <w:r w:rsidRPr="00065A88">
        <w:endnoteRef/>
      </w:r>
      <w:r>
        <w:t xml:space="preserve">) </w:t>
      </w:r>
      <w:r w:rsidR="009B48B1">
        <w:t>Carpenter, J. P.</w:t>
      </w:r>
      <w:r w:rsidR="009B48B1" w:rsidRPr="009B48B1">
        <w:rPr>
          <w:i/>
        </w:rPr>
        <w:t xml:space="preserve"> et al.</w:t>
      </w:r>
      <w:r w:rsidR="009B48B1">
        <w:t xml:space="preserve"> Controlling the shape and chirality of an eight-crossing molecular knot. </w:t>
      </w:r>
      <w:r w:rsidR="009B48B1" w:rsidRPr="009B48B1">
        <w:rPr>
          <w:i/>
        </w:rPr>
        <w:t>Chem</w:t>
      </w:r>
      <w:r w:rsidR="009B48B1">
        <w:t xml:space="preserve"> </w:t>
      </w:r>
      <w:r w:rsidR="009B48B1" w:rsidRPr="009B48B1">
        <w:rPr>
          <w:b/>
        </w:rPr>
        <w:t>7</w:t>
      </w:r>
      <w:r w:rsidR="009B48B1">
        <w:t>, 1534-1543 (2021).</w:t>
      </w:r>
    </w:p>
  </w:endnote>
  <w:endnote w:id="60">
    <w:p w14:paraId="17F29B0D" w14:textId="6DCC0375" w:rsidR="00A0451F" w:rsidRDefault="00A0451F" w:rsidP="00F00EDA">
      <w:pPr>
        <w:pStyle w:val="NoTemplateRefs"/>
        <w:spacing w:line="360" w:lineRule="auto"/>
      </w:pPr>
      <w:r>
        <w:t>(</w:t>
      </w:r>
      <w:r w:rsidRPr="00065A88">
        <w:endnoteRef/>
      </w:r>
      <w:r>
        <w:t xml:space="preserve">) </w:t>
      </w:r>
      <w:r w:rsidR="000478CA">
        <w:t>Leigh, D. A.</w:t>
      </w:r>
      <w:r w:rsidR="000478CA" w:rsidRPr="000478CA">
        <w:rPr>
          <w:i/>
        </w:rPr>
        <w:t xml:space="preserve"> et al.</w:t>
      </w:r>
      <w:r w:rsidR="000478CA">
        <w:t xml:space="preserve"> Tying different knots in a molecular strand. </w:t>
      </w:r>
      <w:r w:rsidR="000478CA" w:rsidRPr="000478CA">
        <w:rPr>
          <w:i/>
        </w:rPr>
        <w:t>Nature</w:t>
      </w:r>
      <w:r w:rsidR="000478CA">
        <w:t xml:space="preserve"> </w:t>
      </w:r>
      <w:r w:rsidR="000478CA" w:rsidRPr="000478CA">
        <w:rPr>
          <w:b/>
        </w:rPr>
        <w:t>584</w:t>
      </w:r>
      <w:r w:rsidR="000478CA">
        <w:t>, 562-568 (2020).</w:t>
      </w:r>
    </w:p>
  </w:endnote>
  <w:endnote w:id="61">
    <w:p w14:paraId="3D4EC250" w14:textId="14B648FC" w:rsidR="008C3ECF" w:rsidRDefault="008C3ECF" w:rsidP="008C3ECF">
      <w:pPr>
        <w:pStyle w:val="NoTemplateRefs"/>
        <w:spacing w:line="360" w:lineRule="auto"/>
      </w:pPr>
      <w:r>
        <w:t>(</w:t>
      </w:r>
      <w:r w:rsidRPr="00065A88">
        <w:endnoteRef/>
      </w:r>
      <w:r>
        <w:t xml:space="preserve">) Corra, S., de Vet, C., Baroncini, M., Credi, A. &amp; Silvi, S. Stereodynamics of E/Z isomerization in rotaxanes through mechanical shuttling and covalent bond rotation. </w:t>
      </w:r>
      <w:r w:rsidRPr="004A57A4">
        <w:rPr>
          <w:i/>
        </w:rPr>
        <w:t>Chem</w:t>
      </w:r>
      <w:r>
        <w:t xml:space="preserve"> </w:t>
      </w:r>
      <w:r w:rsidRPr="004A57A4">
        <w:rPr>
          <w:b/>
        </w:rPr>
        <w:t>7</w:t>
      </w:r>
      <w:r>
        <w:t>, 2137-2150 (2021).</w:t>
      </w:r>
    </w:p>
  </w:endnote>
  <w:endnote w:id="62">
    <w:p w14:paraId="0031ADD9" w14:textId="0892B803" w:rsidR="000478CA" w:rsidRDefault="000478CA" w:rsidP="00F00EDA">
      <w:pPr>
        <w:pStyle w:val="NoTemplateRefs"/>
        <w:spacing w:line="360" w:lineRule="auto"/>
      </w:pPr>
      <w:r>
        <w:t>(</w:t>
      </w:r>
      <w:r w:rsidRPr="00065A88">
        <w:endnoteRef/>
      </w:r>
      <w:r>
        <w:t xml:space="preserve">) </w:t>
      </w:r>
      <w:r w:rsidR="00282CA1">
        <w:t xml:space="preserve">David, A. H. G. &amp; Stoddart, J. F. Chiroptical Properties of Mechanically Interlocked Molecules. </w:t>
      </w:r>
      <w:r w:rsidR="00282CA1" w:rsidRPr="00282CA1">
        <w:rPr>
          <w:i/>
        </w:rPr>
        <w:t>Israel Journal of Chemistry</w:t>
      </w:r>
      <w:r w:rsidR="00282CA1">
        <w:t xml:space="preserve"> </w:t>
      </w:r>
      <w:r w:rsidR="00282CA1" w:rsidRPr="00282CA1">
        <w:rPr>
          <w:b/>
        </w:rPr>
        <w:t>61</w:t>
      </w:r>
      <w:r w:rsidR="00282CA1">
        <w:t>, 608-621 (2021).</w:t>
      </w:r>
    </w:p>
  </w:endnote>
  <w:endnote w:id="63">
    <w:p w14:paraId="7C02774F" w14:textId="219E0EDE" w:rsidR="00041E11" w:rsidRDefault="00041E11" w:rsidP="00041E11">
      <w:pPr>
        <w:pStyle w:val="NoTemplateRefs"/>
        <w:spacing w:line="360" w:lineRule="auto"/>
      </w:pPr>
      <w:r>
        <w:t>(</w:t>
      </w:r>
      <w:r w:rsidRPr="00065A88">
        <w:endnoteRef/>
      </w:r>
      <w:r>
        <w:t xml:space="preserve">) </w:t>
      </w:r>
      <w:r w:rsidR="00282CA1">
        <w:t>Ashton, P. R.</w:t>
      </w:r>
      <w:r w:rsidR="00282CA1" w:rsidRPr="00282CA1">
        <w:rPr>
          <w:i/>
        </w:rPr>
        <w:t xml:space="preserve"> et al.</w:t>
      </w:r>
      <w:r w:rsidR="00282CA1">
        <w:t xml:space="preserve"> Molecular meccano, part 23. Self-assembling cyclophanes and catenanes possessing elements of planar chirality. </w:t>
      </w:r>
      <w:r w:rsidR="00282CA1" w:rsidRPr="00282CA1">
        <w:rPr>
          <w:i/>
        </w:rPr>
        <w:t>Chemistry-a European Journal</w:t>
      </w:r>
      <w:r w:rsidR="00282CA1">
        <w:t xml:space="preserve"> </w:t>
      </w:r>
      <w:r w:rsidR="00282CA1" w:rsidRPr="00282CA1">
        <w:rPr>
          <w:b/>
        </w:rPr>
        <w:t>4</w:t>
      </w:r>
      <w:r w:rsidR="00282CA1">
        <w:t>, 299-310 (1998).</w:t>
      </w:r>
    </w:p>
  </w:endnote>
  <w:endnote w:id="64">
    <w:p w14:paraId="278EEE46" w14:textId="5614C703" w:rsidR="00041E11" w:rsidRDefault="00041E11" w:rsidP="00041E11">
      <w:pPr>
        <w:pStyle w:val="NoTemplateRefs"/>
        <w:spacing w:line="360" w:lineRule="auto"/>
      </w:pPr>
      <w:r>
        <w:t>(</w:t>
      </w:r>
      <w:r w:rsidRPr="00065A88">
        <w:endnoteRef/>
      </w:r>
      <w:r>
        <w:t>)</w:t>
      </w:r>
      <w:r w:rsidR="007E573D">
        <w:t xml:space="preserve"> </w:t>
      </w:r>
      <w:r w:rsidR="007A2FE5">
        <w:t>Caprice, K.</w:t>
      </w:r>
      <w:r w:rsidR="007A2FE5" w:rsidRPr="007A2FE5">
        <w:rPr>
          <w:i/>
        </w:rPr>
        <w:t xml:space="preserve"> et al.</w:t>
      </w:r>
      <w:r w:rsidR="007A2FE5">
        <w:t xml:space="preserve"> Diastereoselective Amplification of a Mechanically Chiral [2]Catenane. </w:t>
      </w:r>
      <w:r w:rsidR="007A2FE5" w:rsidRPr="007A2FE5">
        <w:rPr>
          <w:i/>
        </w:rPr>
        <w:t>J. Am. Chem. Soc.</w:t>
      </w:r>
      <w:r w:rsidR="007A2FE5">
        <w:t xml:space="preserve"> </w:t>
      </w:r>
      <w:r w:rsidR="007A2FE5" w:rsidRPr="007A2FE5">
        <w:rPr>
          <w:b/>
        </w:rPr>
        <w:t>143</w:t>
      </w:r>
      <w:r w:rsidR="007A2FE5">
        <w:t>, 11957-11962 (2021).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FD84F" w14:textId="77777777" w:rsidR="00B532E3" w:rsidRDefault="00B532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8A2876" w14:textId="77777777" w:rsidR="00B532E3" w:rsidRDefault="00B532E3">
    <w:pPr>
      <w:pStyle w:val="Footer"/>
      <w:ind w:right="360"/>
    </w:pPr>
  </w:p>
  <w:p w14:paraId="443F3652" w14:textId="77777777" w:rsidR="00B532E3" w:rsidRDefault="00B532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0A6D1" w14:textId="77777777" w:rsidR="00B532E3" w:rsidRDefault="00B532E3">
    <w:pPr>
      <w:pStyle w:val="Footer"/>
      <w:ind w:right="360"/>
    </w:pPr>
  </w:p>
  <w:p w14:paraId="7187C6B2" w14:textId="64E6E884" w:rsidR="00CA7C3E" w:rsidRDefault="00CA7C3E" w:rsidP="00CA7C3E">
    <w:pPr>
      <w:pStyle w:val="Footer"/>
      <w:framePr w:wrap="around" w:vAnchor="text" w:hAnchor="page" w:x="5593" w:y="611"/>
      <w:rPr>
        <w:rStyle w:val="PageNumber"/>
      </w:rPr>
    </w:pPr>
    <w:r>
      <w:rPr>
        <w:rStyle w:val="PageNumber"/>
      </w:rPr>
      <w:fldChar w:fldCharType="begin"/>
    </w:r>
    <w:r>
      <w:rPr>
        <w:rStyle w:val="PageNumber"/>
      </w:rPr>
      <w:instrText xml:space="preserve">PAGE  </w:instrText>
    </w:r>
    <w:r>
      <w:rPr>
        <w:rStyle w:val="PageNumber"/>
      </w:rPr>
      <w:fldChar w:fldCharType="separate"/>
    </w:r>
    <w:r w:rsidR="00DC2616">
      <w:rPr>
        <w:rStyle w:val="PageNumber"/>
        <w:noProof/>
      </w:rPr>
      <w:t>1</w:t>
    </w:r>
    <w:r>
      <w:rPr>
        <w:rStyle w:val="PageNumber"/>
      </w:rPr>
      <w:fldChar w:fldCharType="end"/>
    </w:r>
  </w:p>
  <w:p w14:paraId="235C68E8" w14:textId="77777777" w:rsidR="00B532E3" w:rsidRDefault="00B532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896C2" w14:textId="77777777" w:rsidR="00C57516" w:rsidRDefault="00C57516" w:rsidP="00E35F80">
      <w:pPr>
        <w:spacing w:after="0"/>
      </w:pPr>
      <w:r>
        <w:separator/>
      </w:r>
    </w:p>
  </w:footnote>
  <w:footnote w:type="continuationSeparator" w:id="0">
    <w:p w14:paraId="4A2BACE6" w14:textId="77777777" w:rsidR="00C57516" w:rsidRDefault="00C57516" w:rsidP="00E35F80">
      <w:pPr>
        <w:spacing w:after="0"/>
      </w:pPr>
      <w:r>
        <w:continuationSeparator/>
      </w:r>
    </w:p>
  </w:footnote>
  <w:footnote w:type="continuationNotice" w:id="1">
    <w:p w14:paraId="4DBB42D5" w14:textId="77777777" w:rsidR="00C57516" w:rsidRDefault="00C5751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791101"/>
    <w:multiLevelType w:val="hybridMultilevel"/>
    <w:tmpl w:val="4394F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764BE5"/>
    <w:multiLevelType w:val="hybridMultilevel"/>
    <w:tmpl w:val="99C4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inlin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d00r9wrpfasxerd255w2rdtfrx5t5d5ew2&quot;&gt;Full endnote library&lt;record-ids&gt;&lt;item&gt;20&lt;/item&gt;&lt;item&gt;21&lt;/item&gt;&lt;item&gt;28&lt;/item&gt;&lt;item&gt;31&lt;/item&gt;&lt;item&gt;40&lt;/item&gt;&lt;item&gt;50&lt;/item&gt;&lt;item&gt;67&lt;/item&gt;&lt;item&gt;69&lt;/item&gt;&lt;item&gt;75&lt;/item&gt;&lt;item&gt;145&lt;/item&gt;&lt;item&gt;216&lt;/item&gt;&lt;item&gt;247&lt;/item&gt;&lt;item&gt;533&lt;/item&gt;&lt;item&gt;539&lt;/item&gt;&lt;item&gt;810&lt;/item&gt;&lt;item&gt;940&lt;/item&gt;&lt;item&gt;1012&lt;/item&gt;&lt;item&gt;2406&lt;/item&gt;&lt;item&gt;2407&lt;/item&gt;&lt;item&gt;2411&lt;/item&gt;&lt;item&gt;2456&lt;/item&gt;&lt;item&gt;3233&lt;/item&gt;&lt;item&gt;3245&lt;/item&gt;&lt;item&gt;3324&lt;/item&gt;&lt;item&gt;3326&lt;/item&gt;&lt;item&gt;3338&lt;/item&gt;&lt;item&gt;3408&lt;/item&gt;&lt;item&gt;3449&lt;/item&gt;&lt;item&gt;3450&lt;/item&gt;&lt;item&gt;3453&lt;/item&gt;&lt;item&gt;3532&lt;/item&gt;&lt;item&gt;3559&lt;/item&gt;&lt;item&gt;3560&lt;/item&gt;&lt;item&gt;3561&lt;/item&gt;&lt;item&gt;3562&lt;/item&gt;&lt;item&gt;3563&lt;/item&gt;&lt;item&gt;3565&lt;/item&gt;&lt;item&gt;3566&lt;/item&gt;&lt;item&gt;3567&lt;/item&gt;&lt;item&gt;3568&lt;/item&gt;&lt;item&gt;3577&lt;/item&gt;&lt;/record-ids&gt;&lt;/item&gt;&lt;/Libraries&gt;"/>
  </w:docVars>
  <w:rsids>
    <w:rsidRoot w:val="00E35F80"/>
    <w:rsid w:val="00000B2C"/>
    <w:rsid w:val="00000E0C"/>
    <w:rsid w:val="000024D4"/>
    <w:rsid w:val="00002B4C"/>
    <w:rsid w:val="00002E01"/>
    <w:rsid w:val="0000323F"/>
    <w:rsid w:val="00004938"/>
    <w:rsid w:val="00006189"/>
    <w:rsid w:val="00006235"/>
    <w:rsid w:val="00006C72"/>
    <w:rsid w:val="00007AE8"/>
    <w:rsid w:val="00007B58"/>
    <w:rsid w:val="00007D56"/>
    <w:rsid w:val="000116C0"/>
    <w:rsid w:val="000127C4"/>
    <w:rsid w:val="00012855"/>
    <w:rsid w:val="00012A92"/>
    <w:rsid w:val="000149C2"/>
    <w:rsid w:val="00014D79"/>
    <w:rsid w:val="00014DB6"/>
    <w:rsid w:val="00014DB8"/>
    <w:rsid w:val="000151CA"/>
    <w:rsid w:val="00015783"/>
    <w:rsid w:val="00015842"/>
    <w:rsid w:val="00015D38"/>
    <w:rsid w:val="00015D81"/>
    <w:rsid w:val="00015EB4"/>
    <w:rsid w:val="00017CD8"/>
    <w:rsid w:val="00020A1B"/>
    <w:rsid w:val="0002351D"/>
    <w:rsid w:val="00023A9A"/>
    <w:rsid w:val="00024A89"/>
    <w:rsid w:val="000251DA"/>
    <w:rsid w:val="000258EC"/>
    <w:rsid w:val="00025C4F"/>
    <w:rsid w:val="0003182E"/>
    <w:rsid w:val="00031AE7"/>
    <w:rsid w:val="00032072"/>
    <w:rsid w:val="000320DF"/>
    <w:rsid w:val="0003217A"/>
    <w:rsid w:val="000325E6"/>
    <w:rsid w:val="00034479"/>
    <w:rsid w:val="00035244"/>
    <w:rsid w:val="00035512"/>
    <w:rsid w:val="000364D6"/>
    <w:rsid w:val="000378CC"/>
    <w:rsid w:val="0004068E"/>
    <w:rsid w:val="000406CE"/>
    <w:rsid w:val="00040B07"/>
    <w:rsid w:val="000418D8"/>
    <w:rsid w:val="00041B6A"/>
    <w:rsid w:val="00041E11"/>
    <w:rsid w:val="00042099"/>
    <w:rsid w:val="000421A1"/>
    <w:rsid w:val="00042B55"/>
    <w:rsid w:val="000434D2"/>
    <w:rsid w:val="00043D2A"/>
    <w:rsid w:val="000459A2"/>
    <w:rsid w:val="00046241"/>
    <w:rsid w:val="00046836"/>
    <w:rsid w:val="00046CE8"/>
    <w:rsid w:val="000478CA"/>
    <w:rsid w:val="00050A29"/>
    <w:rsid w:val="00050A69"/>
    <w:rsid w:val="00051CD9"/>
    <w:rsid w:val="00052584"/>
    <w:rsid w:val="000526B5"/>
    <w:rsid w:val="00052881"/>
    <w:rsid w:val="00052D25"/>
    <w:rsid w:val="000555D4"/>
    <w:rsid w:val="00055ABB"/>
    <w:rsid w:val="00056C65"/>
    <w:rsid w:val="00056D1A"/>
    <w:rsid w:val="00062A5F"/>
    <w:rsid w:val="00063105"/>
    <w:rsid w:val="0006362A"/>
    <w:rsid w:val="00063CBD"/>
    <w:rsid w:val="000643ED"/>
    <w:rsid w:val="00064A47"/>
    <w:rsid w:val="00065A88"/>
    <w:rsid w:val="00065C61"/>
    <w:rsid w:val="00065F36"/>
    <w:rsid w:val="00066709"/>
    <w:rsid w:val="000679EA"/>
    <w:rsid w:val="00067CD5"/>
    <w:rsid w:val="00071205"/>
    <w:rsid w:val="00071DC5"/>
    <w:rsid w:val="0007219B"/>
    <w:rsid w:val="00072361"/>
    <w:rsid w:val="00073FBA"/>
    <w:rsid w:val="00074D86"/>
    <w:rsid w:val="000755A6"/>
    <w:rsid w:val="000756A5"/>
    <w:rsid w:val="00077E93"/>
    <w:rsid w:val="000806D0"/>
    <w:rsid w:val="00080B2B"/>
    <w:rsid w:val="00080B74"/>
    <w:rsid w:val="00082D67"/>
    <w:rsid w:val="00082D8A"/>
    <w:rsid w:val="000835C1"/>
    <w:rsid w:val="000839F3"/>
    <w:rsid w:val="0008477E"/>
    <w:rsid w:val="000855BF"/>
    <w:rsid w:val="0008786A"/>
    <w:rsid w:val="000914CA"/>
    <w:rsid w:val="00092DDD"/>
    <w:rsid w:val="00093485"/>
    <w:rsid w:val="000936BD"/>
    <w:rsid w:val="00094FDA"/>
    <w:rsid w:val="00095A4B"/>
    <w:rsid w:val="00095E7E"/>
    <w:rsid w:val="000964DA"/>
    <w:rsid w:val="000967BD"/>
    <w:rsid w:val="00097295"/>
    <w:rsid w:val="00097493"/>
    <w:rsid w:val="00097E4A"/>
    <w:rsid w:val="000A086A"/>
    <w:rsid w:val="000A12E2"/>
    <w:rsid w:val="000A19BB"/>
    <w:rsid w:val="000A1C8C"/>
    <w:rsid w:val="000A1ECB"/>
    <w:rsid w:val="000A205F"/>
    <w:rsid w:val="000A2C27"/>
    <w:rsid w:val="000A3DB5"/>
    <w:rsid w:val="000A4B09"/>
    <w:rsid w:val="000A5CE1"/>
    <w:rsid w:val="000B096F"/>
    <w:rsid w:val="000B1164"/>
    <w:rsid w:val="000B2068"/>
    <w:rsid w:val="000B25E6"/>
    <w:rsid w:val="000B2B42"/>
    <w:rsid w:val="000B3E9E"/>
    <w:rsid w:val="000B635A"/>
    <w:rsid w:val="000B77D3"/>
    <w:rsid w:val="000B7F18"/>
    <w:rsid w:val="000C1C78"/>
    <w:rsid w:val="000C25D0"/>
    <w:rsid w:val="000C321E"/>
    <w:rsid w:val="000C4361"/>
    <w:rsid w:val="000C5A87"/>
    <w:rsid w:val="000C60D9"/>
    <w:rsid w:val="000D173A"/>
    <w:rsid w:val="000D292C"/>
    <w:rsid w:val="000D2D02"/>
    <w:rsid w:val="000D3EB4"/>
    <w:rsid w:val="000D670E"/>
    <w:rsid w:val="000D7CE4"/>
    <w:rsid w:val="000E1577"/>
    <w:rsid w:val="000E1CE9"/>
    <w:rsid w:val="000E39F8"/>
    <w:rsid w:val="000E3A13"/>
    <w:rsid w:val="000E594D"/>
    <w:rsid w:val="000F059F"/>
    <w:rsid w:val="000F1593"/>
    <w:rsid w:val="000F1BEB"/>
    <w:rsid w:val="000F1D31"/>
    <w:rsid w:val="000F211A"/>
    <w:rsid w:val="000F3033"/>
    <w:rsid w:val="000F3523"/>
    <w:rsid w:val="000F3ACE"/>
    <w:rsid w:val="000F3D0B"/>
    <w:rsid w:val="000F5889"/>
    <w:rsid w:val="000F5F19"/>
    <w:rsid w:val="000F5FF6"/>
    <w:rsid w:val="000F652D"/>
    <w:rsid w:val="000F6652"/>
    <w:rsid w:val="000F7139"/>
    <w:rsid w:val="000F73F1"/>
    <w:rsid w:val="000F78DE"/>
    <w:rsid w:val="000F7B2D"/>
    <w:rsid w:val="000F7BB7"/>
    <w:rsid w:val="0010004A"/>
    <w:rsid w:val="001005B5"/>
    <w:rsid w:val="00100785"/>
    <w:rsid w:val="00100856"/>
    <w:rsid w:val="0010188D"/>
    <w:rsid w:val="0010245C"/>
    <w:rsid w:val="001030E2"/>
    <w:rsid w:val="001036BB"/>
    <w:rsid w:val="0010380A"/>
    <w:rsid w:val="0010394F"/>
    <w:rsid w:val="00103B87"/>
    <w:rsid w:val="0010409A"/>
    <w:rsid w:val="001046CA"/>
    <w:rsid w:val="00104F09"/>
    <w:rsid w:val="00104F3E"/>
    <w:rsid w:val="00105175"/>
    <w:rsid w:val="00105697"/>
    <w:rsid w:val="00106473"/>
    <w:rsid w:val="00106DBF"/>
    <w:rsid w:val="00107B61"/>
    <w:rsid w:val="00107FB8"/>
    <w:rsid w:val="00110553"/>
    <w:rsid w:val="00110770"/>
    <w:rsid w:val="00111AB9"/>
    <w:rsid w:val="00111F83"/>
    <w:rsid w:val="00112933"/>
    <w:rsid w:val="0011297B"/>
    <w:rsid w:val="00114567"/>
    <w:rsid w:val="00114C70"/>
    <w:rsid w:val="0011631E"/>
    <w:rsid w:val="00117CE2"/>
    <w:rsid w:val="0012290F"/>
    <w:rsid w:val="00122C64"/>
    <w:rsid w:val="00123029"/>
    <w:rsid w:val="00126857"/>
    <w:rsid w:val="00126A18"/>
    <w:rsid w:val="00127656"/>
    <w:rsid w:val="00130ADC"/>
    <w:rsid w:val="001326B4"/>
    <w:rsid w:val="001326F8"/>
    <w:rsid w:val="001327E1"/>
    <w:rsid w:val="00132C88"/>
    <w:rsid w:val="00133203"/>
    <w:rsid w:val="00133687"/>
    <w:rsid w:val="001346EB"/>
    <w:rsid w:val="0013637C"/>
    <w:rsid w:val="00136CC9"/>
    <w:rsid w:val="00136DA9"/>
    <w:rsid w:val="00137B23"/>
    <w:rsid w:val="00140D3B"/>
    <w:rsid w:val="00140EBE"/>
    <w:rsid w:val="00141AA1"/>
    <w:rsid w:val="001428F7"/>
    <w:rsid w:val="00142DEA"/>
    <w:rsid w:val="00142EBB"/>
    <w:rsid w:val="00143331"/>
    <w:rsid w:val="00143984"/>
    <w:rsid w:val="00143D89"/>
    <w:rsid w:val="0014467C"/>
    <w:rsid w:val="00144A84"/>
    <w:rsid w:val="00144FC3"/>
    <w:rsid w:val="0014521D"/>
    <w:rsid w:val="00145566"/>
    <w:rsid w:val="00145AF1"/>
    <w:rsid w:val="0014675D"/>
    <w:rsid w:val="001470B5"/>
    <w:rsid w:val="00153BFC"/>
    <w:rsid w:val="00153EDA"/>
    <w:rsid w:val="0015412C"/>
    <w:rsid w:val="0015464A"/>
    <w:rsid w:val="0015473C"/>
    <w:rsid w:val="0015533C"/>
    <w:rsid w:val="001573D6"/>
    <w:rsid w:val="00157433"/>
    <w:rsid w:val="001576FB"/>
    <w:rsid w:val="00162194"/>
    <w:rsid w:val="00162CB6"/>
    <w:rsid w:val="00163B7C"/>
    <w:rsid w:val="0016491E"/>
    <w:rsid w:val="0016499A"/>
    <w:rsid w:val="001664AC"/>
    <w:rsid w:val="00166ABF"/>
    <w:rsid w:val="001671EB"/>
    <w:rsid w:val="00170DE1"/>
    <w:rsid w:val="00171754"/>
    <w:rsid w:val="00172A6A"/>
    <w:rsid w:val="00173833"/>
    <w:rsid w:val="001739CE"/>
    <w:rsid w:val="001749BE"/>
    <w:rsid w:val="00175431"/>
    <w:rsid w:val="0017554A"/>
    <w:rsid w:val="0017597D"/>
    <w:rsid w:val="00175FBA"/>
    <w:rsid w:val="00176853"/>
    <w:rsid w:val="001769F7"/>
    <w:rsid w:val="00176AFD"/>
    <w:rsid w:val="00177050"/>
    <w:rsid w:val="001776E3"/>
    <w:rsid w:val="00177D76"/>
    <w:rsid w:val="00180226"/>
    <w:rsid w:val="00181113"/>
    <w:rsid w:val="001820E6"/>
    <w:rsid w:val="00183CE7"/>
    <w:rsid w:val="00183DEF"/>
    <w:rsid w:val="0018486C"/>
    <w:rsid w:val="001852C1"/>
    <w:rsid w:val="0018566F"/>
    <w:rsid w:val="0019112A"/>
    <w:rsid w:val="00191531"/>
    <w:rsid w:val="00192B1E"/>
    <w:rsid w:val="001933B3"/>
    <w:rsid w:val="00195DF9"/>
    <w:rsid w:val="00195FF8"/>
    <w:rsid w:val="00196F26"/>
    <w:rsid w:val="00197435"/>
    <w:rsid w:val="00197F2B"/>
    <w:rsid w:val="001A02AA"/>
    <w:rsid w:val="001A0596"/>
    <w:rsid w:val="001A11D9"/>
    <w:rsid w:val="001A14A2"/>
    <w:rsid w:val="001A1C62"/>
    <w:rsid w:val="001A2416"/>
    <w:rsid w:val="001A2BA6"/>
    <w:rsid w:val="001A2D36"/>
    <w:rsid w:val="001A44E7"/>
    <w:rsid w:val="001A5587"/>
    <w:rsid w:val="001A5C83"/>
    <w:rsid w:val="001A5E26"/>
    <w:rsid w:val="001A5EFE"/>
    <w:rsid w:val="001A5EFF"/>
    <w:rsid w:val="001A6825"/>
    <w:rsid w:val="001A6872"/>
    <w:rsid w:val="001A6B53"/>
    <w:rsid w:val="001B1905"/>
    <w:rsid w:val="001B3708"/>
    <w:rsid w:val="001B49B9"/>
    <w:rsid w:val="001B4B95"/>
    <w:rsid w:val="001B5C74"/>
    <w:rsid w:val="001B6E02"/>
    <w:rsid w:val="001B740C"/>
    <w:rsid w:val="001B7510"/>
    <w:rsid w:val="001C062D"/>
    <w:rsid w:val="001C098A"/>
    <w:rsid w:val="001C0EBB"/>
    <w:rsid w:val="001C3F88"/>
    <w:rsid w:val="001C5D0B"/>
    <w:rsid w:val="001C6A7E"/>
    <w:rsid w:val="001C6CB6"/>
    <w:rsid w:val="001C75DD"/>
    <w:rsid w:val="001D1ED9"/>
    <w:rsid w:val="001D293A"/>
    <w:rsid w:val="001D47CE"/>
    <w:rsid w:val="001D58B3"/>
    <w:rsid w:val="001D660A"/>
    <w:rsid w:val="001D7AE3"/>
    <w:rsid w:val="001D7B9D"/>
    <w:rsid w:val="001D7F92"/>
    <w:rsid w:val="001E14BA"/>
    <w:rsid w:val="001E2309"/>
    <w:rsid w:val="001E2D79"/>
    <w:rsid w:val="001E2F08"/>
    <w:rsid w:val="001E3DD0"/>
    <w:rsid w:val="001E4248"/>
    <w:rsid w:val="001E4F20"/>
    <w:rsid w:val="001E511D"/>
    <w:rsid w:val="001E598B"/>
    <w:rsid w:val="001E59DC"/>
    <w:rsid w:val="001E59EC"/>
    <w:rsid w:val="001E6CF9"/>
    <w:rsid w:val="001E7502"/>
    <w:rsid w:val="001F05B9"/>
    <w:rsid w:val="001F0A87"/>
    <w:rsid w:val="001F0C7C"/>
    <w:rsid w:val="001F17A1"/>
    <w:rsid w:val="001F1A33"/>
    <w:rsid w:val="001F2291"/>
    <w:rsid w:val="001F22B5"/>
    <w:rsid w:val="001F334E"/>
    <w:rsid w:val="001F343B"/>
    <w:rsid w:val="001F371E"/>
    <w:rsid w:val="001F4FB4"/>
    <w:rsid w:val="001F5A3A"/>
    <w:rsid w:val="001F61BF"/>
    <w:rsid w:val="001F76AA"/>
    <w:rsid w:val="002001D6"/>
    <w:rsid w:val="002016E8"/>
    <w:rsid w:val="002023B1"/>
    <w:rsid w:val="0020390F"/>
    <w:rsid w:val="002042DE"/>
    <w:rsid w:val="00205B1A"/>
    <w:rsid w:val="00205BDA"/>
    <w:rsid w:val="002061C2"/>
    <w:rsid w:val="00206444"/>
    <w:rsid w:val="00206D89"/>
    <w:rsid w:val="00207232"/>
    <w:rsid w:val="0020769F"/>
    <w:rsid w:val="00207BF6"/>
    <w:rsid w:val="002105F2"/>
    <w:rsid w:val="00210D1F"/>
    <w:rsid w:val="00210E92"/>
    <w:rsid w:val="00210E9A"/>
    <w:rsid w:val="00210EA1"/>
    <w:rsid w:val="00211C1B"/>
    <w:rsid w:val="00211C8D"/>
    <w:rsid w:val="002121CD"/>
    <w:rsid w:val="00212C9B"/>
    <w:rsid w:val="002152B5"/>
    <w:rsid w:val="00215C59"/>
    <w:rsid w:val="00215E25"/>
    <w:rsid w:val="00216D64"/>
    <w:rsid w:val="00220E5E"/>
    <w:rsid w:val="00221305"/>
    <w:rsid w:val="00221609"/>
    <w:rsid w:val="0022296E"/>
    <w:rsid w:val="002238E8"/>
    <w:rsid w:val="00225009"/>
    <w:rsid w:val="002252B3"/>
    <w:rsid w:val="0022583C"/>
    <w:rsid w:val="00225D73"/>
    <w:rsid w:val="00225E87"/>
    <w:rsid w:val="00225FFD"/>
    <w:rsid w:val="002267B4"/>
    <w:rsid w:val="0022721B"/>
    <w:rsid w:val="00227388"/>
    <w:rsid w:val="00227B80"/>
    <w:rsid w:val="002305C1"/>
    <w:rsid w:val="00230F61"/>
    <w:rsid w:val="00231371"/>
    <w:rsid w:val="00231BBE"/>
    <w:rsid w:val="00231D06"/>
    <w:rsid w:val="00232817"/>
    <w:rsid w:val="00232AD8"/>
    <w:rsid w:val="00232C63"/>
    <w:rsid w:val="002344BD"/>
    <w:rsid w:val="00235DF4"/>
    <w:rsid w:val="00240016"/>
    <w:rsid w:val="002407FB"/>
    <w:rsid w:val="002428F6"/>
    <w:rsid w:val="00242D68"/>
    <w:rsid w:val="0024300F"/>
    <w:rsid w:val="00244236"/>
    <w:rsid w:val="00246742"/>
    <w:rsid w:val="00246E67"/>
    <w:rsid w:val="002471BF"/>
    <w:rsid w:val="00247FCD"/>
    <w:rsid w:val="002524B8"/>
    <w:rsid w:val="00252C0F"/>
    <w:rsid w:val="00253310"/>
    <w:rsid w:val="002539C8"/>
    <w:rsid w:val="00253B4D"/>
    <w:rsid w:val="00254E6A"/>
    <w:rsid w:val="002561C5"/>
    <w:rsid w:val="002565BB"/>
    <w:rsid w:val="002570F8"/>
    <w:rsid w:val="002578B8"/>
    <w:rsid w:val="00257D05"/>
    <w:rsid w:val="00260EFC"/>
    <w:rsid w:val="0026149B"/>
    <w:rsid w:val="00261E14"/>
    <w:rsid w:val="00262F95"/>
    <w:rsid w:val="002635D3"/>
    <w:rsid w:val="00265D3A"/>
    <w:rsid w:val="00265E0A"/>
    <w:rsid w:val="00265F24"/>
    <w:rsid w:val="0026698F"/>
    <w:rsid w:val="00267838"/>
    <w:rsid w:val="002725F6"/>
    <w:rsid w:val="0027323F"/>
    <w:rsid w:val="00274152"/>
    <w:rsid w:val="002742D6"/>
    <w:rsid w:val="0027497E"/>
    <w:rsid w:val="0027528E"/>
    <w:rsid w:val="00275E3C"/>
    <w:rsid w:val="002775DB"/>
    <w:rsid w:val="0027771E"/>
    <w:rsid w:val="002779DE"/>
    <w:rsid w:val="00280A8B"/>
    <w:rsid w:val="00280F5A"/>
    <w:rsid w:val="00281AE5"/>
    <w:rsid w:val="00281E73"/>
    <w:rsid w:val="0028200C"/>
    <w:rsid w:val="00282CA1"/>
    <w:rsid w:val="002848EF"/>
    <w:rsid w:val="0028613C"/>
    <w:rsid w:val="002867CF"/>
    <w:rsid w:val="0028762A"/>
    <w:rsid w:val="00287FEC"/>
    <w:rsid w:val="00290045"/>
    <w:rsid w:val="00290E89"/>
    <w:rsid w:val="00293175"/>
    <w:rsid w:val="00293ED4"/>
    <w:rsid w:val="002947CF"/>
    <w:rsid w:val="00295DFD"/>
    <w:rsid w:val="0029660B"/>
    <w:rsid w:val="00296E98"/>
    <w:rsid w:val="002A0246"/>
    <w:rsid w:val="002A04BB"/>
    <w:rsid w:val="002A49CE"/>
    <w:rsid w:val="002A520E"/>
    <w:rsid w:val="002A558E"/>
    <w:rsid w:val="002A752C"/>
    <w:rsid w:val="002A7E5E"/>
    <w:rsid w:val="002B0113"/>
    <w:rsid w:val="002B0207"/>
    <w:rsid w:val="002B03C7"/>
    <w:rsid w:val="002B2964"/>
    <w:rsid w:val="002B3D3B"/>
    <w:rsid w:val="002B4515"/>
    <w:rsid w:val="002B508C"/>
    <w:rsid w:val="002B54DF"/>
    <w:rsid w:val="002B6C54"/>
    <w:rsid w:val="002B71AD"/>
    <w:rsid w:val="002C0459"/>
    <w:rsid w:val="002C064F"/>
    <w:rsid w:val="002C0DBA"/>
    <w:rsid w:val="002C123E"/>
    <w:rsid w:val="002C16E8"/>
    <w:rsid w:val="002C17F7"/>
    <w:rsid w:val="002C192A"/>
    <w:rsid w:val="002C2E32"/>
    <w:rsid w:val="002C582B"/>
    <w:rsid w:val="002C5A2D"/>
    <w:rsid w:val="002C637B"/>
    <w:rsid w:val="002D0065"/>
    <w:rsid w:val="002D03A5"/>
    <w:rsid w:val="002D04FA"/>
    <w:rsid w:val="002D101E"/>
    <w:rsid w:val="002D2484"/>
    <w:rsid w:val="002D2CF7"/>
    <w:rsid w:val="002D38E7"/>
    <w:rsid w:val="002D3B05"/>
    <w:rsid w:val="002D3C88"/>
    <w:rsid w:val="002D50CA"/>
    <w:rsid w:val="002D5465"/>
    <w:rsid w:val="002D5985"/>
    <w:rsid w:val="002D6FC0"/>
    <w:rsid w:val="002E0B72"/>
    <w:rsid w:val="002E1E8C"/>
    <w:rsid w:val="002E20E8"/>
    <w:rsid w:val="002E2320"/>
    <w:rsid w:val="002E2391"/>
    <w:rsid w:val="002E3027"/>
    <w:rsid w:val="002E3329"/>
    <w:rsid w:val="002E44E9"/>
    <w:rsid w:val="002E4BB7"/>
    <w:rsid w:val="002E5607"/>
    <w:rsid w:val="002E573A"/>
    <w:rsid w:val="002E5A9D"/>
    <w:rsid w:val="002E5D09"/>
    <w:rsid w:val="002F04BA"/>
    <w:rsid w:val="002F0D42"/>
    <w:rsid w:val="002F2655"/>
    <w:rsid w:val="002F2EE6"/>
    <w:rsid w:val="002F2F20"/>
    <w:rsid w:val="002F34F2"/>
    <w:rsid w:val="002F546B"/>
    <w:rsid w:val="002F5665"/>
    <w:rsid w:val="002F6FFA"/>
    <w:rsid w:val="002F7602"/>
    <w:rsid w:val="002F7776"/>
    <w:rsid w:val="00301D12"/>
    <w:rsid w:val="00302376"/>
    <w:rsid w:val="00303904"/>
    <w:rsid w:val="00303A1F"/>
    <w:rsid w:val="00304A03"/>
    <w:rsid w:val="00305ACE"/>
    <w:rsid w:val="00306805"/>
    <w:rsid w:val="00307B0D"/>
    <w:rsid w:val="00307C92"/>
    <w:rsid w:val="00310B54"/>
    <w:rsid w:val="0031142F"/>
    <w:rsid w:val="0031143E"/>
    <w:rsid w:val="0031168A"/>
    <w:rsid w:val="00312BD0"/>
    <w:rsid w:val="00313096"/>
    <w:rsid w:val="003131DD"/>
    <w:rsid w:val="00313E3E"/>
    <w:rsid w:val="003148F8"/>
    <w:rsid w:val="00314CE9"/>
    <w:rsid w:val="003151A1"/>
    <w:rsid w:val="00315573"/>
    <w:rsid w:val="00316A61"/>
    <w:rsid w:val="00317515"/>
    <w:rsid w:val="00320544"/>
    <w:rsid w:val="003206AA"/>
    <w:rsid w:val="00320A62"/>
    <w:rsid w:val="00320AB4"/>
    <w:rsid w:val="00321AD5"/>
    <w:rsid w:val="00321B76"/>
    <w:rsid w:val="0032479D"/>
    <w:rsid w:val="00324BB5"/>
    <w:rsid w:val="003250DC"/>
    <w:rsid w:val="00325B6F"/>
    <w:rsid w:val="00325EFF"/>
    <w:rsid w:val="003270BE"/>
    <w:rsid w:val="00327773"/>
    <w:rsid w:val="00330363"/>
    <w:rsid w:val="00330CE6"/>
    <w:rsid w:val="00330EF5"/>
    <w:rsid w:val="00333A20"/>
    <w:rsid w:val="00334266"/>
    <w:rsid w:val="0033544E"/>
    <w:rsid w:val="00336ABC"/>
    <w:rsid w:val="00337DC9"/>
    <w:rsid w:val="003418BA"/>
    <w:rsid w:val="00341958"/>
    <w:rsid w:val="00341F7D"/>
    <w:rsid w:val="003428C1"/>
    <w:rsid w:val="00342FD8"/>
    <w:rsid w:val="00343DB0"/>
    <w:rsid w:val="00345168"/>
    <w:rsid w:val="00345272"/>
    <w:rsid w:val="003476CE"/>
    <w:rsid w:val="00350430"/>
    <w:rsid w:val="00351CED"/>
    <w:rsid w:val="00351FF8"/>
    <w:rsid w:val="00352316"/>
    <w:rsid w:val="003524BA"/>
    <w:rsid w:val="00353294"/>
    <w:rsid w:val="00353B3C"/>
    <w:rsid w:val="00353F9C"/>
    <w:rsid w:val="00354864"/>
    <w:rsid w:val="003555FA"/>
    <w:rsid w:val="003575BC"/>
    <w:rsid w:val="00360880"/>
    <w:rsid w:val="00361CDF"/>
    <w:rsid w:val="003621DC"/>
    <w:rsid w:val="003629FB"/>
    <w:rsid w:val="00363589"/>
    <w:rsid w:val="003651B7"/>
    <w:rsid w:val="0036522A"/>
    <w:rsid w:val="00365900"/>
    <w:rsid w:val="00365E8E"/>
    <w:rsid w:val="003660B3"/>
    <w:rsid w:val="00366BFD"/>
    <w:rsid w:val="003708BE"/>
    <w:rsid w:val="00370ACB"/>
    <w:rsid w:val="003719D0"/>
    <w:rsid w:val="00371EDA"/>
    <w:rsid w:val="00373C81"/>
    <w:rsid w:val="0037466E"/>
    <w:rsid w:val="00374AD4"/>
    <w:rsid w:val="00375E11"/>
    <w:rsid w:val="00376D88"/>
    <w:rsid w:val="003778DE"/>
    <w:rsid w:val="00377D7D"/>
    <w:rsid w:val="0038052F"/>
    <w:rsid w:val="003808DC"/>
    <w:rsid w:val="00380A1A"/>
    <w:rsid w:val="00380CA0"/>
    <w:rsid w:val="0038110F"/>
    <w:rsid w:val="00381332"/>
    <w:rsid w:val="003814CC"/>
    <w:rsid w:val="00382395"/>
    <w:rsid w:val="00382A78"/>
    <w:rsid w:val="0038311B"/>
    <w:rsid w:val="00383624"/>
    <w:rsid w:val="0038533D"/>
    <w:rsid w:val="003869EE"/>
    <w:rsid w:val="00386B3F"/>
    <w:rsid w:val="00387697"/>
    <w:rsid w:val="00387D63"/>
    <w:rsid w:val="00387F22"/>
    <w:rsid w:val="003902AE"/>
    <w:rsid w:val="00390F32"/>
    <w:rsid w:val="003924A3"/>
    <w:rsid w:val="003927D7"/>
    <w:rsid w:val="00393335"/>
    <w:rsid w:val="003A169F"/>
    <w:rsid w:val="003A176E"/>
    <w:rsid w:val="003A21F9"/>
    <w:rsid w:val="003A33B3"/>
    <w:rsid w:val="003A33F6"/>
    <w:rsid w:val="003A3DA2"/>
    <w:rsid w:val="003A40AD"/>
    <w:rsid w:val="003A4F45"/>
    <w:rsid w:val="003A71B6"/>
    <w:rsid w:val="003B09C7"/>
    <w:rsid w:val="003B0B17"/>
    <w:rsid w:val="003B1972"/>
    <w:rsid w:val="003B1A41"/>
    <w:rsid w:val="003B1ED2"/>
    <w:rsid w:val="003B4072"/>
    <w:rsid w:val="003B4FF3"/>
    <w:rsid w:val="003B5831"/>
    <w:rsid w:val="003B684F"/>
    <w:rsid w:val="003B6965"/>
    <w:rsid w:val="003B6B35"/>
    <w:rsid w:val="003B7D13"/>
    <w:rsid w:val="003C0418"/>
    <w:rsid w:val="003C06F1"/>
    <w:rsid w:val="003C156A"/>
    <w:rsid w:val="003C1F4E"/>
    <w:rsid w:val="003C50EE"/>
    <w:rsid w:val="003C6FAA"/>
    <w:rsid w:val="003C7180"/>
    <w:rsid w:val="003C72FA"/>
    <w:rsid w:val="003C7439"/>
    <w:rsid w:val="003C7BBE"/>
    <w:rsid w:val="003D0F5E"/>
    <w:rsid w:val="003D1117"/>
    <w:rsid w:val="003D1814"/>
    <w:rsid w:val="003D1A3B"/>
    <w:rsid w:val="003D3CC3"/>
    <w:rsid w:val="003D43A9"/>
    <w:rsid w:val="003D45A3"/>
    <w:rsid w:val="003D4CA2"/>
    <w:rsid w:val="003D5007"/>
    <w:rsid w:val="003D5DF0"/>
    <w:rsid w:val="003D60E4"/>
    <w:rsid w:val="003D66BA"/>
    <w:rsid w:val="003D72A0"/>
    <w:rsid w:val="003D74FD"/>
    <w:rsid w:val="003D7CD6"/>
    <w:rsid w:val="003D7D85"/>
    <w:rsid w:val="003E0583"/>
    <w:rsid w:val="003E0E28"/>
    <w:rsid w:val="003E1667"/>
    <w:rsid w:val="003E23F7"/>
    <w:rsid w:val="003E4E2B"/>
    <w:rsid w:val="003E59E0"/>
    <w:rsid w:val="003E75C9"/>
    <w:rsid w:val="003F03E8"/>
    <w:rsid w:val="003F127C"/>
    <w:rsid w:val="003F1632"/>
    <w:rsid w:val="003F1881"/>
    <w:rsid w:val="003F196E"/>
    <w:rsid w:val="003F2271"/>
    <w:rsid w:val="003F292A"/>
    <w:rsid w:val="003F2CEF"/>
    <w:rsid w:val="003F3079"/>
    <w:rsid w:val="003F4FD7"/>
    <w:rsid w:val="003F5AF1"/>
    <w:rsid w:val="003F5DDF"/>
    <w:rsid w:val="003F68AE"/>
    <w:rsid w:val="003F7587"/>
    <w:rsid w:val="004022C3"/>
    <w:rsid w:val="00404DEE"/>
    <w:rsid w:val="00406097"/>
    <w:rsid w:val="004060F2"/>
    <w:rsid w:val="00406D1A"/>
    <w:rsid w:val="00407D97"/>
    <w:rsid w:val="004105BF"/>
    <w:rsid w:val="0041114C"/>
    <w:rsid w:val="00411CE3"/>
    <w:rsid w:val="004126CD"/>
    <w:rsid w:val="00413DD0"/>
    <w:rsid w:val="00414364"/>
    <w:rsid w:val="00414860"/>
    <w:rsid w:val="00415067"/>
    <w:rsid w:val="00415C34"/>
    <w:rsid w:val="004173DD"/>
    <w:rsid w:val="00417A3E"/>
    <w:rsid w:val="0042071B"/>
    <w:rsid w:val="0042130D"/>
    <w:rsid w:val="0042181F"/>
    <w:rsid w:val="00423917"/>
    <w:rsid w:val="00426A62"/>
    <w:rsid w:val="00430E92"/>
    <w:rsid w:val="004314DF"/>
    <w:rsid w:val="00431DDC"/>
    <w:rsid w:val="004323C2"/>
    <w:rsid w:val="0043341B"/>
    <w:rsid w:val="00434969"/>
    <w:rsid w:val="00434C63"/>
    <w:rsid w:val="00435159"/>
    <w:rsid w:val="00435236"/>
    <w:rsid w:val="00435D0A"/>
    <w:rsid w:val="00435EC7"/>
    <w:rsid w:val="00435F9D"/>
    <w:rsid w:val="00436027"/>
    <w:rsid w:val="004369B0"/>
    <w:rsid w:val="00436C25"/>
    <w:rsid w:val="004406EB"/>
    <w:rsid w:val="004416B2"/>
    <w:rsid w:val="00441BDE"/>
    <w:rsid w:val="004421B1"/>
    <w:rsid w:val="00442EF5"/>
    <w:rsid w:val="0044590E"/>
    <w:rsid w:val="00445F26"/>
    <w:rsid w:val="004463C6"/>
    <w:rsid w:val="004465DC"/>
    <w:rsid w:val="0044667C"/>
    <w:rsid w:val="00446FFE"/>
    <w:rsid w:val="00447062"/>
    <w:rsid w:val="00447163"/>
    <w:rsid w:val="00450296"/>
    <w:rsid w:val="004502F2"/>
    <w:rsid w:val="00450C68"/>
    <w:rsid w:val="0045144B"/>
    <w:rsid w:val="00451D83"/>
    <w:rsid w:val="00452410"/>
    <w:rsid w:val="00452F7A"/>
    <w:rsid w:val="00454056"/>
    <w:rsid w:val="004547AD"/>
    <w:rsid w:val="00454C99"/>
    <w:rsid w:val="0045641F"/>
    <w:rsid w:val="00456CFA"/>
    <w:rsid w:val="0046062A"/>
    <w:rsid w:val="00463403"/>
    <w:rsid w:val="00463A54"/>
    <w:rsid w:val="00465110"/>
    <w:rsid w:val="00465196"/>
    <w:rsid w:val="004654CA"/>
    <w:rsid w:val="00465588"/>
    <w:rsid w:val="00465751"/>
    <w:rsid w:val="00466916"/>
    <w:rsid w:val="00466CAD"/>
    <w:rsid w:val="00467ED0"/>
    <w:rsid w:val="00470B56"/>
    <w:rsid w:val="00471363"/>
    <w:rsid w:val="004717B9"/>
    <w:rsid w:val="00471B62"/>
    <w:rsid w:val="00471E77"/>
    <w:rsid w:val="00473A90"/>
    <w:rsid w:val="00473DFF"/>
    <w:rsid w:val="004744DC"/>
    <w:rsid w:val="00474A6B"/>
    <w:rsid w:val="00474DE7"/>
    <w:rsid w:val="004751B4"/>
    <w:rsid w:val="00475959"/>
    <w:rsid w:val="004777D6"/>
    <w:rsid w:val="00480871"/>
    <w:rsid w:val="004814B1"/>
    <w:rsid w:val="0048156E"/>
    <w:rsid w:val="00481F41"/>
    <w:rsid w:val="00483129"/>
    <w:rsid w:val="004834C2"/>
    <w:rsid w:val="00484A27"/>
    <w:rsid w:val="004860AB"/>
    <w:rsid w:val="0048708A"/>
    <w:rsid w:val="0048734E"/>
    <w:rsid w:val="00487905"/>
    <w:rsid w:val="00487AED"/>
    <w:rsid w:val="00491E48"/>
    <w:rsid w:val="00491F08"/>
    <w:rsid w:val="00492444"/>
    <w:rsid w:val="0049281C"/>
    <w:rsid w:val="00492898"/>
    <w:rsid w:val="0049293B"/>
    <w:rsid w:val="004932DD"/>
    <w:rsid w:val="00493B31"/>
    <w:rsid w:val="00493F3A"/>
    <w:rsid w:val="00494F6E"/>
    <w:rsid w:val="0049511E"/>
    <w:rsid w:val="00495776"/>
    <w:rsid w:val="00495D64"/>
    <w:rsid w:val="0049696E"/>
    <w:rsid w:val="004969AE"/>
    <w:rsid w:val="00496EE9"/>
    <w:rsid w:val="0049783A"/>
    <w:rsid w:val="004A0410"/>
    <w:rsid w:val="004A04DB"/>
    <w:rsid w:val="004A23D5"/>
    <w:rsid w:val="004A2753"/>
    <w:rsid w:val="004A36C5"/>
    <w:rsid w:val="004A3B91"/>
    <w:rsid w:val="004A4BE0"/>
    <w:rsid w:val="004A50C3"/>
    <w:rsid w:val="004A57A4"/>
    <w:rsid w:val="004A5C15"/>
    <w:rsid w:val="004A5C6B"/>
    <w:rsid w:val="004A5E5C"/>
    <w:rsid w:val="004A6C4B"/>
    <w:rsid w:val="004B08FC"/>
    <w:rsid w:val="004B0D60"/>
    <w:rsid w:val="004B2987"/>
    <w:rsid w:val="004B29C6"/>
    <w:rsid w:val="004B333A"/>
    <w:rsid w:val="004B3718"/>
    <w:rsid w:val="004B7AAC"/>
    <w:rsid w:val="004C04D0"/>
    <w:rsid w:val="004C38A6"/>
    <w:rsid w:val="004C3A98"/>
    <w:rsid w:val="004C3CD1"/>
    <w:rsid w:val="004C52B9"/>
    <w:rsid w:val="004C5AC6"/>
    <w:rsid w:val="004C5EF8"/>
    <w:rsid w:val="004C6456"/>
    <w:rsid w:val="004D001C"/>
    <w:rsid w:val="004D049D"/>
    <w:rsid w:val="004D04F1"/>
    <w:rsid w:val="004D0F69"/>
    <w:rsid w:val="004D2652"/>
    <w:rsid w:val="004D26E8"/>
    <w:rsid w:val="004D30DE"/>
    <w:rsid w:val="004D32EB"/>
    <w:rsid w:val="004D3537"/>
    <w:rsid w:val="004D38AA"/>
    <w:rsid w:val="004D39F6"/>
    <w:rsid w:val="004D55FB"/>
    <w:rsid w:val="004D5650"/>
    <w:rsid w:val="004D6829"/>
    <w:rsid w:val="004D6A7E"/>
    <w:rsid w:val="004D7422"/>
    <w:rsid w:val="004D7A47"/>
    <w:rsid w:val="004E0DD2"/>
    <w:rsid w:val="004E10A6"/>
    <w:rsid w:val="004E1DA5"/>
    <w:rsid w:val="004E468A"/>
    <w:rsid w:val="004E4BCA"/>
    <w:rsid w:val="004E5072"/>
    <w:rsid w:val="004E5297"/>
    <w:rsid w:val="004E7EF8"/>
    <w:rsid w:val="004F069F"/>
    <w:rsid w:val="004F1400"/>
    <w:rsid w:val="004F1968"/>
    <w:rsid w:val="004F1D4D"/>
    <w:rsid w:val="004F1DFA"/>
    <w:rsid w:val="004F2673"/>
    <w:rsid w:val="004F35D1"/>
    <w:rsid w:val="004F512E"/>
    <w:rsid w:val="004F5554"/>
    <w:rsid w:val="004F6E1A"/>
    <w:rsid w:val="004F7326"/>
    <w:rsid w:val="004F7652"/>
    <w:rsid w:val="00501462"/>
    <w:rsid w:val="00501562"/>
    <w:rsid w:val="00501939"/>
    <w:rsid w:val="00501A00"/>
    <w:rsid w:val="00502DC5"/>
    <w:rsid w:val="00503654"/>
    <w:rsid w:val="005038B7"/>
    <w:rsid w:val="00504619"/>
    <w:rsid w:val="00504C0B"/>
    <w:rsid w:val="005058FA"/>
    <w:rsid w:val="00505F38"/>
    <w:rsid w:val="0050620B"/>
    <w:rsid w:val="00507024"/>
    <w:rsid w:val="0050711F"/>
    <w:rsid w:val="00507C3E"/>
    <w:rsid w:val="0051042B"/>
    <w:rsid w:val="005109AD"/>
    <w:rsid w:val="00510D9D"/>
    <w:rsid w:val="00510E44"/>
    <w:rsid w:val="005118F4"/>
    <w:rsid w:val="00512DF3"/>
    <w:rsid w:val="00513680"/>
    <w:rsid w:val="00513F59"/>
    <w:rsid w:val="0051412D"/>
    <w:rsid w:val="00515EA3"/>
    <w:rsid w:val="005160C4"/>
    <w:rsid w:val="00516582"/>
    <w:rsid w:val="005176BD"/>
    <w:rsid w:val="00517913"/>
    <w:rsid w:val="00517F9B"/>
    <w:rsid w:val="00522506"/>
    <w:rsid w:val="005228AE"/>
    <w:rsid w:val="00524DBA"/>
    <w:rsid w:val="00525910"/>
    <w:rsid w:val="00525B8E"/>
    <w:rsid w:val="00525C58"/>
    <w:rsid w:val="0052632C"/>
    <w:rsid w:val="00527C33"/>
    <w:rsid w:val="00530591"/>
    <w:rsid w:val="0053088F"/>
    <w:rsid w:val="00531207"/>
    <w:rsid w:val="00532928"/>
    <w:rsid w:val="005330D0"/>
    <w:rsid w:val="00534750"/>
    <w:rsid w:val="005350AC"/>
    <w:rsid w:val="00536532"/>
    <w:rsid w:val="00537992"/>
    <w:rsid w:val="00537AEE"/>
    <w:rsid w:val="0054092B"/>
    <w:rsid w:val="005414FC"/>
    <w:rsid w:val="00541B1E"/>
    <w:rsid w:val="00541F62"/>
    <w:rsid w:val="00542E34"/>
    <w:rsid w:val="005436A2"/>
    <w:rsid w:val="00544859"/>
    <w:rsid w:val="00544E70"/>
    <w:rsid w:val="00545781"/>
    <w:rsid w:val="00545833"/>
    <w:rsid w:val="00545A4C"/>
    <w:rsid w:val="00546B68"/>
    <w:rsid w:val="00547442"/>
    <w:rsid w:val="00547AFF"/>
    <w:rsid w:val="00547B1E"/>
    <w:rsid w:val="005507C5"/>
    <w:rsid w:val="0055086A"/>
    <w:rsid w:val="005522E1"/>
    <w:rsid w:val="0055270D"/>
    <w:rsid w:val="00553BBE"/>
    <w:rsid w:val="00553F99"/>
    <w:rsid w:val="0055460C"/>
    <w:rsid w:val="00555C3D"/>
    <w:rsid w:val="00556E6B"/>
    <w:rsid w:val="0055705E"/>
    <w:rsid w:val="00557D12"/>
    <w:rsid w:val="00560609"/>
    <w:rsid w:val="00561DE2"/>
    <w:rsid w:val="00561E5F"/>
    <w:rsid w:val="00561EF1"/>
    <w:rsid w:val="00561FDE"/>
    <w:rsid w:val="00562539"/>
    <w:rsid w:val="00562D24"/>
    <w:rsid w:val="00563215"/>
    <w:rsid w:val="00564D05"/>
    <w:rsid w:val="0056568A"/>
    <w:rsid w:val="00565EB8"/>
    <w:rsid w:val="00566346"/>
    <w:rsid w:val="005665AA"/>
    <w:rsid w:val="00570E14"/>
    <w:rsid w:val="00570F17"/>
    <w:rsid w:val="005711FE"/>
    <w:rsid w:val="005723BD"/>
    <w:rsid w:val="0057373A"/>
    <w:rsid w:val="005741DD"/>
    <w:rsid w:val="005744F8"/>
    <w:rsid w:val="005754F6"/>
    <w:rsid w:val="005754FB"/>
    <w:rsid w:val="00576249"/>
    <w:rsid w:val="00576B4D"/>
    <w:rsid w:val="0057774B"/>
    <w:rsid w:val="00577FFC"/>
    <w:rsid w:val="005801D3"/>
    <w:rsid w:val="00580651"/>
    <w:rsid w:val="00580A67"/>
    <w:rsid w:val="00580D83"/>
    <w:rsid w:val="00580F61"/>
    <w:rsid w:val="005811E0"/>
    <w:rsid w:val="00582EED"/>
    <w:rsid w:val="00583496"/>
    <w:rsid w:val="005837F7"/>
    <w:rsid w:val="005838A4"/>
    <w:rsid w:val="00584099"/>
    <w:rsid w:val="005854CE"/>
    <w:rsid w:val="005867DB"/>
    <w:rsid w:val="00586A1A"/>
    <w:rsid w:val="00586F23"/>
    <w:rsid w:val="0058749E"/>
    <w:rsid w:val="005877D0"/>
    <w:rsid w:val="00587A38"/>
    <w:rsid w:val="00587A59"/>
    <w:rsid w:val="00587B0D"/>
    <w:rsid w:val="005916AB"/>
    <w:rsid w:val="005921A0"/>
    <w:rsid w:val="00592622"/>
    <w:rsid w:val="00592689"/>
    <w:rsid w:val="00594682"/>
    <w:rsid w:val="00594C17"/>
    <w:rsid w:val="00595760"/>
    <w:rsid w:val="00596B68"/>
    <w:rsid w:val="00596BBD"/>
    <w:rsid w:val="005A09EF"/>
    <w:rsid w:val="005A1414"/>
    <w:rsid w:val="005A4100"/>
    <w:rsid w:val="005A4159"/>
    <w:rsid w:val="005A4682"/>
    <w:rsid w:val="005A528D"/>
    <w:rsid w:val="005A58B2"/>
    <w:rsid w:val="005A5B37"/>
    <w:rsid w:val="005A63FD"/>
    <w:rsid w:val="005A6AA5"/>
    <w:rsid w:val="005A6D7F"/>
    <w:rsid w:val="005A6E35"/>
    <w:rsid w:val="005A7495"/>
    <w:rsid w:val="005A7719"/>
    <w:rsid w:val="005A778A"/>
    <w:rsid w:val="005B124E"/>
    <w:rsid w:val="005B16C1"/>
    <w:rsid w:val="005B26A2"/>
    <w:rsid w:val="005B3187"/>
    <w:rsid w:val="005B3656"/>
    <w:rsid w:val="005B36F5"/>
    <w:rsid w:val="005B5A0A"/>
    <w:rsid w:val="005B5F32"/>
    <w:rsid w:val="005B67DE"/>
    <w:rsid w:val="005C16BF"/>
    <w:rsid w:val="005C16F8"/>
    <w:rsid w:val="005C33FC"/>
    <w:rsid w:val="005C5696"/>
    <w:rsid w:val="005C5746"/>
    <w:rsid w:val="005C5D35"/>
    <w:rsid w:val="005C614B"/>
    <w:rsid w:val="005C6267"/>
    <w:rsid w:val="005C629A"/>
    <w:rsid w:val="005C6CDF"/>
    <w:rsid w:val="005C7A66"/>
    <w:rsid w:val="005C7EF5"/>
    <w:rsid w:val="005D10D7"/>
    <w:rsid w:val="005D2454"/>
    <w:rsid w:val="005D4243"/>
    <w:rsid w:val="005D4A0B"/>
    <w:rsid w:val="005D5A95"/>
    <w:rsid w:val="005D5B9D"/>
    <w:rsid w:val="005D7A20"/>
    <w:rsid w:val="005E0EB7"/>
    <w:rsid w:val="005E2067"/>
    <w:rsid w:val="005E24DB"/>
    <w:rsid w:val="005E5882"/>
    <w:rsid w:val="005E5EC1"/>
    <w:rsid w:val="005E77E7"/>
    <w:rsid w:val="005F02CD"/>
    <w:rsid w:val="005F0A9A"/>
    <w:rsid w:val="005F16FC"/>
    <w:rsid w:val="005F19FC"/>
    <w:rsid w:val="005F1BFE"/>
    <w:rsid w:val="005F20A9"/>
    <w:rsid w:val="005F2A63"/>
    <w:rsid w:val="005F2B5D"/>
    <w:rsid w:val="005F373D"/>
    <w:rsid w:val="005F4755"/>
    <w:rsid w:val="005F4771"/>
    <w:rsid w:val="005F4CC5"/>
    <w:rsid w:val="005F7725"/>
    <w:rsid w:val="005F7ACB"/>
    <w:rsid w:val="00600050"/>
    <w:rsid w:val="00601B16"/>
    <w:rsid w:val="00602BAB"/>
    <w:rsid w:val="00602E2A"/>
    <w:rsid w:val="00603567"/>
    <w:rsid w:val="006042E2"/>
    <w:rsid w:val="00605065"/>
    <w:rsid w:val="00607019"/>
    <w:rsid w:val="00610CDA"/>
    <w:rsid w:val="006132BC"/>
    <w:rsid w:val="006139B6"/>
    <w:rsid w:val="0061427E"/>
    <w:rsid w:val="006165CE"/>
    <w:rsid w:val="00616CFF"/>
    <w:rsid w:val="00616E24"/>
    <w:rsid w:val="00620715"/>
    <w:rsid w:val="00620856"/>
    <w:rsid w:val="006209A6"/>
    <w:rsid w:val="006210DB"/>
    <w:rsid w:val="00621ADF"/>
    <w:rsid w:val="00621C09"/>
    <w:rsid w:val="00621C3B"/>
    <w:rsid w:val="006227AF"/>
    <w:rsid w:val="00622B17"/>
    <w:rsid w:val="00622C30"/>
    <w:rsid w:val="00622E5F"/>
    <w:rsid w:val="00623087"/>
    <w:rsid w:val="006235B1"/>
    <w:rsid w:val="00623767"/>
    <w:rsid w:val="0062526F"/>
    <w:rsid w:val="006268B9"/>
    <w:rsid w:val="00626AEB"/>
    <w:rsid w:val="006275D7"/>
    <w:rsid w:val="00627A51"/>
    <w:rsid w:val="0063013F"/>
    <w:rsid w:val="00630553"/>
    <w:rsid w:val="00630895"/>
    <w:rsid w:val="00631717"/>
    <w:rsid w:val="0063264E"/>
    <w:rsid w:val="006326BA"/>
    <w:rsid w:val="00634047"/>
    <w:rsid w:val="0063537D"/>
    <w:rsid w:val="00635BE7"/>
    <w:rsid w:val="00636751"/>
    <w:rsid w:val="006367D3"/>
    <w:rsid w:val="006405D3"/>
    <w:rsid w:val="00640844"/>
    <w:rsid w:val="0064110D"/>
    <w:rsid w:val="006415A3"/>
    <w:rsid w:val="00642B35"/>
    <w:rsid w:val="00642FAF"/>
    <w:rsid w:val="00643281"/>
    <w:rsid w:val="0064330D"/>
    <w:rsid w:val="006436A6"/>
    <w:rsid w:val="00644BA9"/>
    <w:rsid w:val="00644C33"/>
    <w:rsid w:val="006453E1"/>
    <w:rsid w:val="006479A1"/>
    <w:rsid w:val="00652BDD"/>
    <w:rsid w:val="00653768"/>
    <w:rsid w:val="006539EE"/>
    <w:rsid w:val="0065482C"/>
    <w:rsid w:val="00654A55"/>
    <w:rsid w:val="006551CA"/>
    <w:rsid w:val="00660210"/>
    <w:rsid w:val="00660859"/>
    <w:rsid w:val="00660E8B"/>
    <w:rsid w:val="0066142E"/>
    <w:rsid w:val="00661566"/>
    <w:rsid w:val="00661F19"/>
    <w:rsid w:val="00662060"/>
    <w:rsid w:val="0066241A"/>
    <w:rsid w:val="0066281A"/>
    <w:rsid w:val="006628BB"/>
    <w:rsid w:val="006642E3"/>
    <w:rsid w:val="00664742"/>
    <w:rsid w:val="00664DB1"/>
    <w:rsid w:val="006666E5"/>
    <w:rsid w:val="00666CEB"/>
    <w:rsid w:val="006676FD"/>
    <w:rsid w:val="00667DA6"/>
    <w:rsid w:val="006701AA"/>
    <w:rsid w:val="00670A5C"/>
    <w:rsid w:val="00670D1A"/>
    <w:rsid w:val="006714B1"/>
    <w:rsid w:val="00671B2C"/>
    <w:rsid w:val="00672602"/>
    <w:rsid w:val="00673DF1"/>
    <w:rsid w:val="00674247"/>
    <w:rsid w:val="00674587"/>
    <w:rsid w:val="00674BE8"/>
    <w:rsid w:val="00675202"/>
    <w:rsid w:val="006754A8"/>
    <w:rsid w:val="0067590D"/>
    <w:rsid w:val="00675CFB"/>
    <w:rsid w:val="00675DEC"/>
    <w:rsid w:val="00680EF2"/>
    <w:rsid w:val="006812A7"/>
    <w:rsid w:val="00681CE2"/>
    <w:rsid w:val="00681D45"/>
    <w:rsid w:val="006821B1"/>
    <w:rsid w:val="00682D39"/>
    <w:rsid w:val="00682E68"/>
    <w:rsid w:val="0068396B"/>
    <w:rsid w:val="00683C5F"/>
    <w:rsid w:val="00684862"/>
    <w:rsid w:val="006849DC"/>
    <w:rsid w:val="00685B6D"/>
    <w:rsid w:val="006872BC"/>
    <w:rsid w:val="00690072"/>
    <w:rsid w:val="006903C8"/>
    <w:rsid w:val="00690F2D"/>
    <w:rsid w:val="0069260F"/>
    <w:rsid w:val="00692CCA"/>
    <w:rsid w:val="00693ED3"/>
    <w:rsid w:val="00693F86"/>
    <w:rsid w:val="00694124"/>
    <w:rsid w:val="006949EB"/>
    <w:rsid w:val="00694F86"/>
    <w:rsid w:val="006951B3"/>
    <w:rsid w:val="00695A0E"/>
    <w:rsid w:val="00695C37"/>
    <w:rsid w:val="006970D0"/>
    <w:rsid w:val="006974A8"/>
    <w:rsid w:val="00697531"/>
    <w:rsid w:val="00697D21"/>
    <w:rsid w:val="006A1440"/>
    <w:rsid w:val="006A3211"/>
    <w:rsid w:val="006A4AAE"/>
    <w:rsid w:val="006A6A97"/>
    <w:rsid w:val="006A6EE8"/>
    <w:rsid w:val="006A735F"/>
    <w:rsid w:val="006A754A"/>
    <w:rsid w:val="006A7F9B"/>
    <w:rsid w:val="006B0392"/>
    <w:rsid w:val="006B0915"/>
    <w:rsid w:val="006B25B3"/>
    <w:rsid w:val="006B3535"/>
    <w:rsid w:val="006B46E7"/>
    <w:rsid w:val="006B4F2E"/>
    <w:rsid w:val="006B4FF3"/>
    <w:rsid w:val="006B5CC6"/>
    <w:rsid w:val="006B78DE"/>
    <w:rsid w:val="006C0921"/>
    <w:rsid w:val="006C1B5D"/>
    <w:rsid w:val="006C1E3D"/>
    <w:rsid w:val="006C209B"/>
    <w:rsid w:val="006C280C"/>
    <w:rsid w:val="006C4CDF"/>
    <w:rsid w:val="006C6C5A"/>
    <w:rsid w:val="006C7848"/>
    <w:rsid w:val="006D06D4"/>
    <w:rsid w:val="006D0A3D"/>
    <w:rsid w:val="006D16FA"/>
    <w:rsid w:val="006D1700"/>
    <w:rsid w:val="006D1878"/>
    <w:rsid w:val="006D1BD9"/>
    <w:rsid w:val="006D4693"/>
    <w:rsid w:val="006D46DD"/>
    <w:rsid w:val="006D6192"/>
    <w:rsid w:val="006D6225"/>
    <w:rsid w:val="006D64F3"/>
    <w:rsid w:val="006D71EE"/>
    <w:rsid w:val="006D74D4"/>
    <w:rsid w:val="006D7834"/>
    <w:rsid w:val="006D7C76"/>
    <w:rsid w:val="006E03C5"/>
    <w:rsid w:val="006E04F7"/>
    <w:rsid w:val="006E09A5"/>
    <w:rsid w:val="006E4159"/>
    <w:rsid w:val="006E4565"/>
    <w:rsid w:val="006E6A8D"/>
    <w:rsid w:val="006E707F"/>
    <w:rsid w:val="006E7DFF"/>
    <w:rsid w:val="006F02D2"/>
    <w:rsid w:val="006F07C0"/>
    <w:rsid w:val="006F07C9"/>
    <w:rsid w:val="006F0898"/>
    <w:rsid w:val="006F0C10"/>
    <w:rsid w:val="006F158C"/>
    <w:rsid w:val="006F2155"/>
    <w:rsid w:val="006F35EC"/>
    <w:rsid w:val="006F3F77"/>
    <w:rsid w:val="006F4095"/>
    <w:rsid w:val="006F4341"/>
    <w:rsid w:val="006F60A5"/>
    <w:rsid w:val="006F6FEA"/>
    <w:rsid w:val="00700004"/>
    <w:rsid w:val="007019F9"/>
    <w:rsid w:val="0070267F"/>
    <w:rsid w:val="0070271A"/>
    <w:rsid w:val="007044F6"/>
    <w:rsid w:val="00704F86"/>
    <w:rsid w:val="007057C6"/>
    <w:rsid w:val="007062AA"/>
    <w:rsid w:val="0070647C"/>
    <w:rsid w:val="00706501"/>
    <w:rsid w:val="007068C5"/>
    <w:rsid w:val="00707DAD"/>
    <w:rsid w:val="00707E82"/>
    <w:rsid w:val="00707F05"/>
    <w:rsid w:val="00710EA3"/>
    <w:rsid w:val="0071176C"/>
    <w:rsid w:val="007117E2"/>
    <w:rsid w:val="007119C3"/>
    <w:rsid w:val="00711A64"/>
    <w:rsid w:val="00711D4E"/>
    <w:rsid w:val="0071247F"/>
    <w:rsid w:val="0071274B"/>
    <w:rsid w:val="00712B78"/>
    <w:rsid w:val="00713FB6"/>
    <w:rsid w:val="00714366"/>
    <w:rsid w:val="007147EA"/>
    <w:rsid w:val="00715729"/>
    <w:rsid w:val="00716F5D"/>
    <w:rsid w:val="007178D0"/>
    <w:rsid w:val="00717ABB"/>
    <w:rsid w:val="00717E97"/>
    <w:rsid w:val="00721020"/>
    <w:rsid w:val="00721405"/>
    <w:rsid w:val="007216A1"/>
    <w:rsid w:val="00721A49"/>
    <w:rsid w:val="00721AAB"/>
    <w:rsid w:val="00721D67"/>
    <w:rsid w:val="00722743"/>
    <w:rsid w:val="007232C3"/>
    <w:rsid w:val="00723E95"/>
    <w:rsid w:val="00724F22"/>
    <w:rsid w:val="0072647A"/>
    <w:rsid w:val="00727946"/>
    <w:rsid w:val="007313E8"/>
    <w:rsid w:val="00731A17"/>
    <w:rsid w:val="00732043"/>
    <w:rsid w:val="0073290F"/>
    <w:rsid w:val="00732C0C"/>
    <w:rsid w:val="00732E0C"/>
    <w:rsid w:val="00734316"/>
    <w:rsid w:val="007343E8"/>
    <w:rsid w:val="00734DB8"/>
    <w:rsid w:val="00735668"/>
    <w:rsid w:val="007356BE"/>
    <w:rsid w:val="00736381"/>
    <w:rsid w:val="00736528"/>
    <w:rsid w:val="00741B4C"/>
    <w:rsid w:val="00742257"/>
    <w:rsid w:val="00742432"/>
    <w:rsid w:val="007427D0"/>
    <w:rsid w:val="0074356E"/>
    <w:rsid w:val="00743B94"/>
    <w:rsid w:val="00745807"/>
    <w:rsid w:val="0074601F"/>
    <w:rsid w:val="0074661D"/>
    <w:rsid w:val="0075229E"/>
    <w:rsid w:val="007526B5"/>
    <w:rsid w:val="00752739"/>
    <w:rsid w:val="00752833"/>
    <w:rsid w:val="0075299A"/>
    <w:rsid w:val="007541DE"/>
    <w:rsid w:val="007566AE"/>
    <w:rsid w:val="00756F15"/>
    <w:rsid w:val="00756FDC"/>
    <w:rsid w:val="00757557"/>
    <w:rsid w:val="007577CB"/>
    <w:rsid w:val="00757AB5"/>
    <w:rsid w:val="00764C0F"/>
    <w:rsid w:val="007662BA"/>
    <w:rsid w:val="007666B8"/>
    <w:rsid w:val="00766989"/>
    <w:rsid w:val="00766E87"/>
    <w:rsid w:val="0076756E"/>
    <w:rsid w:val="00771751"/>
    <w:rsid w:val="00772992"/>
    <w:rsid w:val="00773F04"/>
    <w:rsid w:val="00775833"/>
    <w:rsid w:val="0077674A"/>
    <w:rsid w:val="00780134"/>
    <w:rsid w:val="007803B8"/>
    <w:rsid w:val="00781CF4"/>
    <w:rsid w:val="007822CC"/>
    <w:rsid w:val="00782479"/>
    <w:rsid w:val="00782733"/>
    <w:rsid w:val="007827E4"/>
    <w:rsid w:val="00783681"/>
    <w:rsid w:val="007839B2"/>
    <w:rsid w:val="00783C88"/>
    <w:rsid w:val="00784209"/>
    <w:rsid w:val="0078453B"/>
    <w:rsid w:val="007854AA"/>
    <w:rsid w:val="00785697"/>
    <w:rsid w:val="00785B84"/>
    <w:rsid w:val="00786475"/>
    <w:rsid w:val="007867FD"/>
    <w:rsid w:val="007928FC"/>
    <w:rsid w:val="007934C4"/>
    <w:rsid w:val="0079415C"/>
    <w:rsid w:val="00794568"/>
    <w:rsid w:val="007949B0"/>
    <w:rsid w:val="00795BB9"/>
    <w:rsid w:val="00796E0A"/>
    <w:rsid w:val="00797064"/>
    <w:rsid w:val="0079756D"/>
    <w:rsid w:val="007975F0"/>
    <w:rsid w:val="007A0380"/>
    <w:rsid w:val="007A04F3"/>
    <w:rsid w:val="007A0744"/>
    <w:rsid w:val="007A093D"/>
    <w:rsid w:val="007A24DF"/>
    <w:rsid w:val="007A26CB"/>
    <w:rsid w:val="007A278E"/>
    <w:rsid w:val="007A27D2"/>
    <w:rsid w:val="007A2FE5"/>
    <w:rsid w:val="007A3F02"/>
    <w:rsid w:val="007A5057"/>
    <w:rsid w:val="007A60AE"/>
    <w:rsid w:val="007A6365"/>
    <w:rsid w:val="007A695D"/>
    <w:rsid w:val="007A6DD7"/>
    <w:rsid w:val="007B0389"/>
    <w:rsid w:val="007B054B"/>
    <w:rsid w:val="007B11D5"/>
    <w:rsid w:val="007B18F2"/>
    <w:rsid w:val="007B1B55"/>
    <w:rsid w:val="007B249C"/>
    <w:rsid w:val="007B35F9"/>
    <w:rsid w:val="007B38B4"/>
    <w:rsid w:val="007B43D5"/>
    <w:rsid w:val="007B4923"/>
    <w:rsid w:val="007B4C5E"/>
    <w:rsid w:val="007B53ED"/>
    <w:rsid w:val="007B5B11"/>
    <w:rsid w:val="007B6203"/>
    <w:rsid w:val="007B68B5"/>
    <w:rsid w:val="007B6E1F"/>
    <w:rsid w:val="007B6F37"/>
    <w:rsid w:val="007B7D25"/>
    <w:rsid w:val="007B7D9C"/>
    <w:rsid w:val="007C01B4"/>
    <w:rsid w:val="007C10FF"/>
    <w:rsid w:val="007C1492"/>
    <w:rsid w:val="007C1656"/>
    <w:rsid w:val="007C1E16"/>
    <w:rsid w:val="007C3544"/>
    <w:rsid w:val="007C3A0C"/>
    <w:rsid w:val="007C4A4B"/>
    <w:rsid w:val="007C4E99"/>
    <w:rsid w:val="007C57A9"/>
    <w:rsid w:val="007C598C"/>
    <w:rsid w:val="007C6311"/>
    <w:rsid w:val="007C6716"/>
    <w:rsid w:val="007C6F5B"/>
    <w:rsid w:val="007D05BA"/>
    <w:rsid w:val="007D09F0"/>
    <w:rsid w:val="007D0B24"/>
    <w:rsid w:val="007D0C8C"/>
    <w:rsid w:val="007D2ED5"/>
    <w:rsid w:val="007D457D"/>
    <w:rsid w:val="007D46FE"/>
    <w:rsid w:val="007D736D"/>
    <w:rsid w:val="007D7557"/>
    <w:rsid w:val="007D7A61"/>
    <w:rsid w:val="007E014E"/>
    <w:rsid w:val="007E05CE"/>
    <w:rsid w:val="007E0CBB"/>
    <w:rsid w:val="007E15EB"/>
    <w:rsid w:val="007E1F3F"/>
    <w:rsid w:val="007E375D"/>
    <w:rsid w:val="007E573D"/>
    <w:rsid w:val="007E6223"/>
    <w:rsid w:val="007E68F0"/>
    <w:rsid w:val="007E7161"/>
    <w:rsid w:val="007E7709"/>
    <w:rsid w:val="007E7EE8"/>
    <w:rsid w:val="007F043A"/>
    <w:rsid w:val="007F0D58"/>
    <w:rsid w:val="007F0EF6"/>
    <w:rsid w:val="007F1C6A"/>
    <w:rsid w:val="007F21E4"/>
    <w:rsid w:val="007F2CBE"/>
    <w:rsid w:val="007F2DAE"/>
    <w:rsid w:val="007F2E20"/>
    <w:rsid w:val="007F2F2B"/>
    <w:rsid w:val="007F4000"/>
    <w:rsid w:val="007F5F8E"/>
    <w:rsid w:val="007F62D2"/>
    <w:rsid w:val="007F65A1"/>
    <w:rsid w:val="007F6ECA"/>
    <w:rsid w:val="007F7393"/>
    <w:rsid w:val="007F7757"/>
    <w:rsid w:val="007F7EED"/>
    <w:rsid w:val="00800135"/>
    <w:rsid w:val="0080096B"/>
    <w:rsid w:val="00803275"/>
    <w:rsid w:val="0080363F"/>
    <w:rsid w:val="00804C43"/>
    <w:rsid w:val="00804DD5"/>
    <w:rsid w:val="008053CA"/>
    <w:rsid w:val="00805E5C"/>
    <w:rsid w:val="00810567"/>
    <w:rsid w:val="008123B5"/>
    <w:rsid w:val="0081250B"/>
    <w:rsid w:val="00812E7E"/>
    <w:rsid w:val="008136A7"/>
    <w:rsid w:val="00813A1E"/>
    <w:rsid w:val="00815246"/>
    <w:rsid w:val="00815967"/>
    <w:rsid w:val="008207F5"/>
    <w:rsid w:val="00820A52"/>
    <w:rsid w:val="0082198C"/>
    <w:rsid w:val="00823425"/>
    <w:rsid w:val="0082638E"/>
    <w:rsid w:val="008263EC"/>
    <w:rsid w:val="00826E79"/>
    <w:rsid w:val="008306D0"/>
    <w:rsid w:val="00830916"/>
    <w:rsid w:val="0083434A"/>
    <w:rsid w:val="0083525B"/>
    <w:rsid w:val="00835A59"/>
    <w:rsid w:val="0083631E"/>
    <w:rsid w:val="008368D9"/>
    <w:rsid w:val="00837645"/>
    <w:rsid w:val="00840B8D"/>
    <w:rsid w:val="00840E60"/>
    <w:rsid w:val="00841524"/>
    <w:rsid w:val="008435B1"/>
    <w:rsid w:val="0084525A"/>
    <w:rsid w:val="00845D2C"/>
    <w:rsid w:val="00845E1E"/>
    <w:rsid w:val="00846624"/>
    <w:rsid w:val="00846801"/>
    <w:rsid w:val="00846AA3"/>
    <w:rsid w:val="00847341"/>
    <w:rsid w:val="00850323"/>
    <w:rsid w:val="0085071F"/>
    <w:rsid w:val="00850A70"/>
    <w:rsid w:val="00850B01"/>
    <w:rsid w:val="00851C7E"/>
    <w:rsid w:val="00851F48"/>
    <w:rsid w:val="00853504"/>
    <w:rsid w:val="00853879"/>
    <w:rsid w:val="00854767"/>
    <w:rsid w:val="00857914"/>
    <w:rsid w:val="008611F8"/>
    <w:rsid w:val="008611FC"/>
    <w:rsid w:val="0086135B"/>
    <w:rsid w:val="00863CB1"/>
    <w:rsid w:val="00864142"/>
    <w:rsid w:val="00864264"/>
    <w:rsid w:val="00864B29"/>
    <w:rsid w:val="00865EAC"/>
    <w:rsid w:val="0086708C"/>
    <w:rsid w:val="00870E8B"/>
    <w:rsid w:val="008712A4"/>
    <w:rsid w:val="00871B38"/>
    <w:rsid w:val="00871C91"/>
    <w:rsid w:val="0087288F"/>
    <w:rsid w:val="00875327"/>
    <w:rsid w:val="00875402"/>
    <w:rsid w:val="008764E8"/>
    <w:rsid w:val="00876522"/>
    <w:rsid w:val="00876EA5"/>
    <w:rsid w:val="008800B6"/>
    <w:rsid w:val="0088076E"/>
    <w:rsid w:val="00880F41"/>
    <w:rsid w:val="008811EC"/>
    <w:rsid w:val="0088290C"/>
    <w:rsid w:val="008837CA"/>
    <w:rsid w:val="00883E2B"/>
    <w:rsid w:val="00884515"/>
    <w:rsid w:val="008849DA"/>
    <w:rsid w:val="00884E5A"/>
    <w:rsid w:val="008850D2"/>
    <w:rsid w:val="00885ACF"/>
    <w:rsid w:val="00886DBD"/>
    <w:rsid w:val="0088732C"/>
    <w:rsid w:val="0088796D"/>
    <w:rsid w:val="00891B7E"/>
    <w:rsid w:val="00892D67"/>
    <w:rsid w:val="00892F0A"/>
    <w:rsid w:val="00893336"/>
    <w:rsid w:val="00895241"/>
    <w:rsid w:val="00897CBB"/>
    <w:rsid w:val="008A0955"/>
    <w:rsid w:val="008A1F0C"/>
    <w:rsid w:val="008A20F0"/>
    <w:rsid w:val="008A2620"/>
    <w:rsid w:val="008A2A87"/>
    <w:rsid w:val="008A3060"/>
    <w:rsid w:val="008A3700"/>
    <w:rsid w:val="008A426C"/>
    <w:rsid w:val="008A48B4"/>
    <w:rsid w:val="008A4D8D"/>
    <w:rsid w:val="008A5AA6"/>
    <w:rsid w:val="008A6BE4"/>
    <w:rsid w:val="008A7385"/>
    <w:rsid w:val="008A7FEC"/>
    <w:rsid w:val="008B15A2"/>
    <w:rsid w:val="008B2288"/>
    <w:rsid w:val="008B2400"/>
    <w:rsid w:val="008B249D"/>
    <w:rsid w:val="008B2E3B"/>
    <w:rsid w:val="008B46F3"/>
    <w:rsid w:val="008B4EC7"/>
    <w:rsid w:val="008B5AB2"/>
    <w:rsid w:val="008B608B"/>
    <w:rsid w:val="008B6B1C"/>
    <w:rsid w:val="008B7619"/>
    <w:rsid w:val="008C0065"/>
    <w:rsid w:val="008C0143"/>
    <w:rsid w:val="008C13F9"/>
    <w:rsid w:val="008C2490"/>
    <w:rsid w:val="008C3556"/>
    <w:rsid w:val="008C3ECF"/>
    <w:rsid w:val="008C59AA"/>
    <w:rsid w:val="008C59D2"/>
    <w:rsid w:val="008C6C50"/>
    <w:rsid w:val="008D0657"/>
    <w:rsid w:val="008D0826"/>
    <w:rsid w:val="008D1BE3"/>
    <w:rsid w:val="008D21D3"/>
    <w:rsid w:val="008D2622"/>
    <w:rsid w:val="008D44D2"/>
    <w:rsid w:val="008D4B3F"/>
    <w:rsid w:val="008D4EC1"/>
    <w:rsid w:val="008D5EFA"/>
    <w:rsid w:val="008D61EF"/>
    <w:rsid w:val="008D6F46"/>
    <w:rsid w:val="008D79CE"/>
    <w:rsid w:val="008E07A8"/>
    <w:rsid w:val="008E0C9C"/>
    <w:rsid w:val="008E0D9C"/>
    <w:rsid w:val="008E1136"/>
    <w:rsid w:val="008E40EC"/>
    <w:rsid w:val="008E4977"/>
    <w:rsid w:val="008E4C0E"/>
    <w:rsid w:val="008E4D94"/>
    <w:rsid w:val="008E5132"/>
    <w:rsid w:val="008E5423"/>
    <w:rsid w:val="008E5680"/>
    <w:rsid w:val="008E64E5"/>
    <w:rsid w:val="008E6B36"/>
    <w:rsid w:val="008E6C95"/>
    <w:rsid w:val="008E7278"/>
    <w:rsid w:val="008E78AC"/>
    <w:rsid w:val="008F0349"/>
    <w:rsid w:val="008F11FA"/>
    <w:rsid w:val="008F2B65"/>
    <w:rsid w:val="008F46D1"/>
    <w:rsid w:val="008F4765"/>
    <w:rsid w:val="008F4824"/>
    <w:rsid w:val="008F5049"/>
    <w:rsid w:val="008F540E"/>
    <w:rsid w:val="008F5465"/>
    <w:rsid w:val="008F5AA6"/>
    <w:rsid w:val="008F6295"/>
    <w:rsid w:val="008F64BE"/>
    <w:rsid w:val="008F682E"/>
    <w:rsid w:val="008F6B00"/>
    <w:rsid w:val="008F76D6"/>
    <w:rsid w:val="008F7EE1"/>
    <w:rsid w:val="009008FF"/>
    <w:rsid w:val="00900CCA"/>
    <w:rsid w:val="00901785"/>
    <w:rsid w:val="00901CE2"/>
    <w:rsid w:val="00902329"/>
    <w:rsid w:val="009025A5"/>
    <w:rsid w:val="009032F0"/>
    <w:rsid w:val="00903403"/>
    <w:rsid w:val="00903980"/>
    <w:rsid w:val="00903BB4"/>
    <w:rsid w:val="00904526"/>
    <w:rsid w:val="00904EE6"/>
    <w:rsid w:val="009076E9"/>
    <w:rsid w:val="00910013"/>
    <w:rsid w:val="009105B3"/>
    <w:rsid w:val="00912223"/>
    <w:rsid w:val="00912D28"/>
    <w:rsid w:val="009138CC"/>
    <w:rsid w:val="00913929"/>
    <w:rsid w:val="00913D63"/>
    <w:rsid w:val="00915129"/>
    <w:rsid w:val="00915F6C"/>
    <w:rsid w:val="00916535"/>
    <w:rsid w:val="00920226"/>
    <w:rsid w:val="00921793"/>
    <w:rsid w:val="00921AB0"/>
    <w:rsid w:val="009220E0"/>
    <w:rsid w:val="00922D6C"/>
    <w:rsid w:val="00923014"/>
    <w:rsid w:val="00925324"/>
    <w:rsid w:val="00926213"/>
    <w:rsid w:val="009264EA"/>
    <w:rsid w:val="00926C78"/>
    <w:rsid w:val="00926D7B"/>
    <w:rsid w:val="00927CCC"/>
    <w:rsid w:val="009300E5"/>
    <w:rsid w:val="00930781"/>
    <w:rsid w:val="00930D1D"/>
    <w:rsid w:val="00931203"/>
    <w:rsid w:val="00931426"/>
    <w:rsid w:val="00931BB3"/>
    <w:rsid w:val="00931FFF"/>
    <w:rsid w:val="0093296E"/>
    <w:rsid w:val="00933C74"/>
    <w:rsid w:val="0093493F"/>
    <w:rsid w:val="00934DB0"/>
    <w:rsid w:val="00935A6B"/>
    <w:rsid w:val="0093674A"/>
    <w:rsid w:val="00936A1D"/>
    <w:rsid w:val="009371AF"/>
    <w:rsid w:val="00937EB0"/>
    <w:rsid w:val="00940234"/>
    <w:rsid w:val="00940BFE"/>
    <w:rsid w:val="00940F6C"/>
    <w:rsid w:val="00941F66"/>
    <w:rsid w:val="0094301A"/>
    <w:rsid w:val="00943247"/>
    <w:rsid w:val="00943819"/>
    <w:rsid w:val="009441C6"/>
    <w:rsid w:val="00944C5B"/>
    <w:rsid w:val="009463DF"/>
    <w:rsid w:val="00947DE4"/>
    <w:rsid w:val="00950473"/>
    <w:rsid w:val="009507A1"/>
    <w:rsid w:val="009509FB"/>
    <w:rsid w:val="00950A6A"/>
    <w:rsid w:val="00950D8F"/>
    <w:rsid w:val="00950E1C"/>
    <w:rsid w:val="00950FAF"/>
    <w:rsid w:val="009531E1"/>
    <w:rsid w:val="009534EA"/>
    <w:rsid w:val="00954C09"/>
    <w:rsid w:val="0095634D"/>
    <w:rsid w:val="009618D6"/>
    <w:rsid w:val="00961FED"/>
    <w:rsid w:val="00963ABC"/>
    <w:rsid w:val="0096513A"/>
    <w:rsid w:val="0096581B"/>
    <w:rsid w:val="00965C2F"/>
    <w:rsid w:val="00966F26"/>
    <w:rsid w:val="00967642"/>
    <w:rsid w:val="009709DB"/>
    <w:rsid w:val="00970C3F"/>
    <w:rsid w:val="0097239D"/>
    <w:rsid w:val="00972B81"/>
    <w:rsid w:val="00973838"/>
    <w:rsid w:val="00973B2E"/>
    <w:rsid w:val="00975B92"/>
    <w:rsid w:val="0097600D"/>
    <w:rsid w:val="00977200"/>
    <w:rsid w:val="00977601"/>
    <w:rsid w:val="00981331"/>
    <w:rsid w:val="00981E11"/>
    <w:rsid w:val="00983C71"/>
    <w:rsid w:val="00985BF5"/>
    <w:rsid w:val="00985EAF"/>
    <w:rsid w:val="00985F2A"/>
    <w:rsid w:val="00986488"/>
    <w:rsid w:val="00987085"/>
    <w:rsid w:val="009871BB"/>
    <w:rsid w:val="0098737B"/>
    <w:rsid w:val="0098788F"/>
    <w:rsid w:val="00987BCB"/>
    <w:rsid w:val="00987E51"/>
    <w:rsid w:val="0099229D"/>
    <w:rsid w:val="00992BA9"/>
    <w:rsid w:val="0099307F"/>
    <w:rsid w:val="009930F8"/>
    <w:rsid w:val="00996272"/>
    <w:rsid w:val="0099641D"/>
    <w:rsid w:val="00997A1D"/>
    <w:rsid w:val="00997F4F"/>
    <w:rsid w:val="009A0403"/>
    <w:rsid w:val="009A0802"/>
    <w:rsid w:val="009A11B0"/>
    <w:rsid w:val="009A1E6E"/>
    <w:rsid w:val="009A2381"/>
    <w:rsid w:val="009A2C1C"/>
    <w:rsid w:val="009A460F"/>
    <w:rsid w:val="009A4D68"/>
    <w:rsid w:val="009A5259"/>
    <w:rsid w:val="009A5632"/>
    <w:rsid w:val="009A5B2B"/>
    <w:rsid w:val="009A7E80"/>
    <w:rsid w:val="009B1136"/>
    <w:rsid w:val="009B1171"/>
    <w:rsid w:val="009B1697"/>
    <w:rsid w:val="009B28A9"/>
    <w:rsid w:val="009B3BBF"/>
    <w:rsid w:val="009B48B1"/>
    <w:rsid w:val="009B4CDA"/>
    <w:rsid w:val="009B4CE1"/>
    <w:rsid w:val="009B4DFF"/>
    <w:rsid w:val="009B5547"/>
    <w:rsid w:val="009B579A"/>
    <w:rsid w:val="009B58B4"/>
    <w:rsid w:val="009B61CB"/>
    <w:rsid w:val="009B68A9"/>
    <w:rsid w:val="009B6A62"/>
    <w:rsid w:val="009B6ED3"/>
    <w:rsid w:val="009B7372"/>
    <w:rsid w:val="009B7CC9"/>
    <w:rsid w:val="009C0FBD"/>
    <w:rsid w:val="009C0FD2"/>
    <w:rsid w:val="009C1853"/>
    <w:rsid w:val="009C1D8A"/>
    <w:rsid w:val="009C424A"/>
    <w:rsid w:val="009C55BB"/>
    <w:rsid w:val="009C6360"/>
    <w:rsid w:val="009C7DDF"/>
    <w:rsid w:val="009D003F"/>
    <w:rsid w:val="009D0C51"/>
    <w:rsid w:val="009D158D"/>
    <w:rsid w:val="009D18BC"/>
    <w:rsid w:val="009D19AB"/>
    <w:rsid w:val="009D25F6"/>
    <w:rsid w:val="009D26A9"/>
    <w:rsid w:val="009D2920"/>
    <w:rsid w:val="009D4F92"/>
    <w:rsid w:val="009D5FDC"/>
    <w:rsid w:val="009D6F43"/>
    <w:rsid w:val="009D77E5"/>
    <w:rsid w:val="009E0BF6"/>
    <w:rsid w:val="009E1327"/>
    <w:rsid w:val="009E160B"/>
    <w:rsid w:val="009E17A0"/>
    <w:rsid w:val="009E17A6"/>
    <w:rsid w:val="009E47DC"/>
    <w:rsid w:val="009E5653"/>
    <w:rsid w:val="009E5CA2"/>
    <w:rsid w:val="009F0071"/>
    <w:rsid w:val="009F040E"/>
    <w:rsid w:val="009F074A"/>
    <w:rsid w:val="009F23A2"/>
    <w:rsid w:val="009F54C8"/>
    <w:rsid w:val="009F5A6C"/>
    <w:rsid w:val="009F6703"/>
    <w:rsid w:val="00A00432"/>
    <w:rsid w:val="00A01555"/>
    <w:rsid w:val="00A0342D"/>
    <w:rsid w:val="00A037E9"/>
    <w:rsid w:val="00A03B86"/>
    <w:rsid w:val="00A03C20"/>
    <w:rsid w:val="00A03FBD"/>
    <w:rsid w:val="00A0451F"/>
    <w:rsid w:val="00A046D7"/>
    <w:rsid w:val="00A04A61"/>
    <w:rsid w:val="00A04A66"/>
    <w:rsid w:val="00A051BE"/>
    <w:rsid w:val="00A064F5"/>
    <w:rsid w:val="00A06A58"/>
    <w:rsid w:val="00A06A5B"/>
    <w:rsid w:val="00A06C7F"/>
    <w:rsid w:val="00A10AF7"/>
    <w:rsid w:val="00A11DCD"/>
    <w:rsid w:val="00A126B8"/>
    <w:rsid w:val="00A1275C"/>
    <w:rsid w:val="00A13B79"/>
    <w:rsid w:val="00A14E37"/>
    <w:rsid w:val="00A15F2C"/>
    <w:rsid w:val="00A1657F"/>
    <w:rsid w:val="00A20151"/>
    <w:rsid w:val="00A24577"/>
    <w:rsid w:val="00A24734"/>
    <w:rsid w:val="00A2491B"/>
    <w:rsid w:val="00A24A18"/>
    <w:rsid w:val="00A25897"/>
    <w:rsid w:val="00A264A2"/>
    <w:rsid w:val="00A26A5E"/>
    <w:rsid w:val="00A27276"/>
    <w:rsid w:val="00A30657"/>
    <w:rsid w:val="00A30717"/>
    <w:rsid w:val="00A31733"/>
    <w:rsid w:val="00A3299A"/>
    <w:rsid w:val="00A32D6C"/>
    <w:rsid w:val="00A3318B"/>
    <w:rsid w:val="00A3378B"/>
    <w:rsid w:val="00A35001"/>
    <w:rsid w:val="00A35714"/>
    <w:rsid w:val="00A359EF"/>
    <w:rsid w:val="00A4017F"/>
    <w:rsid w:val="00A40B76"/>
    <w:rsid w:val="00A4332C"/>
    <w:rsid w:val="00A4555D"/>
    <w:rsid w:val="00A47989"/>
    <w:rsid w:val="00A51DEE"/>
    <w:rsid w:val="00A52A33"/>
    <w:rsid w:val="00A53966"/>
    <w:rsid w:val="00A54112"/>
    <w:rsid w:val="00A54463"/>
    <w:rsid w:val="00A54C79"/>
    <w:rsid w:val="00A55090"/>
    <w:rsid w:val="00A5529D"/>
    <w:rsid w:val="00A554CA"/>
    <w:rsid w:val="00A5558F"/>
    <w:rsid w:val="00A555D7"/>
    <w:rsid w:val="00A55B70"/>
    <w:rsid w:val="00A56486"/>
    <w:rsid w:val="00A5654D"/>
    <w:rsid w:val="00A56618"/>
    <w:rsid w:val="00A56A64"/>
    <w:rsid w:val="00A60DD3"/>
    <w:rsid w:val="00A611B4"/>
    <w:rsid w:val="00A621FA"/>
    <w:rsid w:val="00A62850"/>
    <w:rsid w:val="00A62B1B"/>
    <w:rsid w:val="00A64093"/>
    <w:rsid w:val="00A644E7"/>
    <w:rsid w:val="00A65604"/>
    <w:rsid w:val="00A66499"/>
    <w:rsid w:val="00A666D2"/>
    <w:rsid w:val="00A667BB"/>
    <w:rsid w:val="00A6684C"/>
    <w:rsid w:val="00A67D88"/>
    <w:rsid w:val="00A70B7A"/>
    <w:rsid w:val="00A72804"/>
    <w:rsid w:val="00A728F4"/>
    <w:rsid w:val="00A72969"/>
    <w:rsid w:val="00A73BB8"/>
    <w:rsid w:val="00A73E88"/>
    <w:rsid w:val="00A73F70"/>
    <w:rsid w:val="00A74B19"/>
    <w:rsid w:val="00A75012"/>
    <w:rsid w:val="00A75429"/>
    <w:rsid w:val="00A760F6"/>
    <w:rsid w:val="00A76CB6"/>
    <w:rsid w:val="00A76DBD"/>
    <w:rsid w:val="00A77FEB"/>
    <w:rsid w:val="00A80837"/>
    <w:rsid w:val="00A80B84"/>
    <w:rsid w:val="00A82FA8"/>
    <w:rsid w:val="00A83509"/>
    <w:rsid w:val="00A8484D"/>
    <w:rsid w:val="00A84D44"/>
    <w:rsid w:val="00A861B4"/>
    <w:rsid w:val="00A86CC8"/>
    <w:rsid w:val="00A86E8E"/>
    <w:rsid w:val="00A87509"/>
    <w:rsid w:val="00A8770F"/>
    <w:rsid w:val="00A879D9"/>
    <w:rsid w:val="00A90619"/>
    <w:rsid w:val="00A90AD0"/>
    <w:rsid w:val="00A9183A"/>
    <w:rsid w:val="00A91B33"/>
    <w:rsid w:val="00A92090"/>
    <w:rsid w:val="00A933EB"/>
    <w:rsid w:val="00A93B89"/>
    <w:rsid w:val="00A948CB"/>
    <w:rsid w:val="00A94B1D"/>
    <w:rsid w:val="00A9511E"/>
    <w:rsid w:val="00A95FF7"/>
    <w:rsid w:val="00A963E2"/>
    <w:rsid w:val="00A96478"/>
    <w:rsid w:val="00A96938"/>
    <w:rsid w:val="00A96DBC"/>
    <w:rsid w:val="00AA0A3E"/>
    <w:rsid w:val="00AA138B"/>
    <w:rsid w:val="00AA223F"/>
    <w:rsid w:val="00AA2388"/>
    <w:rsid w:val="00AA30DF"/>
    <w:rsid w:val="00AA4730"/>
    <w:rsid w:val="00AA61CF"/>
    <w:rsid w:val="00AA6380"/>
    <w:rsid w:val="00AA6976"/>
    <w:rsid w:val="00AA7F58"/>
    <w:rsid w:val="00AB0256"/>
    <w:rsid w:val="00AB118E"/>
    <w:rsid w:val="00AB2303"/>
    <w:rsid w:val="00AB35FB"/>
    <w:rsid w:val="00AB495E"/>
    <w:rsid w:val="00AB5A53"/>
    <w:rsid w:val="00AB5BE2"/>
    <w:rsid w:val="00AB6E0C"/>
    <w:rsid w:val="00AB70AC"/>
    <w:rsid w:val="00AB7B37"/>
    <w:rsid w:val="00AC2318"/>
    <w:rsid w:val="00AC2BD7"/>
    <w:rsid w:val="00AC3051"/>
    <w:rsid w:val="00AC35D7"/>
    <w:rsid w:val="00AC36CB"/>
    <w:rsid w:val="00AC448B"/>
    <w:rsid w:val="00AC4638"/>
    <w:rsid w:val="00AC519B"/>
    <w:rsid w:val="00AC6D80"/>
    <w:rsid w:val="00AC7951"/>
    <w:rsid w:val="00AC7E5B"/>
    <w:rsid w:val="00AD0843"/>
    <w:rsid w:val="00AD3518"/>
    <w:rsid w:val="00AD3582"/>
    <w:rsid w:val="00AD4A8A"/>
    <w:rsid w:val="00AD5295"/>
    <w:rsid w:val="00AD6538"/>
    <w:rsid w:val="00AD711A"/>
    <w:rsid w:val="00AE0205"/>
    <w:rsid w:val="00AE0676"/>
    <w:rsid w:val="00AE0C4E"/>
    <w:rsid w:val="00AE0D6D"/>
    <w:rsid w:val="00AE13A2"/>
    <w:rsid w:val="00AE2785"/>
    <w:rsid w:val="00AE335B"/>
    <w:rsid w:val="00AE349E"/>
    <w:rsid w:val="00AE34D9"/>
    <w:rsid w:val="00AE38BE"/>
    <w:rsid w:val="00AE4FEF"/>
    <w:rsid w:val="00AE524E"/>
    <w:rsid w:val="00AE590B"/>
    <w:rsid w:val="00AE6772"/>
    <w:rsid w:val="00AE7B04"/>
    <w:rsid w:val="00AF097A"/>
    <w:rsid w:val="00AF14C0"/>
    <w:rsid w:val="00AF1FE3"/>
    <w:rsid w:val="00AF24DF"/>
    <w:rsid w:val="00AF2CB0"/>
    <w:rsid w:val="00AF4173"/>
    <w:rsid w:val="00AF449C"/>
    <w:rsid w:val="00AF46D9"/>
    <w:rsid w:val="00AF47C0"/>
    <w:rsid w:val="00AF577E"/>
    <w:rsid w:val="00AF5C80"/>
    <w:rsid w:val="00AF6A07"/>
    <w:rsid w:val="00AF73ED"/>
    <w:rsid w:val="00B00950"/>
    <w:rsid w:val="00B024B4"/>
    <w:rsid w:val="00B02715"/>
    <w:rsid w:val="00B02B15"/>
    <w:rsid w:val="00B03621"/>
    <w:rsid w:val="00B03A13"/>
    <w:rsid w:val="00B03DC3"/>
    <w:rsid w:val="00B03E59"/>
    <w:rsid w:val="00B04A1C"/>
    <w:rsid w:val="00B05B61"/>
    <w:rsid w:val="00B060ED"/>
    <w:rsid w:val="00B06254"/>
    <w:rsid w:val="00B06CA2"/>
    <w:rsid w:val="00B10036"/>
    <w:rsid w:val="00B10CD9"/>
    <w:rsid w:val="00B11CF2"/>
    <w:rsid w:val="00B12469"/>
    <w:rsid w:val="00B14EC4"/>
    <w:rsid w:val="00B16300"/>
    <w:rsid w:val="00B16CA6"/>
    <w:rsid w:val="00B1721E"/>
    <w:rsid w:val="00B21454"/>
    <w:rsid w:val="00B23314"/>
    <w:rsid w:val="00B23FB5"/>
    <w:rsid w:val="00B242C6"/>
    <w:rsid w:val="00B25286"/>
    <w:rsid w:val="00B2599B"/>
    <w:rsid w:val="00B260C6"/>
    <w:rsid w:val="00B30979"/>
    <w:rsid w:val="00B30CCA"/>
    <w:rsid w:val="00B31225"/>
    <w:rsid w:val="00B31E3F"/>
    <w:rsid w:val="00B32034"/>
    <w:rsid w:val="00B335D6"/>
    <w:rsid w:val="00B337D9"/>
    <w:rsid w:val="00B33FF9"/>
    <w:rsid w:val="00B3520D"/>
    <w:rsid w:val="00B354AD"/>
    <w:rsid w:val="00B3575E"/>
    <w:rsid w:val="00B35FBA"/>
    <w:rsid w:val="00B4111B"/>
    <w:rsid w:val="00B41256"/>
    <w:rsid w:val="00B41FA5"/>
    <w:rsid w:val="00B42C4F"/>
    <w:rsid w:val="00B4363D"/>
    <w:rsid w:val="00B43925"/>
    <w:rsid w:val="00B43D64"/>
    <w:rsid w:val="00B43F21"/>
    <w:rsid w:val="00B44584"/>
    <w:rsid w:val="00B44E65"/>
    <w:rsid w:val="00B44FEF"/>
    <w:rsid w:val="00B45C84"/>
    <w:rsid w:val="00B45D65"/>
    <w:rsid w:val="00B470F7"/>
    <w:rsid w:val="00B4717A"/>
    <w:rsid w:val="00B47B6F"/>
    <w:rsid w:val="00B502B8"/>
    <w:rsid w:val="00B50682"/>
    <w:rsid w:val="00B50E0D"/>
    <w:rsid w:val="00B51B40"/>
    <w:rsid w:val="00B52A04"/>
    <w:rsid w:val="00B532E3"/>
    <w:rsid w:val="00B54721"/>
    <w:rsid w:val="00B554F1"/>
    <w:rsid w:val="00B566A1"/>
    <w:rsid w:val="00B5679D"/>
    <w:rsid w:val="00B56CED"/>
    <w:rsid w:val="00B57EA0"/>
    <w:rsid w:val="00B6095F"/>
    <w:rsid w:val="00B6235A"/>
    <w:rsid w:val="00B6290C"/>
    <w:rsid w:val="00B629A3"/>
    <w:rsid w:val="00B62DBF"/>
    <w:rsid w:val="00B6319B"/>
    <w:rsid w:val="00B63E8B"/>
    <w:rsid w:val="00B7091B"/>
    <w:rsid w:val="00B7153E"/>
    <w:rsid w:val="00B71829"/>
    <w:rsid w:val="00B71D1D"/>
    <w:rsid w:val="00B724DC"/>
    <w:rsid w:val="00B7375A"/>
    <w:rsid w:val="00B73C15"/>
    <w:rsid w:val="00B74D63"/>
    <w:rsid w:val="00B75370"/>
    <w:rsid w:val="00B75399"/>
    <w:rsid w:val="00B757F1"/>
    <w:rsid w:val="00B7624D"/>
    <w:rsid w:val="00B76370"/>
    <w:rsid w:val="00B766A3"/>
    <w:rsid w:val="00B769BB"/>
    <w:rsid w:val="00B777A3"/>
    <w:rsid w:val="00B77BFA"/>
    <w:rsid w:val="00B80456"/>
    <w:rsid w:val="00B8080F"/>
    <w:rsid w:val="00B818F8"/>
    <w:rsid w:val="00B81F66"/>
    <w:rsid w:val="00B822FB"/>
    <w:rsid w:val="00B828EF"/>
    <w:rsid w:val="00B8320E"/>
    <w:rsid w:val="00B83794"/>
    <w:rsid w:val="00B83B30"/>
    <w:rsid w:val="00B841DF"/>
    <w:rsid w:val="00B84308"/>
    <w:rsid w:val="00B85055"/>
    <w:rsid w:val="00B86787"/>
    <w:rsid w:val="00B86C4C"/>
    <w:rsid w:val="00B86DED"/>
    <w:rsid w:val="00B90391"/>
    <w:rsid w:val="00B9041B"/>
    <w:rsid w:val="00B90E3F"/>
    <w:rsid w:val="00B91372"/>
    <w:rsid w:val="00B91749"/>
    <w:rsid w:val="00B91CA5"/>
    <w:rsid w:val="00B92979"/>
    <w:rsid w:val="00B93D74"/>
    <w:rsid w:val="00B949AF"/>
    <w:rsid w:val="00B96E4A"/>
    <w:rsid w:val="00BA00CE"/>
    <w:rsid w:val="00BA0153"/>
    <w:rsid w:val="00BA0945"/>
    <w:rsid w:val="00BA15BD"/>
    <w:rsid w:val="00BA1BDF"/>
    <w:rsid w:val="00BA211F"/>
    <w:rsid w:val="00BA26E1"/>
    <w:rsid w:val="00BA32AF"/>
    <w:rsid w:val="00BA341A"/>
    <w:rsid w:val="00BA37CB"/>
    <w:rsid w:val="00BA3A02"/>
    <w:rsid w:val="00BA3A51"/>
    <w:rsid w:val="00BA3CA8"/>
    <w:rsid w:val="00BA42E9"/>
    <w:rsid w:val="00BA5012"/>
    <w:rsid w:val="00BA523C"/>
    <w:rsid w:val="00BA67C6"/>
    <w:rsid w:val="00BA7777"/>
    <w:rsid w:val="00BA786E"/>
    <w:rsid w:val="00BA7B0A"/>
    <w:rsid w:val="00BA7BAD"/>
    <w:rsid w:val="00BB0B71"/>
    <w:rsid w:val="00BB10B1"/>
    <w:rsid w:val="00BB3B16"/>
    <w:rsid w:val="00BB3EE7"/>
    <w:rsid w:val="00BB47BE"/>
    <w:rsid w:val="00BB4817"/>
    <w:rsid w:val="00BB5995"/>
    <w:rsid w:val="00BB5ADC"/>
    <w:rsid w:val="00BB5B87"/>
    <w:rsid w:val="00BB6655"/>
    <w:rsid w:val="00BB69C2"/>
    <w:rsid w:val="00BC05DC"/>
    <w:rsid w:val="00BC0B3E"/>
    <w:rsid w:val="00BC21B7"/>
    <w:rsid w:val="00BC29E5"/>
    <w:rsid w:val="00BC2EBF"/>
    <w:rsid w:val="00BC2EF4"/>
    <w:rsid w:val="00BC34AF"/>
    <w:rsid w:val="00BC38DD"/>
    <w:rsid w:val="00BC4556"/>
    <w:rsid w:val="00BC63A8"/>
    <w:rsid w:val="00BC65CB"/>
    <w:rsid w:val="00BC6960"/>
    <w:rsid w:val="00BC77EF"/>
    <w:rsid w:val="00BC79C4"/>
    <w:rsid w:val="00BD03D1"/>
    <w:rsid w:val="00BD0BDF"/>
    <w:rsid w:val="00BD1070"/>
    <w:rsid w:val="00BD3024"/>
    <w:rsid w:val="00BD40FC"/>
    <w:rsid w:val="00BD4112"/>
    <w:rsid w:val="00BD53D3"/>
    <w:rsid w:val="00BD5756"/>
    <w:rsid w:val="00BD5A2B"/>
    <w:rsid w:val="00BD62D9"/>
    <w:rsid w:val="00BD695E"/>
    <w:rsid w:val="00BD751B"/>
    <w:rsid w:val="00BD7539"/>
    <w:rsid w:val="00BE0688"/>
    <w:rsid w:val="00BE1485"/>
    <w:rsid w:val="00BE1DD2"/>
    <w:rsid w:val="00BE2361"/>
    <w:rsid w:val="00BE2E5E"/>
    <w:rsid w:val="00BE31E6"/>
    <w:rsid w:val="00BE3340"/>
    <w:rsid w:val="00BE3E92"/>
    <w:rsid w:val="00BE7259"/>
    <w:rsid w:val="00BF0332"/>
    <w:rsid w:val="00BF216C"/>
    <w:rsid w:val="00BF239F"/>
    <w:rsid w:val="00BF352B"/>
    <w:rsid w:val="00BF3A93"/>
    <w:rsid w:val="00BF547E"/>
    <w:rsid w:val="00BF557D"/>
    <w:rsid w:val="00BF6A4D"/>
    <w:rsid w:val="00BF729E"/>
    <w:rsid w:val="00BF75BD"/>
    <w:rsid w:val="00C00EDD"/>
    <w:rsid w:val="00C02363"/>
    <w:rsid w:val="00C03006"/>
    <w:rsid w:val="00C03518"/>
    <w:rsid w:val="00C03967"/>
    <w:rsid w:val="00C041ED"/>
    <w:rsid w:val="00C04CFC"/>
    <w:rsid w:val="00C0621A"/>
    <w:rsid w:val="00C066D4"/>
    <w:rsid w:val="00C0738F"/>
    <w:rsid w:val="00C07B2B"/>
    <w:rsid w:val="00C07E0E"/>
    <w:rsid w:val="00C10452"/>
    <w:rsid w:val="00C10523"/>
    <w:rsid w:val="00C10882"/>
    <w:rsid w:val="00C10A62"/>
    <w:rsid w:val="00C11880"/>
    <w:rsid w:val="00C122C8"/>
    <w:rsid w:val="00C1256F"/>
    <w:rsid w:val="00C13448"/>
    <w:rsid w:val="00C14379"/>
    <w:rsid w:val="00C14E8B"/>
    <w:rsid w:val="00C14E9A"/>
    <w:rsid w:val="00C15429"/>
    <w:rsid w:val="00C160C0"/>
    <w:rsid w:val="00C16C74"/>
    <w:rsid w:val="00C1712B"/>
    <w:rsid w:val="00C17142"/>
    <w:rsid w:val="00C211C3"/>
    <w:rsid w:val="00C21780"/>
    <w:rsid w:val="00C21C6E"/>
    <w:rsid w:val="00C22042"/>
    <w:rsid w:val="00C225CA"/>
    <w:rsid w:val="00C22E0C"/>
    <w:rsid w:val="00C22E91"/>
    <w:rsid w:val="00C2378C"/>
    <w:rsid w:val="00C240B8"/>
    <w:rsid w:val="00C24464"/>
    <w:rsid w:val="00C247BD"/>
    <w:rsid w:val="00C24A92"/>
    <w:rsid w:val="00C24BE4"/>
    <w:rsid w:val="00C25131"/>
    <w:rsid w:val="00C25199"/>
    <w:rsid w:val="00C25BE7"/>
    <w:rsid w:val="00C260E2"/>
    <w:rsid w:val="00C260F6"/>
    <w:rsid w:val="00C2635D"/>
    <w:rsid w:val="00C26D35"/>
    <w:rsid w:val="00C275FF"/>
    <w:rsid w:val="00C30019"/>
    <w:rsid w:val="00C3039B"/>
    <w:rsid w:val="00C30BF5"/>
    <w:rsid w:val="00C31241"/>
    <w:rsid w:val="00C313C6"/>
    <w:rsid w:val="00C31581"/>
    <w:rsid w:val="00C31A50"/>
    <w:rsid w:val="00C31ECC"/>
    <w:rsid w:val="00C3337F"/>
    <w:rsid w:val="00C33C8A"/>
    <w:rsid w:val="00C352E1"/>
    <w:rsid w:val="00C36550"/>
    <w:rsid w:val="00C36784"/>
    <w:rsid w:val="00C37CB2"/>
    <w:rsid w:val="00C42BB3"/>
    <w:rsid w:val="00C42E84"/>
    <w:rsid w:val="00C435F3"/>
    <w:rsid w:val="00C43B0B"/>
    <w:rsid w:val="00C43E16"/>
    <w:rsid w:val="00C44AD3"/>
    <w:rsid w:val="00C44B6A"/>
    <w:rsid w:val="00C4533E"/>
    <w:rsid w:val="00C45749"/>
    <w:rsid w:val="00C45973"/>
    <w:rsid w:val="00C464D2"/>
    <w:rsid w:val="00C46AAD"/>
    <w:rsid w:val="00C478A4"/>
    <w:rsid w:val="00C47E8E"/>
    <w:rsid w:val="00C50873"/>
    <w:rsid w:val="00C510AC"/>
    <w:rsid w:val="00C51B7F"/>
    <w:rsid w:val="00C51F14"/>
    <w:rsid w:val="00C536B5"/>
    <w:rsid w:val="00C53C46"/>
    <w:rsid w:val="00C54B80"/>
    <w:rsid w:val="00C5516C"/>
    <w:rsid w:val="00C57516"/>
    <w:rsid w:val="00C600EC"/>
    <w:rsid w:val="00C6043B"/>
    <w:rsid w:val="00C63491"/>
    <w:rsid w:val="00C638FE"/>
    <w:rsid w:val="00C63C34"/>
    <w:rsid w:val="00C63DE1"/>
    <w:rsid w:val="00C644DA"/>
    <w:rsid w:val="00C64749"/>
    <w:rsid w:val="00C64F21"/>
    <w:rsid w:val="00C665B0"/>
    <w:rsid w:val="00C66AB5"/>
    <w:rsid w:val="00C672D3"/>
    <w:rsid w:val="00C70754"/>
    <w:rsid w:val="00C70D66"/>
    <w:rsid w:val="00C711AB"/>
    <w:rsid w:val="00C71553"/>
    <w:rsid w:val="00C716B7"/>
    <w:rsid w:val="00C71B9C"/>
    <w:rsid w:val="00C71E5F"/>
    <w:rsid w:val="00C72CE2"/>
    <w:rsid w:val="00C7568B"/>
    <w:rsid w:val="00C7583C"/>
    <w:rsid w:val="00C762C8"/>
    <w:rsid w:val="00C7728E"/>
    <w:rsid w:val="00C776A4"/>
    <w:rsid w:val="00C77749"/>
    <w:rsid w:val="00C77C50"/>
    <w:rsid w:val="00C77EFB"/>
    <w:rsid w:val="00C802E8"/>
    <w:rsid w:val="00C8050D"/>
    <w:rsid w:val="00C80F91"/>
    <w:rsid w:val="00C8144E"/>
    <w:rsid w:val="00C82C3A"/>
    <w:rsid w:val="00C83FF7"/>
    <w:rsid w:val="00C8478F"/>
    <w:rsid w:val="00C84995"/>
    <w:rsid w:val="00C84C79"/>
    <w:rsid w:val="00C84EAE"/>
    <w:rsid w:val="00C855FA"/>
    <w:rsid w:val="00C864E2"/>
    <w:rsid w:val="00C866AC"/>
    <w:rsid w:val="00C86AE9"/>
    <w:rsid w:val="00C87FE0"/>
    <w:rsid w:val="00C90928"/>
    <w:rsid w:val="00C91432"/>
    <w:rsid w:val="00C926D4"/>
    <w:rsid w:val="00C9324E"/>
    <w:rsid w:val="00C940EF"/>
    <w:rsid w:val="00C949F1"/>
    <w:rsid w:val="00C95859"/>
    <w:rsid w:val="00C96064"/>
    <w:rsid w:val="00C9758C"/>
    <w:rsid w:val="00C975C2"/>
    <w:rsid w:val="00C9784F"/>
    <w:rsid w:val="00CA00B1"/>
    <w:rsid w:val="00CA08E5"/>
    <w:rsid w:val="00CA279F"/>
    <w:rsid w:val="00CA29B3"/>
    <w:rsid w:val="00CA2B1C"/>
    <w:rsid w:val="00CA2DDB"/>
    <w:rsid w:val="00CA458B"/>
    <w:rsid w:val="00CA48FE"/>
    <w:rsid w:val="00CA5362"/>
    <w:rsid w:val="00CA579D"/>
    <w:rsid w:val="00CA60AE"/>
    <w:rsid w:val="00CA6C2A"/>
    <w:rsid w:val="00CA76FD"/>
    <w:rsid w:val="00CA7BD5"/>
    <w:rsid w:val="00CA7C3E"/>
    <w:rsid w:val="00CB08DB"/>
    <w:rsid w:val="00CB0A80"/>
    <w:rsid w:val="00CB2BF1"/>
    <w:rsid w:val="00CB48E6"/>
    <w:rsid w:val="00CB48FB"/>
    <w:rsid w:val="00CB5128"/>
    <w:rsid w:val="00CB51E7"/>
    <w:rsid w:val="00CB53B4"/>
    <w:rsid w:val="00CB5A8F"/>
    <w:rsid w:val="00CB5DCD"/>
    <w:rsid w:val="00CB6976"/>
    <w:rsid w:val="00CB69A3"/>
    <w:rsid w:val="00CB7966"/>
    <w:rsid w:val="00CC05C0"/>
    <w:rsid w:val="00CC0703"/>
    <w:rsid w:val="00CC077D"/>
    <w:rsid w:val="00CC1FCA"/>
    <w:rsid w:val="00CC268C"/>
    <w:rsid w:val="00CC30EC"/>
    <w:rsid w:val="00CC30F6"/>
    <w:rsid w:val="00CC4D08"/>
    <w:rsid w:val="00CC50D0"/>
    <w:rsid w:val="00CC57F5"/>
    <w:rsid w:val="00CC6BAE"/>
    <w:rsid w:val="00CD0314"/>
    <w:rsid w:val="00CD038D"/>
    <w:rsid w:val="00CD14C6"/>
    <w:rsid w:val="00CD21E5"/>
    <w:rsid w:val="00CD2398"/>
    <w:rsid w:val="00CD4539"/>
    <w:rsid w:val="00CD58A5"/>
    <w:rsid w:val="00CD6EDB"/>
    <w:rsid w:val="00CD75E1"/>
    <w:rsid w:val="00CD7F56"/>
    <w:rsid w:val="00CE075F"/>
    <w:rsid w:val="00CE0A3C"/>
    <w:rsid w:val="00CE1AD9"/>
    <w:rsid w:val="00CE2284"/>
    <w:rsid w:val="00CE2A1B"/>
    <w:rsid w:val="00CE2AE8"/>
    <w:rsid w:val="00CE2BCD"/>
    <w:rsid w:val="00CE2EB9"/>
    <w:rsid w:val="00CE5683"/>
    <w:rsid w:val="00CE5748"/>
    <w:rsid w:val="00CE579E"/>
    <w:rsid w:val="00CE667E"/>
    <w:rsid w:val="00CE7C89"/>
    <w:rsid w:val="00CE7E88"/>
    <w:rsid w:val="00CF0489"/>
    <w:rsid w:val="00CF0C7C"/>
    <w:rsid w:val="00CF1D31"/>
    <w:rsid w:val="00CF4BB0"/>
    <w:rsid w:val="00CF5733"/>
    <w:rsid w:val="00CF5CC3"/>
    <w:rsid w:val="00CF6DB4"/>
    <w:rsid w:val="00CF7BE7"/>
    <w:rsid w:val="00D011C5"/>
    <w:rsid w:val="00D01AF3"/>
    <w:rsid w:val="00D01E14"/>
    <w:rsid w:val="00D03D15"/>
    <w:rsid w:val="00D03DC8"/>
    <w:rsid w:val="00D041B6"/>
    <w:rsid w:val="00D04C2B"/>
    <w:rsid w:val="00D057AD"/>
    <w:rsid w:val="00D05823"/>
    <w:rsid w:val="00D06059"/>
    <w:rsid w:val="00D07FA0"/>
    <w:rsid w:val="00D10984"/>
    <w:rsid w:val="00D10BE2"/>
    <w:rsid w:val="00D10F35"/>
    <w:rsid w:val="00D111B5"/>
    <w:rsid w:val="00D14F69"/>
    <w:rsid w:val="00D153AC"/>
    <w:rsid w:val="00D1566F"/>
    <w:rsid w:val="00D16DD7"/>
    <w:rsid w:val="00D17E61"/>
    <w:rsid w:val="00D20EDE"/>
    <w:rsid w:val="00D21AA3"/>
    <w:rsid w:val="00D230F0"/>
    <w:rsid w:val="00D23C54"/>
    <w:rsid w:val="00D24294"/>
    <w:rsid w:val="00D24D8A"/>
    <w:rsid w:val="00D25853"/>
    <w:rsid w:val="00D2765D"/>
    <w:rsid w:val="00D27945"/>
    <w:rsid w:val="00D30682"/>
    <w:rsid w:val="00D32969"/>
    <w:rsid w:val="00D33FBD"/>
    <w:rsid w:val="00D3466F"/>
    <w:rsid w:val="00D357DE"/>
    <w:rsid w:val="00D362FB"/>
    <w:rsid w:val="00D36A32"/>
    <w:rsid w:val="00D373D9"/>
    <w:rsid w:val="00D40C2D"/>
    <w:rsid w:val="00D41780"/>
    <w:rsid w:val="00D41A23"/>
    <w:rsid w:val="00D426F6"/>
    <w:rsid w:val="00D42FDA"/>
    <w:rsid w:val="00D43B04"/>
    <w:rsid w:val="00D43DFC"/>
    <w:rsid w:val="00D44B58"/>
    <w:rsid w:val="00D45DB0"/>
    <w:rsid w:val="00D4623B"/>
    <w:rsid w:val="00D46A76"/>
    <w:rsid w:val="00D47324"/>
    <w:rsid w:val="00D47676"/>
    <w:rsid w:val="00D47851"/>
    <w:rsid w:val="00D478A8"/>
    <w:rsid w:val="00D47AB6"/>
    <w:rsid w:val="00D50567"/>
    <w:rsid w:val="00D51F84"/>
    <w:rsid w:val="00D5312F"/>
    <w:rsid w:val="00D534CB"/>
    <w:rsid w:val="00D53E35"/>
    <w:rsid w:val="00D54D82"/>
    <w:rsid w:val="00D55C6A"/>
    <w:rsid w:val="00D566CD"/>
    <w:rsid w:val="00D56A7C"/>
    <w:rsid w:val="00D56C7F"/>
    <w:rsid w:val="00D56F3F"/>
    <w:rsid w:val="00D571F1"/>
    <w:rsid w:val="00D57906"/>
    <w:rsid w:val="00D6085A"/>
    <w:rsid w:val="00D60F46"/>
    <w:rsid w:val="00D6157B"/>
    <w:rsid w:val="00D6169E"/>
    <w:rsid w:val="00D61D92"/>
    <w:rsid w:val="00D63380"/>
    <w:rsid w:val="00D64C1A"/>
    <w:rsid w:val="00D65899"/>
    <w:rsid w:val="00D70380"/>
    <w:rsid w:val="00D70560"/>
    <w:rsid w:val="00D71777"/>
    <w:rsid w:val="00D728BC"/>
    <w:rsid w:val="00D745AA"/>
    <w:rsid w:val="00D763F8"/>
    <w:rsid w:val="00D76760"/>
    <w:rsid w:val="00D77FC1"/>
    <w:rsid w:val="00D8062D"/>
    <w:rsid w:val="00D80E2B"/>
    <w:rsid w:val="00D812C2"/>
    <w:rsid w:val="00D81809"/>
    <w:rsid w:val="00D81DC7"/>
    <w:rsid w:val="00D8235A"/>
    <w:rsid w:val="00D82AED"/>
    <w:rsid w:val="00D83284"/>
    <w:rsid w:val="00D84166"/>
    <w:rsid w:val="00D85173"/>
    <w:rsid w:val="00D86ACD"/>
    <w:rsid w:val="00D87153"/>
    <w:rsid w:val="00D874EF"/>
    <w:rsid w:val="00D9049E"/>
    <w:rsid w:val="00D90FC0"/>
    <w:rsid w:val="00D923AD"/>
    <w:rsid w:val="00D92619"/>
    <w:rsid w:val="00D9306D"/>
    <w:rsid w:val="00D93B8E"/>
    <w:rsid w:val="00D93DF8"/>
    <w:rsid w:val="00D9409B"/>
    <w:rsid w:val="00D9432E"/>
    <w:rsid w:val="00D94B52"/>
    <w:rsid w:val="00D965B1"/>
    <w:rsid w:val="00D96EE0"/>
    <w:rsid w:val="00DA030D"/>
    <w:rsid w:val="00DA0747"/>
    <w:rsid w:val="00DA087A"/>
    <w:rsid w:val="00DA11A8"/>
    <w:rsid w:val="00DA1260"/>
    <w:rsid w:val="00DA1D53"/>
    <w:rsid w:val="00DA1EA1"/>
    <w:rsid w:val="00DA369C"/>
    <w:rsid w:val="00DA3CB5"/>
    <w:rsid w:val="00DA4715"/>
    <w:rsid w:val="00DA49CB"/>
    <w:rsid w:val="00DA54D2"/>
    <w:rsid w:val="00DA6634"/>
    <w:rsid w:val="00DA77FB"/>
    <w:rsid w:val="00DB0559"/>
    <w:rsid w:val="00DB087B"/>
    <w:rsid w:val="00DB0ADE"/>
    <w:rsid w:val="00DB2E81"/>
    <w:rsid w:val="00DB37D7"/>
    <w:rsid w:val="00DB3D30"/>
    <w:rsid w:val="00DB42CD"/>
    <w:rsid w:val="00DB44F1"/>
    <w:rsid w:val="00DB4C1C"/>
    <w:rsid w:val="00DB588D"/>
    <w:rsid w:val="00DB6556"/>
    <w:rsid w:val="00DB71CD"/>
    <w:rsid w:val="00DB7380"/>
    <w:rsid w:val="00DB7808"/>
    <w:rsid w:val="00DC0798"/>
    <w:rsid w:val="00DC0B99"/>
    <w:rsid w:val="00DC0DB0"/>
    <w:rsid w:val="00DC0E20"/>
    <w:rsid w:val="00DC13BC"/>
    <w:rsid w:val="00DC2616"/>
    <w:rsid w:val="00DC2DD5"/>
    <w:rsid w:val="00DC469E"/>
    <w:rsid w:val="00DC5068"/>
    <w:rsid w:val="00DC557B"/>
    <w:rsid w:val="00DC57CC"/>
    <w:rsid w:val="00DC5DFA"/>
    <w:rsid w:val="00DC5F8B"/>
    <w:rsid w:val="00DC6FDF"/>
    <w:rsid w:val="00DC7A6E"/>
    <w:rsid w:val="00DC7F16"/>
    <w:rsid w:val="00DD0477"/>
    <w:rsid w:val="00DD19D8"/>
    <w:rsid w:val="00DD70F3"/>
    <w:rsid w:val="00DE0A47"/>
    <w:rsid w:val="00DE1F00"/>
    <w:rsid w:val="00DE2990"/>
    <w:rsid w:val="00DE2BD8"/>
    <w:rsid w:val="00DE3012"/>
    <w:rsid w:val="00DE34C7"/>
    <w:rsid w:val="00DE3804"/>
    <w:rsid w:val="00DE3AF7"/>
    <w:rsid w:val="00DE3E65"/>
    <w:rsid w:val="00DE446B"/>
    <w:rsid w:val="00DE4C25"/>
    <w:rsid w:val="00DE5EE1"/>
    <w:rsid w:val="00DE6391"/>
    <w:rsid w:val="00DE6423"/>
    <w:rsid w:val="00DE727D"/>
    <w:rsid w:val="00DE7FD3"/>
    <w:rsid w:val="00DF02D2"/>
    <w:rsid w:val="00DF0472"/>
    <w:rsid w:val="00DF0EDB"/>
    <w:rsid w:val="00DF325A"/>
    <w:rsid w:val="00DF3614"/>
    <w:rsid w:val="00DF44F2"/>
    <w:rsid w:val="00DF4BFE"/>
    <w:rsid w:val="00DF4F4A"/>
    <w:rsid w:val="00DF6A33"/>
    <w:rsid w:val="00E006F5"/>
    <w:rsid w:val="00E01186"/>
    <w:rsid w:val="00E015CB"/>
    <w:rsid w:val="00E018C0"/>
    <w:rsid w:val="00E01E60"/>
    <w:rsid w:val="00E020F8"/>
    <w:rsid w:val="00E02638"/>
    <w:rsid w:val="00E02EAD"/>
    <w:rsid w:val="00E02FD5"/>
    <w:rsid w:val="00E03101"/>
    <w:rsid w:val="00E0318B"/>
    <w:rsid w:val="00E03CA0"/>
    <w:rsid w:val="00E05C4A"/>
    <w:rsid w:val="00E05DCB"/>
    <w:rsid w:val="00E07194"/>
    <w:rsid w:val="00E071D2"/>
    <w:rsid w:val="00E07501"/>
    <w:rsid w:val="00E077D6"/>
    <w:rsid w:val="00E1008F"/>
    <w:rsid w:val="00E10627"/>
    <w:rsid w:val="00E10ADB"/>
    <w:rsid w:val="00E10C23"/>
    <w:rsid w:val="00E11ADF"/>
    <w:rsid w:val="00E125FA"/>
    <w:rsid w:val="00E127EE"/>
    <w:rsid w:val="00E12814"/>
    <w:rsid w:val="00E135FB"/>
    <w:rsid w:val="00E1412C"/>
    <w:rsid w:val="00E14899"/>
    <w:rsid w:val="00E14BEB"/>
    <w:rsid w:val="00E1534B"/>
    <w:rsid w:val="00E15EB0"/>
    <w:rsid w:val="00E1636C"/>
    <w:rsid w:val="00E168E7"/>
    <w:rsid w:val="00E16BAA"/>
    <w:rsid w:val="00E16D0B"/>
    <w:rsid w:val="00E16DF6"/>
    <w:rsid w:val="00E16F22"/>
    <w:rsid w:val="00E1702E"/>
    <w:rsid w:val="00E17327"/>
    <w:rsid w:val="00E17330"/>
    <w:rsid w:val="00E177BC"/>
    <w:rsid w:val="00E17D2D"/>
    <w:rsid w:val="00E208C2"/>
    <w:rsid w:val="00E22197"/>
    <w:rsid w:val="00E222F8"/>
    <w:rsid w:val="00E22ED6"/>
    <w:rsid w:val="00E23613"/>
    <w:rsid w:val="00E262EA"/>
    <w:rsid w:val="00E27EB8"/>
    <w:rsid w:val="00E303FA"/>
    <w:rsid w:val="00E30751"/>
    <w:rsid w:val="00E30AAA"/>
    <w:rsid w:val="00E31491"/>
    <w:rsid w:val="00E31F84"/>
    <w:rsid w:val="00E3412B"/>
    <w:rsid w:val="00E343B7"/>
    <w:rsid w:val="00E34F1F"/>
    <w:rsid w:val="00E35C87"/>
    <w:rsid w:val="00E35D87"/>
    <w:rsid w:val="00E35F80"/>
    <w:rsid w:val="00E402C9"/>
    <w:rsid w:val="00E40369"/>
    <w:rsid w:val="00E403D5"/>
    <w:rsid w:val="00E44F64"/>
    <w:rsid w:val="00E4706B"/>
    <w:rsid w:val="00E5015F"/>
    <w:rsid w:val="00E509EC"/>
    <w:rsid w:val="00E511DC"/>
    <w:rsid w:val="00E51B6C"/>
    <w:rsid w:val="00E529CC"/>
    <w:rsid w:val="00E53FF2"/>
    <w:rsid w:val="00E5439A"/>
    <w:rsid w:val="00E544ED"/>
    <w:rsid w:val="00E551C2"/>
    <w:rsid w:val="00E552D8"/>
    <w:rsid w:val="00E556F9"/>
    <w:rsid w:val="00E55F97"/>
    <w:rsid w:val="00E57416"/>
    <w:rsid w:val="00E601A7"/>
    <w:rsid w:val="00E60E51"/>
    <w:rsid w:val="00E61BA4"/>
    <w:rsid w:val="00E6225B"/>
    <w:rsid w:val="00E633D2"/>
    <w:rsid w:val="00E63810"/>
    <w:rsid w:val="00E64C0C"/>
    <w:rsid w:val="00E65B93"/>
    <w:rsid w:val="00E65D87"/>
    <w:rsid w:val="00E661C9"/>
    <w:rsid w:val="00E7073C"/>
    <w:rsid w:val="00E7211A"/>
    <w:rsid w:val="00E723CC"/>
    <w:rsid w:val="00E744B6"/>
    <w:rsid w:val="00E753C9"/>
    <w:rsid w:val="00E77856"/>
    <w:rsid w:val="00E77AF5"/>
    <w:rsid w:val="00E80A52"/>
    <w:rsid w:val="00E80C1F"/>
    <w:rsid w:val="00E80CEF"/>
    <w:rsid w:val="00E814DA"/>
    <w:rsid w:val="00E81ECD"/>
    <w:rsid w:val="00E83177"/>
    <w:rsid w:val="00E8354E"/>
    <w:rsid w:val="00E84120"/>
    <w:rsid w:val="00E8457D"/>
    <w:rsid w:val="00E84E9D"/>
    <w:rsid w:val="00E8604A"/>
    <w:rsid w:val="00E86FF5"/>
    <w:rsid w:val="00E87276"/>
    <w:rsid w:val="00E875CE"/>
    <w:rsid w:val="00E87E2B"/>
    <w:rsid w:val="00E90E0E"/>
    <w:rsid w:val="00E90F66"/>
    <w:rsid w:val="00E92446"/>
    <w:rsid w:val="00E924FD"/>
    <w:rsid w:val="00E92E39"/>
    <w:rsid w:val="00E93DD0"/>
    <w:rsid w:val="00E94985"/>
    <w:rsid w:val="00E94B84"/>
    <w:rsid w:val="00E94FEB"/>
    <w:rsid w:val="00E95DE3"/>
    <w:rsid w:val="00E95E7F"/>
    <w:rsid w:val="00E96231"/>
    <w:rsid w:val="00E97508"/>
    <w:rsid w:val="00E97B1E"/>
    <w:rsid w:val="00EA2B6C"/>
    <w:rsid w:val="00EA3BF9"/>
    <w:rsid w:val="00EA3EB1"/>
    <w:rsid w:val="00EA3F3F"/>
    <w:rsid w:val="00EA44BC"/>
    <w:rsid w:val="00EA4D74"/>
    <w:rsid w:val="00EA54D5"/>
    <w:rsid w:val="00EA5AE0"/>
    <w:rsid w:val="00EA6554"/>
    <w:rsid w:val="00EA6D8B"/>
    <w:rsid w:val="00EA6F13"/>
    <w:rsid w:val="00EB0CBE"/>
    <w:rsid w:val="00EB197E"/>
    <w:rsid w:val="00EB1ADC"/>
    <w:rsid w:val="00EB1BD9"/>
    <w:rsid w:val="00EB241B"/>
    <w:rsid w:val="00EB24F4"/>
    <w:rsid w:val="00EB2C23"/>
    <w:rsid w:val="00EB3252"/>
    <w:rsid w:val="00EB468C"/>
    <w:rsid w:val="00EB4BF1"/>
    <w:rsid w:val="00EB59A9"/>
    <w:rsid w:val="00EB6D19"/>
    <w:rsid w:val="00EB7777"/>
    <w:rsid w:val="00EB79AE"/>
    <w:rsid w:val="00EC01B9"/>
    <w:rsid w:val="00EC02A9"/>
    <w:rsid w:val="00EC0B18"/>
    <w:rsid w:val="00EC0EC7"/>
    <w:rsid w:val="00EC1534"/>
    <w:rsid w:val="00EC174E"/>
    <w:rsid w:val="00EC3E55"/>
    <w:rsid w:val="00EC5B81"/>
    <w:rsid w:val="00EC6340"/>
    <w:rsid w:val="00EC7149"/>
    <w:rsid w:val="00ED1055"/>
    <w:rsid w:val="00ED24A2"/>
    <w:rsid w:val="00ED2587"/>
    <w:rsid w:val="00ED28E8"/>
    <w:rsid w:val="00ED3F79"/>
    <w:rsid w:val="00ED42B3"/>
    <w:rsid w:val="00ED46B7"/>
    <w:rsid w:val="00ED4B6E"/>
    <w:rsid w:val="00ED5948"/>
    <w:rsid w:val="00ED5BEE"/>
    <w:rsid w:val="00ED5F37"/>
    <w:rsid w:val="00ED6E68"/>
    <w:rsid w:val="00EE0110"/>
    <w:rsid w:val="00EE025C"/>
    <w:rsid w:val="00EE0387"/>
    <w:rsid w:val="00EE0CE5"/>
    <w:rsid w:val="00EE0DC0"/>
    <w:rsid w:val="00EE112E"/>
    <w:rsid w:val="00EE1298"/>
    <w:rsid w:val="00EE1F49"/>
    <w:rsid w:val="00EE2882"/>
    <w:rsid w:val="00EE2AB7"/>
    <w:rsid w:val="00EE2D90"/>
    <w:rsid w:val="00EE2F4D"/>
    <w:rsid w:val="00EE3070"/>
    <w:rsid w:val="00EE3747"/>
    <w:rsid w:val="00EE43BF"/>
    <w:rsid w:val="00EE4DEB"/>
    <w:rsid w:val="00EE5293"/>
    <w:rsid w:val="00EE58F0"/>
    <w:rsid w:val="00EE62D6"/>
    <w:rsid w:val="00EE637F"/>
    <w:rsid w:val="00EE6624"/>
    <w:rsid w:val="00EE6805"/>
    <w:rsid w:val="00EF1E34"/>
    <w:rsid w:val="00EF3449"/>
    <w:rsid w:val="00EF3C6F"/>
    <w:rsid w:val="00EF4AA9"/>
    <w:rsid w:val="00EF5058"/>
    <w:rsid w:val="00EF6494"/>
    <w:rsid w:val="00EF7301"/>
    <w:rsid w:val="00F005EE"/>
    <w:rsid w:val="00F00EDA"/>
    <w:rsid w:val="00F00F50"/>
    <w:rsid w:val="00F026AB"/>
    <w:rsid w:val="00F02EFA"/>
    <w:rsid w:val="00F03CDF"/>
    <w:rsid w:val="00F05611"/>
    <w:rsid w:val="00F057F1"/>
    <w:rsid w:val="00F0723A"/>
    <w:rsid w:val="00F077EE"/>
    <w:rsid w:val="00F07AEF"/>
    <w:rsid w:val="00F07F73"/>
    <w:rsid w:val="00F104F0"/>
    <w:rsid w:val="00F136F0"/>
    <w:rsid w:val="00F148D8"/>
    <w:rsid w:val="00F163BE"/>
    <w:rsid w:val="00F17451"/>
    <w:rsid w:val="00F20271"/>
    <w:rsid w:val="00F205B3"/>
    <w:rsid w:val="00F20756"/>
    <w:rsid w:val="00F20F7D"/>
    <w:rsid w:val="00F21044"/>
    <w:rsid w:val="00F21486"/>
    <w:rsid w:val="00F21AE8"/>
    <w:rsid w:val="00F21BEF"/>
    <w:rsid w:val="00F22BD9"/>
    <w:rsid w:val="00F23452"/>
    <w:rsid w:val="00F23AC1"/>
    <w:rsid w:val="00F242A9"/>
    <w:rsid w:val="00F246D9"/>
    <w:rsid w:val="00F24F93"/>
    <w:rsid w:val="00F24F96"/>
    <w:rsid w:val="00F267F7"/>
    <w:rsid w:val="00F27180"/>
    <w:rsid w:val="00F279A4"/>
    <w:rsid w:val="00F27CA7"/>
    <w:rsid w:val="00F301A5"/>
    <w:rsid w:val="00F30387"/>
    <w:rsid w:val="00F30A3D"/>
    <w:rsid w:val="00F30F71"/>
    <w:rsid w:val="00F3221C"/>
    <w:rsid w:val="00F32A47"/>
    <w:rsid w:val="00F330B2"/>
    <w:rsid w:val="00F333A4"/>
    <w:rsid w:val="00F34141"/>
    <w:rsid w:val="00F34B9F"/>
    <w:rsid w:val="00F34DA9"/>
    <w:rsid w:val="00F353D8"/>
    <w:rsid w:val="00F3603C"/>
    <w:rsid w:val="00F365B9"/>
    <w:rsid w:val="00F406BE"/>
    <w:rsid w:val="00F40BB2"/>
    <w:rsid w:val="00F410F5"/>
    <w:rsid w:val="00F41365"/>
    <w:rsid w:val="00F41748"/>
    <w:rsid w:val="00F43106"/>
    <w:rsid w:val="00F432CC"/>
    <w:rsid w:val="00F43B17"/>
    <w:rsid w:val="00F44C79"/>
    <w:rsid w:val="00F4505A"/>
    <w:rsid w:val="00F450DF"/>
    <w:rsid w:val="00F456E7"/>
    <w:rsid w:val="00F4585A"/>
    <w:rsid w:val="00F47E0E"/>
    <w:rsid w:val="00F47EAC"/>
    <w:rsid w:val="00F50CB6"/>
    <w:rsid w:val="00F51149"/>
    <w:rsid w:val="00F51FEE"/>
    <w:rsid w:val="00F5222F"/>
    <w:rsid w:val="00F52B82"/>
    <w:rsid w:val="00F52BBB"/>
    <w:rsid w:val="00F534F5"/>
    <w:rsid w:val="00F53BE3"/>
    <w:rsid w:val="00F5415F"/>
    <w:rsid w:val="00F54216"/>
    <w:rsid w:val="00F543D2"/>
    <w:rsid w:val="00F5573C"/>
    <w:rsid w:val="00F5576C"/>
    <w:rsid w:val="00F564F1"/>
    <w:rsid w:val="00F56C7D"/>
    <w:rsid w:val="00F56E34"/>
    <w:rsid w:val="00F570F3"/>
    <w:rsid w:val="00F57969"/>
    <w:rsid w:val="00F57994"/>
    <w:rsid w:val="00F60CA9"/>
    <w:rsid w:val="00F6227B"/>
    <w:rsid w:val="00F62508"/>
    <w:rsid w:val="00F62CC3"/>
    <w:rsid w:val="00F638C4"/>
    <w:rsid w:val="00F63FEF"/>
    <w:rsid w:val="00F647E2"/>
    <w:rsid w:val="00F65134"/>
    <w:rsid w:val="00F65EE0"/>
    <w:rsid w:val="00F672C6"/>
    <w:rsid w:val="00F70A2E"/>
    <w:rsid w:val="00F71BB6"/>
    <w:rsid w:val="00F71D98"/>
    <w:rsid w:val="00F7205D"/>
    <w:rsid w:val="00F720C4"/>
    <w:rsid w:val="00F72160"/>
    <w:rsid w:val="00F7334F"/>
    <w:rsid w:val="00F74810"/>
    <w:rsid w:val="00F750D9"/>
    <w:rsid w:val="00F802E7"/>
    <w:rsid w:val="00F80405"/>
    <w:rsid w:val="00F81932"/>
    <w:rsid w:val="00F819DF"/>
    <w:rsid w:val="00F82733"/>
    <w:rsid w:val="00F82C49"/>
    <w:rsid w:val="00F8371E"/>
    <w:rsid w:val="00F8446A"/>
    <w:rsid w:val="00F84750"/>
    <w:rsid w:val="00F855F4"/>
    <w:rsid w:val="00F85EF9"/>
    <w:rsid w:val="00F864F3"/>
    <w:rsid w:val="00F87288"/>
    <w:rsid w:val="00F8770B"/>
    <w:rsid w:val="00F8772D"/>
    <w:rsid w:val="00F90294"/>
    <w:rsid w:val="00F903F1"/>
    <w:rsid w:val="00F90771"/>
    <w:rsid w:val="00F91574"/>
    <w:rsid w:val="00F91839"/>
    <w:rsid w:val="00F918E7"/>
    <w:rsid w:val="00F92C52"/>
    <w:rsid w:val="00F93E2F"/>
    <w:rsid w:val="00F95701"/>
    <w:rsid w:val="00F9618B"/>
    <w:rsid w:val="00F9642C"/>
    <w:rsid w:val="00F97316"/>
    <w:rsid w:val="00FA06F4"/>
    <w:rsid w:val="00FA1665"/>
    <w:rsid w:val="00FA16E7"/>
    <w:rsid w:val="00FA1E19"/>
    <w:rsid w:val="00FA1EF9"/>
    <w:rsid w:val="00FA22F8"/>
    <w:rsid w:val="00FA3DA4"/>
    <w:rsid w:val="00FA3FC1"/>
    <w:rsid w:val="00FA4571"/>
    <w:rsid w:val="00FA4F7D"/>
    <w:rsid w:val="00FA7631"/>
    <w:rsid w:val="00FA773C"/>
    <w:rsid w:val="00FA7A00"/>
    <w:rsid w:val="00FB1639"/>
    <w:rsid w:val="00FB489B"/>
    <w:rsid w:val="00FB4D48"/>
    <w:rsid w:val="00FB4EC7"/>
    <w:rsid w:val="00FB61E2"/>
    <w:rsid w:val="00FB69BB"/>
    <w:rsid w:val="00FB6A4E"/>
    <w:rsid w:val="00FB72B3"/>
    <w:rsid w:val="00FB7790"/>
    <w:rsid w:val="00FC0A31"/>
    <w:rsid w:val="00FC1275"/>
    <w:rsid w:val="00FC1709"/>
    <w:rsid w:val="00FC1B15"/>
    <w:rsid w:val="00FC1E59"/>
    <w:rsid w:val="00FC2288"/>
    <w:rsid w:val="00FC59C3"/>
    <w:rsid w:val="00FC602D"/>
    <w:rsid w:val="00FC6419"/>
    <w:rsid w:val="00FC679A"/>
    <w:rsid w:val="00FC71C2"/>
    <w:rsid w:val="00FD1264"/>
    <w:rsid w:val="00FD183F"/>
    <w:rsid w:val="00FD1C96"/>
    <w:rsid w:val="00FD276E"/>
    <w:rsid w:val="00FD430F"/>
    <w:rsid w:val="00FD5DB7"/>
    <w:rsid w:val="00FD63C4"/>
    <w:rsid w:val="00FD68DF"/>
    <w:rsid w:val="00FD7738"/>
    <w:rsid w:val="00FD7D33"/>
    <w:rsid w:val="00FD7D6C"/>
    <w:rsid w:val="00FE042C"/>
    <w:rsid w:val="00FE2E13"/>
    <w:rsid w:val="00FE3B77"/>
    <w:rsid w:val="00FE4630"/>
    <w:rsid w:val="00FE55A7"/>
    <w:rsid w:val="00FE55D3"/>
    <w:rsid w:val="00FE5CE7"/>
    <w:rsid w:val="00FE61E2"/>
    <w:rsid w:val="00FE6254"/>
    <w:rsid w:val="00FE697B"/>
    <w:rsid w:val="00FF0257"/>
    <w:rsid w:val="00FF0A8C"/>
    <w:rsid w:val="00FF1CB8"/>
    <w:rsid w:val="00FF2261"/>
    <w:rsid w:val="00FF28A7"/>
    <w:rsid w:val="00FF29A0"/>
    <w:rsid w:val="00FF2A5F"/>
    <w:rsid w:val="00FF3015"/>
    <w:rsid w:val="00FF3035"/>
    <w:rsid w:val="00FF340C"/>
    <w:rsid w:val="00FF3949"/>
    <w:rsid w:val="00FF3ED0"/>
    <w:rsid w:val="00FF4F3F"/>
    <w:rsid w:val="00FF51C7"/>
    <w:rsid w:val="00FF5674"/>
    <w:rsid w:val="00FF6344"/>
    <w:rsid w:val="00FF641C"/>
    <w:rsid w:val="00FF6AE2"/>
    <w:rsid w:val="00FF75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9B578B"/>
  <w15:chartTrackingRefBased/>
  <w15:docId w15:val="{CD5BDA76-41E2-462F-A1F0-5E4FBBFF4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E60"/>
    <w:pPr>
      <w:spacing w:after="200" w:line="240" w:lineRule="auto"/>
      <w:jc w:val="both"/>
    </w:pPr>
    <w:rPr>
      <w:rFonts w:ascii="Arial" w:eastAsia="Times New Roman" w:hAnsi="Arial"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FReferencesSection">
    <w:name w:val="TF_References_Section"/>
    <w:basedOn w:val="Normal"/>
    <w:next w:val="Normal"/>
    <w:autoRedefine/>
    <w:rsid w:val="00E35F80"/>
    <w:pPr>
      <w:spacing w:after="0"/>
      <w:ind w:firstLine="187"/>
    </w:pPr>
    <w:rPr>
      <w:rFonts w:ascii="Arno Pro" w:hAnsi="Arno Pro"/>
      <w:kern w:val="19"/>
      <w:sz w:val="16"/>
      <w:szCs w:val="14"/>
    </w:rPr>
  </w:style>
  <w:style w:type="paragraph" w:customStyle="1" w:styleId="TAMainText">
    <w:name w:val="TA_Main_Text"/>
    <w:basedOn w:val="Normal"/>
    <w:autoRedefine/>
    <w:qFormat/>
    <w:rsid w:val="00E35F80"/>
    <w:pPr>
      <w:widowControl w:val="0"/>
      <w:tabs>
        <w:tab w:val="left" w:pos="142"/>
        <w:tab w:val="left" w:pos="284"/>
      </w:tabs>
      <w:spacing w:after="60"/>
      <w:contextualSpacing/>
    </w:pPr>
    <w:rPr>
      <w:rFonts w:ascii="Arno Pro" w:hAnsi="Arno Pro"/>
      <w:kern w:val="21"/>
      <w:sz w:val="18"/>
    </w:rPr>
  </w:style>
  <w:style w:type="paragraph" w:customStyle="1" w:styleId="BATitle">
    <w:name w:val="BA_Title"/>
    <w:basedOn w:val="Normal"/>
    <w:next w:val="BBAuthorName"/>
    <w:autoRedefine/>
    <w:qFormat/>
    <w:rsid w:val="00E35F80"/>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qFormat/>
    <w:rsid w:val="00912223"/>
    <w:pPr>
      <w:spacing w:after="0"/>
      <w:jc w:val="left"/>
      <w:outlineLvl w:val="0"/>
    </w:pPr>
    <w:rPr>
      <w:rFonts w:ascii="Arno Pro" w:hAnsi="Arno Pro"/>
      <w:kern w:val="26"/>
    </w:rPr>
  </w:style>
  <w:style w:type="paragraph" w:customStyle="1" w:styleId="BCAuthorAddress">
    <w:name w:val="BC_Author_Address"/>
    <w:basedOn w:val="Normal"/>
    <w:next w:val="Normal"/>
    <w:autoRedefine/>
    <w:qFormat/>
    <w:rsid w:val="00E35F80"/>
    <w:pPr>
      <w:spacing w:after="60"/>
      <w:jc w:val="left"/>
    </w:pPr>
    <w:rPr>
      <w:rFonts w:ascii="Arno Pro" w:hAnsi="Arno Pro"/>
      <w:kern w:val="22"/>
      <w:sz w:val="20"/>
    </w:rPr>
  </w:style>
  <w:style w:type="paragraph" w:customStyle="1" w:styleId="BDAbstract">
    <w:name w:val="BD_Abstract"/>
    <w:basedOn w:val="Normal"/>
    <w:next w:val="TAMainText"/>
    <w:link w:val="BDAbstractChar"/>
    <w:autoRedefine/>
    <w:qFormat/>
    <w:rsid w:val="00E35F8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Normal"/>
    <w:next w:val="Normal"/>
    <w:autoRedefine/>
    <w:rsid w:val="00E35F80"/>
    <w:pPr>
      <w:spacing w:after="0"/>
    </w:pPr>
    <w:rPr>
      <w:rFonts w:ascii="Arno Pro" w:hAnsi="Arno Pro"/>
      <w:kern w:val="20"/>
      <w:sz w:val="18"/>
    </w:rPr>
  </w:style>
  <w:style w:type="paragraph" w:customStyle="1" w:styleId="VCSchemeTitle">
    <w:name w:val="VC_Scheme_Title"/>
    <w:basedOn w:val="Normal"/>
    <w:next w:val="Normal"/>
    <w:autoRedefine/>
    <w:qFormat/>
    <w:rsid w:val="00E35F80"/>
    <w:pPr>
      <w:spacing w:after="180"/>
    </w:pPr>
    <w:rPr>
      <w:rFonts w:ascii="Arno Pro" w:hAnsi="Arno Pro"/>
      <w:b/>
      <w:kern w:val="21"/>
      <w:sz w:val="19"/>
    </w:rPr>
  </w:style>
  <w:style w:type="paragraph" w:customStyle="1" w:styleId="VAFigureCaption">
    <w:name w:val="VA_Figure_Caption"/>
    <w:basedOn w:val="Normal"/>
    <w:next w:val="Normal"/>
    <w:autoRedefine/>
    <w:qFormat/>
    <w:rsid w:val="00E35F80"/>
    <w:pPr>
      <w:spacing w:before="200" w:after="120"/>
    </w:pPr>
    <w:rPr>
      <w:rFonts w:ascii="Arno Pro" w:hAnsi="Arno Pro"/>
      <w:noProof/>
      <w:kern w:val="20"/>
      <w:sz w:val="18"/>
      <w:lang w:val="es-ES_tradnl" w:eastAsia="es-ES_tradnl"/>
    </w:rPr>
  </w:style>
  <w:style w:type="paragraph" w:customStyle="1" w:styleId="FDSchemeFootnote">
    <w:name w:val="FD_Scheme_Footnote"/>
    <w:basedOn w:val="Normal"/>
    <w:next w:val="Normal"/>
    <w:autoRedefine/>
    <w:qFormat/>
    <w:rsid w:val="00E35F80"/>
    <w:pPr>
      <w:spacing w:before="60" w:after="120"/>
      <w:ind w:firstLine="187"/>
    </w:pPr>
    <w:rPr>
      <w:rFonts w:ascii="Arno Pro" w:hAnsi="Arno Pro"/>
      <w:i/>
      <w:iCs/>
      <w:sz w:val="18"/>
      <w:vertAlign w:val="superscript"/>
    </w:rPr>
  </w:style>
  <w:style w:type="paragraph" w:styleId="Footer">
    <w:name w:val="footer"/>
    <w:basedOn w:val="Normal"/>
    <w:link w:val="FooterChar"/>
    <w:rsid w:val="00E35F80"/>
    <w:pPr>
      <w:tabs>
        <w:tab w:val="center" w:pos="4320"/>
        <w:tab w:val="right" w:pos="8640"/>
      </w:tabs>
    </w:pPr>
  </w:style>
  <w:style w:type="character" w:customStyle="1" w:styleId="FooterChar">
    <w:name w:val="Footer Char"/>
    <w:basedOn w:val="DefaultParagraphFont"/>
    <w:link w:val="Footer"/>
    <w:rsid w:val="00E35F80"/>
    <w:rPr>
      <w:rFonts w:ascii="Times" w:eastAsia="Times New Roman" w:hAnsi="Times" w:cs="Times New Roman"/>
      <w:sz w:val="24"/>
      <w:szCs w:val="20"/>
      <w:lang w:val="en-US"/>
    </w:rPr>
  </w:style>
  <w:style w:type="paragraph" w:customStyle="1" w:styleId="BGKeywords">
    <w:name w:val="BG_Keywords"/>
    <w:basedOn w:val="Normal"/>
    <w:next w:val="Normal"/>
    <w:autoRedefine/>
    <w:rsid w:val="00E35F80"/>
    <w:pPr>
      <w:spacing w:after="220"/>
      <w:jc w:val="left"/>
    </w:pPr>
    <w:rPr>
      <w:rFonts w:ascii="Arno Pro" w:hAnsi="Arno Pro"/>
      <w:bCs/>
      <w:i/>
      <w:kern w:val="22"/>
      <w:sz w:val="20"/>
    </w:rPr>
  </w:style>
  <w:style w:type="character" w:styleId="PageNumber">
    <w:name w:val="page number"/>
    <w:basedOn w:val="DefaultParagraphFont"/>
    <w:rsid w:val="00E35F80"/>
  </w:style>
  <w:style w:type="character" w:styleId="EndnoteReference">
    <w:name w:val="endnote reference"/>
    <w:semiHidden/>
    <w:rsid w:val="00E35F80"/>
    <w:rPr>
      <w:rFonts w:ascii="Times" w:hAnsi="Times"/>
      <w:sz w:val="18"/>
      <w:vertAlign w:val="superscript"/>
    </w:rPr>
  </w:style>
  <w:style w:type="paragraph" w:customStyle="1" w:styleId="BDAbstractTitle">
    <w:name w:val="BD_Abstract_Title"/>
    <w:basedOn w:val="BDAbstract"/>
    <w:link w:val="BDAbstractTitleChar"/>
    <w:qFormat/>
    <w:rsid w:val="00E35F80"/>
    <w:rPr>
      <w:b/>
    </w:rPr>
  </w:style>
  <w:style w:type="character" w:customStyle="1" w:styleId="BDAbstractChar">
    <w:name w:val="BD_Abstract Char"/>
    <w:link w:val="BDAbstract"/>
    <w:rsid w:val="00E35F80"/>
    <w:rPr>
      <w:rFonts w:ascii="Arno Pro" w:eastAsia="Times New Roman" w:hAnsi="Arno Pro" w:cs="Times New Roman"/>
      <w:kern w:val="21"/>
      <w:sz w:val="18"/>
      <w:szCs w:val="20"/>
      <w:lang w:val="en-US"/>
    </w:rPr>
  </w:style>
  <w:style w:type="character" w:customStyle="1" w:styleId="BDAbstractTitleChar">
    <w:name w:val="BD_Abstract_Title Char"/>
    <w:link w:val="BDAbstractTitle"/>
    <w:rsid w:val="00E35F80"/>
    <w:rPr>
      <w:rFonts w:ascii="Arno Pro" w:eastAsia="Times New Roman" w:hAnsi="Arno Pro" w:cs="Times New Roman"/>
      <w:b/>
      <w:kern w:val="21"/>
      <w:sz w:val="18"/>
      <w:szCs w:val="20"/>
      <w:lang w:val="en-US"/>
    </w:rPr>
  </w:style>
  <w:style w:type="paragraph" w:customStyle="1" w:styleId="SectionTitle">
    <w:name w:val="Section_Title"/>
    <w:basedOn w:val="SectionContent"/>
    <w:autoRedefine/>
    <w:rsid w:val="00E35F80"/>
    <w:pPr>
      <w:spacing w:before="180" w:after="120"/>
    </w:pPr>
    <w:rPr>
      <w:rFonts w:ascii="Myriad Pro Light" w:hAnsi="Myriad Pro Light"/>
      <w:b/>
      <w:sz w:val="21"/>
      <w:szCs w:val="18"/>
    </w:rPr>
  </w:style>
  <w:style w:type="paragraph" w:customStyle="1" w:styleId="SectionSubtitle">
    <w:name w:val="Section_Subtitle"/>
    <w:basedOn w:val="Normal"/>
    <w:link w:val="SectionSubtitleChar"/>
    <w:autoRedefine/>
    <w:rsid w:val="00E35F80"/>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E35F80"/>
    <w:rPr>
      <w:rFonts w:ascii="Myriad Pro Light" w:eastAsia="Times New Roman" w:hAnsi="Myriad Pro Light" w:cs="Times New Roman"/>
      <w:b/>
      <w:kern w:val="21"/>
      <w:sz w:val="19"/>
      <w:szCs w:val="14"/>
      <w:lang w:val="en-US"/>
    </w:rPr>
  </w:style>
  <w:style w:type="character" w:styleId="CommentReference">
    <w:name w:val="annotation reference"/>
    <w:basedOn w:val="DefaultParagraphFont"/>
    <w:semiHidden/>
    <w:unhideWhenUsed/>
    <w:rsid w:val="00E35F80"/>
    <w:rPr>
      <w:sz w:val="16"/>
      <w:szCs w:val="16"/>
    </w:rPr>
  </w:style>
  <w:style w:type="paragraph" w:styleId="CommentText">
    <w:name w:val="annotation text"/>
    <w:basedOn w:val="Normal"/>
    <w:link w:val="CommentTextChar"/>
    <w:unhideWhenUsed/>
    <w:rsid w:val="00E35F80"/>
    <w:rPr>
      <w:sz w:val="20"/>
    </w:rPr>
  </w:style>
  <w:style w:type="character" w:customStyle="1" w:styleId="CommentTextChar">
    <w:name w:val="Comment Text Char"/>
    <w:basedOn w:val="DefaultParagraphFont"/>
    <w:link w:val="CommentText"/>
    <w:rsid w:val="00E35F80"/>
    <w:rPr>
      <w:rFonts w:ascii="Times" w:eastAsia="Times New Roman" w:hAnsi="Times" w:cs="Times New Roman"/>
      <w:sz w:val="20"/>
      <w:szCs w:val="20"/>
      <w:lang w:val="en-US"/>
    </w:rPr>
  </w:style>
  <w:style w:type="paragraph" w:styleId="BalloonText">
    <w:name w:val="Balloon Text"/>
    <w:basedOn w:val="Normal"/>
    <w:link w:val="BalloonTextChar"/>
    <w:uiPriority w:val="99"/>
    <w:semiHidden/>
    <w:unhideWhenUsed/>
    <w:rsid w:val="00E35F8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F80"/>
    <w:rPr>
      <w:rFonts w:ascii="Segoe UI" w:eastAsia="Times New Roman" w:hAnsi="Segoe UI" w:cs="Segoe UI"/>
      <w:sz w:val="18"/>
      <w:szCs w:val="18"/>
      <w:lang w:val="en-US"/>
    </w:rPr>
  </w:style>
  <w:style w:type="paragraph" w:styleId="Header">
    <w:name w:val="header"/>
    <w:basedOn w:val="Normal"/>
    <w:link w:val="HeaderChar"/>
    <w:uiPriority w:val="99"/>
    <w:unhideWhenUsed/>
    <w:rsid w:val="007C57A9"/>
    <w:pPr>
      <w:tabs>
        <w:tab w:val="center" w:pos="4513"/>
        <w:tab w:val="right" w:pos="9026"/>
      </w:tabs>
      <w:spacing w:after="0"/>
    </w:pPr>
  </w:style>
  <w:style w:type="character" w:customStyle="1" w:styleId="HeaderChar">
    <w:name w:val="Header Char"/>
    <w:basedOn w:val="DefaultParagraphFont"/>
    <w:link w:val="Header"/>
    <w:uiPriority w:val="99"/>
    <w:rsid w:val="007C57A9"/>
    <w:rPr>
      <w:rFonts w:ascii="Arial" w:eastAsia="Times New Roman" w:hAnsi="Arial" w:cs="Times New Roman"/>
      <w:szCs w:val="20"/>
      <w:lang w:val="en-US"/>
    </w:rPr>
  </w:style>
  <w:style w:type="paragraph" w:styleId="EndnoteText">
    <w:name w:val="endnote text"/>
    <w:basedOn w:val="Normal"/>
    <w:link w:val="EndnoteTextChar"/>
    <w:uiPriority w:val="99"/>
    <w:semiHidden/>
    <w:unhideWhenUsed/>
    <w:rsid w:val="00F647E2"/>
    <w:pPr>
      <w:spacing w:after="0"/>
    </w:pPr>
    <w:rPr>
      <w:sz w:val="20"/>
    </w:rPr>
  </w:style>
  <w:style w:type="character" w:customStyle="1" w:styleId="EndnoteTextChar">
    <w:name w:val="Endnote Text Char"/>
    <w:basedOn w:val="DefaultParagraphFont"/>
    <w:link w:val="EndnoteText"/>
    <w:uiPriority w:val="99"/>
    <w:semiHidden/>
    <w:rsid w:val="00F647E2"/>
    <w:rPr>
      <w:rFonts w:ascii="Arial" w:eastAsia="Times New Roman" w:hAnsi="Arial" w:cs="Times New Roman"/>
      <w:sz w:val="20"/>
      <w:szCs w:val="20"/>
      <w:lang w:val="en-US"/>
    </w:rPr>
  </w:style>
  <w:style w:type="paragraph" w:customStyle="1" w:styleId="NoTemplateRefs">
    <w:name w:val="NoTemplateRefs"/>
    <w:basedOn w:val="Normal"/>
    <w:qFormat/>
    <w:rsid w:val="00B7624D"/>
    <w:pPr>
      <w:spacing w:after="0" w:line="480" w:lineRule="auto"/>
    </w:pPr>
    <w:rPr>
      <w:noProof/>
      <w:szCs w:val="22"/>
    </w:rPr>
  </w:style>
  <w:style w:type="paragraph" w:customStyle="1" w:styleId="NoTemplateMainText">
    <w:name w:val="NoTemplateMainText"/>
    <w:basedOn w:val="Normal"/>
    <w:qFormat/>
    <w:rsid w:val="00C17142"/>
    <w:pPr>
      <w:spacing w:after="0" w:line="480" w:lineRule="auto"/>
      <w:ind w:firstLine="720"/>
    </w:pPr>
    <w:rPr>
      <w:rFonts w:cs="Arial"/>
      <w:szCs w:val="22"/>
    </w:rPr>
  </w:style>
  <w:style w:type="paragraph" w:customStyle="1" w:styleId="NoTemplateHeading1">
    <w:name w:val="NoTemplateHeading1"/>
    <w:basedOn w:val="Normal"/>
    <w:next w:val="NoTemplateMainText"/>
    <w:qFormat/>
    <w:rsid w:val="00E92446"/>
    <w:pPr>
      <w:spacing w:before="200" w:after="0" w:line="480" w:lineRule="auto"/>
    </w:pPr>
    <w:rPr>
      <w:rFonts w:cs="Arial"/>
      <w:b/>
      <w:bCs/>
      <w:caps/>
      <w:szCs w:val="22"/>
    </w:rPr>
  </w:style>
  <w:style w:type="paragraph" w:customStyle="1" w:styleId="NoTemplateHeading2">
    <w:name w:val="NoTemplateHeading2"/>
    <w:basedOn w:val="NoTemplateMainText"/>
    <w:qFormat/>
    <w:rsid w:val="00F51FEE"/>
    <w:pPr>
      <w:spacing w:before="120"/>
      <w:ind w:firstLine="0"/>
    </w:pPr>
    <w:rPr>
      <w:b/>
      <w:bCs/>
    </w:rPr>
  </w:style>
  <w:style w:type="paragraph" w:customStyle="1" w:styleId="NoTemplateFigHeading">
    <w:name w:val="NoTemplateFigHeading"/>
    <w:basedOn w:val="Normal"/>
    <w:next w:val="Normal"/>
    <w:qFormat/>
    <w:rsid w:val="00F51FEE"/>
    <w:pPr>
      <w:spacing w:before="120" w:after="120" w:line="264" w:lineRule="auto"/>
    </w:pPr>
    <w:rPr>
      <w:rFonts w:cs="Arial"/>
      <w:sz w:val="20"/>
    </w:rPr>
  </w:style>
  <w:style w:type="paragraph" w:customStyle="1" w:styleId="NoTemplateTitle">
    <w:name w:val="NoTemplateTitle"/>
    <w:basedOn w:val="Normal"/>
    <w:qFormat/>
    <w:rsid w:val="00D61D92"/>
    <w:pPr>
      <w:spacing w:after="120" w:line="360" w:lineRule="auto"/>
    </w:pPr>
    <w:rPr>
      <w:b/>
      <w:bCs/>
    </w:rPr>
  </w:style>
  <w:style w:type="paragraph" w:customStyle="1" w:styleId="NoTemplateAuthors">
    <w:name w:val="NoTemplateAuthors"/>
    <w:basedOn w:val="Normal"/>
    <w:qFormat/>
    <w:rsid w:val="00BA3A51"/>
    <w:pPr>
      <w:spacing w:after="120" w:line="360" w:lineRule="auto"/>
    </w:pPr>
  </w:style>
  <w:style w:type="paragraph" w:customStyle="1" w:styleId="NoTemplateFigureFootnote">
    <w:name w:val="NoTemplateFigureFootnote"/>
    <w:basedOn w:val="NoTemplateMainText"/>
    <w:qFormat/>
    <w:rsid w:val="00F51FEE"/>
    <w:pPr>
      <w:spacing w:after="120" w:line="264" w:lineRule="auto"/>
      <w:ind w:firstLine="0"/>
    </w:pPr>
    <w:rPr>
      <w:sz w:val="16"/>
      <w:szCs w:val="16"/>
    </w:rPr>
  </w:style>
  <w:style w:type="paragraph" w:styleId="CommentSubject">
    <w:name w:val="annotation subject"/>
    <w:basedOn w:val="CommentText"/>
    <w:next w:val="CommentText"/>
    <w:link w:val="CommentSubjectChar"/>
    <w:uiPriority w:val="99"/>
    <w:semiHidden/>
    <w:unhideWhenUsed/>
    <w:rsid w:val="00931203"/>
    <w:rPr>
      <w:b/>
      <w:bCs/>
    </w:rPr>
  </w:style>
  <w:style w:type="character" w:customStyle="1" w:styleId="CommentSubjectChar">
    <w:name w:val="Comment Subject Char"/>
    <w:basedOn w:val="CommentTextChar"/>
    <w:link w:val="CommentSubject"/>
    <w:uiPriority w:val="99"/>
    <w:semiHidden/>
    <w:rsid w:val="00931203"/>
    <w:rPr>
      <w:rFonts w:ascii="Arial" w:eastAsia="Times New Roman" w:hAnsi="Arial" w:cs="Times New Roman"/>
      <w:b/>
      <w:bCs/>
      <w:sz w:val="20"/>
      <w:szCs w:val="20"/>
      <w:lang w:val="en-US"/>
    </w:rPr>
  </w:style>
  <w:style w:type="character" w:styleId="Hyperlink">
    <w:name w:val="Hyperlink"/>
    <w:basedOn w:val="DefaultParagraphFont"/>
    <w:uiPriority w:val="99"/>
    <w:unhideWhenUsed/>
    <w:rsid w:val="00196F26"/>
    <w:rPr>
      <w:color w:val="0000FF"/>
      <w:u w:val="single"/>
    </w:rPr>
  </w:style>
  <w:style w:type="character" w:styleId="FollowedHyperlink">
    <w:name w:val="FollowedHyperlink"/>
    <w:basedOn w:val="DefaultParagraphFont"/>
    <w:uiPriority w:val="99"/>
    <w:semiHidden/>
    <w:unhideWhenUsed/>
    <w:rsid w:val="00471B62"/>
    <w:rPr>
      <w:color w:val="954F72" w:themeColor="followedHyperlink"/>
      <w:u w:val="single"/>
    </w:rPr>
  </w:style>
  <w:style w:type="paragraph" w:styleId="Revision">
    <w:name w:val="Revision"/>
    <w:hidden/>
    <w:uiPriority w:val="99"/>
    <w:semiHidden/>
    <w:rsid w:val="00CB69A3"/>
    <w:pPr>
      <w:spacing w:after="0" w:line="240" w:lineRule="auto"/>
    </w:pPr>
    <w:rPr>
      <w:rFonts w:ascii="Arial" w:eastAsia="Times New Roman" w:hAnsi="Arial" w:cs="Times New Roman"/>
      <w:szCs w:val="20"/>
      <w:lang w:val="en-US"/>
    </w:rPr>
  </w:style>
  <w:style w:type="character" w:styleId="Emphasis">
    <w:name w:val="Emphasis"/>
    <w:basedOn w:val="DefaultParagraphFont"/>
    <w:uiPriority w:val="20"/>
    <w:qFormat/>
    <w:rsid w:val="00FF3ED0"/>
    <w:rPr>
      <w:i/>
      <w:iCs/>
    </w:rPr>
  </w:style>
  <w:style w:type="character" w:customStyle="1" w:styleId="UnresolvedMention1">
    <w:name w:val="Unresolved Mention1"/>
    <w:basedOn w:val="DefaultParagraphFont"/>
    <w:uiPriority w:val="99"/>
    <w:unhideWhenUsed/>
    <w:rsid w:val="002F34F2"/>
    <w:rPr>
      <w:color w:val="605E5C"/>
      <w:shd w:val="clear" w:color="auto" w:fill="E1DFDD"/>
    </w:rPr>
  </w:style>
  <w:style w:type="character" w:customStyle="1" w:styleId="Mention1">
    <w:name w:val="Mention1"/>
    <w:basedOn w:val="DefaultParagraphFont"/>
    <w:uiPriority w:val="99"/>
    <w:unhideWhenUsed/>
    <w:rsid w:val="002F34F2"/>
    <w:rPr>
      <w:color w:val="2B579A"/>
      <w:shd w:val="clear" w:color="auto" w:fill="E1DFDD"/>
    </w:rPr>
  </w:style>
  <w:style w:type="character" w:styleId="UnresolvedMention">
    <w:name w:val="Unresolved Mention"/>
    <w:basedOn w:val="DefaultParagraphFont"/>
    <w:uiPriority w:val="99"/>
    <w:semiHidden/>
    <w:unhideWhenUsed/>
    <w:rsid w:val="00406D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84161">
      <w:bodyDiv w:val="1"/>
      <w:marLeft w:val="0"/>
      <w:marRight w:val="0"/>
      <w:marTop w:val="0"/>
      <w:marBottom w:val="0"/>
      <w:divBdr>
        <w:top w:val="none" w:sz="0" w:space="0" w:color="auto"/>
        <w:left w:val="none" w:sz="0" w:space="0" w:color="auto"/>
        <w:bottom w:val="none" w:sz="0" w:space="0" w:color="auto"/>
        <w:right w:val="none" w:sz="0" w:space="0" w:color="auto"/>
      </w:divBdr>
    </w:div>
    <w:div w:id="796139516">
      <w:bodyDiv w:val="1"/>
      <w:marLeft w:val="0"/>
      <w:marRight w:val="0"/>
      <w:marTop w:val="0"/>
      <w:marBottom w:val="0"/>
      <w:divBdr>
        <w:top w:val="none" w:sz="0" w:space="0" w:color="auto"/>
        <w:left w:val="none" w:sz="0" w:space="0" w:color="auto"/>
        <w:bottom w:val="none" w:sz="0" w:space="0" w:color="auto"/>
        <w:right w:val="none" w:sz="0" w:space="0" w:color="auto"/>
      </w:divBdr>
    </w:div>
    <w:div w:id="905382902">
      <w:bodyDiv w:val="1"/>
      <w:marLeft w:val="0"/>
      <w:marRight w:val="0"/>
      <w:marTop w:val="0"/>
      <w:marBottom w:val="0"/>
      <w:divBdr>
        <w:top w:val="none" w:sz="0" w:space="0" w:color="auto"/>
        <w:left w:val="none" w:sz="0" w:space="0" w:color="auto"/>
        <w:bottom w:val="none" w:sz="0" w:space="0" w:color="auto"/>
        <w:right w:val="none" w:sz="0" w:space="0" w:color="auto"/>
      </w:divBdr>
    </w:div>
    <w:div w:id="1074006567">
      <w:bodyDiv w:val="1"/>
      <w:marLeft w:val="0"/>
      <w:marRight w:val="0"/>
      <w:marTop w:val="0"/>
      <w:marBottom w:val="0"/>
      <w:divBdr>
        <w:top w:val="none" w:sz="0" w:space="0" w:color="auto"/>
        <w:left w:val="none" w:sz="0" w:space="0" w:color="auto"/>
        <w:bottom w:val="none" w:sz="0" w:space="0" w:color="auto"/>
        <w:right w:val="none" w:sz="0" w:space="0" w:color="auto"/>
      </w:divBdr>
    </w:div>
    <w:div w:id="1272319151">
      <w:bodyDiv w:val="1"/>
      <w:marLeft w:val="0"/>
      <w:marRight w:val="0"/>
      <w:marTop w:val="0"/>
      <w:marBottom w:val="0"/>
      <w:divBdr>
        <w:top w:val="none" w:sz="0" w:space="0" w:color="auto"/>
        <w:left w:val="none" w:sz="0" w:space="0" w:color="auto"/>
        <w:bottom w:val="none" w:sz="0" w:space="0" w:color="auto"/>
        <w:right w:val="none" w:sz="0" w:space="0" w:color="auto"/>
      </w:divBdr>
    </w:div>
    <w:div w:id="193123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doi.org/10.5258/SOTON/D2185"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goldup@soton.ac.uk"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endnotes.xml.rels><?xml version="1.0" encoding="UTF-8" standalone="yes"?>
<Relationships xmlns="http://schemas.openxmlformats.org/package/2006/relationships"><Relationship Id="rId2" Type="http://schemas.openxmlformats.org/officeDocument/2006/relationships/hyperlink" Target="https://www.nobelprize.org/prizes/chemistry/2021/summary/" TargetMode="External"/><Relationship Id="rId1" Type="http://schemas.openxmlformats.org/officeDocument/2006/relationships/hyperlink" Target="https://www.nobelprize.org/prizes/chemistry/2001/summ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B187E07B5CD24598F0DE2435390DA9" ma:contentTypeVersion="18" ma:contentTypeDescription="Create a new document." ma:contentTypeScope="" ma:versionID="be0261587cdc90ef26d481b5d6a1917a">
  <xsd:schema xmlns:xsd="http://www.w3.org/2001/XMLSchema" xmlns:xs="http://www.w3.org/2001/XMLSchema" xmlns:p="http://schemas.microsoft.com/office/2006/metadata/properties" xmlns:ns1="http://schemas.microsoft.com/sharepoint/v3" xmlns:ns2="9f8affc1-1773-451c-8f00-5d38c91816ea" xmlns:ns3="679bc0a9-d706-43ab-8d4d-431ee86bcb8b" targetNamespace="http://schemas.microsoft.com/office/2006/metadata/properties" ma:root="true" ma:fieldsID="2ed4897d7ecf6ee6d81b63bf05b4417f" ns1:_="" ns2:_="" ns3:_="">
    <xsd:import namespace="http://schemas.microsoft.com/sharepoint/v3"/>
    <xsd:import namespace="9f8affc1-1773-451c-8f00-5d38c91816ea"/>
    <xsd:import namespace="679bc0a9-d706-43ab-8d4d-431ee86bcb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8affc1-1773-451c-8f00-5d38c91816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bc0a9-d706-43ab-8d4d-431ee86bcb8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3efcbc6-3190-4dc8-aafc-2347c6d8494d}" ma:internalName="TaxCatchAll" ma:showField="CatchAllData" ma:web="679bc0a9-d706-43ab-8d4d-431ee86bcb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679bc0a9-d706-43ab-8d4d-431ee86bcb8b">
      <UserInfo>
        <DisplayName>David Lozano Mena</DisplayName>
        <AccountId>22</AccountId>
        <AccountType/>
      </UserInfo>
      <UserInfo>
        <DisplayName>Peter Gallagher</DisplayName>
        <AccountId>42</AccountId>
        <AccountType/>
      </UserInfo>
      <UserInfo>
        <DisplayName>Patrick Butler</DisplayName>
        <AccountId>46</AccountId>
        <AccountType/>
      </UserInfo>
    </SharedWithUsers>
    <TaxCatchAll xmlns="679bc0a9-d706-43ab-8d4d-431ee86bcb8b" xsi:nil="true"/>
    <lcf76f155ced4ddcb4097134ff3c332f xmlns="9f8affc1-1773-451c-8f00-5d38c91816e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DF3ED-5F9A-4430-8A8C-001C842D0BAB}"/>
</file>

<file path=customXml/itemProps2.xml><?xml version="1.0" encoding="utf-8"?>
<ds:datastoreItem xmlns:ds="http://schemas.openxmlformats.org/officeDocument/2006/customXml" ds:itemID="{7242FA84-5367-45B9-A9F7-88B20E9A5D88}">
  <ds:schemaRefs>
    <ds:schemaRef ds:uri="http://schemas.microsoft.com/sharepoint/v3/contenttype/forms"/>
  </ds:schemaRefs>
</ds:datastoreItem>
</file>

<file path=customXml/itemProps3.xml><?xml version="1.0" encoding="utf-8"?>
<ds:datastoreItem xmlns:ds="http://schemas.openxmlformats.org/officeDocument/2006/customXml" ds:itemID="{FC09D327-A6C8-4A0A-85C0-9106BF991984}">
  <ds:schemaRefs>
    <ds:schemaRef ds:uri="http://schemas.microsoft.com/office/2006/metadata/properties"/>
    <ds:schemaRef ds:uri="http://schemas.microsoft.com/office/infopath/2007/PartnerControls"/>
    <ds:schemaRef ds:uri="http://schemas.microsoft.com/sharepoint/v3"/>
    <ds:schemaRef ds:uri="679bc0a9-d706-43ab-8d4d-431ee86bcb8b"/>
  </ds:schemaRefs>
</ds:datastoreItem>
</file>

<file path=customXml/itemProps4.xml><?xml version="1.0" encoding="utf-8"?>
<ds:datastoreItem xmlns:ds="http://schemas.openxmlformats.org/officeDocument/2006/customXml" ds:itemID="{3810FBCB-43D7-45BE-B9AC-4B813C1BE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3549</Words>
  <Characters>20233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23735</CharactersWithSpaces>
  <SharedDoc>false</SharedDoc>
  <HLinks>
    <vt:vector size="18" baseType="variant">
      <vt:variant>
        <vt:i4>5242943</vt:i4>
      </vt:variant>
      <vt:variant>
        <vt:i4>0</vt:i4>
      </vt:variant>
      <vt:variant>
        <vt:i4>0</vt:i4>
      </vt:variant>
      <vt:variant>
        <vt:i4>5</vt:i4>
      </vt:variant>
      <vt:variant>
        <vt:lpwstr>mailto:*s.goldup@soton.ac.uk</vt:lpwstr>
      </vt:variant>
      <vt:variant>
        <vt:lpwstr/>
      </vt:variant>
      <vt:variant>
        <vt:i4>4784135</vt:i4>
      </vt:variant>
      <vt:variant>
        <vt:i4>23</vt:i4>
      </vt:variant>
      <vt:variant>
        <vt:i4>0</vt:i4>
      </vt:variant>
      <vt:variant>
        <vt:i4>5</vt:i4>
      </vt:variant>
      <vt:variant>
        <vt:lpwstr>https://www.nobelprize.org/prizes/chemistry/2021/summary/</vt:lpwstr>
      </vt:variant>
      <vt:variant>
        <vt:lpwstr/>
      </vt:variant>
      <vt:variant>
        <vt:i4>4784133</vt:i4>
      </vt:variant>
      <vt:variant>
        <vt:i4>20</vt:i4>
      </vt:variant>
      <vt:variant>
        <vt:i4>0</vt:i4>
      </vt:variant>
      <vt:variant>
        <vt:i4>5</vt:i4>
      </vt:variant>
      <vt:variant>
        <vt:lpwstr>https://www.nobelprize.org/prizes/chemistry/2001/summary/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Goldup</dc:creator>
  <cp:keywords/>
  <dc:description/>
  <cp:lastModifiedBy>Steve</cp:lastModifiedBy>
  <cp:revision>17</cp:revision>
  <cp:lastPrinted>2022-02-18T13:09:00Z</cp:lastPrinted>
  <dcterms:created xsi:type="dcterms:W3CDTF">2022-04-12T15:47:00Z</dcterms:created>
  <dcterms:modified xsi:type="dcterms:W3CDTF">2022-05-14T16:40:00Z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0x01010031B187E07B5CD24598F0DE2435390DA9</vt:lpwstr>
  </property>
</Properties>
</file>