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8A5A8" w14:textId="77777777" w:rsidR="005C4299" w:rsidRPr="00A47CF5" w:rsidRDefault="003F61AF" w:rsidP="00A47CF5">
      <w:pPr>
        <w:spacing w:before="240" w:after="240" w:line="240" w:lineRule="auto"/>
        <w:rPr>
          <w:b/>
          <w:lang w:val="en-US"/>
        </w:rPr>
      </w:pPr>
      <w:r w:rsidRPr="00A47CF5">
        <w:rPr>
          <w:b/>
          <w:lang w:val="en-US"/>
        </w:rPr>
        <w:t xml:space="preserve">Dear </w:t>
      </w:r>
      <w:proofErr w:type="spellStart"/>
      <w:r w:rsidRPr="00A47CF5">
        <w:rPr>
          <w:b/>
          <w:lang w:val="en-US"/>
        </w:rPr>
        <w:t>Dr</w:t>
      </w:r>
      <w:proofErr w:type="spellEnd"/>
      <w:r w:rsidRPr="00A47CF5">
        <w:rPr>
          <w:b/>
          <w:lang w:val="en-US"/>
        </w:rPr>
        <w:t xml:space="preserve"> </w:t>
      </w:r>
      <w:proofErr w:type="spellStart"/>
      <w:r w:rsidRPr="00A47CF5">
        <w:rPr>
          <w:b/>
          <w:lang w:val="en-US"/>
        </w:rPr>
        <w:t>Paalman</w:t>
      </w:r>
      <w:proofErr w:type="spellEnd"/>
      <w:r w:rsidRPr="00A47CF5">
        <w:rPr>
          <w:b/>
          <w:lang w:val="en-US"/>
        </w:rPr>
        <w:t xml:space="preserve">, </w:t>
      </w:r>
    </w:p>
    <w:p w14:paraId="67480DD2" w14:textId="77777777" w:rsidR="005C4299" w:rsidRPr="00A47CF5" w:rsidRDefault="003F61AF" w:rsidP="00A47CF5">
      <w:pPr>
        <w:spacing w:before="240" w:after="240" w:line="240" w:lineRule="auto"/>
        <w:rPr>
          <w:lang w:val="en-US"/>
        </w:rPr>
      </w:pPr>
      <w:r w:rsidRPr="00A47CF5">
        <w:rPr>
          <w:lang w:val="en-US"/>
        </w:rPr>
        <w:t>We thank the reviewer and editorial board for</w:t>
      </w:r>
      <w:r w:rsidR="00F47544" w:rsidRPr="00A47CF5">
        <w:rPr>
          <w:lang w:val="en-US"/>
        </w:rPr>
        <w:t xml:space="preserve"> additional </w:t>
      </w:r>
      <w:r w:rsidRPr="00A47CF5">
        <w:rPr>
          <w:lang w:val="en-US"/>
        </w:rPr>
        <w:t xml:space="preserve">critique, and provide responses to the specific questions and suggestions below. </w:t>
      </w:r>
    </w:p>
    <w:p w14:paraId="524731CA" w14:textId="77777777" w:rsidR="005C4299" w:rsidRPr="00A47CF5" w:rsidRDefault="003F61AF" w:rsidP="00A47CF5">
      <w:pPr>
        <w:spacing w:before="240" w:after="240" w:line="240" w:lineRule="auto"/>
        <w:rPr>
          <w:lang w:val="en-US"/>
        </w:rPr>
      </w:pPr>
      <w:r w:rsidRPr="00A47CF5">
        <w:rPr>
          <w:lang w:val="en-US"/>
        </w:rPr>
        <w:t xml:space="preserve">Changes to the manuscript in response to the comments </w:t>
      </w:r>
      <w:proofErr w:type="gramStart"/>
      <w:r w:rsidRPr="00A47CF5">
        <w:rPr>
          <w:lang w:val="en-US"/>
        </w:rPr>
        <w:t>have been noted</w:t>
      </w:r>
      <w:proofErr w:type="gramEnd"/>
      <w:r w:rsidRPr="00A47CF5">
        <w:rPr>
          <w:lang w:val="en-US"/>
        </w:rPr>
        <w:t xml:space="preserve"> as yellow highlight.</w:t>
      </w:r>
    </w:p>
    <w:p w14:paraId="104DFFEE" w14:textId="77777777" w:rsidR="005C4299" w:rsidRPr="00A47CF5" w:rsidRDefault="003F61AF" w:rsidP="00A47CF5">
      <w:pPr>
        <w:spacing w:before="240" w:after="240" w:line="240" w:lineRule="auto"/>
        <w:rPr>
          <w:b/>
          <w:lang w:val="en-US"/>
        </w:rPr>
      </w:pPr>
      <w:r w:rsidRPr="00A47CF5">
        <w:rPr>
          <w:b/>
          <w:lang w:val="en-US"/>
        </w:rPr>
        <w:t xml:space="preserve">Referee </w:t>
      </w:r>
      <w:r w:rsidR="00F47544" w:rsidRPr="00A47CF5">
        <w:rPr>
          <w:b/>
          <w:lang w:val="en-US"/>
        </w:rPr>
        <w:t>2</w:t>
      </w:r>
      <w:r w:rsidRPr="00A47CF5">
        <w:rPr>
          <w:b/>
          <w:lang w:val="en-US"/>
        </w:rPr>
        <w:t>:</w:t>
      </w:r>
    </w:p>
    <w:p w14:paraId="1B60165E" w14:textId="77777777" w:rsidR="00F47544" w:rsidRPr="00A420BF" w:rsidRDefault="00F47544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1. The version of Supplementary Tables for the current revised manuscript is not the updated version and therefore I have not been able to review all editions that authors have done following my comments. If possible, I would like to see the updated supplementary tables in excel format (please no with pdf format). </w:t>
      </w:r>
    </w:p>
    <w:p w14:paraId="5046E3DF" w14:textId="0C0F3418" w:rsidR="00F47544" w:rsidRPr="00A47CF5" w:rsidRDefault="00F96998" w:rsidP="00A47CF5">
      <w:pPr>
        <w:spacing w:before="240" w:after="240" w:line="240" w:lineRule="auto"/>
        <w:rPr>
          <w:color w:val="0000FF"/>
          <w:lang w:val="en-US"/>
        </w:rPr>
      </w:pPr>
      <w:r>
        <w:rPr>
          <w:color w:val="0000FF"/>
          <w:lang w:val="en-US"/>
        </w:rPr>
        <w:t>Our sincere apologies - t</w:t>
      </w:r>
      <w:r w:rsidR="00F47544" w:rsidRPr="00A47CF5">
        <w:rPr>
          <w:color w:val="0000FF"/>
          <w:lang w:val="en-US"/>
        </w:rPr>
        <w:t xml:space="preserve">he </w:t>
      </w:r>
      <w:r w:rsidR="00E54EF3" w:rsidRPr="00A47CF5">
        <w:rPr>
          <w:color w:val="0000FF"/>
          <w:lang w:val="en-US"/>
        </w:rPr>
        <w:t xml:space="preserve">file </w:t>
      </w:r>
      <w:r w:rsidR="00F47544" w:rsidRPr="00A47CF5">
        <w:rPr>
          <w:color w:val="0000FF"/>
          <w:lang w:val="en-US"/>
        </w:rPr>
        <w:t>uploaded at time of resubmission</w:t>
      </w:r>
      <w:r w:rsidR="00E54EF3" w:rsidRPr="00A47CF5">
        <w:rPr>
          <w:color w:val="0000FF"/>
          <w:lang w:val="en-US"/>
        </w:rPr>
        <w:t xml:space="preserve"> was </w:t>
      </w:r>
      <w:proofErr w:type="gramStart"/>
      <w:r w:rsidR="00E54EF3" w:rsidRPr="00A47CF5">
        <w:rPr>
          <w:color w:val="0000FF"/>
          <w:lang w:val="en-US"/>
        </w:rPr>
        <w:t>not</w:t>
      </w:r>
      <w:proofErr w:type="gramEnd"/>
      <w:r w:rsidR="00E54EF3" w:rsidRPr="00A47CF5">
        <w:rPr>
          <w:color w:val="0000FF"/>
          <w:lang w:val="en-US"/>
        </w:rPr>
        <w:t xml:space="preserve"> the </w:t>
      </w:r>
      <w:proofErr w:type="gramStart"/>
      <w:r w:rsidR="00E54EF3" w:rsidRPr="00A47CF5">
        <w:rPr>
          <w:color w:val="0000FF"/>
          <w:lang w:val="en-US"/>
        </w:rPr>
        <w:t>latest</w:t>
      </w:r>
      <w:proofErr w:type="gramEnd"/>
      <w:r w:rsidR="00E54EF3" w:rsidRPr="00A47CF5">
        <w:rPr>
          <w:color w:val="0000FF"/>
          <w:lang w:val="en-US"/>
        </w:rPr>
        <w:t xml:space="preserve"> version of the file (which included a new </w:t>
      </w:r>
      <w:proofErr w:type="spellStart"/>
      <w:r w:rsidR="00E54EF3" w:rsidRPr="00A47CF5">
        <w:rPr>
          <w:color w:val="0000FF"/>
          <w:lang w:val="en-US"/>
        </w:rPr>
        <w:t>Supp</w:t>
      </w:r>
      <w:proofErr w:type="spellEnd"/>
      <w:r w:rsidR="00E54EF3" w:rsidRPr="00A47CF5">
        <w:rPr>
          <w:color w:val="0000FF"/>
          <w:lang w:val="en-US"/>
        </w:rPr>
        <w:t xml:space="preserve"> T10 and other changes). We have now uploaded the correct version of the file</w:t>
      </w:r>
      <w:r w:rsidR="00A47CF5">
        <w:rPr>
          <w:color w:val="0000FF"/>
          <w:lang w:val="en-US"/>
        </w:rPr>
        <w:t xml:space="preserve">, named </w:t>
      </w:r>
      <w:r w:rsidR="00A47CF5" w:rsidRPr="00A47CF5">
        <w:rPr>
          <w:color w:val="0000FF"/>
          <w:lang w:val="en-US"/>
        </w:rPr>
        <w:t>“</w:t>
      </w:r>
      <w:r w:rsidR="00723C66" w:rsidRPr="00723C66">
        <w:rPr>
          <w:color w:val="0000FF"/>
          <w:lang w:val="en-US"/>
        </w:rPr>
        <w:t>Exon3_SuppTables 2022-03-26v1</w:t>
      </w:r>
      <w:r w:rsidR="00A47CF5">
        <w:rPr>
          <w:color w:val="0000FF"/>
          <w:lang w:val="en-US"/>
        </w:rPr>
        <w:t>”.</w:t>
      </w:r>
    </w:p>
    <w:p w14:paraId="4AA0C60A" w14:textId="11B6E668" w:rsidR="00F47544" w:rsidRPr="00A47CF5" w:rsidRDefault="00F47544" w:rsidP="00A47CF5">
      <w:pPr>
        <w:spacing w:before="240" w:after="240" w:line="240" w:lineRule="auto"/>
        <w:rPr>
          <w:color w:val="0000FF"/>
          <w:lang w:val="en-US"/>
        </w:rPr>
      </w:pPr>
      <w:r w:rsidRPr="00A47CF5">
        <w:rPr>
          <w:color w:val="0000FF"/>
          <w:lang w:val="en-US"/>
        </w:rPr>
        <w:t>We request the editorial board to provide the reviewer access to the excel format version, should that not be accessible via the reviewer portal.</w:t>
      </w:r>
    </w:p>
    <w:p w14:paraId="14DA5A48" w14:textId="77777777" w:rsidR="00F47544" w:rsidRPr="00A47CF5" w:rsidRDefault="00F47544" w:rsidP="00A47CF5">
      <w:pPr>
        <w:spacing w:before="240" w:after="240" w:line="240" w:lineRule="auto"/>
        <w:rPr>
          <w:color w:val="0000FF"/>
          <w:lang w:val="en-US"/>
        </w:rPr>
      </w:pPr>
    </w:p>
    <w:p w14:paraId="17C63E2C" w14:textId="77777777" w:rsidR="00F47544" w:rsidRPr="00A420BF" w:rsidRDefault="00F47544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2. “Materials and Methods” </w:t>
      </w:r>
    </w:p>
    <w:p w14:paraId="2B4BD270" w14:textId="77777777" w:rsidR="00F47544" w:rsidRPr="00A420BF" w:rsidRDefault="00F47544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“Clinical data codes:" </w:t>
      </w:r>
    </w:p>
    <w:p w14:paraId="16D4CBDC" w14:textId="77777777" w:rsidR="00F47544" w:rsidRPr="00A420BF" w:rsidRDefault="00F47544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“Bayes scores for segregation were derived as described previously (Thompson, Easton, &amp; Goldgar, 2003).” </w:t>
      </w:r>
    </w:p>
    <w:p w14:paraId="7C9D8119" w14:textId="77777777" w:rsidR="00F47544" w:rsidRPr="00A420BF" w:rsidRDefault="00F47544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 xml:space="preserve">I think this citation </w:t>
      </w:r>
      <w:proofErr w:type="gramStart"/>
      <w:r w:rsidRPr="00A420BF">
        <w:rPr>
          <w:color w:val="000000"/>
          <w:lang w:val="en-US"/>
        </w:rPr>
        <w:t>should be stated</w:t>
      </w:r>
      <w:proofErr w:type="gramEnd"/>
      <w:r w:rsidRPr="00A420BF">
        <w:rPr>
          <w:color w:val="000000"/>
          <w:lang w:val="en-US"/>
        </w:rPr>
        <w:t xml:space="preserve"> like Thompson et al., 2003 </w:t>
      </w:r>
    </w:p>
    <w:p w14:paraId="44648AD4" w14:textId="602EB697" w:rsidR="00563A49" w:rsidRDefault="00563A49" w:rsidP="00563A49">
      <w:pPr>
        <w:spacing w:before="240" w:after="240" w:line="240" w:lineRule="auto"/>
        <w:rPr>
          <w:color w:val="0000FF"/>
          <w:lang w:val="en-US"/>
        </w:rPr>
      </w:pPr>
      <w:r w:rsidRPr="00A47CF5">
        <w:rPr>
          <w:color w:val="0000FF"/>
          <w:lang w:val="en-US"/>
        </w:rPr>
        <w:t xml:space="preserve">The citation format </w:t>
      </w:r>
      <w:proofErr w:type="gramStart"/>
      <w:r>
        <w:rPr>
          <w:color w:val="0000FF"/>
          <w:lang w:val="en-US"/>
        </w:rPr>
        <w:t>has been updated</w:t>
      </w:r>
      <w:proofErr w:type="gramEnd"/>
      <w:r>
        <w:rPr>
          <w:color w:val="0000FF"/>
          <w:lang w:val="en-US"/>
        </w:rPr>
        <w:t xml:space="preserve"> to the current format from the Human Mutation website (APA 7</w:t>
      </w:r>
      <w:r w:rsidRPr="00287BC4">
        <w:rPr>
          <w:color w:val="0000FF"/>
          <w:vertAlign w:val="superscript"/>
          <w:lang w:val="en-US"/>
        </w:rPr>
        <w:t>th</w:t>
      </w:r>
      <w:r>
        <w:rPr>
          <w:color w:val="0000FF"/>
          <w:lang w:val="en-US"/>
        </w:rPr>
        <w:t>).</w:t>
      </w:r>
    </w:p>
    <w:p w14:paraId="7B1FA069" w14:textId="77777777" w:rsidR="00563A49" w:rsidRPr="00A47CF5" w:rsidRDefault="00563A49" w:rsidP="00563A49">
      <w:pPr>
        <w:spacing w:before="240" w:after="240" w:line="240" w:lineRule="auto"/>
        <w:rPr>
          <w:color w:val="0000FF"/>
          <w:lang w:val="en-US"/>
        </w:rPr>
      </w:pPr>
    </w:p>
    <w:p w14:paraId="21C7CCE7" w14:textId="77777777" w:rsidR="00F47544" w:rsidRPr="00A420BF" w:rsidRDefault="00F47544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3. “Bioinformatic-based codes” </w:t>
      </w:r>
    </w:p>
    <w:p w14:paraId="090C88AC" w14:textId="77777777" w:rsidR="00F47544" w:rsidRPr="00A420BF" w:rsidRDefault="00F47544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“Based on an analysis of previously published experimental and prediction data (Valenzuela-</w:t>
      </w:r>
      <w:proofErr w:type="spellStart"/>
      <w:r w:rsidRPr="00A420BF">
        <w:rPr>
          <w:color w:val="000000"/>
          <w:lang w:val="en-US"/>
        </w:rPr>
        <w:t>Palomo</w:t>
      </w:r>
      <w:proofErr w:type="spellEnd"/>
      <w:r w:rsidRPr="00A420BF">
        <w:rPr>
          <w:color w:val="000000"/>
          <w:lang w:val="en-US"/>
        </w:rPr>
        <w:t xml:space="preserve"> et al., 2022), </w:t>
      </w:r>
      <w:proofErr w:type="spellStart"/>
      <w:r w:rsidRPr="00A420BF">
        <w:rPr>
          <w:color w:val="000000"/>
          <w:lang w:val="en-US"/>
        </w:rPr>
        <w:t>SpliceAI</w:t>
      </w:r>
      <w:proofErr w:type="spellEnd"/>
      <w:r w:rsidRPr="00A420BF">
        <w:rPr>
          <w:color w:val="000000"/>
          <w:lang w:val="en-US"/>
        </w:rPr>
        <w:t xml:space="preserve"> predicted probabilities were assigned using a “two score” approach. Namely, predicted exon 3 donor loss + exon 3 acceptor loss indicate predicted exon 3 skipping, predicted exon 3 donor loss + exon 3 (or intron 4) donor gain indicate predicted shorter (or longer) exon 3, predicted exon 3 donor loss + exon 4 acceptor loss indicates predicted intron retention, etc. Conservatively, the lower of two scores was assigned as the probability to lead to a given splicing event, with lower score &gt;20% considered predictive of leading to a splicing aberration.” </w:t>
      </w:r>
    </w:p>
    <w:p w14:paraId="40E3DE4A" w14:textId="77777777" w:rsidR="00F47544" w:rsidRPr="00A420BF" w:rsidRDefault="00F47544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 </w:t>
      </w:r>
    </w:p>
    <w:p w14:paraId="4FA35061" w14:textId="43B6528B" w:rsidR="00F47544" w:rsidRPr="00A420BF" w:rsidRDefault="00F47544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I think the sentence “with lower score &gt;20% considered predictive of leading to a splicing aberration” is confusing. </w:t>
      </w:r>
      <w:r w:rsidR="002E4847" w:rsidRPr="00A420BF">
        <w:rPr>
          <w:color w:val="000000"/>
          <w:lang w:val="en-US"/>
        </w:rPr>
        <w:t xml:space="preserve"> </w:t>
      </w:r>
      <w:r w:rsidRPr="00A420BF">
        <w:rPr>
          <w:color w:val="000000"/>
          <w:lang w:val="en-US"/>
        </w:rPr>
        <w:t xml:space="preserve">It would be better to </w:t>
      </w:r>
      <w:proofErr w:type="gramStart"/>
      <w:r w:rsidRPr="00A420BF">
        <w:rPr>
          <w:color w:val="000000"/>
          <w:lang w:val="en-US"/>
        </w:rPr>
        <w:t>say:</w:t>
      </w:r>
      <w:proofErr w:type="gramEnd"/>
      <w:r w:rsidRPr="00A420BF">
        <w:rPr>
          <w:color w:val="000000"/>
          <w:lang w:val="en-US"/>
        </w:rPr>
        <w:t xml:space="preserve"> with a lower score of &gt;20% considered predictive of leading to a splicing aberration </w:t>
      </w:r>
    </w:p>
    <w:p w14:paraId="33D55E74" w14:textId="77777777" w:rsidR="00D205AC" w:rsidRDefault="002E4847" w:rsidP="00A47CF5">
      <w:pPr>
        <w:spacing w:before="240" w:after="240" w:line="240" w:lineRule="auto"/>
        <w:rPr>
          <w:color w:val="0000FF"/>
          <w:lang w:val="en-US"/>
        </w:rPr>
      </w:pPr>
      <w:r w:rsidRPr="00A47CF5">
        <w:rPr>
          <w:color w:val="0000FF"/>
          <w:lang w:val="en-US"/>
        </w:rPr>
        <w:t xml:space="preserve">We have </w:t>
      </w:r>
      <w:r w:rsidR="00D205AC">
        <w:rPr>
          <w:color w:val="0000FF"/>
          <w:lang w:val="en-US"/>
        </w:rPr>
        <w:t>reworded the paragraph to make this section clearer. Relevant text denoted below:</w:t>
      </w:r>
    </w:p>
    <w:p w14:paraId="2027264C" w14:textId="7D56F4CD" w:rsidR="00A47CF5" w:rsidRPr="00D205AC" w:rsidRDefault="00D205AC" w:rsidP="00D205AC">
      <w:pPr>
        <w:spacing w:before="240" w:after="240" w:line="240" w:lineRule="auto"/>
        <w:rPr>
          <w:i/>
          <w:color w:val="0000FF"/>
          <w:lang w:val="en-US"/>
        </w:rPr>
      </w:pPr>
      <w:r w:rsidRPr="00723C66">
        <w:rPr>
          <w:i/>
          <w:color w:val="0000FF"/>
          <w:lang w:val="en-US"/>
        </w:rPr>
        <w:lastRenderedPageBreak/>
        <w:t>Based on an analysis of previously published experimental and prediction data (Valenzuela-</w:t>
      </w:r>
      <w:proofErr w:type="spellStart"/>
      <w:r w:rsidRPr="00723C66">
        <w:rPr>
          <w:i/>
          <w:color w:val="0000FF"/>
          <w:lang w:val="en-US"/>
        </w:rPr>
        <w:t>Palomo</w:t>
      </w:r>
      <w:proofErr w:type="spellEnd"/>
      <w:r w:rsidRPr="00723C66">
        <w:rPr>
          <w:i/>
          <w:color w:val="0000FF"/>
          <w:lang w:val="en-US"/>
        </w:rPr>
        <w:t xml:space="preserve"> et al., </w:t>
      </w:r>
      <w:sdt>
        <w:sdtPr>
          <w:rPr>
            <w:i/>
            <w:color w:val="0000FF"/>
          </w:rPr>
          <w:tag w:val="goog_rdk_30"/>
          <w:id w:val="-2024074108"/>
        </w:sdtPr>
        <w:sdtEndPr/>
        <w:sdtContent/>
      </w:sdt>
      <w:r w:rsidRPr="00723C66">
        <w:rPr>
          <w:i/>
          <w:color w:val="0000FF"/>
          <w:lang w:val="en-US"/>
        </w:rPr>
        <w:t xml:space="preserve">2022), </w:t>
      </w:r>
      <w:proofErr w:type="spellStart"/>
      <w:r w:rsidRPr="00723C66">
        <w:rPr>
          <w:i/>
          <w:color w:val="0000FF"/>
          <w:lang w:val="en-US"/>
        </w:rPr>
        <w:t>SpliceAI</w:t>
      </w:r>
      <w:proofErr w:type="spellEnd"/>
      <w:r w:rsidRPr="00723C66">
        <w:rPr>
          <w:i/>
          <w:color w:val="0000FF"/>
          <w:lang w:val="en-US"/>
        </w:rPr>
        <w:t xml:space="preserve"> predicted probabilities were assigned using a “two score” approach, </w:t>
      </w:r>
      <w:r w:rsidRPr="00D205AC">
        <w:rPr>
          <w:i/>
          <w:color w:val="0000FF"/>
          <w:highlight w:val="yellow"/>
          <w:lang w:val="en-US"/>
        </w:rPr>
        <w:t xml:space="preserve">whereby observation of two different scores </w:t>
      </w:r>
      <w:r w:rsidRPr="00723C66">
        <w:rPr>
          <w:i/>
          <w:color w:val="0000FF"/>
          <w:highlight w:val="yellow"/>
          <w:lang w:val="en-US"/>
        </w:rPr>
        <w:t>&gt;20% were considered predictive of leading to a splicing aberration.</w:t>
      </w:r>
      <w:r w:rsidRPr="00723C66">
        <w:rPr>
          <w:i/>
          <w:color w:val="0000FF"/>
          <w:lang w:val="en-US"/>
        </w:rPr>
        <w:t xml:space="preserve"> Namely, predicted exon 3 donor loss + exon 3 acceptor loss indicate predicted exon 3 skipping, predicted exon 3 donor loss + exon 3 (or intron 4) donor gain indicate predicted shorter (or longer) exon 3, predicted exon 3 donor loss + exon 4 acceptor loss indicates predicted intron retention, etc. </w:t>
      </w:r>
      <w:r w:rsidRPr="00723C66">
        <w:rPr>
          <w:i/>
          <w:color w:val="0000FF"/>
          <w:highlight w:val="yellow"/>
          <w:lang w:val="en-US"/>
        </w:rPr>
        <w:t xml:space="preserve">Conservatively, the lower of the two scores used to assign a given predicted splicing event </w:t>
      </w:r>
      <w:proofErr w:type="gramStart"/>
      <w:r w:rsidRPr="00723C66">
        <w:rPr>
          <w:i/>
          <w:color w:val="0000FF"/>
          <w:highlight w:val="yellow"/>
          <w:lang w:val="en-US"/>
        </w:rPr>
        <w:t>was then used</w:t>
      </w:r>
      <w:proofErr w:type="gramEnd"/>
      <w:r w:rsidRPr="00723C66">
        <w:rPr>
          <w:i/>
          <w:color w:val="0000FF"/>
          <w:highlight w:val="yellow"/>
          <w:lang w:val="en-US"/>
        </w:rPr>
        <w:t xml:space="preserve"> as the probability to lead to that predicted event.</w:t>
      </w:r>
    </w:p>
    <w:p w14:paraId="4EDCE28F" w14:textId="4BB5FFE7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4. “Results” </w:t>
      </w:r>
    </w:p>
    <w:p w14:paraId="0AEC6A8F" w14:textId="77777777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“Table 1” </w:t>
      </w:r>
    </w:p>
    <w:p w14:paraId="409027FA" w14:textId="28F3CED7" w:rsidR="0090433C" w:rsidRPr="00A47CF5" w:rsidRDefault="002E4847" w:rsidP="00A47CF5">
      <w:pPr>
        <w:spacing w:after="160" w:line="240" w:lineRule="auto"/>
        <w:rPr>
          <w:color w:val="0000FF"/>
          <w:lang w:val="en-US"/>
        </w:rPr>
      </w:pPr>
      <w:r w:rsidRPr="00A420BF">
        <w:rPr>
          <w:color w:val="000000"/>
          <w:lang w:val="en-US"/>
        </w:rPr>
        <w:t xml:space="preserve">The variant c.280C&gt;T p.(Pro94Ser) shows 3.3% of </w:t>
      </w:r>
      <w:proofErr w:type="spellStart"/>
      <w:r w:rsidRPr="00A420BF">
        <w:rPr>
          <w:color w:val="000000"/>
          <w:lang w:val="en-US"/>
        </w:rPr>
        <w:t>dPCR</w:t>
      </w:r>
      <w:proofErr w:type="spellEnd"/>
      <w:r w:rsidRPr="00A420BF">
        <w:rPr>
          <w:color w:val="000000"/>
          <w:lang w:val="en-US"/>
        </w:rPr>
        <w:t xml:space="preserve"> inferred per-allele exclusion rate in LCL, which is lower than the level showed by the benign c.68-7T&gt;A variant of 25.2%. </w:t>
      </w:r>
      <w:r w:rsidR="0090433C" w:rsidRPr="00A420BF">
        <w:rPr>
          <w:color w:val="000000"/>
          <w:lang w:val="en-US"/>
        </w:rPr>
        <w:t xml:space="preserve"> </w:t>
      </w:r>
      <w:r w:rsidRPr="00A420BF">
        <w:rPr>
          <w:color w:val="000000"/>
          <w:lang w:val="en-US"/>
        </w:rPr>
        <w:t xml:space="preserve">Therefore, I think this variant should be written in blue </w:t>
      </w:r>
      <w:proofErr w:type="gramStart"/>
      <w:r w:rsidRPr="00A420BF">
        <w:rPr>
          <w:color w:val="000000"/>
          <w:lang w:val="en-US"/>
        </w:rPr>
        <w:t>font which</w:t>
      </w:r>
      <w:proofErr w:type="gramEnd"/>
      <w:r w:rsidRPr="00A420BF">
        <w:rPr>
          <w:color w:val="000000"/>
          <w:lang w:val="en-US"/>
        </w:rPr>
        <w:t xml:space="preserve"> is used for denoting variants with exon 3 exclusion at levels considered clinically unimportant. Consequently, the total number of variants for which their exon 3 exclusion levels </w:t>
      </w:r>
      <w:proofErr w:type="gramStart"/>
      <w:r w:rsidRPr="00A420BF">
        <w:rPr>
          <w:color w:val="000000"/>
          <w:lang w:val="en-US"/>
        </w:rPr>
        <w:t>were considered</w:t>
      </w:r>
      <w:proofErr w:type="gramEnd"/>
      <w:r w:rsidRPr="00A420BF">
        <w:rPr>
          <w:color w:val="000000"/>
          <w:lang w:val="en-US"/>
        </w:rPr>
        <w:t xml:space="preserve"> clinically unimportant are 15 unique variants not 14. </w:t>
      </w:r>
      <w:r w:rsidR="0090433C" w:rsidRPr="00A420BF">
        <w:rPr>
          <w:color w:val="000000"/>
          <w:lang w:val="en-US"/>
        </w:rPr>
        <w:t>Please review it. </w:t>
      </w:r>
    </w:p>
    <w:p w14:paraId="3E50E120" w14:textId="5A6E4929" w:rsidR="00672C97" w:rsidRPr="00A47CF5" w:rsidRDefault="00672C97" w:rsidP="00A47CF5">
      <w:pPr>
        <w:spacing w:after="160" w:line="240" w:lineRule="auto"/>
        <w:rPr>
          <w:color w:val="0000FF"/>
          <w:lang w:val="en-US"/>
        </w:rPr>
      </w:pPr>
      <w:r w:rsidRPr="00A47CF5">
        <w:rPr>
          <w:color w:val="0000FF"/>
          <w:lang w:val="en-US"/>
        </w:rPr>
        <w:t xml:space="preserve">The reviewer is correct – we have altered the font </w:t>
      </w:r>
      <w:proofErr w:type="spellStart"/>
      <w:r w:rsidRPr="00A47CF5">
        <w:rPr>
          <w:color w:val="0000FF"/>
          <w:lang w:val="en-US"/>
        </w:rPr>
        <w:t>colour</w:t>
      </w:r>
      <w:proofErr w:type="spellEnd"/>
      <w:r w:rsidRPr="00A47CF5">
        <w:rPr>
          <w:color w:val="0000FF"/>
          <w:lang w:val="en-US"/>
        </w:rPr>
        <w:t xml:space="preserve"> in the Table</w:t>
      </w:r>
      <w:r w:rsidR="0090433C" w:rsidRPr="00A47CF5">
        <w:rPr>
          <w:color w:val="0000FF"/>
          <w:lang w:val="en-US"/>
        </w:rPr>
        <w:t>, and updated the total in the manuscript from 14 to 15 for this section</w:t>
      </w:r>
      <w:r w:rsidR="00A47CF5">
        <w:rPr>
          <w:color w:val="0000FF"/>
          <w:lang w:val="en-US"/>
        </w:rPr>
        <w:t>, namely:</w:t>
      </w:r>
    </w:p>
    <w:p w14:paraId="75F4F0D8" w14:textId="77777777" w:rsidR="0090433C" w:rsidRPr="00A420BF" w:rsidRDefault="0090433C" w:rsidP="00A47CF5">
      <w:pPr>
        <w:spacing w:line="240" w:lineRule="auto"/>
        <w:jc w:val="both"/>
        <w:rPr>
          <w:i/>
          <w:color w:val="3333FF"/>
          <w:lang w:val="en-US"/>
        </w:rPr>
      </w:pPr>
      <w:r w:rsidRPr="00A420BF">
        <w:rPr>
          <w:i/>
          <w:color w:val="3333FF"/>
          <w:lang w:val="en-US"/>
        </w:rPr>
        <w:t xml:space="preserve">Considering results from either approach, assay results for a total of </w:t>
      </w:r>
      <w:r w:rsidRPr="00A420BF">
        <w:rPr>
          <w:i/>
          <w:color w:val="3333FF"/>
          <w:highlight w:val="yellow"/>
          <w:lang w:val="en-US"/>
        </w:rPr>
        <w:t>15</w:t>
      </w:r>
      <w:r w:rsidRPr="00A420BF">
        <w:rPr>
          <w:i/>
          <w:color w:val="3333FF"/>
          <w:lang w:val="en-US"/>
        </w:rPr>
        <w:t xml:space="preserve"> </w:t>
      </w:r>
      <w:sdt>
        <w:sdtPr>
          <w:rPr>
            <w:i/>
            <w:color w:val="3333FF"/>
          </w:rPr>
          <w:tag w:val="goog_rdk_49"/>
          <w:id w:val="110645504"/>
        </w:sdtPr>
        <w:sdtEndPr/>
        <w:sdtContent/>
      </w:sdt>
      <w:r w:rsidRPr="00A420BF">
        <w:rPr>
          <w:i/>
          <w:color w:val="3333FF"/>
          <w:lang w:val="en-US"/>
        </w:rPr>
        <w:t xml:space="preserve">variants indicated that ∆E3 was at levels considered clinically unimportant (not detectable, at low levels comparable to wildtype, or similar to that of benign control c.68-7T&gt;A), and there was no other impact on mRNA splicing. </w:t>
      </w:r>
    </w:p>
    <w:p w14:paraId="5CDB0E8F" w14:textId="45FED2A7" w:rsidR="00672C97" w:rsidRPr="00A420BF" w:rsidRDefault="00672C97" w:rsidP="00A47CF5">
      <w:pPr>
        <w:spacing w:before="240" w:after="240" w:line="240" w:lineRule="auto"/>
        <w:rPr>
          <w:color w:val="3333FF"/>
          <w:lang w:val="en-US"/>
        </w:rPr>
      </w:pPr>
      <w:r w:rsidRPr="00A47CF5">
        <w:rPr>
          <w:color w:val="0000FF"/>
          <w:lang w:val="en-US"/>
        </w:rPr>
        <w:t xml:space="preserve">Please note </w:t>
      </w:r>
      <w:r w:rsidRPr="00A47CF5">
        <w:rPr>
          <w:color w:val="3333FF"/>
          <w:lang w:val="en-US"/>
        </w:rPr>
        <w:t xml:space="preserve">that </w:t>
      </w:r>
      <w:r w:rsidRPr="00CC72CE">
        <w:rPr>
          <w:color w:val="3333FF"/>
          <w:lang w:val="en-US"/>
        </w:rPr>
        <w:t>c.280C&gt;T was noted correct</w:t>
      </w:r>
      <w:r w:rsidR="00480C3F">
        <w:rPr>
          <w:color w:val="3333FF"/>
          <w:lang w:val="en-US"/>
        </w:rPr>
        <w:t>ly</w:t>
      </w:r>
      <w:r w:rsidRPr="00CC72CE">
        <w:rPr>
          <w:color w:val="3333FF"/>
          <w:lang w:val="en-US"/>
        </w:rPr>
        <w:t xml:space="preserve"> in the results section ”inferred clinical relevance” as having mRNA results indicative of no clinical impact. </w:t>
      </w:r>
      <w:proofErr w:type="gramStart"/>
      <w:r w:rsidRPr="00A420BF">
        <w:rPr>
          <w:color w:val="3333FF"/>
          <w:lang w:val="en-US"/>
        </w:rPr>
        <w:t>Likewise</w:t>
      </w:r>
      <w:proofErr w:type="gramEnd"/>
      <w:r w:rsidRPr="00A420BF">
        <w:rPr>
          <w:color w:val="3333FF"/>
          <w:lang w:val="en-US"/>
        </w:rPr>
        <w:t xml:space="preserve"> the results recorded in supplementary Table 1 indicated mRNA results same as wildtype.</w:t>
      </w:r>
      <w:r w:rsidR="0090433C" w:rsidRPr="00A420BF">
        <w:rPr>
          <w:color w:val="3333FF"/>
          <w:lang w:val="en-US"/>
        </w:rPr>
        <w:t xml:space="preserve"> There are no changes to the final counts for the abstract</w:t>
      </w:r>
      <w:r w:rsidR="00A47CF5" w:rsidRPr="00A420BF">
        <w:rPr>
          <w:color w:val="3333FF"/>
          <w:lang w:val="en-US"/>
        </w:rPr>
        <w:t>, or any other parts of the manuscript</w:t>
      </w:r>
      <w:r w:rsidR="0090433C" w:rsidRPr="00A420BF">
        <w:rPr>
          <w:color w:val="3333FF"/>
          <w:lang w:val="en-US"/>
        </w:rPr>
        <w:t>.</w:t>
      </w:r>
    </w:p>
    <w:p w14:paraId="1AD7343C" w14:textId="4CFBAFB9" w:rsidR="00672C97" w:rsidRPr="00A420BF" w:rsidRDefault="00672C97" w:rsidP="00A47CF5">
      <w:pPr>
        <w:spacing w:before="240" w:after="240" w:line="240" w:lineRule="auto"/>
        <w:rPr>
          <w:color w:val="000000"/>
          <w:lang w:val="en-US"/>
        </w:rPr>
      </w:pPr>
    </w:p>
    <w:p w14:paraId="2DDCA0EE" w14:textId="77777777" w:rsidR="002E4847" w:rsidRPr="00A420BF" w:rsidRDefault="003F61AF" w:rsidP="00A47CF5">
      <w:pPr>
        <w:spacing w:after="160" w:line="240" w:lineRule="auto"/>
        <w:rPr>
          <w:color w:val="000000"/>
          <w:lang w:val="en-US"/>
        </w:rPr>
      </w:pPr>
      <w:r w:rsidRPr="00A47CF5">
        <w:rPr>
          <w:lang w:val="en-US"/>
        </w:rPr>
        <w:t xml:space="preserve"> </w:t>
      </w:r>
      <w:r w:rsidR="002E4847" w:rsidRPr="00A420BF">
        <w:rPr>
          <w:color w:val="000000"/>
          <w:lang w:val="en-US"/>
        </w:rPr>
        <w:t>5. “Inferred clinical relevance of splicing patterns” </w:t>
      </w:r>
    </w:p>
    <w:p w14:paraId="04169AF0" w14:textId="77777777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 xml:space="preserve">“The clinical interpretation of splicing results was less clear for the following variants, due to the levels of </w:t>
      </w:r>
      <w:r w:rsidRPr="00A47CF5">
        <w:rPr>
          <w:color w:val="000000"/>
        </w:rPr>
        <w:t>Δ</w:t>
      </w:r>
      <w:r w:rsidRPr="00A420BF">
        <w:rPr>
          <w:color w:val="000000"/>
          <w:lang w:val="en-US"/>
        </w:rPr>
        <w:t xml:space="preserve">E3 relative to WT controls, presence of additional aberrant (in-frame or other) transcripts, and/or ability of WT transcript to encode a missense substitution. Variants c.68-2A&gt;G and c.72_85delinsTTTAAATAGAT displayed a more complex mRNA transcript pattern, including different aberrant in-frame transcripts (Supplementary Figure S4a-b) in combination with increased </w:t>
      </w:r>
      <w:r w:rsidRPr="00A47CF5">
        <w:rPr>
          <w:color w:val="000000"/>
        </w:rPr>
        <w:t>Δ</w:t>
      </w:r>
      <w:r w:rsidRPr="00A420BF">
        <w:rPr>
          <w:color w:val="000000"/>
          <w:lang w:val="en-US"/>
        </w:rPr>
        <w:t xml:space="preserve">E3. Inferred per-allele </w:t>
      </w:r>
      <w:r w:rsidRPr="00A47CF5">
        <w:rPr>
          <w:color w:val="000000"/>
        </w:rPr>
        <w:t>Δ</w:t>
      </w:r>
      <w:r w:rsidRPr="00A420BF">
        <w:rPr>
          <w:color w:val="000000"/>
          <w:lang w:val="en-US"/>
        </w:rPr>
        <w:t xml:space="preserve">E3 levels for c.68-2A&gt;G were 19.4% (blood), and for c.72_85delinsTTTAAATAGAT were 20.8% (blood) and 49.2% (LCL). Results for c.68-2A&gt;G were similar by RNA-sequencing, with average 57.9% inferred per-allele expression of a transcript encoding p.Asp23_Leu24del, in addition to average 13.6% inferred per-allele expression of </w:t>
      </w:r>
      <w:r w:rsidRPr="00A47CF5">
        <w:rPr>
          <w:color w:val="000000"/>
        </w:rPr>
        <w:t>Δ</w:t>
      </w:r>
      <w:r w:rsidRPr="00A420BF">
        <w:rPr>
          <w:color w:val="000000"/>
          <w:lang w:val="en-US"/>
        </w:rPr>
        <w:t xml:space="preserve">E3 (Figure 2). Variant c.277_317-726delinsCCAT displayed a greater proportion of </w:t>
      </w:r>
      <w:r w:rsidRPr="00A47CF5">
        <w:rPr>
          <w:color w:val="000000"/>
        </w:rPr>
        <w:t>Δ</w:t>
      </w:r>
      <w:r w:rsidRPr="00A420BF">
        <w:rPr>
          <w:color w:val="000000"/>
          <w:lang w:val="en-US"/>
        </w:rPr>
        <w:t xml:space="preserve">E3, with </w:t>
      </w:r>
      <w:proofErr w:type="spellStart"/>
      <w:r w:rsidRPr="00A420BF">
        <w:rPr>
          <w:color w:val="000000"/>
          <w:lang w:val="en-US"/>
        </w:rPr>
        <w:t>dPCR</w:t>
      </w:r>
      <w:proofErr w:type="spellEnd"/>
      <w:r w:rsidRPr="00A420BF">
        <w:rPr>
          <w:color w:val="000000"/>
          <w:lang w:val="en-US"/>
        </w:rPr>
        <w:t xml:space="preserve"> per allele </w:t>
      </w:r>
      <w:r w:rsidRPr="00A47CF5">
        <w:rPr>
          <w:color w:val="000000"/>
        </w:rPr>
        <w:t>Δ</w:t>
      </w:r>
      <w:r w:rsidRPr="00A420BF">
        <w:rPr>
          <w:color w:val="000000"/>
          <w:lang w:val="en-US"/>
        </w:rPr>
        <w:t>E3 level of 54.6% in patient mRNA from stabilized blood (Figure 1).” </w:t>
      </w:r>
    </w:p>
    <w:p w14:paraId="00F9B201" w14:textId="381C050D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Which variants do authors refer to like having the ability of WT transcript to encode a missense substitution? </w:t>
      </w:r>
    </w:p>
    <w:p w14:paraId="066065BF" w14:textId="7351F221" w:rsidR="0090433C" w:rsidRPr="00A420BF" w:rsidRDefault="00D54D17" w:rsidP="00A47CF5">
      <w:pPr>
        <w:spacing w:after="160" w:line="240" w:lineRule="auto"/>
        <w:rPr>
          <w:color w:val="3333FF"/>
          <w:lang w:val="en-US"/>
        </w:rPr>
      </w:pPr>
      <w:r w:rsidRPr="00A420BF">
        <w:rPr>
          <w:color w:val="3333FF"/>
          <w:lang w:val="en-US"/>
        </w:rPr>
        <w:t xml:space="preserve">We </w:t>
      </w:r>
      <w:proofErr w:type="spellStart"/>
      <w:r w:rsidRPr="00A420BF">
        <w:rPr>
          <w:color w:val="3333FF"/>
          <w:lang w:val="en-US"/>
        </w:rPr>
        <w:t>apologise</w:t>
      </w:r>
      <w:proofErr w:type="spellEnd"/>
      <w:r w:rsidRPr="00A420BF">
        <w:rPr>
          <w:color w:val="3333FF"/>
          <w:lang w:val="en-US"/>
        </w:rPr>
        <w:t xml:space="preserve"> for the confusing description. </w:t>
      </w:r>
      <w:r w:rsidR="0090433C" w:rsidRPr="00A420BF">
        <w:rPr>
          <w:color w:val="3333FF"/>
          <w:lang w:val="en-US"/>
        </w:rPr>
        <w:t xml:space="preserve">This should </w:t>
      </w:r>
      <w:proofErr w:type="gramStart"/>
      <w:r w:rsidR="0090433C" w:rsidRPr="00A420BF">
        <w:rPr>
          <w:color w:val="3333FF"/>
          <w:lang w:val="en-US"/>
        </w:rPr>
        <w:t>read ”</w:t>
      </w:r>
      <w:proofErr w:type="gramEnd"/>
      <w:r w:rsidR="0090433C" w:rsidRPr="00A420BF">
        <w:rPr>
          <w:color w:val="3333FF"/>
          <w:lang w:val="en-US"/>
        </w:rPr>
        <w:t xml:space="preserve">ability of the </w:t>
      </w:r>
      <w:r w:rsidR="00986D01" w:rsidRPr="00A420BF">
        <w:rPr>
          <w:color w:val="3333FF"/>
          <w:lang w:val="en-US"/>
        </w:rPr>
        <w:t>variant</w:t>
      </w:r>
      <w:r w:rsidR="00480C3F">
        <w:rPr>
          <w:color w:val="3333FF"/>
          <w:lang w:val="en-US"/>
        </w:rPr>
        <w:t>-induced mRNA</w:t>
      </w:r>
      <w:r w:rsidR="00986D01" w:rsidRPr="00A420BF">
        <w:rPr>
          <w:color w:val="3333FF"/>
          <w:lang w:val="en-US"/>
        </w:rPr>
        <w:t xml:space="preserve"> </w:t>
      </w:r>
      <w:r w:rsidR="00480C3F">
        <w:rPr>
          <w:color w:val="3333FF"/>
          <w:lang w:val="en-US"/>
        </w:rPr>
        <w:t xml:space="preserve">transcript to encode a protein with an in-frame alteration in </w:t>
      </w:r>
      <w:r w:rsidR="00CD19BE">
        <w:rPr>
          <w:color w:val="3333FF"/>
          <w:lang w:val="en-US"/>
        </w:rPr>
        <w:t xml:space="preserve">amino acid </w:t>
      </w:r>
      <w:r w:rsidR="00480C3F">
        <w:rPr>
          <w:color w:val="3333FF"/>
          <w:lang w:val="en-US"/>
        </w:rPr>
        <w:t>sequence</w:t>
      </w:r>
      <w:r w:rsidR="0090433C" w:rsidRPr="00A420BF">
        <w:rPr>
          <w:color w:val="3333FF"/>
          <w:lang w:val="en-US"/>
        </w:rPr>
        <w:t>”</w:t>
      </w:r>
      <w:r w:rsidR="00986D01" w:rsidRPr="00A420BF">
        <w:rPr>
          <w:color w:val="3333FF"/>
          <w:lang w:val="en-US"/>
        </w:rPr>
        <w:t>.</w:t>
      </w:r>
      <w:r w:rsidR="00E54EF3" w:rsidRPr="00A420BF">
        <w:rPr>
          <w:color w:val="3333FF"/>
          <w:lang w:val="en-US"/>
        </w:rPr>
        <w:t xml:space="preserve"> </w:t>
      </w:r>
    </w:p>
    <w:p w14:paraId="41631779" w14:textId="6266527F" w:rsidR="00D54D17" w:rsidRPr="00A420BF" w:rsidRDefault="00D54D17" w:rsidP="00A47CF5">
      <w:pPr>
        <w:spacing w:after="160" w:line="240" w:lineRule="auto"/>
        <w:rPr>
          <w:color w:val="3333FF"/>
          <w:lang w:val="en-US"/>
        </w:rPr>
      </w:pPr>
      <w:r w:rsidRPr="00A420BF">
        <w:rPr>
          <w:color w:val="3333FF"/>
          <w:lang w:val="en-US"/>
        </w:rPr>
        <w:lastRenderedPageBreak/>
        <w:t>We have altered the relevant text accordingly.</w:t>
      </w:r>
    </w:p>
    <w:p w14:paraId="062E6FC3" w14:textId="77777777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The variants denoted in this paragraph having a less clear clinical interpretation of splicing results are not strictly missense variants: c.68-2A&gt;G; c.72_85delinsTTTAAATAGAT</w:t>
      </w:r>
      <w:proofErr w:type="gramStart"/>
      <w:r w:rsidRPr="00A420BF">
        <w:rPr>
          <w:color w:val="000000"/>
          <w:lang w:val="en-US"/>
        </w:rPr>
        <w:t>;</w:t>
      </w:r>
      <w:proofErr w:type="gramEnd"/>
      <w:r w:rsidRPr="00A420BF">
        <w:rPr>
          <w:color w:val="000000"/>
          <w:lang w:val="en-US"/>
        </w:rPr>
        <w:t xml:space="preserve"> c.277_317-726delinsCCAT. </w:t>
      </w:r>
    </w:p>
    <w:p w14:paraId="181FDEA4" w14:textId="08EA2176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The protein description for c.72_85delinsTTTAAATAGAT is p</w:t>
      </w:r>
      <w:proofErr w:type="gramStart"/>
      <w:r w:rsidRPr="00A420BF">
        <w:rPr>
          <w:color w:val="000000"/>
          <w:lang w:val="en-US"/>
        </w:rPr>
        <w:t>.(</w:t>
      </w:r>
      <w:proofErr w:type="gramEnd"/>
      <w:r w:rsidRPr="00A420BF">
        <w:rPr>
          <w:color w:val="000000"/>
          <w:lang w:val="en-US"/>
        </w:rPr>
        <w:t>Leu24_Leu29delinsPheLeuAsnArgPhe), that would mean that the protein would have 5 “missense” variants. Do authors refer to it like a missense variant? Please clarify it. </w:t>
      </w:r>
    </w:p>
    <w:p w14:paraId="7EA927BE" w14:textId="69041C7B" w:rsidR="00E54EF3" w:rsidRPr="00A420BF" w:rsidRDefault="00986D01" w:rsidP="00A47CF5">
      <w:pPr>
        <w:spacing w:after="160" w:line="240" w:lineRule="auto"/>
        <w:rPr>
          <w:color w:val="3333FF"/>
          <w:lang w:val="en-US"/>
        </w:rPr>
      </w:pPr>
      <w:r w:rsidRPr="00A420BF">
        <w:rPr>
          <w:color w:val="3333FF"/>
          <w:lang w:val="en-US"/>
        </w:rPr>
        <w:t xml:space="preserve">This complex alteration </w:t>
      </w:r>
      <w:r w:rsidR="001A7D0E">
        <w:rPr>
          <w:color w:val="3333FF"/>
          <w:lang w:val="en-US"/>
        </w:rPr>
        <w:t xml:space="preserve">leads to </w:t>
      </w:r>
      <w:r w:rsidRPr="00A420BF">
        <w:rPr>
          <w:color w:val="3333FF"/>
          <w:lang w:val="en-US"/>
        </w:rPr>
        <w:t>change in the protein sequence</w:t>
      </w:r>
      <w:r w:rsidR="001A7D0E">
        <w:rPr>
          <w:color w:val="3333FF"/>
          <w:lang w:val="en-US"/>
        </w:rPr>
        <w:t xml:space="preserve"> (deletion of six and insertion of five amino acids) and </w:t>
      </w:r>
      <w:proofErr w:type="gramStart"/>
      <w:r w:rsidRPr="00A420BF">
        <w:rPr>
          <w:color w:val="3333FF"/>
          <w:lang w:val="en-US"/>
        </w:rPr>
        <w:t>is considered</w:t>
      </w:r>
      <w:proofErr w:type="gramEnd"/>
      <w:r w:rsidRPr="00A420BF">
        <w:rPr>
          <w:color w:val="3333FF"/>
          <w:lang w:val="en-US"/>
        </w:rPr>
        <w:t xml:space="preserve"> a</w:t>
      </w:r>
      <w:r w:rsidR="001A7D0E">
        <w:rPr>
          <w:color w:val="3333FF"/>
          <w:lang w:val="en-US"/>
        </w:rPr>
        <w:t xml:space="preserve"> </w:t>
      </w:r>
      <w:proofErr w:type="spellStart"/>
      <w:r w:rsidR="001A7D0E">
        <w:rPr>
          <w:color w:val="3333FF"/>
          <w:lang w:val="en-US"/>
        </w:rPr>
        <w:t>delins</w:t>
      </w:r>
      <w:proofErr w:type="spellEnd"/>
      <w:r w:rsidR="001A7D0E">
        <w:rPr>
          <w:color w:val="3333FF"/>
          <w:lang w:val="en-US"/>
        </w:rPr>
        <w:t xml:space="preserve"> and not an amino acid substitution according to HGVS notation</w:t>
      </w:r>
      <w:r w:rsidRPr="00A420BF">
        <w:rPr>
          <w:color w:val="3333FF"/>
          <w:lang w:val="en-US"/>
        </w:rPr>
        <w:t xml:space="preserve">. </w:t>
      </w:r>
    </w:p>
    <w:p w14:paraId="19ACF8E5" w14:textId="09C3FDDA" w:rsidR="002E4847" w:rsidRPr="00A420BF" w:rsidRDefault="00986D01" w:rsidP="00A47CF5">
      <w:pPr>
        <w:spacing w:after="160" w:line="240" w:lineRule="auto"/>
        <w:rPr>
          <w:color w:val="3333FF"/>
          <w:lang w:val="en-US"/>
        </w:rPr>
      </w:pPr>
      <w:r w:rsidRPr="00A420BF">
        <w:rPr>
          <w:color w:val="3333FF"/>
          <w:lang w:val="en-US"/>
        </w:rPr>
        <w:t xml:space="preserve">We have now amended the text to describe this variant as </w:t>
      </w:r>
      <w:proofErr w:type="gramStart"/>
      <w:r w:rsidRPr="00A420BF">
        <w:rPr>
          <w:color w:val="3333FF"/>
          <w:lang w:val="en-US"/>
        </w:rPr>
        <w:t>a ”</w:t>
      </w:r>
      <w:proofErr w:type="gramEnd"/>
      <w:r w:rsidRPr="00A420BF">
        <w:rPr>
          <w:color w:val="3333FF"/>
          <w:highlight w:val="yellow"/>
          <w:lang w:val="en-US"/>
        </w:rPr>
        <w:t>complex</w:t>
      </w:r>
      <w:r w:rsidR="001A7D0E">
        <w:rPr>
          <w:color w:val="3333FF"/>
          <w:highlight w:val="yellow"/>
          <w:lang w:val="en-US"/>
        </w:rPr>
        <w:t xml:space="preserve"> deletion-insertion</w:t>
      </w:r>
      <w:r w:rsidRPr="00A420BF">
        <w:rPr>
          <w:color w:val="3333FF"/>
          <w:highlight w:val="yellow"/>
          <w:lang w:val="en-US"/>
        </w:rPr>
        <w:t xml:space="preserve"> variant</w:t>
      </w:r>
      <w:r w:rsidRPr="00A420BF">
        <w:rPr>
          <w:color w:val="3333FF"/>
          <w:lang w:val="en-US"/>
        </w:rPr>
        <w:t>” to clarify.</w:t>
      </w:r>
    </w:p>
    <w:p w14:paraId="722A394F" w14:textId="77777777" w:rsidR="00A47CF5" w:rsidRPr="00A420BF" w:rsidRDefault="00A47CF5" w:rsidP="00A47CF5">
      <w:pPr>
        <w:spacing w:after="160" w:line="240" w:lineRule="auto"/>
        <w:rPr>
          <w:color w:val="3333FF"/>
          <w:lang w:val="en-US"/>
        </w:rPr>
      </w:pPr>
    </w:p>
    <w:p w14:paraId="1BD52F54" w14:textId="77777777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6. Discussion </w:t>
      </w:r>
    </w:p>
    <w:p w14:paraId="5C855D97" w14:textId="77777777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“Possible future directions arising from laboratory findings” </w:t>
      </w:r>
    </w:p>
    <w:p w14:paraId="03644CEA" w14:textId="77777777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 xml:space="preserve">“Based on quantitative </w:t>
      </w:r>
      <w:r w:rsidRPr="00A47CF5">
        <w:rPr>
          <w:color w:val="000000"/>
        </w:rPr>
        <w:t>Δ</w:t>
      </w:r>
      <w:r w:rsidRPr="00A420BF">
        <w:rPr>
          <w:color w:val="000000"/>
          <w:lang w:val="en-US"/>
        </w:rPr>
        <w:t xml:space="preserve">E3 measurement methods, the combined observations suggest that 56% per-allele expression level of </w:t>
      </w:r>
      <w:r w:rsidRPr="00A47CF5">
        <w:rPr>
          <w:color w:val="000000"/>
        </w:rPr>
        <w:t>Δ</w:t>
      </w:r>
      <w:r w:rsidRPr="00A420BF">
        <w:rPr>
          <w:color w:val="000000"/>
          <w:lang w:val="en-US"/>
        </w:rPr>
        <w:t xml:space="preserve">E3 (44% wildtype) is sufficient to retain viability, but ~80% </w:t>
      </w:r>
      <w:r w:rsidRPr="00A47CF5">
        <w:rPr>
          <w:color w:val="000000"/>
        </w:rPr>
        <w:t>Δ</w:t>
      </w:r>
      <w:r w:rsidRPr="00A420BF">
        <w:rPr>
          <w:color w:val="000000"/>
          <w:lang w:val="en-US"/>
        </w:rPr>
        <w:t xml:space="preserve">E3 (~20% wildtype) displays across- and within-study discordant results suggestive of </w:t>
      </w:r>
      <w:proofErr w:type="spellStart"/>
      <w:r w:rsidRPr="00A420BF">
        <w:rPr>
          <w:color w:val="000000"/>
          <w:lang w:val="en-US"/>
        </w:rPr>
        <w:t>hypomorphic</w:t>
      </w:r>
      <w:proofErr w:type="spellEnd"/>
      <w:r w:rsidRPr="00A420BF">
        <w:rPr>
          <w:color w:val="000000"/>
          <w:lang w:val="en-US"/>
        </w:rPr>
        <w:t xml:space="preserve"> effect (and potentially associated with reduced cancer risk). It will be critical to compile additional clinical data to inform classifications of these </w:t>
      </w:r>
      <w:proofErr w:type="gramStart"/>
      <w:r w:rsidRPr="00A420BF">
        <w:rPr>
          <w:color w:val="000000"/>
          <w:lang w:val="en-US"/>
        </w:rPr>
        <w:t>variants,</w:t>
      </w:r>
      <w:proofErr w:type="gramEnd"/>
      <w:r w:rsidRPr="00A420BF">
        <w:rPr>
          <w:color w:val="000000"/>
          <w:lang w:val="en-US"/>
        </w:rPr>
        <w:t xml:space="preserve"> and in parallel to consider alternative functional assays that may capture more subtle impacts on function” </w:t>
      </w:r>
    </w:p>
    <w:p w14:paraId="7D2AFE2E" w14:textId="4B9FC4C0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 xml:space="preserve">For clarity, I think it is missing to denote the variants for which the 56% or the ~80% </w:t>
      </w:r>
      <w:r w:rsidRPr="00A47CF5">
        <w:rPr>
          <w:color w:val="000000"/>
        </w:rPr>
        <w:t>Δ</w:t>
      </w:r>
      <w:r w:rsidRPr="00A420BF">
        <w:rPr>
          <w:color w:val="000000"/>
          <w:lang w:val="en-US"/>
        </w:rPr>
        <w:t>E3 are referred to as well as saying that the data for this asse</w:t>
      </w:r>
      <w:r w:rsidR="00A46685" w:rsidRPr="00A420BF">
        <w:rPr>
          <w:color w:val="000000"/>
          <w:lang w:val="en-US"/>
        </w:rPr>
        <w:t>r</w:t>
      </w:r>
      <w:r w:rsidRPr="00A420BF">
        <w:rPr>
          <w:color w:val="000000"/>
          <w:lang w:val="en-US"/>
        </w:rPr>
        <w:t>tion is derived from the mESC assay. </w:t>
      </w:r>
    </w:p>
    <w:p w14:paraId="6AF3AB7A" w14:textId="77777777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For example: </w:t>
      </w:r>
    </w:p>
    <w:p w14:paraId="21065E3C" w14:textId="77777777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proofErr w:type="gramStart"/>
      <w:r w:rsidRPr="00A420BF">
        <w:rPr>
          <w:color w:val="000000"/>
          <w:lang w:val="en-US"/>
        </w:rPr>
        <w:t xml:space="preserve">“Based on quantitative </w:t>
      </w:r>
      <w:r w:rsidRPr="00A47CF5">
        <w:rPr>
          <w:color w:val="000000"/>
        </w:rPr>
        <w:t>Δ</w:t>
      </w:r>
      <w:r w:rsidRPr="00A420BF">
        <w:rPr>
          <w:color w:val="000000"/>
          <w:lang w:val="en-US"/>
        </w:rPr>
        <w:t xml:space="preserve">E3 measurement methods, the combined observations for variant c.316+6T&gt;C suggest that 56% per-allele expression level of </w:t>
      </w:r>
      <w:r w:rsidRPr="00A47CF5">
        <w:rPr>
          <w:color w:val="000000"/>
        </w:rPr>
        <w:t>Δ</w:t>
      </w:r>
      <w:r w:rsidRPr="00A420BF">
        <w:rPr>
          <w:color w:val="000000"/>
          <w:lang w:val="en-US"/>
        </w:rPr>
        <w:t xml:space="preserve">E3 (44% wildtype) is sufficient to retain viability (showed by the mESC assay), but ~80% </w:t>
      </w:r>
      <w:r w:rsidRPr="00A47CF5">
        <w:rPr>
          <w:color w:val="000000"/>
        </w:rPr>
        <w:t>Δ</w:t>
      </w:r>
      <w:r w:rsidRPr="00A420BF">
        <w:rPr>
          <w:color w:val="000000"/>
          <w:lang w:val="en-US"/>
        </w:rPr>
        <w:t xml:space="preserve">E3 (~20% wildtype) for c.316+6T&gt;G and c.316+6T&gt;A variants, displays across- and within-study discordant results suggestive of </w:t>
      </w:r>
      <w:proofErr w:type="spellStart"/>
      <w:r w:rsidRPr="00A420BF">
        <w:rPr>
          <w:color w:val="000000"/>
          <w:lang w:val="en-US"/>
        </w:rPr>
        <w:t>hypomorphic</w:t>
      </w:r>
      <w:proofErr w:type="spellEnd"/>
      <w:r w:rsidRPr="00A420BF">
        <w:rPr>
          <w:color w:val="000000"/>
          <w:lang w:val="en-US"/>
        </w:rPr>
        <w:t xml:space="preserve"> effect (and potentially associated with reduced cancer risk).” </w:t>
      </w:r>
      <w:proofErr w:type="gramEnd"/>
    </w:p>
    <w:p w14:paraId="22BBACEE" w14:textId="58A77B24" w:rsidR="00CD19BE" w:rsidRDefault="002E4847" w:rsidP="00A47CF5">
      <w:pPr>
        <w:spacing w:after="160" w:line="240" w:lineRule="auto"/>
        <w:rPr>
          <w:color w:val="3333FF"/>
          <w:lang w:val="en-US"/>
        </w:rPr>
      </w:pPr>
      <w:r w:rsidRPr="00A420BF">
        <w:rPr>
          <w:color w:val="000000"/>
          <w:lang w:val="en-US"/>
        </w:rPr>
        <w:t> </w:t>
      </w:r>
      <w:r w:rsidR="00A46685" w:rsidRPr="00A420BF">
        <w:rPr>
          <w:color w:val="3333FF"/>
          <w:lang w:val="en-US"/>
        </w:rPr>
        <w:t xml:space="preserve">We have amended the text as suggested, with </w:t>
      </w:r>
      <w:r w:rsidR="00CD19BE">
        <w:rPr>
          <w:color w:val="3333FF"/>
          <w:lang w:val="en-US"/>
        </w:rPr>
        <w:t xml:space="preserve">minor </w:t>
      </w:r>
      <w:r w:rsidR="00A46685" w:rsidRPr="00A420BF">
        <w:rPr>
          <w:color w:val="3333FF"/>
          <w:lang w:val="en-US"/>
        </w:rPr>
        <w:t>grammatical correction</w:t>
      </w:r>
      <w:r w:rsidR="00CD19BE">
        <w:rPr>
          <w:color w:val="3333FF"/>
          <w:lang w:val="en-US"/>
        </w:rPr>
        <w:t>s</w:t>
      </w:r>
      <w:r w:rsidR="00A46685" w:rsidRPr="00A420BF">
        <w:rPr>
          <w:color w:val="3333FF"/>
          <w:lang w:val="en-US"/>
        </w:rPr>
        <w:t>, namely:</w:t>
      </w:r>
      <w:r w:rsidR="00A47CF5" w:rsidRPr="00A420BF">
        <w:rPr>
          <w:color w:val="3333FF"/>
          <w:lang w:val="en-US"/>
        </w:rPr>
        <w:t xml:space="preserve"> </w:t>
      </w:r>
    </w:p>
    <w:p w14:paraId="4357083E" w14:textId="5F97C74F" w:rsidR="00CD19BE" w:rsidRPr="00CD19BE" w:rsidRDefault="00CD19BE" w:rsidP="00A47CF5">
      <w:pPr>
        <w:spacing w:after="160" w:line="240" w:lineRule="auto"/>
        <w:rPr>
          <w:color w:val="3333FF"/>
          <w:lang w:val="en-US"/>
        </w:rPr>
      </w:pPr>
      <w:proofErr w:type="gramStart"/>
      <w:r w:rsidRPr="00723C66">
        <w:rPr>
          <w:i/>
          <w:color w:val="0000FF"/>
          <w:lang w:val="en-US"/>
        </w:rPr>
        <w:t xml:space="preserve">Based on quantitative ∆E3 measurement methods, the combined observations suggest that 56% per-allele expression level of ∆E3 (44% wildtype) </w:t>
      </w:r>
      <w:r w:rsidR="003A553A" w:rsidRPr="00CD19BE">
        <w:rPr>
          <w:i/>
          <w:color w:val="0000FF"/>
          <w:highlight w:val="yellow"/>
          <w:lang w:val="en-US"/>
        </w:rPr>
        <w:t>for variant c.316+6T&gt;C</w:t>
      </w:r>
      <w:r w:rsidR="003A553A" w:rsidRPr="00CD19BE">
        <w:rPr>
          <w:i/>
          <w:color w:val="0000FF"/>
          <w:lang w:val="en-US"/>
        </w:rPr>
        <w:t xml:space="preserve"> </w:t>
      </w:r>
      <w:r w:rsidRPr="00723C66">
        <w:rPr>
          <w:i/>
          <w:color w:val="0000FF"/>
          <w:lang w:val="en-US"/>
        </w:rPr>
        <w:t>is sufficient to retain viability (</w:t>
      </w:r>
      <w:r w:rsidRPr="00723C66">
        <w:rPr>
          <w:i/>
          <w:color w:val="0000FF"/>
          <w:highlight w:val="yellow"/>
          <w:lang w:val="en-US"/>
        </w:rPr>
        <w:t>shown by the mESC assay</w:t>
      </w:r>
      <w:r w:rsidRPr="00723C66">
        <w:rPr>
          <w:i/>
          <w:color w:val="0000FF"/>
          <w:lang w:val="en-US"/>
        </w:rPr>
        <w:t xml:space="preserve">), but ~80% ∆E3 (~20% wildtype) </w:t>
      </w:r>
      <w:r w:rsidRPr="00723C66">
        <w:rPr>
          <w:i/>
          <w:color w:val="0000FF"/>
          <w:highlight w:val="yellow"/>
          <w:lang w:val="en-US"/>
        </w:rPr>
        <w:t xml:space="preserve">for the </w:t>
      </w:r>
      <w:r w:rsidRPr="00CD19BE">
        <w:rPr>
          <w:i/>
          <w:color w:val="0000FF"/>
          <w:highlight w:val="yellow"/>
          <w:lang w:val="en-US"/>
        </w:rPr>
        <w:t>c.316+6T&gt;G and c.316+6T&gt;A variants</w:t>
      </w:r>
      <w:r w:rsidRPr="00723C66">
        <w:rPr>
          <w:i/>
          <w:color w:val="0000FF"/>
          <w:lang w:val="en-US"/>
        </w:rPr>
        <w:t xml:space="preserve"> displays across- and within-study discordant results suggestive of </w:t>
      </w:r>
      <w:proofErr w:type="spellStart"/>
      <w:r w:rsidRPr="00723C66">
        <w:rPr>
          <w:i/>
          <w:color w:val="0000FF"/>
          <w:lang w:val="en-US"/>
        </w:rPr>
        <w:t>hypomorphic</w:t>
      </w:r>
      <w:proofErr w:type="spellEnd"/>
      <w:r w:rsidRPr="00723C66">
        <w:rPr>
          <w:i/>
          <w:color w:val="0000FF"/>
          <w:lang w:val="en-US"/>
        </w:rPr>
        <w:t xml:space="preserve"> effect (and potentially associated with reduced cancer risk).</w:t>
      </w:r>
      <w:proofErr w:type="gramEnd"/>
    </w:p>
    <w:p w14:paraId="3DCCCD66" w14:textId="3FC8BA48" w:rsidR="00A46685" w:rsidRPr="00A420BF" w:rsidRDefault="00A46685" w:rsidP="00A47CF5">
      <w:pPr>
        <w:spacing w:after="160" w:line="240" w:lineRule="auto"/>
        <w:rPr>
          <w:i/>
          <w:color w:val="3333FF"/>
          <w:lang w:val="en-US"/>
        </w:rPr>
      </w:pPr>
    </w:p>
    <w:p w14:paraId="75805957" w14:textId="77777777" w:rsidR="00A47CF5" w:rsidRPr="00A420BF" w:rsidRDefault="00A47CF5" w:rsidP="00A47CF5">
      <w:pPr>
        <w:spacing w:after="160" w:line="240" w:lineRule="auto"/>
        <w:rPr>
          <w:i/>
          <w:color w:val="3333FF"/>
          <w:lang w:val="en-US"/>
        </w:rPr>
      </w:pPr>
    </w:p>
    <w:p w14:paraId="6F2B5883" w14:textId="77777777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7. SUPPLEMENTARY FIGURES </w:t>
      </w:r>
    </w:p>
    <w:p w14:paraId="6CEF81F6" w14:textId="77777777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- “Figure S4e.” </w:t>
      </w:r>
    </w:p>
    <w:p w14:paraId="3B59BB9E" w14:textId="2237B0AA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In the legend, please delete “</w:t>
      </w:r>
      <w:proofErr w:type="spellStart"/>
      <w:r w:rsidRPr="00A420BF">
        <w:rPr>
          <w:color w:val="000000"/>
          <w:lang w:val="en-US"/>
        </w:rPr>
        <w:t>WTcntr</w:t>
      </w:r>
      <w:proofErr w:type="spellEnd"/>
      <w:r w:rsidRPr="00A420BF">
        <w:rPr>
          <w:color w:val="000000"/>
          <w:lang w:val="en-US"/>
        </w:rPr>
        <w:t xml:space="preserve"> = WT control” </w:t>
      </w:r>
    </w:p>
    <w:p w14:paraId="4D812912" w14:textId="534148AC" w:rsidR="00A46685" w:rsidRPr="00A420BF" w:rsidRDefault="00A46685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3333FF"/>
          <w:lang w:val="en-US"/>
        </w:rPr>
        <w:t xml:space="preserve">Since </w:t>
      </w:r>
      <w:proofErr w:type="spellStart"/>
      <w:r w:rsidRPr="00A420BF">
        <w:rPr>
          <w:color w:val="3333FF"/>
          <w:lang w:val="en-US"/>
        </w:rPr>
        <w:t>WTcntr</w:t>
      </w:r>
      <w:proofErr w:type="spellEnd"/>
      <w:r w:rsidRPr="00A420BF">
        <w:rPr>
          <w:color w:val="3333FF"/>
          <w:lang w:val="en-US"/>
        </w:rPr>
        <w:t xml:space="preserve"> is an incomplete description </w:t>
      </w:r>
      <w:r w:rsidR="00D54D17" w:rsidRPr="00A420BF">
        <w:rPr>
          <w:color w:val="3333FF"/>
          <w:lang w:val="en-US"/>
        </w:rPr>
        <w:t xml:space="preserve">embedded in the figure </w:t>
      </w:r>
      <w:r w:rsidRPr="00A420BF">
        <w:rPr>
          <w:color w:val="3333FF"/>
          <w:lang w:val="en-US"/>
        </w:rPr>
        <w:t xml:space="preserve">(which </w:t>
      </w:r>
      <w:proofErr w:type="gramStart"/>
      <w:r w:rsidRPr="00A420BF">
        <w:rPr>
          <w:color w:val="3333FF"/>
          <w:lang w:val="en-US"/>
        </w:rPr>
        <w:t>cannot be amended</w:t>
      </w:r>
      <w:proofErr w:type="gramEnd"/>
      <w:r w:rsidRPr="00A420BF">
        <w:rPr>
          <w:color w:val="3333FF"/>
          <w:lang w:val="en-US"/>
        </w:rPr>
        <w:t xml:space="preserve"> f</w:t>
      </w:r>
      <w:r w:rsidR="00D54D17" w:rsidRPr="00A420BF">
        <w:rPr>
          <w:color w:val="3333FF"/>
          <w:lang w:val="en-US"/>
        </w:rPr>
        <w:t>or</w:t>
      </w:r>
      <w:r w:rsidRPr="00A420BF">
        <w:rPr>
          <w:color w:val="3333FF"/>
          <w:lang w:val="en-US"/>
        </w:rPr>
        <w:t xml:space="preserve"> this historically generated figure), we prefer to retain the description </w:t>
      </w:r>
      <w:r w:rsidR="00D54D17" w:rsidRPr="00A420BF">
        <w:rPr>
          <w:color w:val="3333FF"/>
          <w:lang w:val="en-US"/>
        </w:rPr>
        <w:t xml:space="preserve">in the legend </w:t>
      </w:r>
      <w:r w:rsidRPr="00A420BF">
        <w:rPr>
          <w:color w:val="3333FF"/>
          <w:lang w:val="en-US"/>
        </w:rPr>
        <w:t>for completeness.</w:t>
      </w:r>
    </w:p>
    <w:p w14:paraId="7C7F82F9" w14:textId="77777777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lastRenderedPageBreak/>
        <w:t> </w:t>
      </w:r>
    </w:p>
    <w:p w14:paraId="42D07DD9" w14:textId="77777777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EDITORIAL BOARD'S COMMENTS </w:t>
      </w:r>
    </w:p>
    <w:p w14:paraId="5378BD2E" w14:textId="77777777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Communicating Editor </w:t>
      </w:r>
    </w:p>
    <w:p w14:paraId="59FE7543" w14:textId="77777777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Comments to the Author: </w:t>
      </w:r>
    </w:p>
    <w:p w14:paraId="11E5663B" w14:textId="6AEF4ACE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 xml:space="preserve">See recommended edits from the Reviewer, most of which are not serious, although #s 4 and 6 are </w:t>
      </w:r>
      <w:proofErr w:type="gramStart"/>
      <w:r w:rsidRPr="00A420BF">
        <w:rPr>
          <w:color w:val="000000"/>
          <w:lang w:val="en-US"/>
        </w:rPr>
        <w:t>not insignificant</w:t>
      </w:r>
      <w:proofErr w:type="gramEnd"/>
      <w:r w:rsidRPr="00A420BF">
        <w:rPr>
          <w:color w:val="000000"/>
          <w:lang w:val="en-US"/>
        </w:rPr>
        <w:t>. </w:t>
      </w:r>
    </w:p>
    <w:p w14:paraId="7915C143" w14:textId="507B555D" w:rsidR="00A46685" w:rsidRPr="00A420BF" w:rsidRDefault="00A46685" w:rsidP="00A47CF5">
      <w:pPr>
        <w:spacing w:after="160" w:line="240" w:lineRule="auto"/>
        <w:rPr>
          <w:color w:val="3333FF"/>
          <w:lang w:val="en-US"/>
        </w:rPr>
      </w:pPr>
      <w:r w:rsidRPr="00A420BF">
        <w:rPr>
          <w:color w:val="3333FF"/>
          <w:lang w:val="en-US"/>
        </w:rPr>
        <w:t>We have specifically made edits in response to comments #4 and #6, and addressed all other comments as noted above.</w:t>
      </w:r>
    </w:p>
    <w:p w14:paraId="288FA593" w14:textId="77777777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 </w:t>
      </w:r>
    </w:p>
    <w:p w14:paraId="29CFBE76" w14:textId="77777777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MANAGING EDITOR’S COMMENTS: </w:t>
      </w:r>
    </w:p>
    <w:p w14:paraId="21CA8857" w14:textId="77777777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Thank you for your revisions. Please see the below additional comments and respond to them. </w:t>
      </w:r>
    </w:p>
    <w:p w14:paraId="71DD326A" w14:textId="77777777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 </w:t>
      </w:r>
    </w:p>
    <w:p w14:paraId="4DE41148" w14:textId="77777777" w:rsidR="002E4847" w:rsidRPr="00723C66" w:rsidRDefault="002E4847" w:rsidP="00A47CF5">
      <w:pPr>
        <w:spacing w:after="160" w:line="240" w:lineRule="auto"/>
        <w:rPr>
          <w:color w:val="000000"/>
          <w:lang w:val="en-US"/>
        </w:rPr>
      </w:pPr>
      <w:r w:rsidRPr="00723C66">
        <w:rPr>
          <w:color w:val="000000"/>
          <w:lang w:val="en-US"/>
        </w:rPr>
        <w:t>1. DATA AVAILABILITY STATEMENT </w:t>
      </w:r>
    </w:p>
    <w:p w14:paraId="4177CBE6" w14:textId="77777777" w:rsidR="002E4847" w:rsidRPr="00CC72CE" w:rsidRDefault="002E4847" w:rsidP="00A47CF5">
      <w:pPr>
        <w:spacing w:after="160" w:line="240" w:lineRule="auto"/>
        <w:rPr>
          <w:color w:val="000000"/>
          <w:lang w:val="en-US"/>
        </w:rPr>
      </w:pPr>
      <w:r w:rsidRPr="00CC72CE">
        <w:rPr>
          <w:color w:val="000000"/>
          <w:lang w:val="en-US"/>
        </w:rPr>
        <w:t xml:space="preserve">Your statement in the Web Resources section "All variant in this study are submitted to </w:t>
      </w:r>
      <w:hyperlink r:id="rId4" w:history="1">
        <w:r w:rsidRPr="00CC72CE">
          <w:rPr>
            <w:rStyle w:val="Hyperlink"/>
            <w:lang w:val="en-US"/>
          </w:rPr>
          <w:t>https://www.lovd.nl</w:t>
        </w:r>
      </w:hyperlink>
      <w:r w:rsidRPr="00CC72CE">
        <w:rPr>
          <w:color w:val="000000"/>
          <w:lang w:val="en-US"/>
        </w:rPr>
        <w:t xml:space="preserve">" </w:t>
      </w:r>
      <w:proofErr w:type="gramStart"/>
      <w:r w:rsidRPr="00CC72CE">
        <w:rPr>
          <w:color w:val="000000"/>
          <w:lang w:val="en-US"/>
        </w:rPr>
        <w:t>must be moved</w:t>
      </w:r>
      <w:proofErr w:type="gramEnd"/>
      <w:r w:rsidRPr="00CC72CE">
        <w:rPr>
          <w:color w:val="000000"/>
          <w:lang w:val="en-US"/>
        </w:rPr>
        <w:t xml:space="preserve"> to the Data Availability Statement. </w:t>
      </w:r>
    </w:p>
    <w:p w14:paraId="312CE5BC" w14:textId="00C07ADA" w:rsidR="00D54D17" w:rsidRPr="00A420BF" w:rsidRDefault="00D54D17" w:rsidP="00A47CF5">
      <w:pPr>
        <w:spacing w:after="160" w:line="240" w:lineRule="auto"/>
        <w:rPr>
          <w:color w:val="3333FF"/>
          <w:lang w:val="en-US"/>
        </w:rPr>
      </w:pPr>
      <w:r w:rsidRPr="00A420BF">
        <w:rPr>
          <w:color w:val="3333FF"/>
          <w:lang w:val="en-US"/>
        </w:rPr>
        <w:t>We have now updated the data availability section to include the following statement (adapted from our previous response letter):</w:t>
      </w:r>
    </w:p>
    <w:p w14:paraId="68B18ED9" w14:textId="77777777" w:rsidR="00D54D17" w:rsidRPr="00A47CF5" w:rsidRDefault="00D54D17" w:rsidP="00A47CF5">
      <w:pPr>
        <w:spacing w:after="200" w:line="240" w:lineRule="auto"/>
        <w:jc w:val="both"/>
        <w:rPr>
          <w:i/>
          <w:color w:val="3333FF"/>
          <w:lang w:val="en-US"/>
        </w:rPr>
      </w:pPr>
      <w:r w:rsidRPr="00A420BF">
        <w:rPr>
          <w:i/>
          <w:color w:val="3333FF"/>
          <w:highlight w:val="yellow"/>
          <w:lang w:val="en-US"/>
        </w:rPr>
        <w:t>A</w:t>
      </w:r>
      <w:r w:rsidRPr="00A47CF5">
        <w:rPr>
          <w:i/>
          <w:color w:val="3333FF"/>
          <w:highlight w:val="yellow"/>
          <w:lang w:val="en-US"/>
        </w:rPr>
        <w:t xml:space="preserve">ll variants in the project </w:t>
      </w:r>
      <w:proofErr w:type="gramStart"/>
      <w:r w:rsidRPr="00A420BF">
        <w:rPr>
          <w:i/>
          <w:color w:val="3333FF"/>
          <w:highlight w:val="yellow"/>
          <w:lang w:val="en-US"/>
        </w:rPr>
        <w:t>have been submitted</w:t>
      </w:r>
      <w:proofErr w:type="gramEnd"/>
      <w:r w:rsidRPr="00A420BF">
        <w:rPr>
          <w:i/>
          <w:color w:val="3333FF"/>
          <w:highlight w:val="yellow"/>
          <w:lang w:val="en-US"/>
        </w:rPr>
        <w:t xml:space="preserve"> </w:t>
      </w:r>
      <w:r w:rsidRPr="00A47CF5">
        <w:rPr>
          <w:i/>
          <w:color w:val="3333FF"/>
          <w:highlight w:val="yellow"/>
          <w:lang w:val="en-US"/>
        </w:rPr>
        <w:t>to the LOVD3 database.</w:t>
      </w:r>
      <w:r w:rsidRPr="00A47CF5">
        <w:rPr>
          <w:i/>
          <w:color w:val="3333FF"/>
          <w:lang w:val="en-US"/>
        </w:rPr>
        <w:t xml:space="preserve"> </w:t>
      </w:r>
    </w:p>
    <w:p w14:paraId="50C0C786" w14:textId="77777777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 </w:t>
      </w:r>
    </w:p>
    <w:p w14:paraId="0EB33ACC" w14:textId="48BDC361" w:rsidR="002E4847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2. ON RESUBMISSION: After making edits to the manuscript, please provide a HIGHLIGHTED VERSION of your revised manuscript by highlighting the revised text (preferably in red ink), or any other changes done to the manuscript. Kindly avoid strike-through text or comments and avoid submitting a document with tracked changes. Please ensure to upload a CLEAN VERSION (no highlighted sentences, strike-through words, or comments in margins) along with the HIGHLIGHTED VERSION of your manuscript. In this way, the reviewers/editors can easily see your edits in the highlighted versions and the final paper in the clean versions. </w:t>
      </w:r>
    </w:p>
    <w:p w14:paraId="32FD3582" w14:textId="6557914F" w:rsidR="003A553A" w:rsidRDefault="003A553A" w:rsidP="00A47CF5">
      <w:pPr>
        <w:spacing w:after="160" w:line="240" w:lineRule="auto"/>
        <w:rPr>
          <w:color w:val="FF0000"/>
          <w:lang w:val="en-US"/>
        </w:rPr>
      </w:pPr>
      <w:r w:rsidRPr="00220956">
        <w:rPr>
          <w:color w:val="0000FF"/>
          <w:lang w:val="en-US"/>
        </w:rPr>
        <w:t xml:space="preserve">We have shown changes with </w:t>
      </w:r>
      <w:r w:rsidRPr="00220956">
        <w:rPr>
          <w:color w:val="0000FF"/>
          <w:highlight w:val="yellow"/>
          <w:lang w:val="en-US"/>
        </w:rPr>
        <w:t>yellow highligh</w:t>
      </w:r>
      <w:r w:rsidRPr="00220956">
        <w:rPr>
          <w:color w:val="0000FF"/>
          <w:lang w:val="en-US"/>
        </w:rPr>
        <w:t xml:space="preserve">t in the </w:t>
      </w:r>
      <w:r w:rsidR="00CC2D2B">
        <w:rPr>
          <w:color w:val="0000FF"/>
          <w:lang w:val="en-US"/>
        </w:rPr>
        <w:t xml:space="preserve">document </w:t>
      </w:r>
      <w:r w:rsidRPr="00220956">
        <w:rPr>
          <w:color w:val="0000FF"/>
          <w:lang w:val="en-US"/>
        </w:rPr>
        <w:t xml:space="preserve">version </w:t>
      </w:r>
      <w:r w:rsidR="00573512">
        <w:rPr>
          <w:color w:val="0000FF"/>
          <w:lang w:val="en-US"/>
        </w:rPr>
        <w:t>named Exon3_Text_2022-08-04_highlighted.</w:t>
      </w:r>
    </w:p>
    <w:p w14:paraId="74E7B351" w14:textId="243EE43A" w:rsidR="00CC2D2B" w:rsidRPr="00573512" w:rsidRDefault="00CC2D2B" w:rsidP="00A47CF5">
      <w:pPr>
        <w:spacing w:after="160" w:line="240" w:lineRule="auto"/>
        <w:rPr>
          <w:color w:val="0000FF"/>
          <w:lang w:val="en-US"/>
        </w:rPr>
      </w:pPr>
      <w:r w:rsidRPr="00573512">
        <w:rPr>
          <w:color w:val="0000FF"/>
          <w:lang w:val="en-US"/>
        </w:rPr>
        <w:t xml:space="preserve">Similarly, we have shown changes in Table 1 in </w:t>
      </w:r>
      <w:r w:rsidRPr="00573512">
        <w:rPr>
          <w:color w:val="0000FF"/>
          <w:highlight w:val="yellow"/>
          <w:lang w:val="en-US"/>
        </w:rPr>
        <w:t>yellow highlight</w:t>
      </w:r>
      <w:r w:rsidRPr="00573512">
        <w:rPr>
          <w:color w:val="0000FF"/>
          <w:lang w:val="en-US"/>
        </w:rPr>
        <w:t>, in the version named</w:t>
      </w:r>
      <w:r w:rsidR="00573512">
        <w:rPr>
          <w:color w:val="0000FF"/>
          <w:lang w:val="en-US"/>
        </w:rPr>
        <w:t xml:space="preserve"> </w:t>
      </w:r>
      <w:r w:rsidR="00723C66" w:rsidRPr="00723C66">
        <w:rPr>
          <w:color w:val="0000FF"/>
          <w:lang w:val="en-US"/>
        </w:rPr>
        <w:t>Exon 3_Table 1_2022-08-04_highlighted-v2</w:t>
      </w:r>
      <w:r w:rsidR="00573512">
        <w:rPr>
          <w:color w:val="0000FF"/>
          <w:lang w:val="en-US"/>
        </w:rPr>
        <w:t>.</w:t>
      </w:r>
    </w:p>
    <w:p w14:paraId="0CE352CB" w14:textId="473C7E83" w:rsidR="002E4847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For Supporting Information files only, please upload DOC files with hig</w:t>
      </w:r>
      <w:bookmarkStart w:id="0" w:name="_GoBack"/>
      <w:bookmarkEnd w:id="0"/>
      <w:r w:rsidRPr="00A420BF">
        <w:rPr>
          <w:color w:val="000000"/>
          <w:lang w:val="en-US"/>
        </w:rPr>
        <w:t xml:space="preserve">hlighted and accepted changes, </w:t>
      </w:r>
      <w:proofErr w:type="gramStart"/>
      <w:r w:rsidRPr="00A420BF">
        <w:rPr>
          <w:color w:val="000000"/>
          <w:lang w:val="en-US"/>
        </w:rPr>
        <w:t>PLUS</w:t>
      </w:r>
      <w:proofErr w:type="gramEnd"/>
      <w:r w:rsidRPr="00A420BF">
        <w:rPr>
          <w:color w:val="000000"/>
          <w:lang w:val="en-US"/>
        </w:rPr>
        <w:t xml:space="preserve"> upload one PDF file with changes accepted. </w:t>
      </w:r>
    </w:p>
    <w:p w14:paraId="76CE4506" w14:textId="13102AEE" w:rsidR="00220956" w:rsidRPr="00A420BF" w:rsidRDefault="00220956" w:rsidP="00A47CF5">
      <w:pPr>
        <w:spacing w:after="160" w:line="240" w:lineRule="auto"/>
        <w:rPr>
          <w:color w:val="000000"/>
          <w:lang w:val="en-US"/>
        </w:rPr>
      </w:pPr>
      <w:r>
        <w:rPr>
          <w:color w:val="0000FF"/>
          <w:lang w:val="en-US"/>
        </w:rPr>
        <w:t>N/A - supporting documents are in pdf or excel format.</w:t>
      </w:r>
    </w:p>
    <w:p w14:paraId="07EBEF72" w14:textId="77777777" w:rsidR="002E4847" w:rsidRPr="00A420BF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>Tables in Excel do not require tracked changes. Contact the Editorial Office if you need assistance. </w:t>
      </w:r>
    </w:p>
    <w:p w14:paraId="014D96A6" w14:textId="6E4B9F7C" w:rsidR="002E4847" w:rsidRDefault="002E4847" w:rsidP="00A47CF5">
      <w:pPr>
        <w:spacing w:after="160" w:line="240" w:lineRule="auto"/>
        <w:rPr>
          <w:color w:val="000000"/>
          <w:lang w:val="en-US"/>
        </w:rPr>
      </w:pPr>
      <w:r w:rsidRPr="00A420BF">
        <w:rPr>
          <w:color w:val="000000"/>
          <w:lang w:val="en-US"/>
        </w:rPr>
        <w:t xml:space="preserve">Please confirm that all tables, figures, supplementary tables, and supplementary figures </w:t>
      </w:r>
      <w:proofErr w:type="gramStart"/>
      <w:r w:rsidRPr="00A420BF">
        <w:rPr>
          <w:color w:val="000000"/>
          <w:lang w:val="en-US"/>
        </w:rPr>
        <w:t>are cited</w:t>
      </w:r>
      <w:proofErr w:type="gramEnd"/>
      <w:r w:rsidRPr="00A420BF">
        <w:rPr>
          <w:color w:val="000000"/>
          <w:lang w:val="en-US"/>
        </w:rPr>
        <w:t xml:space="preserve"> in numerical order. This is the most common reason why accepted papers </w:t>
      </w:r>
      <w:proofErr w:type="gramStart"/>
      <w:r w:rsidRPr="00A420BF">
        <w:rPr>
          <w:color w:val="000000"/>
          <w:lang w:val="en-US"/>
        </w:rPr>
        <w:t>are returned</w:t>
      </w:r>
      <w:proofErr w:type="gramEnd"/>
      <w:r w:rsidRPr="00A420BF">
        <w:rPr>
          <w:color w:val="000000"/>
          <w:lang w:val="en-US"/>
        </w:rPr>
        <w:t xml:space="preserve"> to authors for edits prior to typesetting, so please check your paper carefully. </w:t>
      </w:r>
    </w:p>
    <w:p w14:paraId="45EC043D" w14:textId="5FC40B28" w:rsidR="005C4299" w:rsidRPr="00A47CF5" w:rsidRDefault="00220956" w:rsidP="00D205AC">
      <w:pPr>
        <w:spacing w:after="160" w:line="240" w:lineRule="auto"/>
        <w:rPr>
          <w:lang w:val="en-US"/>
        </w:rPr>
      </w:pPr>
      <w:r w:rsidRPr="00220956">
        <w:rPr>
          <w:color w:val="0000FF"/>
          <w:lang w:val="en-US"/>
        </w:rPr>
        <w:t>Checked</w:t>
      </w:r>
      <w:r>
        <w:rPr>
          <w:color w:val="0000FF"/>
          <w:lang w:val="en-US"/>
        </w:rPr>
        <w:t>.</w:t>
      </w:r>
    </w:p>
    <w:sectPr w:rsidR="005C4299" w:rsidRPr="00A47CF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38B2A" w16cex:dateUtc="2022-08-02T09:38:00Z"/>
  <w16cex:commentExtensible w16cex:durableId="26937C20" w16cex:dateUtc="2022-08-02T08:34:00Z"/>
  <w16cex:commentExtensible w16cex:durableId="269381C7" w16cex:dateUtc="2022-08-02T08:58:00Z"/>
  <w16cex:commentExtensible w16cex:durableId="2693837C" w16cex:dateUtc="2022-08-02T09:05:00Z"/>
  <w16cex:commentExtensible w16cex:durableId="26938473" w16cex:dateUtc="2022-08-02T09:09:00Z"/>
  <w16cex:commentExtensible w16cex:durableId="26938628" w16cex:dateUtc="2022-08-02T0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E69E65" w16cid:durableId="26937741"/>
  <w16cid:commentId w16cid:paraId="347EF442" w16cid:durableId="26937742"/>
  <w16cid:commentId w16cid:paraId="42C7D4AE" w16cid:durableId="26937743"/>
  <w16cid:commentId w16cid:paraId="6D8A66E8" w16cid:durableId="26937744"/>
  <w16cid:commentId w16cid:paraId="510D074D" w16cid:durableId="26937745"/>
  <w16cid:commentId w16cid:paraId="5A577590" w16cid:durableId="26937746"/>
  <w16cid:commentId w16cid:paraId="7E6A7D87" w16cid:durableId="26938B2A"/>
  <w16cid:commentId w16cid:paraId="25FAA45C" w16cid:durableId="26937C20"/>
  <w16cid:commentId w16cid:paraId="54A4D4D3" w16cid:durableId="26937747"/>
  <w16cid:commentId w16cid:paraId="334920D5" w16cid:durableId="26937748"/>
  <w16cid:commentId w16cid:paraId="6D1FD9C2" w16cid:durableId="26937749"/>
  <w16cid:commentId w16cid:paraId="175664EA" w16cid:durableId="2693774A"/>
  <w16cid:commentId w16cid:paraId="33084B17" w16cid:durableId="2693774B"/>
  <w16cid:commentId w16cid:paraId="5C69B21A" w16cid:durableId="269381C7"/>
  <w16cid:commentId w16cid:paraId="1FAF29BF" w16cid:durableId="2693837C"/>
  <w16cid:commentId w16cid:paraId="2158FF9C" w16cid:durableId="2693774C"/>
  <w16cid:commentId w16cid:paraId="4C6C19A8" w16cid:durableId="2693774D"/>
  <w16cid:commentId w16cid:paraId="1FB867C2" w16cid:durableId="26938473"/>
  <w16cid:commentId w16cid:paraId="7EC207B3" w16cid:durableId="2693774E"/>
  <w16cid:commentId w16cid:paraId="738503F3" w16cid:durableId="2693774F"/>
  <w16cid:commentId w16cid:paraId="2C2C06CB" w16cid:durableId="26937750"/>
  <w16cid:commentId w16cid:paraId="5806829A" w16cid:durableId="26938628"/>
  <w16cid:commentId w16cid:paraId="06CC1B39" w16cid:durableId="26937751"/>
  <w16cid:commentId w16cid:paraId="2451870C" w16cid:durableId="26937752"/>
  <w16cid:commentId w16cid:paraId="42234E57" w16cid:durableId="26937753"/>
  <w16cid:commentId w16cid:paraId="65E84B17" w16cid:durableId="26937754"/>
  <w16cid:commentId w16cid:paraId="5BF0CBA3" w16cid:durableId="26937755"/>
  <w16cid:commentId w16cid:paraId="38F00135" w16cid:durableId="2693775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99"/>
    <w:rsid w:val="000063AD"/>
    <w:rsid w:val="00133D79"/>
    <w:rsid w:val="00170315"/>
    <w:rsid w:val="001A7D0E"/>
    <w:rsid w:val="00220956"/>
    <w:rsid w:val="00267062"/>
    <w:rsid w:val="002E4847"/>
    <w:rsid w:val="002F1D9A"/>
    <w:rsid w:val="00325876"/>
    <w:rsid w:val="003A553A"/>
    <w:rsid w:val="003F61AF"/>
    <w:rsid w:val="00412A13"/>
    <w:rsid w:val="004313C3"/>
    <w:rsid w:val="00455538"/>
    <w:rsid w:val="00466182"/>
    <w:rsid w:val="00480C3F"/>
    <w:rsid w:val="00481B86"/>
    <w:rsid w:val="004861F8"/>
    <w:rsid w:val="005151B6"/>
    <w:rsid w:val="00563A49"/>
    <w:rsid w:val="00573512"/>
    <w:rsid w:val="005C4299"/>
    <w:rsid w:val="00605A9C"/>
    <w:rsid w:val="00672C97"/>
    <w:rsid w:val="00684B7F"/>
    <w:rsid w:val="006A759A"/>
    <w:rsid w:val="006C1BB8"/>
    <w:rsid w:val="00713D63"/>
    <w:rsid w:val="00723C66"/>
    <w:rsid w:val="00740F06"/>
    <w:rsid w:val="007D3C99"/>
    <w:rsid w:val="008D2FB5"/>
    <w:rsid w:val="0090433C"/>
    <w:rsid w:val="00986D01"/>
    <w:rsid w:val="009B0091"/>
    <w:rsid w:val="00A166D0"/>
    <w:rsid w:val="00A36655"/>
    <w:rsid w:val="00A420BF"/>
    <w:rsid w:val="00A46685"/>
    <w:rsid w:val="00A47CF5"/>
    <w:rsid w:val="00BB24D5"/>
    <w:rsid w:val="00C53944"/>
    <w:rsid w:val="00CC2D2B"/>
    <w:rsid w:val="00CC72CE"/>
    <w:rsid w:val="00CD19BE"/>
    <w:rsid w:val="00D109E7"/>
    <w:rsid w:val="00D205AC"/>
    <w:rsid w:val="00D54D17"/>
    <w:rsid w:val="00D747F9"/>
    <w:rsid w:val="00DA3198"/>
    <w:rsid w:val="00DE09A4"/>
    <w:rsid w:val="00E35275"/>
    <w:rsid w:val="00E54EF3"/>
    <w:rsid w:val="00E65228"/>
    <w:rsid w:val="00EA60FB"/>
    <w:rsid w:val="00ED7067"/>
    <w:rsid w:val="00EF7DC3"/>
    <w:rsid w:val="00F27F33"/>
    <w:rsid w:val="00F46C9F"/>
    <w:rsid w:val="00F47544"/>
    <w:rsid w:val="00F750D7"/>
    <w:rsid w:val="00F96998"/>
    <w:rsid w:val="00FE014D"/>
    <w:rsid w:val="00FF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65A7"/>
  <w15:docId w15:val="{6F33818D-6DE3-431E-96C4-29D84135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mentartekst">
    <w:name w:val="annotation text"/>
    <w:basedOn w:val="Normal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61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61AF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4754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47544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2E4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7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hyperlink" Target="https://www.lovd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1549</Words>
  <Characters>9451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Syddanmark</Company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 Thomassen</dc:creator>
  <cp:lastModifiedBy>Mads Thomassen</cp:lastModifiedBy>
  <cp:revision>5</cp:revision>
  <dcterms:created xsi:type="dcterms:W3CDTF">2022-08-04T06:02:00Z</dcterms:created>
  <dcterms:modified xsi:type="dcterms:W3CDTF">2022-08-05T05:25:00Z</dcterms:modified>
</cp:coreProperties>
</file>