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3125F" w:rsidRDefault="00077B2B">
      <w:r>
        <w:t>Table 1: Summary of mRNA and/or functional studies conducted as part of this study†</w:t>
      </w:r>
    </w:p>
    <w:tbl>
      <w:tblPr>
        <w:tblStyle w:val="a"/>
        <w:tblW w:w="12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851"/>
        <w:gridCol w:w="1134"/>
        <w:gridCol w:w="1134"/>
        <w:gridCol w:w="992"/>
        <w:gridCol w:w="1170"/>
        <w:gridCol w:w="1098"/>
        <w:gridCol w:w="1134"/>
        <w:gridCol w:w="709"/>
        <w:gridCol w:w="709"/>
        <w:gridCol w:w="708"/>
        <w:gridCol w:w="1702"/>
      </w:tblGrid>
      <w:tr w:rsidR="0033125F" w14:paraId="2D5060CD" w14:textId="77777777">
        <w:trPr>
          <w:trHeight w:val="555"/>
        </w:trPr>
        <w:tc>
          <w:tcPr>
            <w:tcW w:w="1129" w:type="dxa"/>
            <w:vMerge w:val="restart"/>
            <w:shd w:val="clear" w:color="auto" w:fill="BFBFBF"/>
          </w:tcPr>
          <w:p w14:paraId="00000002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Variant</w:t>
            </w:r>
          </w:p>
        </w:tc>
        <w:tc>
          <w:tcPr>
            <w:tcW w:w="851" w:type="dxa"/>
            <w:vMerge w:val="restart"/>
            <w:shd w:val="clear" w:color="auto" w:fill="BFBFBF"/>
          </w:tcPr>
          <w:p w14:paraId="00000003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Protein 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00000004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Minigene</w:t>
            </w:r>
            <w:r>
              <w:rPr>
                <w:b/>
                <w:sz w:val="12"/>
                <w:szCs w:val="12"/>
                <w:vertAlign w:val="superscript"/>
              </w:rPr>
              <w:t>§</w:t>
            </w:r>
          </w:p>
        </w:tc>
        <w:tc>
          <w:tcPr>
            <w:tcW w:w="5528" w:type="dxa"/>
            <w:gridSpan w:val="5"/>
            <w:shd w:val="clear" w:color="auto" w:fill="BFBFBF"/>
          </w:tcPr>
          <w:p w14:paraId="00000005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Patient RNA</w:t>
            </w:r>
          </w:p>
        </w:tc>
        <w:tc>
          <w:tcPr>
            <w:tcW w:w="2126" w:type="dxa"/>
            <w:gridSpan w:val="3"/>
            <w:shd w:val="clear" w:color="auto" w:fill="BFBFBF"/>
          </w:tcPr>
          <w:p w14:paraId="0000000A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mESC assay</w:t>
            </w:r>
          </w:p>
        </w:tc>
        <w:tc>
          <w:tcPr>
            <w:tcW w:w="1702" w:type="dxa"/>
            <w:shd w:val="clear" w:color="auto" w:fill="BFBFBF"/>
          </w:tcPr>
          <w:p w14:paraId="0000000D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Classification based on all information collated to date, using gene-specific ACMG/AMP criteria and </w:t>
            </w:r>
            <w:sdt>
              <w:sdtPr>
                <w:tag w:val="goog_rdk_0"/>
                <w:id w:val="-415016388"/>
              </w:sdtPr>
              <w:sdtEndPr/>
              <w:sdtContent/>
            </w:sdt>
            <w:sdt>
              <w:sdtPr>
                <w:tag w:val="goog_rdk_1"/>
                <w:id w:val="-156225936"/>
              </w:sdtPr>
              <w:sdtEndPr/>
              <w:sdtContent/>
            </w:sdt>
            <w:r>
              <w:rPr>
                <w:b/>
                <w:sz w:val="12"/>
                <w:szCs w:val="12"/>
              </w:rPr>
              <w:t xml:space="preserve">points system approach. </w:t>
            </w:r>
          </w:p>
        </w:tc>
      </w:tr>
      <w:tr w:rsidR="0033125F" w14:paraId="7F9E5F80" w14:textId="77777777">
        <w:trPr>
          <w:trHeight w:val="563"/>
        </w:trPr>
        <w:tc>
          <w:tcPr>
            <w:tcW w:w="1129" w:type="dxa"/>
            <w:vMerge/>
            <w:shd w:val="clear" w:color="auto" w:fill="BFBFBF"/>
          </w:tcPr>
          <w:p w14:paraId="0000000E" w14:textId="77777777" w:rsidR="0033125F" w:rsidRDefault="0033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BFBFBF"/>
          </w:tcPr>
          <w:p w14:paraId="0000000F" w14:textId="77777777" w:rsidR="0033125F" w:rsidRDefault="0033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BFBFBF"/>
          </w:tcPr>
          <w:p w14:paraId="00000010" w14:textId="77777777" w:rsidR="0033125F" w:rsidRDefault="0033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BFBFBF"/>
          </w:tcPr>
          <w:p w14:paraId="0000001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Splice assay using patient samples</w:t>
            </w:r>
            <w:r>
              <w:rPr>
                <w:sz w:val="12"/>
                <w:szCs w:val="12"/>
                <w:vertAlign w:val="superscript"/>
              </w:rPr>
              <w:t>§</w:t>
            </w:r>
          </w:p>
        </w:tc>
        <w:tc>
          <w:tcPr>
            <w:tcW w:w="992" w:type="dxa"/>
            <w:shd w:val="clear" w:color="auto" w:fill="BFBFBF"/>
          </w:tcPr>
          <w:p w14:paraId="0000001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dPCR</w:t>
            </w:r>
            <w:r>
              <w:rPr>
                <w:sz w:val="12"/>
                <w:szCs w:val="12"/>
              </w:rPr>
              <w:br/>
              <w:t>absolute exclusion rate</w:t>
            </w:r>
            <w:r>
              <w:rPr>
                <w:sz w:val="12"/>
                <w:szCs w:val="12"/>
                <w:vertAlign w:val="superscript"/>
              </w:rPr>
              <w:t>¶</w:t>
            </w:r>
          </w:p>
        </w:tc>
        <w:tc>
          <w:tcPr>
            <w:tcW w:w="1170" w:type="dxa"/>
            <w:shd w:val="clear" w:color="auto" w:fill="BFBFBF"/>
          </w:tcPr>
          <w:p w14:paraId="0000001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dPCR         </w:t>
            </w:r>
          </w:p>
          <w:p w14:paraId="0000001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inferred per-allele exclusion rate</w:t>
            </w:r>
          </w:p>
        </w:tc>
        <w:tc>
          <w:tcPr>
            <w:tcW w:w="1098" w:type="dxa"/>
            <w:shd w:val="clear" w:color="auto" w:fill="BFBFBF"/>
          </w:tcPr>
          <w:p w14:paraId="0000001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RNA sequencing trancript proportions</w:t>
            </w:r>
            <w:r>
              <w:rPr>
                <w:sz w:val="12"/>
                <w:szCs w:val="12"/>
                <w:vertAlign w:val="superscript"/>
              </w:rPr>
              <w:t>£</w:t>
            </w:r>
          </w:p>
        </w:tc>
        <w:tc>
          <w:tcPr>
            <w:tcW w:w="1134" w:type="dxa"/>
            <w:shd w:val="clear" w:color="auto" w:fill="BFBFBF"/>
          </w:tcPr>
          <w:p w14:paraId="0000001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RNA sequencing  inferred per-allele transcript proportions</w:t>
            </w:r>
          </w:p>
        </w:tc>
        <w:tc>
          <w:tcPr>
            <w:tcW w:w="709" w:type="dxa"/>
            <w:shd w:val="clear" w:color="auto" w:fill="BFBFBF"/>
          </w:tcPr>
          <w:p w14:paraId="0000001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dPCR</w:t>
            </w:r>
            <w:r>
              <w:rPr>
                <w:sz w:val="12"/>
                <w:szCs w:val="12"/>
              </w:rPr>
              <w:br/>
              <w:t>absolute per-allele ∆(E3)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exclusion rate</w:t>
            </w:r>
            <w:r>
              <w:rPr>
                <w:sz w:val="12"/>
                <w:szCs w:val="12"/>
                <w:vertAlign w:val="superscript"/>
              </w:rPr>
              <w:t>¤</w:t>
            </w:r>
          </w:p>
        </w:tc>
        <w:tc>
          <w:tcPr>
            <w:tcW w:w="709" w:type="dxa"/>
            <w:shd w:val="clear" w:color="auto" w:fill="BFBFBF"/>
          </w:tcPr>
          <w:p w14:paraId="00000018" w14:textId="77777777" w:rsidR="0033125F" w:rsidRDefault="00077B2B">
            <w:pPr>
              <w:ind w:left="-16" w:right="-105" w:firstLin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Complementation Category*</w:t>
            </w:r>
          </w:p>
          <w:p w14:paraId="00000019" w14:textId="77777777" w:rsidR="0033125F" w:rsidRDefault="00077B2B">
            <w:pPr>
              <w:ind w:left="-16" w:right="-105" w:firstLine="7"/>
              <w:rPr>
                <w:sz w:val="8"/>
                <w:szCs w:val="8"/>
              </w:rPr>
            </w:pPr>
            <w:r w:rsidRPr="00E74E22">
              <w:rPr>
                <w:sz w:val="8"/>
                <w:szCs w:val="8"/>
              </w:rPr>
              <w:t>(clone viability: poor, &lt;20%; reduced,20-50%; good, &gt;50%)</w:t>
            </w:r>
          </w:p>
          <w:p w14:paraId="0000001A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BFBFBF"/>
          </w:tcPr>
          <w:p w14:paraId="0000001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HDR capacity (%)</w:t>
            </w:r>
          </w:p>
        </w:tc>
        <w:tc>
          <w:tcPr>
            <w:tcW w:w="1702" w:type="dxa"/>
            <w:shd w:val="clear" w:color="auto" w:fill="BFBFBF"/>
          </w:tcPr>
          <w:p w14:paraId="0000001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See Supplementary Table 1 for full details</w:t>
            </w:r>
          </w:p>
        </w:tc>
      </w:tr>
      <w:tr w:rsidR="0033125F" w14:paraId="79C2B931" w14:textId="77777777">
        <w:trPr>
          <w:trHeight w:val="427"/>
        </w:trPr>
        <w:tc>
          <w:tcPr>
            <w:tcW w:w="1129" w:type="dxa"/>
          </w:tcPr>
          <w:p w14:paraId="0000001D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WT</w:t>
            </w:r>
          </w:p>
        </w:tc>
        <w:tc>
          <w:tcPr>
            <w:tcW w:w="851" w:type="dxa"/>
          </w:tcPr>
          <w:p w14:paraId="0000001E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N/A</w:t>
            </w:r>
          </w:p>
        </w:tc>
        <w:tc>
          <w:tcPr>
            <w:tcW w:w="1134" w:type="dxa"/>
          </w:tcPr>
          <w:p w14:paraId="0000001F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Reference</w:t>
            </w:r>
          </w:p>
        </w:tc>
        <w:tc>
          <w:tcPr>
            <w:tcW w:w="1134" w:type="dxa"/>
          </w:tcPr>
          <w:p w14:paraId="00000020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∆E3↑ (Blood, Lymphocyte, LCL)</w:t>
            </w:r>
          </w:p>
        </w:tc>
        <w:tc>
          <w:tcPr>
            <w:tcW w:w="992" w:type="dxa"/>
          </w:tcPr>
          <w:p w14:paraId="00000021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2.8% (Blood), 3.1% (Lymphocyte), 3.7% (LCLs)</w:t>
            </w:r>
          </w:p>
        </w:tc>
        <w:tc>
          <w:tcPr>
            <w:tcW w:w="1170" w:type="dxa"/>
          </w:tcPr>
          <w:p w14:paraId="00000022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N/A</w:t>
            </w:r>
          </w:p>
        </w:tc>
        <w:tc>
          <w:tcPr>
            <w:tcW w:w="1098" w:type="dxa"/>
          </w:tcPr>
          <w:p w14:paraId="00000023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∆(E3) 2.7% (2.4-3.0%)(Blood)</w:t>
            </w:r>
          </w:p>
        </w:tc>
        <w:tc>
          <w:tcPr>
            <w:tcW w:w="1134" w:type="dxa"/>
          </w:tcPr>
          <w:p w14:paraId="00000024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∆(E3) 2.7% (2.4-3.0%)(Blood)</w:t>
            </w:r>
          </w:p>
        </w:tc>
        <w:tc>
          <w:tcPr>
            <w:tcW w:w="709" w:type="dxa"/>
          </w:tcPr>
          <w:p w14:paraId="00000025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6.1%</w:t>
            </w:r>
          </w:p>
        </w:tc>
        <w:tc>
          <w:tcPr>
            <w:tcW w:w="709" w:type="dxa"/>
          </w:tcPr>
          <w:p w14:paraId="00000026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Ref</w:t>
            </w:r>
          </w:p>
        </w:tc>
        <w:tc>
          <w:tcPr>
            <w:tcW w:w="708" w:type="dxa"/>
          </w:tcPr>
          <w:p w14:paraId="00000027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Ref</w:t>
            </w:r>
          </w:p>
        </w:tc>
        <w:tc>
          <w:tcPr>
            <w:tcW w:w="1702" w:type="dxa"/>
          </w:tcPr>
          <w:p w14:paraId="00000028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N/A</w:t>
            </w:r>
          </w:p>
        </w:tc>
      </w:tr>
      <w:tr w:rsidR="0033125F" w14:paraId="3E478B35" w14:textId="77777777">
        <w:trPr>
          <w:trHeight w:val="563"/>
        </w:trPr>
        <w:tc>
          <w:tcPr>
            <w:tcW w:w="1129" w:type="dxa"/>
          </w:tcPr>
          <w:p w14:paraId="00000029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c.68-7T&gt;A</w:t>
            </w:r>
          </w:p>
        </w:tc>
        <w:tc>
          <w:tcPr>
            <w:tcW w:w="851" w:type="dxa"/>
          </w:tcPr>
          <w:p w14:paraId="0000002A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p.?</w:t>
            </w:r>
          </w:p>
        </w:tc>
        <w:tc>
          <w:tcPr>
            <w:tcW w:w="1134" w:type="dxa"/>
          </w:tcPr>
          <w:p w14:paraId="0000002B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∆E3↑↑, 7% skipping reported in Caputo et al (PMID 29707112)</w:t>
            </w:r>
          </w:p>
        </w:tc>
        <w:tc>
          <w:tcPr>
            <w:tcW w:w="1134" w:type="dxa"/>
          </w:tcPr>
          <w:p w14:paraId="0000002C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∆E3↑↑, reported in Colombo et al (PMID:29460995)</w:t>
            </w:r>
          </w:p>
        </w:tc>
        <w:tc>
          <w:tcPr>
            <w:tcW w:w="992" w:type="dxa"/>
          </w:tcPr>
          <w:p w14:paraId="0000002D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5.7% (Blood), 8.9% (Lymphocyte), 14.5% (LCLs)</w:t>
            </w:r>
          </w:p>
        </w:tc>
        <w:tc>
          <w:tcPr>
            <w:tcW w:w="1170" w:type="dxa"/>
          </w:tcPr>
          <w:p w14:paraId="0000002E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8.7% (Blood), 14.7% (Lymphocyte), 25.2% (LCLs)</w:t>
            </w:r>
          </w:p>
        </w:tc>
        <w:tc>
          <w:tcPr>
            <w:tcW w:w="1098" w:type="dxa"/>
            <w:shd w:val="clear" w:color="auto" w:fill="F2F2F2"/>
          </w:tcPr>
          <w:p w14:paraId="0000002F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030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031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13.3%</w:t>
            </w:r>
          </w:p>
        </w:tc>
        <w:tc>
          <w:tcPr>
            <w:tcW w:w="709" w:type="dxa"/>
          </w:tcPr>
          <w:p w14:paraId="00000032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Good</w:t>
            </w:r>
          </w:p>
        </w:tc>
        <w:tc>
          <w:tcPr>
            <w:tcW w:w="708" w:type="dxa"/>
          </w:tcPr>
          <w:p w14:paraId="00000033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101</w:t>
            </w:r>
          </w:p>
        </w:tc>
        <w:tc>
          <w:tcPr>
            <w:tcW w:w="1702" w:type="dxa"/>
          </w:tcPr>
          <w:p w14:paraId="00000034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Partial skipping control - established Benign variant</w:t>
            </w:r>
          </w:p>
        </w:tc>
      </w:tr>
      <w:tr w:rsidR="0033125F" w14:paraId="59B43436" w14:textId="77777777">
        <w:trPr>
          <w:trHeight w:val="287"/>
        </w:trPr>
        <w:tc>
          <w:tcPr>
            <w:tcW w:w="1129" w:type="dxa"/>
          </w:tcPr>
          <w:p w14:paraId="00000035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c.156_157insAlu</w:t>
            </w:r>
          </w:p>
        </w:tc>
        <w:tc>
          <w:tcPr>
            <w:tcW w:w="851" w:type="dxa"/>
          </w:tcPr>
          <w:p w14:paraId="00000036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p.?</w:t>
            </w:r>
          </w:p>
        </w:tc>
        <w:tc>
          <w:tcPr>
            <w:tcW w:w="1134" w:type="dxa"/>
            <w:shd w:val="clear" w:color="auto" w:fill="F2F2F2"/>
          </w:tcPr>
          <w:p w14:paraId="00000037" w14:textId="77777777" w:rsidR="0033125F" w:rsidRDefault="0033125F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14:paraId="00000038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∆E3↑↑↑↑ (LCL)</w:t>
            </w:r>
          </w:p>
        </w:tc>
        <w:tc>
          <w:tcPr>
            <w:tcW w:w="992" w:type="dxa"/>
          </w:tcPr>
          <w:p w14:paraId="00000039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52.3% (LCL)</w:t>
            </w:r>
          </w:p>
        </w:tc>
        <w:tc>
          <w:tcPr>
            <w:tcW w:w="1170" w:type="dxa"/>
          </w:tcPr>
          <w:p w14:paraId="0000003A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100.0% (LCL)</w:t>
            </w:r>
          </w:p>
        </w:tc>
        <w:tc>
          <w:tcPr>
            <w:tcW w:w="1098" w:type="dxa"/>
            <w:shd w:val="clear" w:color="auto" w:fill="F2F2F2"/>
          </w:tcPr>
          <w:p w14:paraId="0000003B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03C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03D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03E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auto" w:fill="F2F2F2"/>
          </w:tcPr>
          <w:p w14:paraId="0000003F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1702" w:type="dxa"/>
          </w:tcPr>
          <w:p w14:paraId="00000040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Full skipping control - established Pathogenic Variant</w:t>
            </w:r>
          </w:p>
        </w:tc>
      </w:tr>
      <w:tr w:rsidR="0033125F" w14:paraId="7143F227" w14:textId="77777777">
        <w:trPr>
          <w:trHeight w:val="464"/>
        </w:trPr>
        <w:tc>
          <w:tcPr>
            <w:tcW w:w="1129" w:type="dxa"/>
          </w:tcPr>
          <w:p w14:paraId="00000041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c.316+5G&gt;C</w:t>
            </w:r>
          </w:p>
        </w:tc>
        <w:tc>
          <w:tcPr>
            <w:tcW w:w="851" w:type="dxa"/>
          </w:tcPr>
          <w:p w14:paraId="00000042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p.?</w:t>
            </w:r>
          </w:p>
        </w:tc>
        <w:tc>
          <w:tcPr>
            <w:tcW w:w="1134" w:type="dxa"/>
          </w:tcPr>
          <w:p w14:paraId="00000043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∆E3↑↑↑↑,  95% exon skipping reported in Caputo et al (PMID 29707112)</w:t>
            </w:r>
          </w:p>
        </w:tc>
        <w:tc>
          <w:tcPr>
            <w:tcW w:w="1134" w:type="dxa"/>
            <w:shd w:val="clear" w:color="auto" w:fill="F2F2F2"/>
          </w:tcPr>
          <w:p w14:paraId="00000044" w14:textId="77777777" w:rsidR="0033125F" w:rsidRDefault="0033125F">
            <w:pPr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045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1170" w:type="dxa"/>
            <w:shd w:val="clear" w:color="auto" w:fill="F2F2F2"/>
          </w:tcPr>
          <w:p w14:paraId="00000046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1098" w:type="dxa"/>
            <w:shd w:val="clear" w:color="auto" w:fill="F2F2F2"/>
          </w:tcPr>
          <w:p w14:paraId="00000047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048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049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99.1%</w:t>
            </w:r>
          </w:p>
        </w:tc>
        <w:tc>
          <w:tcPr>
            <w:tcW w:w="709" w:type="dxa"/>
          </w:tcPr>
          <w:p w14:paraId="0000004A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Poor</w:t>
            </w:r>
          </w:p>
        </w:tc>
        <w:tc>
          <w:tcPr>
            <w:tcW w:w="708" w:type="dxa"/>
          </w:tcPr>
          <w:p w14:paraId="0000004B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NA</w:t>
            </w:r>
          </w:p>
        </w:tc>
        <w:tc>
          <w:tcPr>
            <w:tcW w:w="1702" w:type="dxa"/>
          </w:tcPr>
          <w:p w14:paraId="0000004C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Full skipping control - established Pathogenic variant</w:t>
            </w:r>
          </w:p>
        </w:tc>
      </w:tr>
      <w:tr w:rsidR="0033125F" w14:paraId="56ADA9A5" w14:textId="77777777">
        <w:trPr>
          <w:trHeight w:val="613"/>
        </w:trPr>
        <w:tc>
          <w:tcPr>
            <w:tcW w:w="1129" w:type="dxa"/>
          </w:tcPr>
          <w:p w14:paraId="0000004D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c.316+5G&gt;A</w:t>
            </w:r>
          </w:p>
        </w:tc>
        <w:tc>
          <w:tcPr>
            <w:tcW w:w="851" w:type="dxa"/>
          </w:tcPr>
          <w:p w14:paraId="0000004E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p.?</w:t>
            </w:r>
          </w:p>
        </w:tc>
        <w:tc>
          <w:tcPr>
            <w:tcW w:w="1134" w:type="dxa"/>
          </w:tcPr>
          <w:p w14:paraId="0000004F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∆E3↑↑↑↑,  94% exon skipping reported in Caputo et al (PMID 29707112)</w:t>
            </w:r>
          </w:p>
        </w:tc>
        <w:tc>
          <w:tcPr>
            <w:tcW w:w="1134" w:type="dxa"/>
          </w:tcPr>
          <w:p w14:paraId="00000050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∆E3↑↑↑↑ (Blood)</w:t>
            </w:r>
          </w:p>
        </w:tc>
        <w:tc>
          <w:tcPr>
            <w:tcW w:w="992" w:type="dxa"/>
          </w:tcPr>
          <w:p w14:paraId="00000051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44.9% (Blood)</w:t>
            </w:r>
          </w:p>
        </w:tc>
        <w:tc>
          <w:tcPr>
            <w:tcW w:w="1170" w:type="dxa"/>
          </w:tcPr>
          <w:p w14:paraId="00000052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87.0% (Blood)</w:t>
            </w:r>
          </w:p>
        </w:tc>
        <w:tc>
          <w:tcPr>
            <w:tcW w:w="1098" w:type="dxa"/>
            <w:shd w:val="clear" w:color="auto" w:fill="F2F2F2"/>
          </w:tcPr>
          <w:p w14:paraId="00000053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054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055" w14:textId="77777777" w:rsidR="0033125F" w:rsidRDefault="0033125F">
            <w:pPr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2F2F2"/>
          </w:tcPr>
          <w:p w14:paraId="00000056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auto" w:fill="F2F2F2"/>
          </w:tcPr>
          <w:p w14:paraId="00000057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 </w:t>
            </w:r>
          </w:p>
        </w:tc>
        <w:tc>
          <w:tcPr>
            <w:tcW w:w="1702" w:type="dxa"/>
          </w:tcPr>
          <w:p w14:paraId="00000058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Full skipping control - confirmed as pathogenic based on ACMG/AMP approach, this study</w:t>
            </w:r>
          </w:p>
        </w:tc>
      </w:tr>
      <w:tr w:rsidR="0033125F" w14:paraId="5F51F2EF" w14:textId="77777777">
        <w:trPr>
          <w:trHeight w:val="325"/>
        </w:trPr>
        <w:tc>
          <w:tcPr>
            <w:tcW w:w="1129" w:type="dxa"/>
          </w:tcPr>
          <w:p w14:paraId="00000059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c.231T&gt;G</w:t>
            </w:r>
          </w:p>
        </w:tc>
        <w:tc>
          <w:tcPr>
            <w:tcW w:w="851" w:type="dxa"/>
          </w:tcPr>
          <w:p w14:paraId="0000005A" w14:textId="61A1B46A" w:rsidR="0033125F" w:rsidRDefault="00077B2B" w:rsidP="00585296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p.(=)</w:t>
            </w:r>
          </w:p>
        </w:tc>
        <w:tc>
          <w:tcPr>
            <w:tcW w:w="1134" w:type="dxa"/>
            <w:shd w:val="clear" w:color="auto" w:fill="F2F2F2"/>
          </w:tcPr>
          <w:p w14:paraId="0000005B" w14:textId="77777777" w:rsidR="0033125F" w:rsidRDefault="0033125F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05C" w14:textId="77777777" w:rsidR="0033125F" w:rsidRDefault="0033125F">
            <w:pPr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05D" w14:textId="77777777" w:rsidR="0033125F" w:rsidRDefault="0033125F">
            <w:pPr>
              <w:rPr>
                <w:b/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05E" w14:textId="77777777" w:rsidR="0033125F" w:rsidRDefault="0033125F">
            <w:pPr>
              <w:rPr>
                <w:b/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05F" w14:textId="77777777" w:rsidR="0033125F" w:rsidRDefault="0033125F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060" w14:textId="77777777" w:rsidR="0033125F" w:rsidRDefault="0033125F">
            <w:pPr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</w:tcPr>
          <w:p w14:paraId="00000061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19.9%</w:t>
            </w:r>
          </w:p>
        </w:tc>
        <w:tc>
          <w:tcPr>
            <w:tcW w:w="709" w:type="dxa"/>
          </w:tcPr>
          <w:p w14:paraId="00000062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Good</w:t>
            </w:r>
          </w:p>
        </w:tc>
        <w:tc>
          <w:tcPr>
            <w:tcW w:w="708" w:type="dxa"/>
          </w:tcPr>
          <w:p w14:paraId="00000063" w14:textId="77777777" w:rsidR="0033125F" w:rsidRDefault="00077B2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121</w:t>
            </w:r>
          </w:p>
        </w:tc>
        <w:tc>
          <w:tcPr>
            <w:tcW w:w="1702" w:type="dxa"/>
          </w:tcPr>
          <w:p w14:paraId="00000064" w14:textId="6B5772D2" w:rsidR="0033125F" w:rsidRDefault="00594B5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Partial skipping control - </w:t>
            </w:r>
            <w:r w:rsidR="00077B2B">
              <w:rPr>
                <w:b/>
                <w:sz w:val="12"/>
                <w:szCs w:val="12"/>
              </w:rPr>
              <w:t>Benign control based on frequency, previous mESC results - selected as control for mESC assays in this study</w:t>
            </w:r>
          </w:p>
        </w:tc>
      </w:tr>
      <w:tr w:rsidR="0033125F" w14:paraId="65E1AC6A" w14:textId="77777777">
        <w:trPr>
          <w:trHeight w:val="130"/>
        </w:trPr>
        <w:tc>
          <w:tcPr>
            <w:tcW w:w="1129" w:type="dxa"/>
          </w:tcPr>
          <w:p w14:paraId="0000006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c.68-7delT</w:t>
            </w:r>
          </w:p>
        </w:tc>
        <w:tc>
          <w:tcPr>
            <w:tcW w:w="851" w:type="dxa"/>
          </w:tcPr>
          <w:p w14:paraId="0000006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  <w:shd w:val="clear" w:color="auto" w:fill="F2F2F2"/>
          </w:tcPr>
          <w:p w14:paraId="00000067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00000068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∆E3↑↑ (LCL)</w:t>
            </w:r>
          </w:p>
        </w:tc>
        <w:tc>
          <w:tcPr>
            <w:tcW w:w="992" w:type="dxa"/>
          </w:tcPr>
          <w:p w14:paraId="00000069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4.9% (LCL)</w:t>
            </w:r>
          </w:p>
        </w:tc>
        <w:tc>
          <w:tcPr>
            <w:tcW w:w="1170" w:type="dxa"/>
          </w:tcPr>
          <w:p w14:paraId="0000006A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6.0% (LCL)</w:t>
            </w:r>
          </w:p>
        </w:tc>
        <w:tc>
          <w:tcPr>
            <w:tcW w:w="1098" w:type="dxa"/>
            <w:shd w:val="clear" w:color="auto" w:fill="F2F2F2"/>
          </w:tcPr>
          <w:p w14:paraId="0000006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06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06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2.5%</w:t>
            </w:r>
          </w:p>
        </w:tc>
        <w:tc>
          <w:tcPr>
            <w:tcW w:w="709" w:type="dxa"/>
          </w:tcPr>
          <w:p w14:paraId="0000006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Good</w:t>
            </w:r>
          </w:p>
        </w:tc>
        <w:tc>
          <w:tcPr>
            <w:tcW w:w="708" w:type="dxa"/>
          </w:tcPr>
          <w:p w14:paraId="0000006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1702" w:type="dxa"/>
          </w:tcPr>
          <w:p w14:paraId="0000007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Likely Benign</w:t>
            </w:r>
          </w:p>
        </w:tc>
      </w:tr>
      <w:tr w:rsidR="0033125F" w14:paraId="1DA04670" w14:textId="77777777">
        <w:trPr>
          <w:trHeight w:val="134"/>
        </w:trPr>
        <w:tc>
          <w:tcPr>
            <w:tcW w:w="1129" w:type="dxa"/>
          </w:tcPr>
          <w:p w14:paraId="0000007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c.68-7dupT</w:t>
            </w:r>
          </w:p>
        </w:tc>
        <w:tc>
          <w:tcPr>
            <w:tcW w:w="851" w:type="dxa"/>
          </w:tcPr>
          <w:p w14:paraId="0000007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</w:tcPr>
          <w:p w14:paraId="0000007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∆E3↑</w:t>
            </w:r>
          </w:p>
        </w:tc>
        <w:tc>
          <w:tcPr>
            <w:tcW w:w="1134" w:type="dxa"/>
          </w:tcPr>
          <w:p w14:paraId="00000074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  (Lymphocyte)</w:t>
            </w:r>
          </w:p>
        </w:tc>
        <w:tc>
          <w:tcPr>
            <w:tcW w:w="992" w:type="dxa"/>
          </w:tcPr>
          <w:p w14:paraId="00000075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2.3% (Blood)</w:t>
            </w:r>
          </w:p>
        </w:tc>
        <w:tc>
          <w:tcPr>
            <w:tcW w:w="1170" w:type="dxa"/>
          </w:tcPr>
          <w:p w14:paraId="00000076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1.9% (Blood)</w:t>
            </w:r>
          </w:p>
        </w:tc>
        <w:tc>
          <w:tcPr>
            <w:tcW w:w="1098" w:type="dxa"/>
            <w:shd w:val="clear" w:color="auto" w:fill="F2F2F2"/>
          </w:tcPr>
          <w:p w14:paraId="0000007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07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07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2.0%</w:t>
            </w:r>
          </w:p>
        </w:tc>
        <w:tc>
          <w:tcPr>
            <w:tcW w:w="709" w:type="dxa"/>
          </w:tcPr>
          <w:p w14:paraId="0000007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Good</w:t>
            </w:r>
          </w:p>
        </w:tc>
        <w:tc>
          <w:tcPr>
            <w:tcW w:w="708" w:type="dxa"/>
          </w:tcPr>
          <w:p w14:paraId="0000007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1702" w:type="dxa"/>
          </w:tcPr>
          <w:p w14:paraId="0000007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Benign</w:t>
            </w:r>
          </w:p>
        </w:tc>
      </w:tr>
      <w:tr w:rsidR="0033125F" w14:paraId="28BAE7B1" w14:textId="77777777">
        <w:trPr>
          <w:trHeight w:val="709"/>
        </w:trPr>
        <w:tc>
          <w:tcPr>
            <w:tcW w:w="1129" w:type="dxa"/>
          </w:tcPr>
          <w:p w14:paraId="0000007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c.68-3T&gt;G</w:t>
            </w:r>
          </w:p>
        </w:tc>
        <w:tc>
          <w:tcPr>
            <w:tcW w:w="851" w:type="dxa"/>
          </w:tcPr>
          <w:p w14:paraId="0000007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</w:tcPr>
          <w:p w14:paraId="0000007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∆E3↑↑↑</w:t>
            </w:r>
          </w:p>
        </w:tc>
        <w:tc>
          <w:tcPr>
            <w:tcW w:w="1134" w:type="dxa"/>
            <w:shd w:val="clear" w:color="auto" w:fill="F2F2F2"/>
          </w:tcPr>
          <w:p w14:paraId="00000080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0000008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16.3% (Lymphocyte)</w:t>
            </w:r>
          </w:p>
        </w:tc>
        <w:tc>
          <w:tcPr>
            <w:tcW w:w="1170" w:type="dxa"/>
          </w:tcPr>
          <w:p w14:paraId="0000008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29.7% (Lymphocyte)</w:t>
            </w:r>
          </w:p>
        </w:tc>
        <w:tc>
          <w:tcPr>
            <w:tcW w:w="1098" w:type="dxa"/>
          </w:tcPr>
          <w:p w14:paraId="0000008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∆(E3), 20.4% (19.0-21.9%);  ∆(E3-E4), 2.4% (2.2-2.6%); </w:t>
            </w:r>
            <w:r>
              <w:rPr>
                <w:rFonts w:ascii="Arial" w:eastAsia="Arial" w:hAnsi="Arial" w:cs="Arial"/>
                <w:sz w:val="12"/>
                <w:szCs w:val="12"/>
              </w:rPr>
              <w:t>▼</w:t>
            </w:r>
            <w:r>
              <w:rPr>
                <w:sz w:val="12"/>
                <w:szCs w:val="12"/>
              </w:rPr>
              <w:t>(E3p2),  16.7% (14.5-19.0%)</w:t>
            </w:r>
          </w:p>
        </w:tc>
        <w:tc>
          <w:tcPr>
            <w:tcW w:w="1134" w:type="dxa"/>
          </w:tcPr>
          <w:p w14:paraId="0000008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∆(E3), 38.1 </w:t>
            </w:r>
          </w:p>
          <w:p w14:paraId="0000008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(35.2-41.1%) ; </w:t>
            </w:r>
          </w:p>
          <w:p w14:paraId="0000008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∆(E3-E4), 4.3% (4.0-4.7%); </w:t>
            </w:r>
            <w:r>
              <w:rPr>
                <w:rFonts w:ascii="Arial" w:eastAsia="Arial" w:hAnsi="Arial" w:cs="Arial"/>
                <w:sz w:val="12"/>
                <w:szCs w:val="12"/>
              </w:rPr>
              <w:t>▼</w:t>
            </w:r>
            <w:r>
              <w:rPr>
                <w:sz w:val="12"/>
                <w:szCs w:val="12"/>
              </w:rPr>
              <w:t>(E3p2), 33.4% (29.0-37.8%).</w:t>
            </w:r>
          </w:p>
        </w:tc>
        <w:tc>
          <w:tcPr>
            <w:tcW w:w="709" w:type="dxa"/>
          </w:tcPr>
          <w:p w14:paraId="0000008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9.9%</w:t>
            </w:r>
          </w:p>
        </w:tc>
        <w:tc>
          <w:tcPr>
            <w:tcW w:w="709" w:type="dxa"/>
          </w:tcPr>
          <w:p w14:paraId="0000008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Good</w:t>
            </w:r>
          </w:p>
        </w:tc>
        <w:tc>
          <w:tcPr>
            <w:tcW w:w="708" w:type="dxa"/>
          </w:tcPr>
          <w:p w14:paraId="0000008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1702" w:type="dxa"/>
          </w:tcPr>
          <w:p w14:paraId="0000008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Benign</w:t>
            </w:r>
          </w:p>
        </w:tc>
      </w:tr>
      <w:tr w:rsidR="0033125F" w14:paraId="25574333" w14:textId="77777777">
        <w:trPr>
          <w:trHeight w:val="154"/>
        </w:trPr>
        <w:tc>
          <w:tcPr>
            <w:tcW w:w="1129" w:type="dxa"/>
          </w:tcPr>
          <w:p w14:paraId="0000008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c.68-2A&gt;C</w:t>
            </w:r>
          </w:p>
        </w:tc>
        <w:tc>
          <w:tcPr>
            <w:tcW w:w="851" w:type="dxa"/>
          </w:tcPr>
          <w:p w14:paraId="0000008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</w:tcPr>
          <w:p w14:paraId="0000008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∆(E3p6)</w:t>
            </w:r>
          </w:p>
        </w:tc>
        <w:tc>
          <w:tcPr>
            <w:tcW w:w="1134" w:type="dxa"/>
            <w:shd w:val="clear" w:color="auto" w:fill="F2F2F2"/>
          </w:tcPr>
          <w:p w14:paraId="0000008E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08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70" w:type="dxa"/>
            <w:shd w:val="clear" w:color="auto" w:fill="F2F2F2"/>
          </w:tcPr>
          <w:p w14:paraId="0000009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098" w:type="dxa"/>
            <w:shd w:val="clear" w:color="auto" w:fill="F2F2F2"/>
          </w:tcPr>
          <w:p w14:paraId="0000009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09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09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09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auto" w:fill="F2F2F2"/>
          </w:tcPr>
          <w:p w14:paraId="0000009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02" w:type="dxa"/>
          </w:tcPr>
          <w:p w14:paraId="0000009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Uncertain</w:t>
            </w:r>
          </w:p>
        </w:tc>
      </w:tr>
      <w:tr w:rsidR="0033125F" w14:paraId="1FB9C376" w14:textId="77777777">
        <w:trPr>
          <w:trHeight w:val="143"/>
        </w:trPr>
        <w:tc>
          <w:tcPr>
            <w:tcW w:w="1129" w:type="dxa"/>
          </w:tcPr>
          <w:p w14:paraId="0000009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c.68-2A&gt;T</w:t>
            </w:r>
          </w:p>
        </w:tc>
        <w:tc>
          <w:tcPr>
            <w:tcW w:w="851" w:type="dxa"/>
          </w:tcPr>
          <w:p w14:paraId="0000009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</w:tcPr>
          <w:p w14:paraId="0000009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∆(E3p6)</w:t>
            </w:r>
          </w:p>
        </w:tc>
        <w:tc>
          <w:tcPr>
            <w:tcW w:w="1134" w:type="dxa"/>
            <w:shd w:val="clear" w:color="auto" w:fill="F2F2F2"/>
          </w:tcPr>
          <w:p w14:paraId="0000009A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09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70" w:type="dxa"/>
            <w:shd w:val="clear" w:color="auto" w:fill="F2F2F2"/>
          </w:tcPr>
          <w:p w14:paraId="0000009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098" w:type="dxa"/>
            <w:shd w:val="clear" w:color="auto" w:fill="F2F2F2"/>
          </w:tcPr>
          <w:p w14:paraId="0000009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09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09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0A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auto" w:fill="F2F2F2"/>
          </w:tcPr>
          <w:p w14:paraId="000000A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02" w:type="dxa"/>
          </w:tcPr>
          <w:p w14:paraId="000000A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Uncertain</w:t>
            </w:r>
          </w:p>
        </w:tc>
      </w:tr>
      <w:tr w:rsidR="0033125F" w14:paraId="348C47BB" w14:textId="77777777">
        <w:trPr>
          <w:trHeight w:val="553"/>
        </w:trPr>
        <w:tc>
          <w:tcPr>
            <w:tcW w:w="1129" w:type="dxa"/>
          </w:tcPr>
          <w:p w14:paraId="000000A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c.68-2A&gt;G</w:t>
            </w:r>
          </w:p>
        </w:tc>
        <w:tc>
          <w:tcPr>
            <w:tcW w:w="851" w:type="dxa"/>
          </w:tcPr>
          <w:p w14:paraId="000000A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</w:tcPr>
          <w:p w14:paraId="000000A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∆E3↑, ∆(E3p6)</w:t>
            </w:r>
          </w:p>
        </w:tc>
        <w:tc>
          <w:tcPr>
            <w:tcW w:w="1134" w:type="dxa"/>
          </w:tcPr>
          <w:p w14:paraId="000000A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∆(E3p6) (blood)</w:t>
            </w:r>
          </w:p>
        </w:tc>
        <w:tc>
          <w:tcPr>
            <w:tcW w:w="992" w:type="dxa"/>
          </w:tcPr>
          <w:p w14:paraId="000000A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11.1% (Blood)</w:t>
            </w:r>
          </w:p>
        </w:tc>
        <w:tc>
          <w:tcPr>
            <w:tcW w:w="1170" w:type="dxa"/>
          </w:tcPr>
          <w:p w14:paraId="000000A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19.4% (Blood)</w:t>
            </w:r>
          </w:p>
        </w:tc>
        <w:tc>
          <w:tcPr>
            <w:tcW w:w="1098" w:type="dxa"/>
          </w:tcPr>
          <w:p w14:paraId="000000A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∆(E3p6), 28.9% (26.0-31.1%);  ∆(E3), 8.2% (6.6-10.2%)</w:t>
            </w:r>
          </w:p>
        </w:tc>
        <w:tc>
          <w:tcPr>
            <w:tcW w:w="1134" w:type="dxa"/>
          </w:tcPr>
          <w:p w14:paraId="000000A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∆(E3p6), 57.9% (52.0-62.2%); ∆(E3), 13.6% (10.4-17.6%)</w:t>
            </w:r>
          </w:p>
        </w:tc>
        <w:tc>
          <w:tcPr>
            <w:tcW w:w="709" w:type="dxa"/>
          </w:tcPr>
          <w:p w14:paraId="000000A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12.8%</w:t>
            </w:r>
          </w:p>
        </w:tc>
        <w:tc>
          <w:tcPr>
            <w:tcW w:w="709" w:type="dxa"/>
          </w:tcPr>
          <w:p w14:paraId="000000A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Good</w:t>
            </w:r>
          </w:p>
        </w:tc>
        <w:tc>
          <w:tcPr>
            <w:tcW w:w="708" w:type="dxa"/>
          </w:tcPr>
          <w:p w14:paraId="000000A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</w:t>
            </w:r>
          </w:p>
        </w:tc>
        <w:tc>
          <w:tcPr>
            <w:tcW w:w="1702" w:type="dxa"/>
          </w:tcPr>
          <w:p w14:paraId="000000A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Likely Benign</w:t>
            </w:r>
          </w:p>
        </w:tc>
      </w:tr>
      <w:tr w:rsidR="0033125F" w14:paraId="04A89DD0" w14:textId="77777777">
        <w:trPr>
          <w:trHeight w:val="281"/>
        </w:trPr>
        <w:tc>
          <w:tcPr>
            <w:tcW w:w="1129" w:type="dxa"/>
          </w:tcPr>
          <w:p w14:paraId="000000A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c.68-1G&gt;A</w:t>
            </w:r>
          </w:p>
        </w:tc>
        <w:tc>
          <w:tcPr>
            <w:tcW w:w="851" w:type="dxa"/>
          </w:tcPr>
          <w:p w14:paraId="000000B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</w:tcPr>
          <w:p w14:paraId="000000B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∆E3↑, ∆(E3p6)</w:t>
            </w:r>
          </w:p>
        </w:tc>
        <w:tc>
          <w:tcPr>
            <w:tcW w:w="1134" w:type="dxa"/>
            <w:shd w:val="clear" w:color="auto" w:fill="F2F2F2"/>
          </w:tcPr>
          <w:p w14:paraId="000000B2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0B3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0B4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</w:tcPr>
          <w:p w14:paraId="000000B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∆(E3p6),36.8%;        ∆(E3), 7.9%</w:t>
            </w:r>
          </w:p>
        </w:tc>
        <w:tc>
          <w:tcPr>
            <w:tcW w:w="1134" w:type="dxa"/>
          </w:tcPr>
          <w:p w14:paraId="000000B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∆(E3p6),73.6%;                          ∆(E3), 13.2%</w:t>
            </w:r>
          </w:p>
        </w:tc>
        <w:tc>
          <w:tcPr>
            <w:tcW w:w="709" w:type="dxa"/>
            <w:shd w:val="clear" w:color="auto" w:fill="F2F2F2"/>
          </w:tcPr>
          <w:p w14:paraId="000000B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0B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auto" w:fill="F2F2F2"/>
          </w:tcPr>
          <w:p w14:paraId="000000B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02" w:type="dxa"/>
          </w:tcPr>
          <w:p w14:paraId="000000B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Uncertain</w:t>
            </w:r>
          </w:p>
        </w:tc>
      </w:tr>
      <w:tr w:rsidR="0033125F" w14:paraId="53BAF5F9" w14:textId="77777777">
        <w:trPr>
          <w:trHeight w:val="206"/>
        </w:trPr>
        <w:tc>
          <w:tcPr>
            <w:tcW w:w="1129" w:type="dxa"/>
          </w:tcPr>
          <w:p w14:paraId="000000B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c.68-1G&gt;C</w:t>
            </w:r>
          </w:p>
        </w:tc>
        <w:tc>
          <w:tcPr>
            <w:tcW w:w="851" w:type="dxa"/>
          </w:tcPr>
          <w:p w14:paraId="000000B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</w:tcPr>
          <w:p w14:paraId="000000B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∆(E3p6)</w:t>
            </w:r>
          </w:p>
        </w:tc>
        <w:tc>
          <w:tcPr>
            <w:tcW w:w="1134" w:type="dxa"/>
            <w:shd w:val="clear" w:color="auto" w:fill="F2F2F2"/>
          </w:tcPr>
          <w:p w14:paraId="000000BE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0BF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0C0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0C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0C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0C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0C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auto" w:fill="F2F2F2"/>
          </w:tcPr>
          <w:p w14:paraId="000000C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02" w:type="dxa"/>
          </w:tcPr>
          <w:p w14:paraId="000000C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Uncertain</w:t>
            </w:r>
          </w:p>
        </w:tc>
      </w:tr>
      <w:tr w:rsidR="0033125F" w14:paraId="467B4140" w14:textId="77777777">
        <w:trPr>
          <w:trHeight w:val="172"/>
        </w:trPr>
        <w:tc>
          <w:tcPr>
            <w:tcW w:w="1129" w:type="dxa"/>
          </w:tcPr>
          <w:p w14:paraId="000000C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c.68-1G&gt;T</w:t>
            </w:r>
          </w:p>
        </w:tc>
        <w:tc>
          <w:tcPr>
            <w:tcW w:w="851" w:type="dxa"/>
          </w:tcPr>
          <w:p w14:paraId="000000C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</w:tcPr>
          <w:p w14:paraId="000000C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∆(E3p6)</w:t>
            </w:r>
          </w:p>
        </w:tc>
        <w:tc>
          <w:tcPr>
            <w:tcW w:w="1134" w:type="dxa"/>
            <w:shd w:val="clear" w:color="auto" w:fill="F2F2F2"/>
          </w:tcPr>
          <w:p w14:paraId="000000CA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0CB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0CC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0C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0C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0C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0D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auto" w:fill="F2F2F2"/>
          </w:tcPr>
          <w:p w14:paraId="000000D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02" w:type="dxa"/>
          </w:tcPr>
          <w:p w14:paraId="000000D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Uncertain</w:t>
            </w:r>
          </w:p>
        </w:tc>
      </w:tr>
      <w:tr w:rsidR="0033125F" w14:paraId="01830E65" w14:textId="77777777">
        <w:trPr>
          <w:trHeight w:val="601"/>
        </w:trPr>
        <w:tc>
          <w:tcPr>
            <w:tcW w:w="1129" w:type="dxa"/>
          </w:tcPr>
          <w:p w14:paraId="000000D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c.72_</w:t>
            </w:r>
            <w:bookmarkStart w:id="0" w:name="_GoBack"/>
            <w:r>
              <w:rPr>
                <w:sz w:val="12"/>
                <w:szCs w:val="12"/>
              </w:rPr>
              <w:t>85delinsTTTAAATAGAT</w:t>
            </w:r>
            <w:bookmarkEnd w:id="0"/>
          </w:p>
        </w:tc>
        <w:tc>
          <w:tcPr>
            <w:tcW w:w="851" w:type="dxa"/>
          </w:tcPr>
          <w:p w14:paraId="000000D4" w14:textId="37D38421" w:rsidR="0033125F" w:rsidRDefault="000E10E4">
            <w:pPr>
              <w:rPr>
                <w:sz w:val="12"/>
                <w:szCs w:val="12"/>
              </w:rPr>
            </w:pPr>
            <w:r w:rsidRPr="000E10E4">
              <w:rPr>
                <w:sz w:val="12"/>
                <w:szCs w:val="12"/>
              </w:rPr>
              <w:t>p.(Leu24_Leu29delinsPheLeuAsnArgPhe)</w:t>
            </w:r>
          </w:p>
        </w:tc>
        <w:tc>
          <w:tcPr>
            <w:tcW w:w="1134" w:type="dxa"/>
            <w:shd w:val="clear" w:color="auto" w:fill="F2F2F2"/>
          </w:tcPr>
          <w:p w14:paraId="000000D5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000000D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∆E3↑↑,  (p.Leu24_Leu29delinsPheLeuAsnArgPhe) (LCL)</w:t>
            </w:r>
          </w:p>
        </w:tc>
        <w:tc>
          <w:tcPr>
            <w:tcW w:w="992" w:type="dxa"/>
          </w:tcPr>
          <w:p w14:paraId="000000D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26.4%  (LCL), 12.0% (Blood)</w:t>
            </w:r>
          </w:p>
        </w:tc>
        <w:tc>
          <w:tcPr>
            <w:tcW w:w="1170" w:type="dxa"/>
          </w:tcPr>
          <w:p w14:paraId="000000D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49.2%  (LCL), </w:t>
            </w:r>
          </w:p>
          <w:p w14:paraId="000000D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20.8% (Blood)</w:t>
            </w:r>
          </w:p>
        </w:tc>
        <w:tc>
          <w:tcPr>
            <w:tcW w:w="1098" w:type="dxa"/>
            <w:shd w:val="clear" w:color="auto" w:fill="F2F2F2"/>
          </w:tcPr>
          <w:p w14:paraId="000000D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0D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0D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23.5%</w:t>
            </w:r>
          </w:p>
        </w:tc>
        <w:tc>
          <w:tcPr>
            <w:tcW w:w="709" w:type="dxa"/>
          </w:tcPr>
          <w:p w14:paraId="000000D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Poor</w:t>
            </w:r>
          </w:p>
        </w:tc>
        <w:tc>
          <w:tcPr>
            <w:tcW w:w="708" w:type="dxa"/>
          </w:tcPr>
          <w:p w14:paraId="000000D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</w:t>
            </w:r>
          </w:p>
        </w:tc>
        <w:tc>
          <w:tcPr>
            <w:tcW w:w="1702" w:type="dxa"/>
          </w:tcPr>
          <w:p w14:paraId="000000D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Pathogenic</w:t>
            </w:r>
          </w:p>
        </w:tc>
      </w:tr>
      <w:tr w:rsidR="0033125F" w14:paraId="1BCBD983" w14:textId="77777777">
        <w:trPr>
          <w:trHeight w:val="124"/>
        </w:trPr>
        <w:tc>
          <w:tcPr>
            <w:tcW w:w="1129" w:type="dxa"/>
          </w:tcPr>
          <w:p w14:paraId="000000E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c.79A&gt;G</w:t>
            </w:r>
          </w:p>
        </w:tc>
        <w:tc>
          <w:tcPr>
            <w:tcW w:w="851" w:type="dxa"/>
          </w:tcPr>
          <w:p w14:paraId="000000E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p.(Ile27Val)</w:t>
            </w:r>
          </w:p>
        </w:tc>
        <w:tc>
          <w:tcPr>
            <w:tcW w:w="1134" w:type="dxa"/>
          </w:tcPr>
          <w:p w14:paraId="000000E2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∆E3↑</w:t>
            </w:r>
          </w:p>
        </w:tc>
        <w:tc>
          <w:tcPr>
            <w:tcW w:w="1134" w:type="dxa"/>
            <w:shd w:val="clear" w:color="auto" w:fill="F2F2F2"/>
          </w:tcPr>
          <w:p w14:paraId="000000E3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0E4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0E5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0E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0E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0E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2.0%</w:t>
            </w:r>
          </w:p>
        </w:tc>
        <w:tc>
          <w:tcPr>
            <w:tcW w:w="709" w:type="dxa"/>
          </w:tcPr>
          <w:p w14:paraId="000000E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Good</w:t>
            </w:r>
          </w:p>
        </w:tc>
        <w:tc>
          <w:tcPr>
            <w:tcW w:w="708" w:type="dxa"/>
          </w:tcPr>
          <w:p w14:paraId="000000E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</w:t>
            </w:r>
          </w:p>
        </w:tc>
        <w:tc>
          <w:tcPr>
            <w:tcW w:w="1702" w:type="dxa"/>
          </w:tcPr>
          <w:p w14:paraId="000000E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Likely Benign</w:t>
            </w:r>
          </w:p>
        </w:tc>
      </w:tr>
      <w:tr w:rsidR="0033125F" w14:paraId="76643F7E" w14:textId="77777777">
        <w:trPr>
          <w:trHeight w:val="254"/>
        </w:trPr>
        <w:tc>
          <w:tcPr>
            <w:tcW w:w="1129" w:type="dxa"/>
          </w:tcPr>
          <w:p w14:paraId="000000E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c.91T&gt;C</w:t>
            </w:r>
          </w:p>
        </w:tc>
        <w:tc>
          <w:tcPr>
            <w:tcW w:w="851" w:type="dxa"/>
          </w:tcPr>
          <w:p w14:paraId="000000E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p.(Trp31Arg)</w:t>
            </w:r>
          </w:p>
        </w:tc>
        <w:tc>
          <w:tcPr>
            <w:tcW w:w="1134" w:type="dxa"/>
          </w:tcPr>
          <w:p w14:paraId="000000EE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∆E3↑↑</w:t>
            </w:r>
          </w:p>
        </w:tc>
        <w:tc>
          <w:tcPr>
            <w:tcW w:w="1134" w:type="dxa"/>
          </w:tcPr>
          <w:p w14:paraId="000000E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 (Lymphocytes)</w:t>
            </w:r>
          </w:p>
        </w:tc>
        <w:tc>
          <w:tcPr>
            <w:tcW w:w="992" w:type="dxa"/>
          </w:tcPr>
          <w:p w14:paraId="000000F0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10.1% (Lymphocyte)</w:t>
            </w:r>
          </w:p>
        </w:tc>
        <w:tc>
          <w:tcPr>
            <w:tcW w:w="1170" w:type="dxa"/>
          </w:tcPr>
          <w:p w14:paraId="000000F1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17.1%</w:t>
            </w:r>
          </w:p>
          <w:p w14:paraId="000000F2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(Lymphocyte)</w:t>
            </w:r>
          </w:p>
        </w:tc>
        <w:tc>
          <w:tcPr>
            <w:tcW w:w="1098" w:type="dxa"/>
            <w:shd w:val="clear" w:color="auto" w:fill="F2F2F2"/>
          </w:tcPr>
          <w:p w14:paraId="000000F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0F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0F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9.5%</w:t>
            </w:r>
          </w:p>
        </w:tc>
        <w:tc>
          <w:tcPr>
            <w:tcW w:w="709" w:type="dxa"/>
          </w:tcPr>
          <w:p w14:paraId="000000F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Poor</w:t>
            </w:r>
          </w:p>
        </w:tc>
        <w:tc>
          <w:tcPr>
            <w:tcW w:w="708" w:type="dxa"/>
          </w:tcPr>
          <w:p w14:paraId="000000F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</w:t>
            </w:r>
          </w:p>
        </w:tc>
        <w:tc>
          <w:tcPr>
            <w:tcW w:w="1702" w:type="dxa"/>
          </w:tcPr>
          <w:p w14:paraId="000000F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Likely Pathogenic</w:t>
            </w:r>
          </w:p>
        </w:tc>
      </w:tr>
      <w:tr w:rsidR="0033125F" w14:paraId="7EE4C65C" w14:textId="77777777">
        <w:trPr>
          <w:trHeight w:val="89"/>
        </w:trPr>
        <w:tc>
          <w:tcPr>
            <w:tcW w:w="1129" w:type="dxa"/>
          </w:tcPr>
          <w:p w14:paraId="000000F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c.91T&gt;G</w:t>
            </w:r>
          </w:p>
        </w:tc>
        <w:tc>
          <w:tcPr>
            <w:tcW w:w="851" w:type="dxa"/>
          </w:tcPr>
          <w:p w14:paraId="000000F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p.(Trp31Gly)</w:t>
            </w:r>
          </w:p>
        </w:tc>
        <w:tc>
          <w:tcPr>
            <w:tcW w:w="1134" w:type="dxa"/>
            <w:shd w:val="clear" w:color="auto" w:fill="F2F2F2"/>
          </w:tcPr>
          <w:p w14:paraId="000000FB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0FC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0FD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0FE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0F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10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10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12.0%</w:t>
            </w:r>
          </w:p>
        </w:tc>
        <w:tc>
          <w:tcPr>
            <w:tcW w:w="709" w:type="dxa"/>
          </w:tcPr>
          <w:p w14:paraId="0000010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Poor</w:t>
            </w:r>
          </w:p>
        </w:tc>
        <w:tc>
          <w:tcPr>
            <w:tcW w:w="708" w:type="dxa"/>
          </w:tcPr>
          <w:p w14:paraId="0000010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</w:t>
            </w:r>
          </w:p>
        </w:tc>
        <w:tc>
          <w:tcPr>
            <w:tcW w:w="1702" w:type="dxa"/>
          </w:tcPr>
          <w:p w14:paraId="0000010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Uncertain</w:t>
            </w:r>
          </w:p>
        </w:tc>
      </w:tr>
      <w:tr w:rsidR="0033125F" w14:paraId="299AAA24" w14:textId="77777777">
        <w:trPr>
          <w:trHeight w:val="145"/>
        </w:trPr>
        <w:tc>
          <w:tcPr>
            <w:tcW w:w="1129" w:type="dxa"/>
          </w:tcPr>
          <w:p w14:paraId="0000010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c.93G&gt;C</w:t>
            </w:r>
          </w:p>
        </w:tc>
        <w:tc>
          <w:tcPr>
            <w:tcW w:w="851" w:type="dxa"/>
          </w:tcPr>
          <w:p w14:paraId="0000010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p.(Trp31Cys)</w:t>
            </w:r>
          </w:p>
        </w:tc>
        <w:tc>
          <w:tcPr>
            <w:tcW w:w="1134" w:type="dxa"/>
          </w:tcPr>
          <w:p w14:paraId="0000010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∆E3↑↑</w:t>
            </w:r>
          </w:p>
        </w:tc>
        <w:tc>
          <w:tcPr>
            <w:tcW w:w="1134" w:type="dxa"/>
            <w:shd w:val="clear" w:color="auto" w:fill="F2F2F2"/>
          </w:tcPr>
          <w:p w14:paraId="00000108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109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10A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10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10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10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10.5%</w:t>
            </w:r>
          </w:p>
        </w:tc>
        <w:tc>
          <w:tcPr>
            <w:tcW w:w="709" w:type="dxa"/>
          </w:tcPr>
          <w:p w14:paraId="0000010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Poor</w:t>
            </w:r>
          </w:p>
        </w:tc>
        <w:tc>
          <w:tcPr>
            <w:tcW w:w="708" w:type="dxa"/>
          </w:tcPr>
          <w:p w14:paraId="0000010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</w:t>
            </w:r>
          </w:p>
        </w:tc>
        <w:tc>
          <w:tcPr>
            <w:tcW w:w="1702" w:type="dxa"/>
          </w:tcPr>
          <w:p w14:paraId="0000011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Uncertain</w:t>
            </w:r>
          </w:p>
        </w:tc>
      </w:tr>
      <w:tr w:rsidR="0033125F" w14:paraId="2D7DDE27" w14:textId="77777777">
        <w:trPr>
          <w:trHeight w:val="133"/>
        </w:trPr>
        <w:tc>
          <w:tcPr>
            <w:tcW w:w="1129" w:type="dxa"/>
          </w:tcPr>
          <w:p w14:paraId="0000011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c.93G&gt;T</w:t>
            </w:r>
          </w:p>
        </w:tc>
        <w:tc>
          <w:tcPr>
            <w:tcW w:w="851" w:type="dxa"/>
          </w:tcPr>
          <w:p w14:paraId="0000011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p.(Trp31Cys)</w:t>
            </w:r>
          </w:p>
        </w:tc>
        <w:tc>
          <w:tcPr>
            <w:tcW w:w="1134" w:type="dxa"/>
            <w:shd w:val="clear" w:color="auto" w:fill="F2F2F2"/>
          </w:tcPr>
          <w:p w14:paraId="00000113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114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115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116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11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11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11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23.3%</w:t>
            </w:r>
          </w:p>
        </w:tc>
        <w:tc>
          <w:tcPr>
            <w:tcW w:w="709" w:type="dxa"/>
          </w:tcPr>
          <w:p w14:paraId="0000011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Poor</w:t>
            </w:r>
          </w:p>
        </w:tc>
        <w:tc>
          <w:tcPr>
            <w:tcW w:w="708" w:type="dxa"/>
          </w:tcPr>
          <w:p w14:paraId="0000011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</w:t>
            </w:r>
          </w:p>
        </w:tc>
        <w:tc>
          <w:tcPr>
            <w:tcW w:w="1702" w:type="dxa"/>
          </w:tcPr>
          <w:p w14:paraId="0000011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Uncertain</w:t>
            </w:r>
          </w:p>
        </w:tc>
      </w:tr>
      <w:tr w:rsidR="0033125F" w14:paraId="50C0450D" w14:textId="77777777">
        <w:trPr>
          <w:trHeight w:val="121"/>
        </w:trPr>
        <w:tc>
          <w:tcPr>
            <w:tcW w:w="1129" w:type="dxa"/>
          </w:tcPr>
          <w:p w14:paraId="0000011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c.102A&gt;G </w:t>
            </w:r>
          </w:p>
        </w:tc>
        <w:tc>
          <w:tcPr>
            <w:tcW w:w="851" w:type="dxa"/>
          </w:tcPr>
          <w:p w14:paraId="0000011E" w14:textId="67006B08" w:rsidR="0033125F" w:rsidRDefault="0058529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p.(=)</w:t>
            </w:r>
          </w:p>
        </w:tc>
        <w:tc>
          <w:tcPr>
            <w:tcW w:w="1134" w:type="dxa"/>
            <w:shd w:val="clear" w:color="auto" w:fill="F2F2F2"/>
          </w:tcPr>
          <w:p w14:paraId="0000011F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120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121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122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123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124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0000012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35.0%</w:t>
            </w:r>
          </w:p>
        </w:tc>
        <w:tc>
          <w:tcPr>
            <w:tcW w:w="709" w:type="dxa"/>
          </w:tcPr>
          <w:p w14:paraId="0000012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Good</w:t>
            </w:r>
          </w:p>
        </w:tc>
        <w:tc>
          <w:tcPr>
            <w:tcW w:w="708" w:type="dxa"/>
          </w:tcPr>
          <w:p w14:paraId="0000012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</w:t>
            </w:r>
          </w:p>
        </w:tc>
        <w:tc>
          <w:tcPr>
            <w:tcW w:w="1702" w:type="dxa"/>
          </w:tcPr>
          <w:p w14:paraId="0000012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Likely Benign</w:t>
            </w:r>
          </w:p>
        </w:tc>
      </w:tr>
      <w:tr w:rsidR="0033125F" w14:paraId="7B25D71D" w14:textId="77777777">
        <w:trPr>
          <w:trHeight w:val="435"/>
        </w:trPr>
        <w:tc>
          <w:tcPr>
            <w:tcW w:w="1129" w:type="dxa"/>
          </w:tcPr>
          <w:p w14:paraId="0000012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c.116C&gt;T</w:t>
            </w:r>
          </w:p>
        </w:tc>
        <w:tc>
          <w:tcPr>
            <w:tcW w:w="851" w:type="dxa"/>
          </w:tcPr>
          <w:p w14:paraId="0000012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p.(Ala39Val)</w:t>
            </w:r>
          </w:p>
        </w:tc>
        <w:tc>
          <w:tcPr>
            <w:tcW w:w="1134" w:type="dxa"/>
          </w:tcPr>
          <w:p w14:paraId="0000012B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</w:t>
            </w:r>
          </w:p>
        </w:tc>
        <w:tc>
          <w:tcPr>
            <w:tcW w:w="1134" w:type="dxa"/>
          </w:tcPr>
          <w:p w14:paraId="0000012C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 (Blood))</w:t>
            </w:r>
          </w:p>
        </w:tc>
        <w:tc>
          <w:tcPr>
            <w:tcW w:w="992" w:type="dxa"/>
          </w:tcPr>
          <w:p w14:paraId="0000012D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6.6% (Blood)</w:t>
            </w:r>
          </w:p>
        </w:tc>
        <w:tc>
          <w:tcPr>
            <w:tcW w:w="1170" w:type="dxa"/>
          </w:tcPr>
          <w:p w14:paraId="0000012E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10.4% (Blood)</w:t>
            </w:r>
          </w:p>
        </w:tc>
        <w:tc>
          <w:tcPr>
            <w:tcW w:w="1098" w:type="dxa"/>
            <w:shd w:val="clear" w:color="auto" w:fill="F2F2F2"/>
          </w:tcPr>
          <w:p w14:paraId="0000012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13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13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2.1%</w:t>
            </w:r>
          </w:p>
        </w:tc>
        <w:tc>
          <w:tcPr>
            <w:tcW w:w="709" w:type="dxa"/>
          </w:tcPr>
          <w:p w14:paraId="0000013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Good</w:t>
            </w:r>
          </w:p>
        </w:tc>
        <w:tc>
          <w:tcPr>
            <w:tcW w:w="708" w:type="dxa"/>
          </w:tcPr>
          <w:p w14:paraId="0000013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1702" w:type="dxa"/>
          </w:tcPr>
          <w:p w14:paraId="0000013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Benign</w:t>
            </w:r>
          </w:p>
        </w:tc>
      </w:tr>
      <w:tr w:rsidR="0033125F" w14:paraId="75BA7A1A" w14:textId="77777777">
        <w:trPr>
          <w:trHeight w:val="288"/>
        </w:trPr>
        <w:tc>
          <w:tcPr>
            <w:tcW w:w="1129" w:type="dxa"/>
          </w:tcPr>
          <w:p w14:paraId="0000013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c.125A&gt;G</w:t>
            </w:r>
          </w:p>
        </w:tc>
        <w:tc>
          <w:tcPr>
            <w:tcW w:w="851" w:type="dxa"/>
          </w:tcPr>
          <w:p w14:paraId="0000013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p.(Tyr42Cys)</w:t>
            </w:r>
          </w:p>
        </w:tc>
        <w:tc>
          <w:tcPr>
            <w:tcW w:w="1134" w:type="dxa"/>
          </w:tcPr>
          <w:p w14:paraId="00000137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</w:t>
            </w:r>
          </w:p>
        </w:tc>
        <w:tc>
          <w:tcPr>
            <w:tcW w:w="1134" w:type="dxa"/>
          </w:tcPr>
          <w:p w14:paraId="00000138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 (Lymphocytes)</w:t>
            </w:r>
          </w:p>
        </w:tc>
        <w:tc>
          <w:tcPr>
            <w:tcW w:w="992" w:type="dxa"/>
          </w:tcPr>
          <w:p w14:paraId="00000139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5.0% (Lymphocyte)</w:t>
            </w:r>
          </w:p>
        </w:tc>
        <w:tc>
          <w:tcPr>
            <w:tcW w:w="1170" w:type="dxa"/>
          </w:tcPr>
          <w:p w14:paraId="0000013A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6.9%</w:t>
            </w:r>
          </w:p>
          <w:p w14:paraId="0000013B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(Lymphocyte)</w:t>
            </w:r>
          </w:p>
        </w:tc>
        <w:tc>
          <w:tcPr>
            <w:tcW w:w="1098" w:type="dxa"/>
            <w:shd w:val="clear" w:color="auto" w:fill="F2F2F2"/>
          </w:tcPr>
          <w:p w14:paraId="0000013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13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13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13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auto" w:fill="F2F2F2"/>
          </w:tcPr>
          <w:p w14:paraId="0000014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02" w:type="dxa"/>
          </w:tcPr>
          <w:p w14:paraId="0000014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Benign</w:t>
            </w:r>
          </w:p>
        </w:tc>
      </w:tr>
      <w:tr w:rsidR="0033125F" w14:paraId="0DEB4058" w14:textId="77777777">
        <w:trPr>
          <w:trHeight w:val="93"/>
        </w:trPr>
        <w:tc>
          <w:tcPr>
            <w:tcW w:w="1129" w:type="dxa"/>
          </w:tcPr>
          <w:p w14:paraId="0000014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c.167A&gt;C</w:t>
            </w:r>
          </w:p>
        </w:tc>
        <w:tc>
          <w:tcPr>
            <w:tcW w:w="851" w:type="dxa"/>
          </w:tcPr>
          <w:p w14:paraId="0000014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p.(Asn56Thr)</w:t>
            </w:r>
          </w:p>
        </w:tc>
        <w:tc>
          <w:tcPr>
            <w:tcW w:w="1134" w:type="dxa"/>
          </w:tcPr>
          <w:p w14:paraId="00000144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</w:t>
            </w:r>
          </w:p>
        </w:tc>
        <w:tc>
          <w:tcPr>
            <w:tcW w:w="1134" w:type="dxa"/>
            <w:shd w:val="clear" w:color="auto" w:fill="F2F2F2"/>
          </w:tcPr>
          <w:p w14:paraId="00000145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146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147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148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149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2F2F2"/>
          </w:tcPr>
          <w:p w14:paraId="0000014A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2F2F2"/>
          </w:tcPr>
          <w:p w14:paraId="0000014B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2F2F2"/>
          </w:tcPr>
          <w:p w14:paraId="0000014C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</w:tcPr>
          <w:p w14:paraId="0000014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Benign</w:t>
            </w:r>
          </w:p>
        </w:tc>
      </w:tr>
      <w:tr w:rsidR="0033125F" w14:paraId="15101E0D" w14:textId="77777777">
        <w:trPr>
          <w:trHeight w:val="81"/>
        </w:trPr>
        <w:tc>
          <w:tcPr>
            <w:tcW w:w="1129" w:type="dxa"/>
          </w:tcPr>
          <w:p w14:paraId="0000014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c.179A&gt;G</w:t>
            </w:r>
          </w:p>
        </w:tc>
        <w:tc>
          <w:tcPr>
            <w:tcW w:w="851" w:type="dxa"/>
          </w:tcPr>
          <w:p w14:paraId="0000014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p.(Asn60Ser)</w:t>
            </w:r>
          </w:p>
        </w:tc>
        <w:tc>
          <w:tcPr>
            <w:tcW w:w="1134" w:type="dxa"/>
          </w:tcPr>
          <w:p w14:paraId="00000150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</w:t>
            </w:r>
          </w:p>
        </w:tc>
        <w:tc>
          <w:tcPr>
            <w:tcW w:w="1134" w:type="dxa"/>
            <w:shd w:val="clear" w:color="auto" w:fill="F2F2F2"/>
          </w:tcPr>
          <w:p w14:paraId="00000151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152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153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154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155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2F2F2"/>
          </w:tcPr>
          <w:p w14:paraId="00000156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2F2F2"/>
          </w:tcPr>
          <w:p w14:paraId="00000157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2F2F2"/>
          </w:tcPr>
          <w:p w14:paraId="00000158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</w:tcPr>
          <w:p w14:paraId="0000015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Benign</w:t>
            </w:r>
          </w:p>
        </w:tc>
      </w:tr>
      <w:tr w:rsidR="0033125F" w14:paraId="265DA766" w14:textId="77777777">
        <w:trPr>
          <w:trHeight w:val="196"/>
        </w:trPr>
        <w:tc>
          <w:tcPr>
            <w:tcW w:w="1129" w:type="dxa"/>
          </w:tcPr>
          <w:p w14:paraId="0000015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c.198A&gt;G</w:t>
            </w:r>
          </w:p>
        </w:tc>
        <w:tc>
          <w:tcPr>
            <w:tcW w:w="851" w:type="dxa"/>
          </w:tcPr>
          <w:p w14:paraId="0000015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p.(=)</w:t>
            </w:r>
          </w:p>
        </w:tc>
        <w:tc>
          <w:tcPr>
            <w:tcW w:w="1134" w:type="dxa"/>
          </w:tcPr>
          <w:p w14:paraId="0000015C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</w:t>
            </w:r>
          </w:p>
        </w:tc>
        <w:tc>
          <w:tcPr>
            <w:tcW w:w="1134" w:type="dxa"/>
          </w:tcPr>
          <w:p w14:paraId="0000015D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 (Lymphocytes)</w:t>
            </w:r>
          </w:p>
        </w:tc>
        <w:tc>
          <w:tcPr>
            <w:tcW w:w="992" w:type="dxa"/>
          </w:tcPr>
          <w:p w14:paraId="0000015E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6.0% (Lymphocyte)</w:t>
            </w:r>
          </w:p>
        </w:tc>
        <w:tc>
          <w:tcPr>
            <w:tcW w:w="1170" w:type="dxa"/>
          </w:tcPr>
          <w:p w14:paraId="0000015F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8.9%</w:t>
            </w:r>
          </w:p>
          <w:p w14:paraId="00000160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(Lymphocyte)</w:t>
            </w:r>
          </w:p>
        </w:tc>
        <w:tc>
          <w:tcPr>
            <w:tcW w:w="1098" w:type="dxa"/>
            <w:shd w:val="clear" w:color="auto" w:fill="F2F2F2"/>
          </w:tcPr>
          <w:p w14:paraId="0000016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16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16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16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auto" w:fill="F2F2F2"/>
          </w:tcPr>
          <w:p w14:paraId="0000016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02" w:type="dxa"/>
          </w:tcPr>
          <w:p w14:paraId="0000016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Benign</w:t>
            </w:r>
          </w:p>
        </w:tc>
      </w:tr>
      <w:tr w:rsidR="0033125F" w14:paraId="71EBC340" w14:textId="77777777">
        <w:trPr>
          <w:trHeight w:val="328"/>
        </w:trPr>
        <w:tc>
          <w:tcPr>
            <w:tcW w:w="1129" w:type="dxa"/>
          </w:tcPr>
          <w:p w14:paraId="0000016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c.223G&gt;C</w:t>
            </w:r>
          </w:p>
        </w:tc>
        <w:tc>
          <w:tcPr>
            <w:tcW w:w="851" w:type="dxa"/>
          </w:tcPr>
          <w:p w14:paraId="0000016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p.(Ala75Pro)</w:t>
            </w:r>
          </w:p>
        </w:tc>
        <w:tc>
          <w:tcPr>
            <w:tcW w:w="1134" w:type="dxa"/>
          </w:tcPr>
          <w:p w14:paraId="00000169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</w:t>
            </w:r>
          </w:p>
        </w:tc>
        <w:tc>
          <w:tcPr>
            <w:tcW w:w="1134" w:type="dxa"/>
          </w:tcPr>
          <w:p w14:paraId="0000016A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 (Blood, LCL)</w:t>
            </w:r>
          </w:p>
        </w:tc>
        <w:tc>
          <w:tcPr>
            <w:tcW w:w="992" w:type="dxa"/>
          </w:tcPr>
          <w:p w14:paraId="0000016B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5.9% (</w:t>
            </w:r>
            <w:r w:rsidRPr="00BF5B44">
              <w:rPr>
                <w:color w:val="0070C0"/>
                <w:sz w:val="12"/>
                <w:szCs w:val="12"/>
              </w:rPr>
              <w:t>Lymphocyte</w:t>
            </w:r>
            <w:r>
              <w:rPr>
                <w:color w:val="0070C0"/>
                <w:sz w:val="12"/>
                <w:szCs w:val="12"/>
              </w:rPr>
              <w:t>)</w:t>
            </w:r>
          </w:p>
        </w:tc>
        <w:tc>
          <w:tcPr>
            <w:tcW w:w="1170" w:type="dxa"/>
          </w:tcPr>
          <w:p w14:paraId="0000016C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8.7%</w:t>
            </w:r>
          </w:p>
          <w:p w14:paraId="0000016D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(Lymphocyte)</w:t>
            </w:r>
          </w:p>
        </w:tc>
        <w:tc>
          <w:tcPr>
            <w:tcW w:w="1098" w:type="dxa"/>
            <w:shd w:val="clear" w:color="auto" w:fill="F2F2F2"/>
          </w:tcPr>
          <w:p w14:paraId="0000016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16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17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17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auto" w:fill="F2F2F2"/>
          </w:tcPr>
          <w:p w14:paraId="0000017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02" w:type="dxa"/>
          </w:tcPr>
          <w:p w14:paraId="0000017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Benign</w:t>
            </w:r>
          </w:p>
        </w:tc>
      </w:tr>
      <w:tr w:rsidR="0033125F" w14:paraId="7CAE6E39" w14:textId="77777777">
        <w:trPr>
          <w:trHeight w:val="134"/>
        </w:trPr>
        <w:tc>
          <w:tcPr>
            <w:tcW w:w="1129" w:type="dxa"/>
          </w:tcPr>
          <w:p w14:paraId="0000017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c.226T&gt;C</w:t>
            </w:r>
          </w:p>
        </w:tc>
        <w:tc>
          <w:tcPr>
            <w:tcW w:w="851" w:type="dxa"/>
          </w:tcPr>
          <w:p w14:paraId="0000017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p.(Ser76Pro)</w:t>
            </w:r>
          </w:p>
        </w:tc>
        <w:tc>
          <w:tcPr>
            <w:tcW w:w="1134" w:type="dxa"/>
          </w:tcPr>
          <w:p w14:paraId="00000176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∆E3↑</w:t>
            </w:r>
          </w:p>
        </w:tc>
        <w:tc>
          <w:tcPr>
            <w:tcW w:w="1134" w:type="dxa"/>
            <w:shd w:val="clear" w:color="auto" w:fill="F2F2F2"/>
          </w:tcPr>
          <w:p w14:paraId="00000177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178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179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17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17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17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17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auto" w:fill="F2F2F2"/>
          </w:tcPr>
          <w:p w14:paraId="0000017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02" w:type="dxa"/>
          </w:tcPr>
          <w:p w14:paraId="0000017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Likely Benign</w:t>
            </w:r>
          </w:p>
        </w:tc>
      </w:tr>
      <w:tr w:rsidR="0033125F" w14:paraId="4AC78A33" w14:textId="77777777">
        <w:trPr>
          <w:trHeight w:val="123"/>
        </w:trPr>
        <w:tc>
          <w:tcPr>
            <w:tcW w:w="1129" w:type="dxa"/>
          </w:tcPr>
          <w:p w14:paraId="0000018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c.241T&gt;C</w:t>
            </w:r>
          </w:p>
        </w:tc>
        <w:tc>
          <w:tcPr>
            <w:tcW w:w="851" w:type="dxa"/>
          </w:tcPr>
          <w:p w14:paraId="0000018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p.(Phe81Ile)</w:t>
            </w:r>
          </w:p>
        </w:tc>
        <w:tc>
          <w:tcPr>
            <w:tcW w:w="1134" w:type="dxa"/>
          </w:tcPr>
          <w:p w14:paraId="00000182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</w:t>
            </w:r>
          </w:p>
        </w:tc>
        <w:tc>
          <w:tcPr>
            <w:tcW w:w="1134" w:type="dxa"/>
            <w:shd w:val="clear" w:color="auto" w:fill="F2F2F2"/>
          </w:tcPr>
          <w:p w14:paraId="0000018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shd w:val="clear" w:color="auto" w:fill="F2F2F2"/>
          </w:tcPr>
          <w:p w14:paraId="0000018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70" w:type="dxa"/>
            <w:shd w:val="clear" w:color="auto" w:fill="F2F2F2"/>
          </w:tcPr>
          <w:p w14:paraId="0000018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098" w:type="dxa"/>
            <w:shd w:val="clear" w:color="auto" w:fill="F2F2F2"/>
          </w:tcPr>
          <w:p w14:paraId="0000018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18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18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0.6%</w:t>
            </w:r>
          </w:p>
        </w:tc>
        <w:tc>
          <w:tcPr>
            <w:tcW w:w="709" w:type="dxa"/>
          </w:tcPr>
          <w:p w14:paraId="0000018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Good</w:t>
            </w:r>
          </w:p>
        </w:tc>
        <w:tc>
          <w:tcPr>
            <w:tcW w:w="708" w:type="dxa"/>
          </w:tcPr>
          <w:p w14:paraId="0000018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1702" w:type="dxa"/>
          </w:tcPr>
          <w:p w14:paraId="0000018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Benign</w:t>
            </w:r>
          </w:p>
        </w:tc>
      </w:tr>
      <w:tr w:rsidR="0033125F" w14:paraId="640DAC5A" w14:textId="77777777">
        <w:trPr>
          <w:trHeight w:val="402"/>
        </w:trPr>
        <w:tc>
          <w:tcPr>
            <w:tcW w:w="1129" w:type="dxa"/>
          </w:tcPr>
          <w:p w14:paraId="0000018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c.277_317-726delinsCCAT</w:t>
            </w:r>
          </w:p>
        </w:tc>
        <w:tc>
          <w:tcPr>
            <w:tcW w:w="851" w:type="dxa"/>
          </w:tcPr>
          <w:p w14:paraId="0000018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  <w:shd w:val="clear" w:color="auto" w:fill="F2F2F2"/>
          </w:tcPr>
          <w:p w14:paraId="0000018E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0000018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∆E3↑↑↑↑ (Blood)</w:t>
            </w:r>
          </w:p>
        </w:tc>
        <w:tc>
          <w:tcPr>
            <w:tcW w:w="992" w:type="dxa"/>
          </w:tcPr>
          <w:p w14:paraId="0000019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28.7%  (Blood)</w:t>
            </w:r>
          </w:p>
        </w:tc>
        <w:tc>
          <w:tcPr>
            <w:tcW w:w="1170" w:type="dxa"/>
          </w:tcPr>
          <w:p w14:paraId="0000019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54.6% (Blood)</w:t>
            </w:r>
          </w:p>
        </w:tc>
        <w:tc>
          <w:tcPr>
            <w:tcW w:w="1098" w:type="dxa"/>
            <w:shd w:val="clear" w:color="auto" w:fill="F2F2F2"/>
          </w:tcPr>
          <w:p w14:paraId="0000019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19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19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19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auto" w:fill="F2F2F2"/>
          </w:tcPr>
          <w:p w14:paraId="0000019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02" w:type="dxa"/>
          </w:tcPr>
          <w:p w14:paraId="0000019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Pathogenic</w:t>
            </w:r>
          </w:p>
        </w:tc>
      </w:tr>
      <w:tr w:rsidR="0033125F" w14:paraId="7B99F320" w14:textId="77777777">
        <w:trPr>
          <w:trHeight w:val="84"/>
        </w:trPr>
        <w:tc>
          <w:tcPr>
            <w:tcW w:w="1129" w:type="dxa"/>
          </w:tcPr>
          <w:p w14:paraId="0000019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c.280C&gt;T</w:t>
            </w:r>
          </w:p>
        </w:tc>
        <w:tc>
          <w:tcPr>
            <w:tcW w:w="851" w:type="dxa"/>
          </w:tcPr>
          <w:p w14:paraId="0000019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p.(Pro94Ser)</w:t>
            </w:r>
          </w:p>
        </w:tc>
        <w:tc>
          <w:tcPr>
            <w:tcW w:w="1134" w:type="dxa"/>
            <w:shd w:val="clear" w:color="auto" w:fill="F2F2F2"/>
          </w:tcPr>
          <w:p w14:paraId="0000019A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0000019B" w14:textId="77777777" w:rsidR="0033125F" w:rsidRPr="00BF5B44" w:rsidRDefault="00077B2B">
            <w:pPr>
              <w:rPr>
                <w:color w:val="0070C0"/>
                <w:sz w:val="12"/>
                <w:szCs w:val="12"/>
              </w:rPr>
            </w:pPr>
            <w:r w:rsidRPr="00BF5B44">
              <w:rPr>
                <w:color w:val="0070C0"/>
                <w:sz w:val="12"/>
                <w:szCs w:val="12"/>
              </w:rPr>
              <w:t>same as WT (LCL)</w:t>
            </w:r>
          </w:p>
        </w:tc>
        <w:tc>
          <w:tcPr>
            <w:tcW w:w="992" w:type="dxa"/>
          </w:tcPr>
          <w:p w14:paraId="0000019C" w14:textId="77777777" w:rsidR="0033125F" w:rsidRPr="00BF5B44" w:rsidRDefault="00077B2B">
            <w:pPr>
              <w:rPr>
                <w:color w:val="0070C0"/>
                <w:sz w:val="12"/>
                <w:szCs w:val="12"/>
              </w:rPr>
            </w:pPr>
            <w:r w:rsidRPr="00BF5B44">
              <w:rPr>
                <w:color w:val="0070C0"/>
                <w:sz w:val="12"/>
                <w:szCs w:val="12"/>
              </w:rPr>
              <w:t>3.5% (LCL)</w:t>
            </w:r>
          </w:p>
        </w:tc>
        <w:tc>
          <w:tcPr>
            <w:tcW w:w="1170" w:type="dxa"/>
          </w:tcPr>
          <w:p w14:paraId="0000019D" w14:textId="77777777" w:rsidR="0033125F" w:rsidRPr="00BF5B44" w:rsidRDefault="00077B2B">
            <w:pPr>
              <w:rPr>
                <w:color w:val="0070C0"/>
                <w:sz w:val="12"/>
                <w:szCs w:val="12"/>
              </w:rPr>
            </w:pPr>
            <w:r w:rsidRPr="00BF5B44">
              <w:rPr>
                <w:color w:val="0070C0"/>
                <w:sz w:val="12"/>
                <w:szCs w:val="12"/>
              </w:rPr>
              <w:t>3.3% (LCL)</w:t>
            </w:r>
          </w:p>
        </w:tc>
        <w:tc>
          <w:tcPr>
            <w:tcW w:w="1098" w:type="dxa"/>
            <w:shd w:val="clear" w:color="auto" w:fill="F2F2F2"/>
          </w:tcPr>
          <w:p w14:paraId="0000019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19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1A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1.5%</w:t>
            </w:r>
          </w:p>
        </w:tc>
        <w:tc>
          <w:tcPr>
            <w:tcW w:w="709" w:type="dxa"/>
          </w:tcPr>
          <w:p w14:paraId="000001A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Good</w:t>
            </w:r>
          </w:p>
        </w:tc>
        <w:tc>
          <w:tcPr>
            <w:tcW w:w="708" w:type="dxa"/>
          </w:tcPr>
          <w:p w14:paraId="000001A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</w:t>
            </w:r>
          </w:p>
        </w:tc>
        <w:tc>
          <w:tcPr>
            <w:tcW w:w="1702" w:type="dxa"/>
          </w:tcPr>
          <w:p w14:paraId="000001A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Benign</w:t>
            </w:r>
          </w:p>
        </w:tc>
      </w:tr>
      <w:tr w:rsidR="0033125F" w14:paraId="5C110B2F" w14:textId="77777777">
        <w:trPr>
          <w:trHeight w:val="281"/>
        </w:trPr>
        <w:tc>
          <w:tcPr>
            <w:tcW w:w="1129" w:type="dxa"/>
          </w:tcPr>
          <w:p w14:paraId="000001A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c.316+1G&gt;T</w:t>
            </w:r>
          </w:p>
        </w:tc>
        <w:tc>
          <w:tcPr>
            <w:tcW w:w="851" w:type="dxa"/>
          </w:tcPr>
          <w:p w14:paraId="000001A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</w:tcPr>
          <w:p w14:paraId="000001A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∆E3↑↑↑↑, complete skipping also reported in Caputo et al (PMID: 29707112)</w:t>
            </w:r>
          </w:p>
        </w:tc>
        <w:tc>
          <w:tcPr>
            <w:tcW w:w="1134" w:type="dxa"/>
          </w:tcPr>
          <w:p w14:paraId="000001A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∆E3↑↑↑↑ (Lymphocytes)</w:t>
            </w:r>
          </w:p>
        </w:tc>
        <w:tc>
          <w:tcPr>
            <w:tcW w:w="992" w:type="dxa"/>
          </w:tcPr>
          <w:p w14:paraId="000001A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40.4% (Blood)</w:t>
            </w:r>
            <w:r>
              <w:rPr>
                <w:sz w:val="12"/>
                <w:szCs w:val="12"/>
              </w:rPr>
              <w:br/>
              <w:t>55.0% (Lymphocyte)</w:t>
            </w:r>
          </w:p>
        </w:tc>
        <w:tc>
          <w:tcPr>
            <w:tcW w:w="1170" w:type="dxa"/>
          </w:tcPr>
          <w:p w14:paraId="000001A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77.9% (Blood)</w:t>
            </w:r>
            <w:r>
              <w:rPr>
                <w:sz w:val="12"/>
                <w:szCs w:val="12"/>
              </w:rPr>
              <w:br/>
              <w:t>107.9% (Lymphocyte)</w:t>
            </w:r>
          </w:p>
        </w:tc>
        <w:tc>
          <w:tcPr>
            <w:tcW w:w="1098" w:type="dxa"/>
            <w:shd w:val="clear" w:color="auto" w:fill="F2F2F2"/>
          </w:tcPr>
          <w:p w14:paraId="000001A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1A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</w:tcPr>
          <w:p w14:paraId="000001A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99.7%</w:t>
            </w:r>
          </w:p>
        </w:tc>
        <w:tc>
          <w:tcPr>
            <w:tcW w:w="709" w:type="dxa"/>
          </w:tcPr>
          <w:p w14:paraId="000001A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Poor</w:t>
            </w:r>
          </w:p>
        </w:tc>
        <w:tc>
          <w:tcPr>
            <w:tcW w:w="708" w:type="dxa"/>
          </w:tcPr>
          <w:p w14:paraId="000001A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</w:t>
            </w:r>
          </w:p>
        </w:tc>
        <w:tc>
          <w:tcPr>
            <w:tcW w:w="1702" w:type="dxa"/>
          </w:tcPr>
          <w:p w14:paraId="000001A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Pathogenic</w:t>
            </w:r>
          </w:p>
        </w:tc>
      </w:tr>
      <w:tr w:rsidR="0033125F" w14:paraId="14E6EDF5" w14:textId="77777777">
        <w:trPr>
          <w:trHeight w:val="133"/>
        </w:trPr>
        <w:tc>
          <w:tcPr>
            <w:tcW w:w="1129" w:type="dxa"/>
          </w:tcPr>
          <w:p w14:paraId="000001B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c.316+6T&gt;A</w:t>
            </w:r>
          </w:p>
        </w:tc>
        <w:tc>
          <w:tcPr>
            <w:tcW w:w="851" w:type="dxa"/>
          </w:tcPr>
          <w:p w14:paraId="000001B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  <w:shd w:val="clear" w:color="auto" w:fill="F2F2F2"/>
          </w:tcPr>
          <w:p w14:paraId="000001B2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1B3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1B4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1B5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1B6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1B7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000001B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82.6%</w:t>
            </w:r>
          </w:p>
        </w:tc>
        <w:tc>
          <w:tcPr>
            <w:tcW w:w="709" w:type="dxa"/>
          </w:tcPr>
          <w:p w14:paraId="000001B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Good</w:t>
            </w:r>
          </w:p>
        </w:tc>
        <w:tc>
          <w:tcPr>
            <w:tcW w:w="708" w:type="dxa"/>
          </w:tcPr>
          <w:p w14:paraId="000001B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1702" w:type="dxa"/>
          </w:tcPr>
          <w:p w14:paraId="000001BB" w14:textId="39015EA2" w:rsidR="0033125F" w:rsidRDefault="00D5669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Uncertain</w:t>
            </w:r>
          </w:p>
        </w:tc>
      </w:tr>
      <w:tr w:rsidR="0033125F" w14:paraId="7A438859" w14:textId="77777777">
        <w:trPr>
          <w:trHeight w:val="137"/>
        </w:trPr>
        <w:tc>
          <w:tcPr>
            <w:tcW w:w="1129" w:type="dxa"/>
          </w:tcPr>
          <w:p w14:paraId="000001BC" w14:textId="77777777" w:rsidR="0033125F" w:rsidRDefault="00077B2B">
            <w:pPr>
              <w:rPr>
                <w:sz w:val="12"/>
                <w:szCs w:val="12"/>
              </w:rPr>
            </w:pPr>
            <w:bookmarkStart w:id="1" w:name="_heading=h.gjdgxs" w:colFirst="0" w:colLast="0"/>
            <w:bookmarkEnd w:id="1"/>
            <w:r>
              <w:rPr>
                <w:sz w:val="12"/>
                <w:szCs w:val="12"/>
              </w:rPr>
              <w:t>c.316+6T&gt;G</w:t>
            </w:r>
          </w:p>
        </w:tc>
        <w:tc>
          <w:tcPr>
            <w:tcW w:w="851" w:type="dxa"/>
          </w:tcPr>
          <w:p w14:paraId="000001B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  <w:shd w:val="clear" w:color="auto" w:fill="F2F2F2"/>
          </w:tcPr>
          <w:p w14:paraId="000001BE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1BF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1C0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1C1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1C2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1C3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000001C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80.4%</w:t>
            </w:r>
          </w:p>
        </w:tc>
        <w:tc>
          <w:tcPr>
            <w:tcW w:w="709" w:type="dxa"/>
          </w:tcPr>
          <w:p w14:paraId="000001C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Reduced</w:t>
            </w:r>
          </w:p>
        </w:tc>
        <w:tc>
          <w:tcPr>
            <w:tcW w:w="708" w:type="dxa"/>
          </w:tcPr>
          <w:p w14:paraId="000001C6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1702" w:type="dxa"/>
          </w:tcPr>
          <w:p w14:paraId="000001C7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Uncertain</w:t>
            </w:r>
          </w:p>
        </w:tc>
      </w:tr>
      <w:tr w:rsidR="0033125F" w14:paraId="0BD2AEF4" w14:textId="77777777">
        <w:trPr>
          <w:trHeight w:val="154"/>
        </w:trPr>
        <w:tc>
          <w:tcPr>
            <w:tcW w:w="1129" w:type="dxa"/>
          </w:tcPr>
          <w:p w14:paraId="000001C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c.316+6T&gt;C</w:t>
            </w:r>
          </w:p>
        </w:tc>
        <w:tc>
          <w:tcPr>
            <w:tcW w:w="851" w:type="dxa"/>
          </w:tcPr>
          <w:p w14:paraId="000001C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  <w:shd w:val="clear" w:color="auto" w:fill="F2F2F2"/>
          </w:tcPr>
          <w:p w14:paraId="000001CA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1CB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/>
          </w:tcPr>
          <w:p w14:paraId="000001CC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2F2F2"/>
          </w:tcPr>
          <w:p w14:paraId="000001CD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shd w:val="clear" w:color="auto" w:fill="F2F2F2"/>
          </w:tcPr>
          <w:p w14:paraId="000001CE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/>
          </w:tcPr>
          <w:p w14:paraId="000001CF" w14:textId="77777777" w:rsidR="0033125F" w:rsidRDefault="0033125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000001D0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56.3%</w:t>
            </w:r>
          </w:p>
        </w:tc>
        <w:tc>
          <w:tcPr>
            <w:tcW w:w="709" w:type="dxa"/>
          </w:tcPr>
          <w:p w14:paraId="000001D1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Good</w:t>
            </w:r>
          </w:p>
        </w:tc>
        <w:tc>
          <w:tcPr>
            <w:tcW w:w="708" w:type="dxa"/>
          </w:tcPr>
          <w:p w14:paraId="000001D2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1702" w:type="dxa"/>
          </w:tcPr>
          <w:p w14:paraId="000001D3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Likely Benign</w:t>
            </w:r>
          </w:p>
        </w:tc>
      </w:tr>
      <w:tr w:rsidR="0033125F" w14:paraId="2C8E7A6B" w14:textId="77777777">
        <w:trPr>
          <w:trHeight w:val="145"/>
        </w:trPr>
        <w:tc>
          <w:tcPr>
            <w:tcW w:w="1129" w:type="dxa"/>
          </w:tcPr>
          <w:p w14:paraId="000001D4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c.316+65A&gt;G</w:t>
            </w:r>
          </w:p>
        </w:tc>
        <w:tc>
          <w:tcPr>
            <w:tcW w:w="851" w:type="dxa"/>
          </w:tcPr>
          <w:p w14:paraId="000001D5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p.?</w:t>
            </w:r>
          </w:p>
        </w:tc>
        <w:tc>
          <w:tcPr>
            <w:tcW w:w="1134" w:type="dxa"/>
          </w:tcPr>
          <w:p w14:paraId="000001D6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∆E3↑↑</w:t>
            </w:r>
          </w:p>
        </w:tc>
        <w:tc>
          <w:tcPr>
            <w:tcW w:w="1134" w:type="dxa"/>
          </w:tcPr>
          <w:p w14:paraId="000001D7" w14:textId="77777777" w:rsidR="0033125F" w:rsidRDefault="00077B2B">
            <w:pPr>
              <w:rPr>
                <w:color w:val="0070C0"/>
                <w:sz w:val="12"/>
                <w:szCs w:val="12"/>
              </w:rPr>
            </w:pPr>
            <w:r>
              <w:rPr>
                <w:color w:val="0070C0"/>
                <w:sz w:val="12"/>
                <w:szCs w:val="12"/>
              </w:rPr>
              <w:t>same as WT (LCL)</w:t>
            </w:r>
          </w:p>
        </w:tc>
        <w:tc>
          <w:tcPr>
            <w:tcW w:w="992" w:type="dxa"/>
            <w:shd w:val="clear" w:color="auto" w:fill="F2F2F2"/>
          </w:tcPr>
          <w:p w14:paraId="000001D8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70" w:type="dxa"/>
            <w:shd w:val="clear" w:color="auto" w:fill="F2F2F2"/>
          </w:tcPr>
          <w:p w14:paraId="000001D9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098" w:type="dxa"/>
            <w:shd w:val="clear" w:color="auto" w:fill="F2F2F2"/>
          </w:tcPr>
          <w:p w14:paraId="000001DA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000001DB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1DC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shd w:val="clear" w:color="auto" w:fill="F2F2F2"/>
          </w:tcPr>
          <w:p w14:paraId="000001DD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shd w:val="clear" w:color="auto" w:fill="F2F2F2"/>
          </w:tcPr>
          <w:p w14:paraId="000001DE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02" w:type="dxa"/>
          </w:tcPr>
          <w:p w14:paraId="000001DF" w14:textId="77777777" w:rsidR="0033125F" w:rsidRDefault="00077B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Likely Benign</w:t>
            </w:r>
          </w:p>
        </w:tc>
      </w:tr>
    </w:tbl>
    <w:p w14:paraId="000001E0" w14:textId="77777777" w:rsidR="0033125F" w:rsidRDefault="00077B2B">
      <w:pPr>
        <w:spacing w:after="0"/>
        <w:rPr>
          <w:sz w:val="10"/>
          <w:szCs w:val="10"/>
        </w:rPr>
      </w:pPr>
      <w:r>
        <w:rPr>
          <w:sz w:val="10"/>
          <w:szCs w:val="10"/>
        </w:rPr>
        <w:t xml:space="preserve">†) Light grey highlighted cell indicates not assayed in this study, for the relevant column. Control samples are in bold.  </w:t>
      </w:r>
    </w:p>
    <w:p w14:paraId="000001E1" w14:textId="77777777" w:rsidR="0033125F" w:rsidRDefault="00077B2B">
      <w:pPr>
        <w:spacing w:after="0"/>
        <w:rPr>
          <w:sz w:val="10"/>
          <w:szCs w:val="10"/>
        </w:rPr>
      </w:pPr>
      <w:r>
        <w:rPr>
          <w:sz w:val="10"/>
          <w:szCs w:val="10"/>
        </w:rPr>
        <w:t>Transcript notations are as follows:</w:t>
      </w:r>
      <w:r>
        <w:rPr>
          <w:rFonts w:ascii="Arial" w:eastAsia="Arial" w:hAnsi="Arial" w:cs="Arial"/>
          <w:sz w:val="10"/>
          <w:szCs w:val="10"/>
        </w:rPr>
        <w:t>▼</w:t>
      </w:r>
      <w:r>
        <w:rPr>
          <w:sz w:val="10"/>
          <w:szCs w:val="10"/>
        </w:rPr>
        <w:t>(E3p2) r.67_68ins68-2_68-1 p.(Asp23Glufs*3) ; ∆(E3p6) r.68_73del p.(Asp23_Leu24del); ∆(E3) r.68_316del p.(Asp23_Leu105del); ∆(E3_E4) r.68_425del p.(Asp23Valfs*10)</w:t>
      </w:r>
      <w:r>
        <w:rPr>
          <w:sz w:val="10"/>
          <w:szCs w:val="10"/>
        </w:rPr>
        <w:tab/>
      </w:r>
    </w:p>
    <w:p w14:paraId="000001E2" w14:textId="77777777" w:rsidR="0033125F" w:rsidRDefault="00077B2B">
      <w:pPr>
        <w:spacing w:after="0"/>
        <w:rPr>
          <w:sz w:val="10"/>
          <w:szCs w:val="10"/>
        </w:rPr>
      </w:pPr>
      <w:r>
        <w:rPr>
          <w:sz w:val="10"/>
          <w:szCs w:val="10"/>
        </w:rPr>
        <w:t>‡) Most relevant MES predictions are indicated, with some additional ESE score changes as relevant. For further details about splicing predictions, see Supplementary Table 1. N:0 - no relevant changes predicted at native sites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14:paraId="000001E3" w14:textId="77777777" w:rsidR="0033125F" w:rsidRDefault="00077B2B">
      <w:pPr>
        <w:spacing w:after="0"/>
        <w:rPr>
          <w:sz w:val="10"/>
          <w:szCs w:val="10"/>
        </w:rPr>
      </w:pPr>
      <w:r>
        <w:rPr>
          <w:sz w:val="10"/>
          <w:szCs w:val="10"/>
        </w:rPr>
        <w:t>§) Key to result description: Same as WT - either no skipping, or skipping consistent with WT control/s for assay type; ∆E)↑: extremely low exon skipping detected by visual inspection but considered greater than WT control variant; ∆E3↑↑:  Less than ~10% exon skipping detected by visual inspection;  ∆E3↑↑↑ exon skipping &gt;10%  but considered incomplete by visual inspection; , ∆E3↑↑↑↑ (almost) complete skipping. #  note that in addition to ∆E3↑↑, the variant allele produces an altered full-length transcript r.72_85delinsTTTAAATAGAT p.(Leu24_Leu29delinsPheLeuAsnArgPhe). Multi-exon exclusion was measured by dPCR on patient-derived mRNA for control variants and c.315+1G&gt;T (See Supplementary Fig S4), and was found to occur at negligible levels.  Note: Assay on patient mRNA for c.68-2A&gt;G was designed to capture only acceptor site usage, and could not capture upregulation of exon 3 skipping.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14:paraId="000001E4" w14:textId="77777777" w:rsidR="0033125F" w:rsidRDefault="00077B2B">
      <w:pPr>
        <w:spacing w:after="0"/>
        <w:rPr>
          <w:sz w:val="10"/>
          <w:szCs w:val="10"/>
        </w:rPr>
      </w:pPr>
      <w:r>
        <w:rPr>
          <w:sz w:val="10"/>
          <w:szCs w:val="10"/>
        </w:rPr>
        <w:t>¶ Blood = directly stabilized blood, LCL = lymphoblastoid cell line, lymphocyte = short-term lymphocyte culture.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14:paraId="000001E5" w14:textId="77777777" w:rsidR="0033125F" w:rsidRDefault="00077B2B">
      <w:pPr>
        <w:spacing w:after="0"/>
        <w:rPr>
          <w:sz w:val="10"/>
          <w:szCs w:val="10"/>
        </w:rPr>
      </w:pPr>
      <w:r>
        <w:rPr>
          <w:sz w:val="10"/>
          <w:szCs w:val="10"/>
        </w:rPr>
        <w:t>£) Details listed for alternative transcripts comprising at least 2% of the overall profile. See Supplementary figure S5a for further details about other minor transcripts reported.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14:paraId="000001E6" w14:textId="77777777" w:rsidR="0033125F" w:rsidRDefault="00077B2B">
      <w:pPr>
        <w:spacing w:after="0"/>
        <w:rPr>
          <w:sz w:val="10"/>
          <w:szCs w:val="10"/>
        </w:rPr>
      </w:pPr>
      <w:r>
        <w:rPr>
          <w:sz w:val="10"/>
          <w:szCs w:val="10"/>
        </w:rPr>
        <w:t>¤) Additional notes regarding transcripts detected by capillary electrophoresis (Supplementary Figure S7):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14:paraId="000001E7" w14:textId="77777777" w:rsidR="0033125F" w:rsidRDefault="00077B2B">
      <w:pPr>
        <w:spacing w:after="0"/>
        <w:contextualSpacing/>
        <w:rPr>
          <w:sz w:val="10"/>
          <w:szCs w:val="10"/>
        </w:rPr>
      </w:pPr>
      <w:r>
        <w:rPr>
          <w:sz w:val="10"/>
          <w:szCs w:val="10"/>
        </w:rPr>
        <w:t xml:space="preserve">For variant c. 68-3T&gt;G, 10% ΔE3 transcript was expressed relative to full-length plus </w:t>
      </w:r>
      <w:r>
        <w:rPr>
          <w:rFonts w:ascii="Arial" w:eastAsia="Arial" w:hAnsi="Arial" w:cs="Arial"/>
          <w:sz w:val="10"/>
          <w:szCs w:val="10"/>
        </w:rPr>
        <w:t>▼</w:t>
      </w:r>
      <w:r>
        <w:rPr>
          <w:sz w:val="10"/>
          <w:szCs w:val="10"/>
        </w:rPr>
        <w:t>(E3p2) transcripts.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14:paraId="000001E8" w14:textId="77777777" w:rsidR="0033125F" w:rsidRDefault="00077B2B">
      <w:pPr>
        <w:spacing w:after="0"/>
        <w:contextualSpacing/>
        <w:rPr>
          <w:sz w:val="10"/>
          <w:szCs w:val="10"/>
        </w:rPr>
      </w:pPr>
      <w:r>
        <w:rPr>
          <w:sz w:val="10"/>
          <w:szCs w:val="10"/>
        </w:rPr>
        <w:t>For variant c.68-2A&gt;G, no full-length transcript was detected, only exon skipping and a 6bp deletion transcript consistent with predicted cryptic site usage; 13% ΔE3 transcript was expressed relative to Δ(E3p6) transcript (r.68_73del).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14:paraId="000001E9" w14:textId="77777777" w:rsidR="0033125F" w:rsidRDefault="00077B2B">
      <w:pPr>
        <w:contextualSpacing/>
        <w:rPr>
          <w:sz w:val="10"/>
          <w:szCs w:val="10"/>
        </w:rPr>
      </w:pPr>
      <w:r>
        <w:rPr>
          <w:sz w:val="10"/>
          <w:szCs w:val="10"/>
        </w:rPr>
        <w:t>*) Complementation categories were defined based on clone viability relative to wildtype, as follows:  poor (&lt;20% viability), reduced (20-50% viability) and good (&gt;50% viability).</w:t>
      </w:r>
    </w:p>
    <w:p w14:paraId="000001EA" w14:textId="77777777" w:rsidR="0033125F" w:rsidRDefault="00077B2B">
      <w:pPr>
        <w:contextualSpacing/>
        <w:rPr>
          <w:sz w:val="10"/>
          <w:szCs w:val="10"/>
        </w:rPr>
      </w:pPr>
      <w:r>
        <w:rPr>
          <w:color w:val="0070C0"/>
          <w:sz w:val="10"/>
          <w:szCs w:val="10"/>
        </w:rPr>
        <w:t xml:space="preserve">Blue font: </w:t>
      </w:r>
      <w:r>
        <w:rPr>
          <w:color w:val="000000"/>
          <w:sz w:val="10"/>
          <w:szCs w:val="10"/>
        </w:rPr>
        <w:t xml:space="preserve">exon 3 exclusion at levels considered clinically unimportant (if no other impact on mRNA splicing), including: not detectable, at low levels comparable to wildtype, similar to that of benign control c.68-7T&gt;A, or estimated from quantitative studies to be at or below 30% inferred per-allele </w:t>
      </w:r>
      <w:r>
        <w:rPr>
          <w:sz w:val="10"/>
          <w:szCs w:val="10"/>
        </w:rPr>
        <w:t>ΔE3</w:t>
      </w:r>
      <w:r>
        <w:rPr>
          <w:color w:val="000000"/>
          <w:sz w:val="10"/>
          <w:szCs w:val="10"/>
        </w:rPr>
        <w:t xml:space="preserve"> ), </w:t>
      </w:r>
    </w:p>
    <w:p w14:paraId="000001EB" w14:textId="77777777" w:rsidR="0033125F" w:rsidRDefault="00077B2B">
      <w:pPr>
        <w:spacing w:after="0"/>
        <w:contextualSpacing/>
        <w:rPr>
          <w:sz w:val="10"/>
          <w:szCs w:val="10"/>
        </w:rPr>
      </w:pPr>
      <w:r>
        <w:rPr>
          <w:sz w:val="10"/>
          <w:szCs w:val="10"/>
        </w:rPr>
        <w:tab/>
      </w:r>
    </w:p>
    <w:p w14:paraId="000001EC" w14:textId="77777777" w:rsidR="0033125F" w:rsidRDefault="00077B2B">
      <w:r>
        <w:tab/>
      </w:r>
      <w:r>
        <w:tab/>
      </w:r>
      <w:r>
        <w:tab/>
      </w:r>
    </w:p>
    <w:p w14:paraId="000001ED" w14:textId="77777777" w:rsidR="0033125F" w:rsidRDefault="0033125F"/>
    <w:p w14:paraId="000001EE" w14:textId="77777777" w:rsidR="0033125F" w:rsidRDefault="0033125F"/>
    <w:p w14:paraId="000001EF" w14:textId="77777777" w:rsidR="0033125F" w:rsidRDefault="0033125F"/>
    <w:p w14:paraId="000001F0" w14:textId="77777777" w:rsidR="0033125F" w:rsidRDefault="003312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33125F">
      <w:footerReference w:type="default" r:id="rId7"/>
      <w:pgSz w:w="15840" w:h="12240" w:orient="landscape"/>
      <w:pgMar w:top="1134" w:right="170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0FD2F" w14:textId="77777777" w:rsidR="00077B2B" w:rsidRDefault="00077B2B">
      <w:pPr>
        <w:spacing w:after="0" w:line="240" w:lineRule="auto"/>
      </w:pPr>
      <w:r>
        <w:separator/>
      </w:r>
    </w:p>
  </w:endnote>
  <w:endnote w:type="continuationSeparator" w:id="0">
    <w:p w14:paraId="59B260BD" w14:textId="77777777" w:rsidR="00077B2B" w:rsidRDefault="0007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F1" w14:textId="0D69110B" w:rsidR="0033125F" w:rsidRDefault="00077B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10E4">
      <w:rPr>
        <w:noProof/>
        <w:color w:val="000000"/>
      </w:rPr>
      <w:t>2</w:t>
    </w:r>
    <w:r>
      <w:rPr>
        <w:color w:val="000000"/>
      </w:rPr>
      <w:fldChar w:fldCharType="end"/>
    </w:r>
  </w:p>
  <w:p w14:paraId="000001F2" w14:textId="77777777" w:rsidR="0033125F" w:rsidRDefault="00331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5DEE3" w14:textId="77777777" w:rsidR="00077B2B" w:rsidRDefault="00077B2B">
      <w:pPr>
        <w:spacing w:after="0" w:line="240" w:lineRule="auto"/>
      </w:pPr>
      <w:r>
        <w:separator/>
      </w:r>
    </w:p>
  </w:footnote>
  <w:footnote w:type="continuationSeparator" w:id="0">
    <w:p w14:paraId="320D7B4C" w14:textId="77777777" w:rsidR="00077B2B" w:rsidRDefault="00077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5F"/>
    <w:rsid w:val="00077B2B"/>
    <w:rsid w:val="000E10E4"/>
    <w:rsid w:val="0033125F"/>
    <w:rsid w:val="00585296"/>
    <w:rsid w:val="00594B52"/>
    <w:rsid w:val="00BF5B44"/>
    <w:rsid w:val="00D56693"/>
    <w:rsid w:val="00E7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4785"/>
  <w15:docId w15:val="{36D30FB3-BE48-495A-8902-7BBF88FA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069"/>
  </w:style>
  <w:style w:type="paragraph" w:styleId="Overskrift1">
    <w:name w:val="heading 1"/>
    <w:basedOn w:val="Normal"/>
    <w:next w:val="Normal"/>
    <w:link w:val="Overskrift1Tegn"/>
    <w:uiPriority w:val="9"/>
    <w:qFormat/>
    <w:rsid w:val="00056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67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27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Standardskrifttypeiafsnit"/>
    <w:rsid w:val="00D63069"/>
  </w:style>
  <w:style w:type="character" w:styleId="Hyperlink">
    <w:name w:val="Hyperlink"/>
    <w:basedOn w:val="Standardskrifttypeiafsnit"/>
    <w:uiPriority w:val="99"/>
    <w:unhideWhenUsed/>
    <w:rsid w:val="00D63069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6306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6306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63069"/>
    <w:rPr>
      <w:sz w:val="20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6306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63069"/>
    <w:rPr>
      <w:b/>
      <w:bCs/>
      <w:sz w:val="20"/>
      <w:szCs w:val="20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3069"/>
    <w:rPr>
      <w:rFonts w:ascii="Tahoma" w:hAnsi="Tahoma" w:cs="Tahoma"/>
      <w:sz w:val="16"/>
      <w:szCs w:val="16"/>
      <w:lang w:val="en-US"/>
    </w:rPr>
  </w:style>
  <w:style w:type="paragraph" w:customStyle="1" w:styleId="EndNoteBibliographyTitle">
    <w:name w:val="EndNote Bibliography Title"/>
    <w:basedOn w:val="Normal"/>
    <w:link w:val="EndNoteBibliographyTitleTegn"/>
    <w:rsid w:val="00D63069"/>
    <w:pPr>
      <w:spacing w:after="0"/>
      <w:jc w:val="center"/>
    </w:pPr>
    <w:rPr>
      <w:noProof/>
    </w:rPr>
  </w:style>
  <w:style w:type="character" w:customStyle="1" w:styleId="EndNoteBibliographyTitleTegn">
    <w:name w:val="EndNote Bibliography Title Tegn"/>
    <w:basedOn w:val="Standardskrifttypeiafsnit"/>
    <w:link w:val="EndNoteBibliographyTitle"/>
    <w:rsid w:val="00D6306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D63069"/>
    <w:pPr>
      <w:spacing w:line="240" w:lineRule="auto"/>
      <w:jc w:val="both"/>
    </w:pPr>
    <w:rPr>
      <w:noProof/>
    </w:rPr>
  </w:style>
  <w:style w:type="character" w:customStyle="1" w:styleId="EndNoteBibliographyTegn">
    <w:name w:val="EndNote Bibliography Tegn"/>
    <w:basedOn w:val="Standardskrifttypeiafsnit"/>
    <w:link w:val="EndNoteBibliography"/>
    <w:rsid w:val="00D63069"/>
    <w:rPr>
      <w:rFonts w:ascii="Calibri" w:hAnsi="Calibri" w:cs="Calibri"/>
      <w:noProof/>
      <w:lang w:val="en-US"/>
    </w:rPr>
  </w:style>
  <w:style w:type="paragraph" w:styleId="Korrektur">
    <w:name w:val="Revision"/>
    <w:hidden/>
    <w:uiPriority w:val="99"/>
    <w:semiHidden/>
    <w:rsid w:val="00D6306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6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D630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eafsnit">
    <w:name w:val="List Paragraph"/>
    <w:basedOn w:val="Normal"/>
    <w:uiPriority w:val="34"/>
    <w:qFormat/>
    <w:rsid w:val="00D63069"/>
    <w:pPr>
      <w:ind w:left="720"/>
      <w:contextualSpacing/>
    </w:pPr>
  </w:style>
  <w:style w:type="paragraph" w:styleId="Ingenafstand">
    <w:name w:val="No Spacing"/>
    <w:link w:val="IngenafstandTegn"/>
    <w:uiPriority w:val="1"/>
    <w:qFormat/>
    <w:rsid w:val="00D63069"/>
    <w:pPr>
      <w:spacing w:after="0" w:line="240" w:lineRule="auto"/>
    </w:pPr>
    <w:rPr>
      <w:rFonts w:cs="Times New Roman"/>
      <w:lang w:val="en-GB"/>
    </w:rPr>
  </w:style>
  <w:style w:type="character" w:customStyle="1" w:styleId="IngenafstandTegn">
    <w:name w:val="Ingen afstand Tegn"/>
    <w:link w:val="Ingenafstand"/>
    <w:uiPriority w:val="1"/>
    <w:rsid w:val="00D63069"/>
    <w:rPr>
      <w:rFonts w:ascii="Calibri" w:eastAsia="Calibri" w:hAnsi="Calibri" w:cs="Times New Roman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703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033AB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703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033AB"/>
    <w:rPr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67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563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BesgtLink">
    <w:name w:val="FollowedHyperlink"/>
    <w:basedOn w:val="Standardskrifttypeiafsnit"/>
    <w:uiPriority w:val="99"/>
    <w:semiHidden/>
    <w:unhideWhenUsed/>
    <w:rsid w:val="004E4EB4"/>
    <w:rPr>
      <w:color w:val="800080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527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id-label">
    <w:name w:val="id-label"/>
    <w:basedOn w:val="Standardskrifttypeiafsnit"/>
    <w:rsid w:val="004016EA"/>
  </w:style>
  <w:style w:type="character" w:styleId="Strk">
    <w:name w:val="Strong"/>
    <w:basedOn w:val="Standardskrifttypeiafsnit"/>
    <w:uiPriority w:val="22"/>
    <w:qFormat/>
    <w:rsid w:val="004016EA"/>
    <w:rPr>
      <w:b/>
      <w:bCs/>
    </w:rPr>
  </w:style>
  <w:style w:type="paragraph" w:customStyle="1" w:styleId="Pa5">
    <w:name w:val="Pa5"/>
    <w:basedOn w:val="Normal"/>
    <w:next w:val="Normal"/>
    <w:uiPriority w:val="99"/>
    <w:rsid w:val="00F376C1"/>
    <w:pPr>
      <w:autoSpaceDE w:val="0"/>
      <w:autoSpaceDN w:val="0"/>
      <w:adjustRightInd w:val="0"/>
      <w:spacing w:after="0" w:line="241" w:lineRule="atLeast"/>
    </w:pPr>
    <w:rPr>
      <w:sz w:val="24"/>
      <w:szCs w:val="24"/>
      <w:lang w:val="nl-NL"/>
    </w:rPr>
  </w:style>
  <w:style w:type="character" w:customStyle="1" w:styleId="A2">
    <w:name w:val="A2"/>
    <w:uiPriority w:val="99"/>
    <w:rsid w:val="00F376C1"/>
    <w:rPr>
      <w:i/>
      <w:iCs/>
      <w:color w:val="000000"/>
      <w:sz w:val="20"/>
      <w:szCs w:val="20"/>
    </w:rPr>
  </w:style>
  <w:style w:type="character" w:customStyle="1" w:styleId="citation-part">
    <w:name w:val="citation-part"/>
    <w:basedOn w:val="Standardskrifttypeiafsnit"/>
    <w:rsid w:val="00FB40EF"/>
  </w:style>
  <w:style w:type="character" w:customStyle="1" w:styleId="docsum-pmid">
    <w:name w:val="docsum-pmid"/>
    <w:basedOn w:val="Standardskrifttypeiafsnit"/>
    <w:rsid w:val="00FB40EF"/>
  </w:style>
  <w:style w:type="paragraph" w:customStyle="1" w:styleId="xmsonormal">
    <w:name w:val="x_msonormal"/>
    <w:basedOn w:val="Normal"/>
    <w:rsid w:val="00B442DF"/>
    <w:pPr>
      <w:spacing w:after="0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character" w:customStyle="1" w:styleId="xapple-converted-space">
    <w:name w:val="x_apple-converted-space"/>
    <w:basedOn w:val="Standardskrifttypeiafsnit"/>
    <w:rsid w:val="0085089C"/>
  </w:style>
  <w:style w:type="table" w:styleId="Tabel-Gitter">
    <w:name w:val="Table Grid"/>
    <w:basedOn w:val="Tabel-Normal"/>
    <w:uiPriority w:val="39"/>
    <w:rsid w:val="000F1393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basedOn w:val="Standardskrifttypeiafsnit"/>
    <w:uiPriority w:val="20"/>
    <w:qFormat/>
    <w:rsid w:val="00F00F2C"/>
    <w:rPr>
      <w:i/>
      <w:iCs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-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UO3leuwdI6FXg/ZneMPeadzusQ==">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QIMR Berghofer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Spurdle</dc:creator>
  <cp:lastModifiedBy>Mads Thomassen</cp:lastModifiedBy>
  <cp:revision>2</cp:revision>
  <dcterms:created xsi:type="dcterms:W3CDTF">2022-08-04T09:04:00Z</dcterms:created>
  <dcterms:modified xsi:type="dcterms:W3CDTF">2022-08-04T09:04:00Z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0x010100E93D8A49126B66469EBABCC0FF84A29C</vt:lpwstr>
  </property>
</Properties>
</file>