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FA61" w14:textId="2DAF3123" w:rsidR="00141AAB" w:rsidRPr="009B012A" w:rsidRDefault="005B52B3" w:rsidP="00141AAB">
      <w:pPr>
        <w:jc w:val="center"/>
        <w:rPr>
          <w:rFonts w:ascii="Times New Roman" w:hAnsi="Times New Roman" w:cs="Times New Roman"/>
          <w:b/>
          <w:bCs/>
          <w:sz w:val="28"/>
          <w:szCs w:val="28"/>
          <w:lang w:val="en-US"/>
        </w:rPr>
      </w:pPr>
      <w:bookmarkStart w:id="0" w:name="_Hlk71827304"/>
      <w:r w:rsidRPr="009B012A">
        <w:rPr>
          <w:rFonts w:ascii="Times New Roman" w:hAnsi="Times New Roman" w:cs="Times New Roman"/>
          <w:b/>
          <w:bCs/>
          <w:sz w:val="28"/>
          <w:szCs w:val="28"/>
          <w:lang w:val="en-US"/>
        </w:rPr>
        <w:t xml:space="preserve"> </w:t>
      </w:r>
      <w:r w:rsidR="008F2D2A" w:rsidRPr="009B012A">
        <w:rPr>
          <w:rFonts w:ascii="Times New Roman" w:hAnsi="Times New Roman" w:cs="Times New Roman"/>
          <w:b/>
          <w:bCs/>
          <w:sz w:val="28"/>
          <w:szCs w:val="28"/>
          <w:lang w:val="en-US"/>
        </w:rPr>
        <w:t xml:space="preserve">Enhancing Self-Perceived Employability via a Curriculum Intervention: </w:t>
      </w:r>
      <w:r w:rsidR="008F2D2A" w:rsidRPr="009B012A">
        <w:rPr>
          <w:rFonts w:ascii="Times New Roman" w:hAnsi="Times New Roman" w:cs="Times New Roman"/>
          <w:b/>
          <w:bCs/>
          <w:sz w:val="28"/>
          <w:szCs w:val="28"/>
          <w:lang w:val="en-US"/>
        </w:rPr>
        <w:br/>
        <w:t>A Case of ‘The Global Marketing Professional’ Module</w:t>
      </w:r>
      <w:r w:rsidR="00512A91" w:rsidRPr="009B012A">
        <w:rPr>
          <w:rFonts w:ascii="Times New Roman" w:hAnsi="Times New Roman" w:cs="Times New Roman"/>
          <w:b/>
          <w:bCs/>
          <w:sz w:val="28"/>
          <w:szCs w:val="28"/>
          <w:lang w:val="en-US"/>
        </w:rPr>
        <w:t xml:space="preserve"> </w:t>
      </w:r>
    </w:p>
    <w:p w14:paraId="25BD450A" w14:textId="77777777" w:rsidR="00141AAB" w:rsidRPr="009B012A" w:rsidRDefault="00141AAB" w:rsidP="00141AAB">
      <w:pPr>
        <w:jc w:val="both"/>
        <w:rPr>
          <w:rFonts w:ascii="Times New Roman" w:hAnsi="Times New Roman" w:cs="Times New Roman"/>
          <w:sz w:val="4"/>
          <w:szCs w:val="4"/>
          <w:lang w:val="en-US"/>
        </w:rPr>
      </w:pPr>
    </w:p>
    <w:p w14:paraId="690E5664" w14:textId="174B33E3" w:rsidR="00141AAB" w:rsidRPr="009B012A" w:rsidRDefault="00141AAB" w:rsidP="00141AAB">
      <w:pPr>
        <w:jc w:val="center"/>
        <w:rPr>
          <w:rFonts w:ascii="Times New Roman" w:eastAsia="Times New Roman" w:hAnsi="Times New Roman" w:cs="Times New Roman"/>
          <w:b/>
          <w:sz w:val="24"/>
          <w:szCs w:val="24"/>
        </w:rPr>
      </w:pPr>
      <w:r w:rsidRPr="009B012A">
        <w:rPr>
          <w:rFonts w:ascii="Times New Roman" w:eastAsia="Times New Roman" w:hAnsi="Times New Roman" w:cs="Times New Roman"/>
          <w:bCs/>
          <w:i/>
          <w:iCs/>
          <w:sz w:val="28"/>
          <w:szCs w:val="28"/>
        </w:rPr>
        <w:t>Short Title: T</w:t>
      </w:r>
      <w:r w:rsidR="00512A91" w:rsidRPr="009B012A">
        <w:rPr>
          <w:rFonts w:ascii="Times New Roman" w:eastAsia="Times New Roman" w:hAnsi="Times New Roman" w:cs="Times New Roman"/>
          <w:bCs/>
          <w:i/>
          <w:iCs/>
          <w:sz w:val="28"/>
          <w:szCs w:val="28"/>
        </w:rPr>
        <w:t>he Global Marketing Professional</w:t>
      </w:r>
    </w:p>
    <w:p w14:paraId="66151849" w14:textId="77777777" w:rsidR="00141AAB" w:rsidRPr="009B012A" w:rsidRDefault="00141AAB" w:rsidP="00141AAB">
      <w:pPr>
        <w:jc w:val="both"/>
        <w:rPr>
          <w:rFonts w:ascii="Times New Roman" w:hAnsi="Times New Roman" w:cs="Times New Roman"/>
          <w:b/>
          <w:sz w:val="4"/>
          <w:szCs w:val="4"/>
          <w:lang w:val="en-US"/>
        </w:rPr>
      </w:pPr>
    </w:p>
    <w:p w14:paraId="5251A02E" w14:textId="77777777" w:rsidR="00141AAB" w:rsidRPr="009B012A" w:rsidRDefault="00141AAB" w:rsidP="00141AAB">
      <w:pPr>
        <w:jc w:val="both"/>
        <w:rPr>
          <w:rFonts w:ascii="Times New Roman" w:hAnsi="Times New Roman" w:cs="Times New Roman"/>
          <w:b/>
          <w:sz w:val="24"/>
          <w:szCs w:val="24"/>
          <w:lang w:val="en-US"/>
        </w:rPr>
      </w:pPr>
      <w:r w:rsidRPr="009B012A">
        <w:rPr>
          <w:rFonts w:ascii="Times New Roman" w:hAnsi="Times New Roman" w:cs="Times New Roman"/>
          <w:b/>
          <w:sz w:val="24"/>
          <w:szCs w:val="24"/>
          <w:lang w:val="en-US"/>
        </w:rPr>
        <w:t>Abstract</w:t>
      </w:r>
    </w:p>
    <w:p w14:paraId="207AE1A0" w14:textId="2720C5EA" w:rsidR="00141AAB" w:rsidRPr="009B012A" w:rsidRDefault="00141AAB" w:rsidP="00141AAB">
      <w:pPr>
        <w:jc w:val="both"/>
        <w:rPr>
          <w:rFonts w:ascii="Times New Roman" w:hAnsi="Times New Roman" w:cs="Times New Roman"/>
          <w:bCs/>
          <w:sz w:val="23"/>
          <w:szCs w:val="23"/>
          <w:lang w:val="en-US"/>
        </w:rPr>
      </w:pPr>
      <w:bookmarkStart w:id="1" w:name="_Hlk75816246"/>
      <w:r w:rsidRPr="009B012A">
        <w:rPr>
          <w:rFonts w:ascii="Times New Roman" w:hAnsi="Times New Roman" w:cs="Times New Roman"/>
          <w:b/>
          <w:sz w:val="23"/>
          <w:szCs w:val="23"/>
          <w:u w:val="single"/>
          <w:lang w:val="en-US"/>
        </w:rPr>
        <w:t>Purpose</w:t>
      </w:r>
      <w:r w:rsidRPr="009B012A">
        <w:rPr>
          <w:rFonts w:ascii="Times New Roman" w:hAnsi="Times New Roman" w:cs="Times New Roman"/>
          <w:bCs/>
          <w:sz w:val="23"/>
          <w:szCs w:val="23"/>
          <w:lang w:val="en-US"/>
        </w:rPr>
        <w:t xml:space="preserve">: </w:t>
      </w:r>
      <w:r w:rsidR="003438D5" w:rsidRPr="009B012A">
        <w:rPr>
          <w:rFonts w:ascii="Times New Roman" w:eastAsia="Times New Roman" w:hAnsi="Times New Roman" w:cs="Times New Roman"/>
          <w:sz w:val="23"/>
          <w:szCs w:val="23"/>
          <w:lang w:eastAsia="en-GB"/>
        </w:rPr>
        <w:t xml:space="preserve">Drawing on human capital and sustainable career theory, this paper explores </w:t>
      </w:r>
      <w:r w:rsidR="000D6DFC" w:rsidRPr="009B012A">
        <w:rPr>
          <w:rFonts w:ascii="Times New Roman" w:eastAsia="Times New Roman" w:hAnsi="Times New Roman" w:cs="Times New Roman"/>
          <w:sz w:val="23"/>
          <w:szCs w:val="23"/>
          <w:lang w:eastAsia="en-GB"/>
        </w:rPr>
        <w:t>university students’ views</w:t>
      </w:r>
      <w:r w:rsidR="003438D5" w:rsidRPr="009B012A">
        <w:rPr>
          <w:rFonts w:ascii="Times New Roman" w:eastAsia="Times New Roman" w:hAnsi="Times New Roman" w:cs="Times New Roman"/>
          <w:sz w:val="23"/>
          <w:szCs w:val="23"/>
          <w:lang w:eastAsia="en-GB"/>
        </w:rPr>
        <w:t xml:space="preserve"> regarding their self-perceived employability following participation in a mandatory module titled ‘The Global Marketing Professional’.</w:t>
      </w:r>
    </w:p>
    <w:p w14:paraId="252E7398" w14:textId="017432CC" w:rsidR="00141AAB" w:rsidRPr="009B012A" w:rsidRDefault="00141AAB" w:rsidP="003438D5">
      <w:pPr>
        <w:jc w:val="both"/>
        <w:rPr>
          <w:rFonts w:ascii="Times New Roman" w:hAnsi="Times New Roman" w:cs="Times New Roman"/>
          <w:bCs/>
          <w:sz w:val="23"/>
          <w:szCs w:val="23"/>
          <w:lang w:val="en-US"/>
        </w:rPr>
      </w:pPr>
      <w:r w:rsidRPr="009B012A">
        <w:rPr>
          <w:rFonts w:ascii="Times New Roman" w:hAnsi="Times New Roman" w:cs="Times New Roman"/>
          <w:b/>
          <w:sz w:val="23"/>
          <w:szCs w:val="23"/>
          <w:u w:val="single"/>
          <w:lang w:val="en-US"/>
        </w:rPr>
        <w:t>Design/methodology/approach</w:t>
      </w:r>
      <w:r w:rsidRPr="009B012A">
        <w:rPr>
          <w:rFonts w:ascii="Times New Roman" w:hAnsi="Times New Roman" w:cs="Times New Roman"/>
          <w:bCs/>
          <w:sz w:val="23"/>
          <w:szCs w:val="23"/>
          <w:lang w:val="en-US"/>
        </w:rPr>
        <w:t xml:space="preserve">: </w:t>
      </w:r>
      <w:r w:rsidR="003438D5" w:rsidRPr="009B012A">
        <w:rPr>
          <w:rFonts w:ascii="Times New Roman" w:eastAsia="Times New Roman" w:hAnsi="Times New Roman" w:cs="Times New Roman"/>
          <w:sz w:val="23"/>
          <w:szCs w:val="23"/>
          <w:lang w:eastAsia="en-GB"/>
        </w:rPr>
        <w:t xml:space="preserve">Eighty students studying a full-time postgraduate </w:t>
      </w:r>
      <w:proofErr w:type="gramStart"/>
      <w:r w:rsidR="003438D5" w:rsidRPr="009B012A">
        <w:rPr>
          <w:rFonts w:ascii="Times New Roman" w:eastAsia="Times New Roman" w:hAnsi="Times New Roman" w:cs="Times New Roman"/>
          <w:sz w:val="23"/>
          <w:szCs w:val="23"/>
          <w:lang w:eastAsia="en-GB"/>
        </w:rPr>
        <w:t>Master's</w:t>
      </w:r>
      <w:proofErr w:type="gramEnd"/>
      <w:r w:rsidR="003438D5" w:rsidRPr="009B012A">
        <w:rPr>
          <w:rFonts w:ascii="Times New Roman" w:eastAsia="Times New Roman" w:hAnsi="Times New Roman" w:cs="Times New Roman"/>
          <w:sz w:val="23"/>
          <w:szCs w:val="23"/>
          <w:lang w:eastAsia="en-GB"/>
        </w:rPr>
        <w:t xml:space="preserve"> degree in International Marketing Management at a northern Russell Group university participated in a two-wave study by completing a questionnaire during weeks one and nine of the module in the 2021/2022 academic year. Descriptive statistics, Paired Samples T-Tests, and quantitative content analysis </w:t>
      </w:r>
      <w:r w:rsidR="000D6DFC" w:rsidRPr="009B012A">
        <w:rPr>
          <w:rFonts w:ascii="Times New Roman" w:eastAsia="Times New Roman" w:hAnsi="Times New Roman" w:cs="Times New Roman"/>
          <w:sz w:val="23"/>
          <w:szCs w:val="23"/>
          <w:lang w:eastAsia="en-GB"/>
        </w:rPr>
        <w:t>were</w:t>
      </w:r>
      <w:r w:rsidR="003438D5" w:rsidRPr="009B012A">
        <w:rPr>
          <w:rFonts w:ascii="Times New Roman" w:eastAsia="Times New Roman" w:hAnsi="Times New Roman" w:cs="Times New Roman"/>
          <w:sz w:val="23"/>
          <w:szCs w:val="23"/>
          <w:lang w:eastAsia="en-GB"/>
        </w:rPr>
        <w:t xml:space="preserve"> subsequently applied to the dataset.</w:t>
      </w:r>
    </w:p>
    <w:p w14:paraId="0215581A" w14:textId="781EFC17" w:rsidR="00141AAB" w:rsidRPr="009B012A" w:rsidRDefault="00141AAB" w:rsidP="003438D5">
      <w:pPr>
        <w:jc w:val="both"/>
        <w:rPr>
          <w:rFonts w:ascii="Times New Roman" w:hAnsi="Times New Roman" w:cs="Times New Roman"/>
          <w:bCs/>
          <w:sz w:val="23"/>
          <w:szCs w:val="23"/>
          <w:lang w:val="en-US"/>
        </w:rPr>
      </w:pPr>
      <w:r w:rsidRPr="009B012A">
        <w:rPr>
          <w:rFonts w:ascii="Times New Roman" w:hAnsi="Times New Roman" w:cs="Times New Roman"/>
          <w:b/>
          <w:sz w:val="23"/>
          <w:szCs w:val="23"/>
          <w:u w:val="single"/>
          <w:lang w:val="en-US"/>
        </w:rPr>
        <w:t>Findings</w:t>
      </w:r>
      <w:r w:rsidRPr="009B012A">
        <w:rPr>
          <w:rFonts w:ascii="Times New Roman" w:hAnsi="Times New Roman" w:cs="Times New Roman"/>
          <w:bCs/>
          <w:sz w:val="23"/>
          <w:szCs w:val="23"/>
          <w:lang w:val="en-US"/>
        </w:rPr>
        <w:t xml:space="preserve">: </w:t>
      </w:r>
      <w:r w:rsidR="003438D5" w:rsidRPr="009B012A">
        <w:rPr>
          <w:rFonts w:ascii="Times New Roman" w:hAnsi="Times New Roman" w:cs="Times New Roman"/>
          <w:bCs/>
          <w:sz w:val="23"/>
          <w:szCs w:val="23"/>
          <w:lang w:val="en-US"/>
        </w:rPr>
        <w:t xml:space="preserve">Students’ </w:t>
      </w:r>
      <w:r w:rsidR="003438D5" w:rsidRPr="009B012A">
        <w:rPr>
          <w:rFonts w:ascii="Times New Roman" w:eastAsia="Times New Roman" w:hAnsi="Times New Roman" w:cs="Times New Roman"/>
          <w:sz w:val="23"/>
          <w:szCs w:val="23"/>
          <w:lang w:eastAsia="en-GB"/>
        </w:rPr>
        <w:t xml:space="preserve">confidence in their self-perceived employability rose from 37.50 per cent to 92.50 per cent. This was supported by the Paired Samples T-Tests findings of increases at the item and composite scale levels. </w:t>
      </w:r>
      <w:r w:rsidR="000D6DFC" w:rsidRPr="009B012A">
        <w:rPr>
          <w:rFonts w:ascii="Times New Roman" w:eastAsia="Times New Roman" w:hAnsi="Times New Roman" w:cs="Times New Roman"/>
          <w:sz w:val="23"/>
          <w:szCs w:val="23"/>
          <w:lang w:eastAsia="en-GB"/>
        </w:rPr>
        <w:t>The quantitative</w:t>
      </w:r>
      <w:r w:rsidR="003438D5" w:rsidRPr="009B012A">
        <w:rPr>
          <w:rFonts w:ascii="Times New Roman" w:eastAsia="Times New Roman" w:hAnsi="Times New Roman" w:cs="Times New Roman"/>
          <w:sz w:val="23"/>
          <w:szCs w:val="23"/>
          <w:lang w:eastAsia="en-GB"/>
        </w:rPr>
        <w:t xml:space="preserve"> content analysis found benefits of the module to include increased confidence, interactive classes, skills development, knowledge of the recruitment process, CV development, proactive career ownership, interview guidance, and networking. Suggestions for improvement included increasing the amount of lecture time provided, increased accessibility via subtitles, and opportunit</w:t>
      </w:r>
      <w:r w:rsidR="000D6DFC" w:rsidRPr="009B012A">
        <w:rPr>
          <w:rFonts w:ascii="Times New Roman" w:eastAsia="Times New Roman" w:hAnsi="Times New Roman" w:cs="Times New Roman"/>
          <w:sz w:val="23"/>
          <w:szCs w:val="23"/>
          <w:lang w:eastAsia="en-GB"/>
        </w:rPr>
        <w:t>ies</w:t>
      </w:r>
      <w:r w:rsidR="003438D5" w:rsidRPr="009B012A">
        <w:rPr>
          <w:rFonts w:ascii="Times New Roman" w:eastAsia="Times New Roman" w:hAnsi="Times New Roman" w:cs="Times New Roman"/>
          <w:sz w:val="23"/>
          <w:szCs w:val="23"/>
          <w:lang w:eastAsia="en-GB"/>
        </w:rPr>
        <w:t xml:space="preserve"> for real-world experience.</w:t>
      </w:r>
    </w:p>
    <w:p w14:paraId="2D01C3B1" w14:textId="3B61662C" w:rsidR="003438D5" w:rsidRPr="009B012A" w:rsidRDefault="00141AAB" w:rsidP="003438D5">
      <w:pPr>
        <w:pStyle w:val="AbstractGJSD"/>
        <w:spacing w:line="480" w:lineRule="auto"/>
        <w:rPr>
          <w:sz w:val="23"/>
          <w:szCs w:val="23"/>
        </w:rPr>
      </w:pPr>
      <w:r w:rsidRPr="009B012A">
        <w:rPr>
          <w:b/>
          <w:sz w:val="23"/>
          <w:szCs w:val="23"/>
          <w:u w:val="single"/>
          <w:lang w:val="en-US"/>
        </w:rPr>
        <w:t>Originality</w:t>
      </w:r>
      <w:r w:rsidRPr="009B012A">
        <w:rPr>
          <w:bCs/>
          <w:sz w:val="23"/>
          <w:szCs w:val="23"/>
          <w:lang w:val="en-US"/>
        </w:rPr>
        <w:t xml:space="preserve">: </w:t>
      </w:r>
      <w:r w:rsidR="003438D5" w:rsidRPr="009B012A">
        <w:rPr>
          <w:rFonts w:eastAsia="Times New Roman"/>
          <w:sz w:val="23"/>
          <w:szCs w:val="23"/>
          <w:lang w:eastAsia="en-GB"/>
        </w:rPr>
        <w:t xml:space="preserve">The contribution comes via the advancement of human capital and sustainable career theory by identifying empirically-informed strategies for </w:t>
      </w:r>
      <w:r w:rsidR="000D6DFC" w:rsidRPr="009B012A">
        <w:rPr>
          <w:rFonts w:eastAsia="Times New Roman"/>
          <w:sz w:val="23"/>
          <w:szCs w:val="23"/>
          <w:lang w:eastAsia="en-GB"/>
        </w:rPr>
        <w:t>enhancing students’ self-perceived</w:t>
      </w:r>
      <w:r w:rsidR="003438D5" w:rsidRPr="009B012A">
        <w:rPr>
          <w:rFonts w:eastAsia="Times New Roman"/>
          <w:sz w:val="23"/>
          <w:szCs w:val="23"/>
          <w:lang w:eastAsia="en-GB"/>
        </w:rPr>
        <w:t xml:space="preserve"> employability within the university curriculum. Implications subsequently extend to universities, organisations, and national economies.</w:t>
      </w:r>
    </w:p>
    <w:bookmarkEnd w:id="1"/>
    <w:p w14:paraId="53C257B2" w14:textId="15A5652F" w:rsidR="00141AAB" w:rsidRPr="009B012A" w:rsidRDefault="00141AAB" w:rsidP="003438D5">
      <w:pPr>
        <w:spacing w:after="160"/>
        <w:jc w:val="both"/>
        <w:rPr>
          <w:rFonts w:ascii="Times New Roman" w:hAnsi="Times New Roman" w:cs="Times New Roman"/>
          <w:sz w:val="24"/>
          <w:szCs w:val="24"/>
          <w:lang w:val="en-US"/>
        </w:rPr>
      </w:pPr>
      <w:r w:rsidRPr="009B012A">
        <w:rPr>
          <w:rFonts w:ascii="Times New Roman" w:hAnsi="Times New Roman" w:cs="Times New Roman"/>
          <w:b/>
          <w:sz w:val="24"/>
          <w:szCs w:val="24"/>
          <w:lang w:val="en-US"/>
        </w:rPr>
        <w:t xml:space="preserve">Keywords: </w:t>
      </w:r>
      <w:r w:rsidR="003438D5" w:rsidRPr="009B012A">
        <w:rPr>
          <w:rFonts w:ascii="Times New Roman" w:hAnsi="Times New Roman" w:cs="Times New Roman"/>
          <w:sz w:val="24"/>
          <w:szCs w:val="24"/>
        </w:rPr>
        <w:t>Sustainable careers, human capital,</w:t>
      </w:r>
      <w:r w:rsidR="008F2D2A" w:rsidRPr="009B012A">
        <w:rPr>
          <w:rFonts w:ascii="Times New Roman" w:hAnsi="Times New Roman" w:cs="Times New Roman"/>
          <w:sz w:val="24"/>
          <w:szCs w:val="24"/>
        </w:rPr>
        <w:t xml:space="preserve"> self-perceived </w:t>
      </w:r>
      <w:r w:rsidR="003438D5" w:rsidRPr="009B012A">
        <w:rPr>
          <w:rFonts w:ascii="Times New Roman" w:hAnsi="Times New Roman" w:cs="Times New Roman"/>
          <w:sz w:val="24"/>
          <w:szCs w:val="24"/>
        </w:rPr>
        <w:t>employability</w:t>
      </w:r>
      <w:r w:rsidR="000D6DFC" w:rsidRPr="009B012A">
        <w:rPr>
          <w:rFonts w:ascii="Times New Roman" w:hAnsi="Times New Roman" w:cs="Times New Roman"/>
          <w:sz w:val="24"/>
          <w:szCs w:val="24"/>
        </w:rPr>
        <w:t>, career guidance</w:t>
      </w:r>
    </w:p>
    <w:p w14:paraId="52652D17" w14:textId="64CF3774" w:rsidR="003438D5" w:rsidRPr="009B012A" w:rsidRDefault="00141AAB" w:rsidP="003438D5">
      <w:pPr>
        <w:rPr>
          <w:rFonts w:ascii="Times New Roman" w:hAnsi="Times New Roman" w:cs="Times New Roman"/>
          <w:b/>
          <w:sz w:val="24"/>
          <w:szCs w:val="24"/>
          <w:lang w:val="en-US"/>
        </w:rPr>
      </w:pPr>
      <w:r w:rsidRPr="009B012A">
        <w:rPr>
          <w:rFonts w:ascii="Times New Roman" w:eastAsia="Times New Roman" w:hAnsi="Times New Roman" w:cs="Times New Roman"/>
          <w:b/>
          <w:sz w:val="24"/>
          <w:szCs w:val="24"/>
        </w:rPr>
        <w:t>Article Classification</w:t>
      </w:r>
      <w:r w:rsidRPr="009B012A">
        <w:rPr>
          <w:rFonts w:ascii="Times New Roman" w:eastAsia="Times New Roman" w:hAnsi="Times New Roman" w:cs="Times New Roman"/>
          <w:bCs/>
          <w:sz w:val="24"/>
          <w:szCs w:val="24"/>
        </w:rPr>
        <w:t>: Research Article</w:t>
      </w:r>
      <w:r w:rsidRPr="009B012A">
        <w:rPr>
          <w:rFonts w:ascii="Times New Roman" w:eastAsia="Times New Roman" w:hAnsi="Times New Roman" w:cs="Times New Roman"/>
          <w:b/>
          <w:sz w:val="24"/>
          <w:szCs w:val="24"/>
        </w:rPr>
        <w:t xml:space="preserve"> </w:t>
      </w:r>
      <w:r w:rsidRPr="009B012A">
        <w:rPr>
          <w:rFonts w:ascii="Times New Roman" w:eastAsia="Times New Roman" w:hAnsi="Times New Roman" w:cs="Times New Roman"/>
          <w:b/>
          <w:sz w:val="24"/>
          <w:szCs w:val="24"/>
        </w:rPr>
        <w:tab/>
      </w:r>
      <w:r w:rsidRPr="009B012A">
        <w:rPr>
          <w:rFonts w:ascii="Times New Roman" w:eastAsia="Times New Roman" w:hAnsi="Times New Roman" w:cs="Times New Roman"/>
          <w:b/>
          <w:sz w:val="24"/>
          <w:szCs w:val="24"/>
        </w:rPr>
        <w:tab/>
      </w:r>
      <w:r w:rsidRPr="009B012A">
        <w:rPr>
          <w:rFonts w:ascii="Times New Roman" w:eastAsia="Times New Roman" w:hAnsi="Times New Roman" w:cs="Times New Roman"/>
          <w:b/>
          <w:sz w:val="24"/>
          <w:szCs w:val="24"/>
        </w:rPr>
        <w:tab/>
        <w:t xml:space="preserve"> </w:t>
      </w:r>
      <w:r w:rsidR="00E02F90" w:rsidRPr="009B012A">
        <w:rPr>
          <w:rFonts w:ascii="Times New Roman" w:eastAsia="Times New Roman" w:hAnsi="Times New Roman" w:cs="Times New Roman"/>
          <w:b/>
          <w:sz w:val="24"/>
          <w:szCs w:val="24"/>
        </w:rPr>
        <w:t xml:space="preserve">                    </w:t>
      </w:r>
      <w:r w:rsidRPr="009B012A">
        <w:rPr>
          <w:rFonts w:ascii="Times New Roman" w:eastAsia="Times New Roman" w:hAnsi="Times New Roman" w:cs="Times New Roman"/>
          <w:b/>
          <w:sz w:val="24"/>
          <w:szCs w:val="24"/>
        </w:rPr>
        <w:t>Word Count</w:t>
      </w:r>
      <w:r w:rsidRPr="009B012A">
        <w:rPr>
          <w:rFonts w:ascii="Times New Roman" w:eastAsia="Times New Roman" w:hAnsi="Times New Roman" w:cs="Times New Roman"/>
          <w:bCs/>
          <w:sz w:val="24"/>
          <w:szCs w:val="24"/>
        </w:rPr>
        <w:t>:</w:t>
      </w:r>
      <w:r w:rsidRPr="009B012A">
        <w:rPr>
          <w:rFonts w:ascii="Times New Roman" w:eastAsia="Times New Roman" w:hAnsi="Times New Roman" w:cs="Times New Roman"/>
          <w:b/>
          <w:sz w:val="24"/>
          <w:szCs w:val="24"/>
        </w:rPr>
        <w:t xml:space="preserve"> </w:t>
      </w:r>
      <w:r w:rsidR="003438D5" w:rsidRPr="009B012A">
        <w:rPr>
          <w:rFonts w:ascii="Times New Roman" w:eastAsia="Times New Roman" w:hAnsi="Times New Roman" w:cs="Times New Roman"/>
          <w:bCs/>
          <w:sz w:val="24"/>
          <w:szCs w:val="24"/>
        </w:rPr>
        <w:t>6</w:t>
      </w:r>
      <w:r w:rsidR="00E02F90" w:rsidRPr="009B012A">
        <w:rPr>
          <w:rFonts w:ascii="Times New Roman" w:eastAsia="Times New Roman" w:hAnsi="Times New Roman" w:cs="Times New Roman"/>
          <w:bCs/>
          <w:sz w:val="24"/>
          <w:szCs w:val="24"/>
        </w:rPr>
        <w:t>,</w:t>
      </w:r>
      <w:r w:rsidR="00E3047C" w:rsidRPr="009B012A">
        <w:rPr>
          <w:rFonts w:ascii="Times New Roman" w:eastAsia="Times New Roman" w:hAnsi="Times New Roman" w:cs="Times New Roman"/>
          <w:bCs/>
          <w:sz w:val="24"/>
          <w:szCs w:val="24"/>
        </w:rPr>
        <w:t>503</w:t>
      </w:r>
      <w:r w:rsidR="003438D5" w:rsidRPr="009B012A">
        <w:rPr>
          <w:rFonts w:ascii="Times New Roman" w:hAnsi="Times New Roman" w:cs="Times New Roman"/>
          <w:b/>
          <w:sz w:val="24"/>
          <w:szCs w:val="24"/>
          <w:lang w:val="en-US"/>
        </w:rPr>
        <w:br w:type="page"/>
      </w:r>
    </w:p>
    <w:p w14:paraId="450E6282" w14:textId="25734685" w:rsidR="00646F20" w:rsidRPr="009B012A" w:rsidRDefault="00646F20" w:rsidP="00005BC7">
      <w:pPr>
        <w:suppressAutoHyphens w:val="0"/>
        <w:spacing w:after="160" w:line="259" w:lineRule="auto"/>
        <w:jc w:val="both"/>
        <w:rPr>
          <w:rFonts w:ascii="Times New Roman" w:hAnsi="Times New Roman" w:cs="Times New Roman"/>
          <w:b/>
          <w:sz w:val="24"/>
          <w:szCs w:val="24"/>
          <w:lang w:val="en-US"/>
        </w:rPr>
      </w:pPr>
      <w:r w:rsidRPr="009B012A">
        <w:rPr>
          <w:rFonts w:ascii="Times New Roman" w:hAnsi="Times New Roman" w:cs="Times New Roman"/>
          <w:b/>
          <w:sz w:val="24"/>
          <w:szCs w:val="24"/>
          <w:lang w:val="en-US"/>
        </w:rPr>
        <w:lastRenderedPageBreak/>
        <w:t>Introduction</w:t>
      </w:r>
    </w:p>
    <w:p w14:paraId="041D1F37" w14:textId="4DD333A4" w:rsidR="00512A91" w:rsidRPr="009B012A" w:rsidRDefault="00512A91" w:rsidP="00512A91">
      <w:pPr>
        <w:pStyle w:val="bodytextGJSD"/>
        <w:spacing w:after="0" w:line="480" w:lineRule="auto"/>
        <w:rPr>
          <w:bCs/>
          <w:lang w:val="en-US"/>
        </w:rPr>
      </w:pPr>
      <w:bookmarkStart w:id="2" w:name="_Hlk71820870"/>
      <w:bookmarkStart w:id="3" w:name="_Hlk84968604"/>
      <w:r w:rsidRPr="009B012A">
        <w:rPr>
          <w:bCs/>
          <w:lang w:val="en-US"/>
        </w:rPr>
        <w:t>The neo-</w:t>
      </w:r>
      <w:proofErr w:type="spellStart"/>
      <w:r w:rsidRPr="009B012A">
        <w:rPr>
          <w:bCs/>
          <w:lang w:val="en-US"/>
        </w:rPr>
        <w:t>liberalisation</w:t>
      </w:r>
      <w:proofErr w:type="spellEnd"/>
      <w:r w:rsidRPr="009B012A">
        <w:rPr>
          <w:bCs/>
          <w:lang w:val="en-US"/>
        </w:rPr>
        <w:t xml:space="preserve"> of higher education sees higher education institutions increasingly tasked by national governments with responsibility for the employability of their graduates (Cheng </w:t>
      </w:r>
      <w:r w:rsidRPr="009B012A">
        <w:rPr>
          <w:bCs/>
          <w:i/>
          <w:iCs/>
          <w:lang w:val="en-US"/>
        </w:rPr>
        <w:t>et al.</w:t>
      </w:r>
      <w:r w:rsidRPr="009B012A">
        <w:rPr>
          <w:bCs/>
          <w:lang w:val="en-US"/>
        </w:rPr>
        <w:t>, 202</w:t>
      </w:r>
      <w:r w:rsidR="009B0951" w:rsidRPr="009B012A">
        <w:rPr>
          <w:bCs/>
          <w:lang w:val="en-US"/>
        </w:rPr>
        <w:t>2</w:t>
      </w:r>
      <w:r w:rsidRPr="009B012A">
        <w:rPr>
          <w:bCs/>
          <w:lang w:val="en-US"/>
        </w:rPr>
        <w:t>). For example, in the United Kingdom (UK)</w:t>
      </w:r>
      <w:r w:rsidR="000D6DFC" w:rsidRPr="009B012A">
        <w:rPr>
          <w:bCs/>
          <w:lang w:val="en-US"/>
        </w:rPr>
        <w:t>,</w:t>
      </w:r>
      <w:r w:rsidRPr="009B012A">
        <w:rPr>
          <w:bCs/>
          <w:lang w:val="en-US"/>
        </w:rPr>
        <w:t xml:space="preserve"> the Teaching Excellence Framework (TEF) was introduced to “provide better </w:t>
      </w:r>
      <w:proofErr w:type="spellStart"/>
      <w:r w:rsidRPr="009B012A">
        <w:rPr>
          <w:bCs/>
          <w:lang w:val="en-US"/>
        </w:rPr>
        <w:t>signalling</w:t>
      </w:r>
      <w:proofErr w:type="spellEnd"/>
      <w:r w:rsidRPr="009B012A">
        <w:rPr>
          <w:bCs/>
          <w:lang w:val="en-US"/>
        </w:rPr>
        <w:t xml:space="preserve"> for employers as to which providers they can trust to produce highly skilled graduates” (Department for Business Innovation and Skills, 2015, p. 13). Yet, such an approach is not without its critics. There are concerns that the TEF shifts power from lecturers to students via course evaluation and student satisfaction scores risking reduced complexity in the curriculum (Leach, 2019) and disadvantaging </w:t>
      </w:r>
      <w:r w:rsidR="000D6DFC" w:rsidRPr="009B012A">
        <w:rPr>
          <w:bCs/>
          <w:lang w:val="en-US"/>
        </w:rPr>
        <w:t>particular</w:t>
      </w:r>
      <w:r w:rsidRPr="009B012A">
        <w:rPr>
          <w:bCs/>
          <w:lang w:val="en-US"/>
        </w:rPr>
        <w:t xml:space="preserve"> lecturers due to racist, sexist, and homophobic prejudices (Heffernan, 2022). Moreover, employability is often measured as an objective employment outcome despite the ability to get a job being distinct from having a job at a fixed point in time (Williams </w:t>
      </w:r>
      <w:r w:rsidRPr="009B012A">
        <w:rPr>
          <w:bCs/>
          <w:i/>
          <w:iCs/>
          <w:lang w:val="en-US"/>
        </w:rPr>
        <w:t>et al.</w:t>
      </w:r>
      <w:r w:rsidRPr="009B012A">
        <w:rPr>
          <w:bCs/>
          <w:lang w:val="en-US"/>
        </w:rPr>
        <w:t xml:space="preserve">, 2019). Such measures can also fail to account for volatility in the </w:t>
      </w:r>
      <w:proofErr w:type="spellStart"/>
      <w:r w:rsidRPr="009B012A">
        <w:rPr>
          <w:bCs/>
          <w:lang w:val="en-US"/>
        </w:rPr>
        <w:t>labour</w:t>
      </w:r>
      <w:proofErr w:type="spellEnd"/>
      <w:r w:rsidRPr="009B012A">
        <w:rPr>
          <w:bCs/>
          <w:lang w:val="en-US"/>
        </w:rPr>
        <w:t xml:space="preserve"> market, underemployment, or lack of job security (</w:t>
      </w:r>
      <w:proofErr w:type="spellStart"/>
      <w:r w:rsidR="00EF57B4" w:rsidRPr="009B012A">
        <w:rPr>
          <w:bCs/>
          <w:lang w:val="en-US"/>
        </w:rPr>
        <w:t>Mncayi</w:t>
      </w:r>
      <w:proofErr w:type="spellEnd"/>
      <w:r w:rsidR="00EF57B4" w:rsidRPr="009B012A">
        <w:rPr>
          <w:bCs/>
          <w:lang w:val="en-US"/>
        </w:rPr>
        <w:t xml:space="preserve"> and Meyer, 2022</w:t>
      </w:r>
      <w:r w:rsidRPr="009B012A">
        <w:rPr>
          <w:bCs/>
          <w:lang w:val="en-US"/>
        </w:rPr>
        <w:t>) or the influence of social structures such as gender, race and disability (</w:t>
      </w:r>
      <w:r w:rsidR="00EF57B4" w:rsidRPr="009B012A">
        <w:rPr>
          <w:bCs/>
          <w:lang w:val="en-US"/>
        </w:rPr>
        <w:t xml:space="preserve">Byrne, 2022). </w:t>
      </w:r>
      <w:r w:rsidRPr="009B012A">
        <w:rPr>
          <w:bCs/>
          <w:lang w:val="en-US"/>
        </w:rPr>
        <w:t xml:space="preserve">Nevertheless, the TEF and other university league table rankings adopted by national governments in the UK and around the globe play a crucial role in influencing the decision making of prospective students concerning which institutions to apply to (Bell </w:t>
      </w:r>
      <w:r w:rsidR="003438D5" w:rsidRPr="009B012A">
        <w:rPr>
          <w:bCs/>
          <w:lang w:val="en-US"/>
        </w:rPr>
        <w:t>and</w:t>
      </w:r>
      <w:r w:rsidRPr="009B012A">
        <w:rPr>
          <w:bCs/>
          <w:lang w:val="en-US"/>
        </w:rPr>
        <w:t xml:space="preserve"> Brooks, 2019).</w:t>
      </w:r>
    </w:p>
    <w:p w14:paraId="6C432312" w14:textId="180C1E84" w:rsidR="00512A91" w:rsidRPr="009B012A" w:rsidRDefault="00512A91" w:rsidP="00512A91">
      <w:pPr>
        <w:pStyle w:val="bodytextGJSD"/>
        <w:spacing w:after="0" w:line="480" w:lineRule="auto"/>
        <w:ind w:firstLine="426"/>
        <w:rPr>
          <w:bCs/>
          <w:lang w:val="en-US"/>
        </w:rPr>
      </w:pPr>
      <w:r w:rsidRPr="009B012A">
        <w:rPr>
          <w:bCs/>
          <w:lang w:val="en-US"/>
        </w:rPr>
        <w:t>An additional challenge for higher education institutions has been the record demand from their students and recent graduates for careers guidance during the COVID-19 pandemic</w:t>
      </w:r>
      <w:r w:rsidR="000D6DFC" w:rsidRPr="009B012A">
        <w:rPr>
          <w:bCs/>
          <w:lang w:val="en-US"/>
        </w:rPr>
        <w:t>,</w:t>
      </w:r>
      <w:r w:rsidRPr="009B012A">
        <w:rPr>
          <w:bCs/>
          <w:lang w:val="en-US"/>
        </w:rPr>
        <w:t xml:space="preserve"> combined with reduced opportunities for students to gain practical work experience in an office environment (Donald </w:t>
      </w:r>
      <w:r w:rsidRPr="009B012A">
        <w:rPr>
          <w:bCs/>
          <w:i/>
          <w:iCs/>
          <w:lang w:val="en-US"/>
        </w:rPr>
        <w:t>et al.</w:t>
      </w:r>
      <w:r w:rsidRPr="009B012A">
        <w:rPr>
          <w:bCs/>
          <w:lang w:val="en-US"/>
        </w:rPr>
        <w:t xml:space="preserve">, 2021). The lack of resources available to university career services highlights the need for collaboration between different stakeholders (Cheng </w:t>
      </w:r>
      <w:r w:rsidRPr="009B012A">
        <w:rPr>
          <w:bCs/>
          <w:i/>
          <w:iCs/>
          <w:lang w:val="en-US"/>
        </w:rPr>
        <w:t>et al.</w:t>
      </w:r>
      <w:r w:rsidRPr="009B012A">
        <w:rPr>
          <w:bCs/>
          <w:lang w:val="en-US"/>
        </w:rPr>
        <w:t>, 202</w:t>
      </w:r>
      <w:r w:rsidR="009B0951" w:rsidRPr="009B012A">
        <w:rPr>
          <w:bCs/>
          <w:lang w:val="en-US"/>
        </w:rPr>
        <w:t>2</w:t>
      </w:r>
      <w:r w:rsidR="000D6DFC" w:rsidRPr="009B012A">
        <w:rPr>
          <w:bCs/>
          <w:lang w:val="en-US"/>
        </w:rPr>
        <w:t xml:space="preserve">; </w:t>
      </w:r>
      <w:proofErr w:type="spellStart"/>
      <w:r w:rsidR="000D6DFC" w:rsidRPr="009B012A">
        <w:rPr>
          <w:bCs/>
          <w:lang w:val="en-US"/>
        </w:rPr>
        <w:t>Buckholtz</w:t>
      </w:r>
      <w:proofErr w:type="spellEnd"/>
      <w:r w:rsidR="00AD68E6">
        <w:rPr>
          <w:bCs/>
          <w:lang w:val="en-US"/>
        </w:rPr>
        <w:t xml:space="preserve"> and Donald</w:t>
      </w:r>
      <w:r w:rsidR="000D6DFC" w:rsidRPr="009B012A">
        <w:rPr>
          <w:bCs/>
          <w:lang w:val="en-US"/>
        </w:rPr>
        <w:t>, 2022</w:t>
      </w:r>
      <w:r w:rsidRPr="009B012A">
        <w:rPr>
          <w:bCs/>
          <w:lang w:val="en-US"/>
        </w:rPr>
        <w:t xml:space="preserve">). One such approach is for academics to act as </w:t>
      </w:r>
      <w:r w:rsidR="00C476B2" w:rsidRPr="009B012A">
        <w:rPr>
          <w:bCs/>
          <w:lang w:val="en-US"/>
        </w:rPr>
        <w:t>critical</w:t>
      </w:r>
      <w:r w:rsidRPr="009B012A">
        <w:rPr>
          <w:bCs/>
          <w:lang w:val="en-US"/>
        </w:rPr>
        <w:t xml:space="preserve"> partners in </w:t>
      </w:r>
      <w:r w:rsidR="00C476B2" w:rsidRPr="009B012A">
        <w:rPr>
          <w:bCs/>
          <w:lang w:val="en-US"/>
        </w:rPr>
        <w:t>providing</w:t>
      </w:r>
      <w:r w:rsidRPr="009B012A">
        <w:rPr>
          <w:bCs/>
          <w:lang w:val="en-US"/>
        </w:rPr>
        <w:t xml:space="preserve"> career guidance and enhancing the employability of their students and future </w:t>
      </w:r>
      <w:r w:rsidRPr="009B012A">
        <w:rPr>
          <w:bCs/>
          <w:lang w:val="en-US"/>
        </w:rPr>
        <w:lastRenderedPageBreak/>
        <w:t xml:space="preserve">graduates. Despite ongoing calls in the higher education and vocational </w:t>
      </w:r>
      <w:proofErr w:type="spellStart"/>
      <w:r w:rsidRPr="009B012A">
        <w:rPr>
          <w:bCs/>
          <w:lang w:val="en-US"/>
        </w:rPr>
        <w:t>behaviour</w:t>
      </w:r>
      <w:proofErr w:type="spellEnd"/>
      <w:r w:rsidRPr="009B012A">
        <w:rPr>
          <w:bCs/>
          <w:lang w:val="en-US"/>
        </w:rPr>
        <w:t xml:space="preserve"> literature to embed employability into the university curriculum to </w:t>
      </w:r>
      <w:r w:rsidR="00C476B2" w:rsidRPr="009B012A">
        <w:rPr>
          <w:bCs/>
          <w:lang w:val="en-US"/>
        </w:rPr>
        <w:t>improve</w:t>
      </w:r>
      <w:r w:rsidRPr="009B012A">
        <w:rPr>
          <w:bCs/>
          <w:lang w:val="en-US"/>
        </w:rPr>
        <w:t xml:space="preserve"> human capital</w:t>
      </w:r>
      <w:r w:rsidR="00C476B2" w:rsidRPr="009B012A">
        <w:rPr>
          <w:bCs/>
          <w:lang w:val="en-US"/>
        </w:rPr>
        <w:t xml:space="preserve">, self-perceived employability, </w:t>
      </w:r>
      <w:r w:rsidRPr="009B012A">
        <w:rPr>
          <w:bCs/>
          <w:lang w:val="en-US"/>
        </w:rPr>
        <w:t xml:space="preserve">and practical wisdom in students (e.g. Cheng </w:t>
      </w:r>
      <w:r w:rsidRPr="009B012A">
        <w:rPr>
          <w:bCs/>
          <w:i/>
          <w:iCs/>
          <w:lang w:val="en-US"/>
        </w:rPr>
        <w:t>et al.</w:t>
      </w:r>
      <w:r w:rsidRPr="009B012A">
        <w:rPr>
          <w:bCs/>
          <w:lang w:val="en-US"/>
        </w:rPr>
        <w:t>, 202</w:t>
      </w:r>
      <w:r w:rsidR="009B0951" w:rsidRPr="009B012A">
        <w:rPr>
          <w:bCs/>
          <w:lang w:val="en-US"/>
        </w:rPr>
        <w:t>2</w:t>
      </w:r>
      <w:r w:rsidRPr="009B012A">
        <w:rPr>
          <w:bCs/>
          <w:lang w:val="en-US"/>
        </w:rPr>
        <w:t xml:space="preserve">; </w:t>
      </w:r>
      <w:r w:rsidR="000D6DFC" w:rsidRPr="009B012A">
        <w:rPr>
          <w:bCs/>
          <w:lang w:val="en-US"/>
        </w:rPr>
        <w:t>Cole and Donald, 2022</w:t>
      </w:r>
      <w:r w:rsidRPr="009B012A">
        <w:rPr>
          <w:bCs/>
          <w:lang w:val="en-US"/>
        </w:rPr>
        <w:t xml:space="preserve">; </w:t>
      </w:r>
      <w:r w:rsidR="00C476B2" w:rsidRPr="009B012A">
        <w:t xml:space="preserve">Gu </w:t>
      </w:r>
      <w:r w:rsidR="00C476B2" w:rsidRPr="009B012A">
        <w:rPr>
          <w:i/>
          <w:iCs/>
        </w:rPr>
        <w:t>et al.</w:t>
      </w:r>
      <w:r w:rsidR="00C476B2" w:rsidRPr="009B012A">
        <w:t xml:space="preserve">, 2018; </w:t>
      </w:r>
      <w:proofErr w:type="spellStart"/>
      <w:r w:rsidRPr="009B012A">
        <w:rPr>
          <w:bCs/>
          <w:lang w:val="en-US"/>
        </w:rPr>
        <w:t>Jakubik</w:t>
      </w:r>
      <w:proofErr w:type="spellEnd"/>
      <w:r w:rsidRPr="009B012A">
        <w:rPr>
          <w:bCs/>
          <w:lang w:val="en-US"/>
        </w:rPr>
        <w:t xml:space="preserve">, 2021; Small </w:t>
      </w:r>
      <w:r w:rsidRPr="009B012A">
        <w:rPr>
          <w:bCs/>
          <w:i/>
          <w:iCs/>
          <w:lang w:val="en-US"/>
        </w:rPr>
        <w:t>et al.</w:t>
      </w:r>
      <w:r w:rsidRPr="009B012A">
        <w:rPr>
          <w:bCs/>
          <w:lang w:val="en-US"/>
        </w:rPr>
        <w:t>, 2018</w:t>
      </w:r>
      <w:r w:rsidR="00C476B2" w:rsidRPr="009B012A">
        <w:rPr>
          <w:bCs/>
          <w:lang w:val="en-US"/>
        </w:rPr>
        <w:t xml:space="preserve">; </w:t>
      </w:r>
      <w:r w:rsidR="00C476B2" w:rsidRPr="009B012A">
        <w:t xml:space="preserve">Soares and Mosquera, 2020; Williams </w:t>
      </w:r>
      <w:r w:rsidR="00C476B2" w:rsidRPr="009B012A">
        <w:rPr>
          <w:i/>
          <w:iCs/>
        </w:rPr>
        <w:t>et al.</w:t>
      </w:r>
      <w:r w:rsidR="00C476B2" w:rsidRPr="009B012A">
        <w:t>, 2019</w:t>
      </w:r>
      <w:r w:rsidRPr="009B012A">
        <w:rPr>
          <w:bCs/>
          <w:lang w:val="en-US"/>
        </w:rPr>
        <w:t xml:space="preserve">), there remains a </w:t>
      </w:r>
      <w:r w:rsidR="00C476B2" w:rsidRPr="009B012A">
        <w:rPr>
          <w:bCs/>
          <w:lang w:val="en-US"/>
        </w:rPr>
        <w:t>lack</w:t>
      </w:r>
      <w:r w:rsidRPr="009B012A">
        <w:rPr>
          <w:bCs/>
          <w:lang w:val="en-US"/>
        </w:rPr>
        <w:t xml:space="preserve"> of empirical studies reporting on such attempts to do so. In response, this study aims to explore </w:t>
      </w:r>
      <w:r w:rsidR="00C476B2" w:rsidRPr="009B012A">
        <w:rPr>
          <w:bCs/>
          <w:lang w:val="en-US"/>
        </w:rPr>
        <w:t>university students’ views</w:t>
      </w:r>
      <w:r w:rsidRPr="009B012A">
        <w:rPr>
          <w:bCs/>
          <w:lang w:val="en-US"/>
        </w:rPr>
        <w:t xml:space="preserve"> regarding their self-perceived employability following participation in a mandatory module titled ‘The Global Marketing Professional’.</w:t>
      </w:r>
    </w:p>
    <w:p w14:paraId="66A55C2D" w14:textId="393D1E50" w:rsidR="00512A91" w:rsidRPr="009B012A" w:rsidRDefault="00512A91" w:rsidP="00512A91">
      <w:pPr>
        <w:pStyle w:val="bodytextGJSD"/>
        <w:spacing w:after="0" w:line="480" w:lineRule="auto"/>
        <w:ind w:firstLine="426"/>
        <w:rPr>
          <w:bCs/>
          <w:lang w:val="en-US"/>
        </w:rPr>
      </w:pPr>
      <w:r w:rsidRPr="009B012A">
        <w:rPr>
          <w:bCs/>
          <w:lang w:val="en-US"/>
        </w:rPr>
        <w:t xml:space="preserve">This paper adopts the definition of </w:t>
      </w:r>
      <w:r w:rsidR="008F2D2A" w:rsidRPr="009B012A">
        <w:rPr>
          <w:bCs/>
          <w:lang w:val="en-US"/>
        </w:rPr>
        <w:t xml:space="preserve">self-perceived </w:t>
      </w:r>
      <w:r w:rsidRPr="009B012A">
        <w:rPr>
          <w:bCs/>
          <w:lang w:val="en-US"/>
        </w:rPr>
        <w:t>employability as “</w:t>
      </w:r>
      <w:r w:rsidR="008F2D2A" w:rsidRPr="009B012A">
        <w:rPr>
          <w:bCs/>
          <w:lang w:val="en-US"/>
        </w:rPr>
        <w:t>the ability to keep the job one has or to get the job one desires” (Rothwell and Arnold, 2007, p. 25). Employability is defined as a “</w:t>
      </w:r>
      <w:r w:rsidRPr="009B012A">
        <w:rPr>
          <w:bCs/>
          <w:lang w:val="en-US"/>
        </w:rPr>
        <w:t xml:space="preserve">capacity to be self-reliant in navigating the </w:t>
      </w:r>
      <w:proofErr w:type="spellStart"/>
      <w:r w:rsidRPr="009B012A">
        <w:rPr>
          <w:bCs/>
          <w:lang w:val="en-US"/>
        </w:rPr>
        <w:t>labour</w:t>
      </w:r>
      <w:proofErr w:type="spellEnd"/>
      <w:r w:rsidRPr="009B012A">
        <w:rPr>
          <w:bCs/>
          <w:lang w:val="en-US"/>
        </w:rPr>
        <w:t xml:space="preserve"> market, </w:t>
      </w:r>
      <w:proofErr w:type="spellStart"/>
      <w:r w:rsidRPr="009B012A">
        <w:rPr>
          <w:bCs/>
          <w:lang w:val="en-US"/>
        </w:rPr>
        <w:t>utilising</w:t>
      </w:r>
      <w:proofErr w:type="spellEnd"/>
      <w:r w:rsidRPr="009B012A">
        <w:rPr>
          <w:bCs/>
          <w:lang w:val="en-US"/>
        </w:rPr>
        <w:t xml:space="preserve"> knowledge, individual skills and attributes, and adapting them to the employment context, showcasing them to employers, while taking into account external and other constraints” (Small </w:t>
      </w:r>
      <w:r w:rsidRPr="009B012A">
        <w:rPr>
          <w:bCs/>
          <w:i/>
          <w:iCs/>
          <w:lang w:val="en-US"/>
        </w:rPr>
        <w:t>et al.</w:t>
      </w:r>
      <w:r w:rsidRPr="009B012A">
        <w:rPr>
          <w:bCs/>
          <w:lang w:val="en-US"/>
        </w:rPr>
        <w:t xml:space="preserve">, 2018, p. 4). Moreover, understanding self-perceptions of employability coupled with the benefits and opportunities for future improvement of participation in a compulsory module acknowledges the value of students influencing the design of the curriculum since their perspectives can benefit subsequent student cohorts (Bell </w:t>
      </w:r>
      <w:r w:rsidR="003438D5" w:rsidRPr="009B012A">
        <w:rPr>
          <w:bCs/>
          <w:lang w:val="en-US"/>
        </w:rPr>
        <w:t>and</w:t>
      </w:r>
      <w:r w:rsidRPr="009B012A">
        <w:rPr>
          <w:bCs/>
          <w:lang w:val="en-US"/>
        </w:rPr>
        <w:t xml:space="preserve"> Reed, 2021; Bowman </w:t>
      </w:r>
      <w:r w:rsidRPr="009B012A">
        <w:rPr>
          <w:bCs/>
          <w:i/>
          <w:iCs/>
          <w:lang w:val="en-US"/>
        </w:rPr>
        <w:t>et al.</w:t>
      </w:r>
      <w:r w:rsidRPr="009B012A">
        <w:rPr>
          <w:bCs/>
          <w:lang w:val="en-US"/>
        </w:rPr>
        <w:t>, 2021). Therefore, our study addresses three research questions:</w:t>
      </w:r>
    </w:p>
    <w:p w14:paraId="70CE2740" w14:textId="77777777" w:rsidR="00512A91" w:rsidRPr="009B012A" w:rsidRDefault="00512A91" w:rsidP="00512A91">
      <w:pPr>
        <w:pStyle w:val="bodytextGJSD"/>
        <w:spacing w:after="0" w:line="480" w:lineRule="auto"/>
        <w:rPr>
          <w:bCs/>
          <w:lang w:val="en-US"/>
        </w:rPr>
      </w:pPr>
      <w:r w:rsidRPr="009B012A">
        <w:rPr>
          <w:bCs/>
          <w:i/>
          <w:iCs/>
          <w:lang w:val="en-US"/>
        </w:rPr>
        <w:t>Research Question One (RQ1)</w:t>
      </w:r>
      <w:r w:rsidRPr="009B012A">
        <w:rPr>
          <w:bCs/>
          <w:lang w:val="en-US"/>
        </w:rPr>
        <w:t>: What are the impacts on self-perceived employability of participation in ‘The Global Marketing Professional’ module?</w:t>
      </w:r>
    </w:p>
    <w:p w14:paraId="2FC4BA96" w14:textId="77777777" w:rsidR="00512A91" w:rsidRPr="009B012A" w:rsidRDefault="00512A91" w:rsidP="00512A91">
      <w:pPr>
        <w:pStyle w:val="bodytextGJSD"/>
        <w:spacing w:after="0" w:line="480" w:lineRule="auto"/>
        <w:rPr>
          <w:bCs/>
          <w:lang w:val="en-US"/>
        </w:rPr>
      </w:pPr>
      <w:r w:rsidRPr="009B012A">
        <w:rPr>
          <w:bCs/>
          <w:i/>
          <w:iCs/>
          <w:lang w:val="en-US"/>
        </w:rPr>
        <w:t>Research Question Two (RQ2)</w:t>
      </w:r>
      <w:r w:rsidRPr="009B012A">
        <w:rPr>
          <w:bCs/>
          <w:lang w:val="en-US"/>
        </w:rPr>
        <w:t>: What are the self-perceived benefits of participation in ‘The Global Marketing Professional’ module?</w:t>
      </w:r>
    </w:p>
    <w:p w14:paraId="2936DB8B" w14:textId="77777777" w:rsidR="00512A91" w:rsidRPr="009B012A" w:rsidRDefault="00512A91" w:rsidP="00512A91">
      <w:pPr>
        <w:pStyle w:val="bodytextGJSD"/>
        <w:spacing w:after="0" w:line="480" w:lineRule="auto"/>
        <w:rPr>
          <w:bCs/>
          <w:lang w:val="en-US"/>
        </w:rPr>
      </w:pPr>
      <w:r w:rsidRPr="009B012A">
        <w:rPr>
          <w:bCs/>
          <w:i/>
          <w:iCs/>
          <w:lang w:val="en-US"/>
        </w:rPr>
        <w:t>Research Question Three (RQ3)</w:t>
      </w:r>
      <w:r w:rsidRPr="009B012A">
        <w:rPr>
          <w:bCs/>
          <w:lang w:val="en-US"/>
        </w:rPr>
        <w:t>: What are the self-perceived opportunities for future improvement of ‘The Global Marketing Professional’ module?</w:t>
      </w:r>
    </w:p>
    <w:p w14:paraId="38912F2D" w14:textId="4AEC9617" w:rsidR="00512A91" w:rsidRPr="009B012A" w:rsidRDefault="00512A91" w:rsidP="00512A91">
      <w:pPr>
        <w:pStyle w:val="bodytextGJSD"/>
        <w:spacing w:after="0" w:line="480" w:lineRule="auto"/>
        <w:ind w:firstLine="426"/>
        <w:rPr>
          <w:bCs/>
          <w:lang w:val="en-US"/>
        </w:rPr>
      </w:pPr>
      <w:r w:rsidRPr="009B012A">
        <w:rPr>
          <w:bCs/>
          <w:lang w:val="en-US"/>
        </w:rPr>
        <w:lastRenderedPageBreak/>
        <w:t xml:space="preserve">The contribution of our paper comes </w:t>
      </w:r>
      <w:r w:rsidR="00C476B2" w:rsidRPr="009B012A">
        <w:rPr>
          <w:bCs/>
          <w:lang w:val="en-US"/>
        </w:rPr>
        <w:t>from</w:t>
      </w:r>
      <w:r w:rsidRPr="009B012A">
        <w:rPr>
          <w:bCs/>
          <w:lang w:val="en-US"/>
        </w:rPr>
        <w:t xml:space="preserve"> the advancement of human capital and sustainable career theory by identifying empirically-informed strategies for supporting students to enhance their self-perceived employability within the university curriculum. Implications subsequently extend to universities, </w:t>
      </w:r>
      <w:proofErr w:type="spellStart"/>
      <w:r w:rsidRPr="009B012A">
        <w:rPr>
          <w:bCs/>
          <w:lang w:val="en-US"/>
        </w:rPr>
        <w:t>organisations</w:t>
      </w:r>
      <w:proofErr w:type="spellEnd"/>
      <w:r w:rsidRPr="009B012A">
        <w:rPr>
          <w:bCs/>
          <w:lang w:val="en-US"/>
        </w:rPr>
        <w:t>, and national economies.</w:t>
      </w:r>
    </w:p>
    <w:p w14:paraId="310C5416" w14:textId="77777777" w:rsidR="008F2D2A" w:rsidRPr="009B012A" w:rsidRDefault="008F2D2A" w:rsidP="00CB238A">
      <w:pPr>
        <w:jc w:val="both"/>
        <w:rPr>
          <w:rFonts w:ascii="Times New Roman" w:hAnsi="Times New Roman" w:cs="Times New Roman"/>
          <w:b/>
          <w:sz w:val="24"/>
          <w:szCs w:val="24"/>
          <w:lang w:val="en-US"/>
        </w:rPr>
      </w:pPr>
    </w:p>
    <w:p w14:paraId="79C24B68" w14:textId="45F70875" w:rsidR="004E2E0B" w:rsidRPr="009B012A" w:rsidRDefault="00512A91" w:rsidP="00CB238A">
      <w:pPr>
        <w:jc w:val="both"/>
        <w:rPr>
          <w:rFonts w:ascii="Times New Roman" w:hAnsi="Times New Roman" w:cs="Times New Roman"/>
          <w:sz w:val="24"/>
          <w:szCs w:val="24"/>
          <w:lang w:val="en-US"/>
        </w:rPr>
      </w:pPr>
      <w:r w:rsidRPr="009B012A">
        <w:rPr>
          <w:rFonts w:ascii="Times New Roman" w:hAnsi="Times New Roman" w:cs="Times New Roman"/>
          <w:b/>
          <w:sz w:val="24"/>
          <w:szCs w:val="24"/>
          <w:lang w:val="en-US"/>
        </w:rPr>
        <w:t>Background Review</w:t>
      </w:r>
    </w:p>
    <w:p w14:paraId="4303D379" w14:textId="70E965F2" w:rsidR="00512A91" w:rsidRPr="009B012A" w:rsidRDefault="00512A91" w:rsidP="00512A91">
      <w:pPr>
        <w:jc w:val="both"/>
        <w:rPr>
          <w:rFonts w:ascii="Times New Roman" w:hAnsi="Times New Roman" w:cs="Times New Roman"/>
          <w:b/>
          <w:bCs/>
          <w:i/>
          <w:iCs/>
          <w:sz w:val="24"/>
          <w:szCs w:val="24"/>
          <w:lang w:val="en-US"/>
        </w:rPr>
      </w:pPr>
      <w:r w:rsidRPr="009B012A">
        <w:rPr>
          <w:rFonts w:ascii="Times New Roman" w:hAnsi="Times New Roman" w:cs="Times New Roman"/>
          <w:b/>
          <w:bCs/>
          <w:i/>
          <w:iCs/>
          <w:sz w:val="24"/>
          <w:szCs w:val="24"/>
          <w:lang w:val="en-US"/>
        </w:rPr>
        <w:t>Theoretical Framework</w:t>
      </w:r>
    </w:p>
    <w:p w14:paraId="47A58374" w14:textId="6C5A12F8" w:rsidR="00512A91" w:rsidRPr="009B012A" w:rsidRDefault="00512A91" w:rsidP="00512A91">
      <w:pPr>
        <w:pStyle w:val="bodytextGJSD"/>
        <w:spacing w:after="0" w:line="480" w:lineRule="auto"/>
        <w:rPr>
          <w:lang w:val="en-US"/>
        </w:rPr>
      </w:pPr>
      <w:r w:rsidRPr="009B012A">
        <w:rPr>
          <w:lang w:val="en-US"/>
        </w:rPr>
        <w:t xml:space="preserve">Our theoretical framework draws on human capital theory (Becker, 1964) and sustainable career theory (Van der Heijden </w:t>
      </w:r>
      <w:r w:rsidR="003438D5" w:rsidRPr="009B012A">
        <w:rPr>
          <w:lang w:val="en-US"/>
        </w:rPr>
        <w:t>and</w:t>
      </w:r>
      <w:r w:rsidRPr="009B012A">
        <w:rPr>
          <w:lang w:val="en-US"/>
        </w:rPr>
        <w:t xml:space="preserve"> De Vos, 2015). </w:t>
      </w:r>
    </w:p>
    <w:p w14:paraId="33B0C69E" w14:textId="335DEBFC" w:rsidR="00512A91" w:rsidRPr="009B012A" w:rsidRDefault="00512A91" w:rsidP="00512A91">
      <w:pPr>
        <w:pStyle w:val="bodytextGJSD"/>
        <w:spacing w:after="0" w:line="480" w:lineRule="auto"/>
        <w:ind w:firstLine="426"/>
        <w:rPr>
          <w:lang w:val="en-US"/>
        </w:rPr>
      </w:pPr>
      <w:r w:rsidRPr="009B012A">
        <w:rPr>
          <w:lang w:val="en-US"/>
        </w:rPr>
        <w:t xml:space="preserve">Human capital theory (Becker, 1964) proposes that investment in education and training can enhance </w:t>
      </w:r>
      <w:r w:rsidR="00C476B2" w:rsidRPr="009B012A">
        <w:rPr>
          <w:lang w:val="en-US"/>
        </w:rPr>
        <w:t>individuals' productivity, earnings, and employability</w:t>
      </w:r>
      <w:r w:rsidRPr="009B012A">
        <w:rPr>
          <w:lang w:val="en-US"/>
        </w:rPr>
        <w:t xml:space="preserve">. Donald </w:t>
      </w:r>
      <w:r w:rsidRPr="009B012A">
        <w:rPr>
          <w:i/>
          <w:iCs/>
          <w:lang w:val="en-US"/>
        </w:rPr>
        <w:t>et al.</w:t>
      </w:r>
      <w:r w:rsidRPr="009B012A">
        <w:rPr>
          <w:lang w:val="en-US"/>
        </w:rPr>
        <w:t xml:space="preserve"> (2019) </w:t>
      </w:r>
      <w:proofErr w:type="spellStart"/>
      <w:r w:rsidRPr="009B012A">
        <w:rPr>
          <w:lang w:val="en-US"/>
        </w:rPr>
        <w:t>conceptualised</w:t>
      </w:r>
      <w:proofErr w:type="spellEnd"/>
      <w:r w:rsidRPr="009B012A">
        <w:rPr>
          <w:lang w:val="en-US"/>
        </w:rPr>
        <w:t xml:space="preserve"> and empirically validated a </w:t>
      </w:r>
      <w:r w:rsidR="00C476B2" w:rsidRPr="009B012A">
        <w:rPr>
          <w:lang w:val="en-US"/>
        </w:rPr>
        <w:t>human capital model</w:t>
      </w:r>
      <w:r w:rsidRPr="009B012A">
        <w:rPr>
          <w:lang w:val="en-US"/>
        </w:rPr>
        <w:t xml:space="preserve"> in university students composed of social capital, cultural capital, psychological capital, scholastic capital, market-value capital, and skills. Their model, which also included career advice and career ownership components to offer self-perceived employability, drew together the work of earlier scholars seeking to </w:t>
      </w:r>
      <w:proofErr w:type="spellStart"/>
      <w:r w:rsidRPr="009B012A">
        <w:rPr>
          <w:lang w:val="en-US"/>
        </w:rPr>
        <w:t>contextualised</w:t>
      </w:r>
      <w:proofErr w:type="spellEnd"/>
      <w:r w:rsidRPr="009B012A">
        <w:rPr>
          <w:lang w:val="en-US"/>
        </w:rPr>
        <w:t xml:space="preserve"> human capital theory within higher education </w:t>
      </w:r>
      <w:bookmarkStart w:id="4" w:name="_Hlk103189535"/>
      <w:r w:rsidRPr="009B012A">
        <w:rPr>
          <w:lang w:val="en-US"/>
        </w:rPr>
        <w:t xml:space="preserve">(e.g. Baruch </w:t>
      </w:r>
      <w:r w:rsidRPr="009B012A">
        <w:rPr>
          <w:i/>
          <w:iCs/>
          <w:lang w:val="en-US"/>
        </w:rPr>
        <w:t>et al.</w:t>
      </w:r>
      <w:r w:rsidRPr="009B012A">
        <w:rPr>
          <w:lang w:val="en-US"/>
        </w:rPr>
        <w:t xml:space="preserve">, 2005; Cook </w:t>
      </w:r>
      <w:r w:rsidRPr="009B012A">
        <w:rPr>
          <w:i/>
          <w:iCs/>
          <w:lang w:val="en-US"/>
        </w:rPr>
        <w:t>et al.</w:t>
      </w:r>
      <w:r w:rsidRPr="009B012A">
        <w:rPr>
          <w:lang w:val="en-US"/>
        </w:rPr>
        <w:t xml:space="preserve">, 1981; </w:t>
      </w:r>
      <w:proofErr w:type="spellStart"/>
      <w:r w:rsidRPr="009B012A">
        <w:rPr>
          <w:lang w:val="en-US"/>
        </w:rPr>
        <w:t>Kalfa</w:t>
      </w:r>
      <w:proofErr w:type="spellEnd"/>
      <w:r w:rsidRPr="009B012A">
        <w:rPr>
          <w:lang w:val="en-US"/>
        </w:rPr>
        <w:t xml:space="preserve"> </w:t>
      </w:r>
      <w:r w:rsidR="003438D5" w:rsidRPr="009B012A">
        <w:rPr>
          <w:lang w:val="en-US"/>
        </w:rPr>
        <w:t>and</w:t>
      </w:r>
      <w:r w:rsidRPr="009B012A">
        <w:rPr>
          <w:lang w:val="en-US"/>
        </w:rPr>
        <w:t xml:space="preserve"> </w:t>
      </w:r>
      <w:proofErr w:type="spellStart"/>
      <w:r w:rsidRPr="009B012A">
        <w:rPr>
          <w:lang w:val="en-US"/>
        </w:rPr>
        <w:t>Taksa</w:t>
      </w:r>
      <w:proofErr w:type="spellEnd"/>
      <w:r w:rsidRPr="009B012A">
        <w:rPr>
          <w:lang w:val="en-US"/>
        </w:rPr>
        <w:t xml:space="preserve">, 2015; Luthans </w:t>
      </w:r>
      <w:r w:rsidRPr="009B012A">
        <w:rPr>
          <w:i/>
          <w:iCs/>
          <w:lang w:val="en-US"/>
        </w:rPr>
        <w:t>et al.</w:t>
      </w:r>
      <w:r w:rsidRPr="009B012A">
        <w:rPr>
          <w:lang w:val="en-US"/>
        </w:rPr>
        <w:t xml:space="preserve">, 2004; 2015; Useem </w:t>
      </w:r>
      <w:r w:rsidR="003438D5" w:rsidRPr="009B012A">
        <w:rPr>
          <w:lang w:val="en-US"/>
        </w:rPr>
        <w:t>and</w:t>
      </w:r>
      <w:r w:rsidRPr="009B012A">
        <w:rPr>
          <w:lang w:val="en-US"/>
        </w:rPr>
        <w:t xml:space="preserve"> </w:t>
      </w:r>
      <w:proofErr w:type="spellStart"/>
      <w:r w:rsidRPr="009B012A">
        <w:rPr>
          <w:lang w:val="en-US"/>
        </w:rPr>
        <w:t>Karabel</w:t>
      </w:r>
      <w:proofErr w:type="spellEnd"/>
      <w:r w:rsidRPr="009B012A">
        <w:rPr>
          <w:lang w:val="en-US"/>
        </w:rPr>
        <w:t xml:space="preserve">, 1986). </w:t>
      </w:r>
      <w:bookmarkEnd w:id="4"/>
      <w:r w:rsidRPr="009B012A">
        <w:rPr>
          <w:lang w:val="en-US"/>
        </w:rPr>
        <w:t xml:space="preserve">Empirical validation of their model via a mixed-methods approach showed that existing career guidance provided by universities was perceived by students to be ineffective and often failed to access those individuals who needed the support the most (Donald </w:t>
      </w:r>
      <w:r w:rsidRPr="009B012A">
        <w:rPr>
          <w:i/>
          <w:iCs/>
          <w:lang w:val="en-US"/>
        </w:rPr>
        <w:t>et al.</w:t>
      </w:r>
      <w:r w:rsidRPr="009B012A">
        <w:rPr>
          <w:lang w:val="en-US"/>
        </w:rPr>
        <w:t xml:space="preserve">, 2018; 2019). Their calls to embed employability and careers advice into the university curriculum continue to be supported in the higher education literature (e.g. </w:t>
      </w:r>
      <w:proofErr w:type="spellStart"/>
      <w:r w:rsidRPr="009B012A">
        <w:rPr>
          <w:lang w:val="en-US"/>
        </w:rPr>
        <w:t>Kornelakis</w:t>
      </w:r>
      <w:proofErr w:type="spellEnd"/>
      <w:r w:rsidRPr="009B012A">
        <w:rPr>
          <w:lang w:val="en-US"/>
        </w:rPr>
        <w:t xml:space="preserve"> </w:t>
      </w:r>
      <w:r w:rsidR="003438D5" w:rsidRPr="009B012A">
        <w:rPr>
          <w:lang w:val="en-US"/>
        </w:rPr>
        <w:t>and</w:t>
      </w:r>
      <w:r w:rsidRPr="009B012A">
        <w:rPr>
          <w:lang w:val="en-US"/>
        </w:rPr>
        <w:t xml:space="preserve"> </w:t>
      </w:r>
      <w:proofErr w:type="spellStart"/>
      <w:r w:rsidRPr="009B012A">
        <w:rPr>
          <w:lang w:val="en-US"/>
        </w:rPr>
        <w:t>Petrakaki</w:t>
      </w:r>
      <w:proofErr w:type="spellEnd"/>
      <w:r w:rsidRPr="009B012A">
        <w:rPr>
          <w:lang w:val="en-US"/>
        </w:rPr>
        <w:t>, 2020). Moreover, scholars have called for innovative approaches by higher education institutions to offer their students practical wisdom to enhance human capital beyond university boundaries (</w:t>
      </w:r>
      <w:proofErr w:type="spellStart"/>
      <w:r w:rsidRPr="009B012A">
        <w:rPr>
          <w:lang w:val="en-US"/>
        </w:rPr>
        <w:t>Jakubik</w:t>
      </w:r>
      <w:proofErr w:type="spellEnd"/>
      <w:r w:rsidRPr="009B012A">
        <w:rPr>
          <w:lang w:val="en-US"/>
        </w:rPr>
        <w:t xml:space="preserve">, 2020; 2021). However, “such innovative pedagogies must also </w:t>
      </w:r>
      <w:r w:rsidRPr="009B012A">
        <w:rPr>
          <w:lang w:val="en-US"/>
        </w:rPr>
        <w:lastRenderedPageBreak/>
        <w:t xml:space="preserve">be integrated into impactful curriculum design” (McQuillan </w:t>
      </w:r>
      <w:r w:rsidRPr="009B012A">
        <w:rPr>
          <w:i/>
          <w:iCs/>
          <w:lang w:val="en-US"/>
        </w:rPr>
        <w:t>et al.</w:t>
      </w:r>
      <w:r w:rsidRPr="009B012A">
        <w:rPr>
          <w:lang w:val="en-US"/>
        </w:rPr>
        <w:t>, 2021, p. 215)</w:t>
      </w:r>
      <w:r w:rsidR="00C476B2" w:rsidRPr="009B012A">
        <w:rPr>
          <w:lang w:val="en-US"/>
        </w:rPr>
        <w:t>,</w:t>
      </w:r>
      <w:r w:rsidRPr="009B012A">
        <w:rPr>
          <w:lang w:val="en-US"/>
        </w:rPr>
        <w:t xml:space="preserve"> </w:t>
      </w:r>
      <w:r w:rsidR="00C476B2" w:rsidRPr="009B012A">
        <w:rPr>
          <w:lang w:val="en-US"/>
        </w:rPr>
        <w:t>s</w:t>
      </w:r>
      <w:r w:rsidRPr="009B012A">
        <w:rPr>
          <w:lang w:val="en-US"/>
        </w:rPr>
        <w:t xml:space="preserve">pecifically by focusing on content, process, and context for careers support (Lent </w:t>
      </w:r>
      <w:r w:rsidR="003438D5" w:rsidRPr="009B012A">
        <w:rPr>
          <w:lang w:val="en-US"/>
        </w:rPr>
        <w:t>and</w:t>
      </w:r>
      <w:r w:rsidRPr="009B012A">
        <w:rPr>
          <w:lang w:val="en-US"/>
        </w:rPr>
        <w:t xml:space="preserve"> Brown, 2020).</w:t>
      </w:r>
    </w:p>
    <w:p w14:paraId="7893AA51" w14:textId="685A4D88" w:rsidR="00512A91" w:rsidRPr="009B012A" w:rsidRDefault="00512A91" w:rsidP="00512A91">
      <w:pPr>
        <w:jc w:val="both"/>
        <w:rPr>
          <w:rFonts w:ascii="Times New Roman" w:hAnsi="Times New Roman" w:cs="Times New Roman"/>
          <w:sz w:val="24"/>
          <w:szCs w:val="24"/>
          <w:lang w:val="en-US"/>
        </w:rPr>
      </w:pPr>
      <w:r w:rsidRPr="009B012A">
        <w:rPr>
          <w:rFonts w:ascii="Times New Roman" w:hAnsi="Times New Roman" w:cs="Times New Roman"/>
          <w:sz w:val="24"/>
          <w:szCs w:val="24"/>
          <w:lang w:val="en-US"/>
        </w:rPr>
        <w:t xml:space="preserve">One approach is to create a theoretical framework of human capital theory and sustainable career theory (Van der Heijden </w:t>
      </w:r>
      <w:r w:rsidR="003438D5" w:rsidRPr="009B012A">
        <w:rPr>
          <w:rFonts w:ascii="Times New Roman" w:hAnsi="Times New Roman" w:cs="Times New Roman"/>
          <w:sz w:val="24"/>
          <w:szCs w:val="24"/>
          <w:lang w:val="en-US"/>
        </w:rPr>
        <w:t>and</w:t>
      </w:r>
      <w:r w:rsidRPr="009B012A">
        <w:rPr>
          <w:rFonts w:ascii="Times New Roman" w:hAnsi="Times New Roman" w:cs="Times New Roman"/>
          <w:sz w:val="24"/>
          <w:szCs w:val="24"/>
          <w:lang w:val="en-US"/>
        </w:rPr>
        <w:t xml:space="preserve"> De Vos, 2015), capturing the three dimensions of person, context, and time (De Vos </w:t>
      </w:r>
      <w:r w:rsidRPr="009B012A">
        <w:rPr>
          <w:rFonts w:ascii="Times New Roman" w:hAnsi="Times New Roman" w:cs="Times New Roman"/>
          <w:i/>
          <w:iCs/>
          <w:sz w:val="24"/>
          <w:szCs w:val="24"/>
          <w:lang w:val="en-US"/>
        </w:rPr>
        <w:t>et al.</w:t>
      </w:r>
      <w:r w:rsidRPr="009B012A">
        <w:rPr>
          <w:rFonts w:ascii="Times New Roman" w:hAnsi="Times New Roman" w:cs="Times New Roman"/>
          <w:sz w:val="24"/>
          <w:szCs w:val="24"/>
          <w:lang w:val="en-US"/>
        </w:rPr>
        <w:t xml:space="preserve">, 2020). Sustainable career theory highlights the need for career ownership and the development of human capital through early intervention during education and continued support across the lifespan (Donald </w:t>
      </w:r>
      <w:r w:rsidRPr="009B012A">
        <w:rPr>
          <w:rFonts w:ascii="Times New Roman" w:hAnsi="Times New Roman" w:cs="Times New Roman"/>
          <w:i/>
          <w:iCs/>
          <w:sz w:val="24"/>
          <w:szCs w:val="24"/>
          <w:lang w:val="en-US"/>
        </w:rPr>
        <w:t>et al.</w:t>
      </w:r>
      <w:r w:rsidRPr="009B012A">
        <w:rPr>
          <w:rFonts w:ascii="Times New Roman" w:hAnsi="Times New Roman" w:cs="Times New Roman"/>
          <w:sz w:val="24"/>
          <w:szCs w:val="24"/>
          <w:lang w:val="en-US"/>
        </w:rPr>
        <w:t xml:space="preserve">, 2020). Our paper advances human capital and sustainable career theory by focusing on the impact on self-perceived employability of participation in a mandatory module titled ‘The Global Marketing Professional’. The person dimension refers to each student </w:t>
      </w:r>
      <w:r w:rsidR="00C476B2" w:rsidRPr="009B012A">
        <w:rPr>
          <w:rFonts w:ascii="Times New Roman" w:hAnsi="Times New Roman" w:cs="Times New Roman"/>
          <w:sz w:val="24"/>
          <w:szCs w:val="24"/>
          <w:lang w:val="en-US"/>
        </w:rPr>
        <w:t>who participated in the module. The context dimension refers to higher education as an antecedent to career sustainability. The</w:t>
      </w:r>
      <w:r w:rsidRPr="009B012A">
        <w:rPr>
          <w:rFonts w:ascii="Times New Roman" w:hAnsi="Times New Roman" w:cs="Times New Roman"/>
          <w:sz w:val="24"/>
          <w:szCs w:val="24"/>
          <w:lang w:val="en-US"/>
        </w:rPr>
        <w:t xml:space="preserve"> time dimension captures the nine-week timespan over which the module was delivered. This also responds to calls by Cole and Donald (2022) to consider the role that educators can play in preparing students for sustainable careers via the development of human capital and career ownership. Yet, existing empirical work has tended to focus on graduates rather than students by exploring the role </w:t>
      </w:r>
      <w:r w:rsidR="00C476B2" w:rsidRPr="009B012A">
        <w:rPr>
          <w:rFonts w:ascii="Times New Roman" w:hAnsi="Times New Roman" w:cs="Times New Roman"/>
          <w:sz w:val="24"/>
          <w:szCs w:val="24"/>
          <w:lang w:val="en-US"/>
        </w:rPr>
        <w:t>of psychological capital in fostering career sustainability and life well-being</w:t>
      </w:r>
      <w:r w:rsidRPr="009B012A">
        <w:rPr>
          <w:rFonts w:ascii="Times New Roman" w:hAnsi="Times New Roman" w:cs="Times New Roman"/>
          <w:sz w:val="24"/>
          <w:szCs w:val="24"/>
          <w:lang w:val="en-US"/>
        </w:rPr>
        <w:t xml:space="preserve"> via the acquisition of personal resources (</w:t>
      </w:r>
      <w:proofErr w:type="spellStart"/>
      <w:r w:rsidRPr="009B012A">
        <w:rPr>
          <w:rFonts w:ascii="Times New Roman" w:hAnsi="Times New Roman" w:cs="Times New Roman"/>
          <w:sz w:val="24"/>
          <w:szCs w:val="24"/>
          <w:lang w:val="en-US"/>
        </w:rPr>
        <w:t>Nimmi</w:t>
      </w:r>
      <w:proofErr w:type="spellEnd"/>
      <w:r w:rsidRPr="009B012A">
        <w:rPr>
          <w:rFonts w:ascii="Times New Roman" w:hAnsi="Times New Roman" w:cs="Times New Roman"/>
          <w:sz w:val="24"/>
          <w:szCs w:val="24"/>
          <w:lang w:val="en-US"/>
        </w:rPr>
        <w:t xml:space="preserve"> </w:t>
      </w:r>
      <w:r w:rsidRPr="009B012A">
        <w:rPr>
          <w:rFonts w:ascii="Times New Roman" w:hAnsi="Times New Roman" w:cs="Times New Roman"/>
          <w:i/>
          <w:iCs/>
          <w:sz w:val="24"/>
          <w:szCs w:val="24"/>
          <w:lang w:val="en-US"/>
        </w:rPr>
        <w:t>et al.</w:t>
      </w:r>
      <w:r w:rsidRPr="009B012A">
        <w:rPr>
          <w:rFonts w:ascii="Times New Roman" w:hAnsi="Times New Roman" w:cs="Times New Roman"/>
          <w:sz w:val="24"/>
          <w:szCs w:val="24"/>
          <w:lang w:val="en-US"/>
        </w:rPr>
        <w:t>, 2021; 2022). Subsequently, our paper offers a case study and empirical validation within a university context in acknowledgement that the literature on sustainable career theory and the incorporation of human capital theory remains in an embryonic and conceptual state.</w:t>
      </w:r>
    </w:p>
    <w:p w14:paraId="2E87B17F" w14:textId="0B6B1646" w:rsidR="00BE1986" w:rsidRPr="009B012A" w:rsidRDefault="00BE1986">
      <w:pPr>
        <w:suppressAutoHyphens w:val="0"/>
        <w:spacing w:after="160" w:line="259" w:lineRule="auto"/>
        <w:rPr>
          <w:rFonts w:ascii="Times New Roman" w:hAnsi="Times New Roman" w:cs="Times New Roman"/>
          <w:b/>
          <w:sz w:val="24"/>
          <w:szCs w:val="24"/>
          <w:lang w:val="en-US"/>
        </w:rPr>
      </w:pPr>
    </w:p>
    <w:p w14:paraId="7DCFCD8B" w14:textId="2A4B3240" w:rsidR="00512A91" w:rsidRPr="009B012A" w:rsidRDefault="00512A91" w:rsidP="00512A91">
      <w:pPr>
        <w:jc w:val="both"/>
        <w:rPr>
          <w:rFonts w:ascii="Times New Roman" w:hAnsi="Times New Roman" w:cs="Times New Roman"/>
          <w:b/>
          <w:bCs/>
          <w:i/>
          <w:iCs/>
          <w:sz w:val="24"/>
          <w:szCs w:val="24"/>
          <w:lang w:val="en-US"/>
        </w:rPr>
      </w:pPr>
      <w:r w:rsidRPr="009B012A">
        <w:rPr>
          <w:rFonts w:ascii="Times New Roman" w:hAnsi="Times New Roman" w:cs="Times New Roman"/>
          <w:b/>
          <w:bCs/>
          <w:i/>
          <w:iCs/>
          <w:sz w:val="24"/>
          <w:szCs w:val="24"/>
          <w:lang w:val="en-US"/>
        </w:rPr>
        <w:t>Embedding Employability into the Curriculum</w:t>
      </w:r>
    </w:p>
    <w:p w14:paraId="3A8C6DFC" w14:textId="140D3E63" w:rsidR="00512A91" w:rsidRPr="009B012A" w:rsidRDefault="00512A91" w:rsidP="00512A91">
      <w:pPr>
        <w:pStyle w:val="bodytextGJSD"/>
        <w:spacing w:after="0" w:line="480" w:lineRule="auto"/>
        <w:rPr>
          <w:rFonts w:eastAsia="Times New Roman"/>
          <w:lang w:eastAsia="en-GB"/>
        </w:rPr>
      </w:pPr>
      <w:r w:rsidRPr="009B012A">
        <w:rPr>
          <w:rFonts w:eastAsia="Times New Roman"/>
          <w:lang w:eastAsia="en-GB"/>
        </w:rPr>
        <w:t xml:space="preserve">A salient concern reported by university students and recent graduates is a lack of knowledge of what they can do with their degree following graduation since recruitment fairs and other opportunities for engagement with employers tend to focus on a limited set of national or global </w:t>
      </w:r>
      <w:r w:rsidRPr="009B012A">
        <w:rPr>
          <w:rFonts w:eastAsia="Times New Roman"/>
          <w:lang w:eastAsia="en-GB"/>
        </w:rPr>
        <w:lastRenderedPageBreak/>
        <w:t xml:space="preserve">employers (Donald </w:t>
      </w:r>
      <w:r w:rsidRPr="009B012A">
        <w:rPr>
          <w:rFonts w:eastAsia="Times New Roman"/>
          <w:i/>
          <w:iCs/>
          <w:lang w:eastAsia="en-GB"/>
        </w:rPr>
        <w:t>et al.</w:t>
      </w:r>
      <w:r w:rsidRPr="009B012A">
        <w:rPr>
          <w:rFonts w:eastAsia="Times New Roman"/>
          <w:lang w:eastAsia="en-GB"/>
        </w:rPr>
        <w:t xml:space="preserve">, 2018; 2021). This </w:t>
      </w:r>
      <w:r w:rsidR="00C476B2" w:rsidRPr="009B012A">
        <w:rPr>
          <w:rFonts w:eastAsia="Times New Roman"/>
          <w:lang w:eastAsia="en-GB"/>
        </w:rPr>
        <w:t>has</w:t>
      </w:r>
      <w:r w:rsidRPr="009B012A">
        <w:rPr>
          <w:rFonts w:eastAsia="Times New Roman"/>
          <w:lang w:eastAsia="en-GB"/>
        </w:rPr>
        <w:t xml:space="preserve"> led to calls for lecturers via course curriculums to </w:t>
      </w:r>
      <w:r w:rsidRPr="009B012A">
        <w:t xml:space="preserve">prepare their graduates to be capable of undertaking a wide range of jobs in acknowledgement of a complex and evolving contemporary labour market (Williams </w:t>
      </w:r>
      <w:r w:rsidRPr="009B012A">
        <w:rPr>
          <w:i/>
          <w:iCs/>
        </w:rPr>
        <w:t>et al.</w:t>
      </w:r>
      <w:r w:rsidRPr="009B012A">
        <w:t xml:space="preserve">, 2019). It has been suggested that intervention via the curriculum also has the potential to operationalise education as an antecedent to career sustainability (De Vos </w:t>
      </w:r>
      <w:r w:rsidRPr="009B012A">
        <w:rPr>
          <w:i/>
          <w:iCs/>
        </w:rPr>
        <w:t>et al</w:t>
      </w:r>
      <w:r w:rsidRPr="009B012A">
        <w:t>., 2020)</w:t>
      </w:r>
      <w:r w:rsidR="00355D43" w:rsidRPr="009B012A">
        <w:t xml:space="preserve"> by increasing self-perceived employability and operationalisation of one’s human capital (Donald </w:t>
      </w:r>
      <w:r w:rsidR="00355D43" w:rsidRPr="009B012A">
        <w:rPr>
          <w:i/>
          <w:iCs/>
        </w:rPr>
        <w:t>et al.</w:t>
      </w:r>
      <w:r w:rsidR="00355D43" w:rsidRPr="009B012A">
        <w:t xml:space="preserve">, 2019; Gu </w:t>
      </w:r>
      <w:r w:rsidR="00355D43" w:rsidRPr="009B012A">
        <w:rPr>
          <w:i/>
          <w:iCs/>
        </w:rPr>
        <w:t>et al.</w:t>
      </w:r>
      <w:r w:rsidR="00355D43" w:rsidRPr="009B012A">
        <w:t>, 2018; Soares and Mosquera, 2020)</w:t>
      </w:r>
      <w:r w:rsidRPr="009B012A">
        <w:t xml:space="preserve">. </w:t>
      </w:r>
      <w:r w:rsidRPr="009B012A">
        <w:rPr>
          <w:rFonts w:eastAsia="Times New Roman"/>
          <w:lang w:eastAsia="en-GB"/>
        </w:rPr>
        <w:t>Thus we focus on knowledge of what a student can do with their degree as an integral part of self-perceived employability and propose:</w:t>
      </w:r>
    </w:p>
    <w:p w14:paraId="3864254E" w14:textId="77777777" w:rsidR="00512A91" w:rsidRPr="009B012A" w:rsidRDefault="00512A91" w:rsidP="00512A91">
      <w:pPr>
        <w:jc w:val="both"/>
        <w:textAlignment w:val="baseline"/>
        <w:rPr>
          <w:rFonts w:ascii="Times New Roman" w:eastAsia="Times New Roman" w:hAnsi="Times New Roman" w:cs="Times New Roman"/>
          <w:sz w:val="24"/>
          <w:szCs w:val="24"/>
          <w:lang w:eastAsia="en-GB"/>
        </w:rPr>
      </w:pPr>
      <w:r w:rsidRPr="009B012A">
        <w:rPr>
          <w:rFonts w:ascii="Times New Roman" w:eastAsia="Times New Roman" w:hAnsi="Times New Roman" w:cs="Times New Roman"/>
          <w:i/>
          <w:iCs/>
          <w:sz w:val="24"/>
          <w:szCs w:val="24"/>
          <w:lang w:eastAsia="en-GB"/>
        </w:rPr>
        <w:t>Hypothesis One (H1)</w:t>
      </w:r>
      <w:r w:rsidRPr="009B012A">
        <w:rPr>
          <w:rFonts w:ascii="Times New Roman" w:eastAsia="Times New Roman" w:hAnsi="Times New Roman" w:cs="Times New Roman"/>
          <w:sz w:val="24"/>
          <w:szCs w:val="24"/>
          <w:lang w:eastAsia="en-GB"/>
        </w:rPr>
        <w:t>: The self-perceived scores for knowledge of what a student can do with their degree will be higher following completion of the module.</w:t>
      </w:r>
    </w:p>
    <w:p w14:paraId="74F7E31F" w14:textId="4E2A06E5" w:rsidR="00512A91" w:rsidRPr="009B012A" w:rsidRDefault="00512A91" w:rsidP="00512A91">
      <w:pPr>
        <w:ind w:firstLine="426"/>
        <w:jc w:val="both"/>
        <w:textAlignment w:val="baseline"/>
        <w:rPr>
          <w:rFonts w:ascii="Times New Roman" w:eastAsia="Times New Roman" w:hAnsi="Times New Roman" w:cs="Times New Roman"/>
          <w:sz w:val="24"/>
          <w:szCs w:val="24"/>
          <w:lang w:eastAsia="en-GB"/>
        </w:rPr>
      </w:pPr>
      <w:proofErr w:type="spellStart"/>
      <w:r w:rsidRPr="009B012A">
        <w:rPr>
          <w:rFonts w:ascii="Times New Roman" w:eastAsia="Times New Roman" w:hAnsi="Times New Roman" w:cs="Times New Roman"/>
          <w:sz w:val="24"/>
          <w:szCs w:val="24"/>
          <w:lang w:eastAsia="en-GB"/>
        </w:rPr>
        <w:t>Römgens</w:t>
      </w:r>
      <w:proofErr w:type="spellEnd"/>
      <w:r w:rsidRPr="009B012A">
        <w:rPr>
          <w:rFonts w:ascii="Times New Roman" w:eastAsia="Times New Roman" w:hAnsi="Times New Roman" w:cs="Times New Roman"/>
          <w:sz w:val="24"/>
          <w:szCs w:val="24"/>
          <w:lang w:eastAsia="en-GB"/>
        </w:rPr>
        <w:t xml:space="preserve"> </w:t>
      </w:r>
      <w:r w:rsidRPr="009B012A">
        <w:rPr>
          <w:rFonts w:ascii="Times New Roman" w:eastAsia="Times New Roman" w:hAnsi="Times New Roman" w:cs="Times New Roman"/>
          <w:i/>
          <w:iCs/>
          <w:sz w:val="24"/>
          <w:szCs w:val="24"/>
          <w:lang w:eastAsia="en-GB"/>
        </w:rPr>
        <w:t xml:space="preserve">et al. </w:t>
      </w:r>
      <w:r w:rsidRPr="009B012A">
        <w:rPr>
          <w:rFonts w:ascii="Times New Roman" w:eastAsia="Times New Roman" w:hAnsi="Times New Roman" w:cs="Times New Roman"/>
          <w:sz w:val="24"/>
          <w:szCs w:val="24"/>
          <w:lang w:eastAsia="en-GB"/>
        </w:rPr>
        <w:t xml:space="preserve">(2020) posit that human capital encompasses job-specific and generalist dimensions to facilitate an individual to thrive within evolving labour markets. Additionally, Donald </w:t>
      </w:r>
      <w:r w:rsidRPr="009B012A">
        <w:rPr>
          <w:rFonts w:ascii="Times New Roman" w:eastAsia="Times New Roman" w:hAnsi="Times New Roman" w:cs="Times New Roman"/>
          <w:i/>
          <w:iCs/>
          <w:sz w:val="24"/>
          <w:szCs w:val="24"/>
          <w:lang w:eastAsia="en-GB"/>
        </w:rPr>
        <w:t>et al.</w:t>
      </w:r>
      <w:r w:rsidRPr="009B012A">
        <w:rPr>
          <w:rFonts w:ascii="Times New Roman" w:eastAsia="Times New Roman" w:hAnsi="Times New Roman" w:cs="Times New Roman"/>
          <w:sz w:val="24"/>
          <w:szCs w:val="24"/>
          <w:lang w:eastAsia="en-GB"/>
        </w:rPr>
        <w:t xml:space="preserve"> (2020) suggest that the </w:t>
      </w:r>
      <w:r w:rsidR="00355D43" w:rsidRPr="009B012A">
        <w:rPr>
          <w:rFonts w:ascii="Times New Roman" w:eastAsia="Times New Roman" w:hAnsi="Times New Roman" w:cs="Times New Roman"/>
          <w:sz w:val="24"/>
          <w:szCs w:val="24"/>
          <w:lang w:eastAsia="en-GB"/>
        </w:rPr>
        <w:t xml:space="preserve">acquisition of human capital </w:t>
      </w:r>
      <w:r w:rsidRPr="009B012A">
        <w:rPr>
          <w:rFonts w:ascii="Times New Roman" w:eastAsia="Times New Roman" w:hAnsi="Times New Roman" w:cs="Times New Roman"/>
          <w:sz w:val="24"/>
          <w:szCs w:val="24"/>
          <w:lang w:eastAsia="en-GB"/>
        </w:rPr>
        <w:t xml:space="preserve">coupled with a focus on career ownership and a commitment to lifelong learning can facilitate career sustainability across the lifespan. This aligns with the view that one of the </w:t>
      </w:r>
      <w:r w:rsidR="00C476B2" w:rsidRPr="009B012A">
        <w:rPr>
          <w:rFonts w:ascii="Times New Roman" w:eastAsia="Times New Roman" w:hAnsi="Times New Roman" w:cs="Times New Roman"/>
          <w:sz w:val="24"/>
          <w:szCs w:val="24"/>
          <w:lang w:eastAsia="en-GB"/>
        </w:rPr>
        <w:t>critical</w:t>
      </w:r>
      <w:r w:rsidRPr="009B012A">
        <w:rPr>
          <w:rFonts w:ascii="Times New Roman" w:eastAsia="Times New Roman" w:hAnsi="Times New Roman" w:cs="Times New Roman"/>
          <w:sz w:val="24"/>
          <w:szCs w:val="24"/>
          <w:lang w:eastAsia="en-GB"/>
        </w:rPr>
        <w:t xml:space="preserve"> roles of higher education institutions is to produce confident graduates equipped with an individual agency (Lee, 2019). Thus we focus on </w:t>
      </w:r>
      <w:r w:rsidR="00355D43" w:rsidRPr="009B012A">
        <w:rPr>
          <w:rFonts w:ascii="Times New Roman" w:eastAsia="Times New Roman" w:hAnsi="Times New Roman" w:cs="Times New Roman"/>
          <w:sz w:val="24"/>
          <w:szCs w:val="24"/>
          <w:lang w:eastAsia="en-GB"/>
        </w:rPr>
        <w:t xml:space="preserve">facilitating </w:t>
      </w:r>
      <w:r w:rsidRPr="009B012A">
        <w:rPr>
          <w:rFonts w:ascii="Times New Roman" w:eastAsia="Times New Roman" w:hAnsi="Times New Roman" w:cs="Times New Roman"/>
          <w:sz w:val="24"/>
          <w:szCs w:val="24"/>
          <w:lang w:eastAsia="en-GB"/>
        </w:rPr>
        <w:t xml:space="preserve">career agency </w:t>
      </w:r>
      <w:r w:rsidR="00355D43" w:rsidRPr="009B012A">
        <w:rPr>
          <w:rFonts w:ascii="Times New Roman" w:eastAsia="Times New Roman" w:hAnsi="Times New Roman" w:cs="Times New Roman"/>
          <w:sz w:val="24"/>
          <w:szCs w:val="24"/>
          <w:lang w:eastAsia="en-GB"/>
        </w:rPr>
        <w:t xml:space="preserve">as a way to enhance one’s </w:t>
      </w:r>
      <w:r w:rsidRPr="009B012A">
        <w:rPr>
          <w:rFonts w:ascii="Times New Roman" w:eastAsia="Times New Roman" w:hAnsi="Times New Roman" w:cs="Times New Roman"/>
          <w:sz w:val="24"/>
          <w:szCs w:val="24"/>
          <w:lang w:eastAsia="en-GB"/>
        </w:rPr>
        <w:t>self-perceived employability</w:t>
      </w:r>
      <w:r w:rsidR="00355D43" w:rsidRPr="009B012A">
        <w:rPr>
          <w:rFonts w:ascii="Times New Roman" w:eastAsia="Times New Roman" w:hAnsi="Times New Roman" w:cs="Times New Roman"/>
          <w:sz w:val="24"/>
          <w:szCs w:val="24"/>
          <w:lang w:eastAsia="en-GB"/>
        </w:rPr>
        <w:t xml:space="preserve"> to enable the individual to make informed career decisions (Coetzee and Engelbrecht, 2020) and propose:</w:t>
      </w:r>
    </w:p>
    <w:p w14:paraId="64D10888" w14:textId="1CA11F93" w:rsidR="00512A91" w:rsidRPr="009B012A" w:rsidRDefault="00512A91" w:rsidP="00512A91">
      <w:pPr>
        <w:jc w:val="both"/>
        <w:textAlignment w:val="baseline"/>
        <w:rPr>
          <w:rFonts w:ascii="Times New Roman" w:eastAsia="Times New Roman" w:hAnsi="Times New Roman" w:cs="Times New Roman"/>
          <w:sz w:val="24"/>
          <w:szCs w:val="24"/>
          <w:lang w:eastAsia="en-GB"/>
        </w:rPr>
      </w:pPr>
      <w:r w:rsidRPr="009B012A">
        <w:rPr>
          <w:rFonts w:ascii="Times New Roman" w:eastAsia="Times New Roman" w:hAnsi="Times New Roman" w:cs="Times New Roman"/>
          <w:i/>
          <w:iCs/>
          <w:sz w:val="24"/>
          <w:szCs w:val="24"/>
          <w:lang w:eastAsia="en-GB"/>
        </w:rPr>
        <w:t>Hypothesis Two (H2)</w:t>
      </w:r>
      <w:r w:rsidRPr="009B012A">
        <w:rPr>
          <w:rFonts w:ascii="Times New Roman" w:eastAsia="Times New Roman" w:hAnsi="Times New Roman" w:cs="Times New Roman"/>
          <w:sz w:val="24"/>
          <w:szCs w:val="24"/>
          <w:lang w:eastAsia="en-GB"/>
        </w:rPr>
        <w:t xml:space="preserve">: The self-perceived scores for the ability </w:t>
      </w:r>
      <w:r w:rsidR="00355D43" w:rsidRPr="009B012A">
        <w:rPr>
          <w:rFonts w:ascii="Times New Roman" w:eastAsia="Times New Roman" w:hAnsi="Times New Roman" w:cs="Times New Roman"/>
          <w:sz w:val="24"/>
          <w:szCs w:val="24"/>
          <w:lang w:eastAsia="en-GB"/>
        </w:rPr>
        <w:t>of</w:t>
      </w:r>
      <w:r w:rsidRPr="009B012A">
        <w:rPr>
          <w:rFonts w:ascii="Times New Roman" w:eastAsia="Times New Roman" w:hAnsi="Times New Roman" w:cs="Times New Roman"/>
          <w:sz w:val="24"/>
          <w:szCs w:val="24"/>
          <w:lang w:eastAsia="en-GB"/>
        </w:rPr>
        <w:t xml:space="preserve"> a student to make informed career decisions will be higher following completion of the module.</w:t>
      </w:r>
    </w:p>
    <w:p w14:paraId="42413561" w14:textId="7E14DFB0" w:rsidR="00512A91" w:rsidRPr="009B012A" w:rsidRDefault="00512A91" w:rsidP="00512A91">
      <w:pPr>
        <w:ind w:firstLine="426"/>
        <w:jc w:val="both"/>
        <w:textAlignment w:val="baseline"/>
        <w:rPr>
          <w:rFonts w:ascii="Times New Roman" w:eastAsia="Times New Roman" w:hAnsi="Times New Roman" w:cs="Times New Roman"/>
          <w:sz w:val="24"/>
          <w:szCs w:val="24"/>
          <w:lang w:eastAsia="en-GB"/>
        </w:rPr>
      </w:pPr>
      <w:r w:rsidRPr="009B012A">
        <w:rPr>
          <w:rFonts w:ascii="Times New Roman" w:eastAsia="Times New Roman" w:hAnsi="Times New Roman" w:cs="Times New Roman"/>
          <w:sz w:val="24"/>
          <w:szCs w:val="24"/>
          <w:lang w:eastAsia="en-GB"/>
        </w:rPr>
        <w:t xml:space="preserve">Yet, proactive career ownership relies on the individual to have confidence in their career agency to foster career sustainability (Donald </w:t>
      </w:r>
      <w:r w:rsidRPr="009B012A">
        <w:rPr>
          <w:rFonts w:ascii="Times New Roman" w:eastAsia="Times New Roman" w:hAnsi="Times New Roman" w:cs="Times New Roman"/>
          <w:i/>
          <w:iCs/>
          <w:sz w:val="24"/>
          <w:szCs w:val="24"/>
          <w:lang w:eastAsia="en-GB"/>
        </w:rPr>
        <w:t>et al.</w:t>
      </w:r>
      <w:r w:rsidRPr="009B012A">
        <w:rPr>
          <w:rFonts w:ascii="Times New Roman" w:eastAsia="Times New Roman" w:hAnsi="Times New Roman" w:cs="Times New Roman"/>
          <w:sz w:val="24"/>
          <w:szCs w:val="24"/>
          <w:lang w:eastAsia="en-GB"/>
        </w:rPr>
        <w:t xml:space="preserve">, 2020). The university curriculum has the potential to address pre-existing barriers such as lower levels of human capital and career </w:t>
      </w:r>
      <w:r w:rsidRPr="009B012A">
        <w:rPr>
          <w:rFonts w:ascii="Times New Roman" w:eastAsia="Times New Roman" w:hAnsi="Times New Roman" w:cs="Times New Roman"/>
          <w:sz w:val="24"/>
          <w:szCs w:val="24"/>
          <w:lang w:eastAsia="en-GB"/>
        </w:rPr>
        <w:lastRenderedPageBreak/>
        <w:t xml:space="preserve">ownership in women (Donald </w:t>
      </w:r>
      <w:r w:rsidRPr="009B012A">
        <w:rPr>
          <w:rFonts w:ascii="Times New Roman" w:eastAsia="Times New Roman" w:hAnsi="Times New Roman" w:cs="Times New Roman"/>
          <w:i/>
          <w:iCs/>
          <w:sz w:val="24"/>
          <w:szCs w:val="24"/>
          <w:lang w:eastAsia="en-GB"/>
        </w:rPr>
        <w:t>et al.</w:t>
      </w:r>
      <w:r w:rsidRPr="009B012A">
        <w:rPr>
          <w:rFonts w:ascii="Times New Roman" w:eastAsia="Times New Roman" w:hAnsi="Times New Roman" w:cs="Times New Roman"/>
          <w:sz w:val="24"/>
          <w:szCs w:val="24"/>
          <w:lang w:eastAsia="en-GB"/>
        </w:rPr>
        <w:t>, 2019) and differing levels of social and cultural capital (</w:t>
      </w:r>
      <w:proofErr w:type="spellStart"/>
      <w:r w:rsidRPr="009B012A">
        <w:rPr>
          <w:rFonts w:ascii="Times New Roman" w:eastAsia="Times New Roman" w:hAnsi="Times New Roman" w:cs="Times New Roman"/>
          <w:sz w:val="24"/>
          <w:szCs w:val="24"/>
          <w:lang w:eastAsia="en-GB"/>
        </w:rPr>
        <w:t>Kalfa</w:t>
      </w:r>
      <w:proofErr w:type="spellEnd"/>
      <w:r w:rsidRPr="009B012A">
        <w:rPr>
          <w:rFonts w:ascii="Times New Roman" w:eastAsia="Times New Roman" w:hAnsi="Times New Roman" w:cs="Times New Roman"/>
          <w:sz w:val="24"/>
          <w:szCs w:val="24"/>
          <w:lang w:eastAsia="en-GB"/>
        </w:rPr>
        <w:t xml:space="preserve"> </w:t>
      </w:r>
      <w:r w:rsidR="003438D5" w:rsidRPr="009B012A">
        <w:rPr>
          <w:rFonts w:ascii="Times New Roman" w:eastAsia="Times New Roman" w:hAnsi="Times New Roman" w:cs="Times New Roman"/>
          <w:sz w:val="24"/>
          <w:szCs w:val="24"/>
          <w:lang w:eastAsia="en-GB"/>
        </w:rPr>
        <w:t>and</w:t>
      </w:r>
      <w:r w:rsidRPr="009B012A">
        <w:rPr>
          <w:rFonts w:ascii="Times New Roman" w:eastAsia="Times New Roman" w:hAnsi="Times New Roman" w:cs="Times New Roman"/>
          <w:sz w:val="24"/>
          <w:szCs w:val="24"/>
          <w:lang w:eastAsia="en-GB"/>
        </w:rPr>
        <w:t xml:space="preserve"> </w:t>
      </w:r>
      <w:proofErr w:type="spellStart"/>
      <w:r w:rsidRPr="009B012A">
        <w:rPr>
          <w:rFonts w:ascii="Times New Roman" w:eastAsia="Times New Roman" w:hAnsi="Times New Roman" w:cs="Times New Roman"/>
          <w:sz w:val="24"/>
          <w:szCs w:val="24"/>
          <w:lang w:eastAsia="en-GB"/>
        </w:rPr>
        <w:t>Taksa</w:t>
      </w:r>
      <w:proofErr w:type="spellEnd"/>
      <w:r w:rsidRPr="009B012A">
        <w:rPr>
          <w:rFonts w:ascii="Times New Roman" w:eastAsia="Times New Roman" w:hAnsi="Times New Roman" w:cs="Times New Roman"/>
          <w:sz w:val="24"/>
          <w:szCs w:val="24"/>
          <w:lang w:eastAsia="en-GB"/>
        </w:rPr>
        <w:t>, 2015). Enhancing confidence and networking opportunities are potential ways for higher education institutions to extend the development of human capital and career ownership beyond university borders (</w:t>
      </w:r>
      <w:proofErr w:type="spellStart"/>
      <w:r w:rsidRPr="009B012A">
        <w:rPr>
          <w:rFonts w:ascii="Times New Roman" w:eastAsia="Times New Roman" w:hAnsi="Times New Roman" w:cs="Times New Roman"/>
          <w:sz w:val="24"/>
          <w:szCs w:val="24"/>
          <w:lang w:eastAsia="en-GB"/>
        </w:rPr>
        <w:t>Jakubik</w:t>
      </w:r>
      <w:proofErr w:type="spellEnd"/>
      <w:r w:rsidRPr="009B012A">
        <w:rPr>
          <w:rFonts w:ascii="Times New Roman" w:eastAsia="Times New Roman" w:hAnsi="Times New Roman" w:cs="Times New Roman"/>
          <w:sz w:val="24"/>
          <w:szCs w:val="24"/>
          <w:lang w:eastAsia="en-GB"/>
        </w:rPr>
        <w:t xml:space="preserve">, 2021). The content of the module, the context of employability, and the process of gaining the ability to navigate one’s career also capture how the three aspects of content, context, and process, can enable students to consider their careers and identify relevant work opportunities (Lent </w:t>
      </w:r>
      <w:r w:rsidR="003438D5" w:rsidRPr="009B012A">
        <w:rPr>
          <w:rFonts w:ascii="Times New Roman" w:eastAsia="Times New Roman" w:hAnsi="Times New Roman" w:cs="Times New Roman"/>
          <w:sz w:val="24"/>
          <w:szCs w:val="24"/>
          <w:lang w:eastAsia="en-GB"/>
        </w:rPr>
        <w:t>and</w:t>
      </w:r>
      <w:r w:rsidRPr="009B012A">
        <w:rPr>
          <w:rFonts w:ascii="Times New Roman" w:eastAsia="Times New Roman" w:hAnsi="Times New Roman" w:cs="Times New Roman"/>
          <w:sz w:val="24"/>
          <w:szCs w:val="24"/>
          <w:lang w:eastAsia="en-GB"/>
        </w:rPr>
        <w:t xml:space="preserve"> Brown, 2020). Thus we focus on the ability </w:t>
      </w:r>
      <w:r w:rsidR="00355D43" w:rsidRPr="009B012A">
        <w:rPr>
          <w:rFonts w:ascii="Times New Roman" w:eastAsia="Times New Roman" w:hAnsi="Times New Roman" w:cs="Times New Roman"/>
          <w:sz w:val="24"/>
          <w:szCs w:val="24"/>
          <w:lang w:eastAsia="en-GB"/>
        </w:rPr>
        <w:t>of</w:t>
      </w:r>
      <w:r w:rsidRPr="009B012A">
        <w:rPr>
          <w:rFonts w:ascii="Times New Roman" w:eastAsia="Times New Roman" w:hAnsi="Times New Roman" w:cs="Times New Roman"/>
          <w:sz w:val="24"/>
          <w:szCs w:val="24"/>
          <w:lang w:eastAsia="en-GB"/>
        </w:rPr>
        <w:t xml:space="preserve"> a student to find </w:t>
      </w:r>
      <w:r w:rsidR="00C476B2" w:rsidRPr="009B012A">
        <w:rPr>
          <w:rFonts w:ascii="Times New Roman" w:eastAsia="Times New Roman" w:hAnsi="Times New Roman" w:cs="Times New Roman"/>
          <w:sz w:val="24"/>
          <w:szCs w:val="24"/>
          <w:lang w:eastAsia="en-GB"/>
        </w:rPr>
        <w:t>suitable</w:t>
      </w:r>
      <w:r w:rsidRPr="009B012A">
        <w:rPr>
          <w:rFonts w:ascii="Times New Roman" w:eastAsia="Times New Roman" w:hAnsi="Times New Roman" w:cs="Times New Roman"/>
          <w:sz w:val="24"/>
          <w:szCs w:val="24"/>
          <w:lang w:eastAsia="en-GB"/>
        </w:rPr>
        <w:t xml:space="preserve"> work opportunities as part of their self-perceived employability and propose:</w:t>
      </w:r>
    </w:p>
    <w:p w14:paraId="5AA99A43" w14:textId="1D5AF50A" w:rsidR="00512A91" w:rsidRPr="009B012A" w:rsidRDefault="00512A91" w:rsidP="00512A91">
      <w:pPr>
        <w:jc w:val="both"/>
        <w:textAlignment w:val="baseline"/>
        <w:rPr>
          <w:rFonts w:ascii="Times New Roman" w:eastAsia="Times New Roman" w:hAnsi="Times New Roman" w:cs="Times New Roman"/>
          <w:sz w:val="24"/>
          <w:szCs w:val="24"/>
          <w:lang w:eastAsia="en-GB"/>
        </w:rPr>
      </w:pPr>
      <w:r w:rsidRPr="009B012A">
        <w:rPr>
          <w:rFonts w:ascii="Times New Roman" w:eastAsia="Times New Roman" w:hAnsi="Times New Roman" w:cs="Times New Roman"/>
          <w:i/>
          <w:iCs/>
          <w:sz w:val="24"/>
          <w:szCs w:val="24"/>
          <w:lang w:eastAsia="en-GB"/>
        </w:rPr>
        <w:t>Hypothesis Three (H3)</w:t>
      </w:r>
      <w:r w:rsidRPr="009B012A">
        <w:rPr>
          <w:rFonts w:ascii="Times New Roman" w:eastAsia="Times New Roman" w:hAnsi="Times New Roman" w:cs="Times New Roman"/>
          <w:sz w:val="24"/>
          <w:szCs w:val="24"/>
          <w:lang w:eastAsia="en-GB"/>
        </w:rPr>
        <w:t xml:space="preserve">: The self-perceived scores for the ability </w:t>
      </w:r>
      <w:r w:rsidR="00355D43" w:rsidRPr="009B012A">
        <w:rPr>
          <w:rFonts w:ascii="Times New Roman" w:eastAsia="Times New Roman" w:hAnsi="Times New Roman" w:cs="Times New Roman"/>
          <w:sz w:val="24"/>
          <w:szCs w:val="24"/>
          <w:lang w:eastAsia="en-GB"/>
        </w:rPr>
        <w:t>of</w:t>
      </w:r>
      <w:r w:rsidRPr="009B012A">
        <w:rPr>
          <w:rFonts w:ascii="Times New Roman" w:eastAsia="Times New Roman" w:hAnsi="Times New Roman" w:cs="Times New Roman"/>
          <w:sz w:val="24"/>
          <w:szCs w:val="24"/>
          <w:lang w:eastAsia="en-GB"/>
        </w:rPr>
        <w:t xml:space="preserve"> a student to find relevant work opportunities will be higher following completion of the module. </w:t>
      </w:r>
    </w:p>
    <w:p w14:paraId="378FD5E1" w14:textId="5D9EF2C9" w:rsidR="00512A91" w:rsidRPr="009B012A" w:rsidRDefault="00355D43" w:rsidP="00355D43">
      <w:pPr>
        <w:ind w:firstLine="426"/>
        <w:jc w:val="both"/>
        <w:textAlignment w:val="baseline"/>
        <w:rPr>
          <w:rFonts w:ascii="Times New Roman" w:eastAsia="Times New Roman" w:hAnsi="Times New Roman" w:cs="Times New Roman"/>
          <w:sz w:val="24"/>
          <w:szCs w:val="24"/>
          <w:lang w:eastAsia="en-GB"/>
        </w:rPr>
      </w:pPr>
      <w:r w:rsidRPr="009B012A">
        <w:rPr>
          <w:rFonts w:ascii="Times New Roman" w:eastAsia="Times New Roman" w:hAnsi="Times New Roman" w:cs="Times New Roman"/>
          <w:sz w:val="24"/>
          <w:szCs w:val="24"/>
          <w:lang w:eastAsia="en-GB"/>
        </w:rPr>
        <w:t xml:space="preserve">The definition of self-perceived employability stated earlier by Rothwell and Arnold (2007) captures the notion that an individual </w:t>
      </w:r>
      <w:r w:rsidR="00C476B2" w:rsidRPr="009B012A">
        <w:rPr>
          <w:rFonts w:ascii="Times New Roman" w:eastAsia="Times New Roman" w:hAnsi="Times New Roman" w:cs="Times New Roman"/>
          <w:sz w:val="24"/>
          <w:szCs w:val="24"/>
          <w:lang w:eastAsia="en-GB"/>
        </w:rPr>
        <w:t>can obtain the desired job and subsequently keep</w:t>
      </w:r>
      <w:r w:rsidRPr="009B012A">
        <w:rPr>
          <w:rFonts w:ascii="Times New Roman" w:eastAsia="Times New Roman" w:hAnsi="Times New Roman" w:cs="Times New Roman"/>
          <w:sz w:val="24"/>
          <w:szCs w:val="24"/>
          <w:lang w:eastAsia="en-GB"/>
        </w:rPr>
        <w:t xml:space="preserve"> that job. This highlights the link between self-perceived employability and employability as the ability for individuals to be capable of showcasing their suitability for a role to a potential employer (</w:t>
      </w:r>
      <w:r w:rsidR="00512A91" w:rsidRPr="009B012A">
        <w:rPr>
          <w:rFonts w:ascii="Times New Roman" w:eastAsia="Times New Roman" w:hAnsi="Times New Roman" w:cs="Times New Roman"/>
          <w:sz w:val="24"/>
          <w:szCs w:val="24"/>
          <w:lang w:eastAsia="en-GB"/>
        </w:rPr>
        <w:t xml:space="preserve">Small </w:t>
      </w:r>
      <w:r w:rsidR="00512A91" w:rsidRPr="009B012A">
        <w:rPr>
          <w:rFonts w:ascii="Times New Roman" w:eastAsia="Times New Roman" w:hAnsi="Times New Roman" w:cs="Times New Roman"/>
          <w:i/>
          <w:iCs/>
          <w:sz w:val="24"/>
          <w:szCs w:val="24"/>
          <w:lang w:eastAsia="en-GB"/>
        </w:rPr>
        <w:t>et al.</w:t>
      </w:r>
      <w:r w:rsidRPr="009B012A">
        <w:rPr>
          <w:rFonts w:ascii="Times New Roman" w:eastAsia="Times New Roman" w:hAnsi="Times New Roman" w:cs="Times New Roman"/>
          <w:sz w:val="24"/>
          <w:szCs w:val="24"/>
          <w:lang w:eastAsia="en-GB"/>
        </w:rPr>
        <w:t>,</w:t>
      </w:r>
      <w:r w:rsidR="00512A91" w:rsidRPr="009B012A">
        <w:rPr>
          <w:rFonts w:ascii="Times New Roman" w:eastAsia="Times New Roman" w:hAnsi="Times New Roman" w:cs="Times New Roman"/>
          <w:sz w:val="24"/>
          <w:szCs w:val="24"/>
          <w:lang w:eastAsia="en-GB"/>
        </w:rPr>
        <w:t xml:space="preserve"> 2018)</w:t>
      </w:r>
      <w:r w:rsidRPr="009B012A">
        <w:rPr>
          <w:rFonts w:ascii="Times New Roman" w:eastAsia="Times New Roman" w:hAnsi="Times New Roman" w:cs="Times New Roman"/>
          <w:sz w:val="24"/>
          <w:szCs w:val="24"/>
          <w:lang w:eastAsia="en-GB"/>
        </w:rPr>
        <w:t>.</w:t>
      </w:r>
      <w:r w:rsidR="00512A91" w:rsidRPr="009B012A">
        <w:rPr>
          <w:rFonts w:ascii="Times New Roman" w:eastAsia="Times New Roman" w:hAnsi="Times New Roman" w:cs="Times New Roman"/>
          <w:sz w:val="24"/>
          <w:szCs w:val="24"/>
          <w:lang w:eastAsia="en-GB"/>
        </w:rPr>
        <w:t xml:space="preserve"> Knowledge of the recruitment process can be coupled with the development of different types of capital</w:t>
      </w:r>
      <w:r w:rsidRPr="009B012A">
        <w:rPr>
          <w:rFonts w:ascii="Times New Roman" w:eastAsia="Times New Roman" w:hAnsi="Times New Roman" w:cs="Times New Roman"/>
          <w:sz w:val="24"/>
          <w:szCs w:val="24"/>
          <w:lang w:eastAsia="en-GB"/>
        </w:rPr>
        <w:t xml:space="preserve"> (e.g. social, cultural, psychological, scholastic, market-value, and skills)</w:t>
      </w:r>
      <w:r w:rsidR="00512A91" w:rsidRPr="009B012A">
        <w:rPr>
          <w:rFonts w:ascii="Times New Roman" w:eastAsia="Times New Roman" w:hAnsi="Times New Roman" w:cs="Times New Roman"/>
          <w:sz w:val="24"/>
          <w:szCs w:val="24"/>
          <w:lang w:eastAsia="en-GB"/>
        </w:rPr>
        <w:t xml:space="preserve"> to provide an individual with the confidence to facilitate the operationalisation of their resources (Donald </w:t>
      </w:r>
      <w:r w:rsidR="00512A91" w:rsidRPr="009B012A">
        <w:rPr>
          <w:rFonts w:ascii="Times New Roman" w:eastAsia="Times New Roman" w:hAnsi="Times New Roman" w:cs="Times New Roman"/>
          <w:i/>
          <w:iCs/>
          <w:sz w:val="24"/>
          <w:szCs w:val="24"/>
          <w:lang w:eastAsia="en-GB"/>
        </w:rPr>
        <w:t>et al.</w:t>
      </w:r>
      <w:r w:rsidR="00512A91" w:rsidRPr="009B012A">
        <w:rPr>
          <w:rFonts w:ascii="Times New Roman" w:eastAsia="Times New Roman" w:hAnsi="Times New Roman" w:cs="Times New Roman"/>
          <w:sz w:val="24"/>
          <w:szCs w:val="24"/>
          <w:lang w:eastAsia="en-GB"/>
        </w:rPr>
        <w:t>, 2019</w:t>
      </w:r>
      <w:r w:rsidRPr="009B012A">
        <w:rPr>
          <w:rFonts w:ascii="Times New Roman" w:eastAsia="Times New Roman" w:hAnsi="Times New Roman" w:cs="Times New Roman"/>
          <w:sz w:val="24"/>
          <w:szCs w:val="24"/>
          <w:lang w:eastAsia="en-GB"/>
        </w:rPr>
        <w:t xml:space="preserve">; </w:t>
      </w:r>
      <w:proofErr w:type="spellStart"/>
      <w:r w:rsidRPr="009B012A">
        <w:rPr>
          <w:rFonts w:ascii="Times New Roman" w:eastAsia="Times New Roman" w:hAnsi="Times New Roman" w:cs="Times New Roman"/>
          <w:sz w:val="24"/>
          <w:szCs w:val="24"/>
          <w:lang w:eastAsia="en-GB"/>
        </w:rPr>
        <w:t>Nimmi</w:t>
      </w:r>
      <w:proofErr w:type="spellEnd"/>
      <w:r w:rsidRPr="009B012A">
        <w:rPr>
          <w:rFonts w:ascii="Times New Roman" w:eastAsia="Times New Roman" w:hAnsi="Times New Roman" w:cs="Times New Roman"/>
          <w:sz w:val="24"/>
          <w:szCs w:val="24"/>
          <w:lang w:eastAsia="en-GB"/>
        </w:rPr>
        <w:t xml:space="preserve"> </w:t>
      </w:r>
      <w:r w:rsidRPr="009B012A">
        <w:rPr>
          <w:rFonts w:ascii="Times New Roman" w:eastAsia="Times New Roman" w:hAnsi="Times New Roman" w:cs="Times New Roman"/>
          <w:i/>
          <w:iCs/>
          <w:sz w:val="24"/>
          <w:szCs w:val="24"/>
          <w:lang w:eastAsia="en-GB"/>
        </w:rPr>
        <w:t>et al.</w:t>
      </w:r>
      <w:r w:rsidRPr="009B012A">
        <w:rPr>
          <w:rFonts w:ascii="Times New Roman" w:eastAsia="Times New Roman" w:hAnsi="Times New Roman" w:cs="Times New Roman"/>
          <w:sz w:val="24"/>
          <w:szCs w:val="24"/>
          <w:lang w:eastAsia="en-GB"/>
        </w:rPr>
        <w:t>, 2021</w:t>
      </w:r>
      <w:r w:rsidR="00512A91" w:rsidRPr="009B012A">
        <w:rPr>
          <w:rFonts w:ascii="Times New Roman" w:eastAsia="Times New Roman" w:hAnsi="Times New Roman" w:cs="Times New Roman"/>
          <w:sz w:val="24"/>
          <w:szCs w:val="24"/>
          <w:lang w:eastAsia="en-GB"/>
        </w:rPr>
        <w:t xml:space="preserve">). For example, an individual can draw on these resources to construct a narrative of employability to signal to potential employers their ability to undertake relevant work opportunities (Tomlinson </w:t>
      </w:r>
      <w:r w:rsidR="003438D5" w:rsidRPr="009B012A">
        <w:rPr>
          <w:rFonts w:ascii="Times New Roman" w:eastAsia="Times New Roman" w:hAnsi="Times New Roman" w:cs="Times New Roman"/>
          <w:sz w:val="24"/>
          <w:szCs w:val="24"/>
          <w:lang w:eastAsia="en-GB"/>
        </w:rPr>
        <w:t>and</w:t>
      </w:r>
      <w:r w:rsidR="00512A91" w:rsidRPr="009B012A">
        <w:rPr>
          <w:rFonts w:ascii="Times New Roman" w:eastAsia="Times New Roman" w:hAnsi="Times New Roman" w:cs="Times New Roman"/>
          <w:sz w:val="24"/>
          <w:szCs w:val="24"/>
          <w:lang w:eastAsia="en-GB"/>
        </w:rPr>
        <w:t xml:space="preserve"> Anderson, 2021). Thus we focus on knowledge of the recruitment process as a crucial construct of self-perceived employability and propose:  </w:t>
      </w:r>
    </w:p>
    <w:p w14:paraId="240CF4E7" w14:textId="77777777" w:rsidR="00512A91" w:rsidRPr="009B012A" w:rsidRDefault="00512A91" w:rsidP="00512A91">
      <w:pPr>
        <w:jc w:val="both"/>
        <w:textAlignment w:val="baseline"/>
        <w:rPr>
          <w:rFonts w:ascii="Times New Roman" w:eastAsia="Times New Roman" w:hAnsi="Times New Roman" w:cs="Times New Roman"/>
          <w:sz w:val="24"/>
          <w:szCs w:val="24"/>
          <w:lang w:eastAsia="en-GB"/>
        </w:rPr>
      </w:pPr>
      <w:r w:rsidRPr="009B012A">
        <w:rPr>
          <w:rFonts w:ascii="Times New Roman" w:eastAsia="Times New Roman" w:hAnsi="Times New Roman" w:cs="Times New Roman"/>
          <w:i/>
          <w:iCs/>
          <w:sz w:val="24"/>
          <w:szCs w:val="24"/>
          <w:lang w:eastAsia="en-GB"/>
        </w:rPr>
        <w:t>Hypothesis Four (H4)</w:t>
      </w:r>
      <w:r w:rsidRPr="009B012A">
        <w:rPr>
          <w:rFonts w:ascii="Times New Roman" w:eastAsia="Times New Roman" w:hAnsi="Times New Roman" w:cs="Times New Roman"/>
          <w:sz w:val="24"/>
          <w:szCs w:val="24"/>
          <w:lang w:eastAsia="en-GB"/>
        </w:rPr>
        <w:t xml:space="preserve">: The self-perceived scores for knowledge of the recruitment process will be higher following completion of the module. </w:t>
      </w:r>
    </w:p>
    <w:p w14:paraId="201C056E" w14:textId="77777777" w:rsidR="00512A91" w:rsidRPr="009B012A" w:rsidRDefault="00512A91" w:rsidP="00512A91">
      <w:pPr>
        <w:ind w:firstLine="426"/>
        <w:jc w:val="both"/>
        <w:textAlignment w:val="baseline"/>
        <w:rPr>
          <w:rFonts w:ascii="Times New Roman" w:eastAsia="Times New Roman" w:hAnsi="Times New Roman" w:cs="Times New Roman"/>
          <w:sz w:val="24"/>
          <w:szCs w:val="24"/>
          <w:lang w:eastAsia="en-GB"/>
        </w:rPr>
      </w:pPr>
      <w:r w:rsidRPr="009B012A">
        <w:rPr>
          <w:rFonts w:ascii="Times New Roman" w:eastAsia="Times New Roman" w:hAnsi="Times New Roman" w:cs="Times New Roman"/>
          <w:sz w:val="24"/>
          <w:szCs w:val="24"/>
          <w:lang w:eastAsia="en-GB"/>
        </w:rPr>
        <w:lastRenderedPageBreak/>
        <w:t>Taken together, we also propose:</w:t>
      </w:r>
    </w:p>
    <w:p w14:paraId="6E0919AF" w14:textId="0B31E3C0" w:rsidR="00512A91" w:rsidRPr="009B012A" w:rsidRDefault="00512A91" w:rsidP="00512A91">
      <w:pPr>
        <w:jc w:val="both"/>
        <w:textAlignment w:val="baseline"/>
        <w:rPr>
          <w:rFonts w:ascii="Times New Roman" w:eastAsia="Times New Roman" w:hAnsi="Times New Roman" w:cs="Times New Roman"/>
          <w:sz w:val="24"/>
          <w:szCs w:val="24"/>
          <w:lang w:eastAsia="en-GB"/>
        </w:rPr>
      </w:pPr>
      <w:r w:rsidRPr="009B012A">
        <w:rPr>
          <w:rFonts w:ascii="Times New Roman" w:eastAsia="Times New Roman" w:hAnsi="Times New Roman" w:cs="Times New Roman"/>
          <w:i/>
          <w:iCs/>
          <w:sz w:val="24"/>
          <w:szCs w:val="24"/>
          <w:lang w:eastAsia="en-GB"/>
        </w:rPr>
        <w:t>Hypothesis Five (H5)</w:t>
      </w:r>
      <w:r w:rsidRPr="009B012A">
        <w:rPr>
          <w:rFonts w:ascii="Times New Roman" w:eastAsia="Times New Roman" w:hAnsi="Times New Roman" w:cs="Times New Roman"/>
          <w:sz w:val="24"/>
          <w:szCs w:val="24"/>
          <w:lang w:eastAsia="en-GB"/>
        </w:rPr>
        <w:t xml:space="preserve">: The self-perceived scores for the composite 4-item scale (H1-H4) will be higher following completion of the module. </w:t>
      </w:r>
    </w:p>
    <w:p w14:paraId="13FAFF97" w14:textId="1F2BF83C" w:rsidR="00355D43" w:rsidRPr="009B012A" w:rsidRDefault="00355D43" w:rsidP="00512A91">
      <w:pPr>
        <w:jc w:val="both"/>
        <w:textAlignment w:val="baseline"/>
        <w:rPr>
          <w:rFonts w:ascii="Times New Roman" w:eastAsia="Times New Roman" w:hAnsi="Times New Roman" w:cs="Times New Roman"/>
          <w:sz w:val="24"/>
          <w:szCs w:val="24"/>
          <w:lang w:eastAsia="en-GB"/>
        </w:rPr>
      </w:pPr>
    </w:p>
    <w:p w14:paraId="00EFC48D" w14:textId="673C2E60" w:rsidR="00512A91" w:rsidRPr="009B012A" w:rsidRDefault="00512A91" w:rsidP="00512A91">
      <w:pPr>
        <w:jc w:val="both"/>
        <w:rPr>
          <w:rFonts w:ascii="Times New Roman" w:hAnsi="Times New Roman" w:cs="Times New Roman"/>
          <w:b/>
          <w:bCs/>
          <w:i/>
          <w:iCs/>
          <w:sz w:val="24"/>
          <w:szCs w:val="24"/>
          <w:lang w:val="en-US"/>
        </w:rPr>
      </w:pPr>
      <w:r w:rsidRPr="009B012A">
        <w:rPr>
          <w:rFonts w:ascii="Times New Roman" w:hAnsi="Times New Roman" w:cs="Times New Roman"/>
          <w:b/>
          <w:bCs/>
          <w:i/>
          <w:iCs/>
          <w:sz w:val="24"/>
          <w:szCs w:val="24"/>
          <w:lang w:val="en-US"/>
        </w:rPr>
        <w:t>The Global Marketing Professional Module</w:t>
      </w:r>
    </w:p>
    <w:p w14:paraId="50DE1CCF" w14:textId="52110628" w:rsidR="008F2D2A" w:rsidRPr="009B012A" w:rsidRDefault="00512A91" w:rsidP="008F2D2A">
      <w:pPr>
        <w:pStyle w:val="bodytextGJSD"/>
        <w:spacing w:after="0" w:line="480" w:lineRule="auto"/>
      </w:pPr>
      <w:r w:rsidRPr="009B012A">
        <w:t>‘The Global Marketing Professional’ module is a compulsory module</w:t>
      </w:r>
      <w:r w:rsidR="008F2D2A" w:rsidRPr="009B012A">
        <w:t xml:space="preserve"> delivered </w:t>
      </w:r>
      <w:r w:rsidR="007D0D03" w:rsidRPr="009B012A">
        <w:t xml:space="preserve">by two senior academics from the field of Management </w:t>
      </w:r>
      <w:r w:rsidR="008F2D2A" w:rsidRPr="009B012A">
        <w:t xml:space="preserve">in semester one of a year-long programme as part of the full-time postgraduate Master’s degree in International Marketing Management. The module was specifically designed to ensure that students understand the professional competencies required for non-linear graduate careers before considering </w:t>
      </w:r>
      <w:r w:rsidR="0082486A" w:rsidRPr="009B012A">
        <w:t>career thinking and planning elements</w:t>
      </w:r>
      <w:r w:rsidR="008F2D2A" w:rsidRPr="009B012A">
        <w:t xml:space="preserve">. The </w:t>
      </w:r>
      <w:r w:rsidR="0082486A" w:rsidRPr="009B012A">
        <w:t>module’s design</w:t>
      </w:r>
      <w:r w:rsidR="008F2D2A" w:rsidRPr="009B012A">
        <w:t xml:space="preserve"> considered and included the principles of internationalising higher education, particularly in the curriculum and the application and analysis of professional practices and knowledge in other countries (Advance HE, 2020). </w:t>
      </w:r>
    </w:p>
    <w:p w14:paraId="7ADA04B7" w14:textId="7AA7B084" w:rsidR="008F2D2A" w:rsidRPr="009B012A" w:rsidRDefault="008F2D2A" w:rsidP="009E2CF3">
      <w:pPr>
        <w:pStyle w:val="bodytextGJSD"/>
        <w:spacing w:after="0" w:line="480" w:lineRule="auto"/>
        <w:ind w:firstLine="426"/>
      </w:pPr>
      <w:r w:rsidRPr="009B012A">
        <w:rPr>
          <w:rFonts w:eastAsia="Times New Roman"/>
          <w:lang w:eastAsia="en-GB"/>
        </w:rPr>
        <w:t>The Global Marketing Professional module offers an innovative approach to raising the systematic value of human capital as a means for career sustainability via educational investment, transformation, and output due to the mandatory nature of the module within the Master’s course.</w:t>
      </w:r>
      <w:r w:rsidR="00E978D6" w:rsidRPr="009B012A">
        <w:rPr>
          <w:rFonts w:eastAsia="Times New Roman"/>
          <w:lang w:eastAsia="en-GB"/>
        </w:rPr>
        <w:t xml:space="preserve"> The approach builds on the notion that the curriculum can facilitate career success by enhancing the self-perceived employability of students (</w:t>
      </w:r>
      <w:bookmarkStart w:id="5" w:name="_Hlk103198253"/>
      <w:r w:rsidR="00E978D6" w:rsidRPr="009B012A">
        <w:rPr>
          <w:rFonts w:eastAsia="Times New Roman"/>
          <w:lang w:eastAsia="en-GB"/>
        </w:rPr>
        <w:t xml:space="preserve">Gu </w:t>
      </w:r>
      <w:r w:rsidR="00E978D6" w:rsidRPr="009B012A">
        <w:rPr>
          <w:rFonts w:eastAsia="Times New Roman"/>
          <w:i/>
          <w:iCs/>
          <w:lang w:eastAsia="en-GB"/>
        </w:rPr>
        <w:t>et al.</w:t>
      </w:r>
      <w:r w:rsidR="00E978D6" w:rsidRPr="009B012A">
        <w:rPr>
          <w:rFonts w:eastAsia="Times New Roman"/>
          <w:lang w:eastAsia="en-GB"/>
        </w:rPr>
        <w:t>, 2018</w:t>
      </w:r>
      <w:bookmarkEnd w:id="5"/>
      <w:r w:rsidR="00E978D6" w:rsidRPr="009B012A">
        <w:rPr>
          <w:rFonts w:eastAsia="Times New Roman"/>
          <w:lang w:eastAsia="en-GB"/>
        </w:rPr>
        <w:t>).</w:t>
      </w:r>
      <w:r w:rsidRPr="009B012A">
        <w:rPr>
          <w:rFonts w:eastAsia="Times New Roman"/>
          <w:lang w:eastAsia="en-GB"/>
        </w:rPr>
        <w:t xml:space="preserve"> Typically, modules addressing employability are either run by the careers service separate from the degree studied or are offered as an optional module. However, such approaches are often problematic since students who would benefit the most from participation are often least likely to attend or participate (Donald </w:t>
      </w:r>
      <w:r w:rsidRPr="009B012A">
        <w:rPr>
          <w:rFonts w:eastAsia="Times New Roman"/>
          <w:i/>
          <w:iCs/>
          <w:lang w:eastAsia="en-GB"/>
        </w:rPr>
        <w:t>et al.</w:t>
      </w:r>
      <w:r w:rsidRPr="009B012A">
        <w:rPr>
          <w:rFonts w:eastAsia="Times New Roman"/>
          <w:lang w:eastAsia="en-GB"/>
        </w:rPr>
        <w:t>, 2018).</w:t>
      </w:r>
      <w:r w:rsidR="00E978D6" w:rsidRPr="009B012A">
        <w:rPr>
          <w:rFonts w:eastAsia="Times New Roman"/>
          <w:lang w:eastAsia="en-GB"/>
        </w:rPr>
        <w:t xml:space="preserve"> </w:t>
      </w:r>
    </w:p>
    <w:p w14:paraId="2C89CFDF" w14:textId="6EB0283F" w:rsidR="008F2D2A" w:rsidRPr="009B012A" w:rsidRDefault="008F2D2A" w:rsidP="009E2CF3">
      <w:pPr>
        <w:pStyle w:val="bodytextGJSD"/>
        <w:spacing w:after="0" w:line="480" w:lineRule="auto"/>
        <w:ind w:firstLine="426"/>
      </w:pPr>
      <w:r w:rsidRPr="009B012A">
        <w:t xml:space="preserve">Moreover, over 95% of the students participating in the module </w:t>
      </w:r>
      <w:r w:rsidR="0082486A" w:rsidRPr="009B012A">
        <w:t>were</w:t>
      </w:r>
      <w:r w:rsidRPr="009B012A">
        <w:t xml:space="preserve"> international students. This is significant since increasing self-perceived employability, developing human capital, and preparing for a sustainable career </w:t>
      </w:r>
      <w:r w:rsidR="0082486A" w:rsidRPr="009B012A">
        <w:t>have been the critical drivers</w:t>
      </w:r>
      <w:r w:rsidRPr="009B012A">
        <w:t xml:space="preserve"> for studying abroad </w:t>
      </w:r>
      <w:r w:rsidRPr="009B012A">
        <w:lastRenderedPageBreak/>
        <w:t>(</w:t>
      </w:r>
      <w:bookmarkStart w:id="6" w:name="_Hlk103198261"/>
      <w:r w:rsidRPr="009B012A">
        <w:t>Soares and Mosquera, 2020</w:t>
      </w:r>
      <w:bookmarkEnd w:id="6"/>
      <w:r w:rsidRPr="009B012A">
        <w:t>). The module sought to address the challenges of a global skills shortage and the skills mismatch phenomenon (</w:t>
      </w:r>
      <w:proofErr w:type="spellStart"/>
      <w:r w:rsidRPr="009B012A">
        <w:t>Draissi</w:t>
      </w:r>
      <w:proofErr w:type="spellEnd"/>
      <w:r w:rsidRPr="009B012A">
        <w:t xml:space="preserve"> </w:t>
      </w:r>
      <w:r w:rsidRPr="009B012A">
        <w:rPr>
          <w:i/>
          <w:iCs/>
        </w:rPr>
        <w:t>et al.</w:t>
      </w:r>
      <w:r w:rsidRPr="009B012A">
        <w:t xml:space="preserve">, 2022). For example, by helping students experience alternative views and perspectives of employability and allowing them to embrace intercultural citizenship (Baker and Fang, 2021). Additionally, fostering a sense of career agency and encouraging a proactive approach to </w:t>
      </w:r>
      <w:r w:rsidR="0082486A" w:rsidRPr="009B012A">
        <w:t>managing</w:t>
      </w:r>
      <w:r w:rsidRPr="009B012A">
        <w:t xml:space="preserve"> one’s career has been shown to enhance self-perceived employability and the ability to adapt</w:t>
      </w:r>
      <w:r w:rsidR="0082486A" w:rsidRPr="009B012A">
        <w:t>,</w:t>
      </w:r>
      <w:r w:rsidRPr="009B012A">
        <w:t xml:space="preserve"> which is crucial for career sustainability over time (Coetzee and Engelbrecht, 20</w:t>
      </w:r>
      <w:r w:rsidR="00AD3B9A" w:rsidRPr="009B012A">
        <w:t>20</w:t>
      </w:r>
      <w:r w:rsidRPr="009B012A">
        <w:t>). Our study, therefore, addresses calls to explore a gap in the literature at the intersection of internationalisation, employability, and the international student experience (</w:t>
      </w:r>
      <w:proofErr w:type="spellStart"/>
      <w:r w:rsidRPr="009B012A">
        <w:t>Fakunle</w:t>
      </w:r>
      <w:proofErr w:type="spellEnd"/>
      <w:r w:rsidRPr="009B012A">
        <w:t>, 2021).</w:t>
      </w:r>
    </w:p>
    <w:p w14:paraId="7C4400FF" w14:textId="77777777" w:rsidR="008F2D2A" w:rsidRPr="009B012A" w:rsidRDefault="008F2D2A" w:rsidP="008F2D2A">
      <w:pPr>
        <w:pStyle w:val="bodytextGJSD"/>
        <w:spacing w:after="0" w:line="480" w:lineRule="auto"/>
        <w:ind w:firstLine="426"/>
        <w:rPr>
          <w:rFonts w:eastAsia="Times New Roman"/>
          <w:lang w:eastAsia="en-GB"/>
        </w:rPr>
      </w:pPr>
      <w:r w:rsidRPr="009B012A">
        <w:rPr>
          <w:rFonts w:eastAsia="Times New Roman"/>
          <w:lang w:eastAsia="en-GB"/>
        </w:rPr>
        <w:t>The module was composed of the following five components: (</w:t>
      </w:r>
      <w:proofErr w:type="spellStart"/>
      <w:r w:rsidRPr="009B012A">
        <w:rPr>
          <w:rFonts w:eastAsia="Times New Roman"/>
          <w:lang w:eastAsia="en-GB"/>
        </w:rPr>
        <w:t>i</w:t>
      </w:r>
      <w:proofErr w:type="spellEnd"/>
      <w:r w:rsidRPr="009B012A">
        <w:rPr>
          <w:rFonts w:eastAsia="Times New Roman"/>
          <w:lang w:eastAsia="en-GB"/>
        </w:rPr>
        <w:t>) working with others and interpersonal communication, (ii) business communications and presenting work with impact, (iii) commercial awareness and building professional networks, (iv) emotional intelligence and resilience, and (v) career planning and employability. The assessment strategy had two components. The first assessment required students to develop a video CV based on their choice from one of twenty job descriptions of typical graduate level roles. The second assessment was a two-thousand-word reflective journal where students were required to critically reflect on three out of five professional competencies addressed in the module. Evidence of how they drew conclusions about their performance was also expected.</w:t>
      </w:r>
    </w:p>
    <w:p w14:paraId="37458443" w14:textId="0F2C162A" w:rsidR="00512A91" w:rsidRPr="009B012A" w:rsidRDefault="00512A91" w:rsidP="008F2D2A">
      <w:pPr>
        <w:pStyle w:val="bodytextGJSD"/>
        <w:spacing w:after="0" w:line="480" w:lineRule="auto"/>
        <w:ind w:firstLine="426"/>
        <w:rPr>
          <w:rFonts w:eastAsia="Times New Roman"/>
          <w:lang w:eastAsia="en-GB"/>
        </w:rPr>
      </w:pPr>
      <w:r w:rsidRPr="009B012A">
        <w:t>Weekly lectures took place online</w:t>
      </w:r>
      <w:r w:rsidR="0082486A" w:rsidRPr="009B012A">
        <w:t>,</w:t>
      </w:r>
      <w:r w:rsidRPr="009B012A">
        <w:t xml:space="preserve"> whilst weekly seminars took place </w:t>
      </w:r>
      <w:r w:rsidR="0082486A" w:rsidRPr="009B012A">
        <w:t>in person</w:t>
      </w:r>
      <w:r w:rsidRPr="009B012A">
        <w:t xml:space="preserve">. </w:t>
      </w:r>
      <w:r w:rsidRPr="009B012A">
        <w:rPr>
          <w:rFonts w:eastAsia="Times New Roman"/>
          <w:lang w:eastAsia="en-GB"/>
        </w:rPr>
        <w:t>Pedagogically, flipped learning approaches were used as much as possible to allow employability congruence (</w:t>
      </w:r>
      <w:r w:rsidR="00EF57B4" w:rsidRPr="009B012A">
        <w:rPr>
          <w:rFonts w:eastAsia="Times New Roman"/>
          <w:lang w:eastAsia="en-GB"/>
        </w:rPr>
        <w:t>Selvaratnam, 2021</w:t>
      </w:r>
      <w:r w:rsidRPr="009B012A">
        <w:rPr>
          <w:rFonts w:eastAsia="Times New Roman"/>
          <w:lang w:eastAsia="en-GB"/>
        </w:rPr>
        <w:t xml:space="preserve">). For example, students analysed their Belbin Team Roles, Hofstede’s Cultural Insights, and Big Five Personality Types. In-person seminars were then provided to complement the online lectures as part of a hybrid approach to enable students to explore and debate what this meant for them individually and working in international teams as graduates. </w:t>
      </w:r>
    </w:p>
    <w:bookmarkEnd w:id="0"/>
    <w:bookmarkEnd w:id="2"/>
    <w:p w14:paraId="1EB02940" w14:textId="46A9FA37" w:rsidR="00646F20" w:rsidRPr="009B012A" w:rsidRDefault="00646F20" w:rsidP="00646F20">
      <w:pPr>
        <w:rPr>
          <w:rFonts w:ascii="Times New Roman" w:hAnsi="Times New Roman" w:cs="Times New Roman"/>
          <w:b/>
          <w:sz w:val="24"/>
          <w:szCs w:val="24"/>
          <w:lang w:val="en-US"/>
        </w:rPr>
      </w:pPr>
      <w:r w:rsidRPr="009B012A">
        <w:rPr>
          <w:rFonts w:ascii="Times New Roman" w:hAnsi="Times New Roman" w:cs="Times New Roman"/>
          <w:b/>
          <w:sz w:val="24"/>
          <w:szCs w:val="24"/>
          <w:lang w:val="en-US"/>
        </w:rPr>
        <w:lastRenderedPageBreak/>
        <w:t>Methods</w:t>
      </w:r>
    </w:p>
    <w:p w14:paraId="44AD5BA7" w14:textId="75D7C0AF" w:rsidR="00646F20" w:rsidRPr="009B012A" w:rsidRDefault="00512A91" w:rsidP="00646F20">
      <w:pPr>
        <w:jc w:val="both"/>
        <w:rPr>
          <w:rFonts w:ascii="Times New Roman" w:hAnsi="Times New Roman" w:cs="Times New Roman"/>
          <w:b/>
          <w:bCs/>
          <w:i/>
          <w:iCs/>
          <w:sz w:val="24"/>
          <w:szCs w:val="24"/>
          <w:lang w:val="en-US"/>
        </w:rPr>
      </w:pPr>
      <w:r w:rsidRPr="009B012A">
        <w:rPr>
          <w:rFonts w:ascii="Times New Roman" w:hAnsi="Times New Roman" w:cs="Times New Roman"/>
          <w:b/>
          <w:bCs/>
          <w:i/>
          <w:iCs/>
          <w:sz w:val="24"/>
          <w:szCs w:val="24"/>
          <w:lang w:val="en-US"/>
        </w:rPr>
        <w:t>Participants and Process</w:t>
      </w:r>
    </w:p>
    <w:p w14:paraId="6AA0FE64" w14:textId="16A7D540" w:rsidR="00355D43" w:rsidRPr="009B012A" w:rsidRDefault="00512A91" w:rsidP="00355D43">
      <w:pPr>
        <w:pStyle w:val="bodytextGJSD"/>
        <w:spacing w:after="0" w:line="480" w:lineRule="auto"/>
        <w:rPr>
          <w:color w:val="000000"/>
        </w:rPr>
      </w:pPr>
      <w:r w:rsidRPr="009B012A">
        <w:rPr>
          <w:color w:val="000000"/>
        </w:rPr>
        <w:t>Eighty students studying a full-time Master’s degree in International Marketing Management at a northern Russel Group university</w:t>
      </w:r>
      <w:r w:rsidR="00F3629C" w:rsidRPr="009B012A">
        <w:rPr>
          <w:color w:val="000000"/>
        </w:rPr>
        <w:t xml:space="preserve"> in the United Kingdom</w:t>
      </w:r>
      <w:r w:rsidRPr="009B012A">
        <w:rPr>
          <w:color w:val="000000"/>
        </w:rPr>
        <w:t xml:space="preserve"> participated in ‘The Global Marketing Professional’</w:t>
      </w:r>
      <w:r w:rsidR="00F3629C" w:rsidRPr="009B012A">
        <w:rPr>
          <w:color w:val="000000"/>
        </w:rPr>
        <w:t xml:space="preserve"> module</w:t>
      </w:r>
      <w:r w:rsidRPr="009B012A">
        <w:rPr>
          <w:color w:val="000000"/>
        </w:rPr>
        <w:t xml:space="preserve">. </w:t>
      </w:r>
      <w:r w:rsidR="00355D43" w:rsidRPr="009B012A">
        <w:rPr>
          <w:color w:val="000000"/>
        </w:rPr>
        <w:t>The gender split of participants in the module was 63</w:t>
      </w:r>
      <w:r w:rsidR="00F3629C" w:rsidRPr="009B012A">
        <w:rPr>
          <w:color w:val="000000"/>
        </w:rPr>
        <w:t xml:space="preserve"> per cent</w:t>
      </w:r>
      <w:r w:rsidR="00355D43" w:rsidRPr="009B012A">
        <w:rPr>
          <w:color w:val="000000"/>
        </w:rPr>
        <w:t xml:space="preserve"> female and 37</w:t>
      </w:r>
      <w:r w:rsidR="00F3629C" w:rsidRPr="009B012A">
        <w:rPr>
          <w:color w:val="000000"/>
        </w:rPr>
        <w:t xml:space="preserve"> per cent</w:t>
      </w:r>
      <w:r w:rsidR="00355D43" w:rsidRPr="009B012A">
        <w:rPr>
          <w:color w:val="000000"/>
        </w:rPr>
        <w:t xml:space="preserve"> male. Over 95</w:t>
      </w:r>
      <w:r w:rsidR="00F3629C" w:rsidRPr="009B012A">
        <w:rPr>
          <w:color w:val="000000"/>
        </w:rPr>
        <w:t xml:space="preserve"> per cent</w:t>
      </w:r>
      <w:r w:rsidR="00355D43" w:rsidRPr="009B012A">
        <w:rPr>
          <w:color w:val="000000"/>
        </w:rPr>
        <w:t xml:space="preserve"> of the cohort were international students from countries across Asia, Europe, and Africa. The students held undergraduate degrees in the field of Management but had limited work experience and had often failed to engage with career support services offered during their undergraduate or Master’s studies. However, attendance rates for students participating in the compulsory module were excellent (exceeding 95 per cent)</w:t>
      </w:r>
      <w:r w:rsidR="00F3629C" w:rsidRPr="009B012A">
        <w:rPr>
          <w:color w:val="000000"/>
        </w:rPr>
        <w:t>,</w:t>
      </w:r>
      <w:r w:rsidR="00355D43" w:rsidRPr="009B012A">
        <w:rPr>
          <w:color w:val="000000"/>
        </w:rPr>
        <w:t xml:space="preserve"> suggesting that reported changes in self-perceived employability at the start and end of the module could be reasonably attributed to the module itself.</w:t>
      </w:r>
    </w:p>
    <w:p w14:paraId="64405D7D" w14:textId="54FA1B62" w:rsidR="00E15002" w:rsidRPr="009B012A" w:rsidRDefault="00512A91" w:rsidP="009E2CF3">
      <w:pPr>
        <w:pStyle w:val="bodytextGJSD"/>
        <w:spacing w:after="0" w:line="480" w:lineRule="auto"/>
        <w:ind w:firstLine="426"/>
        <w:rPr>
          <w:color w:val="000000"/>
        </w:rPr>
      </w:pPr>
      <w:r w:rsidRPr="009B012A">
        <w:rPr>
          <w:color w:val="000000"/>
        </w:rPr>
        <w:t>Data were collected during semester one of the 2021/2022 academic year via a two-wave study design using a questionnaire in week one and week nine of the module.</w:t>
      </w:r>
      <w:r w:rsidR="00EF57B4" w:rsidRPr="009B012A">
        <w:rPr>
          <w:color w:val="000000"/>
        </w:rPr>
        <w:t xml:space="preserve"> </w:t>
      </w:r>
      <w:bookmarkStart w:id="7" w:name="_Hlk103188121"/>
      <w:r w:rsidR="00EF57B4" w:rsidRPr="009B012A">
        <w:rPr>
          <w:color w:val="000000"/>
        </w:rPr>
        <w:t>Ethics approval was obtained via the institution where the study took place</w:t>
      </w:r>
      <w:r w:rsidR="00F3629C" w:rsidRPr="009B012A">
        <w:rPr>
          <w:color w:val="000000"/>
        </w:rPr>
        <w:t>. Students were provided with an information sheet and asked to provide informed consent before participating</w:t>
      </w:r>
      <w:bookmarkEnd w:id="7"/>
      <w:r w:rsidR="00EF57B4" w:rsidRPr="009B012A">
        <w:rPr>
          <w:color w:val="000000"/>
        </w:rPr>
        <w:t xml:space="preserve">. </w:t>
      </w:r>
      <w:r w:rsidRPr="009B012A">
        <w:rPr>
          <w:color w:val="000000"/>
        </w:rPr>
        <w:t xml:space="preserve">All eighty students enrolled in the module participated in both </w:t>
      </w:r>
      <w:r w:rsidR="00F3629C" w:rsidRPr="009B012A">
        <w:rPr>
          <w:color w:val="000000"/>
        </w:rPr>
        <w:t>study waves</w:t>
      </w:r>
      <w:r w:rsidRPr="009B012A">
        <w:rPr>
          <w:color w:val="000000"/>
        </w:rPr>
        <w:t>.</w:t>
      </w:r>
      <w:r w:rsidR="00355D43" w:rsidRPr="009B012A">
        <w:rPr>
          <w:color w:val="000000"/>
        </w:rPr>
        <w:t xml:space="preserve"> Each student completed the wave-one questionnaire in week one of the module at the start of the class and subsequently completed the wave-two questionnaire in week nine at the end of the </w:t>
      </w:r>
      <w:r w:rsidR="0073628B" w:rsidRPr="009B012A">
        <w:rPr>
          <w:color w:val="000000"/>
        </w:rPr>
        <w:t>course</w:t>
      </w:r>
      <w:r w:rsidR="00355D43" w:rsidRPr="009B012A">
        <w:rPr>
          <w:color w:val="000000"/>
        </w:rPr>
        <w:t>. Participants accessed and completed the questionnaires via online links since the COVID-19 pandemic prohibited the lecture parts of the module from taking place in person.</w:t>
      </w:r>
    </w:p>
    <w:p w14:paraId="50DE4E6E" w14:textId="77777777" w:rsidR="00355D43" w:rsidRPr="009B012A" w:rsidRDefault="00355D43" w:rsidP="00355D43">
      <w:pPr>
        <w:pStyle w:val="bodytextGJSD"/>
        <w:spacing w:after="0" w:line="480" w:lineRule="auto"/>
        <w:rPr>
          <w:i/>
          <w:iCs/>
          <w:lang w:val="en-US"/>
        </w:rPr>
      </w:pPr>
    </w:p>
    <w:p w14:paraId="58A21E51" w14:textId="77777777" w:rsidR="00355D43" w:rsidRPr="009B012A" w:rsidRDefault="00355D43">
      <w:pPr>
        <w:suppressAutoHyphens w:val="0"/>
        <w:spacing w:after="160" w:line="259" w:lineRule="auto"/>
        <w:rPr>
          <w:rFonts w:ascii="Times New Roman" w:hAnsi="Times New Roman" w:cs="Times New Roman"/>
          <w:b/>
          <w:bCs/>
          <w:i/>
          <w:iCs/>
          <w:sz w:val="24"/>
          <w:szCs w:val="24"/>
          <w:lang w:val="en-US"/>
        </w:rPr>
      </w:pPr>
      <w:r w:rsidRPr="009B012A">
        <w:rPr>
          <w:rFonts w:ascii="Times New Roman" w:hAnsi="Times New Roman" w:cs="Times New Roman"/>
          <w:b/>
          <w:bCs/>
          <w:i/>
          <w:iCs/>
          <w:sz w:val="24"/>
          <w:szCs w:val="24"/>
          <w:lang w:val="en-US"/>
        </w:rPr>
        <w:br w:type="page"/>
      </w:r>
    </w:p>
    <w:p w14:paraId="12D3D529" w14:textId="50835008" w:rsidR="00512A91" w:rsidRPr="009B012A" w:rsidRDefault="00512A91" w:rsidP="00512A91">
      <w:pPr>
        <w:jc w:val="both"/>
        <w:rPr>
          <w:rFonts w:ascii="Times New Roman" w:hAnsi="Times New Roman" w:cs="Times New Roman"/>
          <w:b/>
          <w:bCs/>
          <w:i/>
          <w:iCs/>
          <w:sz w:val="24"/>
          <w:szCs w:val="24"/>
          <w:lang w:val="en-US"/>
        </w:rPr>
      </w:pPr>
      <w:r w:rsidRPr="009B012A">
        <w:rPr>
          <w:rFonts w:ascii="Times New Roman" w:hAnsi="Times New Roman" w:cs="Times New Roman"/>
          <w:b/>
          <w:bCs/>
          <w:i/>
          <w:iCs/>
          <w:sz w:val="24"/>
          <w:szCs w:val="24"/>
          <w:lang w:val="en-US"/>
        </w:rPr>
        <w:lastRenderedPageBreak/>
        <w:t>Measures</w:t>
      </w:r>
    </w:p>
    <w:p w14:paraId="3632C727" w14:textId="4F348531" w:rsidR="00355D43" w:rsidRPr="009B012A" w:rsidRDefault="00512A91" w:rsidP="00512A91">
      <w:pPr>
        <w:pStyle w:val="NormalWeb"/>
        <w:spacing w:before="0" w:beforeAutospacing="0" w:after="0" w:afterAutospacing="0" w:line="480" w:lineRule="auto"/>
        <w:jc w:val="both"/>
      </w:pPr>
      <w:r w:rsidRPr="009B012A">
        <w:rPr>
          <w:color w:val="000000"/>
        </w:rPr>
        <w:t>The wave-one questionnaire instrument was composed of closed-ended questions</w:t>
      </w:r>
      <w:r w:rsidR="00355D43" w:rsidRPr="009B012A">
        <w:rPr>
          <w:color w:val="000000"/>
        </w:rPr>
        <w:t xml:space="preserve">. The first section asked for </w:t>
      </w:r>
      <w:r w:rsidRPr="009B012A">
        <w:rPr>
          <w:color w:val="000000"/>
        </w:rPr>
        <w:t>a ‘yes’ or ‘no’ response to ascertain at the start of the module whether the participant had: (</w:t>
      </w:r>
      <w:proofErr w:type="spellStart"/>
      <w:r w:rsidRPr="009B012A">
        <w:rPr>
          <w:color w:val="000000"/>
        </w:rPr>
        <w:t>i</w:t>
      </w:r>
      <w:proofErr w:type="spellEnd"/>
      <w:r w:rsidRPr="009B012A">
        <w:rPr>
          <w:color w:val="000000"/>
        </w:rPr>
        <w:t xml:space="preserve">) a CV that they were confident would get them an interview, (ii) an awareness of any additional certifications to </w:t>
      </w:r>
      <w:r w:rsidRPr="009B012A">
        <w:t>demonstrate their employability to an employer, and (iii) a LinkedIn presence to help them network. Next, participants were asked to report how confident they felt about their self-perceived employability. Responses were collected via a five-point Likert scale (1=extremely unconfident, 2=somewhat unconfident, 3=neutral, 4=somewhat confident, and 5=extremely confident). The final section of the wave-one questionnaire asked participants to rate how confident they felt regarding the following four topics: (</w:t>
      </w:r>
      <w:proofErr w:type="spellStart"/>
      <w:r w:rsidRPr="009B012A">
        <w:t>i</w:t>
      </w:r>
      <w:proofErr w:type="spellEnd"/>
      <w:r w:rsidRPr="009B012A">
        <w:t>) knowledge about what they can do with their degree, (ii) ability to make informed career decisions, (iii) ability to find relevant opportunities (such as part-time work, placements, volunteering or graduate roles), and (iv) knowledge about the recruitment process. This used the same 5-point Likert scale</w:t>
      </w:r>
      <w:r w:rsidR="00355D43" w:rsidRPr="009B012A">
        <w:t>. The wave-two questionnaire repeated the final section of closed-</w:t>
      </w:r>
      <w:r w:rsidR="0073628B" w:rsidRPr="009B012A">
        <w:t xml:space="preserve">ended </w:t>
      </w:r>
      <w:r w:rsidR="00355D43" w:rsidRPr="009B012A">
        <w:t xml:space="preserve">questions from the wave-one questionnaire to </w:t>
      </w:r>
      <w:r w:rsidR="0073628B" w:rsidRPr="009B012A">
        <w:t>compare</w:t>
      </w:r>
      <w:r w:rsidR="00355D43" w:rsidRPr="009B012A">
        <w:t xml:space="preserve"> self-perceived change over the nine weeks of the module. Cronbach alpha scores at the four-item scale level were .86 and .84</w:t>
      </w:r>
      <w:r w:rsidR="0073628B" w:rsidRPr="009B012A">
        <w:t>,</w:t>
      </w:r>
      <w:r w:rsidR="00355D43" w:rsidRPr="009B012A">
        <w:t xml:space="preserve"> respectively. The wave-two questionnaire also had two open-ended questions </w:t>
      </w:r>
      <w:r w:rsidR="0073628B" w:rsidRPr="009B012A">
        <w:t xml:space="preserve">relating to </w:t>
      </w:r>
      <w:r w:rsidR="00355D43" w:rsidRPr="009B012A">
        <w:t>self-perceived employability and professional learning. Students were asked to report (</w:t>
      </w:r>
      <w:proofErr w:type="spellStart"/>
      <w:r w:rsidR="00355D43" w:rsidRPr="009B012A">
        <w:t>i</w:t>
      </w:r>
      <w:proofErr w:type="spellEnd"/>
      <w:r w:rsidR="00355D43" w:rsidRPr="009B012A">
        <w:t>) their perceived benefits of participation in the module and (ii) opportunities for improving the module for future student cohorts.</w:t>
      </w:r>
    </w:p>
    <w:p w14:paraId="0E89CD3C" w14:textId="77777777" w:rsidR="00512A91" w:rsidRPr="009B012A" w:rsidRDefault="00512A91" w:rsidP="00512A91">
      <w:pPr>
        <w:pStyle w:val="NormalWeb"/>
        <w:spacing w:before="0" w:beforeAutospacing="0" w:after="0" w:afterAutospacing="0" w:line="480" w:lineRule="auto"/>
        <w:jc w:val="both"/>
      </w:pPr>
    </w:p>
    <w:p w14:paraId="5793295F" w14:textId="0459C6F5" w:rsidR="00512A91" w:rsidRPr="009B012A" w:rsidRDefault="00512A91" w:rsidP="00512A91">
      <w:pPr>
        <w:jc w:val="both"/>
        <w:rPr>
          <w:rFonts w:ascii="Times New Roman" w:hAnsi="Times New Roman" w:cs="Times New Roman"/>
          <w:b/>
          <w:bCs/>
          <w:i/>
          <w:iCs/>
          <w:sz w:val="24"/>
          <w:szCs w:val="24"/>
          <w:lang w:val="en-US"/>
        </w:rPr>
      </w:pPr>
      <w:r w:rsidRPr="009B012A">
        <w:rPr>
          <w:rFonts w:ascii="Times New Roman" w:hAnsi="Times New Roman" w:cs="Times New Roman"/>
          <w:b/>
          <w:bCs/>
          <w:i/>
          <w:iCs/>
          <w:sz w:val="24"/>
          <w:szCs w:val="24"/>
          <w:lang w:val="en-US"/>
        </w:rPr>
        <w:t>Analysis</w:t>
      </w:r>
    </w:p>
    <w:p w14:paraId="643B4DF8" w14:textId="6D0E19E9" w:rsidR="00512A91" w:rsidRPr="009B012A" w:rsidRDefault="00512A91" w:rsidP="00512A91">
      <w:pPr>
        <w:pStyle w:val="NormalWeb"/>
        <w:spacing w:before="0" w:beforeAutospacing="0" w:after="0" w:afterAutospacing="0" w:line="480" w:lineRule="auto"/>
        <w:jc w:val="both"/>
      </w:pPr>
      <w:r w:rsidRPr="009B012A">
        <w:t>All</w:t>
      </w:r>
      <w:r w:rsidR="0073628B" w:rsidRPr="009B012A">
        <w:t xml:space="preserve"> of the</w:t>
      </w:r>
      <w:r w:rsidRPr="009B012A">
        <w:t xml:space="preserve"> data from the closed-ended questions were loaded into SPSS v28, coded, and descriptive statistics were run. Subsequently, item and composite scale correlations and Paired </w:t>
      </w:r>
      <w:r w:rsidRPr="009B012A">
        <w:lastRenderedPageBreak/>
        <w:t xml:space="preserve">Samples T-Tests were conducted on the 4-item scale for waves one and two. This addressed RQ1. </w:t>
      </w:r>
    </w:p>
    <w:p w14:paraId="522AFE6E" w14:textId="0BF2CE7F" w:rsidR="00512A91" w:rsidRPr="009B012A" w:rsidRDefault="00512A91" w:rsidP="00512A91">
      <w:pPr>
        <w:pStyle w:val="NormalWeb"/>
        <w:spacing w:before="0" w:beforeAutospacing="0" w:after="0" w:afterAutospacing="0" w:line="480" w:lineRule="auto"/>
        <w:ind w:firstLine="426"/>
        <w:jc w:val="both"/>
      </w:pPr>
      <w:r w:rsidRPr="009B012A">
        <w:t>Next, the data from the open-ended questions were loaded into Microsoft Excel</w:t>
      </w:r>
      <w:r w:rsidR="0073628B" w:rsidRPr="009B012A">
        <w:t>,</w:t>
      </w:r>
      <w:r w:rsidRPr="009B012A">
        <w:t xml:space="preserve"> with each participant ID represented by a single row. One tab included the comments related to the benefits of the module (RQ2)</w:t>
      </w:r>
      <w:r w:rsidR="00F63922" w:rsidRPr="009B012A">
        <w:t>,</w:t>
      </w:r>
      <w:r w:rsidRPr="009B012A">
        <w:t xml:space="preserve"> and another tab </w:t>
      </w:r>
      <w:r w:rsidR="00F63922" w:rsidRPr="009B012A">
        <w:t>had</w:t>
      </w:r>
      <w:r w:rsidRPr="009B012A">
        <w:t xml:space="preserve"> the comments related to improvement opportunities (RQ3). The responses were then coded</w:t>
      </w:r>
      <w:r w:rsidR="00F63922" w:rsidRPr="009B012A">
        <w:t>,</w:t>
      </w:r>
      <w:r w:rsidRPr="009B012A">
        <w:t xml:space="preserve"> whereby each time a new code was generated</w:t>
      </w:r>
      <w:r w:rsidR="00F63922" w:rsidRPr="009B012A">
        <w:t>,</w:t>
      </w:r>
      <w:r w:rsidRPr="009B012A">
        <w:t xml:space="preserve"> this was captured as a new column heading. The number ‘1’ was then placed in the relevant column based on the code represented and</w:t>
      </w:r>
      <w:r w:rsidR="00F63922" w:rsidRPr="009B012A">
        <w:t xml:space="preserve"> </w:t>
      </w:r>
      <w:r w:rsidRPr="009B012A">
        <w:t>the corresponding row based on the participant ID. Once all data were coded</w:t>
      </w:r>
      <w:r w:rsidR="00F63922" w:rsidRPr="009B012A">
        <w:t>,</w:t>
      </w:r>
      <w:r w:rsidRPr="009B012A">
        <w:t xml:space="preserve"> the number ‘1’s in each column were added together to provide a total score for each code. A </w:t>
      </w:r>
      <w:r w:rsidR="00F63922" w:rsidRPr="009B012A">
        <w:t>complete</w:t>
      </w:r>
      <w:r w:rsidRPr="009B012A">
        <w:t xml:space="preserve"> list of codes and corresponding counts and percentages </w:t>
      </w:r>
      <w:r w:rsidR="0082486A" w:rsidRPr="009B012A">
        <w:t>was subsequently presented</w:t>
      </w:r>
      <w:r w:rsidR="00355D43" w:rsidRPr="009B012A">
        <w:t xml:space="preserve"> with a </w:t>
      </w:r>
      <w:r w:rsidR="007D0D03" w:rsidRPr="009B012A">
        <w:t xml:space="preserve">quantitative </w:t>
      </w:r>
      <w:r w:rsidR="00355D43" w:rsidRPr="009B012A">
        <w:t>content analysis approach (</w:t>
      </w:r>
      <w:r w:rsidR="0082486A" w:rsidRPr="009B012A">
        <w:t xml:space="preserve">Donald, 2022; </w:t>
      </w:r>
      <w:proofErr w:type="spellStart"/>
      <w:r w:rsidR="00355D43" w:rsidRPr="009B012A">
        <w:t>Krippendorff</w:t>
      </w:r>
      <w:proofErr w:type="spellEnd"/>
      <w:r w:rsidR="00355D43" w:rsidRPr="009B012A">
        <w:t>, 1989).</w:t>
      </w:r>
    </w:p>
    <w:p w14:paraId="3A4936D2" w14:textId="25C8E20B" w:rsidR="00355D43" w:rsidRPr="009B012A" w:rsidRDefault="00355D43" w:rsidP="00512A91">
      <w:pPr>
        <w:pStyle w:val="NormalWeb"/>
        <w:spacing w:before="0" w:beforeAutospacing="0" w:after="0" w:afterAutospacing="0" w:line="480" w:lineRule="auto"/>
        <w:ind w:firstLine="426"/>
        <w:jc w:val="both"/>
      </w:pPr>
    </w:p>
    <w:p w14:paraId="449CC24D" w14:textId="4FB2B1D8" w:rsidR="003C2093" w:rsidRPr="009B012A" w:rsidRDefault="00512A91" w:rsidP="003C2093">
      <w:pPr>
        <w:rPr>
          <w:rFonts w:ascii="Times New Roman" w:hAnsi="Times New Roman" w:cs="Times New Roman"/>
          <w:b/>
          <w:sz w:val="24"/>
          <w:szCs w:val="24"/>
          <w:lang w:val="en-US"/>
        </w:rPr>
      </w:pPr>
      <w:bookmarkStart w:id="8" w:name="_Hlk72175908"/>
      <w:bookmarkEnd w:id="3"/>
      <w:r w:rsidRPr="009B012A">
        <w:rPr>
          <w:rFonts w:ascii="Times New Roman" w:hAnsi="Times New Roman" w:cs="Times New Roman"/>
          <w:b/>
          <w:sz w:val="24"/>
          <w:szCs w:val="24"/>
          <w:lang w:val="en-US"/>
        </w:rPr>
        <w:t>Results</w:t>
      </w:r>
    </w:p>
    <w:p w14:paraId="52DA4283" w14:textId="4A883189" w:rsidR="00646F20" w:rsidRPr="009B012A" w:rsidRDefault="00512A91" w:rsidP="00646F20">
      <w:pPr>
        <w:rPr>
          <w:rFonts w:ascii="Times New Roman" w:hAnsi="Times New Roman" w:cs="Times New Roman"/>
          <w:b/>
          <w:i/>
          <w:iCs/>
          <w:sz w:val="24"/>
          <w:szCs w:val="24"/>
          <w:lang w:val="en-US"/>
        </w:rPr>
      </w:pPr>
      <w:r w:rsidRPr="009B012A">
        <w:rPr>
          <w:rFonts w:ascii="Times New Roman" w:hAnsi="Times New Roman" w:cs="Times New Roman"/>
          <w:b/>
          <w:i/>
          <w:iCs/>
          <w:sz w:val="24"/>
          <w:szCs w:val="24"/>
          <w:lang w:val="en-US"/>
        </w:rPr>
        <w:t>Descriptive Statistics (RQ1)</w:t>
      </w:r>
    </w:p>
    <w:p w14:paraId="492D7417" w14:textId="2FC84AFC" w:rsidR="00512A91" w:rsidRPr="009B012A" w:rsidRDefault="00512A91" w:rsidP="0054298F">
      <w:pPr>
        <w:jc w:val="both"/>
        <w:rPr>
          <w:rFonts w:ascii="Times New Roman" w:hAnsi="Times New Roman" w:cs="Times New Roman"/>
          <w:sz w:val="24"/>
          <w:szCs w:val="24"/>
        </w:rPr>
      </w:pPr>
      <w:bookmarkStart w:id="9" w:name="_Hlk103267225"/>
      <w:r w:rsidRPr="009B012A">
        <w:rPr>
          <w:rFonts w:ascii="Times New Roman" w:hAnsi="Times New Roman" w:cs="Times New Roman"/>
          <w:sz w:val="24"/>
          <w:szCs w:val="24"/>
        </w:rPr>
        <w:t xml:space="preserve">The Global Marketing Professional module appeared to be </w:t>
      </w:r>
      <w:r w:rsidR="00F63922" w:rsidRPr="009B012A">
        <w:rPr>
          <w:rFonts w:ascii="Times New Roman" w:hAnsi="Times New Roman" w:cs="Times New Roman"/>
          <w:sz w:val="24"/>
          <w:szCs w:val="24"/>
        </w:rPr>
        <w:t>exceptionally</w:t>
      </w:r>
      <w:r w:rsidRPr="009B012A">
        <w:rPr>
          <w:rFonts w:ascii="Times New Roman" w:hAnsi="Times New Roman" w:cs="Times New Roman"/>
          <w:sz w:val="24"/>
          <w:szCs w:val="24"/>
        </w:rPr>
        <w:t xml:space="preserve"> well received by students. At the start of the module</w:t>
      </w:r>
      <w:r w:rsidR="00F63922" w:rsidRPr="009B012A">
        <w:rPr>
          <w:rFonts w:ascii="Times New Roman" w:hAnsi="Times New Roman" w:cs="Times New Roman"/>
          <w:sz w:val="24"/>
          <w:szCs w:val="24"/>
        </w:rPr>
        <w:t>,</w:t>
      </w:r>
      <w:r w:rsidRPr="009B012A">
        <w:rPr>
          <w:rFonts w:ascii="Times New Roman" w:hAnsi="Times New Roman" w:cs="Times New Roman"/>
          <w:sz w:val="24"/>
          <w:szCs w:val="24"/>
        </w:rPr>
        <w:t xml:space="preserve"> 37.50 per cent of students felt confident about their self-perceived employability (mean 2.89, standard deviation 1.147), rising to 92.50 per cent (mean 4.28, standard deviation .636) at the end of the module. Moreover, sixty-nine of the eighty students (86.25 per cent) said that they would recommend the module to other students, nine students (11.25 per cent) said they might recommend the module, whilst only two students (2.50 per cent) would not recommend the module. Additionally, seventy-six of the eighty students (95.00 per cent) said that they either loved (60.00 per cent) or liked (35.00 per cent) the module. Table </w:t>
      </w:r>
      <w:r w:rsidR="0054298F" w:rsidRPr="009B012A">
        <w:rPr>
          <w:rFonts w:ascii="Times New Roman" w:hAnsi="Times New Roman" w:cs="Times New Roman"/>
          <w:sz w:val="24"/>
          <w:szCs w:val="24"/>
        </w:rPr>
        <w:t>I</w:t>
      </w:r>
      <w:r w:rsidRPr="009B012A">
        <w:rPr>
          <w:rFonts w:ascii="Times New Roman" w:hAnsi="Times New Roman" w:cs="Times New Roman"/>
          <w:sz w:val="24"/>
          <w:szCs w:val="24"/>
        </w:rPr>
        <w:t xml:space="preserve"> presents the summary statistics for three questions asked at the start of the module and six questions asked at the end of the module. Each question had a yes or no </w:t>
      </w:r>
      <w:r w:rsidRPr="009B012A">
        <w:rPr>
          <w:rFonts w:ascii="Times New Roman" w:hAnsi="Times New Roman" w:cs="Times New Roman"/>
          <w:sz w:val="24"/>
          <w:szCs w:val="24"/>
        </w:rPr>
        <w:lastRenderedPageBreak/>
        <w:t xml:space="preserve">response option. The </w:t>
      </w:r>
      <w:r w:rsidR="00F63922" w:rsidRPr="009B012A">
        <w:rPr>
          <w:rFonts w:ascii="Times New Roman" w:hAnsi="Times New Roman" w:cs="Times New Roman"/>
          <w:sz w:val="24"/>
          <w:szCs w:val="24"/>
        </w:rPr>
        <w:t>most substantial</w:t>
      </w:r>
      <w:r w:rsidRPr="009B012A">
        <w:rPr>
          <w:rFonts w:ascii="Times New Roman" w:hAnsi="Times New Roman" w:cs="Times New Roman"/>
          <w:sz w:val="24"/>
          <w:szCs w:val="24"/>
        </w:rPr>
        <w:t xml:space="preserve"> impacts of the module appear to relate to the development of a written and video CV, researching for graduate job opportunities, and undertaking additional training or certifications. However, the effects were less in terms of undertaking work experience or volunteering or applying for graduate jobs.</w:t>
      </w:r>
    </w:p>
    <w:p w14:paraId="4710D92D" w14:textId="77777777" w:rsidR="0054298F" w:rsidRPr="009B012A" w:rsidRDefault="00486685" w:rsidP="0054298F">
      <w:pPr>
        <w:jc w:val="center"/>
        <w:rPr>
          <w:rFonts w:ascii="Times New Roman" w:hAnsi="Times New Roman" w:cs="Times New Roman"/>
          <w:sz w:val="24"/>
          <w:szCs w:val="24"/>
          <w:lang w:val="en-US"/>
        </w:rPr>
      </w:pPr>
      <w:r w:rsidRPr="009B012A">
        <w:rPr>
          <w:rFonts w:ascii="Times New Roman" w:hAnsi="Times New Roman" w:cs="Times New Roman"/>
          <w:sz w:val="24"/>
          <w:szCs w:val="24"/>
          <w:lang w:val="en-US"/>
        </w:rPr>
        <w:t xml:space="preserve">INSERT </w:t>
      </w:r>
      <w:r w:rsidR="00512A91" w:rsidRPr="009B012A">
        <w:rPr>
          <w:rFonts w:ascii="Times New Roman" w:hAnsi="Times New Roman" w:cs="Times New Roman"/>
          <w:sz w:val="24"/>
          <w:szCs w:val="24"/>
          <w:lang w:val="en-US"/>
        </w:rPr>
        <w:t xml:space="preserve">TABLE </w:t>
      </w:r>
      <w:r w:rsidRPr="009B012A">
        <w:rPr>
          <w:rFonts w:ascii="Times New Roman" w:hAnsi="Times New Roman" w:cs="Times New Roman"/>
          <w:sz w:val="24"/>
          <w:szCs w:val="24"/>
          <w:lang w:val="en-US"/>
        </w:rPr>
        <w:t>I HERE</w:t>
      </w:r>
    </w:p>
    <w:p w14:paraId="29664C6B" w14:textId="18746D5B" w:rsidR="0054298F" w:rsidRPr="009B012A" w:rsidRDefault="0054298F" w:rsidP="009E2CF3">
      <w:pPr>
        <w:ind w:firstLine="426"/>
        <w:jc w:val="both"/>
        <w:rPr>
          <w:rFonts w:ascii="Times New Roman" w:hAnsi="Times New Roman" w:cs="Times New Roman"/>
          <w:sz w:val="24"/>
          <w:szCs w:val="24"/>
          <w:lang w:val="en-US"/>
        </w:rPr>
      </w:pPr>
      <w:r w:rsidRPr="009B012A">
        <w:rPr>
          <w:rFonts w:ascii="Times New Roman" w:hAnsi="Times New Roman" w:cs="Times New Roman"/>
          <w:sz w:val="24"/>
          <w:szCs w:val="24"/>
        </w:rPr>
        <w:t>Additionally, Table II and Table III provide the descriptive statistics and item correlations for the 4-item composite scale for wave-one at the start of the module and wave-two at the end of the module</w:t>
      </w:r>
      <w:r w:rsidR="00F63922" w:rsidRPr="009B012A">
        <w:rPr>
          <w:rFonts w:ascii="Times New Roman" w:hAnsi="Times New Roman" w:cs="Times New Roman"/>
          <w:sz w:val="24"/>
          <w:szCs w:val="24"/>
        </w:rPr>
        <w:t>,</w:t>
      </w:r>
      <w:r w:rsidRPr="009B012A">
        <w:rPr>
          <w:rFonts w:ascii="Times New Roman" w:hAnsi="Times New Roman" w:cs="Times New Roman"/>
          <w:sz w:val="24"/>
          <w:szCs w:val="24"/>
        </w:rPr>
        <w:t xml:space="preserve"> respectively. The mean scores increased for each of the four items and the composite scale (3.24 to 4.14).</w:t>
      </w:r>
    </w:p>
    <w:p w14:paraId="364C5744" w14:textId="452D56E9" w:rsidR="0054298F" w:rsidRPr="009B012A" w:rsidRDefault="0054298F" w:rsidP="0054298F">
      <w:pPr>
        <w:jc w:val="center"/>
        <w:rPr>
          <w:rFonts w:ascii="Times New Roman" w:hAnsi="Times New Roman" w:cs="Times New Roman"/>
          <w:sz w:val="24"/>
          <w:szCs w:val="24"/>
          <w:lang w:val="en-US"/>
        </w:rPr>
      </w:pPr>
      <w:r w:rsidRPr="009B012A">
        <w:rPr>
          <w:rFonts w:ascii="Times New Roman" w:hAnsi="Times New Roman" w:cs="Times New Roman"/>
          <w:sz w:val="24"/>
          <w:szCs w:val="24"/>
          <w:lang w:val="en-US"/>
        </w:rPr>
        <w:t>INSERT TABLE II HERE</w:t>
      </w:r>
    </w:p>
    <w:p w14:paraId="29BCA5B2" w14:textId="045AAFB9" w:rsidR="0054298F" w:rsidRPr="009B012A" w:rsidRDefault="0054298F" w:rsidP="0054298F">
      <w:pPr>
        <w:jc w:val="center"/>
        <w:rPr>
          <w:rFonts w:ascii="Times New Roman" w:hAnsi="Times New Roman" w:cs="Times New Roman"/>
          <w:sz w:val="24"/>
          <w:szCs w:val="24"/>
          <w:lang w:val="en-US"/>
        </w:rPr>
      </w:pPr>
      <w:r w:rsidRPr="009B012A">
        <w:rPr>
          <w:rFonts w:ascii="Times New Roman" w:hAnsi="Times New Roman" w:cs="Times New Roman"/>
          <w:sz w:val="24"/>
          <w:szCs w:val="24"/>
          <w:lang w:val="en-US"/>
        </w:rPr>
        <w:t>INSERT TABLE III HERE</w:t>
      </w:r>
    </w:p>
    <w:p w14:paraId="4E334F5C" w14:textId="77777777" w:rsidR="0054298F" w:rsidRPr="009B012A" w:rsidRDefault="0054298F" w:rsidP="0054298F">
      <w:pPr>
        <w:rPr>
          <w:rFonts w:ascii="Times New Roman" w:hAnsi="Times New Roman" w:cs="Times New Roman"/>
          <w:b/>
          <w:i/>
          <w:iCs/>
          <w:sz w:val="24"/>
          <w:szCs w:val="24"/>
          <w:lang w:val="en-US"/>
        </w:rPr>
      </w:pPr>
    </w:p>
    <w:p w14:paraId="5A0F3384" w14:textId="25CDB809" w:rsidR="0054298F" w:rsidRPr="009B012A" w:rsidRDefault="0054298F" w:rsidP="0054298F">
      <w:pPr>
        <w:rPr>
          <w:rFonts w:ascii="Times New Roman" w:hAnsi="Times New Roman" w:cs="Times New Roman"/>
          <w:b/>
          <w:i/>
          <w:iCs/>
          <w:sz w:val="24"/>
          <w:szCs w:val="24"/>
          <w:lang w:val="en-US"/>
        </w:rPr>
      </w:pPr>
      <w:r w:rsidRPr="009B012A">
        <w:rPr>
          <w:rFonts w:ascii="Times New Roman" w:hAnsi="Times New Roman" w:cs="Times New Roman"/>
          <w:b/>
          <w:i/>
          <w:iCs/>
          <w:sz w:val="24"/>
          <w:szCs w:val="24"/>
          <w:lang w:val="en-US"/>
        </w:rPr>
        <w:t>Paired Samples T-Tests (RQ1)</w:t>
      </w:r>
    </w:p>
    <w:p w14:paraId="6C6FFF0A" w14:textId="4BCE0DAE" w:rsidR="0054298F" w:rsidRPr="009B012A" w:rsidRDefault="0054298F" w:rsidP="0054298F">
      <w:pPr>
        <w:pStyle w:val="bodytextGJSD"/>
        <w:spacing w:after="0" w:line="480" w:lineRule="auto"/>
      </w:pPr>
      <w:r w:rsidRPr="009B012A">
        <w:t xml:space="preserve">Next, Paired Samples T-tests were conducted to compare the mean scores at the start of the module and following the completion of the module. This captured the person (student), context (the module), and time (week </w:t>
      </w:r>
      <w:r w:rsidR="00F63922" w:rsidRPr="009B012A">
        <w:t>one</w:t>
      </w:r>
      <w:r w:rsidRPr="009B012A">
        <w:t xml:space="preserve"> and week </w:t>
      </w:r>
      <w:r w:rsidR="00F63922" w:rsidRPr="009B012A">
        <w:t>nine</w:t>
      </w:r>
      <w:r w:rsidRPr="009B012A">
        <w:t>) dimensions of sustainable career theory. This test was appropriate given that (</w:t>
      </w:r>
      <w:proofErr w:type="spellStart"/>
      <w:r w:rsidRPr="009B012A">
        <w:t>i</w:t>
      </w:r>
      <w:proofErr w:type="spellEnd"/>
      <w:r w:rsidRPr="009B012A">
        <w:t xml:space="preserve">) the 5-point Likert Scale produced continuous data, (ii) the observations were independent of one another, (iii) the data met the requirements of normal distribution, and (iv) the correlations were significant. </w:t>
      </w:r>
    </w:p>
    <w:p w14:paraId="18AFD5FB" w14:textId="1E376DD1" w:rsidR="0054298F" w:rsidRPr="009B012A" w:rsidRDefault="0054298F" w:rsidP="0054298F">
      <w:pPr>
        <w:jc w:val="center"/>
        <w:rPr>
          <w:rFonts w:ascii="Times New Roman" w:hAnsi="Times New Roman" w:cs="Times New Roman"/>
          <w:sz w:val="24"/>
          <w:szCs w:val="24"/>
          <w:lang w:val="en-US"/>
        </w:rPr>
      </w:pPr>
      <w:r w:rsidRPr="009B012A">
        <w:rPr>
          <w:rFonts w:ascii="Times New Roman" w:hAnsi="Times New Roman" w:cs="Times New Roman"/>
          <w:sz w:val="24"/>
          <w:szCs w:val="24"/>
          <w:lang w:val="en-US"/>
        </w:rPr>
        <w:t>INSERT TABLE IV HERE</w:t>
      </w:r>
    </w:p>
    <w:p w14:paraId="23E716CD" w14:textId="654B021B" w:rsidR="0054298F" w:rsidRPr="009B012A" w:rsidRDefault="0054298F" w:rsidP="0054298F">
      <w:pPr>
        <w:pStyle w:val="bodytextGJSD"/>
        <w:spacing w:after="0" w:line="480" w:lineRule="auto"/>
        <w:ind w:firstLine="420"/>
      </w:pPr>
      <w:r w:rsidRPr="009B012A">
        <w:t xml:space="preserve">The findings in Table IV </w:t>
      </w:r>
      <w:r w:rsidR="00F63922" w:rsidRPr="009B012A">
        <w:t>support</w:t>
      </w:r>
      <w:r w:rsidRPr="009B012A">
        <w:t xml:space="preserve"> H1-H4 that all four individual item-level scores were significantly higher following completion of the module. The </w:t>
      </w:r>
      <w:r w:rsidR="00F63922" w:rsidRPr="009B012A">
        <w:t>results</w:t>
      </w:r>
      <w:r w:rsidRPr="009B012A">
        <w:t xml:space="preserve"> also show support for H5 for the composite scale being significantly higher following completion of the module.</w:t>
      </w:r>
    </w:p>
    <w:p w14:paraId="6DD9455D" w14:textId="77777777" w:rsidR="0054298F" w:rsidRPr="009B012A" w:rsidRDefault="0054298F" w:rsidP="0054298F">
      <w:pPr>
        <w:rPr>
          <w:rFonts w:ascii="Times New Roman" w:hAnsi="Times New Roman" w:cs="Times New Roman"/>
          <w:b/>
          <w:i/>
          <w:iCs/>
          <w:sz w:val="24"/>
          <w:szCs w:val="24"/>
          <w:lang w:val="en-US"/>
        </w:rPr>
      </w:pPr>
    </w:p>
    <w:p w14:paraId="5B8B139C" w14:textId="77777777" w:rsidR="00F63922" w:rsidRPr="009B012A" w:rsidRDefault="00F63922">
      <w:pPr>
        <w:suppressAutoHyphens w:val="0"/>
        <w:spacing w:after="160" w:line="259" w:lineRule="auto"/>
        <w:rPr>
          <w:rFonts w:ascii="Times New Roman" w:hAnsi="Times New Roman" w:cs="Times New Roman"/>
          <w:b/>
          <w:i/>
          <w:iCs/>
          <w:sz w:val="24"/>
          <w:szCs w:val="24"/>
          <w:lang w:val="en-US"/>
        </w:rPr>
      </w:pPr>
      <w:r w:rsidRPr="009B012A">
        <w:rPr>
          <w:rFonts w:ascii="Times New Roman" w:hAnsi="Times New Roman" w:cs="Times New Roman"/>
          <w:b/>
          <w:i/>
          <w:iCs/>
          <w:sz w:val="24"/>
          <w:szCs w:val="24"/>
          <w:lang w:val="en-US"/>
        </w:rPr>
        <w:br w:type="page"/>
      </w:r>
    </w:p>
    <w:p w14:paraId="6EB94527" w14:textId="099CB2FC" w:rsidR="0054298F" w:rsidRPr="009B012A" w:rsidRDefault="0054298F" w:rsidP="0054298F">
      <w:pPr>
        <w:rPr>
          <w:rFonts w:ascii="Times New Roman" w:hAnsi="Times New Roman" w:cs="Times New Roman"/>
          <w:b/>
          <w:i/>
          <w:iCs/>
          <w:sz w:val="24"/>
          <w:szCs w:val="24"/>
          <w:lang w:val="en-US"/>
        </w:rPr>
      </w:pPr>
      <w:r w:rsidRPr="009B012A">
        <w:rPr>
          <w:rFonts w:ascii="Times New Roman" w:hAnsi="Times New Roman" w:cs="Times New Roman"/>
          <w:b/>
          <w:i/>
          <w:iCs/>
          <w:sz w:val="24"/>
          <w:szCs w:val="24"/>
          <w:lang w:val="en-US"/>
        </w:rPr>
        <w:lastRenderedPageBreak/>
        <w:t>Quantitative Content Analysis (RQ2 and RQ3)</w:t>
      </w:r>
    </w:p>
    <w:p w14:paraId="7D934632" w14:textId="4F3566BD" w:rsidR="0054298F" w:rsidRPr="009B012A" w:rsidRDefault="0054298F" w:rsidP="0054298F">
      <w:pPr>
        <w:pStyle w:val="bodytextGJSD"/>
        <w:spacing w:after="0" w:line="480" w:lineRule="auto"/>
      </w:pPr>
      <w:r w:rsidRPr="009B012A">
        <w:t xml:space="preserve">There were </w:t>
      </w:r>
      <w:r w:rsidR="00F63922" w:rsidRPr="009B012A">
        <w:t>seventy-nine combined</w:t>
      </w:r>
      <w:r w:rsidRPr="009B012A">
        <w:t xml:space="preserve"> responses across the two open-ended questions in the wave-two questionnaire. Table V addresses the seventy-three comments related to </w:t>
      </w:r>
      <w:r w:rsidR="00F63922" w:rsidRPr="009B012A">
        <w:t xml:space="preserve">the </w:t>
      </w:r>
      <w:r w:rsidRPr="009B012A">
        <w:t>benefits of participating in the module</w:t>
      </w:r>
      <w:r w:rsidR="00F63922" w:rsidRPr="009B012A">
        <w:t>,</w:t>
      </w:r>
      <w:r w:rsidRPr="009B012A">
        <w:t xml:space="preserve"> whilst Table VI presents the six comments </w:t>
      </w:r>
      <w:r w:rsidR="00F63922" w:rsidRPr="009B012A">
        <w:t>about</w:t>
      </w:r>
      <w:r w:rsidRPr="009B012A">
        <w:t xml:space="preserve"> opportunities for future improvement of the module. </w:t>
      </w:r>
    </w:p>
    <w:p w14:paraId="360E38FF" w14:textId="4820D26B" w:rsidR="0054298F" w:rsidRPr="009B012A" w:rsidRDefault="0054298F" w:rsidP="0054298F">
      <w:pPr>
        <w:jc w:val="center"/>
        <w:rPr>
          <w:rFonts w:ascii="Times New Roman" w:hAnsi="Times New Roman" w:cs="Times New Roman"/>
          <w:sz w:val="24"/>
          <w:szCs w:val="24"/>
          <w:lang w:val="en-US"/>
        </w:rPr>
      </w:pPr>
      <w:r w:rsidRPr="009B012A">
        <w:rPr>
          <w:rFonts w:ascii="Times New Roman" w:hAnsi="Times New Roman" w:cs="Times New Roman"/>
          <w:sz w:val="24"/>
          <w:szCs w:val="24"/>
          <w:lang w:val="en-US"/>
        </w:rPr>
        <w:t>INSERT TABLE V HERE</w:t>
      </w:r>
    </w:p>
    <w:p w14:paraId="5AAD5EF5" w14:textId="46E1CC3B" w:rsidR="0054298F" w:rsidRPr="009B012A" w:rsidRDefault="0054298F" w:rsidP="0054298F">
      <w:pPr>
        <w:jc w:val="center"/>
        <w:rPr>
          <w:rFonts w:ascii="Times New Roman" w:hAnsi="Times New Roman" w:cs="Times New Roman"/>
          <w:sz w:val="24"/>
          <w:szCs w:val="24"/>
          <w:lang w:val="en-US"/>
        </w:rPr>
      </w:pPr>
      <w:r w:rsidRPr="009B012A">
        <w:rPr>
          <w:rFonts w:ascii="Times New Roman" w:hAnsi="Times New Roman" w:cs="Times New Roman"/>
          <w:sz w:val="24"/>
          <w:szCs w:val="24"/>
          <w:lang w:val="en-US"/>
        </w:rPr>
        <w:t>INSERT TABLE VI HERE</w:t>
      </w:r>
    </w:p>
    <w:p w14:paraId="45023C55" w14:textId="0D0154B6" w:rsidR="0054298F" w:rsidRPr="009B012A" w:rsidRDefault="0054298F" w:rsidP="0054298F">
      <w:pPr>
        <w:pStyle w:val="bodytextGJSD"/>
        <w:spacing w:after="0" w:line="480" w:lineRule="auto"/>
        <w:ind w:firstLine="426"/>
      </w:pPr>
      <w:r w:rsidRPr="009B012A">
        <w:t>The findings are encouraging</w:t>
      </w:r>
      <w:r w:rsidR="00F63922" w:rsidRPr="009B012A">
        <w:t>,</w:t>
      </w:r>
      <w:r w:rsidRPr="009B012A">
        <w:t xml:space="preserve"> given that seventy-three students reported that participation in the model increased their self-perceived employability</w:t>
      </w:r>
      <w:r w:rsidR="007D0D03" w:rsidRPr="009B012A">
        <w:t xml:space="preserve"> (Table V)</w:t>
      </w:r>
      <w:r w:rsidRPr="009B012A">
        <w:t xml:space="preserve">. The diversity of benefits also indicates that participation in the module improves human capital (e.g. confidence, skills development, networking) and increases the opportunity for career sustainability (e.g. knowledge of the recruitment process, CV development, proactive career ownership, interview guidance). The opportunities for </w:t>
      </w:r>
      <w:r w:rsidR="00F63922" w:rsidRPr="009B012A">
        <w:t xml:space="preserve">improving the module for future student cohorts </w:t>
      </w:r>
      <w:r w:rsidR="007D0D03" w:rsidRPr="009B012A">
        <w:t>(Table VI)</w:t>
      </w:r>
      <w:r w:rsidRPr="009B012A">
        <w:t xml:space="preserve"> captured an individual’s need concerning accessibility and a call for real-world experience to form part of the module. Moreover, four students wanted more time within their course curriculum devoted to employability, emphasising the potential that academics have to enhance the employability perceptions of their students.</w:t>
      </w:r>
    </w:p>
    <w:bookmarkEnd w:id="9"/>
    <w:p w14:paraId="5920BFA8" w14:textId="77777777" w:rsidR="0054298F" w:rsidRPr="009B012A" w:rsidRDefault="0054298F" w:rsidP="0054298F">
      <w:pPr>
        <w:jc w:val="both"/>
        <w:rPr>
          <w:rFonts w:ascii="Times New Roman" w:hAnsi="Times New Roman" w:cs="Times New Roman"/>
          <w:sz w:val="24"/>
          <w:szCs w:val="24"/>
          <w:lang w:val="en-US"/>
        </w:rPr>
      </w:pPr>
    </w:p>
    <w:p w14:paraId="3C076389" w14:textId="1C6BACC5" w:rsidR="00BA0114" w:rsidRPr="009B012A" w:rsidRDefault="002F4012" w:rsidP="009C6CD9">
      <w:pPr>
        <w:jc w:val="both"/>
        <w:rPr>
          <w:rFonts w:ascii="Times New Roman" w:hAnsi="Times New Roman" w:cs="Times New Roman"/>
          <w:b/>
          <w:bCs/>
          <w:sz w:val="24"/>
          <w:szCs w:val="24"/>
          <w:lang w:val="en-US"/>
        </w:rPr>
      </w:pPr>
      <w:r w:rsidRPr="009B012A">
        <w:rPr>
          <w:rFonts w:ascii="Times New Roman" w:hAnsi="Times New Roman" w:cs="Times New Roman"/>
          <w:b/>
          <w:bCs/>
          <w:sz w:val="24"/>
          <w:szCs w:val="24"/>
          <w:lang w:val="en-US"/>
        </w:rPr>
        <w:t>Discussion</w:t>
      </w:r>
    </w:p>
    <w:p w14:paraId="17FF8D4B" w14:textId="3C647C96" w:rsidR="00FC1EA9" w:rsidRPr="009B012A" w:rsidRDefault="00FC1EA9" w:rsidP="00FC1EA9">
      <w:pPr>
        <w:pStyle w:val="bodytextGJSD"/>
        <w:spacing w:after="0" w:line="480" w:lineRule="auto"/>
      </w:pPr>
      <w:r w:rsidRPr="009B012A">
        <w:t xml:space="preserve">Vocational Behaviour (VB) and Higher Education (HE) literature addressing sustainable graduate careers remain in a relatively embryonic and conceptual state, particularly in the context of curriculum interventions for Master’s and International students (e.g. De Vos </w:t>
      </w:r>
      <w:r w:rsidRPr="009B012A">
        <w:rPr>
          <w:i/>
          <w:iCs/>
        </w:rPr>
        <w:t>et al.</w:t>
      </w:r>
      <w:r w:rsidRPr="009B012A">
        <w:t xml:space="preserve">, 2020; Donald </w:t>
      </w:r>
      <w:r w:rsidRPr="009B012A">
        <w:rPr>
          <w:i/>
          <w:iCs/>
        </w:rPr>
        <w:t>et al.</w:t>
      </w:r>
      <w:r w:rsidRPr="009B012A">
        <w:t xml:space="preserve">, 2020; Lent and Brown, 2020; Van der Heijden and De Vos, 2015). The Global Marketing Professional module offered an opportunity to empirically explore a gap in the literature at the intersection of internationalisation, employability, and the international </w:t>
      </w:r>
      <w:r w:rsidRPr="009B012A">
        <w:lastRenderedPageBreak/>
        <w:t>student experience (</w:t>
      </w:r>
      <w:proofErr w:type="spellStart"/>
      <w:r w:rsidRPr="009B012A">
        <w:t>Fakunle</w:t>
      </w:r>
      <w:proofErr w:type="spellEnd"/>
      <w:r w:rsidRPr="009B012A">
        <w:t xml:space="preserve">, 2021). This is significant since increasing self-perceived employability, developing human capital, and preparing for a sustainable career have been the critical drivers for studying abroad (Soares and Mosquera, 2020). Yet, the inclusion of employability-focused modules within Master’s degree programmes </w:t>
      </w:r>
      <w:r w:rsidR="009B0907" w:rsidRPr="009B012A">
        <w:t>has</w:t>
      </w:r>
      <w:r w:rsidRPr="009B012A">
        <w:t xml:space="preserve"> not been widely adopted by UK-based universities</w:t>
      </w:r>
      <w:r w:rsidR="009B0907" w:rsidRPr="009B012A">
        <w:t>,</w:t>
      </w:r>
      <w:r w:rsidRPr="009B012A">
        <w:t xml:space="preserve"> and there is a lack of published data to support the effectiveness of such interventions.</w:t>
      </w:r>
    </w:p>
    <w:p w14:paraId="242B5BC7" w14:textId="76ACF5AA" w:rsidR="00EA765E" w:rsidRPr="009B012A" w:rsidRDefault="00FC1EA9" w:rsidP="009E2CF3">
      <w:pPr>
        <w:pStyle w:val="bodytextGJSD"/>
        <w:spacing w:after="0" w:line="480" w:lineRule="auto"/>
        <w:ind w:firstLine="426"/>
      </w:pPr>
      <w:r w:rsidRPr="009B012A">
        <w:t xml:space="preserve">Our study contributes by empirically validating the Global Marketing Professional module as a curriculum-based intervention. The increase in students who felt confident about their self-perceived employability rose from 37.50 per cent at the start of the module to 92.50 per cent upon completion. This supports the conceptual view of Lent and Brown (2020) that higher education institutions can enhance their provision of careers support by focusing on the content and the delivery process. Additional support is found for the conceptual proposition that higher education institutions can act as an antecedent to career sustainability (De Vos et al., 2020). </w:t>
      </w:r>
    </w:p>
    <w:p w14:paraId="2B7D03B0" w14:textId="20150249" w:rsidR="00EA765E" w:rsidRPr="009B012A" w:rsidRDefault="00EA765E" w:rsidP="009E2CF3">
      <w:pPr>
        <w:pStyle w:val="bodytextGJSD"/>
        <w:spacing w:after="0" w:line="480" w:lineRule="auto"/>
        <w:ind w:firstLine="426"/>
      </w:pPr>
      <w:r w:rsidRPr="009B012A">
        <w:t xml:space="preserve">Students </w:t>
      </w:r>
      <w:r w:rsidR="009E2CF3" w:rsidRPr="009B012A">
        <w:t>increased</w:t>
      </w:r>
      <w:r w:rsidRPr="009B012A">
        <w:t xml:space="preserve"> their social and cultural capital by developing new networks via LinkedIn and </w:t>
      </w:r>
      <w:r w:rsidR="009E2CF3" w:rsidRPr="009B012A">
        <w:t xml:space="preserve">with </w:t>
      </w:r>
      <w:r w:rsidRPr="009B012A">
        <w:t xml:space="preserve">their peers, addressing calls for students to embrace intercultural citizenship in preparation for the world of work (Baker and Fang, 2021). For example, one student made contact several months after </w:t>
      </w:r>
      <w:r w:rsidR="009B0907" w:rsidRPr="009B012A">
        <w:t>completing the module to report that  “</w:t>
      </w:r>
      <w:r w:rsidR="009B0907" w:rsidRPr="009B012A">
        <w:rPr>
          <w:i/>
          <w:iCs/>
        </w:rPr>
        <w:t xml:space="preserve">The module helped me secure a volunteering role at the prestigious theatre in the city. They also told me I am the first Indian person to be hired as </w:t>
      </w:r>
      <w:r w:rsidRPr="009B012A">
        <w:rPr>
          <w:i/>
          <w:iCs/>
        </w:rPr>
        <w:t>a volunteer</w:t>
      </w:r>
      <w:r w:rsidRPr="009B012A">
        <w:t xml:space="preserve">”. The feedback </w:t>
      </w:r>
      <w:r w:rsidR="009B0907" w:rsidRPr="009B012A">
        <w:t xml:space="preserve">indicates </w:t>
      </w:r>
      <w:r w:rsidRPr="009B012A">
        <w:t xml:space="preserve">that the benefits of participation in the module transcend to the </w:t>
      </w:r>
      <w:r w:rsidR="009B0907" w:rsidRPr="009B012A">
        <w:t>individual</w:t>
      </w:r>
      <w:r w:rsidRPr="009B012A">
        <w:t xml:space="preserve">, employers, and </w:t>
      </w:r>
      <w:r w:rsidR="009B0907" w:rsidRPr="009B012A">
        <w:t>broader</w:t>
      </w:r>
      <w:r w:rsidRPr="009B012A">
        <w:t xml:space="preserve"> society</w:t>
      </w:r>
      <w:r w:rsidR="00EB5742" w:rsidRPr="009B012A">
        <w:t xml:space="preserve"> via the promotion of diversity, equality, and inclusion.</w:t>
      </w:r>
    </w:p>
    <w:p w14:paraId="4B67C20E" w14:textId="6E8B6359" w:rsidR="00EA765E" w:rsidRPr="009B012A" w:rsidRDefault="00EA765E" w:rsidP="009E2CF3">
      <w:pPr>
        <w:pStyle w:val="bodytextGJSD"/>
        <w:spacing w:after="0" w:line="480" w:lineRule="auto"/>
        <w:ind w:firstLine="426"/>
      </w:pPr>
      <w:r w:rsidRPr="009B012A">
        <w:t xml:space="preserve">Moreover, psychological, scholastic capital, market-value capital, and skills were enhanced </w:t>
      </w:r>
      <w:r w:rsidR="009B0951" w:rsidRPr="009B012A">
        <w:t xml:space="preserve">by developing confidence, knowledge of the graduate recruitment process, and </w:t>
      </w:r>
      <w:r w:rsidRPr="009B012A">
        <w:t xml:space="preserve">a CV and reflective video journal to share with prospective employers. The increased self-perceived employability scores support the view that </w:t>
      </w:r>
      <w:r w:rsidR="009B0951" w:rsidRPr="009B012A">
        <w:t xml:space="preserve">acquiring resources and human capital can enable </w:t>
      </w:r>
      <w:r w:rsidR="009B0951" w:rsidRPr="009B012A">
        <w:lastRenderedPageBreak/>
        <w:t xml:space="preserve">an individual to construct a narrative of employability to signal to </w:t>
      </w:r>
      <w:r w:rsidRPr="009B012A">
        <w:rPr>
          <w:rFonts w:eastAsia="Times New Roman"/>
          <w:lang w:eastAsia="en-GB"/>
        </w:rPr>
        <w:t xml:space="preserve">potential employers their ability to undertake relevant work opportunities (Tomlinson and Anderson, 2021). </w:t>
      </w:r>
      <w:r w:rsidRPr="009B012A">
        <w:t>These six types of human capital</w:t>
      </w:r>
      <w:r w:rsidR="009B0951" w:rsidRPr="009B012A">
        <w:t>,</w:t>
      </w:r>
      <w:r w:rsidRPr="009B012A">
        <w:t xml:space="preserve"> when combined with careers advice and career ownership</w:t>
      </w:r>
      <w:r w:rsidR="009B0951" w:rsidRPr="009B012A">
        <w:t>,</w:t>
      </w:r>
      <w:r w:rsidRPr="009B012A">
        <w:t xml:space="preserve"> have been shown to enhance self-perceived employability in undergraduate students (Donald </w:t>
      </w:r>
      <w:r w:rsidRPr="009B012A">
        <w:rPr>
          <w:i/>
          <w:iCs/>
        </w:rPr>
        <w:t>et al.</w:t>
      </w:r>
      <w:r w:rsidRPr="009B012A">
        <w:t xml:space="preserve">, 2019). </w:t>
      </w:r>
    </w:p>
    <w:p w14:paraId="698A175E" w14:textId="38DE3905" w:rsidR="00EA765E" w:rsidRPr="009B012A" w:rsidRDefault="00EA765E" w:rsidP="009E2CF3">
      <w:pPr>
        <w:pStyle w:val="bodytextGJSD"/>
        <w:spacing w:after="0" w:line="480" w:lineRule="auto"/>
        <w:ind w:firstLine="426"/>
      </w:pPr>
      <w:r w:rsidRPr="009B012A">
        <w:t>Additionally, fostering a sense of career agency and encouraging a proactive approach to managing one’s career has been shown to enhance self-perceived employability and the ability to adapt, which is crucial for career sustainability over time (Coetzee and Engelbrecht, 2020). One student who provided additional unsolicited feedback on the module several months later stated</w:t>
      </w:r>
      <w:r w:rsidR="009B0951" w:rsidRPr="009B012A">
        <w:t>,</w:t>
      </w:r>
      <w:r w:rsidRPr="009B012A">
        <w:t xml:space="preserve"> “</w:t>
      </w:r>
      <w:r w:rsidRPr="009B012A">
        <w:rPr>
          <w:i/>
          <w:iCs/>
        </w:rPr>
        <w:t xml:space="preserve">I found the module extremely useful and applicable to </w:t>
      </w:r>
      <w:r w:rsidR="009B0951" w:rsidRPr="009B012A">
        <w:rPr>
          <w:i/>
          <w:iCs/>
        </w:rPr>
        <w:t>my</w:t>
      </w:r>
      <w:r w:rsidRPr="009B012A">
        <w:rPr>
          <w:i/>
          <w:iCs/>
        </w:rPr>
        <w:t xml:space="preserve"> graduate job search. I have really enjoyed learning about skills which are paramount to employability and</w:t>
      </w:r>
      <w:r w:rsidR="009B0951" w:rsidRPr="009B012A">
        <w:rPr>
          <w:i/>
          <w:iCs/>
        </w:rPr>
        <w:t>,</w:t>
      </w:r>
      <w:r w:rsidRPr="009B012A">
        <w:rPr>
          <w:i/>
          <w:iCs/>
        </w:rPr>
        <w:t xml:space="preserve"> inevitably, my future</w:t>
      </w:r>
      <w:r w:rsidRPr="009B012A">
        <w:t xml:space="preserve">”. Therefore, undertaking the compulsory module appears to enhance a person’s self-perceived employability, which has the potential to enable them to navigate a variety of different contexts within a global and dynamic labour market over time across their working lives. </w:t>
      </w:r>
    </w:p>
    <w:p w14:paraId="7A0FF8F1" w14:textId="000D60CE" w:rsidR="009B0907" w:rsidRPr="009B012A" w:rsidRDefault="00EA765E" w:rsidP="009E2CF3">
      <w:pPr>
        <w:pStyle w:val="bodytextGJSD"/>
        <w:spacing w:after="0" w:line="480" w:lineRule="auto"/>
        <w:ind w:firstLine="426"/>
      </w:pPr>
      <w:r w:rsidRPr="009B012A">
        <w:t xml:space="preserve">Our study further contributes by bridging the gap between self-perceived employability and professional practice by linking curriculum design and programme structures to enhance the employability of international marketing students undertaking postgraduate study. </w:t>
      </w:r>
      <w:r w:rsidR="009B0907" w:rsidRPr="009B012A">
        <w:t>The Global Marketing Module can address calls for innovative approaches to embedding employability into the curriculum (C</w:t>
      </w:r>
      <w:r w:rsidR="009B0907" w:rsidRPr="009B012A">
        <w:rPr>
          <w:rFonts w:eastAsia="Times New Roman"/>
          <w:lang w:eastAsia="en-GB"/>
        </w:rPr>
        <w:t xml:space="preserve">heng </w:t>
      </w:r>
      <w:r w:rsidR="009B0907" w:rsidRPr="009B012A">
        <w:rPr>
          <w:rFonts w:eastAsia="Times New Roman"/>
          <w:i/>
          <w:iCs/>
          <w:lang w:eastAsia="en-GB"/>
        </w:rPr>
        <w:t>et al.</w:t>
      </w:r>
      <w:r w:rsidR="009B0907" w:rsidRPr="009B012A">
        <w:rPr>
          <w:rFonts w:eastAsia="Times New Roman"/>
          <w:lang w:eastAsia="en-GB"/>
        </w:rPr>
        <w:t>, 202</w:t>
      </w:r>
      <w:r w:rsidR="009B0951" w:rsidRPr="009B012A">
        <w:rPr>
          <w:rFonts w:eastAsia="Times New Roman"/>
          <w:lang w:eastAsia="en-GB"/>
        </w:rPr>
        <w:t>2</w:t>
      </w:r>
      <w:r w:rsidR="009B0907" w:rsidRPr="009B012A">
        <w:rPr>
          <w:rFonts w:eastAsia="Times New Roman"/>
          <w:lang w:eastAsia="en-GB"/>
        </w:rPr>
        <w:t xml:space="preserve">; Small </w:t>
      </w:r>
      <w:r w:rsidR="009B0907" w:rsidRPr="009B012A">
        <w:rPr>
          <w:rFonts w:eastAsia="Times New Roman"/>
          <w:i/>
          <w:iCs/>
          <w:lang w:eastAsia="en-GB"/>
        </w:rPr>
        <w:t>et al.</w:t>
      </w:r>
      <w:r w:rsidR="009B0907" w:rsidRPr="009B012A">
        <w:rPr>
          <w:rFonts w:eastAsia="Times New Roman"/>
          <w:lang w:eastAsia="en-GB"/>
        </w:rPr>
        <w:t xml:space="preserve">, 2018). </w:t>
      </w:r>
      <w:r w:rsidR="009B0907" w:rsidRPr="009B012A">
        <w:t>The compulsory module offers an opportunity for lecturers to provide formal careers support within the curriculum rather than providing informal ad-hoc support to individual students who might seek them out</w:t>
      </w:r>
      <w:r w:rsidR="0093782B" w:rsidRPr="009B012A">
        <w:t xml:space="preserve"> on their own accord</w:t>
      </w:r>
      <w:r w:rsidR="009B0907" w:rsidRPr="009B012A">
        <w:t xml:space="preserve">. </w:t>
      </w:r>
      <w:r w:rsidR="0093782B" w:rsidRPr="009B012A">
        <w:t xml:space="preserve">Support from lecturers is crucial since university careers services continue to struggle to provide career guidance to their students from an engagement perspective and a resource perspective (Donald </w:t>
      </w:r>
      <w:r w:rsidR="0093782B" w:rsidRPr="009B012A">
        <w:rPr>
          <w:i/>
          <w:iCs/>
        </w:rPr>
        <w:t>et al.</w:t>
      </w:r>
      <w:r w:rsidR="0093782B" w:rsidRPr="009B012A">
        <w:t>, 2018; 2021). Moreover, t</w:t>
      </w:r>
      <w:r w:rsidR="009B0907" w:rsidRPr="009B012A">
        <w:t xml:space="preserve">he insights </w:t>
      </w:r>
      <w:r w:rsidR="009B0907" w:rsidRPr="009B012A">
        <w:lastRenderedPageBreak/>
        <w:t>provided by students into how to improve the module</w:t>
      </w:r>
      <w:r w:rsidR="0093782B" w:rsidRPr="009B012A">
        <w:t xml:space="preserve"> also acknowledges t</w:t>
      </w:r>
      <w:r w:rsidR="009B0907" w:rsidRPr="009B012A">
        <w:t xml:space="preserve">he value </w:t>
      </w:r>
      <w:r w:rsidR="0093782B" w:rsidRPr="009B012A">
        <w:t xml:space="preserve">that </w:t>
      </w:r>
      <w:r w:rsidR="009B0907" w:rsidRPr="009B012A">
        <w:t>students</w:t>
      </w:r>
      <w:r w:rsidR="0093782B" w:rsidRPr="009B012A">
        <w:t xml:space="preserve"> can offer in</w:t>
      </w:r>
      <w:r w:rsidR="009B0907" w:rsidRPr="009B012A">
        <w:t xml:space="preserve"> influencing the curriculum design (Bell and Reed, 2021; Bowman </w:t>
      </w:r>
      <w:r w:rsidR="009B0907" w:rsidRPr="009B012A">
        <w:rPr>
          <w:i/>
          <w:iCs/>
        </w:rPr>
        <w:t>et al.</w:t>
      </w:r>
      <w:r w:rsidR="009B0907" w:rsidRPr="009B012A">
        <w:t xml:space="preserve">, 2021). </w:t>
      </w:r>
    </w:p>
    <w:p w14:paraId="713F9970" w14:textId="3467096C" w:rsidR="005E0731" w:rsidRPr="009B012A" w:rsidRDefault="005E0731" w:rsidP="009E2CF3">
      <w:pPr>
        <w:pStyle w:val="bodytextGJSD"/>
        <w:spacing w:after="0" w:line="480" w:lineRule="auto"/>
        <w:ind w:firstLine="426"/>
      </w:pPr>
      <w:r w:rsidRPr="009B012A">
        <w:t>The module also initiates conversations between students about their employability</w:t>
      </w:r>
      <w:r w:rsidR="009B0951" w:rsidRPr="009B012A">
        <w:t>. It acts</w:t>
      </w:r>
      <w:r w:rsidRPr="009B012A">
        <w:t xml:space="preserve"> as a catalyst to identify what support mechanisms and types of human capital they require and how they can </w:t>
      </w:r>
      <w:r w:rsidR="009B0951" w:rsidRPr="009B012A">
        <w:t>proactively secure</w:t>
      </w:r>
      <w:r w:rsidRPr="009B012A">
        <w:t xml:space="preserve"> access to such resources and opportunities.</w:t>
      </w:r>
      <w:r w:rsidR="00D74556" w:rsidRPr="009B012A">
        <w:t xml:space="preserve"> This also responds to calls for universities to promote practical wisdom (</w:t>
      </w:r>
      <w:proofErr w:type="spellStart"/>
      <w:r w:rsidR="00D74556" w:rsidRPr="009B012A">
        <w:t>Jakubik</w:t>
      </w:r>
      <w:proofErr w:type="spellEnd"/>
      <w:r w:rsidR="00D74556" w:rsidRPr="009B012A">
        <w:t>, 2020; 2021)</w:t>
      </w:r>
      <w:r w:rsidR="00E67DCE" w:rsidRPr="009B012A">
        <w:t xml:space="preserve">, support diverse groups of students via whole person pedagogical approaches (Kim </w:t>
      </w:r>
      <w:r w:rsidR="00E67DCE" w:rsidRPr="009B012A">
        <w:rPr>
          <w:i/>
          <w:iCs/>
        </w:rPr>
        <w:t>et al.</w:t>
      </w:r>
      <w:r w:rsidR="00E67DCE" w:rsidRPr="009B012A">
        <w:t>, 2021), and replace passive learning with active learning initiatives (Ward, 2020). Furthermore, our study validates c</w:t>
      </w:r>
      <w:r w:rsidR="00D74556" w:rsidRPr="009B012A">
        <w:t>onceptual propositions that embracing lifewide learning opportunities for human capital acquisition at a specific point in time can offer sustainable benefit via subsequent deployment across time and employment contexts (Cole and</w:t>
      </w:r>
      <w:r w:rsidR="00E67DCE" w:rsidRPr="009B012A">
        <w:t xml:space="preserve"> Coulson, </w:t>
      </w:r>
      <w:r w:rsidR="00D74556" w:rsidRPr="009B012A">
        <w:t>2022; Cole and Donald, 2022).</w:t>
      </w:r>
    </w:p>
    <w:p w14:paraId="540F24DC" w14:textId="6405F319" w:rsidR="007D0D03" w:rsidRPr="009B012A" w:rsidRDefault="007D0D03" w:rsidP="0054298F">
      <w:pPr>
        <w:pStyle w:val="bodytextGJSD"/>
        <w:spacing w:after="0" w:line="480" w:lineRule="auto"/>
        <w:ind w:firstLine="426"/>
      </w:pPr>
    </w:p>
    <w:p w14:paraId="4136B9F6" w14:textId="7F02738E" w:rsidR="0054298F" w:rsidRPr="009B012A" w:rsidRDefault="0054298F" w:rsidP="0054298F">
      <w:pPr>
        <w:jc w:val="both"/>
        <w:rPr>
          <w:rFonts w:ascii="Times New Roman" w:hAnsi="Times New Roman" w:cs="Times New Roman"/>
          <w:b/>
          <w:bCs/>
          <w:sz w:val="24"/>
          <w:szCs w:val="24"/>
          <w:lang w:val="en-US"/>
        </w:rPr>
      </w:pPr>
      <w:r w:rsidRPr="009B012A">
        <w:rPr>
          <w:rFonts w:ascii="Times New Roman" w:hAnsi="Times New Roman" w:cs="Times New Roman"/>
          <w:b/>
          <w:bCs/>
          <w:sz w:val="24"/>
          <w:szCs w:val="24"/>
          <w:lang w:val="en-US"/>
        </w:rPr>
        <w:t>Limitations and Future Research</w:t>
      </w:r>
    </w:p>
    <w:p w14:paraId="567268D2" w14:textId="3CD58F79" w:rsidR="0054298F" w:rsidRPr="009B012A" w:rsidRDefault="0054298F" w:rsidP="0054298F">
      <w:pPr>
        <w:pStyle w:val="bodytextGJSD"/>
        <w:spacing w:after="0" w:line="480" w:lineRule="auto"/>
      </w:pPr>
      <w:r w:rsidRPr="009B012A">
        <w:t xml:space="preserve">The study had several limitations. A sample size of eighty was acceptable for a pilot case study as a ‘proof of concept’ but does not allow for generalisation of the findings since they are limited to a specific degree course delivered </w:t>
      </w:r>
      <w:r w:rsidR="00F63922" w:rsidRPr="009B012A">
        <w:t>at a particular</w:t>
      </w:r>
      <w:r w:rsidRPr="009B012A">
        <w:t xml:space="preserve"> time. </w:t>
      </w:r>
      <w:r w:rsidR="00F63922" w:rsidRPr="009B012A">
        <w:t xml:space="preserve">Participants' gender, age, and ethnicity </w:t>
      </w:r>
      <w:r w:rsidRPr="009B012A">
        <w:t xml:space="preserve">were </w:t>
      </w:r>
      <w:r w:rsidR="009B0951" w:rsidRPr="009B012A">
        <w:t>collected only</w:t>
      </w:r>
      <w:r w:rsidRPr="009B012A">
        <w:t xml:space="preserve"> at an aggregate level rather than linked to a specific participant ID. Moreover, the focus on self-perceived employability is a subjective rather than objective measure of the benefits gained from participation in the module. </w:t>
      </w:r>
    </w:p>
    <w:p w14:paraId="7E2C2E5B" w14:textId="4328FAD7" w:rsidR="0054298F" w:rsidRPr="009B012A" w:rsidRDefault="0054298F" w:rsidP="0054298F">
      <w:pPr>
        <w:pStyle w:val="bodytextGJSD"/>
        <w:spacing w:after="0" w:line="480" w:lineRule="auto"/>
        <w:ind w:firstLine="426"/>
      </w:pPr>
      <w:r w:rsidRPr="009B012A">
        <w:t xml:space="preserve">Future studies may consider comparing the impact of the module on students studying different degree courses, on individuals with different demographics, or participants from </w:t>
      </w:r>
      <w:r w:rsidR="00F63922" w:rsidRPr="009B012A">
        <w:t>various</w:t>
      </w:r>
      <w:r w:rsidRPr="009B012A">
        <w:t xml:space="preserve"> higher education institutions and geographical locations. It might also be interesting to compare the findings between different cohorts of students who </w:t>
      </w:r>
      <w:r w:rsidR="00F63922" w:rsidRPr="009B012A">
        <w:t>participated in the module</w:t>
      </w:r>
      <w:r w:rsidRPr="009B012A">
        <w:t xml:space="preserve"> during their undergraduate </w:t>
      </w:r>
      <w:r w:rsidR="00F63922" w:rsidRPr="009B012A">
        <w:t>degrees</w:t>
      </w:r>
      <w:r w:rsidRPr="009B012A">
        <w:t xml:space="preserve">. For example, could </w:t>
      </w:r>
      <w:r w:rsidR="009B0951" w:rsidRPr="009B012A">
        <w:t>delivering</w:t>
      </w:r>
      <w:r w:rsidRPr="009B012A">
        <w:t xml:space="preserve"> the module earlier in the degree help increase awareness and allow more time for students to prepare themselves for the </w:t>
      </w:r>
      <w:r w:rsidRPr="009B012A">
        <w:lastRenderedPageBreak/>
        <w:t>university-to-work transition?</w:t>
      </w:r>
      <w:r w:rsidRPr="009B012A">
        <w:rPr>
          <w:color w:val="7030A0"/>
        </w:rPr>
        <w:t xml:space="preserve"> </w:t>
      </w:r>
      <w:r w:rsidR="00F63922" w:rsidRPr="009B012A">
        <w:t>Adopting</w:t>
      </w:r>
      <w:r w:rsidRPr="009B012A">
        <w:t xml:space="preserve"> a longitudinal study design could also be beneficial to see if increases in self-perceived employability translate into employment outcomes. Options for such an approach include focus groups, semi-structured interviews, follow-up questionnaires, and objective </w:t>
      </w:r>
      <w:r w:rsidR="00F63922" w:rsidRPr="009B012A">
        <w:t>employability measures</w:t>
      </w:r>
      <w:r w:rsidRPr="009B012A">
        <w:t xml:space="preserve">. Finally, future research could build an evidence base of best practice by examining the impact on self-perceived employability of </w:t>
      </w:r>
      <w:r w:rsidR="00F63922" w:rsidRPr="009B012A">
        <w:t>various</w:t>
      </w:r>
      <w:r w:rsidRPr="009B012A">
        <w:t xml:space="preserve"> innovative approaches to embedding employability into the curriculum. For example, can students benefit via guest lectures from industry or case studies developed in partnership with industry as part of an authentic assessment approach? Moreover, how can lecturers, university career services, and employers work collaboratively to prepare students for the future of work?</w:t>
      </w:r>
    </w:p>
    <w:p w14:paraId="0D657605" w14:textId="77777777" w:rsidR="0054298F" w:rsidRPr="009B012A" w:rsidRDefault="0054298F" w:rsidP="0054298F">
      <w:pPr>
        <w:jc w:val="both"/>
        <w:rPr>
          <w:rFonts w:ascii="Times New Roman" w:hAnsi="Times New Roman" w:cs="Times New Roman"/>
          <w:b/>
          <w:bCs/>
          <w:sz w:val="24"/>
          <w:szCs w:val="24"/>
          <w:lang w:val="en-US"/>
        </w:rPr>
      </w:pPr>
    </w:p>
    <w:p w14:paraId="16934D7D" w14:textId="18C9BA8F" w:rsidR="0054298F" w:rsidRPr="009B012A" w:rsidRDefault="0054298F" w:rsidP="0054298F">
      <w:pPr>
        <w:jc w:val="both"/>
        <w:rPr>
          <w:rFonts w:ascii="Times New Roman" w:hAnsi="Times New Roman" w:cs="Times New Roman"/>
          <w:b/>
          <w:bCs/>
          <w:sz w:val="24"/>
          <w:szCs w:val="24"/>
          <w:lang w:val="en-US"/>
        </w:rPr>
      </w:pPr>
      <w:r w:rsidRPr="009B012A">
        <w:rPr>
          <w:rFonts w:ascii="Times New Roman" w:hAnsi="Times New Roman" w:cs="Times New Roman"/>
          <w:b/>
          <w:bCs/>
          <w:sz w:val="24"/>
          <w:szCs w:val="24"/>
          <w:lang w:val="en-US"/>
        </w:rPr>
        <w:t>Conclusion</w:t>
      </w:r>
    </w:p>
    <w:p w14:paraId="65EFAFBA" w14:textId="27BE67FD" w:rsidR="00612175" w:rsidRPr="009B012A" w:rsidRDefault="0054298F" w:rsidP="009E2CF3">
      <w:pPr>
        <w:jc w:val="both"/>
        <w:rPr>
          <w:rFonts w:ascii="Times New Roman" w:hAnsi="Times New Roman" w:cs="Times New Roman"/>
          <w:b/>
          <w:sz w:val="24"/>
          <w:szCs w:val="24"/>
          <w:lang w:val="en-US"/>
        </w:rPr>
      </w:pPr>
      <w:r w:rsidRPr="009B012A">
        <w:rPr>
          <w:rFonts w:ascii="Times New Roman" w:eastAsia="Times New Roman" w:hAnsi="Times New Roman" w:cs="Times New Roman"/>
          <w:sz w:val="24"/>
          <w:szCs w:val="24"/>
          <w:lang w:eastAsia="en-GB"/>
        </w:rPr>
        <w:t xml:space="preserve">This study aimed to explore </w:t>
      </w:r>
      <w:r w:rsidR="00F63922" w:rsidRPr="009B012A">
        <w:rPr>
          <w:rFonts w:ascii="Times New Roman" w:eastAsia="Times New Roman" w:hAnsi="Times New Roman" w:cs="Times New Roman"/>
          <w:sz w:val="24"/>
          <w:szCs w:val="24"/>
          <w:lang w:eastAsia="en-GB"/>
        </w:rPr>
        <w:t>university students’ views</w:t>
      </w:r>
      <w:r w:rsidRPr="009B012A">
        <w:rPr>
          <w:rFonts w:ascii="Times New Roman" w:eastAsia="Times New Roman" w:hAnsi="Times New Roman" w:cs="Times New Roman"/>
          <w:sz w:val="24"/>
          <w:szCs w:val="24"/>
          <w:lang w:eastAsia="en-GB"/>
        </w:rPr>
        <w:t xml:space="preserve"> regarding their self-perceived employability following participation in a mandatory module titled ‘The Global Marketing Professional’. The findings indicated that self-perceived employability increased from 37.50 per cent to 92.50 per cent. Benefits included increased confidence, interactive classes, skills development, knowledge of what one can do with their degree, an ability to find relevant opportunities, knowledge of the recruitment process, CV development, proactive career ownership, interview guidance, and networking. Suggestions for improvement included increasing the amount of lecture time provided, increased accessibility via subtitles, and the opportunity for real-world experience. Implications of the study include the advancement of the integration of human capital and sustainable career theory by identifying empirically-informed strategies for supporting students to enhance their self-perceived employability within the university curriculum. Implications subsequently extended to universities, organisations, and national economies.</w:t>
      </w:r>
      <w:bookmarkStart w:id="10" w:name="_Hlk72175272"/>
      <w:bookmarkEnd w:id="8"/>
    </w:p>
    <w:p w14:paraId="006D23D3" w14:textId="72B35C7A" w:rsidR="002B4E70" w:rsidRPr="009B012A" w:rsidRDefault="002B4E70" w:rsidP="002B4E70">
      <w:pPr>
        <w:rPr>
          <w:rFonts w:ascii="Times New Roman" w:hAnsi="Times New Roman" w:cs="Times New Roman"/>
          <w:b/>
          <w:sz w:val="24"/>
          <w:szCs w:val="24"/>
          <w:lang w:val="en-US"/>
        </w:rPr>
      </w:pPr>
      <w:r w:rsidRPr="009B012A">
        <w:rPr>
          <w:rFonts w:ascii="Times New Roman" w:hAnsi="Times New Roman" w:cs="Times New Roman"/>
          <w:b/>
          <w:sz w:val="24"/>
          <w:szCs w:val="24"/>
          <w:lang w:val="en-US"/>
        </w:rPr>
        <w:lastRenderedPageBreak/>
        <w:t>References</w:t>
      </w:r>
    </w:p>
    <w:p w14:paraId="02E3A4C8" w14:textId="1F35F4B1" w:rsidR="0054298F" w:rsidRPr="009B012A" w:rsidRDefault="0054298F" w:rsidP="00D7145F">
      <w:pPr>
        <w:pStyle w:val="ReferencelistGJSD"/>
        <w:spacing w:after="0" w:line="480" w:lineRule="auto"/>
        <w:ind w:left="567" w:hanging="567"/>
        <w:rPr>
          <w:rStyle w:val="Hyperlink"/>
          <w:color w:val="0C7DBB"/>
          <w:sz w:val="24"/>
        </w:rPr>
      </w:pPr>
      <w:r w:rsidRPr="009B012A">
        <w:rPr>
          <w:sz w:val="24"/>
        </w:rPr>
        <w:t>Advance HE. (2020)</w:t>
      </w:r>
      <w:r w:rsidR="00D7145F" w:rsidRPr="009B012A">
        <w:rPr>
          <w:sz w:val="24"/>
        </w:rPr>
        <w:t>,</w:t>
      </w:r>
      <w:r w:rsidRPr="009B012A">
        <w:rPr>
          <w:sz w:val="24"/>
        </w:rPr>
        <w:t xml:space="preserve"> </w:t>
      </w:r>
      <w:r w:rsidR="00EC639B" w:rsidRPr="009B012A">
        <w:rPr>
          <w:sz w:val="24"/>
        </w:rPr>
        <w:t>“</w:t>
      </w:r>
      <w:r w:rsidRPr="009B012A">
        <w:rPr>
          <w:sz w:val="24"/>
        </w:rPr>
        <w:t>Advance HE framework for internationalising higher education</w:t>
      </w:r>
      <w:r w:rsidR="00EC639B" w:rsidRPr="009B012A">
        <w:rPr>
          <w:sz w:val="24"/>
        </w:rPr>
        <w:t xml:space="preserve">”, available at: </w:t>
      </w:r>
      <w:hyperlink r:id="rId8" w:history="1">
        <w:r w:rsidRPr="009B012A">
          <w:rPr>
            <w:rStyle w:val="Hyperlink"/>
            <w:i/>
            <w:iCs/>
            <w:sz w:val="24"/>
          </w:rPr>
          <w:t>https://www.advance-he.ac.uk/guidance</w:t>
        </w:r>
      </w:hyperlink>
      <w:r w:rsidRPr="009B012A">
        <w:rPr>
          <w:rStyle w:val="Hyperlink"/>
          <w:i/>
          <w:iCs/>
          <w:color w:val="0C7DBB"/>
          <w:sz w:val="24"/>
        </w:rPr>
        <w:t>/teaching-and-learning/</w:t>
      </w:r>
      <w:r w:rsidR="00EC639B" w:rsidRPr="009B012A">
        <w:rPr>
          <w:rStyle w:val="Hyperlink"/>
          <w:i/>
          <w:iCs/>
          <w:color w:val="0C7DBB"/>
          <w:sz w:val="24"/>
        </w:rPr>
        <w:br/>
      </w:r>
      <w:proofErr w:type="spellStart"/>
      <w:r w:rsidRPr="009B012A">
        <w:rPr>
          <w:rStyle w:val="Hyperlink"/>
          <w:i/>
          <w:iCs/>
          <w:color w:val="0C7DBB"/>
          <w:sz w:val="24"/>
        </w:rPr>
        <w:t>internationalisation#Framework</w:t>
      </w:r>
      <w:proofErr w:type="spellEnd"/>
      <w:r w:rsidR="00EC639B" w:rsidRPr="009B012A">
        <w:rPr>
          <w:sz w:val="24"/>
        </w:rPr>
        <w:t xml:space="preserve"> (accessed </w:t>
      </w:r>
      <w:r w:rsidR="00AD3B9A" w:rsidRPr="009B012A">
        <w:rPr>
          <w:sz w:val="24"/>
        </w:rPr>
        <w:t>12</w:t>
      </w:r>
      <w:r w:rsidR="00D7145F" w:rsidRPr="009B012A">
        <w:rPr>
          <w:sz w:val="24"/>
        </w:rPr>
        <w:t xml:space="preserve"> </w:t>
      </w:r>
      <w:r w:rsidR="00AD3B9A" w:rsidRPr="009B012A">
        <w:rPr>
          <w:sz w:val="24"/>
        </w:rPr>
        <w:t>May</w:t>
      </w:r>
      <w:r w:rsidR="00D7145F" w:rsidRPr="009B012A">
        <w:rPr>
          <w:sz w:val="24"/>
        </w:rPr>
        <w:t xml:space="preserve"> 2022).</w:t>
      </w:r>
    </w:p>
    <w:p w14:paraId="27D7705D" w14:textId="73A086F9" w:rsidR="00EF57B4" w:rsidRPr="009B012A" w:rsidRDefault="00EF57B4" w:rsidP="00EF57B4">
      <w:pPr>
        <w:pStyle w:val="ReferencelistGJSD"/>
        <w:spacing w:after="0" w:line="480" w:lineRule="auto"/>
        <w:ind w:left="567" w:hanging="567"/>
        <w:jc w:val="both"/>
        <w:rPr>
          <w:sz w:val="24"/>
        </w:rPr>
      </w:pPr>
      <w:bookmarkStart w:id="11" w:name="_Hlk103188912"/>
      <w:r w:rsidRPr="009B012A">
        <w:rPr>
          <w:sz w:val="24"/>
        </w:rPr>
        <w:t xml:space="preserve">Baker, W. and Fang, F. G. (2021), “So maybe I’m a global citizen: developing intercultural citizenship in English medium education”, </w:t>
      </w:r>
      <w:r w:rsidRPr="009B012A">
        <w:rPr>
          <w:i/>
          <w:iCs/>
          <w:sz w:val="24"/>
        </w:rPr>
        <w:t>Language, Culture and Curriculum</w:t>
      </w:r>
      <w:r w:rsidRPr="009B012A">
        <w:rPr>
          <w:sz w:val="24"/>
        </w:rPr>
        <w:t xml:space="preserve">, Vol. 34 No. 1, pp.1-17. </w:t>
      </w:r>
      <w:hyperlink r:id="rId9" w:history="1">
        <w:r w:rsidRPr="009B012A">
          <w:rPr>
            <w:rStyle w:val="Hyperlink"/>
            <w:sz w:val="24"/>
          </w:rPr>
          <w:t>https://doi.org/10.1080/07908318.2020.1748045</w:t>
        </w:r>
      </w:hyperlink>
    </w:p>
    <w:bookmarkEnd w:id="11"/>
    <w:p w14:paraId="6AA43C98" w14:textId="246DB503" w:rsidR="0054298F" w:rsidRPr="009B012A" w:rsidRDefault="0054298F" w:rsidP="00D7145F">
      <w:pPr>
        <w:pStyle w:val="ReferencelistGJSD"/>
        <w:spacing w:after="0" w:line="480" w:lineRule="auto"/>
        <w:ind w:left="567" w:hanging="567"/>
        <w:jc w:val="both"/>
        <w:rPr>
          <w:rStyle w:val="Hyperlink"/>
          <w:color w:val="0C7DBB"/>
          <w:sz w:val="24"/>
        </w:rPr>
      </w:pPr>
      <w:r w:rsidRPr="009B012A">
        <w:rPr>
          <w:sz w:val="24"/>
        </w:rPr>
        <w:t xml:space="preserve">Baruch, Y., Bell, M.P. </w:t>
      </w:r>
      <w:r w:rsidR="003438D5" w:rsidRPr="009B012A">
        <w:rPr>
          <w:sz w:val="24"/>
        </w:rPr>
        <w:t>and</w:t>
      </w:r>
      <w:r w:rsidRPr="009B012A">
        <w:rPr>
          <w:sz w:val="24"/>
        </w:rPr>
        <w:t xml:space="preserve"> Gray, D. (2005)</w:t>
      </w:r>
      <w:r w:rsidR="00D7145F" w:rsidRPr="009B012A">
        <w:rPr>
          <w:sz w:val="24"/>
        </w:rPr>
        <w:t>,</w:t>
      </w:r>
      <w:r w:rsidRPr="009B012A">
        <w:rPr>
          <w:sz w:val="24"/>
        </w:rPr>
        <w:t xml:space="preserve"> </w:t>
      </w:r>
      <w:r w:rsidR="00D7145F" w:rsidRPr="009B012A">
        <w:rPr>
          <w:sz w:val="24"/>
        </w:rPr>
        <w:t>“</w:t>
      </w:r>
      <w:r w:rsidRPr="009B012A">
        <w:rPr>
          <w:sz w:val="24"/>
        </w:rPr>
        <w:t>Generalist and specialist graduate business degrees: Tangible and intangible value</w:t>
      </w:r>
      <w:r w:rsidR="00D7145F" w:rsidRPr="009B012A">
        <w:rPr>
          <w:sz w:val="24"/>
        </w:rPr>
        <w:t>”,</w:t>
      </w:r>
      <w:r w:rsidRPr="009B012A">
        <w:rPr>
          <w:sz w:val="24"/>
        </w:rPr>
        <w:t xml:space="preserve"> </w:t>
      </w:r>
      <w:r w:rsidRPr="009B012A">
        <w:rPr>
          <w:i/>
          <w:iCs/>
          <w:sz w:val="24"/>
        </w:rPr>
        <w:t xml:space="preserve">Journal of Vocational </w:t>
      </w:r>
      <w:proofErr w:type="spellStart"/>
      <w:r w:rsidRPr="009B012A">
        <w:rPr>
          <w:i/>
          <w:iCs/>
          <w:sz w:val="24"/>
        </w:rPr>
        <w:t>Behavior</w:t>
      </w:r>
      <w:proofErr w:type="spellEnd"/>
      <w:r w:rsidRPr="009B012A">
        <w:rPr>
          <w:sz w:val="24"/>
        </w:rPr>
        <w:t xml:space="preserve">, </w:t>
      </w:r>
      <w:r w:rsidR="00D7145F" w:rsidRPr="009B012A">
        <w:rPr>
          <w:sz w:val="24"/>
        </w:rPr>
        <w:t>Vol. 67 No. 1, pp.</w:t>
      </w:r>
      <w:r w:rsidRPr="009B012A">
        <w:rPr>
          <w:sz w:val="24"/>
        </w:rPr>
        <w:t>51-68.</w:t>
      </w:r>
      <w:r w:rsidR="00D7145F" w:rsidRPr="009B012A">
        <w:rPr>
          <w:sz w:val="24"/>
        </w:rPr>
        <w:t xml:space="preserve"> </w:t>
      </w:r>
      <w:hyperlink r:id="rId10" w:history="1">
        <w:r w:rsidRPr="009B012A">
          <w:rPr>
            <w:rStyle w:val="Hyperlink"/>
            <w:sz w:val="24"/>
          </w:rPr>
          <w:t>https://doi.org/10.1016/j.jvb.2003.06.002</w:t>
        </w:r>
      </w:hyperlink>
    </w:p>
    <w:p w14:paraId="39B57D52" w14:textId="5FCAC66A" w:rsidR="0054298F" w:rsidRPr="009B012A" w:rsidRDefault="0054298F" w:rsidP="00D7145F">
      <w:pPr>
        <w:pStyle w:val="ReferencelistGJSD"/>
        <w:spacing w:after="0" w:line="480" w:lineRule="auto"/>
        <w:ind w:left="567" w:hanging="567"/>
        <w:jc w:val="both"/>
        <w:rPr>
          <w:sz w:val="24"/>
        </w:rPr>
      </w:pPr>
      <w:r w:rsidRPr="009B012A">
        <w:rPr>
          <w:sz w:val="24"/>
        </w:rPr>
        <w:t>Becker, G.S. (1964)</w:t>
      </w:r>
      <w:r w:rsidR="00D7145F" w:rsidRPr="009B012A">
        <w:rPr>
          <w:sz w:val="24"/>
        </w:rPr>
        <w:t>,</w:t>
      </w:r>
      <w:r w:rsidRPr="009B012A">
        <w:rPr>
          <w:sz w:val="24"/>
        </w:rPr>
        <w:t xml:space="preserve"> </w:t>
      </w:r>
      <w:r w:rsidRPr="009B012A">
        <w:rPr>
          <w:i/>
          <w:iCs/>
          <w:sz w:val="24"/>
        </w:rPr>
        <w:t>Human capital: A theoretical and empirical analysis with special reference to education</w:t>
      </w:r>
      <w:r w:rsidRPr="009B012A">
        <w:rPr>
          <w:sz w:val="24"/>
        </w:rPr>
        <w:t>. University of Chicago Press</w:t>
      </w:r>
      <w:r w:rsidR="00D7145F" w:rsidRPr="009B012A">
        <w:rPr>
          <w:sz w:val="24"/>
        </w:rPr>
        <w:t>, Chicago</w:t>
      </w:r>
      <w:r w:rsidRPr="009B012A">
        <w:rPr>
          <w:sz w:val="24"/>
        </w:rPr>
        <w:t xml:space="preserve">. </w:t>
      </w:r>
    </w:p>
    <w:p w14:paraId="3D1E7B39" w14:textId="3C965F65" w:rsidR="0054298F" w:rsidRPr="009B012A" w:rsidRDefault="0054298F" w:rsidP="00D7145F">
      <w:pPr>
        <w:pStyle w:val="ReferencelistGJSD"/>
        <w:spacing w:after="0" w:line="480" w:lineRule="auto"/>
        <w:ind w:left="567" w:hanging="567"/>
        <w:jc w:val="both"/>
        <w:rPr>
          <w:rStyle w:val="Hyperlink"/>
          <w:color w:val="0C7DBB"/>
          <w:sz w:val="24"/>
        </w:rPr>
      </w:pPr>
      <w:r w:rsidRPr="009B012A">
        <w:rPr>
          <w:sz w:val="24"/>
        </w:rPr>
        <w:t xml:space="preserve">Bell, A.R. </w:t>
      </w:r>
      <w:r w:rsidR="003438D5" w:rsidRPr="009B012A">
        <w:rPr>
          <w:sz w:val="24"/>
        </w:rPr>
        <w:t>and</w:t>
      </w:r>
      <w:r w:rsidRPr="009B012A">
        <w:rPr>
          <w:sz w:val="24"/>
        </w:rPr>
        <w:t xml:space="preserve"> Brooks, C. (2019)</w:t>
      </w:r>
      <w:r w:rsidR="00D7145F" w:rsidRPr="009B012A">
        <w:rPr>
          <w:sz w:val="24"/>
        </w:rPr>
        <w:t>,</w:t>
      </w:r>
      <w:r w:rsidRPr="009B012A">
        <w:rPr>
          <w:sz w:val="24"/>
        </w:rPr>
        <w:t xml:space="preserve"> </w:t>
      </w:r>
      <w:r w:rsidR="00D7145F" w:rsidRPr="009B012A">
        <w:rPr>
          <w:sz w:val="24"/>
        </w:rPr>
        <w:t>“</w:t>
      </w:r>
      <w:r w:rsidRPr="009B012A">
        <w:rPr>
          <w:sz w:val="24"/>
        </w:rPr>
        <w:t>Is there a ‘magic link’ between research activity, professional teaching qualifications and student satisfaction?</w:t>
      </w:r>
      <w:r w:rsidR="00D7145F" w:rsidRPr="009B012A">
        <w:rPr>
          <w:sz w:val="24"/>
        </w:rPr>
        <w:t>”</w:t>
      </w:r>
      <w:r w:rsidRPr="009B012A">
        <w:rPr>
          <w:sz w:val="24"/>
        </w:rPr>
        <w:t xml:space="preserve"> </w:t>
      </w:r>
      <w:r w:rsidRPr="009B012A">
        <w:rPr>
          <w:i/>
          <w:iCs/>
          <w:sz w:val="24"/>
        </w:rPr>
        <w:t>Higher Education Policy</w:t>
      </w:r>
      <w:r w:rsidRPr="009B012A">
        <w:rPr>
          <w:sz w:val="24"/>
        </w:rPr>
        <w:t xml:space="preserve">, </w:t>
      </w:r>
      <w:r w:rsidR="00D7145F" w:rsidRPr="009B012A">
        <w:rPr>
          <w:sz w:val="24"/>
        </w:rPr>
        <w:t>Vol. 32, pp.</w:t>
      </w:r>
      <w:r w:rsidRPr="009B012A">
        <w:rPr>
          <w:sz w:val="24"/>
        </w:rPr>
        <w:t>227-248.</w:t>
      </w:r>
      <w:r w:rsidR="00D7145F" w:rsidRPr="009B012A">
        <w:rPr>
          <w:sz w:val="24"/>
        </w:rPr>
        <w:t xml:space="preserve"> </w:t>
      </w:r>
      <w:hyperlink r:id="rId11" w:history="1">
        <w:r w:rsidRPr="009B012A">
          <w:rPr>
            <w:rStyle w:val="Hyperlink"/>
            <w:sz w:val="24"/>
          </w:rPr>
          <w:t>https://doi.org/10.1057/s41307-018-0081-0</w:t>
        </w:r>
      </w:hyperlink>
    </w:p>
    <w:p w14:paraId="42866A2D" w14:textId="7952E288" w:rsidR="009B0951" w:rsidRPr="009B012A" w:rsidRDefault="0054298F" w:rsidP="00D7145F">
      <w:pPr>
        <w:pStyle w:val="ReferencelistGJSD"/>
        <w:spacing w:after="0" w:line="480" w:lineRule="auto"/>
        <w:ind w:left="567" w:hanging="567"/>
        <w:jc w:val="both"/>
        <w:rPr>
          <w:sz w:val="24"/>
        </w:rPr>
      </w:pPr>
      <w:r w:rsidRPr="009B012A">
        <w:rPr>
          <w:sz w:val="24"/>
        </w:rPr>
        <w:t xml:space="preserve">Bell, K. </w:t>
      </w:r>
      <w:r w:rsidR="003438D5" w:rsidRPr="009B012A">
        <w:rPr>
          <w:sz w:val="24"/>
        </w:rPr>
        <w:t>and</w:t>
      </w:r>
      <w:r w:rsidRPr="009B012A">
        <w:rPr>
          <w:sz w:val="24"/>
        </w:rPr>
        <w:t xml:space="preserve"> Reed, M. (2021)</w:t>
      </w:r>
      <w:r w:rsidR="00D7145F" w:rsidRPr="009B012A">
        <w:rPr>
          <w:sz w:val="24"/>
        </w:rPr>
        <w:t>,</w:t>
      </w:r>
      <w:r w:rsidRPr="009B012A">
        <w:rPr>
          <w:sz w:val="24"/>
        </w:rPr>
        <w:t xml:space="preserve"> </w:t>
      </w:r>
      <w:r w:rsidR="00D7145F" w:rsidRPr="009B012A">
        <w:rPr>
          <w:sz w:val="24"/>
        </w:rPr>
        <w:t>“</w:t>
      </w:r>
      <w:r w:rsidRPr="009B012A">
        <w:rPr>
          <w:sz w:val="24"/>
        </w:rPr>
        <w:t>The tree of participation: A new tool for engagers in participatory decision-making</w:t>
      </w:r>
      <w:r w:rsidR="00D7145F" w:rsidRPr="009B012A">
        <w:rPr>
          <w:sz w:val="24"/>
        </w:rPr>
        <w:t>”,</w:t>
      </w:r>
      <w:r w:rsidRPr="009B012A">
        <w:rPr>
          <w:sz w:val="24"/>
        </w:rPr>
        <w:t xml:space="preserve"> </w:t>
      </w:r>
      <w:r w:rsidRPr="009B012A">
        <w:rPr>
          <w:i/>
          <w:iCs/>
          <w:sz w:val="24"/>
        </w:rPr>
        <w:t>Community Development Journal</w:t>
      </w:r>
      <w:r w:rsidRPr="009B012A">
        <w:rPr>
          <w:sz w:val="24"/>
        </w:rPr>
        <w:t xml:space="preserve">, </w:t>
      </w:r>
      <w:r w:rsidR="009B0951" w:rsidRPr="009B012A">
        <w:rPr>
          <w:sz w:val="24"/>
        </w:rPr>
        <w:t xml:space="preserve">Vol. 2021, pp.1-20. </w:t>
      </w:r>
    </w:p>
    <w:p w14:paraId="556A0D54" w14:textId="39A40F19" w:rsidR="0054298F" w:rsidRPr="009B012A" w:rsidRDefault="004D4061" w:rsidP="009B0951">
      <w:pPr>
        <w:pStyle w:val="ReferencelistGJSD"/>
        <w:spacing w:after="0" w:line="480" w:lineRule="auto"/>
        <w:ind w:left="567"/>
        <w:jc w:val="both"/>
        <w:rPr>
          <w:sz w:val="24"/>
        </w:rPr>
      </w:pPr>
      <w:hyperlink r:id="rId12" w:history="1">
        <w:r w:rsidR="00D7145F" w:rsidRPr="009B012A">
          <w:rPr>
            <w:rStyle w:val="Hyperlink"/>
            <w:sz w:val="24"/>
          </w:rPr>
          <w:t>https://doi.org/10.1093/cdj/bsab018</w:t>
        </w:r>
      </w:hyperlink>
      <w:r w:rsidR="0054298F" w:rsidRPr="009B012A">
        <w:rPr>
          <w:sz w:val="24"/>
        </w:rPr>
        <w:t xml:space="preserve"> </w:t>
      </w:r>
    </w:p>
    <w:p w14:paraId="608E3544" w14:textId="75D4F695" w:rsidR="0054298F" w:rsidRPr="009B012A" w:rsidRDefault="0054298F" w:rsidP="00D7145F">
      <w:pPr>
        <w:pStyle w:val="ReferencelistGJSD"/>
        <w:spacing w:after="0" w:line="480" w:lineRule="auto"/>
        <w:ind w:left="567" w:hanging="567"/>
        <w:jc w:val="both"/>
        <w:rPr>
          <w:sz w:val="24"/>
        </w:rPr>
      </w:pPr>
      <w:r w:rsidRPr="009B012A">
        <w:rPr>
          <w:sz w:val="24"/>
        </w:rPr>
        <w:t xml:space="preserve">Bowman, B., Bell, K. </w:t>
      </w:r>
      <w:r w:rsidR="003438D5" w:rsidRPr="009B012A">
        <w:rPr>
          <w:sz w:val="24"/>
        </w:rPr>
        <w:t>and</w:t>
      </w:r>
      <w:r w:rsidRPr="009B012A">
        <w:rPr>
          <w:sz w:val="24"/>
        </w:rPr>
        <w:t xml:space="preserve"> Alexis-Martin, B. (2021)</w:t>
      </w:r>
      <w:r w:rsidR="00D7145F" w:rsidRPr="009B012A">
        <w:rPr>
          <w:sz w:val="24"/>
        </w:rPr>
        <w:t>,</w:t>
      </w:r>
      <w:r w:rsidRPr="009B012A">
        <w:rPr>
          <w:sz w:val="24"/>
        </w:rPr>
        <w:t xml:space="preserve"> </w:t>
      </w:r>
      <w:r w:rsidR="00D7145F" w:rsidRPr="009B012A">
        <w:rPr>
          <w:sz w:val="24"/>
        </w:rPr>
        <w:t>“</w:t>
      </w:r>
      <w:r w:rsidRPr="009B012A">
        <w:rPr>
          <w:sz w:val="24"/>
        </w:rPr>
        <w:t>Youth, climate and environmentalism</w:t>
      </w:r>
      <w:r w:rsidR="00D7145F" w:rsidRPr="009B012A">
        <w:rPr>
          <w:sz w:val="24"/>
        </w:rPr>
        <w:t>”,</w:t>
      </w:r>
      <w:r w:rsidRPr="009B012A">
        <w:rPr>
          <w:sz w:val="24"/>
        </w:rPr>
        <w:t xml:space="preserve"> K. Bell (Ed.), </w:t>
      </w:r>
      <w:r w:rsidRPr="009B012A">
        <w:rPr>
          <w:i/>
          <w:iCs/>
          <w:sz w:val="24"/>
        </w:rPr>
        <w:t>Diversity and Inclusion in Environmentalism</w:t>
      </w:r>
      <w:r w:rsidR="00D7145F" w:rsidRPr="009B012A">
        <w:rPr>
          <w:sz w:val="24"/>
        </w:rPr>
        <w:t xml:space="preserve">, Routledge, London, </w:t>
      </w:r>
      <w:r w:rsidR="00D7145F" w:rsidRPr="009B012A">
        <w:rPr>
          <w:sz w:val="24"/>
        </w:rPr>
        <w:br/>
        <w:t>pp.</w:t>
      </w:r>
      <w:r w:rsidRPr="009B012A">
        <w:rPr>
          <w:sz w:val="24"/>
        </w:rPr>
        <w:t>195-210</w:t>
      </w:r>
      <w:r w:rsidR="00D7145F" w:rsidRPr="009B012A">
        <w:rPr>
          <w:sz w:val="24"/>
        </w:rPr>
        <w:t>.</w:t>
      </w:r>
    </w:p>
    <w:p w14:paraId="0FB7C874" w14:textId="6D2FEECA" w:rsidR="00D07898" w:rsidRPr="009B012A" w:rsidRDefault="00D07898" w:rsidP="00D07898">
      <w:pPr>
        <w:pStyle w:val="ReferencelistGJSD"/>
        <w:spacing w:after="0" w:line="480" w:lineRule="auto"/>
        <w:ind w:left="567" w:hanging="567"/>
        <w:jc w:val="both"/>
        <w:rPr>
          <w:sz w:val="24"/>
        </w:rPr>
      </w:pPr>
      <w:proofErr w:type="spellStart"/>
      <w:r w:rsidRPr="009B012A">
        <w:rPr>
          <w:sz w:val="24"/>
        </w:rPr>
        <w:t>Buckholtz</w:t>
      </w:r>
      <w:proofErr w:type="spellEnd"/>
      <w:r w:rsidRPr="009B012A">
        <w:rPr>
          <w:sz w:val="24"/>
        </w:rPr>
        <w:t>, T.J.</w:t>
      </w:r>
      <w:r>
        <w:rPr>
          <w:sz w:val="24"/>
        </w:rPr>
        <w:t xml:space="preserve"> and </w:t>
      </w:r>
      <w:r w:rsidRPr="009B012A">
        <w:rPr>
          <w:sz w:val="24"/>
        </w:rPr>
        <w:t xml:space="preserve">Donald, W.E. (2022), “Direct outcomes and win-win relationships between university careers advisors and graduate recruiters”, </w:t>
      </w:r>
      <w:r w:rsidRPr="009B012A">
        <w:rPr>
          <w:i/>
          <w:iCs/>
          <w:sz w:val="24"/>
        </w:rPr>
        <w:t>GiLE Journal of Skills Development</w:t>
      </w:r>
      <w:r w:rsidRPr="009B012A">
        <w:rPr>
          <w:sz w:val="24"/>
        </w:rPr>
        <w:t xml:space="preserve">, Vol. 2 No. 1, pp.9-25. </w:t>
      </w:r>
      <w:r w:rsidRPr="009B012A">
        <w:rPr>
          <w:rStyle w:val="Hyperlink"/>
          <w:color w:val="0C7DBB"/>
        </w:rPr>
        <w:t>https://doi.org/10.52398/gjsd/2022.v2.i1.pp9-25</w:t>
      </w:r>
    </w:p>
    <w:p w14:paraId="3D3805D9" w14:textId="77777777" w:rsidR="008F2D2A" w:rsidRPr="009B012A" w:rsidRDefault="008F2D2A" w:rsidP="008F2D2A">
      <w:pPr>
        <w:pStyle w:val="ReferencelistGJSD"/>
        <w:spacing w:after="0" w:line="480" w:lineRule="auto"/>
        <w:ind w:left="567" w:hanging="567"/>
        <w:jc w:val="both"/>
        <w:rPr>
          <w:sz w:val="24"/>
        </w:rPr>
      </w:pPr>
      <w:r w:rsidRPr="009B012A">
        <w:rPr>
          <w:sz w:val="24"/>
        </w:rPr>
        <w:lastRenderedPageBreak/>
        <w:t xml:space="preserve">Byrne, C. (2022), “What determines perceived graduate employability? Exploring the effects of personal characteristics, academic achievements and graduate skills in a survey experiment”, </w:t>
      </w:r>
      <w:r w:rsidRPr="009B012A">
        <w:rPr>
          <w:i/>
          <w:iCs/>
          <w:sz w:val="24"/>
        </w:rPr>
        <w:t>Studies in Higher Education</w:t>
      </w:r>
      <w:r w:rsidRPr="009B012A">
        <w:rPr>
          <w:sz w:val="24"/>
        </w:rPr>
        <w:t>, Vol. 47 No. 1, pp.159-176.</w:t>
      </w:r>
    </w:p>
    <w:p w14:paraId="4875B822" w14:textId="153E94A9" w:rsidR="008F2D2A" w:rsidRPr="009B012A" w:rsidRDefault="004D4061" w:rsidP="008F2D2A">
      <w:pPr>
        <w:pStyle w:val="ReferencelistGJSD"/>
        <w:spacing w:after="0" w:line="480" w:lineRule="auto"/>
        <w:ind w:left="567"/>
        <w:jc w:val="both"/>
        <w:rPr>
          <w:rStyle w:val="Hyperlink"/>
        </w:rPr>
      </w:pPr>
      <w:hyperlink r:id="rId13" w:history="1">
        <w:r w:rsidR="008F2D2A" w:rsidRPr="009B012A">
          <w:rPr>
            <w:rStyle w:val="Hyperlink"/>
            <w:sz w:val="24"/>
          </w:rPr>
          <w:t>https://doi.org/10.1080/03075079.2020.1735329</w:t>
        </w:r>
      </w:hyperlink>
    </w:p>
    <w:p w14:paraId="4A9E652B" w14:textId="7C428B9A" w:rsidR="0054298F" w:rsidRPr="009B012A" w:rsidRDefault="0054298F" w:rsidP="00D7145F">
      <w:pPr>
        <w:pStyle w:val="ReferencelistGJSD"/>
        <w:spacing w:after="0" w:line="480" w:lineRule="auto"/>
        <w:ind w:left="567" w:hanging="567"/>
        <w:jc w:val="both"/>
        <w:rPr>
          <w:sz w:val="24"/>
        </w:rPr>
      </w:pPr>
      <w:r w:rsidRPr="009B012A">
        <w:rPr>
          <w:sz w:val="24"/>
        </w:rPr>
        <w:t xml:space="preserve">Cheng, M., </w:t>
      </w:r>
      <w:proofErr w:type="spellStart"/>
      <w:r w:rsidRPr="009B012A">
        <w:rPr>
          <w:sz w:val="24"/>
        </w:rPr>
        <w:t>Adekola</w:t>
      </w:r>
      <w:proofErr w:type="spellEnd"/>
      <w:r w:rsidRPr="009B012A">
        <w:rPr>
          <w:sz w:val="24"/>
        </w:rPr>
        <w:t xml:space="preserve">, O., Albia, J. </w:t>
      </w:r>
      <w:r w:rsidR="003438D5" w:rsidRPr="009B012A">
        <w:rPr>
          <w:sz w:val="24"/>
        </w:rPr>
        <w:t>and</w:t>
      </w:r>
      <w:r w:rsidRPr="009B012A">
        <w:rPr>
          <w:sz w:val="24"/>
        </w:rPr>
        <w:t xml:space="preserve"> Cai, S. (202</w:t>
      </w:r>
      <w:r w:rsidR="009B0951" w:rsidRPr="009B012A">
        <w:rPr>
          <w:sz w:val="24"/>
        </w:rPr>
        <w:t>2</w:t>
      </w:r>
      <w:r w:rsidRPr="009B012A">
        <w:rPr>
          <w:sz w:val="24"/>
        </w:rPr>
        <w:t>)</w:t>
      </w:r>
      <w:r w:rsidR="00D7145F" w:rsidRPr="009B012A">
        <w:rPr>
          <w:sz w:val="24"/>
        </w:rPr>
        <w:t>,</w:t>
      </w:r>
      <w:r w:rsidRPr="009B012A">
        <w:rPr>
          <w:sz w:val="24"/>
        </w:rPr>
        <w:t xml:space="preserve"> </w:t>
      </w:r>
      <w:r w:rsidR="00D7145F" w:rsidRPr="009B012A">
        <w:rPr>
          <w:sz w:val="24"/>
        </w:rPr>
        <w:t>“</w:t>
      </w:r>
      <w:r w:rsidRPr="009B012A">
        <w:rPr>
          <w:sz w:val="24"/>
        </w:rPr>
        <w:t>Employability in higher education: a review of key stakeholders’ perspectives</w:t>
      </w:r>
      <w:r w:rsidR="00D7145F" w:rsidRPr="009B012A">
        <w:rPr>
          <w:sz w:val="24"/>
        </w:rPr>
        <w:t xml:space="preserve">”, </w:t>
      </w:r>
      <w:r w:rsidRPr="009B012A">
        <w:rPr>
          <w:i/>
          <w:iCs/>
          <w:sz w:val="24"/>
        </w:rPr>
        <w:t>Higher Education Evaluation and Development</w:t>
      </w:r>
      <w:r w:rsidR="00D7145F" w:rsidRPr="009B012A">
        <w:rPr>
          <w:sz w:val="24"/>
        </w:rPr>
        <w:t xml:space="preserve">, </w:t>
      </w:r>
      <w:r w:rsidR="009B0951" w:rsidRPr="009B012A">
        <w:rPr>
          <w:sz w:val="24"/>
        </w:rPr>
        <w:t xml:space="preserve">Vol. 16 No. 1, pp.16-31. </w:t>
      </w:r>
      <w:hyperlink r:id="rId14" w:tooltip="DOI: https://doi.org/10.1108/HEED-03-2021-0025" w:history="1">
        <w:r w:rsidRPr="009B012A">
          <w:rPr>
            <w:rStyle w:val="Hyperlink"/>
            <w:color w:val="0C7DBB"/>
            <w:sz w:val="24"/>
          </w:rPr>
          <w:t>https://doi.org/10.1108/HEED-03-2021-0025</w:t>
        </w:r>
      </w:hyperlink>
    </w:p>
    <w:p w14:paraId="026E5D01" w14:textId="77777777" w:rsidR="00AD3B9A" w:rsidRPr="009B012A" w:rsidRDefault="00AD3B9A" w:rsidP="00D7145F">
      <w:pPr>
        <w:pStyle w:val="ReferencelistGJSD"/>
        <w:spacing w:after="0" w:line="480" w:lineRule="auto"/>
        <w:ind w:left="567" w:hanging="567"/>
        <w:jc w:val="both"/>
        <w:rPr>
          <w:sz w:val="24"/>
        </w:rPr>
      </w:pPr>
      <w:r w:rsidRPr="009B012A">
        <w:rPr>
          <w:sz w:val="24"/>
        </w:rPr>
        <w:t xml:space="preserve">Coetzee, M. and Engelbrecht, L. (2020), “How employability attributes mediate the link between knowledge workers’ career adaption concerns and their self-perceived employability”, </w:t>
      </w:r>
      <w:r w:rsidRPr="009B012A">
        <w:rPr>
          <w:i/>
          <w:iCs/>
          <w:sz w:val="24"/>
        </w:rPr>
        <w:t xml:space="preserve">Psychological </w:t>
      </w:r>
      <w:proofErr w:type="spellStart"/>
      <w:r w:rsidRPr="009B012A">
        <w:rPr>
          <w:i/>
          <w:iCs/>
          <w:sz w:val="24"/>
        </w:rPr>
        <w:t>Reports</w:t>
      </w:r>
      <w:r w:rsidRPr="009B012A">
        <w:rPr>
          <w:sz w:val="24"/>
        </w:rPr>
        <w:t>¸Vol</w:t>
      </w:r>
      <w:proofErr w:type="spellEnd"/>
      <w:r w:rsidRPr="009B012A">
        <w:rPr>
          <w:sz w:val="24"/>
        </w:rPr>
        <w:t>. 123 No. 4, pp.1005-1026.</w:t>
      </w:r>
    </w:p>
    <w:p w14:paraId="0213650E" w14:textId="55501E88" w:rsidR="00AD3B9A" w:rsidRPr="009B012A" w:rsidRDefault="004D4061" w:rsidP="00AD3B9A">
      <w:pPr>
        <w:pStyle w:val="ReferencelistGJSD"/>
        <w:spacing w:after="0" w:line="480" w:lineRule="auto"/>
        <w:ind w:left="567"/>
        <w:jc w:val="both"/>
        <w:rPr>
          <w:sz w:val="24"/>
        </w:rPr>
      </w:pPr>
      <w:hyperlink r:id="rId15" w:history="1">
        <w:r w:rsidR="00AD3B9A" w:rsidRPr="009B012A">
          <w:rPr>
            <w:rStyle w:val="Hyperlink"/>
            <w:sz w:val="24"/>
          </w:rPr>
          <w:t>https://doi.org/10.1177/0033294119844981</w:t>
        </w:r>
      </w:hyperlink>
    </w:p>
    <w:p w14:paraId="09CF81BE" w14:textId="09EE8A08" w:rsidR="00E67DCE" w:rsidRPr="009B012A" w:rsidRDefault="00E67DCE" w:rsidP="00D7145F">
      <w:pPr>
        <w:pStyle w:val="ReferencelistGJSD"/>
        <w:spacing w:after="0" w:line="480" w:lineRule="auto"/>
        <w:ind w:left="567" w:hanging="567"/>
        <w:jc w:val="both"/>
        <w:rPr>
          <w:sz w:val="24"/>
        </w:rPr>
      </w:pPr>
      <w:r w:rsidRPr="009B012A">
        <w:rPr>
          <w:sz w:val="24"/>
        </w:rPr>
        <w:t xml:space="preserve">Cole, D. and Coulson, B. (2022), “Through and beyond COVID-19, promoting whole person, lifelong and lifewide learning”, </w:t>
      </w:r>
      <w:r w:rsidRPr="009B012A">
        <w:rPr>
          <w:i/>
          <w:iCs/>
          <w:sz w:val="24"/>
        </w:rPr>
        <w:t>Journal of Innovation in Polytechnic Education</w:t>
      </w:r>
      <w:r w:rsidRPr="009B012A">
        <w:rPr>
          <w:sz w:val="24"/>
        </w:rPr>
        <w:t>, Vol. 4 No. 1, pp.81-90.</w:t>
      </w:r>
    </w:p>
    <w:p w14:paraId="5F1562B7" w14:textId="1799FEC5" w:rsidR="00AD3B9A" w:rsidRPr="009B012A" w:rsidRDefault="0054298F" w:rsidP="00D7145F">
      <w:pPr>
        <w:pStyle w:val="ReferencelistGJSD"/>
        <w:spacing w:after="0" w:line="480" w:lineRule="auto"/>
        <w:ind w:left="567" w:hanging="567"/>
        <w:jc w:val="both"/>
        <w:rPr>
          <w:sz w:val="24"/>
        </w:rPr>
      </w:pPr>
      <w:r w:rsidRPr="009B012A">
        <w:rPr>
          <w:sz w:val="24"/>
        </w:rPr>
        <w:t xml:space="preserve">Cole, D. </w:t>
      </w:r>
      <w:r w:rsidR="003438D5" w:rsidRPr="009B012A">
        <w:rPr>
          <w:sz w:val="24"/>
        </w:rPr>
        <w:t>and</w:t>
      </w:r>
      <w:r w:rsidRPr="009B012A">
        <w:rPr>
          <w:sz w:val="24"/>
        </w:rPr>
        <w:t xml:space="preserve"> Donald, W.E. (2022)</w:t>
      </w:r>
      <w:r w:rsidR="00D7145F" w:rsidRPr="009B012A">
        <w:rPr>
          <w:sz w:val="24"/>
        </w:rPr>
        <w:t>,</w:t>
      </w:r>
      <w:r w:rsidRPr="009B012A">
        <w:rPr>
          <w:sz w:val="24"/>
        </w:rPr>
        <w:t xml:space="preserve"> </w:t>
      </w:r>
      <w:r w:rsidR="00D7145F" w:rsidRPr="009B012A">
        <w:rPr>
          <w:sz w:val="24"/>
        </w:rPr>
        <w:t>“</w:t>
      </w:r>
      <w:r w:rsidRPr="009B012A">
        <w:rPr>
          <w:sz w:val="24"/>
        </w:rPr>
        <w:t>Shifting the narrative: Towards a more holistic approach for learning</w:t>
      </w:r>
      <w:r w:rsidR="00D7145F" w:rsidRPr="009B012A">
        <w:rPr>
          <w:sz w:val="24"/>
        </w:rPr>
        <w:t xml:space="preserve">”, </w:t>
      </w:r>
      <w:r w:rsidRPr="009B012A">
        <w:rPr>
          <w:i/>
          <w:iCs/>
          <w:sz w:val="24"/>
        </w:rPr>
        <w:t>GiLE Journal of Skills Development</w:t>
      </w:r>
      <w:r w:rsidR="00D7145F" w:rsidRPr="009B012A">
        <w:rPr>
          <w:sz w:val="24"/>
        </w:rPr>
        <w:t>,</w:t>
      </w:r>
      <w:r w:rsidRPr="009B012A">
        <w:rPr>
          <w:sz w:val="24"/>
        </w:rPr>
        <w:t xml:space="preserve"> </w:t>
      </w:r>
      <w:r w:rsidR="00AD3B9A" w:rsidRPr="009B012A">
        <w:rPr>
          <w:sz w:val="24"/>
        </w:rPr>
        <w:t xml:space="preserve">Vol. 2 No. 1, pp.3-4. </w:t>
      </w:r>
    </w:p>
    <w:p w14:paraId="399BF8F0" w14:textId="410E5D12" w:rsidR="0054298F" w:rsidRPr="009B012A" w:rsidRDefault="00AD3B9A" w:rsidP="00AD3B9A">
      <w:pPr>
        <w:pStyle w:val="ReferencelistGJSD"/>
        <w:spacing w:after="0" w:line="480" w:lineRule="auto"/>
        <w:ind w:left="567"/>
        <w:jc w:val="both"/>
        <w:rPr>
          <w:sz w:val="24"/>
        </w:rPr>
      </w:pPr>
      <w:r w:rsidRPr="009B012A">
        <w:rPr>
          <w:rStyle w:val="Hyperlink"/>
          <w:color w:val="0C7DBB"/>
        </w:rPr>
        <w:t>https://doi.org/10.52398/gjsd/2022.v2.i1.pp3-4</w:t>
      </w:r>
    </w:p>
    <w:p w14:paraId="2FA9F29E" w14:textId="693BFF31" w:rsidR="0054298F" w:rsidRPr="009B012A" w:rsidRDefault="0054298F" w:rsidP="00D7145F">
      <w:pPr>
        <w:pStyle w:val="ReferencelistGJSD"/>
        <w:spacing w:after="0" w:line="480" w:lineRule="auto"/>
        <w:ind w:left="567" w:hanging="567"/>
        <w:jc w:val="both"/>
        <w:rPr>
          <w:sz w:val="24"/>
        </w:rPr>
      </w:pPr>
      <w:r w:rsidRPr="009B012A">
        <w:rPr>
          <w:sz w:val="24"/>
        </w:rPr>
        <w:t xml:space="preserve">Cook, J.D., Hepworth, S.I., Wall, T.D. </w:t>
      </w:r>
      <w:r w:rsidR="003438D5" w:rsidRPr="009B012A">
        <w:rPr>
          <w:sz w:val="24"/>
        </w:rPr>
        <w:t>and</w:t>
      </w:r>
      <w:r w:rsidRPr="009B012A">
        <w:rPr>
          <w:sz w:val="24"/>
        </w:rPr>
        <w:t xml:space="preserve"> Warr, P.T. (1981)</w:t>
      </w:r>
      <w:r w:rsidR="00D7145F" w:rsidRPr="009B012A">
        <w:rPr>
          <w:sz w:val="24"/>
        </w:rPr>
        <w:t>,</w:t>
      </w:r>
      <w:r w:rsidRPr="009B012A">
        <w:rPr>
          <w:sz w:val="24"/>
        </w:rPr>
        <w:t xml:space="preserve"> </w:t>
      </w:r>
      <w:r w:rsidRPr="009B012A">
        <w:rPr>
          <w:i/>
          <w:iCs/>
          <w:sz w:val="24"/>
        </w:rPr>
        <w:t xml:space="preserve">The experience of work: A compendium and review of 249 measures and their use. </w:t>
      </w:r>
      <w:r w:rsidRPr="009B012A">
        <w:rPr>
          <w:sz w:val="24"/>
        </w:rPr>
        <w:t>Academic Press</w:t>
      </w:r>
      <w:r w:rsidR="00D7145F" w:rsidRPr="009B012A">
        <w:rPr>
          <w:sz w:val="24"/>
        </w:rPr>
        <w:t>, London</w:t>
      </w:r>
      <w:r w:rsidRPr="009B012A">
        <w:rPr>
          <w:sz w:val="24"/>
        </w:rPr>
        <w:t>.</w:t>
      </w:r>
    </w:p>
    <w:p w14:paraId="25CD72AA" w14:textId="427D63BA" w:rsidR="0054298F" w:rsidRPr="009B012A" w:rsidRDefault="0054298F" w:rsidP="00D7145F">
      <w:pPr>
        <w:pStyle w:val="ReferencelistGJSD"/>
        <w:spacing w:after="0" w:line="480" w:lineRule="auto"/>
        <w:ind w:left="567" w:hanging="567"/>
        <w:jc w:val="both"/>
        <w:rPr>
          <w:sz w:val="24"/>
        </w:rPr>
      </w:pPr>
      <w:r w:rsidRPr="009B012A">
        <w:rPr>
          <w:sz w:val="24"/>
        </w:rPr>
        <w:t>De Vos, A., Van der Heijden, B.</w:t>
      </w:r>
      <w:r w:rsidR="00D7145F" w:rsidRPr="009B012A">
        <w:rPr>
          <w:sz w:val="24"/>
        </w:rPr>
        <w:t>I.J.M.</w:t>
      </w:r>
      <w:r w:rsidRPr="009B012A">
        <w:rPr>
          <w:sz w:val="24"/>
        </w:rPr>
        <w:t xml:space="preserve"> </w:t>
      </w:r>
      <w:r w:rsidR="003438D5" w:rsidRPr="009B012A">
        <w:rPr>
          <w:sz w:val="24"/>
        </w:rPr>
        <w:t>and</w:t>
      </w:r>
      <w:r w:rsidRPr="009B012A">
        <w:rPr>
          <w:sz w:val="24"/>
        </w:rPr>
        <w:t xml:space="preserve"> Akkermans, J. (2020)</w:t>
      </w:r>
      <w:r w:rsidR="00D7145F" w:rsidRPr="009B012A">
        <w:rPr>
          <w:sz w:val="24"/>
        </w:rPr>
        <w:t>,</w:t>
      </w:r>
      <w:r w:rsidRPr="009B012A">
        <w:rPr>
          <w:sz w:val="24"/>
        </w:rPr>
        <w:t xml:space="preserve"> </w:t>
      </w:r>
      <w:r w:rsidR="00D7145F" w:rsidRPr="009B012A">
        <w:rPr>
          <w:sz w:val="24"/>
        </w:rPr>
        <w:t>“</w:t>
      </w:r>
      <w:r w:rsidRPr="009B012A">
        <w:rPr>
          <w:sz w:val="24"/>
        </w:rPr>
        <w:t>Sustainable careers: Towards a conceptual model</w:t>
      </w:r>
      <w:r w:rsidR="00D7145F" w:rsidRPr="009B012A">
        <w:rPr>
          <w:sz w:val="24"/>
        </w:rPr>
        <w:t xml:space="preserve">”, </w:t>
      </w:r>
      <w:r w:rsidRPr="009B012A">
        <w:rPr>
          <w:i/>
          <w:iCs/>
          <w:sz w:val="24"/>
        </w:rPr>
        <w:t xml:space="preserve">Journal of Vocational </w:t>
      </w:r>
      <w:proofErr w:type="spellStart"/>
      <w:r w:rsidRPr="009B012A">
        <w:rPr>
          <w:i/>
          <w:iCs/>
          <w:sz w:val="24"/>
        </w:rPr>
        <w:t>Behavior</w:t>
      </w:r>
      <w:proofErr w:type="spellEnd"/>
      <w:r w:rsidRPr="009B012A">
        <w:rPr>
          <w:sz w:val="24"/>
        </w:rPr>
        <w:t xml:space="preserve">, </w:t>
      </w:r>
      <w:r w:rsidR="00D7145F" w:rsidRPr="009B012A">
        <w:rPr>
          <w:sz w:val="24"/>
        </w:rPr>
        <w:t xml:space="preserve">Vol. 117, </w:t>
      </w:r>
      <w:r w:rsidRPr="009B012A">
        <w:rPr>
          <w:sz w:val="24"/>
        </w:rPr>
        <w:t xml:space="preserve">103196. </w:t>
      </w:r>
      <w:hyperlink r:id="rId16" w:tgtFrame="_blank" w:tooltip="Persistent link using digital object identifier" w:history="1">
        <w:r w:rsidRPr="009B012A">
          <w:rPr>
            <w:rStyle w:val="Hyperlink"/>
            <w:color w:val="0C7DBB"/>
            <w:sz w:val="24"/>
          </w:rPr>
          <w:t>https://doi.org/10.1016/j.jvb.2018.06.011</w:t>
        </w:r>
      </w:hyperlink>
    </w:p>
    <w:p w14:paraId="13F5CC50" w14:textId="77777777" w:rsidR="00D07898" w:rsidRDefault="00D07898">
      <w:pPr>
        <w:suppressAutoHyphens w:val="0"/>
        <w:spacing w:after="160" w:line="259" w:lineRule="auto"/>
        <w:rPr>
          <w:rFonts w:ascii="Times New Roman" w:hAnsi="Times New Roman" w:cs="Times New Roman"/>
          <w:sz w:val="24"/>
          <w:szCs w:val="24"/>
        </w:rPr>
      </w:pPr>
      <w:r>
        <w:rPr>
          <w:sz w:val="24"/>
        </w:rPr>
        <w:br w:type="page"/>
      </w:r>
    </w:p>
    <w:p w14:paraId="55B4A060" w14:textId="62E8B1B1" w:rsidR="0054298F" w:rsidRPr="009B012A" w:rsidRDefault="0054298F" w:rsidP="00D7145F">
      <w:pPr>
        <w:pStyle w:val="ReferencelistGJSD"/>
        <w:spacing w:after="0" w:line="480" w:lineRule="auto"/>
        <w:ind w:left="567" w:hanging="567"/>
        <w:rPr>
          <w:i/>
          <w:iCs/>
          <w:sz w:val="24"/>
        </w:rPr>
      </w:pPr>
      <w:r w:rsidRPr="009B012A">
        <w:rPr>
          <w:sz w:val="24"/>
        </w:rPr>
        <w:lastRenderedPageBreak/>
        <w:t>Department for Business Innovation and Skills. (2015)</w:t>
      </w:r>
      <w:r w:rsidR="00D7145F" w:rsidRPr="009B012A">
        <w:rPr>
          <w:sz w:val="24"/>
        </w:rPr>
        <w:t>,</w:t>
      </w:r>
      <w:r w:rsidRPr="009B012A">
        <w:rPr>
          <w:sz w:val="24"/>
        </w:rPr>
        <w:t xml:space="preserve"> </w:t>
      </w:r>
      <w:r w:rsidR="00D7145F" w:rsidRPr="009B012A">
        <w:rPr>
          <w:sz w:val="24"/>
        </w:rPr>
        <w:t>“</w:t>
      </w:r>
      <w:r w:rsidRPr="009B012A">
        <w:rPr>
          <w:sz w:val="24"/>
        </w:rPr>
        <w:t>Fulfilling our potential: teaching excellence, social mobility and student choice</w:t>
      </w:r>
      <w:r w:rsidR="00D7145F" w:rsidRPr="009B012A">
        <w:rPr>
          <w:sz w:val="24"/>
        </w:rPr>
        <w:t xml:space="preserve">”, available at: </w:t>
      </w:r>
      <w:hyperlink r:id="rId17" w:history="1">
        <w:r w:rsidR="00D7145F" w:rsidRPr="009B012A">
          <w:rPr>
            <w:rStyle w:val="Hyperlink"/>
            <w:i/>
            <w:iCs/>
            <w:sz w:val="24"/>
          </w:rPr>
          <w:t>https://www.</w:t>
        </w:r>
        <w:r w:rsidR="00D7145F" w:rsidRPr="009B012A">
          <w:rPr>
            <w:rStyle w:val="Hyperlink"/>
            <w:i/>
            <w:iCs/>
            <w:sz w:val="24"/>
          </w:rPr>
          <w:br/>
          <w:t>timeshighereducation.com/sites/default/files/breaking_news_files/green_paper.pdf</w:t>
        </w:r>
      </w:hyperlink>
    </w:p>
    <w:p w14:paraId="0D85FBEC" w14:textId="47CDF7BD" w:rsidR="00D7145F" w:rsidRPr="009B012A" w:rsidRDefault="00D7145F" w:rsidP="00D7145F">
      <w:pPr>
        <w:pStyle w:val="ReferencelistGJSD"/>
        <w:spacing w:after="0" w:line="480" w:lineRule="auto"/>
        <w:ind w:left="567"/>
        <w:rPr>
          <w:color w:val="FF0000"/>
          <w:sz w:val="24"/>
        </w:rPr>
      </w:pPr>
      <w:r w:rsidRPr="009B012A">
        <w:rPr>
          <w:sz w:val="24"/>
        </w:rPr>
        <w:t xml:space="preserve">(accessed </w:t>
      </w:r>
      <w:r w:rsidR="00AD3B9A" w:rsidRPr="009B012A">
        <w:rPr>
          <w:sz w:val="24"/>
        </w:rPr>
        <w:t>12</w:t>
      </w:r>
      <w:r w:rsidRPr="009B012A">
        <w:rPr>
          <w:sz w:val="24"/>
        </w:rPr>
        <w:t xml:space="preserve"> Ma</w:t>
      </w:r>
      <w:r w:rsidR="00AD3B9A" w:rsidRPr="009B012A">
        <w:rPr>
          <w:sz w:val="24"/>
        </w:rPr>
        <w:t>y</w:t>
      </w:r>
      <w:r w:rsidRPr="009B012A">
        <w:rPr>
          <w:sz w:val="24"/>
        </w:rPr>
        <w:t xml:space="preserve"> 2022).</w:t>
      </w:r>
    </w:p>
    <w:p w14:paraId="79A0E7C6" w14:textId="57ABD9F3" w:rsidR="0082486A" w:rsidRPr="009B012A" w:rsidRDefault="0082486A" w:rsidP="000D4E8B">
      <w:pPr>
        <w:pStyle w:val="ReferencelistGJSD"/>
        <w:spacing w:after="0" w:line="480" w:lineRule="auto"/>
        <w:ind w:left="567" w:hanging="567"/>
        <w:jc w:val="both"/>
        <w:rPr>
          <w:sz w:val="24"/>
        </w:rPr>
      </w:pPr>
      <w:r w:rsidRPr="009B012A">
        <w:rPr>
          <w:sz w:val="24"/>
        </w:rPr>
        <w:t xml:space="preserve">Donald. W.E. (2022), “Content analysis of metadata, titles, and abstracts (CAMTA): application of the method to business and management research”, </w:t>
      </w:r>
      <w:r w:rsidRPr="009B012A">
        <w:rPr>
          <w:i/>
          <w:iCs/>
          <w:sz w:val="24"/>
        </w:rPr>
        <w:t>Management Research Review</w:t>
      </w:r>
      <w:r w:rsidRPr="009B012A">
        <w:rPr>
          <w:sz w:val="24"/>
        </w:rPr>
        <w:t xml:space="preserve">, Vol. 45 No. 1, pp.47-64. </w:t>
      </w:r>
      <w:r w:rsidRPr="009B012A">
        <w:rPr>
          <w:rStyle w:val="Hyperlink"/>
          <w:color w:val="0C7DBB"/>
        </w:rPr>
        <w:t>https://doi.org/10.1108/MRR-02-2021-0116</w:t>
      </w:r>
    </w:p>
    <w:p w14:paraId="17EDB9C6" w14:textId="5AFB66BB" w:rsidR="00A96555" w:rsidRPr="009B012A" w:rsidRDefault="0054298F" w:rsidP="00D7145F">
      <w:pPr>
        <w:pStyle w:val="ReferencelistGJSD"/>
        <w:spacing w:after="0" w:line="480" w:lineRule="auto"/>
        <w:ind w:left="567" w:hanging="567"/>
        <w:jc w:val="both"/>
        <w:rPr>
          <w:sz w:val="24"/>
        </w:rPr>
      </w:pPr>
      <w:r w:rsidRPr="009B012A">
        <w:rPr>
          <w:sz w:val="24"/>
        </w:rPr>
        <w:t xml:space="preserve">Donald, W.E., Ashleigh, M.J. </w:t>
      </w:r>
      <w:r w:rsidR="003438D5" w:rsidRPr="009B012A">
        <w:rPr>
          <w:sz w:val="24"/>
        </w:rPr>
        <w:t>and</w:t>
      </w:r>
      <w:r w:rsidRPr="009B012A">
        <w:rPr>
          <w:sz w:val="24"/>
        </w:rPr>
        <w:t xml:space="preserve"> Baruch, Y. (2018)</w:t>
      </w:r>
      <w:r w:rsidR="00D7145F" w:rsidRPr="009B012A">
        <w:rPr>
          <w:sz w:val="24"/>
        </w:rPr>
        <w:t>,</w:t>
      </w:r>
      <w:r w:rsidRPr="009B012A">
        <w:rPr>
          <w:sz w:val="24"/>
        </w:rPr>
        <w:t xml:space="preserve"> </w:t>
      </w:r>
      <w:r w:rsidR="00D7145F" w:rsidRPr="009B012A">
        <w:rPr>
          <w:sz w:val="24"/>
        </w:rPr>
        <w:t>“</w:t>
      </w:r>
      <w:r w:rsidRPr="009B012A">
        <w:rPr>
          <w:sz w:val="24"/>
        </w:rPr>
        <w:t>Students’ perceptions of education and employability: Facilitating career transition from higher education into the labour market</w:t>
      </w:r>
      <w:r w:rsidR="00D7145F" w:rsidRPr="009B012A">
        <w:rPr>
          <w:sz w:val="24"/>
        </w:rPr>
        <w:t xml:space="preserve">”, </w:t>
      </w:r>
      <w:r w:rsidRPr="009B012A">
        <w:rPr>
          <w:i/>
          <w:iCs/>
          <w:sz w:val="24"/>
        </w:rPr>
        <w:t>Career Development International</w:t>
      </w:r>
      <w:r w:rsidRPr="009B012A">
        <w:rPr>
          <w:sz w:val="24"/>
        </w:rPr>
        <w:t xml:space="preserve">, </w:t>
      </w:r>
      <w:r w:rsidR="00D7145F" w:rsidRPr="009B012A">
        <w:rPr>
          <w:sz w:val="24"/>
        </w:rPr>
        <w:t xml:space="preserve">Vol. 23 No. 5, pp. </w:t>
      </w:r>
      <w:r w:rsidRPr="009B012A">
        <w:rPr>
          <w:sz w:val="24"/>
        </w:rPr>
        <w:t xml:space="preserve">513-540. </w:t>
      </w:r>
    </w:p>
    <w:p w14:paraId="03990DA6" w14:textId="305949F8" w:rsidR="0054298F" w:rsidRPr="009B012A" w:rsidRDefault="004D4061" w:rsidP="00D7145F">
      <w:pPr>
        <w:pStyle w:val="ReferencelistGJSD"/>
        <w:spacing w:after="0" w:line="480" w:lineRule="auto"/>
        <w:ind w:left="567"/>
        <w:jc w:val="both"/>
        <w:rPr>
          <w:sz w:val="24"/>
        </w:rPr>
      </w:pPr>
      <w:hyperlink r:id="rId18" w:history="1">
        <w:r w:rsidR="00A96555" w:rsidRPr="009B012A">
          <w:rPr>
            <w:rStyle w:val="Hyperlink"/>
            <w:sz w:val="24"/>
          </w:rPr>
          <w:t>https://doi.org/10.1108/CDI-09-2017-0171</w:t>
        </w:r>
      </w:hyperlink>
    </w:p>
    <w:p w14:paraId="0FC38DB4" w14:textId="2743A21B" w:rsidR="0054298F" w:rsidRPr="009B012A" w:rsidRDefault="0054298F" w:rsidP="00D7145F">
      <w:pPr>
        <w:pStyle w:val="ReferencelistGJSD"/>
        <w:spacing w:after="0" w:line="480" w:lineRule="auto"/>
        <w:ind w:left="567" w:hanging="567"/>
        <w:jc w:val="both"/>
        <w:rPr>
          <w:rStyle w:val="Hyperlink"/>
          <w:color w:val="0C7DBB"/>
          <w:sz w:val="24"/>
        </w:rPr>
      </w:pPr>
      <w:r w:rsidRPr="009B012A">
        <w:rPr>
          <w:sz w:val="24"/>
        </w:rPr>
        <w:t xml:space="preserve">Donald, W.E., Ashleigh, M.J. </w:t>
      </w:r>
      <w:r w:rsidR="003438D5" w:rsidRPr="009B012A">
        <w:rPr>
          <w:sz w:val="24"/>
        </w:rPr>
        <w:t>and</w:t>
      </w:r>
      <w:r w:rsidRPr="009B012A">
        <w:rPr>
          <w:sz w:val="24"/>
        </w:rPr>
        <w:t xml:space="preserve"> Baruch, Y. (2021)</w:t>
      </w:r>
      <w:r w:rsidR="00D7145F" w:rsidRPr="009B012A">
        <w:rPr>
          <w:sz w:val="24"/>
        </w:rPr>
        <w:t>,</w:t>
      </w:r>
      <w:r w:rsidRPr="009B012A">
        <w:rPr>
          <w:sz w:val="24"/>
        </w:rPr>
        <w:t xml:space="preserve"> </w:t>
      </w:r>
      <w:r w:rsidR="00D7145F" w:rsidRPr="009B012A">
        <w:rPr>
          <w:sz w:val="24"/>
        </w:rPr>
        <w:t>“</w:t>
      </w:r>
      <w:r w:rsidRPr="009B012A">
        <w:rPr>
          <w:sz w:val="24"/>
        </w:rPr>
        <w:t>The university-to-work transition: Responses of universities and organizations to the COVID-19 pandemic</w:t>
      </w:r>
      <w:r w:rsidR="00D7145F" w:rsidRPr="009B012A">
        <w:rPr>
          <w:sz w:val="24"/>
        </w:rPr>
        <w:t>”,</w:t>
      </w:r>
      <w:r w:rsidRPr="009B012A">
        <w:rPr>
          <w:sz w:val="24"/>
        </w:rPr>
        <w:t xml:space="preserve"> </w:t>
      </w:r>
      <w:r w:rsidRPr="009B012A">
        <w:rPr>
          <w:i/>
          <w:iCs/>
          <w:sz w:val="24"/>
        </w:rPr>
        <w:t>Personnel Review</w:t>
      </w:r>
      <w:r w:rsidR="00D7145F" w:rsidRPr="009B012A">
        <w:rPr>
          <w:sz w:val="24"/>
        </w:rPr>
        <w:t>, (ahead-of-print)</w:t>
      </w:r>
      <w:r w:rsidRPr="009B012A">
        <w:rPr>
          <w:sz w:val="24"/>
        </w:rPr>
        <w:t xml:space="preserve">. </w:t>
      </w:r>
      <w:hyperlink r:id="rId19" w:tooltip="DOI: https://doi.org/10.1108/PR-03-2021-0170" w:history="1">
        <w:r w:rsidRPr="009B012A">
          <w:rPr>
            <w:rStyle w:val="Hyperlink"/>
            <w:color w:val="0C7DBB"/>
            <w:sz w:val="24"/>
          </w:rPr>
          <w:t>https://doi.org/10.1108/PR-03-2021-0170</w:t>
        </w:r>
      </w:hyperlink>
    </w:p>
    <w:p w14:paraId="5C1FEA23" w14:textId="1AE9CDB6" w:rsidR="0054298F" w:rsidRPr="009B012A" w:rsidRDefault="0054298F" w:rsidP="00D7145F">
      <w:pPr>
        <w:pStyle w:val="ReferencelistGJSD"/>
        <w:spacing w:after="0" w:line="480" w:lineRule="auto"/>
        <w:ind w:left="567" w:hanging="567"/>
        <w:jc w:val="both"/>
        <w:rPr>
          <w:sz w:val="24"/>
        </w:rPr>
      </w:pPr>
      <w:r w:rsidRPr="009B012A">
        <w:rPr>
          <w:sz w:val="24"/>
        </w:rPr>
        <w:t xml:space="preserve">Donald, W.E., Baruch, Y. </w:t>
      </w:r>
      <w:r w:rsidR="003438D5" w:rsidRPr="009B012A">
        <w:rPr>
          <w:sz w:val="24"/>
        </w:rPr>
        <w:t>and</w:t>
      </w:r>
      <w:r w:rsidRPr="009B012A">
        <w:rPr>
          <w:sz w:val="24"/>
        </w:rPr>
        <w:t xml:space="preserve"> Ashleigh, M.J. (2019)</w:t>
      </w:r>
      <w:r w:rsidR="0068792E" w:rsidRPr="009B012A">
        <w:rPr>
          <w:sz w:val="24"/>
        </w:rPr>
        <w:t>,</w:t>
      </w:r>
      <w:r w:rsidRPr="009B012A">
        <w:rPr>
          <w:sz w:val="24"/>
        </w:rPr>
        <w:t xml:space="preserve"> </w:t>
      </w:r>
      <w:r w:rsidR="0068792E" w:rsidRPr="009B012A">
        <w:rPr>
          <w:sz w:val="24"/>
        </w:rPr>
        <w:t>“</w:t>
      </w:r>
      <w:r w:rsidRPr="009B012A">
        <w:rPr>
          <w:sz w:val="24"/>
        </w:rPr>
        <w:t>The undergraduate self-perception of employability: Human capital, careers advice and career ownership</w:t>
      </w:r>
      <w:r w:rsidR="0068792E" w:rsidRPr="009B012A">
        <w:rPr>
          <w:sz w:val="24"/>
        </w:rPr>
        <w:t>”,</w:t>
      </w:r>
      <w:r w:rsidRPr="009B012A">
        <w:rPr>
          <w:sz w:val="24"/>
        </w:rPr>
        <w:t xml:space="preserve"> </w:t>
      </w:r>
      <w:r w:rsidRPr="009B012A">
        <w:rPr>
          <w:i/>
          <w:iCs/>
          <w:sz w:val="24"/>
        </w:rPr>
        <w:t>Studies in Higher Education</w:t>
      </w:r>
      <w:r w:rsidRPr="009B012A">
        <w:rPr>
          <w:sz w:val="24"/>
        </w:rPr>
        <w:t xml:space="preserve">, </w:t>
      </w:r>
      <w:r w:rsidR="0068792E" w:rsidRPr="009B012A">
        <w:rPr>
          <w:sz w:val="24"/>
        </w:rPr>
        <w:t>Vol. 44 No. 4, pp.</w:t>
      </w:r>
      <w:r w:rsidRPr="009B012A">
        <w:rPr>
          <w:sz w:val="24"/>
        </w:rPr>
        <w:t xml:space="preserve">599-614. </w:t>
      </w:r>
      <w:hyperlink r:id="rId20" w:history="1">
        <w:r w:rsidRPr="009B012A">
          <w:rPr>
            <w:rStyle w:val="Hyperlink"/>
            <w:color w:val="0C7DBB"/>
            <w:sz w:val="24"/>
          </w:rPr>
          <w:t>https://doi.org/10.1080/03075079.2017.1387107</w:t>
        </w:r>
      </w:hyperlink>
    </w:p>
    <w:p w14:paraId="1B4E00F5" w14:textId="77777777" w:rsidR="0068792E" w:rsidRPr="009B012A" w:rsidRDefault="0054298F" w:rsidP="00D7145F">
      <w:pPr>
        <w:pStyle w:val="ReferencelistGJSD"/>
        <w:spacing w:after="0" w:line="480" w:lineRule="auto"/>
        <w:ind w:left="567" w:hanging="567"/>
        <w:jc w:val="both"/>
        <w:rPr>
          <w:sz w:val="24"/>
        </w:rPr>
      </w:pPr>
      <w:r w:rsidRPr="009B012A">
        <w:rPr>
          <w:sz w:val="24"/>
        </w:rPr>
        <w:t xml:space="preserve">Donald, W.E., Baruch, Y. </w:t>
      </w:r>
      <w:r w:rsidR="003438D5" w:rsidRPr="009B012A">
        <w:rPr>
          <w:sz w:val="24"/>
        </w:rPr>
        <w:t>and</w:t>
      </w:r>
      <w:r w:rsidRPr="009B012A">
        <w:rPr>
          <w:sz w:val="24"/>
        </w:rPr>
        <w:t xml:space="preserve"> Ashleigh, M.J. (2020)</w:t>
      </w:r>
      <w:r w:rsidR="0068792E" w:rsidRPr="009B012A">
        <w:rPr>
          <w:sz w:val="24"/>
        </w:rPr>
        <w:t>,</w:t>
      </w:r>
      <w:r w:rsidRPr="009B012A">
        <w:rPr>
          <w:sz w:val="24"/>
        </w:rPr>
        <w:t xml:space="preserve"> </w:t>
      </w:r>
      <w:r w:rsidR="0068792E" w:rsidRPr="009B012A">
        <w:rPr>
          <w:sz w:val="24"/>
        </w:rPr>
        <w:t>“</w:t>
      </w:r>
      <w:r w:rsidRPr="009B012A">
        <w:rPr>
          <w:sz w:val="24"/>
        </w:rPr>
        <w:t>Striving for sustainable graduate careers: Conceptualization via career ecosystems and the new psychological contract</w:t>
      </w:r>
      <w:r w:rsidR="0068792E" w:rsidRPr="009B012A">
        <w:rPr>
          <w:sz w:val="24"/>
        </w:rPr>
        <w:t>”,</w:t>
      </w:r>
      <w:r w:rsidRPr="009B012A">
        <w:rPr>
          <w:sz w:val="24"/>
        </w:rPr>
        <w:t xml:space="preserve"> </w:t>
      </w:r>
      <w:r w:rsidRPr="009B012A">
        <w:rPr>
          <w:i/>
          <w:iCs/>
          <w:sz w:val="24"/>
        </w:rPr>
        <w:t>Career Development International</w:t>
      </w:r>
      <w:r w:rsidRPr="009B012A">
        <w:rPr>
          <w:sz w:val="24"/>
        </w:rPr>
        <w:t>,</w:t>
      </w:r>
      <w:r w:rsidR="0068792E" w:rsidRPr="009B012A">
        <w:rPr>
          <w:sz w:val="24"/>
        </w:rPr>
        <w:t xml:space="preserve"> Vol. 25 No. 2, pp.</w:t>
      </w:r>
      <w:r w:rsidRPr="009B012A">
        <w:rPr>
          <w:sz w:val="24"/>
        </w:rPr>
        <w:t>90-110.</w:t>
      </w:r>
    </w:p>
    <w:p w14:paraId="4F661FF3" w14:textId="1A877246" w:rsidR="0054298F" w:rsidRPr="009B012A" w:rsidRDefault="004D4061" w:rsidP="0068792E">
      <w:pPr>
        <w:pStyle w:val="ReferencelistGJSD"/>
        <w:spacing w:after="0" w:line="480" w:lineRule="auto"/>
        <w:ind w:left="567"/>
        <w:jc w:val="both"/>
        <w:rPr>
          <w:rStyle w:val="Hyperlink"/>
          <w:color w:val="0C7DBB"/>
          <w:sz w:val="24"/>
        </w:rPr>
      </w:pPr>
      <w:hyperlink r:id="rId21" w:tooltip="DOI: https://doi.org/10.1108/CDI-03-2019-0079" w:history="1">
        <w:r w:rsidR="0054298F" w:rsidRPr="009B012A">
          <w:rPr>
            <w:rStyle w:val="Hyperlink"/>
            <w:color w:val="0C7DBB"/>
            <w:sz w:val="24"/>
          </w:rPr>
          <w:t>https://doi.org/10.1108/CDI-03-2019-0079</w:t>
        </w:r>
      </w:hyperlink>
    </w:p>
    <w:p w14:paraId="1B594F4D" w14:textId="6E739FFD" w:rsidR="0068792E" w:rsidRPr="009B012A" w:rsidRDefault="0054298F" w:rsidP="00D7145F">
      <w:pPr>
        <w:pStyle w:val="ReferencelistGJSD"/>
        <w:spacing w:after="0" w:line="480" w:lineRule="auto"/>
        <w:ind w:left="567" w:hanging="567"/>
        <w:jc w:val="both"/>
        <w:rPr>
          <w:sz w:val="24"/>
        </w:rPr>
      </w:pPr>
      <w:proofErr w:type="spellStart"/>
      <w:r w:rsidRPr="009B012A">
        <w:rPr>
          <w:sz w:val="24"/>
        </w:rPr>
        <w:t>Draissi</w:t>
      </w:r>
      <w:proofErr w:type="spellEnd"/>
      <w:r w:rsidRPr="009B012A">
        <w:rPr>
          <w:sz w:val="24"/>
        </w:rPr>
        <w:t xml:space="preserve">, Z., </w:t>
      </w:r>
      <w:proofErr w:type="spellStart"/>
      <w:r w:rsidRPr="009B012A">
        <w:rPr>
          <w:sz w:val="24"/>
        </w:rPr>
        <w:t>Zhanyong</w:t>
      </w:r>
      <w:proofErr w:type="spellEnd"/>
      <w:r w:rsidRPr="009B012A">
        <w:rPr>
          <w:sz w:val="24"/>
        </w:rPr>
        <w:t>, Q.</w:t>
      </w:r>
      <w:r w:rsidR="003438D5" w:rsidRPr="009B012A">
        <w:rPr>
          <w:sz w:val="24"/>
        </w:rPr>
        <w:t xml:space="preserve"> and</w:t>
      </w:r>
      <w:r w:rsidRPr="009B012A">
        <w:rPr>
          <w:sz w:val="24"/>
        </w:rPr>
        <w:t xml:space="preserve"> </w:t>
      </w:r>
      <w:proofErr w:type="spellStart"/>
      <w:r w:rsidRPr="009B012A">
        <w:rPr>
          <w:sz w:val="24"/>
        </w:rPr>
        <w:t>Raguindin</w:t>
      </w:r>
      <w:proofErr w:type="spellEnd"/>
      <w:r w:rsidRPr="009B012A">
        <w:rPr>
          <w:sz w:val="24"/>
        </w:rPr>
        <w:t>, P.Z.J. (2022)</w:t>
      </w:r>
      <w:r w:rsidR="0068792E" w:rsidRPr="009B012A">
        <w:rPr>
          <w:sz w:val="24"/>
        </w:rPr>
        <w:t>,</w:t>
      </w:r>
      <w:r w:rsidRPr="009B012A">
        <w:rPr>
          <w:sz w:val="24"/>
        </w:rPr>
        <w:t xml:space="preserve"> </w:t>
      </w:r>
      <w:r w:rsidR="0068792E" w:rsidRPr="009B012A">
        <w:rPr>
          <w:sz w:val="24"/>
        </w:rPr>
        <w:t>“</w:t>
      </w:r>
      <w:r w:rsidRPr="009B012A">
        <w:rPr>
          <w:sz w:val="24"/>
        </w:rPr>
        <w:t xml:space="preserve">Knowledge mapping of skills mismatch phenomenon: A </w:t>
      </w:r>
      <w:proofErr w:type="spellStart"/>
      <w:r w:rsidRPr="009B012A">
        <w:rPr>
          <w:sz w:val="24"/>
        </w:rPr>
        <w:t>scientometric</w:t>
      </w:r>
      <w:proofErr w:type="spellEnd"/>
      <w:r w:rsidRPr="009B012A">
        <w:rPr>
          <w:sz w:val="24"/>
        </w:rPr>
        <w:t xml:space="preserve"> analysis</w:t>
      </w:r>
      <w:r w:rsidR="0068792E" w:rsidRPr="009B012A">
        <w:rPr>
          <w:sz w:val="24"/>
        </w:rPr>
        <w:t>”,</w:t>
      </w:r>
      <w:r w:rsidRPr="009B012A">
        <w:rPr>
          <w:sz w:val="24"/>
        </w:rPr>
        <w:t xml:space="preserve"> </w:t>
      </w:r>
      <w:r w:rsidRPr="009B012A">
        <w:rPr>
          <w:i/>
          <w:iCs/>
          <w:sz w:val="24"/>
        </w:rPr>
        <w:t>Higher Education, Skills and Work-Based Learning</w:t>
      </w:r>
      <w:r w:rsidRPr="009B012A">
        <w:rPr>
          <w:sz w:val="24"/>
        </w:rPr>
        <w:t xml:space="preserve">, </w:t>
      </w:r>
      <w:r w:rsidR="0068792E" w:rsidRPr="009B012A">
        <w:rPr>
          <w:sz w:val="24"/>
        </w:rPr>
        <w:t>Vol. 12 No. 2, pp.</w:t>
      </w:r>
      <w:r w:rsidRPr="009B012A">
        <w:rPr>
          <w:sz w:val="24"/>
        </w:rPr>
        <w:t xml:space="preserve">271-293. </w:t>
      </w:r>
    </w:p>
    <w:p w14:paraId="1BE481F3" w14:textId="49BF5953" w:rsidR="0054298F" w:rsidRPr="009B012A" w:rsidRDefault="004D4061" w:rsidP="0068792E">
      <w:pPr>
        <w:pStyle w:val="ReferencelistGJSD"/>
        <w:spacing w:after="0" w:line="480" w:lineRule="auto"/>
        <w:ind w:left="567"/>
        <w:jc w:val="both"/>
        <w:rPr>
          <w:sz w:val="24"/>
        </w:rPr>
      </w:pPr>
      <w:hyperlink r:id="rId22" w:history="1">
        <w:r w:rsidR="0068792E" w:rsidRPr="009B012A">
          <w:rPr>
            <w:rStyle w:val="Hyperlink"/>
            <w:sz w:val="24"/>
          </w:rPr>
          <w:t>https://doi.org/10.1108/HESWBL-02-2021-0019</w:t>
        </w:r>
      </w:hyperlink>
    </w:p>
    <w:p w14:paraId="0027E0CB" w14:textId="6643733F" w:rsidR="008F2D2A" w:rsidRPr="009B012A" w:rsidRDefault="008F2D2A" w:rsidP="00D7145F">
      <w:pPr>
        <w:pStyle w:val="ReferencelistGJSD"/>
        <w:spacing w:after="0" w:line="480" w:lineRule="auto"/>
        <w:ind w:left="567" w:hanging="567"/>
        <w:jc w:val="both"/>
        <w:rPr>
          <w:sz w:val="24"/>
        </w:rPr>
      </w:pPr>
      <w:proofErr w:type="spellStart"/>
      <w:r w:rsidRPr="009B012A">
        <w:rPr>
          <w:sz w:val="24"/>
        </w:rPr>
        <w:lastRenderedPageBreak/>
        <w:t>Fakunle</w:t>
      </w:r>
      <w:proofErr w:type="spellEnd"/>
      <w:r w:rsidRPr="009B012A">
        <w:rPr>
          <w:sz w:val="24"/>
        </w:rPr>
        <w:t xml:space="preserve">, O. (2021), “International students’ perspectives on developing employability during study abroad”, </w:t>
      </w:r>
      <w:r w:rsidRPr="009B012A">
        <w:rPr>
          <w:i/>
          <w:iCs/>
          <w:sz w:val="24"/>
        </w:rPr>
        <w:t>Higher Education Quarterly</w:t>
      </w:r>
      <w:r w:rsidRPr="009B012A">
        <w:rPr>
          <w:sz w:val="24"/>
        </w:rPr>
        <w:t>, Vol. 75 No. 4, pp.575-590.</w:t>
      </w:r>
    </w:p>
    <w:p w14:paraId="44A918D8" w14:textId="2A18335C" w:rsidR="008F2D2A" w:rsidRPr="009B012A" w:rsidRDefault="004D4061" w:rsidP="008F2D2A">
      <w:pPr>
        <w:pStyle w:val="ReferencelistGJSD"/>
        <w:spacing w:after="0" w:line="480" w:lineRule="auto"/>
        <w:ind w:left="567"/>
        <w:jc w:val="both"/>
        <w:rPr>
          <w:rStyle w:val="Hyperlink"/>
        </w:rPr>
      </w:pPr>
      <w:hyperlink r:id="rId23" w:history="1">
        <w:r w:rsidR="008F2D2A" w:rsidRPr="009B012A">
          <w:rPr>
            <w:rStyle w:val="Hyperlink"/>
            <w:sz w:val="24"/>
          </w:rPr>
          <w:t>https://doi.org/10.1111/hequ.12308</w:t>
        </w:r>
      </w:hyperlink>
    </w:p>
    <w:p w14:paraId="3132F920" w14:textId="77777777" w:rsidR="00326CE7" w:rsidRPr="009B012A" w:rsidRDefault="00326CE7" w:rsidP="00326CE7">
      <w:pPr>
        <w:pStyle w:val="ReferencelistGJSD"/>
        <w:spacing w:after="0" w:line="480" w:lineRule="auto"/>
        <w:ind w:left="567" w:hanging="567"/>
        <w:jc w:val="both"/>
        <w:rPr>
          <w:sz w:val="24"/>
        </w:rPr>
      </w:pPr>
      <w:r w:rsidRPr="009B012A">
        <w:rPr>
          <w:sz w:val="24"/>
        </w:rPr>
        <w:t xml:space="preserve">Gu, J., Zhao, D. and Wu, J. (2018), “Can curriculum help career success? An empirical research on the perceived employability of students”, </w:t>
      </w:r>
      <w:r w:rsidRPr="009B012A">
        <w:rPr>
          <w:i/>
          <w:iCs/>
          <w:sz w:val="24"/>
        </w:rPr>
        <w:t>Higher Education Research &amp; Development</w:t>
      </w:r>
      <w:r w:rsidRPr="009B012A">
        <w:rPr>
          <w:sz w:val="24"/>
        </w:rPr>
        <w:t xml:space="preserve">, Vol. 37 No. 5, pp.966-983. </w:t>
      </w:r>
    </w:p>
    <w:p w14:paraId="0E3AC620" w14:textId="79FF13BA" w:rsidR="00326CE7" w:rsidRPr="009B012A" w:rsidRDefault="004D4061" w:rsidP="00326CE7">
      <w:pPr>
        <w:pStyle w:val="ReferencelistGJSD"/>
        <w:spacing w:after="0" w:line="480" w:lineRule="auto"/>
        <w:ind w:left="567"/>
        <w:jc w:val="both"/>
        <w:rPr>
          <w:sz w:val="24"/>
        </w:rPr>
      </w:pPr>
      <w:hyperlink r:id="rId24" w:history="1">
        <w:r w:rsidR="00326CE7" w:rsidRPr="009B012A">
          <w:rPr>
            <w:rStyle w:val="Hyperlink"/>
            <w:sz w:val="24"/>
          </w:rPr>
          <w:t>https://doi.org/10.1080/07294360.2018.1473843</w:t>
        </w:r>
      </w:hyperlink>
    </w:p>
    <w:p w14:paraId="700FE75E" w14:textId="34EF7A36" w:rsidR="00A96555" w:rsidRPr="009B012A" w:rsidRDefault="0054298F" w:rsidP="00D7145F">
      <w:pPr>
        <w:pStyle w:val="ReferencelistGJSD"/>
        <w:spacing w:after="0" w:line="480" w:lineRule="auto"/>
        <w:ind w:left="567" w:hanging="567"/>
        <w:jc w:val="both"/>
        <w:rPr>
          <w:sz w:val="24"/>
        </w:rPr>
      </w:pPr>
      <w:r w:rsidRPr="009B012A">
        <w:rPr>
          <w:sz w:val="24"/>
        </w:rPr>
        <w:t>Heffernan, T. (2022)</w:t>
      </w:r>
      <w:r w:rsidR="007F443E" w:rsidRPr="009B012A">
        <w:rPr>
          <w:sz w:val="24"/>
        </w:rPr>
        <w:t>,</w:t>
      </w:r>
      <w:r w:rsidRPr="009B012A">
        <w:rPr>
          <w:sz w:val="24"/>
        </w:rPr>
        <w:t xml:space="preserve"> </w:t>
      </w:r>
      <w:r w:rsidR="007F443E" w:rsidRPr="009B012A">
        <w:rPr>
          <w:sz w:val="24"/>
        </w:rPr>
        <w:t>“</w:t>
      </w:r>
      <w:r w:rsidRPr="009B012A">
        <w:rPr>
          <w:sz w:val="24"/>
        </w:rPr>
        <w:t>Sexism, racism, prejudice, and bias: a literature review and synthesis of research surrounding student evaluations of course and teaching</w:t>
      </w:r>
      <w:r w:rsidR="007F443E" w:rsidRPr="009B012A">
        <w:rPr>
          <w:sz w:val="24"/>
        </w:rPr>
        <w:t>”,</w:t>
      </w:r>
      <w:r w:rsidRPr="009B012A">
        <w:rPr>
          <w:sz w:val="24"/>
        </w:rPr>
        <w:t xml:space="preserve"> </w:t>
      </w:r>
      <w:r w:rsidRPr="009B012A">
        <w:rPr>
          <w:i/>
          <w:iCs/>
          <w:sz w:val="24"/>
        </w:rPr>
        <w:t>Assessment &amp; Evaluation in Higher Education</w:t>
      </w:r>
      <w:r w:rsidRPr="009B012A">
        <w:rPr>
          <w:sz w:val="24"/>
        </w:rPr>
        <w:t xml:space="preserve">, </w:t>
      </w:r>
      <w:r w:rsidR="007F443E" w:rsidRPr="009B012A">
        <w:rPr>
          <w:sz w:val="24"/>
        </w:rPr>
        <w:t>Vol. 47 No. 1, pp.</w:t>
      </w:r>
      <w:r w:rsidRPr="009B012A">
        <w:rPr>
          <w:sz w:val="24"/>
        </w:rPr>
        <w:t xml:space="preserve">144-154. </w:t>
      </w:r>
    </w:p>
    <w:p w14:paraId="285A047F" w14:textId="1C4FC539" w:rsidR="0054298F" w:rsidRPr="009B012A" w:rsidRDefault="004D4061" w:rsidP="00D7145F">
      <w:pPr>
        <w:pStyle w:val="ReferencelistGJSD"/>
        <w:spacing w:after="0" w:line="480" w:lineRule="auto"/>
        <w:ind w:left="567"/>
        <w:jc w:val="both"/>
        <w:rPr>
          <w:sz w:val="24"/>
        </w:rPr>
      </w:pPr>
      <w:hyperlink r:id="rId25" w:history="1">
        <w:r w:rsidR="00A96555" w:rsidRPr="009B012A">
          <w:rPr>
            <w:rStyle w:val="Hyperlink"/>
            <w:sz w:val="24"/>
          </w:rPr>
          <w:t>https://doi.org/10.1080/02602938.2021.1888075</w:t>
        </w:r>
      </w:hyperlink>
    </w:p>
    <w:p w14:paraId="7DC61348" w14:textId="77777777" w:rsidR="007F443E" w:rsidRPr="009B012A" w:rsidRDefault="0054298F" w:rsidP="00D7145F">
      <w:pPr>
        <w:pStyle w:val="ReferencelistGJSD"/>
        <w:spacing w:after="0" w:line="480" w:lineRule="auto"/>
        <w:ind w:left="567" w:hanging="567"/>
        <w:jc w:val="both"/>
        <w:rPr>
          <w:sz w:val="24"/>
        </w:rPr>
      </w:pPr>
      <w:proofErr w:type="spellStart"/>
      <w:r w:rsidRPr="009B012A">
        <w:rPr>
          <w:sz w:val="24"/>
        </w:rPr>
        <w:t>Jakubik</w:t>
      </w:r>
      <w:proofErr w:type="spellEnd"/>
      <w:r w:rsidRPr="009B012A">
        <w:rPr>
          <w:sz w:val="24"/>
        </w:rPr>
        <w:t>, M. (2020)</w:t>
      </w:r>
      <w:r w:rsidR="007F443E" w:rsidRPr="009B012A">
        <w:rPr>
          <w:sz w:val="24"/>
        </w:rPr>
        <w:t>,</w:t>
      </w:r>
      <w:r w:rsidRPr="009B012A">
        <w:rPr>
          <w:sz w:val="24"/>
        </w:rPr>
        <w:t xml:space="preserve"> </w:t>
      </w:r>
      <w:r w:rsidR="007F443E" w:rsidRPr="009B012A">
        <w:rPr>
          <w:sz w:val="24"/>
        </w:rPr>
        <w:t>“</w:t>
      </w:r>
      <w:r w:rsidRPr="009B012A">
        <w:rPr>
          <w:sz w:val="24"/>
        </w:rPr>
        <w:t>Enhancing human capital beyond university boundaries</w:t>
      </w:r>
      <w:r w:rsidR="007F443E" w:rsidRPr="009B012A">
        <w:rPr>
          <w:sz w:val="24"/>
        </w:rPr>
        <w:t>”,</w:t>
      </w:r>
      <w:r w:rsidRPr="009B012A">
        <w:rPr>
          <w:sz w:val="24"/>
        </w:rPr>
        <w:t xml:space="preserve"> </w:t>
      </w:r>
      <w:r w:rsidRPr="009B012A">
        <w:rPr>
          <w:i/>
          <w:iCs/>
          <w:sz w:val="24"/>
        </w:rPr>
        <w:t>Higher Education, Skills and Work-Based Learning</w:t>
      </w:r>
      <w:r w:rsidRPr="009B012A">
        <w:rPr>
          <w:sz w:val="24"/>
        </w:rPr>
        <w:t>,</w:t>
      </w:r>
      <w:r w:rsidR="007F443E" w:rsidRPr="009B012A">
        <w:rPr>
          <w:sz w:val="24"/>
        </w:rPr>
        <w:t xml:space="preserve"> Vol. 10 No. 2, pp.</w:t>
      </w:r>
      <w:r w:rsidRPr="009B012A">
        <w:rPr>
          <w:sz w:val="24"/>
        </w:rPr>
        <w:t>434-446.</w:t>
      </w:r>
    </w:p>
    <w:p w14:paraId="206B3EFA" w14:textId="32DEB568" w:rsidR="0054298F" w:rsidRPr="009B012A" w:rsidRDefault="0054298F" w:rsidP="007F443E">
      <w:pPr>
        <w:pStyle w:val="ReferencelistGJSD"/>
        <w:spacing w:after="0" w:line="480" w:lineRule="auto"/>
        <w:ind w:left="567"/>
        <w:jc w:val="both"/>
        <w:rPr>
          <w:sz w:val="24"/>
        </w:rPr>
      </w:pPr>
      <w:r w:rsidRPr="009B012A">
        <w:rPr>
          <w:rStyle w:val="Hyperlink"/>
          <w:color w:val="0C7DBB"/>
          <w:sz w:val="24"/>
        </w:rPr>
        <w:t>https://doi.org/10.1108/heswbl-06-2019-0074</w:t>
      </w:r>
    </w:p>
    <w:p w14:paraId="4D5BB132" w14:textId="355129FB" w:rsidR="0054298F" w:rsidRPr="009B012A" w:rsidRDefault="0054298F" w:rsidP="00D7145F">
      <w:pPr>
        <w:pStyle w:val="ReferencelistGJSD"/>
        <w:spacing w:after="0" w:line="480" w:lineRule="auto"/>
        <w:ind w:left="567" w:hanging="567"/>
        <w:jc w:val="both"/>
        <w:rPr>
          <w:sz w:val="24"/>
        </w:rPr>
      </w:pPr>
      <w:proofErr w:type="spellStart"/>
      <w:r w:rsidRPr="009B012A">
        <w:rPr>
          <w:sz w:val="24"/>
        </w:rPr>
        <w:t>Jakubik</w:t>
      </w:r>
      <w:proofErr w:type="spellEnd"/>
      <w:r w:rsidRPr="009B012A">
        <w:rPr>
          <w:sz w:val="24"/>
        </w:rPr>
        <w:t>, M. (2021)</w:t>
      </w:r>
      <w:r w:rsidR="007F443E" w:rsidRPr="009B012A">
        <w:rPr>
          <w:sz w:val="24"/>
        </w:rPr>
        <w:t>,</w:t>
      </w:r>
      <w:r w:rsidRPr="009B012A">
        <w:rPr>
          <w:sz w:val="24"/>
        </w:rPr>
        <w:t xml:space="preserve"> </w:t>
      </w:r>
      <w:r w:rsidR="007F443E" w:rsidRPr="009B012A">
        <w:rPr>
          <w:sz w:val="24"/>
        </w:rPr>
        <w:t>“</w:t>
      </w:r>
      <w:r w:rsidRPr="009B012A">
        <w:rPr>
          <w:sz w:val="24"/>
        </w:rPr>
        <w:t>Searching for practical wisdom in higher education with logos, pathos and ethos. Case: Finnish Universities of Sciences</w:t>
      </w:r>
      <w:r w:rsidR="007F443E" w:rsidRPr="009B012A">
        <w:rPr>
          <w:sz w:val="24"/>
        </w:rPr>
        <w:t>”,</w:t>
      </w:r>
      <w:r w:rsidRPr="009B012A">
        <w:rPr>
          <w:sz w:val="24"/>
        </w:rPr>
        <w:t xml:space="preserve"> </w:t>
      </w:r>
      <w:r w:rsidRPr="009B012A">
        <w:rPr>
          <w:i/>
          <w:iCs/>
          <w:sz w:val="24"/>
        </w:rPr>
        <w:t>Philosophies</w:t>
      </w:r>
      <w:r w:rsidRPr="009B012A">
        <w:rPr>
          <w:sz w:val="24"/>
        </w:rPr>
        <w:t xml:space="preserve">, </w:t>
      </w:r>
      <w:r w:rsidR="007F443E" w:rsidRPr="009B012A">
        <w:rPr>
          <w:sz w:val="24"/>
        </w:rPr>
        <w:t>Vol. 6 No. 3, p.</w:t>
      </w:r>
      <w:r w:rsidRPr="009B012A">
        <w:rPr>
          <w:sz w:val="24"/>
        </w:rPr>
        <w:t xml:space="preserve">63. </w:t>
      </w:r>
    </w:p>
    <w:p w14:paraId="51A9A3BB" w14:textId="4FDDAA92" w:rsidR="0054298F" w:rsidRPr="009B012A" w:rsidRDefault="004D4061" w:rsidP="00D7145F">
      <w:pPr>
        <w:pStyle w:val="ReferencelistGJSD"/>
        <w:spacing w:after="0" w:line="480" w:lineRule="auto"/>
        <w:ind w:left="567"/>
        <w:jc w:val="both"/>
        <w:rPr>
          <w:i/>
          <w:iCs/>
          <w:sz w:val="24"/>
        </w:rPr>
      </w:pPr>
      <w:hyperlink r:id="rId26" w:history="1">
        <w:r w:rsidR="00A96555" w:rsidRPr="009B012A">
          <w:rPr>
            <w:rStyle w:val="Hyperlink"/>
            <w:sz w:val="24"/>
          </w:rPr>
          <w:t>https://doi.org/10.3390/philosophies6030063</w:t>
        </w:r>
      </w:hyperlink>
    </w:p>
    <w:p w14:paraId="00EACF86" w14:textId="17EE06B8" w:rsidR="0054298F" w:rsidRPr="009B012A" w:rsidRDefault="0054298F" w:rsidP="007F443E">
      <w:pPr>
        <w:pStyle w:val="ReferencelistGJSD"/>
        <w:spacing w:after="0" w:line="480" w:lineRule="auto"/>
        <w:ind w:left="567" w:hanging="567"/>
        <w:jc w:val="both"/>
        <w:rPr>
          <w:rStyle w:val="Hyperlink"/>
          <w:color w:val="0C7DBB"/>
          <w:sz w:val="24"/>
        </w:rPr>
      </w:pPr>
      <w:proofErr w:type="spellStart"/>
      <w:r w:rsidRPr="009B012A">
        <w:rPr>
          <w:sz w:val="24"/>
        </w:rPr>
        <w:t>Kalfa</w:t>
      </w:r>
      <w:proofErr w:type="spellEnd"/>
      <w:r w:rsidRPr="009B012A">
        <w:rPr>
          <w:sz w:val="24"/>
        </w:rPr>
        <w:t xml:space="preserve">, S. </w:t>
      </w:r>
      <w:r w:rsidR="003438D5" w:rsidRPr="009B012A">
        <w:rPr>
          <w:sz w:val="24"/>
        </w:rPr>
        <w:t>and</w:t>
      </w:r>
      <w:r w:rsidRPr="009B012A">
        <w:rPr>
          <w:sz w:val="24"/>
        </w:rPr>
        <w:t xml:space="preserve"> </w:t>
      </w:r>
      <w:proofErr w:type="spellStart"/>
      <w:r w:rsidRPr="009B012A">
        <w:rPr>
          <w:sz w:val="24"/>
        </w:rPr>
        <w:t>Taksa</w:t>
      </w:r>
      <w:proofErr w:type="spellEnd"/>
      <w:r w:rsidRPr="009B012A">
        <w:rPr>
          <w:sz w:val="24"/>
        </w:rPr>
        <w:t>, L. (2015)</w:t>
      </w:r>
      <w:r w:rsidR="007F443E" w:rsidRPr="009B012A">
        <w:rPr>
          <w:sz w:val="24"/>
        </w:rPr>
        <w:t>,</w:t>
      </w:r>
      <w:r w:rsidRPr="009B012A">
        <w:rPr>
          <w:sz w:val="24"/>
        </w:rPr>
        <w:t xml:space="preserve"> </w:t>
      </w:r>
      <w:r w:rsidR="007F443E" w:rsidRPr="009B012A">
        <w:rPr>
          <w:sz w:val="24"/>
        </w:rPr>
        <w:t>“</w:t>
      </w:r>
      <w:r w:rsidRPr="009B012A">
        <w:rPr>
          <w:sz w:val="24"/>
        </w:rPr>
        <w:t>Cultural capital in business higher education: Reconsidering the graduate attributes movement and the focus on employability</w:t>
      </w:r>
      <w:r w:rsidR="007F443E" w:rsidRPr="009B012A">
        <w:rPr>
          <w:sz w:val="24"/>
        </w:rPr>
        <w:t>”,</w:t>
      </w:r>
      <w:r w:rsidRPr="009B012A">
        <w:rPr>
          <w:sz w:val="24"/>
        </w:rPr>
        <w:t xml:space="preserve"> </w:t>
      </w:r>
      <w:r w:rsidRPr="009B012A">
        <w:rPr>
          <w:i/>
          <w:iCs/>
          <w:sz w:val="24"/>
        </w:rPr>
        <w:t>Studies in Higher Education</w:t>
      </w:r>
      <w:r w:rsidRPr="009B012A">
        <w:rPr>
          <w:sz w:val="24"/>
        </w:rPr>
        <w:t xml:space="preserve">, </w:t>
      </w:r>
      <w:r w:rsidR="007F443E" w:rsidRPr="009B012A">
        <w:rPr>
          <w:sz w:val="24"/>
        </w:rPr>
        <w:t>Vol. 40 No. 4, pp.</w:t>
      </w:r>
      <w:r w:rsidRPr="009B012A">
        <w:rPr>
          <w:sz w:val="24"/>
        </w:rPr>
        <w:t xml:space="preserve">580-595. </w:t>
      </w:r>
      <w:hyperlink r:id="rId27" w:history="1">
        <w:r w:rsidR="00A96555" w:rsidRPr="009B012A">
          <w:rPr>
            <w:rStyle w:val="Hyperlink"/>
            <w:sz w:val="24"/>
          </w:rPr>
          <w:t>https://doi.org/10.1080/03075079.2013.842210</w:t>
        </w:r>
      </w:hyperlink>
    </w:p>
    <w:p w14:paraId="1AE4A1AE" w14:textId="47CE3E59" w:rsidR="00E67DCE" w:rsidRPr="009B012A" w:rsidRDefault="00E67DCE" w:rsidP="00D7145F">
      <w:pPr>
        <w:pStyle w:val="ReferencelistGJSD"/>
        <w:spacing w:after="0" w:line="480" w:lineRule="auto"/>
        <w:ind w:left="567" w:hanging="567"/>
        <w:jc w:val="both"/>
        <w:rPr>
          <w:sz w:val="24"/>
        </w:rPr>
      </w:pPr>
      <w:r w:rsidRPr="009B012A">
        <w:rPr>
          <w:sz w:val="24"/>
        </w:rPr>
        <w:t xml:space="preserve">Kim, D., Wortham, S., </w:t>
      </w:r>
      <w:proofErr w:type="spellStart"/>
      <w:r w:rsidRPr="009B012A">
        <w:rPr>
          <w:sz w:val="24"/>
        </w:rPr>
        <w:t>Borowiec</w:t>
      </w:r>
      <w:proofErr w:type="spellEnd"/>
      <w:r w:rsidRPr="009B012A">
        <w:rPr>
          <w:sz w:val="24"/>
        </w:rPr>
        <w:t xml:space="preserve">, K. et al. (2021), “Formative education online: Teaching the whole person during the Global COVID-19 Pandemic. </w:t>
      </w:r>
      <w:r w:rsidRPr="009B012A">
        <w:rPr>
          <w:i/>
          <w:iCs/>
          <w:sz w:val="24"/>
        </w:rPr>
        <w:t>AERA Open</w:t>
      </w:r>
      <w:r w:rsidRPr="009B012A">
        <w:rPr>
          <w:sz w:val="24"/>
        </w:rPr>
        <w:t xml:space="preserve">. </w:t>
      </w:r>
    </w:p>
    <w:p w14:paraId="55291E3E" w14:textId="4FF591BB" w:rsidR="0054298F" w:rsidRPr="009B012A" w:rsidRDefault="0054298F" w:rsidP="00D7145F">
      <w:pPr>
        <w:pStyle w:val="ReferencelistGJSD"/>
        <w:spacing w:after="0" w:line="480" w:lineRule="auto"/>
        <w:ind w:left="567" w:hanging="567"/>
        <w:jc w:val="both"/>
        <w:rPr>
          <w:rStyle w:val="Hyperlink"/>
          <w:color w:val="0C7DBB"/>
          <w:sz w:val="24"/>
        </w:rPr>
      </w:pPr>
      <w:proofErr w:type="spellStart"/>
      <w:r w:rsidRPr="009B012A">
        <w:rPr>
          <w:sz w:val="24"/>
        </w:rPr>
        <w:t>Kornelakis</w:t>
      </w:r>
      <w:proofErr w:type="spellEnd"/>
      <w:r w:rsidRPr="009B012A">
        <w:rPr>
          <w:sz w:val="24"/>
        </w:rPr>
        <w:t xml:space="preserve">, A. </w:t>
      </w:r>
      <w:r w:rsidR="003438D5" w:rsidRPr="009B012A">
        <w:rPr>
          <w:sz w:val="24"/>
        </w:rPr>
        <w:t>and</w:t>
      </w:r>
      <w:r w:rsidRPr="009B012A">
        <w:rPr>
          <w:sz w:val="24"/>
        </w:rPr>
        <w:t xml:space="preserve"> </w:t>
      </w:r>
      <w:proofErr w:type="spellStart"/>
      <w:r w:rsidRPr="009B012A">
        <w:rPr>
          <w:sz w:val="24"/>
        </w:rPr>
        <w:t>Petrakaki</w:t>
      </w:r>
      <w:proofErr w:type="spellEnd"/>
      <w:r w:rsidRPr="009B012A">
        <w:rPr>
          <w:sz w:val="24"/>
        </w:rPr>
        <w:t>, D. (2020)</w:t>
      </w:r>
      <w:r w:rsidR="007F443E" w:rsidRPr="009B012A">
        <w:rPr>
          <w:sz w:val="24"/>
        </w:rPr>
        <w:t>,</w:t>
      </w:r>
      <w:r w:rsidRPr="009B012A">
        <w:rPr>
          <w:sz w:val="24"/>
        </w:rPr>
        <w:t xml:space="preserve"> </w:t>
      </w:r>
      <w:r w:rsidR="007F443E" w:rsidRPr="009B012A">
        <w:rPr>
          <w:sz w:val="24"/>
        </w:rPr>
        <w:t>“</w:t>
      </w:r>
      <w:r w:rsidRPr="009B012A">
        <w:rPr>
          <w:sz w:val="24"/>
        </w:rPr>
        <w:t>Embedding employability skills in UK higher education: Between digitalization and marketization</w:t>
      </w:r>
      <w:r w:rsidR="007F443E" w:rsidRPr="009B012A">
        <w:rPr>
          <w:sz w:val="24"/>
        </w:rPr>
        <w:t>”,</w:t>
      </w:r>
      <w:r w:rsidRPr="009B012A">
        <w:rPr>
          <w:sz w:val="24"/>
        </w:rPr>
        <w:t xml:space="preserve"> </w:t>
      </w:r>
      <w:r w:rsidRPr="009B012A">
        <w:rPr>
          <w:i/>
          <w:iCs/>
          <w:sz w:val="24"/>
        </w:rPr>
        <w:t>Industry and Higher Education</w:t>
      </w:r>
      <w:r w:rsidRPr="009B012A">
        <w:rPr>
          <w:sz w:val="24"/>
        </w:rPr>
        <w:t xml:space="preserve">, </w:t>
      </w:r>
      <w:r w:rsidR="007F443E" w:rsidRPr="009B012A">
        <w:rPr>
          <w:sz w:val="24"/>
        </w:rPr>
        <w:t>Vol. 34 No. 5, pp.</w:t>
      </w:r>
      <w:r w:rsidRPr="009B012A">
        <w:rPr>
          <w:sz w:val="24"/>
        </w:rPr>
        <w:t xml:space="preserve">290-297. </w:t>
      </w:r>
      <w:hyperlink r:id="rId28" w:history="1">
        <w:r w:rsidRPr="009B012A">
          <w:rPr>
            <w:rStyle w:val="Hyperlink"/>
            <w:color w:val="0C7DBB"/>
            <w:sz w:val="24"/>
          </w:rPr>
          <w:t>https://doi.org/10.1177/0950422220902978</w:t>
        </w:r>
      </w:hyperlink>
    </w:p>
    <w:p w14:paraId="207F7745" w14:textId="3BBCBD79" w:rsidR="00355D43" w:rsidRPr="009B012A" w:rsidRDefault="00355D43" w:rsidP="00D7145F">
      <w:pPr>
        <w:pStyle w:val="ReferencelistGJSD"/>
        <w:spacing w:after="0" w:line="480" w:lineRule="auto"/>
        <w:ind w:left="567" w:hanging="567"/>
        <w:jc w:val="both"/>
        <w:rPr>
          <w:sz w:val="24"/>
        </w:rPr>
      </w:pPr>
      <w:proofErr w:type="spellStart"/>
      <w:r w:rsidRPr="009B012A">
        <w:rPr>
          <w:sz w:val="24"/>
        </w:rPr>
        <w:lastRenderedPageBreak/>
        <w:t>Krippendorff</w:t>
      </w:r>
      <w:proofErr w:type="spellEnd"/>
      <w:r w:rsidRPr="009B012A">
        <w:rPr>
          <w:sz w:val="24"/>
        </w:rPr>
        <w:t xml:space="preserve">, K. (1989), “Content Analysis”, E. </w:t>
      </w:r>
      <w:proofErr w:type="spellStart"/>
      <w:r w:rsidRPr="009B012A">
        <w:rPr>
          <w:sz w:val="24"/>
        </w:rPr>
        <w:t>Barnouw</w:t>
      </w:r>
      <w:proofErr w:type="spellEnd"/>
      <w:r w:rsidRPr="009B012A">
        <w:rPr>
          <w:sz w:val="24"/>
        </w:rPr>
        <w:t xml:space="preserve">, G. Gerbner, W. Schramm, T.L. Worth and L. Gross (Eds.), </w:t>
      </w:r>
      <w:r w:rsidRPr="009B012A">
        <w:rPr>
          <w:i/>
          <w:iCs/>
          <w:sz w:val="24"/>
        </w:rPr>
        <w:t xml:space="preserve">International </w:t>
      </w:r>
      <w:proofErr w:type="spellStart"/>
      <w:r w:rsidRPr="009B012A">
        <w:rPr>
          <w:i/>
          <w:iCs/>
          <w:sz w:val="24"/>
        </w:rPr>
        <w:t>encyclopedia</w:t>
      </w:r>
      <w:proofErr w:type="spellEnd"/>
      <w:r w:rsidRPr="009B012A">
        <w:rPr>
          <w:i/>
          <w:iCs/>
          <w:sz w:val="24"/>
        </w:rPr>
        <w:t xml:space="preserve"> of communication</w:t>
      </w:r>
      <w:r w:rsidRPr="009B012A">
        <w:rPr>
          <w:sz w:val="24"/>
        </w:rPr>
        <w:t xml:space="preserve">, Oxford University Press, New York. NY. pp.403-407. </w:t>
      </w:r>
    </w:p>
    <w:p w14:paraId="5650FEEE" w14:textId="0AEC5D3B" w:rsidR="0054298F" w:rsidRPr="009B012A" w:rsidRDefault="0054298F" w:rsidP="00D7145F">
      <w:pPr>
        <w:pStyle w:val="ReferencelistGJSD"/>
        <w:spacing w:after="0" w:line="480" w:lineRule="auto"/>
        <w:ind w:left="567" w:hanging="567"/>
        <w:jc w:val="both"/>
        <w:rPr>
          <w:rStyle w:val="Hyperlink"/>
          <w:color w:val="0C7DBB"/>
          <w:sz w:val="24"/>
        </w:rPr>
      </w:pPr>
      <w:r w:rsidRPr="009B012A">
        <w:rPr>
          <w:sz w:val="24"/>
        </w:rPr>
        <w:t>Leach, T. (2019)</w:t>
      </w:r>
      <w:r w:rsidR="007F443E" w:rsidRPr="009B012A">
        <w:rPr>
          <w:sz w:val="24"/>
        </w:rPr>
        <w:t>,</w:t>
      </w:r>
      <w:r w:rsidRPr="009B012A">
        <w:rPr>
          <w:sz w:val="24"/>
        </w:rPr>
        <w:t xml:space="preserve"> </w:t>
      </w:r>
      <w:r w:rsidR="007F443E" w:rsidRPr="009B012A">
        <w:rPr>
          <w:sz w:val="24"/>
        </w:rPr>
        <w:t>“</w:t>
      </w:r>
      <w:r w:rsidRPr="009B012A">
        <w:rPr>
          <w:sz w:val="24"/>
        </w:rPr>
        <w:t>Satisfied with what? Contested assumptions about student expectations and satisfaction in higher education</w:t>
      </w:r>
      <w:r w:rsidR="007F443E" w:rsidRPr="009B012A">
        <w:rPr>
          <w:sz w:val="24"/>
        </w:rPr>
        <w:t>”,</w:t>
      </w:r>
      <w:r w:rsidRPr="009B012A">
        <w:rPr>
          <w:sz w:val="24"/>
        </w:rPr>
        <w:t xml:space="preserve"> </w:t>
      </w:r>
      <w:r w:rsidRPr="009B012A">
        <w:rPr>
          <w:i/>
          <w:iCs/>
          <w:sz w:val="24"/>
        </w:rPr>
        <w:t>Research in Post-Compulsory Education</w:t>
      </w:r>
      <w:r w:rsidRPr="009B012A">
        <w:rPr>
          <w:sz w:val="24"/>
        </w:rPr>
        <w:t xml:space="preserve">, </w:t>
      </w:r>
      <w:r w:rsidR="007F443E" w:rsidRPr="009B012A">
        <w:rPr>
          <w:sz w:val="24"/>
        </w:rPr>
        <w:t>Vol. 24 No. 2-3, pp.</w:t>
      </w:r>
      <w:r w:rsidRPr="009B012A">
        <w:rPr>
          <w:sz w:val="24"/>
        </w:rPr>
        <w:t>155-172.</w:t>
      </w:r>
      <w:r w:rsidR="00A96555" w:rsidRPr="009B012A">
        <w:rPr>
          <w:sz w:val="24"/>
        </w:rPr>
        <w:t xml:space="preserve"> </w:t>
      </w:r>
      <w:hyperlink r:id="rId29" w:history="1">
        <w:r w:rsidRPr="009B012A">
          <w:rPr>
            <w:rStyle w:val="Hyperlink"/>
            <w:color w:val="0C7DBB"/>
            <w:sz w:val="24"/>
          </w:rPr>
          <w:t>https://doi.org/10.1080/13596748.2019.1596410</w:t>
        </w:r>
      </w:hyperlink>
    </w:p>
    <w:p w14:paraId="0E68D2A3" w14:textId="58EB692F" w:rsidR="00A96555" w:rsidRPr="009B012A" w:rsidRDefault="0054298F" w:rsidP="00D7145F">
      <w:pPr>
        <w:pStyle w:val="ReferencelistGJSD"/>
        <w:spacing w:after="0" w:line="480" w:lineRule="auto"/>
        <w:ind w:left="567" w:hanging="567"/>
        <w:jc w:val="both"/>
        <w:rPr>
          <w:rStyle w:val="Hyperlink"/>
          <w:color w:val="0C7DBB"/>
          <w:sz w:val="24"/>
        </w:rPr>
      </w:pPr>
      <w:r w:rsidRPr="009B012A">
        <w:rPr>
          <w:sz w:val="24"/>
        </w:rPr>
        <w:t xml:space="preserve">Lent, R.W. </w:t>
      </w:r>
      <w:r w:rsidR="003438D5" w:rsidRPr="009B012A">
        <w:rPr>
          <w:sz w:val="24"/>
        </w:rPr>
        <w:t>and</w:t>
      </w:r>
      <w:r w:rsidRPr="009B012A">
        <w:rPr>
          <w:sz w:val="24"/>
        </w:rPr>
        <w:t xml:space="preserve"> Brown, S.D. (2020)</w:t>
      </w:r>
      <w:r w:rsidR="007F443E" w:rsidRPr="009B012A">
        <w:rPr>
          <w:sz w:val="24"/>
        </w:rPr>
        <w:t>,</w:t>
      </w:r>
      <w:r w:rsidRPr="009B012A">
        <w:rPr>
          <w:sz w:val="24"/>
        </w:rPr>
        <w:t xml:space="preserve"> </w:t>
      </w:r>
      <w:r w:rsidR="007F443E" w:rsidRPr="009B012A">
        <w:rPr>
          <w:sz w:val="24"/>
        </w:rPr>
        <w:t>“</w:t>
      </w:r>
      <w:r w:rsidRPr="009B012A">
        <w:rPr>
          <w:sz w:val="24"/>
        </w:rPr>
        <w:t>Career decision making, fast and slow. Toward an integrative model of intervention for sustainable career choice</w:t>
      </w:r>
      <w:r w:rsidR="007F443E" w:rsidRPr="009B012A">
        <w:rPr>
          <w:sz w:val="24"/>
        </w:rPr>
        <w:t>”,</w:t>
      </w:r>
      <w:r w:rsidRPr="009B012A">
        <w:rPr>
          <w:sz w:val="24"/>
        </w:rPr>
        <w:t xml:space="preserve"> </w:t>
      </w:r>
      <w:r w:rsidRPr="009B012A">
        <w:rPr>
          <w:i/>
          <w:iCs/>
          <w:sz w:val="24"/>
        </w:rPr>
        <w:t xml:space="preserve">Journal of Vocational </w:t>
      </w:r>
      <w:proofErr w:type="spellStart"/>
      <w:r w:rsidRPr="009B012A">
        <w:rPr>
          <w:i/>
          <w:iCs/>
          <w:sz w:val="24"/>
        </w:rPr>
        <w:t>Behavior</w:t>
      </w:r>
      <w:proofErr w:type="spellEnd"/>
      <w:r w:rsidRPr="009B012A">
        <w:rPr>
          <w:sz w:val="24"/>
        </w:rPr>
        <w:t xml:space="preserve">, </w:t>
      </w:r>
      <w:r w:rsidR="007F443E" w:rsidRPr="009B012A">
        <w:rPr>
          <w:sz w:val="24"/>
        </w:rPr>
        <w:t xml:space="preserve">Vol. 120, </w:t>
      </w:r>
      <w:r w:rsidRPr="009B012A">
        <w:rPr>
          <w:sz w:val="24"/>
        </w:rPr>
        <w:t>103448.</w:t>
      </w:r>
      <w:r w:rsidR="00A96555" w:rsidRPr="009B012A">
        <w:rPr>
          <w:sz w:val="24"/>
        </w:rPr>
        <w:t xml:space="preserve"> </w:t>
      </w:r>
      <w:hyperlink r:id="rId30" w:history="1">
        <w:r w:rsidRPr="009B012A">
          <w:rPr>
            <w:rStyle w:val="Hyperlink"/>
            <w:color w:val="0C7DBB"/>
            <w:sz w:val="24"/>
          </w:rPr>
          <w:t>https://doi.org/10.1016/j.jvb.2020.103448</w:t>
        </w:r>
      </w:hyperlink>
    </w:p>
    <w:p w14:paraId="515F838C" w14:textId="77777777" w:rsidR="007F443E" w:rsidRPr="009B012A" w:rsidRDefault="0054298F" w:rsidP="00D7145F">
      <w:pPr>
        <w:pStyle w:val="ReferencelistGJSD"/>
        <w:spacing w:after="0" w:line="480" w:lineRule="auto"/>
        <w:ind w:left="567" w:hanging="567"/>
        <w:jc w:val="both"/>
        <w:rPr>
          <w:sz w:val="24"/>
        </w:rPr>
      </w:pPr>
      <w:r w:rsidRPr="009B012A">
        <w:rPr>
          <w:sz w:val="24"/>
        </w:rPr>
        <w:t xml:space="preserve">Luthans, F., Luthans, K.W. </w:t>
      </w:r>
      <w:r w:rsidR="003438D5" w:rsidRPr="009B012A">
        <w:rPr>
          <w:sz w:val="24"/>
        </w:rPr>
        <w:t>and</w:t>
      </w:r>
      <w:r w:rsidRPr="009B012A">
        <w:rPr>
          <w:sz w:val="24"/>
        </w:rPr>
        <w:t xml:space="preserve"> Luthans, B.C. (2004)</w:t>
      </w:r>
      <w:r w:rsidR="007F443E" w:rsidRPr="009B012A">
        <w:rPr>
          <w:sz w:val="24"/>
        </w:rPr>
        <w:t>,</w:t>
      </w:r>
      <w:r w:rsidRPr="009B012A">
        <w:rPr>
          <w:sz w:val="24"/>
        </w:rPr>
        <w:t xml:space="preserve"> </w:t>
      </w:r>
      <w:r w:rsidR="007F443E" w:rsidRPr="009B012A">
        <w:rPr>
          <w:sz w:val="24"/>
        </w:rPr>
        <w:t>“</w:t>
      </w:r>
      <w:r w:rsidRPr="009B012A">
        <w:rPr>
          <w:sz w:val="24"/>
        </w:rPr>
        <w:t>Positive psychological capital: Beyond human and social capital</w:t>
      </w:r>
      <w:r w:rsidR="007F443E" w:rsidRPr="009B012A">
        <w:rPr>
          <w:sz w:val="24"/>
        </w:rPr>
        <w:t>”,</w:t>
      </w:r>
      <w:r w:rsidRPr="009B012A">
        <w:rPr>
          <w:sz w:val="24"/>
        </w:rPr>
        <w:t xml:space="preserve"> </w:t>
      </w:r>
      <w:r w:rsidRPr="009B012A">
        <w:rPr>
          <w:i/>
          <w:iCs/>
          <w:sz w:val="24"/>
        </w:rPr>
        <w:t>Business Horizons</w:t>
      </w:r>
      <w:r w:rsidRPr="009B012A">
        <w:rPr>
          <w:sz w:val="24"/>
        </w:rPr>
        <w:t>,</w:t>
      </w:r>
      <w:r w:rsidR="007F443E" w:rsidRPr="009B012A">
        <w:rPr>
          <w:sz w:val="24"/>
        </w:rPr>
        <w:t xml:space="preserve"> Vol. 47 No. 1, pp.</w:t>
      </w:r>
      <w:r w:rsidRPr="009B012A">
        <w:rPr>
          <w:sz w:val="24"/>
        </w:rPr>
        <w:t>45-50.</w:t>
      </w:r>
    </w:p>
    <w:p w14:paraId="08FAF0E9" w14:textId="4B748D5A" w:rsidR="00A96555" w:rsidRPr="009B012A" w:rsidRDefault="0054298F" w:rsidP="007F443E">
      <w:pPr>
        <w:pStyle w:val="ReferencelistGJSD"/>
        <w:spacing w:after="0" w:line="480" w:lineRule="auto"/>
        <w:ind w:left="567"/>
        <w:jc w:val="both"/>
        <w:rPr>
          <w:color w:val="0C7DBB"/>
          <w:sz w:val="24"/>
          <w:u w:val="single"/>
        </w:rPr>
      </w:pPr>
      <w:r w:rsidRPr="009B012A">
        <w:rPr>
          <w:sz w:val="24"/>
        </w:rPr>
        <w:t xml:space="preserve"> </w:t>
      </w:r>
      <w:hyperlink r:id="rId31" w:tgtFrame="_blank" w:tooltip="Persistent link using digital object identifier" w:history="1">
        <w:r w:rsidRPr="009B012A">
          <w:rPr>
            <w:rStyle w:val="Hyperlink"/>
            <w:color w:val="0C7DBB"/>
            <w:sz w:val="24"/>
          </w:rPr>
          <w:t>https://doi.org/10.1016/j.bushor.2003.11.007</w:t>
        </w:r>
      </w:hyperlink>
    </w:p>
    <w:p w14:paraId="3D27DEB3" w14:textId="281D41A3" w:rsidR="0054298F" w:rsidRPr="009B012A" w:rsidRDefault="0054298F" w:rsidP="00D7145F">
      <w:pPr>
        <w:pStyle w:val="ReferencelistGJSD"/>
        <w:spacing w:after="0" w:line="480" w:lineRule="auto"/>
        <w:ind w:left="567" w:hanging="567"/>
        <w:jc w:val="both"/>
        <w:rPr>
          <w:color w:val="0C7DBB"/>
          <w:sz w:val="24"/>
          <w:u w:val="single"/>
        </w:rPr>
      </w:pPr>
      <w:r w:rsidRPr="009B012A">
        <w:rPr>
          <w:sz w:val="24"/>
        </w:rPr>
        <w:t xml:space="preserve">Luthans, F., Youssef, M. </w:t>
      </w:r>
      <w:r w:rsidR="003438D5" w:rsidRPr="009B012A">
        <w:rPr>
          <w:sz w:val="24"/>
        </w:rPr>
        <w:t>and</w:t>
      </w:r>
      <w:r w:rsidRPr="009B012A">
        <w:rPr>
          <w:sz w:val="24"/>
        </w:rPr>
        <w:t xml:space="preserve"> Avolio, B.J. (2015)</w:t>
      </w:r>
      <w:r w:rsidR="007F443E" w:rsidRPr="009B012A">
        <w:rPr>
          <w:sz w:val="24"/>
        </w:rPr>
        <w:t>,</w:t>
      </w:r>
      <w:r w:rsidRPr="009B012A">
        <w:rPr>
          <w:sz w:val="24"/>
        </w:rPr>
        <w:t xml:space="preserve"> </w:t>
      </w:r>
      <w:r w:rsidRPr="009B012A">
        <w:rPr>
          <w:i/>
          <w:iCs/>
          <w:sz w:val="24"/>
        </w:rPr>
        <w:t>Psychological capital and beyond</w:t>
      </w:r>
      <w:r w:rsidRPr="009B012A">
        <w:rPr>
          <w:sz w:val="24"/>
        </w:rPr>
        <w:t>. Oxford University Press</w:t>
      </w:r>
      <w:r w:rsidR="007F443E" w:rsidRPr="009B012A">
        <w:rPr>
          <w:sz w:val="24"/>
        </w:rPr>
        <w:t>, New York</w:t>
      </w:r>
      <w:r w:rsidRPr="009B012A">
        <w:rPr>
          <w:sz w:val="24"/>
        </w:rPr>
        <w:t>.</w:t>
      </w:r>
    </w:p>
    <w:p w14:paraId="3C99FDE8" w14:textId="695F7C85" w:rsidR="00A96555" w:rsidRPr="009B012A" w:rsidRDefault="0054298F" w:rsidP="00D7145F">
      <w:pPr>
        <w:pStyle w:val="ReferencelistGJSD"/>
        <w:spacing w:after="0" w:line="480" w:lineRule="auto"/>
        <w:ind w:left="567" w:hanging="567"/>
        <w:jc w:val="both"/>
        <w:rPr>
          <w:sz w:val="24"/>
        </w:rPr>
      </w:pPr>
      <w:r w:rsidRPr="009B012A">
        <w:rPr>
          <w:sz w:val="24"/>
        </w:rPr>
        <w:t xml:space="preserve">McQuillan, N., Wightman, C., Moore, C., McMahon-Beattie, U. </w:t>
      </w:r>
      <w:r w:rsidR="003438D5" w:rsidRPr="009B012A">
        <w:rPr>
          <w:sz w:val="24"/>
        </w:rPr>
        <w:t>and</w:t>
      </w:r>
      <w:r w:rsidRPr="009B012A">
        <w:rPr>
          <w:sz w:val="24"/>
        </w:rPr>
        <w:t xml:space="preserve"> Farley, H. (2021)</w:t>
      </w:r>
      <w:r w:rsidR="007F443E" w:rsidRPr="009B012A">
        <w:rPr>
          <w:sz w:val="24"/>
        </w:rPr>
        <w:t>,</w:t>
      </w:r>
      <w:r w:rsidRPr="009B012A">
        <w:rPr>
          <w:sz w:val="24"/>
        </w:rPr>
        <w:t xml:space="preserve"> </w:t>
      </w:r>
      <w:r w:rsidR="007F443E" w:rsidRPr="009B012A">
        <w:rPr>
          <w:sz w:val="24"/>
        </w:rPr>
        <w:t>“</w:t>
      </w:r>
      <w:r w:rsidRPr="009B012A">
        <w:rPr>
          <w:sz w:val="24"/>
        </w:rPr>
        <w:t>Developing resilient graduates to be future workplace leaders</w:t>
      </w:r>
      <w:r w:rsidR="007F443E" w:rsidRPr="009B012A">
        <w:rPr>
          <w:sz w:val="24"/>
        </w:rPr>
        <w:t>”,</w:t>
      </w:r>
      <w:r w:rsidRPr="009B012A">
        <w:rPr>
          <w:sz w:val="24"/>
        </w:rPr>
        <w:t xml:space="preserve"> </w:t>
      </w:r>
      <w:r w:rsidRPr="009B012A">
        <w:rPr>
          <w:i/>
          <w:iCs/>
          <w:sz w:val="24"/>
        </w:rPr>
        <w:t>Higher Education, Skills and Work-Based Learning</w:t>
      </w:r>
      <w:r w:rsidRPr="009B012A">
        <w:rPr>
          <w:sz w:val="24"/>
        </w:rPr>
        <w:t xml:space="preserve">, </w:t>
      </w:r>
      <w:r w:rsidR="007F443E" w:rsidRPr="009B012A">
        <w:rPr>
          <w:sz w:val="24"/>
        </w:rPr>
        <w:t>Vol. 11 No. 1, pp.</w:t>
      </w:r>
      <w:r w:rsidRPr="009B012A">
        <w:rPr>
          <w:sz w:val="24"/>
        </w:rPr>
        <w:t>214-227.</w:t>
      </w:r>
    </w:p>
    <w:p w14:paraId="701C6E49" w14:textId="61D70BEA" w:rsidR="0054298F" w:rsidRPr="009B012A" w:rsidRDefault="004D4061" w:rsidP="00D7145F">
      <w:pPr>
        <w:pStyle w:val="ReferencelistGJSD"/>
        <w:spacing w:after="0" w:line="480" w:lineRule="auto"/>
        <w:ind w:left="567"/>
        <w:jc w:val="both"/>
        <w:rPr>
          <w:sz w:val="24"/>
        </w:rPr>
      </w:pPr>
      <w:hyperlink r:id="rId32" w:history="1">
        <w:r w:rsidR="00A96555" w:rsidRPr="009B012A">
          <w:rPr>
            <w:rStyle w:val="Hyperlink"/>
            <w:sz w:val="24"/>
          </w:rPr>
          <w:t>https://doi.org/10.1108/HESWBL-11-2019-0162</w:t>
        </w:r>
      </w:hyperlink>
    </w:p>
    <w:p w14:paraId="704927AD" w14:textId="77777777" w:rsidR="00EF57B4" w:rsidRPr="009B012A" w:rsidRDefault="00EF57B4" w:rsidP="00EF57B4">
      <w:pPr>
        <w:pStyle w:val="ReferencelistGJSD"/>
        <w:spacing w:after="0" w:line="480" w:lineRule="auto"/>
        <w:ind w:left="567" w:hanging="567"/>
        <w:jc w:val="both"/>
        <w:rPr>
          <w:sz w:val="24"/>
        </w:rPr>
      </w:pPr>
      <w:proofErr w:type="spellStart"/>
      <w:r w:rsidRPr="009B012A">
        <w:rPr>
          <w:sz w:val="24"/>
        </w:rPr>
        <w:t>Mncayi</w:t>
      </w:r>
      <w:proofErr w:type="spellEnd"/>
      <w:r w:rsidRPr="009B012A">
        <w:rPr>
          <w:sz w:val="24"/>
        </w:rPr>
        <w:t xml:space="preserve">, P. and Meyer, D.F. (2022), “Evaluating the determinants of the perceptions of underemployment among young university graduates: A South African University case”, </w:t>
      </w:r>
      <w:r w:rsidRPr="009B012A">
        <w:rPr>
          <w:i/>
          <w:iCs/>
          <w:sz w:val="24"/>
        </w:rPr>
        <w:t>Cogent Social Sciences</w:t>
      </w:r>
      <w:r w:rsidRPr="009B012A">
        <w:rPr>
          <w:sz w:val="24"/>
        </w:rPr>
        <w:t xml:space="preserve">, Vol. 8 No. 1, a.2054126. </w:t>
      </w:r>
    </w:p>
    <w:p w14:paraId="5D07827F" w14:textId="04A51072" w:rsidR="00EF57B4" w:rsidRPr="009B012A" w:rsidRDefault="004D4061" w:rsidP="00EF57B4">
      <w:pPr>
        <w:pStyle w:val="ReferencelistGJSD"/>
        <w:spacing w:after="0" w:line="480" w:lineRule="auto"/>
        <w:ind w:left="567"/>
        <w:jc w:val="both"/>
        <w:rPr>
          <w:rStyle w:val="Hyperlink"/>
        </w:rPr>
      </w:pPr>
      <w:hyperlink r:id="rId33" w:history="1">
        <w:r w:rsidR="00EF57B4" w:rsidRPr="009B012A">
          <w:rPr>
            <w:rStyle w:val="Hyperlink"/>
            <w:sz w:val="24"/>
          </w:rPr>
          <w:t>https://doi.org/10.1080/23311886.2022.2054126</w:t>
        </w:r>
      </w:hyperlink>
    </w:p>
    <w:p w14:paraId="69EC11A7" w14:textId="77777777" w:rsidR="00D07898" w:rsidRDefault="00EF57B4" w:rsidP="00D7145F">
      <w:pPr>
        <w:pStyle w:val="ReferencelistGJSD"/>
        <w:spacing w:after="0" w:line="480" w:lineRule="auto"/>
        <w:ind w:left="567" w:hanging="567"/>
        <w:jc w:val="both"/>
        <w:rPr>
          <w:sz w:val="24"/>
        </w:rPr>
      </w:pPr>
      <w:r w:rsidRPr="009B012A">
        <w:rPr>
          <w:sz w:val="24"/>
        </w:rPr>
        <w:t xml:space="preserve"> </w:t>
      </w:r>
    </w:p>
    <w:p w14:paraId="3B98686A" w14:textId="77777777" w:rsidR="00D07898" w:rsidRDefault="00D07898">
      <w:pPr>
        <w:suppressAutoHyphens w:val="0"/>
        <w:spacing w:after="160" w:line="259" w:lineRule="auto"/>
        <w:rPr>
          <w:rFonts w:ascii="Times New Roman" w:hAnsi="Times New Roman" w:cs="Times New Roman"/>
          <w:sz w:val="24"/>
          <w:szCs w:val="24"/>
        </w:rPr>
      </w:pPr>
      <w:r>
        <w:rPr>
          <w:sz w:val="24"/>
        </w:rPr>
        <w:br w:type="page"/>
      </w:r>
    </w:p>
    <w:p w14:paraId="284F2B24" w14:textId="206E1E98" w:rsidR="00A96555" w:rsidRPr="009B012A" w:rsidRDefault="0054298F" w:rsidP="00D7145F">
      <w:pPr>
        <w:pStyle w:val="ReferencelistGJSD"/>
        <w:spacing w:after="0" w:line="480" w:lineRule="auto"/>
        <w:ind w:left="567" w:hanging="567"/>
        <w:jc w:val="both"/>
        <w:rPr>
          <w:sz w:val="24"/>
        </w:rPr>
      </w:pPr>
      <w:proofErr w:type="spellStart"/>
      <w:r w:rsidRPr="009B012A">
        <w:rPr>
          <w:sz w:val="24"/>
        </w:rPr>
        <w:lastRenderedPageBreak/>
        <w:t>Nimmi</w:t>
      </w:r>
      <w:proofErr w:type="spellEnd"/>
      <w:r w:rsidRPr="009B012A">
        <w:rPr>
          <w:sz w:val="24"/>
        </w:rPr>
        <w:t xml:space="preserve">, P.M., Joseph, G. </w:t>
      </w:r>
      <w:r w:rsidR="003438D5" w:rsidRPr="009B012A">
        <w:rPr>
          <w:sz w:val="24"/>
        </w:rPr>
        <w:t>and</w:t>
      </w:r>
      <w:r w:rsidRPr="009B012A">
        <w:rPr>
          <w:sz w:val="24"/>
        </w:rPr>
        <w:t xml:space="preserve"> Donald, W.E. (2022)</w:t>
      </w:r>
      <w:r w:rsidR="000248A1" w:rsidRPr="009B012A">
        <w:rPr>
          <w:sz w:val="24"/>
        </w:rPr>
        <w:t>,</w:t>
      </w:r>
      <w:r w:rsidRPr="009B012A">
        <w:rPr>
          <w:sz w:val="24"/>
        </w:rPr>
        <w:t xml:space="preserve"> </w:t>
      </w:r>
      <w:r w:rsidR="000248A1" w:rsidRPr="009B012A">
        <w:rPr>
          <w:sz w:val="24"/>
        </w:rPr>
        <w:t>“</w:t>
      </w:r>
      <w:r w:rsidRPr="009B012A">
        <w:rPr>
          <w:sz w:val="24"/>
        </w:rPr>
        <w:t>Is it all about perception? A sustainability viewpoint on psychological capital and life wellbeing of management graduates</w:t>
      </w:r>
      <w:r w:rsidR="000248A1" w:rsidRPr="009B012A">
        <w:rPr>
          <w:sz w:val="24"/>
        </w:rPr>
        <w:t>”,</w:t>
      </w:r>
      <w:r w:rsidRPr="009B012A">
        <w:rPr>
          <w:sz w:val="24"/>
        </w:rPr>
        <w:t xml:space="preserve"> </w:t>
      </w:r>
      <w:r w:rsidRPr="009B012A">
        <w:rPr>
          <w:i/>
          <w:iCs/>
          <w:sz w:val="24"/>
        </w:rPr>
        <w:t>Higher Education, Skills and Work-Based Learning</w:t>
      </w:r>
      <w:r w:rsidRPr="009B012A">
        <w:rPr>
          <w:sz w:val="24"/>
        </w:rPr>
        <w:t xml:space="preserve">, </w:t>
      </w:r>
      <w:r w:rsidR="000248A1" w:rsidRPr="009B012A">
        <w:rPr>
          <w:sz w:val="24"/>
        </w:rPr>
        <w:t>Vol. 12 No. 2, pp.</w:t>
      </w:r>
      <w:r w:rsidRPr="009B012A">
        <w:rPr>
          <w:sz w:val="24"/>
        </w:rPr>
        <w:t>384-398.</w:t>
      </w:r>
    </w:p>
    <w:p w14:paraId="0DBFD6FE" w14:textId="0036BE27" w:rsidR="0054298F" w:rsidRPr="009B012A" w:rsidRDefault="004D4061" w:rsidP="00D7145F">
      <w:pPr>
        <w:pStyle w:val="ReferencelistGJSD"/>
        <w:spacing w:after="0" w:line="480" w:lineRule="auto"/>
        <w:ind w:left="567"/>
        <w:jc w:val="both"/>
        <w:rPr>
          <w:sz w:val="24"/>
        </w:rPr>
      </w:pPr>
      <w:hyperlink r:id="rId34" w:tooltip="DOI: https://doi.org/10.1108/HESWBL-01-2021-0004" w:history="1">
        <w:r w:rsidR="0054298F" w:rsidRPr="009B012A">
          <w:rPr>
            <w:rStyle w:val="Hyperlink"/>
            <w:color w:val="0C7DBB"/>
            <w:sz w:val="24"/>
          </w:rPr>
          <w:t>https://doi.org/10.1108/HESWBL-01-2021-0004</w:t>
        </w:r>
      </w:hyperlink>
    </w:p>
    <w:p w14:paraId="4E7AF46E" w14:textId="4B8EF6C8" w:rsidR="00A96555" w:rsidRPr="009B012A" w:rsidRDefault="0054298F" w:rsidP="00D7145F">
      <w:pPr>
        <w:pStyle w:val="ReferencelistGJSD"/>
        <w:spacing w:after="0" w:line="480" w:lineRule="auto"/>
        <w:ind w:left="567" w:hanging="567"/>
        <w:jc w:val="both"/>
        <w:rPr>
          <w:sz w:val="24"/>
        </w:rPr>
      </w:pPr>
      <w:proofErr w:type="spellStart"/>
      <w:r w:rsidRPr="009B012A">
        <w:rPr>
          <w:sz w:val="24"/>
        </w:rPr>
        <w:t>Nimmi</w:t>
      </w:r>
      <w:proofErr w:type="spellEnd"/>
      <w:r w:rsidRPr="009B012A">
        <w:rPr>
          <w:sz w:val="24"/>
        </w:rPr>
        <w:t xml:space="preserve">, P.M., Kuriakose, V., Donald, W.E., </w:t>
      </w:r>
      <w:r w:rsidR="003438D5" w:rsidRPr="009B012A">
        <w:rPr>
          <w:sz w:val="24"/>
        </w:rPr>
        <w:t>and</w:t>
      </w:r>
      <w:r w:rsidRPr="009B012A">
        <w:rPr>
          <w:sz w:val="24"/>
        </w:rPr>
        <w:t xml:space="preserve"> </w:t>
      </w:r>
      <w:proofErr w:type="spellStart"/>
      <w:r w:rsidRPr="009B012A">
        <w:rPr>
          <w:sz w:val="24"/>
        </w:rPr>
        <w:t>Nowfal</w:t>
      </w:r>
      <w:proofErr w:type="spellEnd"/>
      <w:r w:rsidRPr="009B012A">
        <w:rPr>
          <w:sz w:val="24"/>
        </w:rPr>
        <w:t>, M. (2021)</w:t>
      </w:r>
      <w:r w:rsidR="000248A1" w:rsidRPr="009B012A">
        <w:rPr>
          <w:sz w:val="24"/>
        </w:rPr>
        <w:t>,</w:t>
      </w:r>
      <w:r w:rsidRPr="009B012A">
        <w:rPr>
          <w:sz w:val="24"/>
        </w:rPr>
        <w:t xml:space="preserve"> </w:t>
      </w:r>
      <w:r w:rsidR="000248A1" w:rsidRPr="009B012A">
        <w:rPr>
          <w:sz w:val="24"/>
        </w:rPr>
        <w:t>“</w:t>
      </w:r>
      <w:r w:rsidRPr="009B012A">
        <w:rPr>
          <w:sz w:val="24"/>
        </w:rPr>
        <w:t>HERO elements of psychological capital: Fostering career sustainability via resource caravans</w:t>
      </w:r>
      <w:r w:rsidR="000248A1" w:rsidRPr="009B012A">
        <w:rPr>
          <w:sz w:val="24"/>
        </w:rPr>
        <w:t>”,</w:t>
      </w:r>
      <w:r w:rsidRPr="009B012A">
        <w:rPr>
          <w:sz w:val="24"/>
        </w:rPr>
        <w:t xml:space="preserve"> </w:t>
      </w:r>
      <w:r w:rsidRPr="009B012A">
        <w:rPr>
          <w:i/>
          <w:iCs/>
          <w:sz w:val="24"/>
        </w:rPr>
        <w:t>Australian Journal of Career</w:t>
      </w:r>
      <w:r w:rsidR="00A96555" w:rsidRPr="009B012A">
        <w:rPr>
          <w:i/>
          <w:iCs/>
          <w:sz w:val="24"/>
        </w:rPr>
        <w:t xml:space="preserve"> </w:t>
      </w:r>
      <w:r w:rsidRPr="009B012A">
        <w:rPr>
          <w:i/>
          <w:iCs/>
          <w:sz w:val="24"/>
        </w:rPr>
        <w:t>Development</w:t>
      </w:r>
      <w:r w:rsidRPr="009B012A">
        <w:rPr>
          <w:sz w:val="24"/>
        </w:rPr>
        <w:t xml:space="preserve">, </w:t>
      </w:r>
      <w:r w:rsidR="000248A1" w:rsidRPr="009B012A">
        <w:rPr>
          <w:sz w:val="24"/>
        </w:rPr>
        <w:t>Vol. 30 No. 3, pp.</w:t>
      </w:r>
      <w:r w:rsidRPr="009B012A">
        <w:rPr>
          <w:sz w:val="24"/>
        </w:rPr>
        <w:t>199-210.</w:t>
      </w:r>
    </w:p>
    <w:p w14:paraId="1A1E4BF6" w14:textId="5E00094F" w:rsidR="0054298F" w:rsidRPr="009B012A" w:rsidRDefault="004D4061" w:rsidP="00D7145F">
      <w:pPr>
        <w:pStyle w:val="ReferencelistGJSD"/>
        <w:spacing w:after="0" w:line="480" w:lineRule="auto"/>
        <w:ind w:left="567"/>
        <w:jc w:val="both"/>
        <w:rPr>
          <w:color w:val="0C7DBB"/>
          <w:sz w:val="24"/>
          <w:u w:val="single"/>
        </w:rPr>
      </w:pPr>
      <w:hyperlink r:id="rId35" w:history="1">
        <w:r w:rsidR="0054298F" w:rsidRPr="009B012A">
          <w:rPr>
            <w:rStyle w:val="Hyperlink"/>
            <w:color w:val="0C7DBB"/>
            <w:sz w:val="24"/>
          </w:rPr>
          <w:t>https://doi.org/10.1177/10384162211066378</w:t>
        </w:r>
      </w:hyperlink>
    </w:p>
    <w:p w14:paraId="625883ED" w14:textId="28E41352" w:rsidR="00A96555" w:rsidRPr="009B012A" w:rsidRDefault="0054298F" w:rsidP="00D7145F">
      <w:pPr>
        <w:pStyle w:val="ReferencelistGJSD"/>
        <w:spacing w:after="0" w:line="480" w:lineRule="auto"/>
        <w:ind w:left="567" w:hanging="567"/>
        <w:jc w:val="both"/>
        <w:rPr>
          <w:sz w:val="24"/>
        </w:rPr>
      </w:pPr>
      <w:proofErr w:type="spellStart"/>
      <w:r w:rsidRPr="009B012A">
        <w:rPr>
          <w:sz w:val="24"/>
        </w:rPr>
        <w:t>Römgens</w:t>
      </w:r>
      <w:proofErr w:type="spellEnd"/>
      <w:r w:rsidRPr="009B012A">
        <w:rPr>
          <w:sz w:val="24"/>
        </w:rPr>
        <w:t xml:space="preserve">, I., </w:t>
      </w:r>
      <w:proofErr w:type="spellStart"/>
      <w:r w:rsidRPr="009B012A">
        <w:rPr>
          <w:sz w:val="24"/>
        </w:rPr>
        <w:t>Scoupe</w:t>
      </w:r>
      <w:proofErr w:type="spellEnd"/>
      <w:r w:rsidRPr="009B012A">
        <w:rPr>
          <w:sz w:val="24"/>
        </w:rPr>
        <w:t xml:space="preserve">, R. </w:t>
      </w:r>
      <w:r w:rsidR="003438D5" w:rsidRPr="009B012A">
        <w:rPr>
          <w:sz w:val="24"/>
        </w:rPr>
        <w:t>and</w:t>
      </w:r>
      <w:r w:rsidRPr="009B012A">
        <w:rPr>
          <w:sz w:val="24"/>
        </w:rPr>
        <w:t xml:space="preserve"> </w:t>
      </w:r>
      <w:proofErr w:type="spellStart"/>
      <w:r w:rsidRPr="009B012A">
        <w:rPr>
          <w:sz w:val="24"/>
        </w:rPr>
        <w:t>Beausaert</w:t>
      </w:r>
      <w:proofErr w:type="spellEnd"/>
      <w:r w:rsidRPr="009B012A">
        <w:rPr>
          <w:sz w:val="24"/>
        </w:rPr>
        <w:t>, S. (2020)</w:t>
      </w:r>
      <w:r w:rsidR="000248A1" w:rsidRPr="009B012A">
        <w:rPr>
          <w:sz w:val="24"/>
        </w:rPr>
        <w:t>,</w:t>
      </w:r>
      <w:r w:rsidRPr="009B012A">
        <w:rPr>
          <w:sz w:val="24"/>
        </w:rPr>
        <w:t xml:space="preserve"> </w:t>
      </w:r>
      <w:r w:rsidR="000248A1" w:rsidRPr="009B012A">
        <w:rPr>
          <w:sz w:val="24"/>
        </w:rPr>
        <w:t>“</w:t>
      </w:r>
      <w:proofErr w:type="spellStart"/>
      <w:r w:rsidRPr="009B012A">
        <w:rPr>
          <w:sz w:val="24"/>
        </w:rPr>
        <w:t>Unraveling</w:t>
      </w:r>
      <w:proofErr w:type="spellEnd"/>
      <w:r w:rsidRPr="009B012A">
        <w:rPr>
          <w:sz w:val="24"/>
        </w:rPr>
        <w:t xml:space="preserve"> the concept of employability, bringing together research on employability in higher education and the workplace</w:t>
      </w:r>
      <w:r w:rsidR="000248A1" w:rsidRPr="009B012A">
        <w:rPr>
          <w:sz w:val="24"/>
        </w:rPr>
        <w:t>”,</w:t>
      </w:r>
      <w:r w:rsidRPr="009B012A">
        <w:rPr>
          <w:sz w:val="24"/>
        </w:rPr>
        <w:t xml:space="preserve"> </w:t>
      </w:r>
      <w:r w:rsidRPr="009B012A">
        <w:rPr>
          <w:i/>
          <w:iCs/>
          <w:sz w:val="24"/>
        </w:rPr>
        <w:t>Studies in Higher Education</w:t>
      </w:r>
      <w:r w:rsidRPr="009B012A">
        <w:rPr>
          <w:sz w:val="24"/>
        </w:rPr>
        <w:t xml:space="preserve">, </w:t>
      </w:r>
      <w:r w:rsidR="000248A1" w:rsidRPr="009B012A">
        <w:rPr>
          <w:sz w:val="24"/>
        </w:rPr>
        <w:t>Vol. 45 No. 12, pp.</w:t>
      </w:r>
      <w:r w:rsidRPr="009B012A">
        <w:rPr>
          <w:sz w:val="24"/>
        </w:rPr>
        <w:t>2588-2603.</w:t>
      </w:r>
    </w:p>
    <w:p w14:paraId="1754E487" w14:textId="78CA0797" w:rsidR="0054298F" w:rsidRPr="009B012A" w:rsidRDefault="004D4061" w:rsidP="00D7145F">
      <w:pPr>
        <w:pStyle w:val="ReferencelistGJSD"/>
        <w:spacing w:after="0" w:line="480" w:lineRule="auto"/>
        <w:ind w:left="567"/>
        <w:jc w:val="both"/>
        <w:rPr>
          <w:color w:val="FF0000"/>
          <w:sz w:val="24"/>
        </w:rPr>
      </w:pPr>
      <w:hyperlink r:id="rId36" w:history="1">
        <w:r w:rsidR="0054298F" w:rsidRPr="009B012A">
          <w:rPr>
            <w:rStyle w:val="Hyperlink"/>
            <w:color w:val="0C7DBB"/>
            <w:sz w:val="24"/>
          </w:rPr>
          <w:t>https://doi.org/10.1080/03075079.2019.1623770</w:t>
        </w:r>
      </w:hyperlink>
    </w:p>
    <w:p w14:paraId="322AFA45" w14:textId="2A4F0C74" w:rsidR="008F2D2A" w:rsidRPr="009B012A" w:rsidRDefault="008F2D2A" w:rsidP="00D7145F">
      <w:pPr>
        <w:pStyle w:val="ReferencelistGJSD"/>
        <w:spacing w:after="0" w:line="480" w:lineRule="auto"/>
        <w:ind w:left="567" w:hanging="567"/>
        <w:jc w:val="both"/>
        <w:rPr>
          <w:sz w:val="24"/>
        </w:rPr>
      </w:pPr>
      <w:bookmarkStart w:id="12" w:name="_Hlk103189392"/>
      <w:r w:rsidRPr="009B012A">
        <w:rPr>
          <w:sz w:val="24"/>
        </w:rPr>
        <w:t xml:space="preserve">Rothwell, A. and Arnold, J. (2007), “Self-perceived employability: </w:t>
      </w:r>
      <w:r w:rsidR="00F63922" w:rsidRPr="009B012A">
        <w:rPr>
          <w:sz w:val="24"/>
        </w:rPr>
        <w:t>D</w:t>
      </w:r>
      <w:r w:rsidRPr="009B012A">
        <w:rPr>
          <w:sz w:val="24"/>
        </w:rPr>
        <w:t xml:space="preserve">evelopment and validation of a scale”, </w:t>
      </w:r>
      <w:r w:rsidRPr="009B012A">
        <w:rPr>
          <w:i/>
          <w:iCs/>
          <w:sz w:val="24"/>
        </w:rPr>
        <w:t>Personnel Review</w:t>
      </w:r>
      <w:r w:rsidRPr="009B012A">
        <w:rPr>
          <w:sz w:val="24"/>
        </w:rPr>
        <w:t xml:space="preserve">, Vol. 36 No. 1, pp.23-41. </w:t>
      </w:r>
    </w:p>
    <w:p w14:paraId="7A65D31B" w14:textId="16AA3128" w:rsidR="008F2D2A" w:rsidRPr="009B012A" w:rsidRDefault="004D4061" w:rsidP="008F2D2A">
      <w:pPr>
        <w:pStyle w:val="ReferencelistGJSD"/>
        <w:spacing w:after="0" w:line="480" w:lineRule="auto"/>
        <w:ind w:left="567"/>
        <w:jc w:val="both"/>
        <w:rPr>
          <w:rStyle w:val="Hyperlink"/>
          <w:color w:val="0C7DBB"/>
        </w:rPr>
      </w:pPr>
      <w:hyperlink r:id="rId37" w:history="1">
        <w:r w:rsidR="008F2D2A" w:rsidRPr="009B012A">
          <w:rPr>
            <w:rStyle w:val="Hyperlink"/>
            <w:sz w:val="24"/>
          </w:rPr>
          <w:t>https://doi.org/10.1108/00483480710716704</w:t>
        </w:r>
      </w:hyperlink>
    </w:p>
    <w:p w14:paraId="5EFE35F5" w14:textId="3E7F3BEE" w:rsidR="00EF57B4" w:rsidRPr="009B012A" w:rsidRDefault="00EF57B4" w:rsidP="00D7145F">
      <w:pPr>
        <w:pStyle w:val="ReferencelistGJSD"/>
        <w:spacing w:after="0" w:line="480" w:lineRule="auto"/>
        <w:ind w:left="567" w:hanging="567"/>
        <w:jc w:val="both"/>
        <w:rPr>
          <w:sz w:val="24"/>
        </w:rPr>
      </w:pPr>
      <w:r w:rsidRPr="009B012A">
        <w:rPr>
          <w:sz w:val="24"/>
        </w:rPr>
        <w:t xml:space="preserve">Selvaratnam, R. (2021), “The link between learning spaces and employability outcomes”, </w:t>
      </w:r>
      <w:r w:rsidRPr="009B012A">
        <w:rPr>
          <w:i/>
          <w:iCs/>
          <w:sz w:val="24"/>
        </w:rPr>
        <w:t>Journal of Learning Spaces</w:t>
      </w:r>
      <w:r w:rsidRPr="009B012A">
        <w:rPr>
          <w:sz w:val="24"/>
        </w:rPr>
        <w:t>, Vol. 10 No. 2, ISSN 21586195.</w:t>
      </w:r>
    </w:p>
    <w:bookmarkEnd w:id="12"/>
    <w:p w14:paraId="2991FEF9" w14:textId="3CAF146D" w:rsidR="0054298F" w:rsidRPr="009B012A" w:rsidRDefault="0054298F" w:rsidP="00D7145F">
      <w:pPr>
        <w:pStyle w:val="ReferencelistGJSD"/>
        <w:spacing w:after="0" w:line="480" w:lineRule="auto"/>
        <w:ind w:left="567" w:hanging="567"/>
        <w:jc w:val="both"/>
        <w:rPr>
          <w:rStyle w:val="Hyperlink"/>
          <w:color w:val="0C7DBB"/>
          <w:sz w:val="24"/>
        </w:rPr>
      </w:pPr>
      <w:r w:rsidRPr="009B012A">
        <w:rPr>
          <w:sz w:val="24"/>
        </w:rPr>
        <w:t xml:space="preserve">Small, L., Shacklock, K. </w:t>
      </w:r>
      <w:r w:rsidR="003438D5" w:rsidRPr="009B012A">
        <w:rPr>
          <w:sz w:val="24"/>
        </w:rPr>
        <w:t>and</w:t>
      </w:r>
      <w:r w:rsidRPr="009B012A">
        <w:rPr>
          <w:sz w:val="24"/>
        </w:rPr>
        <w:t xml:space="preserve"> Marchant, T. (2018)</w:t>
      </w:r>
      <w:r w:rsidR="000248A1" w:rsidRPr="009B012A">
        <w:rPr>
          <w:sz w:val="24"/>
        </w:rPr>
        <w:t>,</w:t>
      </w:r>
      <w:r w:rsidRPr="009B012A">
        <w:rPr>
          <w:sz w:val="24"/>
        </w:rPr>
        <w:t xml:space="preserve"> </w:t>
      </w:r>
      <w:r w:rsidR="000248A1" w:rsidRPr="009B012A">
        <w:rPr>
          <w:sz w:val="24"/>
        </w:rPr>
        <w:t>“</w:t>
      </w:r>
      <w:r w:rsidRPr="009B012A">
        <w:rPr>
          <w:sz w:val="24"/>
        </w:rPr>
        <w:t>Employability: a contemporary review for higher education stakeholders</w:t>
      </w:r>
      <w:r w:rsidR="000248A1" w:rsidRPr="009B012A">
        <w:rPr>
          <w:sz w:val="24"/>
        </w:rPr>
        <w:t xml:space="preserve">”, </w:t>
      </w:r>
      <w:r w:rsidRPr="009B012A">
        <w:rPr>
          <w:i/>
          <w:iCs/>
          <w:sz w:val="24"/>
        </w:rPr>
        <w:t>Journal of Vocational Education and Training</w:t>
      </w:r>
      <w:r w:rsidRPr="009B012A">
        <w:rPr>
          <w:sz w:val="24"/>
        </w:rPr>
        <w:t xml:space="preserve">, </w:t>
      </w:r>
      <w:r w:rsidR="000248A1" w:rsidRPr="009B012A">
        <w:rPr>
          <w:sz w:val="24"/>
        </w:rPr>
        <w:t>Vol. 70 No. 1, pp.</w:t>
      </w:r>
      <w:r w:rsidRPr="009B012A">
        <w:rPr>
          <w:sz w:val="24"/>
        </w:rPr>
        <w:t>148-166.</w:t>
      </w:r>
      <w:r w:rsidR="00A96555" w:rsidRPr="009B012A">
        <w:rPr>
          <w:sz w:val="24"/>
        </w:rPr>
        <w:t xml:space="preserve"> </w:t>
      </w:r>
      <w:hyperlink r:id="rId38" w:history="1">
        <w:r w:rsidRPr="009B012A">
          <w:rPr>
            <w:rStyle w:val="Hyperlink"/>
            <w:color w:val="0C7DBB"/>
            <w:sz w:val="24"/>
          </w:rPr>
          <w:t>https://doi.org/10.1080/13636820.2017.1394355</w:t>
        </w:r>
      </w:hyperlink>
    </w:p>
    <w:p w14:paraId="52F3E8F2" w14:textId="6B90F5F0" w:rsidR="008F2D2A" w:rsidRPr="009B012A" w:rsidRDefault="008F2D2A" w:rsidP="00D7145F">
      <w:pPr>
        <w:pStyle w:val="ReferencelistGJSD"/>
        <w:spacing w:after="0" w:line="480" w:lineRule="auto"/>
        <w:ind w:left="567" w:hanging="567"/>
        <w:jc w:val="both"/>
        <w:rPr>
          <w:sz w:val="24"/>
        </w:rPr>
      </w:pPr>
      <w:r w:rsidRPr="009B012A">
        <w:rPr>
          <w:sz w:val="24"/>
        </w:rPr>
        <w:t xml:space="preserve">Soares, M. and Mosquera, P. (2020), “Linking development of skills and perceptions of employability: The case of Erasmus students”, </w:t>
      </w:r>
      <w:proofErr w:type="spellStart"/>
      <w:r w:rsidRPr="009B012A">
        <w:rPr>
          <w:i/>
          <w:iCs/>
          <w:sz w:val="24"/>
        </w:rPr>
        <w:t>Ekonomska</w:t>
      </w:r>
      <w:proofErr w:type="spellEnd"/>
      <w:r w:rsidRPr="009B012A">
        <w:rPr>
          <w:i/>
          <w:iCs/>
          <w:sz w:val="24"/>
        </w:rPr>
        <w:t xml:space="preserve"> </w:t>
      </w:r>
      <w:proofErr w:type="spellStart"/>
      <w:r w:rsidRPr="009B012A">
        <w:rPr>
          <w:i/>
          <w:iCs/>
          <w:sz w:val="24"/>
        </w:rPr>
        <w:t>Istrazivanja</w:t>
      </w:r>
      <w:proofErr w:type="spellEnd"/>
      <w:r w:rsidRPr="009B012A">
        <w:rPr>
          <w:sz w:val="24"/>
        </w:rPr>
        <w:t xml:space="preserve">, Vol. 33 No. 1, pp.2769-2786. </w:t>
      </w:r>
      <w:hyperlink r:id="rId39" w:history="1">
        <w:r w:rsidRPr="009B012A">
          <w:rPr>
            <w:rStyle w:val="Hyperlink"/>
            <w:color w:val="0C7DBB"/>
            <w:sz w:val="24"/>
          </w:rPr>
          <w:t>https://doi.org/10.1080/1331677X.2019.1697330</w:t>
        </w:r>
      </w:hyperlink>
    </w:p>
    <w:p w14:paraId="57FF7B78" w14:textId="6935E089" w:rsidR="0054298F" w:rsidRPr="009B012A" w:rsidRDefault="0054298F" w:rsidP="00D7145F">
      <w:pPr>
        <w:pStyle w:val="ReferencelistGJSD"/>
        <w:spacing w:after="0" w:line="480" w:lineRule="auto"/>
        <w:ind w:left="567" w:hanging="567"/>
        <w:jc w:val="both"/>
        <w:rPr>
          <w:rStyle w:val="Hyperlink"/>
          <w:color w:val="0C7DBB"/>
          <w:sz w:val="24"/>
        </w:rPr>
      </w:pPr>
      <w:r w:rsidRPr="009B012A">
        <w:rPr>
          <w:sz w:val="24"/>
        </w:rPr>
        <w:lastRenderedPageBreak/>
        <w:t xml:space="preserve">Tomlinson, M. </w:t>
      </w:r>
      <w:r w:rsidR="003438D5" w:rsidRPr="009B012A">
        <w:rPr>
          <w:sz w:val="24"/>
        </w:rPr>
        <w:t>and</w:t>
      </w:r>
      <w:r w:rsidRPr="009B012A">
        <w:rPr>
          <w:sz w:val="24"/>
        </w:rPr>
        <w:t xml:space="preserve"> Anderson, V. (2021)</w:t>
      </w:r>
      <w:r w:rsidR="000248A1" w:rsidRPr="009B012A">
        <w:rPr>
          <w:sz w:val="24"/>
        </w:rPr>
        <w:t>,</w:t>
      </w:r>
      <w:r w:rsidRPr="009B012A">
        <w:rPr>
          <w:sz w:val="24"/>
        </w:rPr>
        <w:t xml:space="preserve"> </w:t>
      </w:r>
      <w:r w:rsidR="000248A1" w:rsidRPr="009B012A">
        <w:rPr>
          <w:sz w:val="24"/>
        </w:rPr>
        <w:t>“</w:t>
      </w:r>
      <w:r w:rsidRPr="009B012A">
        <w:rPr>
          <w:sz w:val="24"/>
        </w:rPr>
        <w:t>Employers and graduates: The mediating role of signals and capitals</w:t>
      </w:r>
      <w:r w:rsidR="000248A1" w:rsidRPr="009B012A">
        <w:rPr>
          <w:sz w:val="24"/>
        </w:rPr>
        <w:t>”,</w:t>
      </w:r>
      <w:r w:rsidRPr="009B012A">
        <w:rPr>
          <w:sz w:val="24"/>
        </w:rPr>
        <w:t xml:space="preserve"> </w:t>
      </w:r>
      <w:r w:rsidRPr="009B012A">
        <w:rPr>
          <w:i/>
          <w:iCs/>
          <w:sz w:val="24"/>
        </w:rPr>
        <w:t>Journal of Higher Education Policy and Management</w:t>
      </w:r>
      <w:r w:rsidRPr="009B012A">
        <w:rPr>
          <w:sz w:val="24"/>
        </w:rPr>
        <w:t xml:space="preserve">, </w:t>
      </w:r>
      <w:r w:rsidR="000248A1" w:rsidRPr="009B012A">
        <w:rPr>
          <w:sz w:val="24"/>
        </w:rPr>
        <w:t>Vol. 43 No. 4, pp.</w:t>
      </w:r>
      <w:r w:rsidRPr="009B012A">
        <w:rPr>
          <w:sz w:val="24"/>
        </w:rPr>
        <w:t>384-399.</w:t>
      </w:r>
      <w:r w:rsidR="00A96555" w:rsidRPr="009B012A">
        <w:rPr>
          <w:sz w:val="24"/>
        </w:rPr>
        <w:t xml:space="preserve"> </w:t>
      </w:r>
      <w:hyperlink r:id="rId40" w:history="1">
        <w:r w:rsidRPr="009B012A">
          <w:rPr>
            <w:rStyle w:val="Hyperlink"/>
            <w:color w:val="0C7DBB"/>
            <w:sz w:val="24"/>
          </w:rPr>
          <w:t>https://doi.org/10.1080/1360080X.2020.1833126</w:t>
        </w:r>
      </w:hyperlink>
    </w:p>
    <w:p w14:paraId="7F30845B" w14:textId="11A8106C" w:rsidR="0054298F" w:rsidRPr="009B012A" w:rsidRDefault="0054298F" w:rsidP="00D7145F">
      <w:pPr>
        <w:pStyle w:val="ReferencelistGJSD"/>
        <w:spacing w:after="0" w:line="480" w:lineRule="auto"/>
        <w:ind w:left="567" w:hanging="567"/>
        <w:jc w:val="both"/>
        <w:rPr>
          <w:sz w:val="24"/>
        </w:rPr>
      </w:pPr>
      <w:r w:rsidRPr="009B012A">
        <w:rPr>
          <w:sz w:val="24"/>
        </w:rPr>
        <w:t xml:space="preserve">Useem, M. </w:t>
      </w:r>
      <w:r w:rsidR="003438D5" w:rsidRPr="009B012A">
        <w:rPr>
          <w:sz w:val="24"/>
        </w:rPr>
        <w:t>and</w:t>
      </w:r>
      <w:r w:rsidRPr="009B012A">
        <w:rPr>
          <w:sz w:val="24"/>
        </w:rPr>
        <w:t xml:space="preserve"> </w:t>
      </w:r>
      <w:proofErr w:type="spellStart"/>
      <w:r w:rsidRPr="009B012A">
        <w:rPr>
          <w:sz w:val="24"/>
        </w:rPr>
        <w:t>Karabel</w:t>
      </w:r>
      <w:proofErr w:type="spellEnd"/>
      <w:r w:rsidRPr="009B012A">
        <w:rPr>
          <w:sz w:val="24"/>
        </w:rPr>
        <w:t>, J. (1986)</w:t>
      </w:r>
      <w:r w:rsidR="000248A1" w:rsidRPr="009B012A">
        <w:rPr>
          <w:sz w:val="24"/>
        </w:rPr>
        <w:t>,</w:t>
      </w:r>
      <w:r w:rsidRPr="009B012A">
        <w:rPr>
          <w:sz w:val="24"/>
        </w:rPr>
        <w:t xml:space="preserve"> </w:t>
      </w:r>
      <w:r w:rsidR="000248A1" w:rsidRPr="009B012A">
        <w:rPr>
          <w:sz w:val="24"/>
        </w:rPr>
        <w:t>“</w:t>
      </w:r>
      <w:r w:rsidRPr="009B012A">
        <w:rPr>
          <w:sz w:val="24"/>
        </w:rPr>
        <w:t>Pathways to top corporate management</w:t>
      </w:r>
      <w:r w:rsidR="000248A1" w:rsidRPr="009B012A">
        <w:rPr>
          <w:sz w:val="24"/>
        </w:rPr>
        <w:t>”,</w:t>
      </w:r>
      <w:r w:rsidRPr="009B012A">
        <w:rPr>
          <w:sz w:val="24"/>
        </w:rPr>
        <w:t xml:space="preserve"> </w:t>
      </w:r>
      <w:r w:rsidRPr="009B012A">
        <w:rPr>
          <w:i/>
          <w:iCs/>
          <w:sz w:val="24"/>
        </w:rPr>
        <w:t>American Sociological Review</w:t>
      </w:r>
      <w:r w:rsidRPr="009B012A">
        <w:rPr>
          <w:sz w:val="24"/>
        </w:rPr>
        <w:t xml:space="preserve">, </w:t>
      </w:r>
      <w:r w:rsidR="000248A1" w:rsidRPr="009B012A">
        <w:rPr>
          <w:sz w:val="24"/>
        </w:rPr>
        <w:t>Vol. 51 No. 2, pp.</w:t>
      </w:r>
      <w:r w:rsidRPr="009B012A">
        <w:rPr>
          <w:sz w:val="24"/>
        </w:rPr>
        <w:t>184-200.</w:t>
      </w:r>
    </w:p>
    <w:p w14:paraId="57BA7C0F" w14:textId="77777777" w:rsidR="000248A1" w:rsidRPr="009B012A" w:rsidRDefault="0054298F" w:rsidP="00D7145F">
      <w:pPr>
        <w:pStyle w:val="ReferencelistGJSD"/>
        <w:spacing w:after="0" w:line="480" w:lineRule="auto"/>
        <w:ind w:left="567" w:hanging="567"/>
        <w:jc w:val="both"/>
        <w:rPr>
          <w:sz w:val="24"/>
        </w:rPr>
      </w:pPr>
      <w:r w:rsidRPr="009B012A">
        <w:rPr>
          <w:sz w:val="24"/>
        </w:rPr>
        <w:t xml:space="preserve">Van der Heijden, B.I.J.M. </w:t>
      </w:r>
      <w:r w:rsidR="003438D5" w:rsidRPr="009B012A">
        <w:rPr>
          <w:sz w:val="24"/>
        </w:rPr>
        <w:t>and</w:t>
      </w:r>
      <w:r w:rsidRPr="009B012A">
        <w:rPr>
          <w:sz w:val="24"/>
        </w:rPr>
        <w:t xml:space="preserve"> De Vos, A. (2015)</w:t>
      </w:r>
      <w:r w:rsidR="000248A1" w:rsidRPr="009B012A">
        <w:rPr>
          <w:sz w:val="24"/>
        </w:rPr>
        <w:t>,</w:t>
      </w:r>
      <w:r w:rsidRPr="009B012A">
        <w:rPr>
          <w:sz w:val="24"/>
        </w:rPr>
        <w:t xml:space="preserve"> </w:t>
      </w:r>
      <w:r w:rsidR="000248A1" w:rsidRPr="009B012A">
        <w:rPr>
          <w:sz w:val="24"/>
        </w:rPr>
        <w:t>“</w:t>
      </w:r>
      <w:r w:rsidRPr="009B012A">
        <w:rPr>
          <w:sz w:val="24"/>
        </w:rPr>
        <w:t>Sustainable careers: Introductory chapter</w:t>
      </w:r>
      <w:r w:rsidR="000248A1" w:rsidRPr="009B012A">
        <w:rPr>
          <w:sz w:val="24"/>
        </w:rPr>
        <w:t>”,</w:t>
      </w:r>
      <w:r w:rsidRPr="009B012A">
        <w:rPr>
          <w:sz w:val="24"/>
        </w:rPr>
        <w:t xml:space="preserve"> A. De Vos </w:t>
      </w:r>
      <w:r w:rsidR="003438D5" w:rsidRPr="009B012A">
        <w:rPr>
          <w:sz w:val="24"/>
        </w:rPr>
        <w:t>and</w:t>
      </w:r>
      <w:r w:rsidRPr="009B012A">
        <w:rPr>
          <w:sz w:val="24"/>
        </w:rPr>
        <w:t xml:space="preserve"> B.I.J.M. Van der Heijden (Eds.), </w:t>
      </w:r>
      <w:r w:rsidRPr="009B012A">
        <w:rPr>
          <w:i/>
          <w:iCs/>
          <w:sz w:val="24"/>
        </w:rPr>
        <w:t>Handbook of Research on Sustainable Careers</w:t>
      </w:r>
      <w:r w:rsidR="000248A1" w:rsidRPr="009B012A">
        <w:rPr>
          <w:sz w:val="24"/>
        </w:rPr>
        <w:t>, Edward Elgar Publishing, Online, pp.</w:t>
      </w:r>
      <w:r w:rsidRPr="009B012A">
        <w:rPr>
          <w:sz w:val="24"/>
        </w:rPr>
        <w:t>1-19.</w:t>
      </w:r>
    </w:p>
    <w:p w14:paraId="03528821" w14:textId="28362524" w:rsidR="0054298F" w:rsidRPr="009B012A" w:rsidRDefault="004D4061" w:rsidP="000248A1">
      <w:pPr>
        <w:pStyle w:val="ReferencelistGJSD"/>
        <w:spacing w:after="0" w:line="480" w:lineRule="auto"/>
        <w:ind w:left="567"/>
        <w:jc w:val="both"/>
        <w:rPr>
          <w:color w:val="FF0000"/>
          <w:sz w:val="24"/>
        </w:rPr>
      </w:pPr>
      <w:hyperlink r:id="rId41" w:tgtFrame="_blank" w:history="1">
        <w:r w:rsidR="0054298F" w:rsidRPr="009B012A">
          <w:rPr>
            <w:rStyle w:val="Hyperlink"/>
            <w:color w:val="0C7DBB"/>
            <w:sz w:val="24"/>
          </w:rPr>
          <w:t>https://doi.org/10.4337/9781782547037.00006</w:t>
        </w:r>
      </w:hyperlink>
    </w:p>
    <w:p w14:paraId="2698230C" w14:textId="00273E3C" w:rsidR="009B0907" w:rsidRPr="009B012A" w:rsidRDefault="009B0907" w:rsidP="00D7145F">
      <w:pPr>
        <w:pStyle w:val="ReferencelistGJSD"/>
        <w:spacing w:after="0" w:line="480" w:lineRule="auto"/>
        <w:ind w:left="567" w:hanging="567"/>
        <w:jc w:val="both"/>
        <w:rPr>
          <w:sz w:val="24"/>
        </w:rPr>
      </w:pPr>
      <w:r w:rsidRPr="009B012A">
        <w:rPr>
          <w:sz w:val="24"/>
        </w:rPr>
        <w:t xml:space="preserve">Ward, R. (2020), </w:t>
      </w:r>
      <w:r w:rsidRPr="009B012A">
        <w:rPr>
          <w:i/>
          <w:iCs/>
          <w:sz w:val="24"/>
        </w:rPr>
        <w:t>Personalised Learning for the Learning Person</w:t>
      </w:r>
      <w:r w:rsidRPr="009B012A">
        <w:rPr>
          <w:sz w:val="24"/>
        </w:rPr>
        <w:t>, Emerald Publishing Limited, Bingley.</w:t>
      </w:r>
    </w:p>
    <w:p w14:paraId="31C5A6B5" w14:textId="62394BCA" w:rsidR="000D58B7" w:rsidRDefault="0054298F" w:rsidP="00D7145F">
      <w:pPr>
        <w:pStyle w:val="ReferencelistGJSD"/>
        <w:spacing w:after="0" w:line="480" w:lineRule="auto"/>
        <w:ind w:left="567" w:hanging="567"/>
        <w:jc w:val="both"/>
        <w:rPr>
          <w:rStyle w:val="Hyperlink"/>
          <w:color w:val="0C7DBB"/>
          <w:sz w:val="24"/>
        </w:rPr>
      </w:pPr>
      <w:r w:rsidRPr="009B012A">
        <w:rPr>
          <w:sz w:val="24"/>
        </w:rPr>
        <w:t xml:space="preserve">Williams, S., </w:t>
      </w:r>
      <w:proofErr w:type="spellStart"/>
      <w:r w:rsidRPr="009B012A">
        <w:rPr>
          <w:sz w:val="24"/>
        </w:rPr>
        <w:t>Karypidou</w:t>
      </w:r>
      <w:proofErr w:type="spellEnd"/>
      <w:r w:rsidRPr="009B012A">
        <w:rPr>
          <w:sz w:val="24"/>
        </w:rPr>
        <w:t xml:space="preserve">, A., Steele, C. </w:t>
      </w:r>
      <w:r w:rsidR="003438D5" w:rsidRPr="009B012A">
        <w:rPr>
          <w:sz w:val="24"/>
        </w:rPr>
        <w:t>and</w:t>
      </w:r>
      <w:r w:rsidRPr="009B012A">
        <w:rPr>
          <w:sz w:val="24"/>
        </w:rPr>
        <w:t xml:space="preserve"> Dodd, L. (2019)</w:t>
      </w:r>
      <w:r w:rsidR="000248A1" w:rsidRPr="009B012A">
        <w:rPr>
          <w:sz w:val="24"/>
        </w:rPr>
        <w:t>,</w:t>
      </w:r>
      <w:r w:rsidRPr="009B012A">
        <w:rPr>
          <w:sz w:val="24"/>
        </w:rPr>
        <w:t xml:space="preserve"> </w:t>
      </w:r>
      <w:r w:rsidR="000248A1" w:rsidRPr="009B012A">
        <w:rPr>
          <w:sz w:val="24"/>
        </w:rPr>
        <w:t>“</w:t>
      </w:r>
      <w:r w:rsidRPr="009B012A">
        <w:rPr>
          <w:sz w:val="24"/>
        </w:rPr>
        <w:t>A personal construct approach to employability: comparing stakeholders’ implicit theories</w:t>
      </w:r>
      <w:r w:rsidR="000248A1" w:rsidRPr="009B012A">
        <w:rPr>
          <w:sz w:val="24"/>
        </w:rPr>
        <w:t>”,</w:t>
      </w:r>
      <w:r w:rsidRPr="009B012A">
        <w:rPr>
          <w:sz w:val="24"/>
        </w:rPr>
        <w:t xml:space="preserve"> </w:t>
      </w:r>
      <w:r w:rsidRPr="009B012A">
        <w:rPr>
          <w:i/>
          <w:iCs/>
          <w:sz w:val="24"/>
        </w:rPr>
        <w:t>Education + Training</w:t>
      </w:r>
      <w:r w:rsidRPr="009B012A">
        <w:rPr>
          <w:sz w:val="24"/>
        </w:rPr>
        <w:t xml:space="preserve">, </w:t>
      </w:r>
      <w:r w:rsidR="000248A1" w:rsidRPr="009B012A">
        <w:rPr>
          <w:sz w:val="24"/>
        </w:rPr>
        <w:t>Vol. 61 No. 4, pp.</w:t>
      </w:r>
      <w:r w:rsidRPr="009B012A">
        <w:rPr>
          <w:sz w:val="24"/>
        </w:rPr>
        <w:t>390-412.</w:t>
      </w:r>
      <w:r w:rsidR="00A96555" w:rsidRPr="009B012A">
        <w:rPr>
          <w:sz w:val="24"/>
        </w:rPr>
        <w:t xml:space="preserve"> </w:t>
      </w:r>
      <w:hyperlink r:id="rId42" w:history="1">
        <w:r w:rsidRPr="009B012A">
          <w:rPr>
            <w:rStyle w:val="Hyperlink"/>
            <w:color w:val="0C7DBB"/>
            <w:sz w:val="24"/>
          </w:rPr>
          <w:t>https://doi.org/10.1108/ET-08-2017-0112</w:t>
        </w:r>
      </w:hyperlink>
      <w:bookmarkEnd w:id="10"/>
    </w:p>
    <w:p w14:paraId="4B1D8256" w14:textId="77777777" w:rsidR="000D58B7" w:rsidRDefault="000D58B7">
      <w:pPr>
        <w:suppressAutoHyphens w:val="0"/>
        <w:spacing w:after="160" w:line="259" w:lineRule="auto"/>
        <w:rPr>
          <w:rStyle w:val="Hyperlink"/>
          <w:rFonts w:ascii="Times New Roman" w:hAnsi="Times New Roman" w:cs="Times New Roman"/>
          <w:color w:val="0C7DBB"/>
          <w:sz w:val="24"/>
          <w:szCs w:val="24"/>
        </w:rPr>
      </w:pPr>
      <w:r>
        <w:rPr>
          <w:rStyle w:val="Hyperlink"/>
          <w:color w:val="0C7DBB"/>
          <w:sz w:val="24"/>
        </w:rPr>
        <w:br w:type="page"/>
      </w:r>
    </w:p>
    <w:p w14:paraId="7AACAA16" w14:textId="77777777" w:rsidR="000D58B7" w:rsidRDefault="000D58B7" w:rsidP="000D58B7">
      <w:pPr>
        <w:pStyle w:val="bodytextGJSD"/>
        <w:spacing w:after="0"/>
        <w:jc w:val="center"/>
        <w:rPr>
          <w:b/>
          <w:lang w:val="en-US"/>
        </w:rPr>
      </w:pPr>
      <w:r w:rsidRPr="002F31F3">
        <w:rPr>
          <w:b/>
          <w:lang w:val="en-US"/>
        </w:rPr>
        <w:lastRenderedPageBreak/>
        <w:t>Table I</w:t>
      </w:r>
      <w:r>
        <w:rPr>
          <w:b/>
          <w:lang w:val="en-US"/>
        </w:rPr>
        <w:t>: Summary Statistics Waves One and Two</w:t>
      </w:r>
    </w:p>
    <w:p w14:paraId="4D0604AE" w14:textId="77777777" w:rsidR="000D58B7" w:rsidRPr="002F31F3" w:rsidRDefault="000D58B7" w:rsidP="000D58B7">
      <w:pPr>
        <w:pStyle w:val="bodytextGJSD"/>
        <w:spacing w:after="0"/>
        <w:jc w:val="center"/>
        <w:rPr>
          <w:b/>
        </w:rPr>
      </w:pPr>
    </w:p>
    <w:tbl>
      <w:tblPr>
        <w:tblStyle w:val="TableGrid"/>
        <w:tblW w:w="9298" w:type="dxa"/>
        <w:jc w:val="center"/>
        <w:tblLook w:val="04A0" w:firstRow="1" w:lastRow="0" w:firstColumn="1" w:lastColumn="0" w:noHBand="0" w:noVBand="1"/>
      </w:tblPr>
      <w:tblGrid>
        <w:gridCol w:w="5476"/>
        <w:gridCol w:w="955"/>
        <w:gridCol w:w="956"/>
        <w:gridCol w:w="955"/>
        <w:gridCol w:w="956"/>
      </w:tblGrid>
      <w:tr w:rsidR="000D58B7" w:rsidRPr="00C81F31" w14:paraId="3776EB66" w14:textId="77777777" w:rsidTr="005D38B9">
        <w:trPr>
          <w:trHeight w:val="340"/>
          <w:jc w:val="center"/>
        </w:trPr>
        <w:tc>
          <w:tcPr>
            <w:tcW w:w="5476" w:type="dxa"/>
            <w:vAlign w:val="center"/>
          </w:tcPr>
          <w:p w14:paraId="7AEE5642" w14:textId="77777777" w:rsidR="000D58B7" w:rsidRPr="00423F32" w:rsidRDefault="000D58B7" w:rsidP="005D38B9">
            <w:pPr>
              <w:rPr>
                <w:rFonts w:ascii="Times New Roman" w:hAnsi="Times New Roman" w:cs="Times New Roman"/>
                <w:b/>
                <w:bCs/>
              </w:rPr>
            </w:pPr>
            <w:r w:rsidRPr="00423F32">
              <w:rPr>
                <w:rFonts w:ascii="Times New Roman" w:hAnsi="Times New Roman" w:cs="Times New Roman"/>
                <w:b/>
                <w:bCs/>
              </w:rPr>
              <w:t>Description</w:t>
            </w:r>
          </w:p>
        </w:tc>
        <w:tc>
          <w:tcPr>
            <w:tcW w:w="1911" w:type="dxa"/>
            <w:gridSpan w:val="2"/>
            <w:vAlign w:val="center"/>
          </w:tcPr>
          <w:p w14:paraId="24701405" w14:textId="77777777" w:rsidR="000D58B7" w:rsidRPr="00423F32" w:rsidRDefault="000D58B7" w:rsidP="005D38B9">
            <w:pPr>
              <w:jc w:val="center"/>
              <w:rPr>
                <w:rFonts w:ascii="Times New Roman" w:hAnsi="Times New Roman" w:cs="Times New Roman"/>
                <w:b/>
                <w:bCs/>
              </w:rPr>
            </w:pPr>
            <w:r w:rsidRPr="00423F32">
              <w:rPr>
                <w:rFonts w:ascii="Times New Roman" w:hAnsi="Times New Roman" w:cs="Times New Roman"/>
                <w:b/>
                <w:bCs/>
              </w:rPr>
              <w:t>Yes</w:t>
            </w:r>
          </w:p>
        </w:tc>
        <w:tc>
          <w:tcPr>
            <w:tcW w:w="1911" w:type="dxa"/>
            <w:gridSpan w:val="2"/>
            <w:vAlign w:val="center"/>
          </w:tcPr>
          <w:p w14:paraId="7ABCC8F9" w14:textId="77777777" w:rsidR="000D58B7" w:rsidRPr="00423F32" w:rsidRDefault="000D58B7" w:rsidP="005D38B9">
            <w:pPr>
              <w:jc w:val="center"/>
              <w:rPr>
                <w:rFonts w:ascii="Times New Roman" w:hAnsi="Times New Roman" w:cs="Times New Roman"/>
                <w:b/>
                <w:bCs/>
              </w:rPr>
            </w:pPr>
            <w:r w:rsidRPr="00423F32">
              <w:rPr>
                <w:rFonts w:ascii="Times New Roman" w:hAnsi="Times New Roman" w:cs="Times New Roman"/>
                <w:b/>
                <w:bCs/>
              </w:rPr>
              <w:t>No</w:t>
            </w:r>
          </w:p>
        </w:tc>
      </w:tr>
      <w:tr w:rsidR="000D58B7" w:rsidRPr="00C81F31" w14:paraId="13BB4B4D" w14:textId="77777777" w:rsidTr="005D38B9">
        <w:trPr>
          <w:trHeight w:val="340"/>
          <w:jc w:val="center"/>
        </w:trPr>
        <w:tc>
          <w:tcPr>
            <w:tcW w:w="5476" w:type="dxa"/>
            <w:vAlign w:val="center"/>
          </w:tcPr>
          <w:p w14:paraId="6831741B" w14:textId="77777777" w:rsidR="000D58B7" w:rsidRPr="00423F32" w:rsidRDefault="000D58B7" w:rsidP="005D38B9">
            <w:pPr>
              <w:jc w:val="center"/>
              <w:rPr>
                <w:rFonts w:ascii="Times New Roman" w:hAnsi="Times New Roman" w:cs="Times New Roman"/>
              </w:rPr>
            </w:pPr>
          </w:p>
        </w:tc>
        <w:tc>
          <w:tcPr>
            <w:tcW w:w="955" w:type="dxa"/>
            <w:vAlign w:val="center"/>
          </w:tcPr>
          <w:p w14:paraId="4C4017A9" w14:textId="77777777" w:rsidR="000D58B7" w:rsidRPr="00423F32" w:rsidRDefault="000D58B7" w:rsidP="005D38B9">
            <w:pPr>
              <w:jc w:val="center"/>
              <w:rPr>
                <w:rFonts w:ascii="Times New Roman" w:hAnsi="Times New Roman" w:cs="Times New Roman"/>
              </w:rPr>
            </w:pPr>
            <w:r>
              <w:rPr>
                <w:rFonts w:ascii="Times New Roman" w:hAnsi="Times New Roman" w:cs="Times New Roman"/>
              </w:rPr>
              <w:t>n</w:t>
            </w:r>
          </w:p>
        </w:tc>
        <w:tc>
          <w:tcPr>
            <w:tcW w:w="956" w:type="dxa"/>
            <w:vAlign w:val="center"/>
          </w:tcPr>
          <w:p w14:paraId="51D87ECB" w14:textId="77777777" w:rsidR="000D58B7" w:rsidRPr="00423F32" w:rsidRDefault="000D58B7" w:rsidP="005D38B9">
            <w:pPr>
              <w:jc w:val="center"/>
              <w:rPr>
                <w:rFonts w:ascii="Times New Roman" w:hAnsi="Times New Roman" w:cs="Times New Roman"/>
              </w:rPr>
            </w:pPr>
            <w:r w:rsidRPr="00423F32">
              <w:rPr>
                <w:rFonts w:ascii="Times New Roman" w:hAnsi="Times New Roman" w:cs="Times New Roman"/>
              </w:rPr>
              <w:t>%</w:t>
            </w:r>
          </w:p>
        </w:tc>
        <w:tc>
          <w:tcPr>
            <w:tcW w:w="955" w:type="dxa"/>
            <w:vAlign w:val="center"/>
          </w:tcPr>
          <w:p w14:paraId="798507C3" w14:textId="77777777" w:rsidR="000D58B7" w:rsidRPr="00423F32" w:rsidRDefault="000D58B7" w:rsidP="005D38B9">
            <w:pPr>
              <w:jc w:val="center"/>
              <w:rPr>
                <w:rFonts w:ascii="Times New Roman" w:hAnsi="Times New Roman" w:cs="Times New Roman"/>
              </w:rPr>
            </w:pPr>
            <w:r>
              <w:rPr>
                <w:rFonts w:ascii="Times New Roman" w:hAnsi="Times New Roman" w:cs="Times New Roman"/>
              </w:rPr>
              <w:t>n</w:t>
            </w:r>
          </w:p>
        </w:tc>
        <w:tc>
          <w:tcPr>
            <w:tcW w:w="956" w:type="dxa"/>
            <w:vAlign w:val="center"/>
          </w:tcPr>
          <w:p w14:paraId="7F87B1C2" w14:textId="77777777" w:rsidR="000D58B7" w:rsidRPr="00423F32" w:rsidRDefault="000D58B7" w:rsidP="005D38B9">
            <w:pPr>
              <w:jc w:val="center"/>
              <w:rPr>
                <w:rFonts w:ascii="Times New Roman" w:hAnsi="Times New Roman" w:cs="Times New Roman"/>
              </w:rPr>
            </w:pPr>
            <w:r w:rsidRPr="00423F32">
              <w:rPr>
                <w:rFonts w:ascii="Times New Roman" w:hAnsi="Times New Roman" w:cs="Times New Roman"/>
              </w:rPr>
              <w:t>%</w:t>
            </w:r>
          </w:p>
        </w:tc>
      </w:tr>
      <w:tr w:rsidR="000D58B7" w:rsidRPr="00C81F31" w14:paraId="369CD922" w14:textId="77777777" w:rsidTr="005D38B9">
        <w:trPr>
          <w:trHeight w:val="340"/>
          <w:jc w:val="center"/>
        </w:trPr>
        <w:tc>
          <w:tcPr>
            <w:tcW w:w="5476" w:type="dxa"/>
            <w:vAlign w:val="center"/>
          </w:tcPr>
          <w:p w14:paraId="13448B23" w14:textId="77777777" w:rsidR="000D58B7" w:rsidRPr="00423F32" w:rsidRDefault="000D58B7" w:rsidP="005D38B9">
            <w:pPr>
              <w:rPr>
                <w:rFonts w:ascii="Times New Roman" w:hAnsi="Times New Roman" w:cs="Times New Roman"/>
                <w:i/>
                <w:iCs/>
              </w:rPr>
            </w:pPr>
            <w:r>
              <w:rPr>
                <w:rFonts w:ascii="Times New Roman" w:hAnsi="Times New Roman" w:cs="Times New Roman"/>
                <w:i/>
                <w:iCs/>
              </w:rPr>
              <w:t>Wave-One (</w:t>
            </w:r>
            <w:r w:rsidRPr="00423F32">
              <w:rPr>
                <w:rFonts w:ascii="Times New Roman" w:hAnsi="Times New Roman" w:cs="Times New Roman"/>
                <w:i/>
                <w:iCs/>
              </w:rPr>
              <w:t>Start of Module</w:t>
            </w:r>
            <w:r>
              <w:rPr>
                <w:rFonts w:ascii="Times New Roman" w:hAnsi="Times New Roman" w:cs="Times New Roman"/>
                <w:i/>
                <w:iCs/>
              </w:rPr>
              <w:t>)</w:t>
            </w:r>
          </w:p>
        </w:tc>
        <w:tc>
          <w:tcPr>
            <w:tcW w:w="955" w:type="dxa"/>
            <w:vAlign w:val="center"/>
          </w:tcPr>
          <w:p w14:paraId="479A801A" w14:textId="77777777" w:rsidR="000D58B7" w:rsidRPr="00D63A4C" w:rsidRDefault="000D58B7" w:rsidP="005D38B9">
            <w:pPr>
              <w:jc w:val="center"/>
              <w:rPr>
                <w:rFonts w:ascii="Times New Roman" w:hAnsi="Times New Roman" w:cs="Times New Roman"/>
                <w:color w:val="FF0000"/>
              </w:rPr>
            </w:pPr>
          </w:p>
        </w:tc>
        <w:tc>
          <w:tcPr>
            <w:tcW w:w="956" w:type="dxa"/>
            <w:vAlign w:val="center"/>
          </w:tcPr>
          <w:p w14:paraId="0D313CBD" w14:textId="77777777" w:rsidR="000D58B7" w:rsidRPr="00D63A4C" w:rsidRDefault="000D58B7" w:rsidP="005D38B9">
            <w:pPr>
              <w:jc w:val="center"/>
              <w:rPr>
                <w:rFonts w:ascii="Times New Roman" w:hAnsi="Times New Roman" w:cs="Times New Roman"/>
                <w:color w:val="FF0000"/>
              </w:rPr>
            </w:pPr>
          </w:p>
        </w:tc>
        <w:tc>
          <w:tcPr>
            <w:tcW w:w="955" w:type="dxa"/>
            <w:vAlign w:val="center"/>
          </w:tcPr>
          <w:p w14:paraId="34F3E997" w14:textId="77777777" w:rsidR="000D58B7" w:rsidRPr="00D63A4C" w:rsidRDefault="000D58B7" w:rsidP="005D38B9">
            <w:pPr>
              <w:jc w:val="center"/>
              <w:rPr>
                <w:rFonts w:ascii="Times New Roman" w:hAnsi="Times New Roman" w:cs="Times New Roman"/>
                <w:color w:val="FF0000"/>
              </w:rPr>
            </w:pPr>
          </w:p>
        </w:tc>
        <w:tc>
          <w:tcPr>
            <w:tcW w:w="956" w:type="dxa"/>
            <w:vAlign w:val="center"/>
          </w:tcPr>
          <w:p w14:paraId="0C5511E9" w14:textId="77777777" w:rsidR="000D58B7" w:rsidRPr="00D63A4C" w:rsidRDefault="000D58B7" w:rsidP="005D38B9">
            <w:pPr>
              <w:jc w:val="center"/>
              <w:rPr>
                <w:rFonts w:ascii="Times New Roman" w:hAnsi="Times New Roman" w:cs="Times New Roman"/>
                <w:color w:val="FF0000"/>
              </w:rPr>
            </w:pPr>
          </w:p>
        </w:tc>
      </w:tr>
      <w:tr w:rsidR="000D58B7" w:rsidRPr="00C81F31" w14:paraId="096F6B3C" w14:textId="77777777" w:rsidTr="005D38B9">
        <w:trPr>
          <w:trHeight w:val="340"/>
          <w:jc w:val="center"/>
        </w:trPr>
        <w:tc>
          <w:tcPr>
            <w:tcW w:w="5476" w:type="dxa"/>
            <w:vAlign w:val="center"/>
          </w:tcPr>
          <w:p w14:paraId="3A42BDC0" w14:textId="77777777" w:rsidR="000D58B7" w:rsidRPr="00551386" w:rsidRDefault="000D58B7" w:rsidP="005D38B9">
            <w:pPr>
              <w:rPr>
                <w:rFonts w:ascii="Times New Roman" w:hAnsi="Times New Roman" w:cs="Times New Roman"/>
              </w:rPr>
            </w:pPr>
            <w:r w:rsidRPr="00551386">
              <w:rPr>
                <w:rFonts w:ascii="Times New Roman" w:hAnsi="Times New Roman" w:cs="Times New Roman"/>
              </w:rPr>
              <w:t>I ha</w:t>
            </w:r>
            <w:r>
              <w:rPr>
                <w:rFonts w:ascii="Times New Roman" w:hAnsi="Times New Roman" w:cs="Times New Roman"/>
              </w:rPr>
              <w:t>ve</w:t>
            </w:r>
            <w:r w:rsidRPr="00551386">
              <w:rPr>
                <w:rFonts w:ascii="Times New Roman" w:hAnsi="Times New Roman" w:cs="Times New Roman"/>
              </w:rPr>
              <w:t xml:space="preserve"> a CV that I </w:t>
            </w:r>
            <w:r>
              <w:rPr>
                <w:rFonts w:ascii="Times New Roman" w:hAnsi="Times New Roman" w:cs="Times New Roman"/>
              </w:rPr>
              <w:t xml:space="preserve">am </w:t>
            </w:r>
            <w:r w:rsidRPr="00551386">
              <w:rPr>
                <w:rFonts w:ascii="Times New Roman" w:hAnsi="Times New Roman" w:cs="Times New Roman"/>
              </w:rPr>
              <w:t>confident would get me an interview</w:t>
            </w:r>
          </w:p>
        </w:tc>
        <w:tc>
          <w:tcPr>
            <w:tcW w:w="955" w:type="dxa"/>
            <w:vAlign w:val="center"/>
          </w:tcPr>
          <w:p w14:paraId="2D7644C5"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43</w:t>
            </w:r>
          </w:p>
        </w:tc>
        <w:tc>
          <w:tcPr>
            <w:tcW w:w="956" w:type="dxa"/>
            <w:vAlign w:val="center"/>
          </w:tcPr>
          <w:p w14:paraId="2D390120"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53.75</w:t>
            </w:r>
          </w:p>
        </w:tc>
        <w:tc>
          <w:tcPr>
            <w:tcW w:w="955" w:type="dxa"/>
            <w:vAlign w:val="center"/>
          </w:tcPr>
          <w:p w14:paraId="7EECEE01"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37</w:t>
            </w:r>
          </w:p>
        </w:tc>
        <w:tc>
          <w:tcPr>
            <w:tcW w:w="956" w:type="dxa"/>
            <w:vAlign w:val="center"/>
          </w:tcPr>
          <w:p w14:paraId="6273A435"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46.25</w:t>
            </w:r>
          </w:p>
        </w:tc>
      </w:tr>
      <w:tr w:rsidR="000D58B7" w:rsidRPr="00C81F31" w14:paraId="7F906A9C" w14:textId="77777777" w:rsidTr="005D38B9">
        <w:trPr>
          <w:trHeight w:val="340"/>
          <w:jc w:val="center"/>
        </w:trPr>
        <w:tc>
          <w:tcPr>
            <w:tcW w:w="5476" w:type="dxa"/>
            <w:vAlign w:val="center"/>
          </w:tcPr>
          <w:p w14:paraId="12719871" w14:textId="77777777" w:rsidR="000D58B7" w:rsidRPr="00551386" w:rsidRDefault="000D58B7" w:rsidP="005D38B9">
            <w:pPr>
              <w:rPr>
                <w:rFonts w:ascii="Times New Roman" w:hAnsi="Times New Roman" w:cs="Times New Roman"/>
              </w:rPr>
            </w:pPr>
            <w:r w:rsidRPr="00551386">
              <w:rPr>
                <w:rFonts w:ascii="Times New Roman" w:hAnsi="Times New Roman" w:cs="Times New Roman"/>
              </w:rPr>
              <w:t>I ha</w:t>
            </w:r>
            <w:r>
              <w:rPr>
                <w:rFonts w:ascii="Times New Roman" w:hAnsi="Times New Roman" w:cs="Times New Roman"/>
              </w:rPr>
              <w:t>ve</w:t>
            </w:r>
            <w:r w:rsidRPr="00551386">
              <w:rPr>
                <w:rFonts w:ascii="Times New Roman" w:hAnsi="Times New Roman" w:cs="Times New Roman"/>
              </w:rPr>
              <w:t xml:space="preserve"> an awareness of additional certifications</w:t>
            </w:r>
          </w:p>
        </w:tc>
        <w:tc>
          <w:tcPr>
            <w:tcW w:w="955" w:type="dxa"/>
            <w:vAlign w:val="center"/>
          </w:tcPr>
          <w:p w14:paraId="2AF1F102"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40</w:t>
            </w:r>
          </w:p>
        </w:tc>
        <w:tc>
          <w:tcPr>
            <w:tcW w:w="956" w:type="dxa"/>
            <w:vAlign w:val="center"/>
          </w:tcPr>
          <w:p w14:paraId="1EB797EB"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50.00</w:t>
            </w:r>
          </w:p>
        </w:tc>
        <w:tc>
          <w:tcPr>
            <w:tcW w:w="955" w:type="dxa"/>
            <w:vAlign w:val="center"/>
          </w:tcPr>
          <w:p w14:paraId="044BE313"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40</w:t>
            </w:r>
          </w:p>
        </w:tc>
        <w:tc>
          <w:tcPr>
            <w:tcW w:w="956" w:type="dxa"/>
            <w:vAlign w:val="center"/>
          </w:tcPr>
          <w:p w14:paraId="6E52F510"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50.00</w:t>
            </w:r>
          </w:p>
        </w:tc>
      </w:tr>
      <w:tr w:rsidR="000D58B7" w:rsidRPr="00C81F31" w14:paraId="0C9F7954" w14:textId="77777777" w:rsidTr="005D38B9">
        <w:trPr>
          <w:trHeight w:val="340"/>
          <w:jc w:val="center"/>
        </w:trPr>
        <w:tc>
          <w:tcPr>
            <w:tcW w:w="5476" w:type="dxa"/>
            <w:vAlign w:val="center"/>
          </w:tcPr>
          <w:p w14:paraId="6256CFFE" w14:textId="77777777" w:rsidR="000D58B7" w:rsidRPr="00551386" w:rsidRDefault="000D58B7" w:rsidP="005D38B9">
            <w:pPr>
              <w:rPr>
                <w:rFonts w:ascii="Times New Roman" w:hAnsi="Times New Roman" w:cs="Times New Roman"/>
              </w:rPr>
            </w:pPr>
            <w:r w:rsidRPr="00551386">
              <w:rPr>
                <w:rFonts w:ascii="Times New Roman" w:hAnsi="Times New Roman" w:cs="Times New Roman"/>
              </w:rPr>
              <w:t>I ha</w:t>
            </w:r>
            <w:r>
              <w:rPr>
                <w:rFonts w:ascii="Times New Roman" w:hAnsi="Times New Roman" w:cs="Times New Roman"/>
              </w:rPr>
              <w:t>ve</w:t>
            </w:r>
            <w:r w:rsidRPr="00551386">
              <w:rPr>
                <w:rFonts w:ascii="Times New Roman" w:hAnsi="Times New Roman" w:cs="Times New Roman"/>
              </w:rPr>
              <w:t xml:space="preserve"> a LinkedIn presence that help</w:t>
            </w:r>
            <w:r>
              <w:rPr>
                <w:rFonts w:ascii="Times New Roman" w:hAnsi="Times New Roman" w:cs="Times New Roman"/>
              </w:rPr>
              <w:t>s</w:t>
            </w:r>
            <w:r w:rsidRPr="00551386">
              <w:rPr>
                <w:rFonts w:ascii="Times New Roman" w:hAnsi="Times New Roman" w:cs="Times New Roman"/>
              </w:rPr>
              <w:t xml:space="preserve"> me to network</w:t>
            </w:r>
          </w:p>
        </w:tc>
        <w:tc>
          <w:tcPr>
            <w:tcW w:w="955" w:type="dxa"/>
            <w:vAlign w:val="center"/>
          </w:tcPr>
          <w:p w14:paraId="37761DB6"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38</w:t>
            </w:r>
          </w:p>
        </w:tc>
        <w:tc>
          <w:tcPr>
            <w:tcW w:w="956" w:type="dxa"/>
            <w:vAlign w:val="center"/>
          </w:tcPr>
          <w:p w14:paraId="495EB22C"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47.50</w:t>
            </w:r>
          </w:p>
        </w:tc>
        <w:tc>
          <w:tcPr>
            <w:tcW w:w="955" w:type="dxa"/>
            <w:vAlign w:val="center"/>
          </w:tcPr>
          <w:p w14:paraId="50E620C5"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42</w:t>
            </w:r>
          </w:p>
        </w:tc>
        <w:tc>
          <w:tcPr>
            <w:tcW w:w="956" w:type="dxa"/>
            <w:vAlign w:val="center"/>
          </w:tcPr>
          <w:p w14:paraId="2783F6CA"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52.50</w:t>
            </w:r>
          </w:p>
        </w:tc>
      </w:tr>
      <w:tr w:rsidR="000D58B7" w:rsidRPr="00C81F31" w14:paraId="778A8AC7" w14:textId="77777777" w:rsidTr="005D38B9">
        <w:trPr>
          <w:trHeight w:val="340"/>
          <w:jc w:val="center"/>
        </w:trPr>
        <w:tc>
          <w:tcPr>
            <w:tcW w:w="5476" w:type="dxa"/>
            <w:vAlign w:val="center"/>
          </w:tcPr>
          <w:p w14:paraId="5CFE4C1A" w14:textId="77777777" w:rsidR="000D58B7" w:rsidRPr="00551386" w:rsidRDefault="000D58B7" w:rsidP="005D38B9">
            <w:pPr>
              <w:rPr>
                <w:rFonts w:ascii="Times New Roman" w:hAnsi="Times New Roman" w:cs="Times New Roman"/>
              </w:rPr>
            </w:pPr>
          </w:p>
        </w:tc>
        <w:tc>
          <w:tcPr>
            <w:tcW w:w="955" w:type="dxa"/>
            <w:vAlign w:val="center"/>
          </w:tcPr>
          <w:p w14:paraId="22BA7151" w14:textId="77777777" w:rsidR="000D58B7" w:rsidRPr="00551386" w:rsidRDefault="000D58B7" w:rsidP="005D38B9">
            <w:pPr>
              <w:jc w:val="center"/>
              <w:rPr>
                <w:rFonts w:ascii="Times New Roman" w:hAnsi="Times New Roman" w:cs="Times New Roman"/>
              </w:rPr>
            </w:pPr>
          </w:p>
        </w:tc>
        <w:tc>
          <w:tcPr>
            <w:tcW w:w="956" w:type="dxa"/>
            <w:vAlign w:val="center"/>
          </w:tcPr>
          <w:p w14:paraId="6599EB2B" w14:textId="77777777" w:rsidR="000D58B7" w:rsidRPr="00551386" w:rsidRDefault="000D58B7" w:rsidP="005D38B9">
            <w:pPr>
              <w:jc w:val="center"/>
              <w:rPr>
                <w:rFonts w:ascii="Times New Roman" w:hAnsi="Times New Roman" w:cs="Times New Roman"/>
              </w:rPr>
            </w:pPr>
          </w:p>
        </w:tc>
        <w:tc>
          <w:tcPr>
            <w:tcW w:w="955" w:type="dxa"/>
            <w:vAlign w:val="center"/>
          </w:tcPr>
          <w:p w14:paraId="5CDFBA0B" w14:textId="77777777" w:rsidR="000D58B7" w:rsidRPr="00551386" w:rsidRDefault="000D58B7" w:rsidP="005D38B9">
            <w:pPr>
              <w:jc w:val="center"/>
              <w:rPr>
                <w:rFonts w:ascii="Times New Roman" w:hAnsi="Times New Roman" w:cs="Times New Roman"/>
              </w:rPr>
            </w:pPr>
          </w:p>
        </w:tc>
        <w:tc>
          <w:tcPr>
            <w:tcW w:w="956" w:type="dxa"/>
            <w:vAlign w:val="center"/>
          </w:tcPr>
          <w:p w14:paraId="0DF127A5" w14:textId="77777777" w:rsidR="000D58B7" w:rsidRPr="00551386" w:rsidRDefault="000D58B7" w:rsidP="005D38B9">
            <w:pPr>
              <w:jc w:val="center"/>
              <w:rPr>
                <w:rFonts w:ascii="Times New Roman" w:hAnsi="Times New Roman" w:cs="Times New Roman"/>
              </w:rPr>
            </w:pPr>
          </w:p>
        </w:tc>
      </w:tr>
      <w:tr w:rsidR="000D58B7" w:rsidRPr="00551386" w14:paraId="4396125D" w14:textId="77777777" w:rsidTr="005D38B9">
        <w:trPr>
          <w:trHeight w:val="340"/>
          <w:jc w:val="center"/>
        </w:trPr>
        <w:tc>
          <w:tcPr>
            <w:tcW w:w="5476" w:type="dxa"/>
            <w:vAlign w:val="center"/>
          </w:tcPr>
          <w:p w14:paraId="18FAEA15" w14:textId="77777777" w:rsidR="000D58B7" w:rsidRPr="00551386" w:rsidRDefault="000D58B7" w:rsidP="005D38B9">
            <w:pPr>
              <w:rPr>
                <w:rFonts w:ascii="Times New Roman" w:hAnsi="Times New Roman" w:cs="Times New Roman"/>
              </w:rPr>
            </w:pPr>
            <w:r>
              <w:rPr>
                <w:rFonts w:ascii="Times New Roman" w:hAnsi="Times New Roman" w:cs="Times New Roman"/>
                <w:i/>
                <w:iCs/>
              </w:rPr>
              <w:t>Wave-Two (</w:t>
            </w:r>
            <w:r w:rsidRPr="00551386">
              <w:rPr>
                <w:rFonts w:ascii="Times New Roman" w:hAnsi="Times New Roman" w:cs="Times New Roman"/>
                <w:i/>
                <w:iCs/>
              </w:rPr>
              <w:t>End of Module</w:t>
            </w:r>
            <w:r>
              <w:rPr>
                <w:rFonts w:ascii="Times New Roman" w:hAnsi="Times New Roman" w:cs="Times New Roman"/>
                <w:i/>
                <w:iCs/>
              </w:rPr>
              <w:t>)</w:t>
            </w:r>
          </w:p>
        </w:tc>
        <w:tc>
          <w:tcPr>
            <w:tcW w:w="955" w:type="dxa"/>
            <w:vAlign w:val="center"/>
          </w:tcPr>
          <w:p w14:paraId="6CF2EFC8" w14:textId="77777777" w:rsidR="000D58B7" w:rsidRPr="00551386" w:rsidRDefault="000D58B7" w:rsidP="005D38B9">
            <w:pPr>
              <w:jc w:val="center"/>
              <w:rPr>
                <w:rFonts w:ascii="Times New Roman" w:hAnsi="Times New Roman" w:cs="Times New Roman"/>
              </w:rPr>
            </w:pPr>
          </w:p>
        </w:tc>
        <w:tc>
          <w:tcPr>
            <w:tcW w:w="956" w:type="dxa"/>
            <w:vAlign w:val="center"/>
          </w:tcPr>
          <w:p w14:paraId="3EE5C8C9" w14:textId="77777777" w:rsidR="000D58B7" w:rsidRPr="00551386" w:rsidRDefault="000D58B7" w:rsidP="005D38B9">
            <w:pPr>
              <w:jc w:val="center"/>
              <w:rPr>
                <w:rFonts w:ascii="Times New Roman" w:hAnsi="Times New Roman" w:cs="Times New Roman"/>
              </w:rPr>
            </w:pPr>
          </w:p>
        </w:tc>
        <w:tc>
          <w:tcPr>
            <w:tcW w:w="955" w:type="dxa"/>
            <w:vAlign w:val="center"/>
          </w:tcPr>
          <w:p w14:paraId="1054AE0D" w14:textId="77777777" w:rsidR="000D58B7" w:rsidRPr="00551386" w:rsidRDefault="000D58B7" w:rsidP="005D38B9">
            <w:pPr>
              <w:jc w:val="center"/>
              <w:rPr>
                <w:rFonts w:ascii="Times New Roman" w:hAnsi="Times New Roman" w:cs="Times New Roman"/>
              </w:rPr>
            </w:pPr>
          </w:p>
        </w:tc>
        <w:tc>
          <w:tcPr>
            <w:tcW w:w="956" w:type="dxa"/>
            <w:vAlign w:val="center"/>
          </w:tcPr>
          <w:p w14:paraId="1BA5D2D6" w14:textId="77777777" w:rsidR="000D58B7" w:rsidRPr="00551386" w:rsidRDefault="000D58B7" w:rsidP="005D38B9">
            <w:pPr>
              <w:jc w:val="center"/>
              <w:rPr>
                <w:rFonts w:ascii="Times New Roman" w:hAnsi="Times New Roman" w:cs="Times New Roman"/>
              </w:rPr>
            </w:pPr>
          </w:p>
        </w:tc>
      </w:tr>
      <w:tr w:rsidR="000D58B7" w:rsidRPr="00551386" w14:paraId="6EA3DB67" w14:textId="77777777" w:rsidTr="005D38B9">
        <w:trPr>
          <w:trHeight w:val="340"/>
          <w:jc w:val="center"/>
        </w:trPr>
        <w:tc>
          <w:tcPr>
            <w:tcW w:w="5476" w:type="dxa"/>
            <w:vAlign w:val="center"/>
          </w:tcPr>
          <w:p w14:paraId="6F4B6395" w14:textId="77777777" w:rsidR="000D58B7" w:rsidRPr="00551386" w:rsidRDefault="000D58B7" w:rsidP="005D38B9">
            <w:pPr>
              <w:rPr>
                <w:rFonts w:ascii="Times New Roman" w:hAnsi="Times New Roman" w:cs="Times New Roman"/>
              </w:rPr>
            </w:pPr>
            <w:r w:rsidRPr="00551386">
              <w:rPr>
                <w:rFonts w:ascii="Times New Roman" w:hAnsi="Times New Roman" w:cs="Times New Roman"/>
              </w:rPr>
              <w:t>I developed a video CV</w:t>
            </w:r>
          </w:p>
        </w:tc>
        <w:tc>
          <w:tcPr>
            <w:tcW w:w="955" w:type="dxa"/>
            <w:vAlign w:val="center"/>
          </w:tcPr>
          <w:p w14:paraId="3A383740"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80</w:t>
            </w:r>
          </w:p>
        </w:tc>
        <w:tc>
          <w:tcPr>
            <w:tcW w:w="956" w:type="dxa"/>
            <w:vAlign w:val="center"/>
          </w:tcPr>
          <w:p w14:paraId="19AC704A"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100.00</w:t>
            </w:r>
          </w:p>
        </w:tc>
        <w:tc>
          <w:tcPr>
            <w:tcW w:w="955" w:type="dxa"/>
            <w:vAlign w:val="center"/>
          </w:tcPr>
          <w:p w14:paraId="075C78CA"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0</w:t>
            </w:r>
          </w:p>
        </w:tc>
        <w:tc>
          <w:tcPr>
            <w:tcW w:w="956" w:type="dxa"/>
            <w:vAlign w:val="center"/>
          </w:tcPr>
          <w:p w14:paraId="01928FD0"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0.00</w:t>
            </w:r>
          </w:p>
        </w:tc>
      </w:tr>
      <w:tr w:rsidR="000D58B7" w:rsidRPr="00551386" w14:paraId="4830E4B9" w14:textId="77777777" w:rsidTr="005D38B9">
        <w:trPr>
          <w:trHeight w:val="340"/>
          <w:jc w:val="center"/>
        </w:trPr>
        <w:tc>
          <w:tcPr>
            <w:tcW w:w="5476" w:type="dxa"/>
            <w:vAlign w:val="center"/>
          </w:tcPr>
          <w:p w14:paraId="1F24EB24" w14:textId="77777777" w:rsidR="000D58B7" w:rsidRPr="00551386" w:rsidRDefault="000D58B7" w:rsidP="005D38B9">
            <w:pPr>
              <w:rPr>
                <w:rFonts w:ascii="Times New Roman" w:hAnsi="Times New Roman" w:cs="Times New Roman"/>
              </w:rPr>
            </w:pPr>
            <w:r w:rsidRPr="00551386">
              <w:rPr>
                <w:rFonts w:ascii="Times New Roman" w:hAnsi="Times New Roman" w:cs="Times New Roman"/>
              </w:rPr>
              <w:t>I further developed my written CV</w:t>
            </w:r>
          </w:p>
        </w:tc>
        <w:tc>
          <w:tcPr>
            <w:tcW w:w="955" w:type="dxa"/>
            <w:vAlign w:val="center"/>
          </w:tcPr>
          <w:p w14:paraId="665D98AC"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77</w:t>
            </w:r>
          </w:p>
        </w:tc>
        <w:tc>
          <w:tcPr>
            <w:tcW w:w="956" w:type="dxa"/>
            <w:vAlign w:val="center"/>
          </w:tcPr>
          <w:p w14:paraId="2FB6DB19"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96.25</w:t>
            </w:r>
          </w:p>
        </w:tc>
        <w:tc>
          <w:tcPr>
            <w:tcW w:w="955" w:type="dxa"/>
            <w:vAlign w:val="center"/>
          </w:tcPr>
          <w:p w14:paraId="1500150B"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3</w:t>
            </w:r>
          </w:p>
        </w:tc>
        <w:tc>
          <w:tcPr>
            <w:tcW w:w="956" w:type="dxa"/>
            <w:vAlign w:val="center"/>
          </w:tcPr>
          <w:p w14:paraId="3F33FAFF"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3.75</w:t>
            </w:r>
          </w:p>
        </w:tc>
      </w:tr>
      <w:tr w:rsidR="000D58B7" w:rsidRPr="00551386" w14:paraId="3E6CCACB" w14:textId="77777777" w:rsidTr="005D38B9">
        <w:trPr>
          <w:trHeight w:val="340"/>
          <w:jc w:val="center"/>
        </w:trPr>
        <w:tc>
          <w:tcPr>
            <w:tcW w:w="5476" w:type="dxa"/>
            <w:vAlign w:val="center"/>
          </w:tcPr>
          <w:p w14:paraId="16C3701D" w14:textId="77777777" w:rsidR="000D58B7" w:rsidRPr="00551386" w:rsidRDefault="000D58B7" w:rsidP="005D38B9">
            <w:pPr>
              <w:rPr>
                <w:rFonts w:ascii="Times New Roman" w:hAnsi="Times New Roman" w:cs="Times New Roman"/>
              </w:rPr>
            </w:pPr>
            <w:r w:rsidRPr="00551386">
              <w:rPr>
                <w:rFonts w:ascii="Times New Roman" w:hAnsi="Times New Roman" w:cs="Times New Roman"/>
              </w:rPr>
              <w:t>I started to research graduate jobs and opportunities</w:t>
            </w:r>
          </w:p>
        </w:tc>
        <w:tc>
          <w:tcPr>
            <w:tcW w:w="955" w:type="dxa"/>
            <w:vAlign w:val="center"/>
          </w:tcPr>
          <w:p w14:paraId="62B0D962"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72</w:t>
            </w:r>
          </w:p>
        </w:tc>
        <w:tc>
          <w:tcPr>
            <w:tcW w:w="956" w:type="dxa"/>
            <w:vAlign w:val="center"/>
          </w:tcPr>
          <w:p w14:paraId="35905E11"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90.00</w:t>
            </w:r>
          </w:p>
        </w:tc>
        <w:tc>
          <w:tcPr>
            <w:tcW w:w="955" w:type="dxa"/>
            <w:vAlign w:val="center"/>
          </w:tcPr>
          <w:p w14:paraId="7E75875E"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8</w:t>
            </w:r>
          </w:p>
        </w:tc>
        <w:tc>
          <w:tcPr>
            <w:tcW w:w="956" w:type="dxa"/>
            <w:vAlign w:val="center"/>
          </w:tcPr>
          <w:p w14:paraId="7DD70F24"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10.00</w:t>
            </w:r>
          </w:p>
        </w:tc>
      </w:tr>
      <w:tr w:rsidR="000D58B7" w:rsidRPr="00551386" w14:paraId="2444D8AE" w14:textId="77777777" w:rsidTr="005D38B9">
        <w:trPr>
          <w:trHeight w:val="340"/>
          <w:jc w:val="center"/>
        </w:trPr>
        <w:tc>
          <w:tcPr>
            <w:tcW w:w="5476" w:type="dxa"/>
            <w:vAlign w:val="center"/>
          </w:tcPr>
          <w:p w14:paraId="6EACAB2E" w14:textId="77777777" w:rsidR="000D58B7" w:rsidRPr="00551386" w:rsidRDefault="000D58B7" w:rsidP="005D38B9">
            <w:pPr>
              <w:rPr>
                <w:rFonts w:ascii="Times New Roman" w:hAnsi="Times New Roman" w:cs="Times New Roman"/>
              </w:rPr>
            </w:pPr>
            <w:r w:rsidRPr="00551386">
              <w:rPr>
                <w:rFonts w:ascii="Times New Roman" w:hAnsi="Times New Roman" w:cs="Times New Roman"/>
              </w:rPr>
              <w:t>I undertook additional training or certifications</w:t>
            </w:r>
          </w:p>
        </w:tc>
        <w:tc>
          <w:tcPr>
            <w:tcW w:w="955" w:type="dxa"/>
            <w:vAlign w:val="center"/>
          </w:tcPr>
          <w:p w14:paraId="712FF0F4"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64</w:t>
            </w:r>
          </w:p>
        </w:tc>
        <w:tc>
          <w:tcPr>
            <w:tcW w:w="956" w:type="dxa"/>
            <w:vAlign w:val="center"/>
          </w:tcPr>
          <w:p w14:paraId="573BBA8C"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80.00</w:t>
            </w:r>
          </w:p>
        </w:tc>
        <w:tc>
          <w:tcPr>
            <w:tcW w:w="955" w:type="dxa"/>
            <w:vAlign w:val="center"/>
          </w:tcPr>
          <w:p w14:paraId="29707B15"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16</w:t>
            </w:r>
          </w:p>
        </w:tc>
        <w:tc>
          <w:tcPr>
            <w:tcW w:w="956" w:type="dxa"/>
            <w:vAlign w:val="center"/>
          </w:tcPr>
          <w:p w14:paraId="5B2E8F85"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20.00</w:t>
            </w:r>
          </w:p>
        </w:tc>
      </w:tr>
      <w:tr w:rsidR="000D58B7" w:rsidRPr="00551386" w14:paraId="4D23D6E3" w14:textId="77777777" w:rsidTr="005D38B9">
        <w:trPr>
          <w:trHeight w:val="340"/>
          <w:jc w:val="center"/>
        </w:trPr>
        <w:tc>
          <w:tcPr>
            <w:tcW w:w="5476" w:type="dxa"/>
            <w:vAlign w:val="center"/>
          </w:tcPr>
          <w:p w14:paraId="00394C41" w14:textId="77777777" w:rsidR="000D58B7" w:rsidRPr="00551386" w:rsidRDefault="000D58B7" w:rsidP="005D38B9">
            <w:pPr>
              <w:rPr>
                <w:rFonts w:ascii="Times New Roman" w:hAnsi="Times New Roman" w:cs="Times New Roman"/>
              </w:rPr>
            </w:pPr>
            <w:r w:rsidRPr="00551386">
              <w:rPr>
                <w:rFonts w:ascii="Times New Roman" w:hAnsi="Times New Roman" w:cs="Times New Roman"/>
              </w:rPr>
              <w:t>I increased my work experience or volunteering</w:t>
            </w:r>
          </w:p>
        </w:tc>
        <w:tc>
          <w:tcPr>
            <w:tcW w:w="955" w:type="dxa"/>
            <w:vAlign w:val="center"/>
          </w:tcPr>
          <w:p w14:paraId="312F0034"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43</w:t>
            </w:r>
          </w:p>
        </w:tc>
        <w:tc>
          <w:tcPr>
            <w:tcW w:w="956" w:type="dxa"/>
            <w:vAlign w:val="center"/>
          </w:tcPr>
          <w:p w14:paraId="73279345"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53.75</w:t>
            </w:r>
          </w:p>
        </w:tc>
        <w:tc>
          <w:tcPr>
            <w:tcW w:w="955" w:type="dxa"/>
            <w:vAlign w:val="center"/>
          </w:tcPr>
          <w:p w14:paraId="5049B820"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37</w:t>
            </w:r>
          </w:p>
        </w:tc>
        <w:tc>
          <w:tcPr>
            <w:tcW w:w="956" w:type="dxa"/>
            <w:vAlign w:val="center"/>
          </w:tcPr>
          <w:p w14:paraId="3729796B"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46.25</w:t>
            </w:r>
          </w:p>
        </w:tc>
      </w:tr>
      <w:tr w:rsidR="000D58B7" w:rsidRPr="00551386" w14:paraId="29D957BA" w14:textId="77777777" w:rsidTr="005D38B9">
        <w:trPr>
          <w:trHeight w:val="340"/>
          <w:jc w:val="center"/>
        </w:trPr>
        <w:tc>
          <w:tcPr>
            <w:tcW w:w="5476" w:type="dxa"/>
            <w:vAlign w:val="center"/>
          </w:tcPr>
          <w:p w14:paraId="72F79435" w14:textId="77777777" w:rsidR="000D58B7" w:rsidRPr="00551386" w:rsidRDefault="000D58B7" w:rsidP="005D38B9">
            <w:pPr>
              <w:rPr>
                <w:rFonts w:ascii="Times New Roman" w:hAnsi="Times New Roman" w:cs="Times New Roman"/>
              </w:rPr>
            </w:pPr>
            <w:r w:rsidRPr="00551386">
              <w:rPr>
                <w:rFonts w:ascii="Times New Roman" w:hAnsi="Times New Roman" w:cs="Times New Roman"/>
              </w:rPr>
              <w:t xml:space="preserve">I applied for graduate </w:t>
            </w:r>
            <w:r>
              <w:rPr>
                <w:rFonts w:ascii="Times New Roman" w:hAnsi="Times New Roman" w:cs="Times New Roman"/>
              </w:rPr>
              <w:t xml:space="preserve">level </w:t>
            </w:r>
            <w:r w:rsidRPr="00551386">
              <w:rPr>
                <w:rFonts w:ascii="Times New Roman" w:hAnsi="Times New Roman" w:cs="Times New Roman"/>
              </w:rPr>
              <w:t>jobs</w:t>
            </w:r>
          </w:p>
        </w:tc>
        <w:tc>
          <w:tcPr>
            <w:tcW w:w="955" w:type="dxa"/>
            <w:vAlign w:val="center"/>
          </w:tcPr>
          <w:p w14:paraId="1EFDBBFA"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43</w:t>
            </w:r>
          </w:p>
        </w:tc>
        <w:tc>
          <w:tcPr>
            <w:tcW w:w="956" w:type="dxa"/>
            <w:vAlign w:val="center"/>
          </w:tcPr>
          <w:p w14:paraId="07213014"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53.75</w:t>
            </w:r>
          </w:p>
        </w:tc>
        <w:tc>
          <w:tcPr>
            <w:tcW w:w="955" w:type="dxa"/>
            <w:vAlign w:val="center"/>
          </w:tcPr>
          <w:p w14:paraId="1F3E22F8"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37</w:t>
            </w:r>
          </w:p>
        </w:tc>
        <w:tc>
          <w:tcPr>
            <w:tcW w:w="956" w:type="dxa"/>
            <w:vAlign w:val="center"/>
          </w:tcPr>
          <w:p w14:paraId="2DD0444F" w14:textId="77777777" w:rsidR="000D58B7" w:rsidRPr="00551386" w:rsidRDefault="000D58B7" w:rsidP="005D38B9">
            <w:pPr>
              <w:jc w:val="center"/>
              <w:rPr>
                <w:rFonts w:ascii="Times New Roman" w:hAnsi="Times New Roman" w:cs="Times New Roman"/>
              </w:rPr>
            </w:pPr>
            <w:r w:rsidRPr="00551386">
              <w:rPr>
                <w:rFonts w:ascii="Times New Roman" w:hAnsi="Times New Roman" w:cs="Times New Roman"/>
              </w:rPr>
              <w:t>46.25</w:t>
            </w:r>
          </w:p>
        </w:tc>
      </w:tr>
    </w:tbl>
    <w:p w14:paraId="120749EC" w14:textId="77777777" w:rsidR="000D58B7" w:rsidRDefault="000D58B7" w:rsidP="000D58B7">
      <w:pPr>
        <w:pStyle w:val="bodytextGJSD"/>
        <w:spacing w:after="0"/>
      </w:pPr>
      <w:r w:rsidRPr="009F33E2">
        <w:t>n=80.</w:t>
      </w:r>
    </w:p>
    <w:p w14:paraId="3CABA3EC" w14:textId="77777777" w:rsidR="000D58B7" w:rsidRDefault="000D58B7" w:rsidP="000D58B7">
      <w:pPr>
        <w:suppressAutoHyphens w:val="0"/>
        <w:spacing w:after="160" w:line="259" w:lineRule="auto"/>
        <w:rPr>
          <w:rFonts w:ascii="Times New Roman" w:hAnsi="Times New Roman" w:cs="Times New Roman"/>
          <w:sz w:val="24"/>
          <w:szCs w:val="24"/>
        </w:rPr>
      </w:pPr>
      <w:r>
        <w:br w:type="page"/>
      </w:r>
    </w:p>
    <w:p w14:paraId="1FBC6FA0" w14:textId="77777777" w:rsidR="000D58B7" w:rsidRDefault="000D58B7" w:rsidP="000D58B7">
      <w:pPr>
        <w:pStyle w:val="bodytextGJSD"/>
        <w:spacing w:after="0"/>
        <w:jc w:val="center"/>
        <w:rPr>
          <w:b/>
          <w:lang w:val="en-US"/>
        </w:rPr>
      </w:pPr>
      <w:r w:rsidRPr="002F31F3">
        <w:rPr>
          <w:b/>
          <w:lang w:val="en-US"/>
        </w:rPr>
        <w:lastRenderedPageBreak/>
        <w:t xml:space="preserve">Table </w:t>
      </w:r>
      <w:r>
        <w:rPr>
          <w:b/>
          <w:lang w:val="en-US"/>
        </w:rPr>
        <w:t>I</w:t>
      </w:r>
      <w:r w:rsidRPr="002F31F3">
        <w:rPr>
          <w:b/>
          <w:lang w:val="en-US"/>
        </w:rPr>
        <w:t>I</w:t>
      </w:r>
      <w:r>
        <w:rPr>
          <w:b/>
          <w:lang w:val="en-US"/>
        </w:rPr>
        <w:t>: Descriptive Statistics and Item Correlations (Wave-One)</w:t>
      </w:r>
    </w:p>
    <w:p w14:paraId="1B130D44" w14:textId="77777777" w:rsidR="000D58B7" w:rsidRDefault="000D58B7" w:rsidP="000D58B7">
      <w:pPr>
        <w:pStyle w:val="bodytextGJSD"/>
        <w:spacing w:after="0"/>
        <w:jc w:val="center"/>
        <w:rPr>
          <w:b/>
          <w:lang w:val="en-US"/>
        </w:rPr>
      </w:pPr>
    </w:p>
    <w:tbl>
      <w:tblPr>
        <w:tblStyle w:val="TableGrid"/>
        <w:tblW w:w="9355" w:type="dxa"/>
        <w:jc w:val="center"/>
        <w:tblLayout w:type="fixed"/>
        <w:tblLook w:val="04A0" w:firstRow="1" w:lastRow="0" w:firstColumn="1" w:lastColumn="0" w:noHBand="0" w:noVBand="1"/>
      </w:tblPr>
      <w:tblGrid>
        <w:gridCol w:w="461"/>
        <w:gridCol w:w="3929"/>
        <w:gridCol w:w="827"/>
        <w:gridCol w:w="828"/>
        <w:gridCol w:w="827"/>
        <w:gridCol w:w="828"/>
        <w:gridCol w:w="827"/>
        <w:gridCol w:w="828"/>
      </w:tblGrid>
      <w:tr w:rsidR="000D58B7" w:rsidRPr="00C81F31" w14:paraId="1EF90C38" w14:textId="77777777" w:rsidTr="005D38B9">
        <w:trPr>
          <w:trHeight w:val="340"/>
          <w:jc w:val="center"/>
        </w:trPr>
        <w:tc>
          <w:tcPr>
            <w:tcW w:w="461" w:type="dxa"/>
            <w:vAlign w:val="center"/>
          </w:tcPr>
          <w:p w14:paraId="44F0AFC3"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ID</w:t>
            </w:r>
          </w:p>
        </w:tc>
        <w:tc>
          <w:tcPr>
            <w:tcW w:w="3929" w:type="dxa"/>
            <w:vAlign w:val="center"/>
          </w:tcPr>
          <w:p w14:paraId="60939F4F" w14:textId="77777777" w:rsidR="000D58B7" w:rsidRPr="00E678E4" w:rsidRDefault="000D58B7" w:rsidP="005D38B9">
            <w:pPr>
              <w:rPr>
                <w:rFonts w:ascii="Times New Roman" w:hAnsi="Times New Roman" w:cs="Times New Roman"/>
                <w:b/>
                <w:bCs/>
              </w:rPr>
            </w:pPr>
            <w:r w:rsidRPr="00E678E4">
              <w:rPr>
                <w:rFonts w:ascii="Times New Roman" w:hAnsi="Times New Roman" w:cs="Times New Roman"/>
                <w:b/>
                <w:bCs/>
              </w:rPr>
              <w:t>Item</w:t>
            </w:r>
          </w:p>
        </w:tc>
        <w:tc>
          <w:tcPr>
            <w:tcW w:w="827" w:type="dxa"/>
            <w:vAlign w:val="center"/>
          </w:tcPr>
          <w:p w14:paraId="1A5380E1"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Mean</w:t>
            </w:r>
          </w:p>
        </w:tc>
        <w:tc>
          <w:tcPr>
            <w:tcW w:w="828" w:type="dxa"/>
            <w:vAlign w:val="center"/>
          </w:tcPr>
          <w:p w14:paraId="1083EFCA"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SD</w:t>
            </w:r>
          </w:p>
        </w:tc>
        <w:tc>
          <w:tcPr>
            <w:tcW w:w="827" w:type="dxa"/>
            <w:vAlign w:val="center"/>
          </w:tcPr>
          <w:p w14:paraId="3092C6C4"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A</w:t>
            </w:r>
          </w:p>
        </w:tc>
        <w:tc>
          <w:tcPr>
            <w:tcW w:w="828" w:type="dxa"/>
            <w:vAlign w:val="center"/>
          </w:tcPr>
          <w:p w14:paraId="09E01164"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B</w:t>
            </w:r>
          </w:p>
        </w:tc>
        <w:tc>
          <w:tcPr>
            <w:tcW w:w="827" w:type="dxa"/>
            <w:vAlign w:val="center"/>
          </w:tcPr>
          <w:p w14:paraId="7407E80A"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C</w:t>
            </w:r>
          </w:p>
        </w:tc>
        <w:tc>
          <w:tcPr>
            <w:tcW w:w="828" w:type="dxa"/>
            <w:vAlign w:val="center"/>
          </w:tcPr>
          <w:p w14:paraId="6E5DC91B"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D</w:t>
            </w:r>
          </w:p>
        </w:tc>
      </w:tr>
      <w:tr w:rsidR="000D58B7" w:rsidRPr="00C81F31" w14:paraId="79A03282" w14:textId="77777777" w:rsidTr="005D38B9">
        <w:trPr>
          <w:trHeight w:val="340"/>
          <w:jc w:val="center"/>
        </w:trPr>
        <w:tc>
          <w:tcPr>
            <w:tcW w:w="461" w:type="dxa"/>
          </w:tcPr>
          <w:p w14:paraId="53567A1D"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A</w:t>
            </w:r>
          </w:p>
        </w:tc>
        <w:tc>
          <w:tcPr>
            <w:tcW w:w="3929" w:type="dxa"/>
            <w:vAlign w:val="center"/>
          </w:tcPr>
          <w:p w14:paraId="37978619"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Knowledge of what can do with degree</w:t>
            </w:r>
          </w:p>
        </w:tc>
        <w:tc>
          <w:tcPr>
            <w:tcW w:w="827" w:type="dxa"/>
            <w:vAlign w:val="center"/>
          </w:tcPr>
          <w:p w14:paraId="4B004592" w14:textId="77777777" w:rsidR="000D58B7" w:rsidRPr="00323E97" w:rsidRDefault="000D58B7" w:rsidP="005D38B9">
            <w:pPr>
              <w:jc w:val="center"/>
              <w:rPr>
                <w:rFonts w:ascii="Times New Roman" w:hAnsi="Times New Roman" w:cs="Times New Roman"/>
              </w:rPr>
            </w:pPr>
            <w:r w:rsidRPr="00323E97">
              <w:rPr>
                <w:rFonts w:ascii="Times New Roman" w:hAnsi="Times New Roman" w:cs="Times New Roman"/>
              </w:rPr>
              <w:t>3.26</w:t>
            </w:r>
          </w:p>
        </w:tc>
        <w:tc>
          <w:tcPr>
            <w:tcW w:w="828" w:type="dxa"/>
            <w:vAlign w:val="center"/>
          </w:tcPr>
          <w:p w14:paraId="6479DFBB" w14:textId="77777777" w:rsidR="000D58B7" w:rsidRPr="00323E97" w:rsidRDefault="000D58B7" w:rsidP="005D38B9">
            <w:pPr>
              <w:jc w:val="center"/>
              <w:rPr>
                <w:rFonts w:ascii="Times New Roman" w:hAnsi="Times New Roman" w:cs="Times New Roman"/>
              </w:rPr>
            </w:pPr>
            <w:r w:rsidRPr="00323E97">
              <w:rPr>
                <w:rFonts w:ascii="Times New Roman" w:hAnsi="Times New Roman" w:cs="Times New Roman"/>
              </w:rPr>
              <w:t>.978</w:t>
            </w:r>
          </w:p>
        </w:tc>
        <w:tc>
          <w:tcPr>
            <w:tcW w:w="827" w:type="dxa"/>
            <w:vAlign w:val="center"/>
          </w:tcPr>
          <w:p w14:paraId="32890624"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1</w:t>
            </w:r>
          </w:p>
        </w:tc>
        <w:tc>
          <w:tcPr>
            <w:tcW w:w="828" w:type="dxa"/>
            <w:vAlign w:val="center"/>
          </w:tcPr>
          <w:p w14:paraId="4DBD5A8F"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.616**</w:t>
            </w:r>
          </w:p>
        </w:tc>
        <w:tc>
          <w:tcPr>
            <w:tcW w:w="827" w:type="dxa"/>
            <w:vAlign w:val="center"/>
          </w:tcPr>
          <w:p w14:paraId="744804BA"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.507**</w:t>
            </w:r>
          </w:p>
        </w:tc>
        <w:tc>
          <w:tcPr>
            <w:tcW w:w="828" w:type="dxa"/>
            <w:vAlign w:val="center"/>
          </w:tcPr>
          <w:p w14:paraId="09EA392D"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.562**</w:t>
            </w:r>
          </w:p>
        </w:tc>
      </w:tr>
      <w:tr w:rsidR="000D58B7" w:rsidRPr="00C81F31" w14:paraId="5CBF85B6" w14:textId="77777777" w:rsidTr="005D38B9">
        <w:trPr>
          <w:trHeight w:val="340"/>
          <w:jc w:val="center"/>
        </w:trPr>
        <w:tc>
          <w:tcPr>
            <w:tcW w:w="461" w:type="dxa"/>
          </w:tcPr>
          <w:p w14:paraId="11BEAA27"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B</w:t>
            </w:r>
          </w:p>
        </w:tc>
        <w:tc>
          <w:tcPr>
            <w:tcW w:w="3929" w:type="dxa"/>
            <w:vAlign w:val="center"/>
          </w:tcPr>
          <w:p w14:paraId="5A9256A2"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Ability to make informed career decisions</w:t>
            </w:r>
          </w:p>
        </w:tc>
        <w:tc>
          <w:tcPr>
            <w:tcW w:w="827" w:type="dxa"/>
            <w:vAlign w:val="center"/>
          </w:tcPr>
          <w:p w14:paraId="3B127518" w14:textId="77777777" w:rsidR="000D58B7" w:rsidRPr="00323E97" w:rsidRDefault="000D58B7" w:rsidP="005D38B9">
            <w:pPr>
              <w:jc w:val="center"/>
              <w:rPr>
                <w:rFonts w:ascii="Times New Roman" w:hAnsi="Times New Roman" w:cs="Times New Roman"/>
              </w:rPr>
            </w:pPr>
            <w:r w:rsidRPr="00323E97">
              <w:rPr>
                <w:rFonts w:ascii="Times New Roman" w:hAnsi="Times New Roman" w:cs="Times New Roman"/>
              </w:rPr>
              <w:t>3.26</w:t>
            </w:r>
          </w:p>
        </w:tc>
        <w:tc>
          <w:tcPr>
            <w:tcW w:w="828" w:type="dxa"/>
            <w:vAlign w:val="center"/>
          </w:tcPr>
          <w:p w14:paraId="4E22F74E" w14:textId="77777777" w:rsidR="000D58B7" w:rsidRPr="00323E97" w:rsidRDefault="000D58B7" w:rsidP="005D38B9">
            <w:pPr>
              <w:jc w:val="center"/>
              <w:rPr>
                <w:rFonts w:ascii="Times New Roman" w:hAnsi="Times New Roman" w:cs="Times New Roman"/>
              </w:rPr>
            </w:pPr>
            <w:r w:rsidRPr="00323E97">
              <w:rPr>
                <w:rFonts w:ascii="Times New Roman" w:hAnsi="Times New Roman" w:cs="Times New Roman"/>
              </w:rPr>
              <w:t>.978</w:t>
            </w:r>
          </w:p>
        </w:tc>
        <w:tc>
          <w:tcPr>
            <w:tcW w:w="827" w:type="dxa"/>
            <w:vAlign w:val="center"/>
          </w:tcPr>
          <w:p w14:paraId="2E764028" w14:textId="77777777" w:rsidR="000D58B7" w:rsidRPr="00323E97" w:rsidRDefault="000D58B7" w:rsidP="005D38B9">
            <w:pPr>
              <w:jc w:val="center"/>
              <w:rPr>
                <w:rFonts w:ascii="Times New Roman" w:hAnsi="Times New Roman" w:cs="Times New Roman"/>
              </w:rPr>
            </w:pPr>
          </w:p>
        </w:tc>
        <w:tc>
          <w:tcPr>
            <w:tcW w:w="828" w:type="dxa"/>
            <w:vAlign w:val="center"/>
          </w:tcPr>
          <w:p w14:paraId="098809B0"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1</w:t>
            </w:r>
          </w:p>
        </w:tc>
        <w:tc>
          <w:tcPr>
            <w:tcW w:w="827" w:type="dxa"/>
            <w:vAlign w:val="center"/>
          </w:tcPr>
          <w:p w14:paraId="42E85F88"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.634**</w:t>
            </w:r>
          </w:p>
        </w:tc>
        <w:tc>
          <w:tcPr>
            <w:tcW w:w="828" w:type="dxa"/>
            <w:vAlign w:val="center"/>
          </w:tcPr>
          <w:p w14:paraId="67A5BFE4"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.705**</w:t>
            </w:r>
          </w:p>
        </w:tc>
      </w:tr>
      <w:tr w:rsidR="000D58B7" w:rsidRPr="00C81F31" w14:paraId="1005C5D1" w14:textId="77777777" w:rsidTr="005D38B9">
        <w:trPr>
          <w:trHeight w:val="340"/>
          <w:jc w:val="center"/>
        </w:trPr>
        <w:tc>
          <w:tcPr>
            <w:tcW w:w="461" w:type="dxa"/>
          </w:tcPr>
          <w:p w14:paraId="3A7988EF"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C</w:t>
            </w:r>
          </w:p>
        </w:tc>
        <w:tc>
          <w:tcPr>
            <w:tcW w:w="3929" w:type="dxa"/>
            <w:vAlign w:val="center"/>
          </w:tcPr>
          <w:p w14:paraId="63870F4A"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Ability to find relevant opportunities</w:t>
            </w:r>
          </w:p>
        </w:tc>
        <w:tc>
          <w:tcPr>
            <w:tcW w:w="827" w:type="dxa"/>
            <w:vAlign w:val="center"/>
          </w:tcPr>
          <w:p w14:paraId="4F627B40" w14:textId="77777777" w:rsidR="000D58B7" w:rsidRPr="00323E97" w:rsidRDefault="000D58B7" w:rsidP="005D38B9">
            <w:pPr>
              <w:jc w:val="center"/>
              <w:rPr>
                <w:rFonts w:ascii="Times New Roman" w:hAnsi="Times New Roman" w:cs="Times New Roman"/>
              </w:rPr>
            </w:pPr>
            <w:r w:rsidRPr="00323E97">
              <w:rPr>
                <w:rFonts w:ascii="Times New Roman" w:hAnsi="Times New Roman" w:cs="Times New Roman"/>
              </w:rPr>
              <w:t>3.29</w:t>
            </w:r>
          </w:p>
        </w:tc>
        <w:tc>
          <w:tcPr>
            <w:tcW w:w="828" w:type="dxa"/>
            <w:vAlign w:val="center"/>
          </w:tcPr>
          <w:p w14:paraId="101F1946" w14:textId="77777777" w:rsidR="000D58B7" w:rsidRPr="00323E97" w:rsidRDefault="000D58B7" w:rsidP="005D38B9">
            <w:pPr>
              <w:jc w:val="center"/>
              <w:rPr>
                <w:rFonts w:ascii="Times New Roman" w:hAnsi="Times New Roman" w:cs="Times New Roman"/>
              </w:rPr>
            </w:pPr>
            <w:r w:rsidRPr="00323E97">
              <w:rPr>
                <w:rFonts w:ascii="Times New Roman" w:hAnsi="Times New Roman" w:cs="Times New Roman"/>
              </w:rPr>
              <w:t>1.021</w:t>
            </w:r>
          </w:p>
        </w:tc>
        <w:tc>
          <w:tcPr>
            <w:tcW w:w="827" w:type="dxa"/>
            <w:vAlign w:val="center"/>
          </w:tcPr>
          <w:p w14:paraId="14194FCD" w14:textId="77777777" w:rsidR="000D58B7" w:rsidRPr="00323E97" w:rsidRDefault="000D58B7" w:rsidP="005D38B9">
            <w:pPr>
              <w:jc w:val="center"/>
              <w:rPr>
                <w:rFonts w:ascii="Times New Roman" w:hAnsi="Times New Roman" w:cs="Times New Roman"/>
              </w:rPr>
            </w:pPr>
          </w:p>
        </w:tc>
        <w:tc>
          <w:tcPr>
            <w:tcW w:w="828" w:type="dxa"/>
            <w:vAlign w:val="center"/>
          </w:tcPr>
          <w:p w14:paraId="2A1715E2" w14:textId="77777777" w:rsidR="000D58B7" w:rsidRPr="00323E97" w:rsidRDefault="000D58B7" w:rsidP="005D38B9">
            <w:pPr>
              <w:jc w:val="center"/>
              <w:rPr>
                <w:rFonts w:ascii="Times New Roman" w:hAnsi="Times New Roman" w:cs="Times New Roman"/>
              </w:rPr>
            </w:pPr>
          </w:p>
        </w:tc>
        <w:tc>
          <w:tcPr>
            <w:tcW w:w="827" w:type="dxa"/>
            <w:vAlign w:val="center"/>
          </w:tcPr>
          <w:p w14:paraId="52AF5199"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1</w:t>
            </w:r>
          </w:p>
        </w:tc>
        <w:tc>
          <w:tcPr>
            <w:tcW w:w="828" w:type="dxa"/>
            <w:vAlign w:val="center"/>
          </w:tcPr>
          <w:p w14:paraId="2ADA33E6"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.603**</w:t>
            </w:r>
          </w:p>
        </w:tc>
      </w:tr>
      <w:tr w:rsidR="000D58B7" w:rsidRPr="00C81F31" w14:paraId="519DE017" w14:textId="77777777" w:rsidTr="005D38B9">
        <w:trPr>
          <w:trHeight w:val="340"/>
          <w:jc w:val="center"/>
        </w:trPr>
        <w:tc>
          <w:tcPr>
            <w:tcW w:w="461" w:type="dxa"/>
          </w:tcPr>
          <w:p w14:paraId="48828C70"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D</w:t>
            </w:r>
          </w:p>
        </w:tc>
        <w:tc>
          <w:tcPr>
            <w:tcW w:w="3929" w:type="dxa"/>
            <w:vAlign w:val="center"/>
          </w:tcPr>
          <w:p w14:paraId="5352704A"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 xml:space="preserve">Knowledge of </w:t>
            </w:r>
            <w:r>
              <w:rPr>
                <w:rFonts w:ascii="Times New Roman" w:hAnsi="Times New Roman" w:cs="Times New Roman"/>
              </w:rPr>
              <w:t>the r</w:t>
            </w:r>
            <w:r w:rsidRPr="00E678E4">
              <w:rPr>
                <w:rFonts w:ascii="Times New Roman" w:hAnsi="Times New Roman" w:cs="Times New Roman"/>
              </w:rPr>
              <w:t xml:space="preserve">ecruitment </w:t>
            </w:r>
            <w:r>
              <w:rPr>
                <w:rFonts w:ascii="Times New Roman" w:hAnsi="Times New Roman" w:cs="Times New Roman"/>
              </w:rPr>
              <w:t>p</w:t>
            </w:r>
            <w:r w:rsidRPr="00E678E4">
              <w:rPr>
                <w:rFonts w:ascii="Times New Roman" w:hAnsi="Times New Roman" w:cs="Times New Roman"/>
              </w:rPr>
              <w:t>rocess</w:t>
            </w:r>
          </w:p>
        </w:tc>
        <w:tc>
          <w:tcPr>
            <w:tcW w:w="827" w:type="dxa"/>
            <w:vAlign w:val="center"/>
          </w:tcPr>
          <w:p w14:paraId="1CAAAB4A" w14:textId="77777777" w:rsidR="000D58B7" w:rsidRPr="00323E97" w:rsidRDefault="000D58B7" w:rsidP="005D38B9">
            <w:pPr>
              <w:jc w:val="center"/>
              <w:rPr>
                <w:rFonts w:ascii="Times New Roman" w:hAnsi="Times New Roman" w:cs="Times New Roman"/>
              </w:rPr>
            </w:pPr>
            <w:r w:rsidRPr="00323E97">
              <w:rPr>
                <w:rFonts w:ascii="Times New Roman" w:hAnsi="Times New Roman" w:cs="Times New Roman"/>
              </w:rPr>
              <w:t>3.15</w:t>
            </w:r>
          </w:p>
        </w:tc>
        <w:tc>
          <w:tcPr>
            <w:tcW w:w="828" w:type="dxa"/>
            <w:vAlign w:val="center"/>
          </w:tcPr>
          <w:p w14:paraId="5A79F8A5" w14:textId="77777777" w:rsidR="000D58B7" w:rsidRPr="00323E97" w:rsidRDefault="000D58B7" w:rsidP="005D38B9">
            <w:pPr>
              <w:jc w:val="center"/>
              <w:rPr>
                <w:rFonts w:ascii="Times New Roman" w:hAnsi="Times New Roman" w:cs="Times New Roman"/>
              </w:rPr>
            </w:pPr>
            <w:r w:rsidRPr="00323E97">
              <w:rPr>
                <w:rFonts w:ascii="Times New Roman" w:hAnsi="Times New Roman" w:cs="Times New Roman"/>
              </w:rPr>
              <w:t>1.080</w:t>
            </w:r>
          </w:p>
        </w:tc>
        <w:tc>
          <w:tcPr>
            <w:tcW w:w="827" w:type="dxa"/>
            <w:vAlign w:val="center"/>
          </w:tcPr>
          <w:p w14:paraId="1444A5B7" w14:textId="77777777" w:rsidR="000D58B7" w:rsidRPr="00323E97" w:rsidRDefault="000D58B7" w:rsidP="005D38B9">
            <w:pPr>
              <w:jc w:val="center"/>
              <w:rPr>
                <w:rFonts w:ascii="Times New Roman" w:hAnsi="Times New Roman" w:cs="Times New Roman"/>
              </w:rPr>
            </w:pPr>
          </w:p>
        </w:tc>
        <w:tc>
          <w:tcPr>
            <w:tcW w:w="828" w:type="dxa"/>
            <w:vAlign w:val="center"/>
          </w:tcPr>
          <w:p w14:paraId="289613CE" w14:textId="77777777" w:rsidR="000D58B7" w:rsidRPr="00323E97" w:rsidRDefault="000D58B7" w:rsidP="005D38B9">
            <w:pPr>
              <w:jc w:val="center"/>
              <w:rPr>
                <w:rFonts w:ascii="Times New Roman" w:hAnsi="Times New Roman" w:cs="Times New Roman"/>
              </w:rPr>
            </w:pPr>
          </w:p>
        </w:tc>
        <w:tc>
          <w:tcPr>
            <w:tcW w:w="827" w:type="dxa"/>
            <w:vAlign w:val="center"/>
          </w:tcPr>
          <w:p w14:paraId="208293C3" w14:textId="77777777" w:rsidR="000D58B7" w:rsidRPr="00323E97" w:rsidRDefault="000D58B7" w:rsidP="005D38B9">
            <w:pPr>
              <w:jc w:val="center"/>
              <w:rPr>
                <w:rFonts w:ascii="Times New Roman" w:hAnsi="Times New Roman" w:cs="Times New Roman"/>
              </w:rPr>
            </w:pPr>
          </w:p>
        </w:tc>
        <w:tc>
          <w:tcPr>
            <w:tcW w:w="828" w:type="dxa"/>
            <w:vAlign w:val="center"/>
          </w:tcPr>
          <w:p w14:paraId="4C6B7615"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1</w:t>
            </w:r>
          </w:p>
        </w:tc>
      </w:tr>
      <w:tr w:rsidR="000D58B7" w:rsidRPr="00C81F31" w14:paraId="00EA8CDC" w14:textId="77777777" w:rsidTr="005D38B9">
        <w:trPr>
          <w:trHeight w:val="340"/>
          <w:jc w:val="center"/>
        </w:trPr>
        <w:tc>
          <w:tcPr>
            <w:tcW w:w="461" w:type="dxa"/>
          </w:tcPr>
          <w:p w14:paraId="30AAB1BE" w14:textId="77777777" w:rsidR="000D58B7" w:rsidRPr="00E678E4" w:rsidRDefault="000D58B7" w:rsidP="005D38B9">
            <w:pPr>
              <w:rPr>
                <w:rFonts w:ascii="Times New Roman" w:hAnsi="Times New Roman" w:cs="Times New Roman"/>
              </w:rPr>
            </w:pPr>
          </w:p>
        </w:tc>
        <w:tc>
          <w:tcPr>
            <w:tcW w:w="3929" w:type="dxa"/>
            <w:vAlign w:val="center"/>
          </w:tcPr>
          <w:p w14:paraId="1F718245"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Composite</w:t>
            </w:r>
            <w:r>
              <w:rPr>
                <w:rFonts w:ascii="Times New Roman" w:hAnsi="Times New Roman" w:cs="Times New Roman"/>
              </w:rPr>
              <w:t xml:space="preserve"> scale</w:t>
            </w:r>
          </w:p>
        </w:tc>
        <w:tc>
          <w:tcPr>
            <w:tcW w:w="827" w:type="dxa"/>
            <w:vAlign w:val="center"/>
          </w:tcPr>
          <w:p w14:paraId="609F460A"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3.24</w:t>
            </w:r>
          </w:p>
        </w:tc>
        <w:tc>
          <w:tcPr>
            <w:tcW w:w="828" w:type="dxa"/>
            <w:vAlign w:val="center"/>
          </w:tcPr>
          <w:p w14:paraId="594ED795"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.851</w:t>
            </w:r>
          </w:p>
        </w:tc>
        <w:tc>
          <w:tcPr>
            <w:tcW w:w="827" w:type="dxa"/>
            <w:vAlign w:val="center"/>
          </w:tcPr>
          <w:p w14:paraId="40B142D3" w14:textId="77777777" w:rsidR="000D58B7" w:rsidRPr="00323E97" w:rsidRDefault="000D58B7" w:rsidP="005D38B9">
            <w:pPr>
              <w:jc w:val="center"/>
              <w:rPr>
                <w:rFonts w:ascii="Times New Roman" w:hAnsi="Times New Roman" w:cs="Times New Roman"/>
              </w:rPr>
            </w:pPr>
          </w:p>
        </w:tc>
        <w:tc>
          <w:tcPr>
            <w:tcW w:w="828" w:type="dxa"/>
            <w:vAlign w:val="center"/>
          </w:tcPr>
          <w:p w14:paraId="6B5D6E5E" w14:textId="77777777" w:rsidR="000D58B7" w:rsidRPr="00323E97" w:rsidRDefault="000D58B7" w:rsidP="005D38B9">
            <w:pPr>
              <w:jc w:val="center"/>
              <w:rPr>
                <w:rFonts w:ascii="Times New Roman" w:hAnsi="Times New Roman" w:cs="Times New Roman"/>
              </w:rPr>
            </w:pPr>
          </w:p>
        </w:tc>
        <w:tc>
          <w:tcPr>
            <w:tcW w:w="827" w:type="dxa"/>
            <w:vAlign w:val="center"/>
          </w:tcPr>
          <w:p w14:paraId="7A60048E" w14:textId="77777777" w:rsidR="000D58B7" w:rsidRPr="00323E97" w:rsidRDefault="000D58B7" w:rsidP="005D38B9">
            <w:pPr>
              <w:jc w:val="center"/>
              <w:rPr>
                <w:rFonts w:ascii="Times New Roman" w:hAnsi="Times New Roman" w:cs="Times New Roman"/>
              </w:rPr>
            </w:pPr>
          </w:p>
        </w:tc>
        <w:tc>
          <w:tcPr>
            <w:tcW w:w="828" w:type="dxa"/>
            <w:vAlign w:val="center"/>
          </w:tcPr>
          <w:p w14:paraId="509BB7E4" w14:textId="77777777" w:rsidR="000D58B7" w:rsidRPr="00323E97" w:rsidRDefault="000D58B7" w:rsidP="005D38B9">
            <w:pPr>
              <w:jc w:val="center"/>
              <w:rPr>
                <w:rFonts w:ascii="Times New Roman" w:hAnsi="Times New Roman" w:cs="Times New Roman"/>
              </w:rPr>
            </w:pPr>
          </w:p>
        </w:tc>
      </w:tr>
    </w:tbl>
    <w:p w14:paraId="412A7E08" w14:textId="77777777" w:rsidR="000D58B7" w:rsidRDefault="000D58B7" w:rsidP="000D58B7">
      <w:pPr>
        <w:pStyle w:val="chaptersub-subtitleGJSD"/>
        <w:spacing w:after="0"/>
        <w:rPr>
          <w:i w:val="0"/>
          <w:iCs/>
        </w:rPr>
      </w:pPr>
      <w:r w:rsidRPr="009F33E2">
        <w:rPr>
          <w:i w:val="0"/>
          <w:iCs/>
        </w:rPr>
        <w:t>**.p&lt;.01 (2-tailed). n=80.</w:t>
      </w:r>
    </w:p>
    <w:p w14:paraId="1631D5E5" w14:textId="77777777" w:rsidR="000D58B7" w:rsidRDefault="000D58B7" w:rsidP="000D58B7">
      <w:pPr>
        <w:suppressAutoHyphens w:val="0"/>
        <w:spacing w:after="160" w:line="259" w:lineRule="auto"/>
        <w:rPr>
          <w:rFonts w:ascii="Times New Roman" w:hAnsi="Times New Roman" w:cs="Times New Roman"/>
          <w:bCs/>
          <w:iCs/>
          <w:sz w:val="24"/>
          <w:szCs w:val="24"/>
        </w:rPr>
      </w:pPr>
      <w:r>
        <w:rPr>
          <w:i/>
          <w:iCs/>
        </w:rPr>
        <w:br w:type="page"/>
      </w:r>
    </w:p>
    <w:p w14:paraId="10E78118" w14:textId="77777777" w:rsidR="000D58B7" w:rsidRDefault="000D58B7" w:rsidP="000D58B7">
      <w:pPr>
        <w:pStyle w:val="bodytextGJSD"/>
        <w:spacing w:after="0"/>
        <w:jc w:val="center"/>
        <w:rPr>
          <w:b/>
          <w:lang w:val="en-US"/>
        </w:rPr>
      </w:pPr>
      <w:r w:rsidRPr="002F31F3">
        <w:rPr>
          <w:b/>
          <w:lang w:val="en-US"/>
        </w:rPr>
        <w:lastRenderedPageBreak/>
        <w:t xml:space="preserve">Table </w:t>
      </w:r>
      <w:r>
        <w:rPr>
          <w:b/>
          <w:lang w:val="en-US"/>
        </w:rPr>
        <w:t>II</w:t>
      </w:r>
      <w:r w:rsidRPr="002F31F3">
        <w:rPr>
          <w:b/>
          <w:lang w:val="en-US"/>
        </w:rPr>
        <w:t>I</w:t>
      </w:r>
      <w:r>
        <w:rPr>
          <w:b/>
          <w:lang w:val="en-US"/>
        </w:rPr>
        <w:t>: Descriptive Statistics and Item Correlations (Wave-Two)</w:t>
      </w:r>
    </w:p>
    <w:p w14:paraId="1C503376" w14:textId="77777777" w:rsidR="000D58B7" w:rsidRDefault="000D58B7" w:rsidP="000D58B7">
      <w:pPr>
        <w:pStyle w:val="bodytextGJSD"/>
        <w:spacing w:after="0"/>
        <w:jc w:val="center"/>
        <w:rPr>
          <w:b/>
          <w:lang w:val="en-US"/>
        </w:rPr>
      </w:pPr>
    </w:p>
    <w:tbl>
      <w:tblPr>
        <w:tblStyle w:val="TableGrid"/>
        <w:tblW w:w="9355" w:type="dxa"/>
        <w:jc w:val="center"/>
        <w:tblLayout w:type="fixed"/>
        <w:tblLook w:val="04A0" w:firstRow="1" w:lastRow="0" w:firstColumn="1" w:lastColumn="0" w:noHBand="0" w:noVBand="1"/>
      </w:tblPr>
      <w:tblGrid>
        <w:gridCol w:w="461"/>
        <w:gridCol w:w="3929"/>
        <w:gridCol w:w="827"/>
        <w:gridCol w:w="828"/>
        <w:gridCol w:w="827"/>
        <w:gridCol w:w="828"/>
        <w:gridCol w:w="827"/>
        <w:gridCol w:w="828"/>
      </w:tblGrid>
      <w:tr w:rsidR="000D58B7" w:rsidRPr="00C81F31" w14:paraId="5F64D220" w14:textId="77777777" w:rsidTr="005D38B9">
        <w:trPr>
          <w:trHeight w:val="340"/>
          <w:jc w:val="center"/>
        </w:trPr>
        <w:tc>
          <w:tcPr>
            <w:tcW w:w="461" w:type="dxa"/>
            <w:vAlign w:val="center"/>
          </w:tcPr>
          <w:p w14:paraId="4BD3031E"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ID</w:t>
            </w:r>
          </w:p>
        </w:tc>
        <w:tc>
          <w:tcPr>
            <w:tcW w:w="3929" w:type="dxa"/>
            <w:vAlign w:val="center"/>
          </w:tcPr>
          <w:p w14:paraId="792B7A26" w14:textId="77777777" w:rsidR="000D58B7" w:rsidRPr="00E678E4" w:rsidRDefault="000D58B7" w:rsidP="005D38B9">
            <w:pPr>
              <w:rPr>
                <w:rFonts w:ascii="Times New Roman" w:hAnsi="Times New Roman" w:cs="Times New Roman"/>
                <w:b/>
                <w:bCs/>
              </w:rPr>
            </w:pPr>
            <w:r w:rsidRPr="00E678E4">
              <w:rPr>
                <w:rFonts w:ascii="Times New Roman" w:hAnsi="Times New Roman" w:cs="Times New Roman"/>
                <w:b/>
                <w:bCs/>
              </w:rPr>
              <w:t>Item</w:t>
            </w:r>
          </w:p>
        </w:tc>
        <w:tc>
          <w:tcPr>
            <w:tcW w:w="827" w:type="dxa"/>
            <w:vAlign w:val="center"/>
          </w:tcPr>
          <w:p w14:paraId="13FA055C"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Mean</w:t>
            </w:r>
          </w:p>
        </w:tc>
        <w:tc>
          <w:tcPr>
            <w:tcW w:w="828" w:type="dxa"/>
            <w:vAlign w:val="center"/>
          </w:tcPr>
          <w:p w14:paraId="79AC5024"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SD</w:t>
            </w:r>
          </w:p>
        </w:tc>
        <w:tc>
          <w:tcPr>
            <w:tcW w:w="827" w:type="dxa"/>
            <w:vAlign w:val="center"/>
          </w:tcPr>
          <w:p w14:paraId="628B7E58"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A</w:t>
            </w:r>
          </w:p>
        </w:tc>
        <w:tc>
          <w:tcPr>
            <w:tcW w:w="828" w:type="dxa"/>
            <w:vAlign w:val="center"/>
          </w:tcPr>
          <w:p w14:paraId="1C7AED2F"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B</w:t>
            </w:r>
          </w:p>
        </w:tc>
        <w:tc>
          <w:tcPr>
            <w:tcW w:w="827" w:type="dxa"/>
            <w:vAlign w:val="center"/>
          </w:tcPr>
          <w:p w14:paraId="32E9D72D"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C</w:t>
            </w:r>
          </w:p>
        </w:tc>
        <w:tc>
          <w:tcPr>
            <w:tcW w:w="828" w:type="dxa"/>
            <w:vAlign w:val="center"/>
          </w:tcPr>
          <w:p w14:paraId="4FF0AE8A" w14:textId="77777777" w:rsidR="000D58B7" w:rsidRPr="00E678E4" w:rsidRDefault="000D58B7" w:rsidP="005D38B9">
            <w:pPr>
              <w:jc w:val="center"/>
              <w:rPr>
                <w:rFonts w:ascii="Times New Roman" w:hAnsi="Times New Roman" w:cs="Times New Roman"/>
                <w:b/>
                <w:bCs/>
              </w:rPr>
            </w:pPr>
            <w:r w:rsidRPr="00E678E4">
              <w:rPr>
                <w:rFonts w:ascii="Times New Roman" w:hAnsi="Times New Roman" w:cs="Times New Roman"/>
                <w:b/>
                <w:bCs/>
              </w:rPr>
              <w:t>D</w:t>
            </w:r>
          </w:p>
        </w:tc>
      </w:tr>
      <w:tr w:rsidR="000D58B7" w:rsidRPr="00C81F31" w14:paraId="5683CB25" w14:textId="77777777" w:rsidTr="005D38B9">
        <w:trPr>
          <w:trHeight w:val="340"/>
          <w:jc w:val="center"/>
        </w:trPr>
        <w:tc>
          <w:tcPr>
            <w:tcW w:w="461" w:type="dxa"/>
          </w:tcPr>
          <w:p w14:paraId="39DE0857"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A</w:t>
            </w:r>
          </w:p>
        </w:tc>
        <w:tc>
          <w:tcPr>
            <w:tcW w:w="3929" w:type="dxa"/>
            <w:vAlign w:val="center"/>
          </w:tcPr>
          <w:p w14:paraId="15F2CEF8"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Knowledge of what can do with degree</w:t>
            </w:r>
          </w:p>
        </w:tc>
        <w:tc>
          <w:tcPr>
            <w:tcW w:w="827" w:type="dxa"/>
            <w:vAlign w:val="center"/>
          </w:tcPr>
          <w:p w14:paraId="1EFAC003"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4.18</w:t>
            </w:r>
          </w:p>
        </w:tc>
        <w:tc>
          <w:tcPr>
            <w:tcW w:w="828" w:type="dxa"/>
            <w:vAlign w:val="center"/>
          </w:tcPr>
          <w:p w14:paraId="14A4E43F"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.671</w:t>
            </w:r>
          </w:p>
        </w:tc>
        <w:tc>
          <w:tcPr>
            <w:tcW w:w="827" w:type="dxa"/>
            <w:vAlign w:val="center"/>
          </w:tcPr>
          <w:p w14:paraId="14D4FE5C"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1</w:t>
            </w:r>
          </w:p>
        </w:tc>
        <w:tc>
          <w:tcPr>
            <w:tcW w:w="828" w:type="dxa"/>
            <w:vAlign w:val="center"/>
          </w:tcPr>
          <w:p w14:paraId="4A2ECF1C"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.526**</w:t>
            </w:r>
          </w:p>
        </w:tc>
        <w:tc>
          <w:tcPr>
            <w:tcW w:w="827" w:type="dxa"/>
            <w:vAlign w:val="center"/>
          </w:tcPr>
          <w:p w14:paraId="00CC4E27"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.499**</w:t>
            </w:r>
          </w:p>
        </w:tc>
        <w:tc>
          <w:tcPr>
            <w:tcW w:w="828" w:type="dxa"/>
            <w:vAlign w:val="center"/>
          </w:tcPr>
          <w:p w14:paraId="38DECDA3"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.538**</w:t>
            </w:r>
          </w:p>
        </w:tc>
      </w:tr>
      <w:tr w:rsidR="000D58B7" w:rsidRPr="00C81F31" w14:paraId="5A2CF8F0" w14:textId="77777777" w:rsidTr="005D38B9">
        <w:trPr>
          <w:trHeight w:val="340"/>
          <w:jc w:val="center"/>
        </w:trPr>
        <w:tc>
          <w:tcPr>
            <w:tcW w:w="461" w:type="dxa"/>
          </w:tcPr>
          <w:p w14:paraId="19152316"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B</w:t>
            </w:r>
          </w:p>
        </w:tc>
        <w:tc>
          <w:tcPr>
            <w:tcW w:w="3929" w:type="dxa"/>
            <w:vAlign w:val="center"/>
          </w:tcPr>
          <w:p w14:paraId="5AEFB1E5"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Ability to make informed career decisions</w:t>
            </w:r>
          </w:p>
        </w:tc>
        <w:tc>
          <w:tcPr>
            <w:tcW w:w="827" w:type="dxa"/>
            <w:vAlign w:val="center"/>
          </w:tcPr>
          <w:p w14:paraId="38889328"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4.15</w:t>
            </w:r>
          </w:p>
        </w:tc>
        <w:tc>
          <w:tcPr>
            <w:tcW w:w="828" w:type="dxa"/>
            <w:vAlign w:val="center"/>
          </w:tcPr>
          <w:p w14:paraId="6A822DC3"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.713</w:t>
            </w:r>
          </w:p>
        </w:tc>
        <w:tc>
          <w:tcPr>
            <w:tcW w:w="827" w:type="dxa"/>
            <w:vAlign w:val="center"/>
          </w:tcPr>
          <w:p w14:paraId="1F226F94" w14:textId="77777777" w:rsidR="000D58B7" w:rsidRPr="00323E97" w:rsidRDefault="000D58B7" w:rsidP="005D38B9">
            <w:pPr>
              <w:jc w:val="center"/>
              <w:rPr>
                <w:rFonts w:ascii="Times New Roman" w:hAnsi="Times New Roman" w:cs="Times New Roman"/>
              </w:rPr>
            </w:pPr>
          </w:p>
        </w:tc>
        <w:tc>
          <w:tcPr>
            <w:tcW w:w="828" w:type="dxa"/>
            <w:vAlign w:val="center"/>
          </w:tcPr>
          <w:p w14:paraId="071F3D29"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1</w:t>
            </w:r>
          </w:p>
        </w:tc>
        <w:tc>
          <w:tcPr>
            <w:tcW w:w="827" w:type="dxa"/>
            <w:vAlign w:val="center"/>
          </w:tcPr>
          <w:p w14:paraId="547A10CE"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.744**</w:t>
            </w:r>
          </w:p>
        </w:tc>
        <w:tc>
          <w:tcPr>
            <w:tcW w:w="828" w:type="dxa"/>
            <w:vAlign w:val="center"/>
          </w:tcPr>
          <w:p w14:paraId="69E3908A"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.574**</w:t>
            </w:r>
          </w:p>
        </w:tc>
      </w:tr>
      <w:tr w:rsidR="000D58B7" w:rsidRPr="00C81F31" w14:paraId="708BE63D" w14:textId="77777777" w:rsidTr="005D38B9">
        <w:trPr>
          <w:trHeight w:val="340"/>
          <w:jc w:val="center"/>
        </w:trPr>
        <w:tc>
          <w:tcPr>
            <w:tcW w:w="461" w:type="dxa"/>
          </w:tcPr>
          <w:p w14:paraId="0A57043B"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C</w:t>
            </w:r>
          </w:p>
        </w:tc>
        <w:tc>
          <w:tcPr>
            <w:tcW w:w="3929" w:type="dxa"/>
            <w:vAlign w:val="center"/>
          </w:tcPr>
          <w:p w14:paraId="4749F445"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Ability to find relevant opportunities</w:t>
            </w:r>
          </w:p>
        </w:tc>
        <w:tc>
          <w:tcPr>
            <w:tcW w:w="827" w:type="dxa"/>
            <w:vAlign w:val="center"/>
          </w:tcPr>
          <w:p w14:paraId="7B2CD4AD"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4.23</w:t>
            </w:r>
          </w:p>
        </w:tc>
        <w:tc>
          <w:tcPr>
            <w:tcW w:w="828" w:type="dxa"/>
            <w:vAlign w:val="center"/>
          </w:tcPr>
          <w:p w14:paraId="01E7FA58"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.675</w:t>
            </w:r>
          </w:p>
        </w:tc>
        <w:tc>
          <w:tcPr>
            <w:tcW w:w="827" w:type="dxa"/>
            <w:vAlign w:val="center"/>
          </w:tcPr>
          <w:p w14:paraId="3B7BC16F" w14:textId="77777777" w:rsidR="000D58B7" w:rsidRPr="00323E97" w:rsidRDefault="000D58B7" w:rsidP="005D38B9">
            <w:pPr>
              <w:jc w:val="center"/>
              <w:rPr>
                <w:rFonts w:ascii="Times New Roman" w:hAnsi="Times New Roman" w:cs="Times New Roman"/>
              </w:rPr>
            </w:pPr>
          </w:p>
        </w:tc>
        <w:tc>
          <w:tcPr>
            <w:tcW w:w="828" w:type="dxa"/>
            <w:vAlign w:val="center"/>
          </w:tcPr>
          <w:p w14:paraId="15B89366" w14:textId="77777777" w:rsidR="000D58B7" w:rsidRPr="00323E97" w:rsidRDefault="000D58B7" w:rsidP="005D38B9">
            <w:pPr>
              <w:jc w:val="center"/>
              <w:rPr>
                <w:rFonts w:ascii="Times New Roman" w:hAnsi="Times New Roman" w:cs="Times New Roman"/>
              </w:rPr>
            </w:pPr>
          </w:p>
        </w:tc>
        <w:tc>
          <w:tcPr>
            <w:tcW w:w="827" w:type="dxa"/>
            <w:vAlign w:val="center"/>
          </w:tcPr>
          <w:p w14:paraId="64FB72E4"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1</w:t>
            </w:r>
          </w:p>
        </w:tc>
        <w:tc>
          <w:tcPr>
            <w:tcW w:w="828" w:type="dxa"/>
            <w:vAlign w:val="center"/>
          </w:tcPr>
          <w:p w14:paraId="1D736F92"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.532**</w:t>
            </w:r>
          </w:p>
        </w:tc>
      </w:tr>
      <w:tr w:rsidR="000D58B7" w:rsidRPr="00C81F31" w14:paraId="1707D90C" w14:textId="77777777" w:rsidTr="005D38B9">
        <w:trPr>
          <w:trHeight w:val="340"/>
          <w:jc w:val="center"/>
        </w:trPr>
        <w:tc>
          <w:tcPr>
            <w:tcW w:w="461" w:type="dxa"/>
          </w:tcPr>
          <w:p w14:paraId="420CA6D3"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D</w:t>
            </w:r>
          </w:p>
        </w:tc>
        <w:tc>
          <w:tcPr>
            <w:tcW w:w="3929" w:type="dxa"/>
            <w:vAlign w:val="center"/>
          </w:tcPr>
          <w:p w14:paraId="7A68BF72"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 xml:space="preserve">Knowledge of </w:t>
            </w:r>
            <w:r>
              <w:rPr>
                <w:rFonts w:ascii="Times New Roman" w:hAnsi="Times New Roman" w:cs="Times New Roman"/>
              </w:rPr>
              <w:t>the r</w:t>
            </w:r>
            <w:r w:rsidRPr="00E678E4">
              <w:rPr>
                <w:rFonts w:ascii="Times New Roman" w:hAnsi="Times New Roman" w:cs="Times New Roman"/>
              </w:rPr>
              <w:t xml:space="preserve">ecruitment </w:t>
            </w:r>
            <w:r>
              <w:rPr>
                <w:rFonts w:ascii="Times New Roman" w:hAnsi="Times New Roman" w:cs="Times New Roman"/>
              </w:rPr>
              <w:t>p</w:t>
            </w:r>
            <w:r w:rsidRPr="00E678E4">
              <w:rPr>
                <w:rFonts w:ascii="Times New Roman" w:hAnsi="Times New Roman" w:cs="Times New Roman"/>
              </w:rPr>
              <w:t>rocess</w:t>
            </w:r>
          </w:p>
        </w:tc>
        <w:tc>
          <w:tcPr>
            <w:tcW w:w="827" w:type="dxa"/>
            <w:vAlign w:val="center"/>
          </w:tcPr>
          <w:p w14:paraId="1F856D9B"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4.03</w:t>
            </w:r>
          </w:p>
        </w:tc>
        <w:tc>
          <w:tcPr>
            <w:tcW w:w="828" w:type="dxa"/>
            <w:vAlign w:val="center"/>
          </w:tcPr>
          <w:p w14:paraId="5CCA8A14"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.795</w:t>
            </w:r>
          </w:p>
        </w:tc>
        <w:tc>
          <w:tcPr>
            <w:tcW w:w="827" w:type="dxa"/>
            <w:vAlign w:val="center"/>
          </w:tcPr>
          <w:p w14:paraId="61201900" w14:textId="77777777" w:rsidR="000D58B7" w:rsidRPr="00323E97" w:rsidRDefault="000D58B7" w:rsidP="005D38B9">
            <w:pPr>
              <w:jc w:val="center"/>
              <w:rPr>
                <w:rFonts w:ascii="Times New Roman" w:hAnsi="Times New Roman" w:cs="Times New Roman"/>
              </w:rPr>
            </w:pPr>
          </w:p>
        </w:tc>
        <w:tc>
          <w:tcPr>
            <w:tcW w:w="828" w:type="dxa"/>
            <w:vAlign w:val="center"/>
          </w:tcPr>
          <w:p w14:paraId="276BF8E2" w14:textId="77777777" w:rsidR="000D58B7" w:rsidRPr="00323E97" w:rsidRDefault="000D58B7" w:rsidP="005D38B9">
            <w:pPr>
              <w:jc w:val="center"/>
              <w:rPr>
                <w:rFonts w:ascii="Times New Roman" w:hAnsi="Times New Roman" w:cs="Times New Roman"/>
              </w:rPr>
            </w:pPr>
          </w:p>
        </w:tc>
        <w:tc>
          <w:tcPr>
            <w:tcW w:w="827" w:type="dxa"/>
            <w:vAlign w:val="center"/>
          </w:tcPr>
          <w:p w14:paraId="7437AE72" w14:textId="77777777" w:rsidR="000D58B7" w:rsidRPr="00323E97" w:rsidRDefault="000D58B7" w:rsidP="005D38B9">
            <w:pPr>
              <w:jc w:val="center"/>
              <w:rPr>
                <w:rFonts w:ascii="Times New Roman" w:hAnsi="Times New Roman" w:cs="Times New Roman"/>
              </w:rPr>
            </w:pPr>
          </w:p>
        </w:tc>
        <w:tc>
          <w:tcPr>
            <w:tcW w:w="828" w:type="dxa"/>
            <w:vAlign w:val="center"/>
          </w:tcPr>
          <w:p w14:paraId="172C3C09"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1</w:t>
            </w:r>
          </w:p>
        </w:tc>
      </w:tr>
      <w:tr w:rsidR="000D58B7" w:rsidRPr="00C81F31" w14:paraId="0B88C3D8" w14:textId="77777777" w:rsidTr="005D38B9">
        <w:trPr>
          <w:trHeight w:val="340"/>
          <w:jc w:val="center"/>
        </w:trPr>
        <w:tc>
          <w:tcPr>
            <w:tcW w:w="461" w:type="dxa"/>
          </w:tcPr>
          <w:p w14:paraId="231E688B" w14:textId="77777777" w:rsidR="000D58B7" w:rsidRPr="00E678E4" w:rsidRDefault="000D58B7" w:rsidP="005D38B9">
            <w:pPr>
              <w:rPr>
                <w:rFonts w:ascii="Times New Roman" w:hAnsi="Times New Roman" w:cs="Times New Roman"/>
              </w:rPr>
            </w:pPr>
          </w:p>
        </w:tc>
        <w:tc>
          <w:tcPr>
            <w:tcW w:w="3929" w:type="dxa"/>
            <w:vAlign w:val="center"/>
          </w:tcPr>
          <w:p w14:paraId="609D6566" w14:textId="77777777" w:rsidR="000D58B7" w:rsidRPr="00E678E4" w:rsidRDefault="000D58B7" w:rsidP="005D38B9">
            <w:pPr>
              <w:rPr>
                <w:rFonts w:ascii="Times New Roman" w:hAnsi="Times New Roman" w:cs="Times New Roman"/>
              </w:rPr>
            </w:pPr>
            <w:r w:rsidRPr="00E678E4">
              <w:rPr>
                <w:rFonts w:ascii="Times New Roman" w:hAnsi="Times New Roman" w:cs="Times New Roman"/>
              </w:rPr>
              <w:t>Composite</w:t>
            </w:r>
            <w:r>
              <w:rPr>
                <w:rFonts w:ascii="Times New Roman" w:hAnsi="Times New Roman" w:cs="Times New Roman"/>
              </w:rPr>
              <w:t xml:space="preserve"> scale</w:t>
            </w:r>
          </w:p>
        </w:tc>
        <w:tc>
          <w:tcPr>
            <w:tcW w:w="827" w:type="dxa"/>
            <w:vAlign w:val="center"/>
          </w:tcPr>
          <w:p w14:paraId="1147F025"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4.14</w:t>
            </w:r>
          </w:p>
        </w:tc>
        <w:tc>
          <w:tcPr>
            <w:tcW w:w="828" w:type="dxa"/>
            <w:vAlign w:val="center"/>
          </w:tcPr>
          <w:p w14:paraId="0FD4791C" w14:textId="77777777" w:rsidR="000D58B7" w:rsidRPr="00323E97" w:rsidRDefault="000D58B7" w:rsidP="005D38B9">
            <w:pPr>
              <w:jc w:val="center"/>
              <w:rPr>
                <w:rFonts w:ascii="Times New Roman" w:hAnsi="Times New Roman" w:cs="Times New Roman"/>
              </w:rPr>
            </w:pPr>
            <w:r>
              <w:rPr>
                <w:rFonts w:ascii="Times New Roman" w:hAnsi="Times New Roman" w:cs="Times New Roman"/>
              </w:rPr>
              <w:t>.587</w:t>
            </w:r>
          </w:p>
        </w:tc>
        <w:tc>
          <w:tcPr>
            <w:tcW w:w="827" w:type="dxa"/>
            <w:vAlign w:val="center"/>
          </w:tcPr>
          <w:p w14:paraId="6536ED74" w14:textId="77777777" w:rsidR="000D58B7" w:rsidRPr="00323E97" w:rsidRDefault="000D58B7" w:rsidP="005D38B9">
            <w:pPr>
              <w:jc w:val="center"/>
              <w:rPr>
                <w:rFonts w:ascii="Times New Roman" w:hAnsi="Times New Roman" w:cs="Times New Roman"/>
              </w:rPr>
            </w:pPr>
          </w:p>
        </w:tc>
        <w:tc>
          <w:tcPr>
            <w:tcW w:w="828" w:type="dxa"/>
            <w:vAlign w:val="center"/>
          </w:tcPr>
          <w:p w14:paraId="07406385" w14:textId="77777777" w:rsidR="000D58B7" w:rsidRPr="00323E97" w:rsidRDefault="000D58B7" w:rsidP="005D38B9">
            <w:pPr>
              <w:jc w:val="center"/>
              <w:rPr>
                <w:rFonts w:ascii="Times New Roman" w:hAnsi="Times New Roman" w:cs="Times New Roman"/>
              </w:rPr>
            </w:pPr>
          </w:p>
        </w:tc>
        <w:tc>
          <w:tcPr>
            <w:tcW w:w="827" w:type="dxa"/>
            <w:vAlign w:val="center"/>
          </w:tcPr>
          <w:p w14:paraId="4C3699C4" w14:textId="77777777" w:rsidR="000D58B7" w:rsidRPr="00323E97" w:rsidRDefault="000D58B7" w:rsidP="005D38B9">
            <w:pPr>
              <w:jc w:val="center"/>
              <w:rPr>
                <w:rFonts w:ascii="Times New Roman" w:hAnsi="Times New Roman" w:cs="Times New Roman"/>
              </w:rPr>
            </w:pPr>
          </w:p>
        </w:tc>
        <w:tc>
          <w:tcPr>
            <w:tcW w:w="828" w:type="dxa"/>
            <w:vAlign w:val="center"/>
          </w:tcPr>
          <w:p w14:paraId="65B5D3BC" w14:textId="77777777" w:rsidR="000D58B7" w:rsidRPr="00323E97" w:rsidRDefault="000D58B7" w:rsidP="005D38B9">
            <w:pPr>
              <w:jc w:val="center"/>
              <w:rPr>
                <w:rFonts w:ascii="Times New Roman" w:hAnsi="Times New Roman" w:cs="Times New Roman"/>
              </w:rPr>
            </w:pPr>
          </w:p>
        </w:tc>
      </w:tr>
    </w:tbl>
    <w:p w14:paraId="18CDE234" w14:textId="77777777" w:rsidR="000D58B7" w:rsidRDefault="000D58B7" w:rsidP="000D58B7">
      <w:pPr>
        <w:pStyle w:val="bodytextGJSD"/>
        <w:spacing w:after="0"/>
        <w:jc w:val="center"/>
        <w:rPr>
          <w:iCs/>
        </w:rPr>
      </w:pPr>
      <w:r w:rsidRPr="009F33E2">
        <w:rPr>
          <w:iCs/>
        </w:rPr>
        <w:t>**.p&lt;.01 (2-tailed). n=80.</w:t>
      </w:r>
    </w:p>
    <w:p w14:paraId="2D6BA93A" w14:textId="77777777" w:rsidR="000D58B7" w:rsidRDefault="000D58B7" w:rsidP="000D58B7">
      <w:pPr>
        <w:suppressAutoHyphens w:val="0"/>
        <w:spacing w:after="160" w:line="259" w:lineRule="auto"/>
        <w:rPr>
          <w:rFonts w:ascii="Times New Roman" w:hAnsi="Times New Roman" w:cs="Times New Roman"/>
          <w:iCs/>
          <w:sz w:val="24"/>
          <w:szCs w:val="24"/>
        </w:rPr>
      </w:pPr>
      <w:r>
        <w:rPr>
          <w:iCs/>
        </w:rPr>
        <w:br w:type="page"/>
      </w:r>
    </w:p>
    <w:p w14:paraId="1647E2BA" w14:textId="77777777" w:rsidR="000D58B7" w:rsidRDefault="000D58B7" w:rsidP="000D58B7">
      <w:pPr>
        <w:pStyle w:val="bodytextGJSD"/>
        <w:spacing w:after="0"/>
        <w:jc w:val="center"/>
        <w:rPr>
          <w:b/>
          <w:lang w:val="en-US"/>
        </w:rPr>
      </w:pPr>
      <w:r w:rsidRPr="002F31F3">
        <w:rPr>
          <w:b/>
          <w:lang w:val="en-US"/>
        </w:rPr>
        <w:lastRenderedPageBreak/>
        <w:t xml:space="preserve">Table </w:t>
      </w:r>
      <w:r>
        <w:rPr>
          <w:b/>
          <w:lang w:val="en-US"/>
        </w:rPr>
        <w:t xml:space="preserve">IV: Paired Samples T-Tests For Wave-One and Wave-Two </w:t>
      </w:r>
      <w:r>
        <w:rPr>
          <w:b/>
          <w:lang w:val="en-US"/>
        </w:rPr>
        <w:br/>
        <w:t>At Item and Scale Level</w:t>
      </w:r>
    </w:p>
    <w:p w14:paraId="5ED1A613" w14:textId="77777777" w:rsidR="000D58B7" w:rsidRDefault="000D58B7" w:rsidP="000D58B7">
      <w:pPr>
        <w:pStyle w:val="bodytextGJSD"/>
        <w:spacing w:after="0"/>
        <w:jc w:val="center"/>
        <w:rPr>
          <w:b/>
          <w:lang w:val="en-US"/>
        </w:rPr>
      </w:pPr>
    </w:p>
    <w:tbl>
      <w:tblPr>
        <w:tblStyle w:val="TableGrid"/>
        <w:tblW w:w="8867" w:type="dxa"/>
        <w:jc w:val="center"/>
        <w:tblLayout w:type="fixed"/>
        <w:tblLook w:val="04A0" w:firstRow="1" w:lastRow="0" w:firstColumn="1" w:lastColumn="0" w:noHBand="0" w:noVBand="1"/>
      </w:tblPr>
      <w:tblGrid>
        <w:gridCol w:w="608"/>
        <w:gridCol w:w="4065"/>
        <w:gridCol w:w="1276"/>
        <w:gridCol w:w="821"/>
        <w:gridCol w:w="895"/>
        <w:gridCol w:w="546"/>
        <w:gridCol w:w="656"/>
      </w:tblGrid>
      <w:tr w:rsidR="000D58B7" w:rsidRPr="00C81F31" w14:paraId="43F59DEC" w14:textId="77777777" w:rsidTr="005D38B9">
        <w:trPr>
          <w:trHeight w:val="340"/>
          <w:jc w:val="center"/>
        </w:trPr>
        <w:tc>
          <w:tcPr>
            <w:tcW w:w="608" w:type="dxa"/>
          </w:tcPr>
          <w:p w14:paraId="2BDD230F" w14:textId="77777777" w:rsidR="000D58B7" w:rsidRPr="00D966EA" w:rsidRDefault="000D58B7" w:rsidP="005D38B9">
            <w:pPr>
              <w:jc w:val="center"/>
              <w:rPr>
                <w:rFonts w:ascii="Times New Roman" w:hAnsi="Times New Roman" w:cs="Times New Roman"/>
                <w:b/>
                <w:bCs/>
              </w:rPr>
            </w:pPr>
          </w:p>
        </w:tc>
        <w:tc>
          <w:tcPr>
            <w:tcW w:w="4065" w:type="dxa"/>
            <w:vAlign w:val="center"/>
          </w:tcPr>
          <w:p w14:paraId="5D96CF76" w14:textId="77777777" w:rsidR="000D58B7" w:rsidRPr="00D966EA" w:rsidRDefault="000D58B7" w:rsidP="005D38B9">
            <w:pPr>
              <w:rPr>
                <w:rFonts w:ascii="Times New Roman" w:hAnsi="Times New Roman" w:cs="Times New Roman"/>
                <w:b/>
                <w:bCs/>
              </w:rPr>
            </w:pPr>
            <w:r w:rsidRPr="00D966EA">
              <w:rPr>
                <w:rFonts w:ascii="Times New Roman" w:hAnsi="Times New Roman" w:cs="Times New Roman"/>
                <w:b/>
                <w:bCs/>
              </w:rPr>
              <w:t>Variable</w:t>
            </w:r>
          </w:p>
        </w:tc>
        <w:tc>
          <w:tcPr>
            <w:tcW w:w="1276" w:type="dxa"/>
            <w:vAlign w:val="center"/>
          </w:tcPr>
          <w:p w14:paraId="7DA1D9F9" w14:textId="77777777" w:rsidR="000D58B7" w:rsidRPr="00D966EA" w:rsidRDefault="000D58B7" w:rsidP="005D38B9">
            <w:pPr>
              <w:jc w:val="center"/>
              <w:rPr>
                <w:rFonts w:ascii="Times New Roman" w:hAnsi="Times New Roman" w:cs="Times New Roman"/>
                <w:b/>
                <w:bCs/>
              </w:rPr>
            </w:pPr>
            <w:r w:rsidRPr="00D966EA">
              <w:rPr>
                <w:rFonts w:ascii="Times New Roman" w:hAnsi="Times New Roman" w:cs="Times New Roman"/>
                <w:b/>
                <w:bCs/>
              </w:rPr>
              <w:t>Mean Difference</w:t>
            </w:r>
          </w:p>
        </w:tc>
        <w:tc>
          <w:tcPr>
            <w:tcW w:w="821" w:type="dxa"/>
            <w:vAlign w:val="center"/>
          </w:tcPr>
          <w:p w14:paraId="45342C2E" w14:textId="77777777" w:rsidR="000D58B7" w:rsidRPr="00D966EA" w:rsidRDefault="000D58B7" w:rsidP="005D38B9">
            <w:pPr>
              <w:jc w:val="center"/>
              <w:rPr>
                <w:rFonts w:ascii="Times New Roman" w:hAnsi="Times New Roman" w:cs="Times New Roman"/>
                <w:b/>
                <w:bCs/>
              </w:rPr>
            </w:pPr>
            <w:r w:rsidRPr="00D966EA">
              <w:rPr>
                <w:rFonts w:ascii="Times New Roman" w:hAnsi="Times New Roman" w:cs="Times New Roman"/>
                <w:b/>
                <w:bCs/>
              </w:rPr>
              <w:t>SD</w:t>
            </w:r>
          </w:p>
        </w:tc>
        <w:tc>
          <w:tcPr>
            <w:tcW w:w="895" w:type="dxa"/>
            <w:vAlign w:val="center"/>
          </w:tcPr>
          <w:p w14:paraId="7D8FAAF6" w14:textId="77777777" w:rsidR="000D58B7" w:rsidRPr="00D966EA" w:rsidRDefault="000D58B7" w:rsidP="005D38B9">
            <w:pPr>
              <w:jc w:val="center"/>
              <w:rPr>
                <w:rFonts w:ascii="Times New Roman" w:hAnsi="Times New Roman" w:cs="Times New Roman"/>
                <w:b/>
                <w:bCs/>
              </w:rPr>
            </w:pPr>
            <w:r w:rsidRPr="00D966EA">
              <w:rPr>
                <w:rFonts w:ascii="Times New Roman" w:hAnsi="Times New Roman" w:cs="Times New Roman"/>
                <w:b/>
                <w:bCs/>
              </w:rPr>
              <w:t>t</w:t>
            </w:r>
          </w:p>
        </w:tc>
        <w:tc>
          <w:tcPr>
            <w:tcW w:w="546" w:type="dxa"/>
            <w:vAlign w:val="center"/>
          </w:tcPr>
          <w:p w14:paraId="0B9E9FCC" w14:textId="77777777" w:rsidR="000D58B7" w:rsidRPr="00D966EA" w:rsidRDefault="000D58B7" w:rsidP="005D38B9">
            <w:pPr>
              <w:jc w:val="center"/>
              <w:rPr>
                <w:rFonts w:ascii="Times New Roman" w:hAnsi="Times New Roman" w:cs="Times New Roman"/>
                <w:b/>
                <w:bCs/>
              </w:rPr>
            </w:pPr>
            <w:proofErr w:type="spellStart"/>
            <w:r>
              <w:rPr>
                <w:rFonts w:ascii="Times New Roman" w:hAnsi="Times New Roman" w:cs="Times New Roman"/>
                <w:b/>
                <w:bCs/>
              </w:rPr>
              <w:t>df</w:t>
            </w:r>
            <w:proofErr w:type="spellEnd"/>
          </w:p>
        </w:tc>
        <w:tc>
          <w:tcPr>
            <w:tcW w:w="656" w:type="dxa"/>
            <w:vAlign w:val="center"/>
          </w:tcPr>
          <w:p w14:paraId="5F651579" w14:textId="77777777" w:rsidR="000D58B7" w:rsidRPr="00D966EA" w:rsidRDefault="000D58B7" w:rsidP="005D38B9">
            <w:pPr>
              <w:jc w:val="center"/>
              <w:rPr>
                <w:rFonts w:ascii="Times New Roman" w:hAnsi="Times New Roman" w:cs="Times New Roman"/>
                <w:b/>
                <w:bCs/>
              </w:rPr>
            </w:pPr>
            <w:r w:rsidRPr="00D966EA">
              <w:rPr>
                <w:rFonts w:ascii="Times New Roman" w:hAnsi="Times New Roman" w:cs="Times New Roman"/>
                <w:b/>
                <w:bCs/>
              </w:rPr>
              <w:t>p</w:t>
            </w:r>
          </w:p>
        </w:tc>
      </w:tr>
      <w:tr w:rsidR="000D58B7" w:rsidRPr="00C81F31" w14:paraId="6F59A2D6" w14:textId="77777777" w:rsidTr="005D38B9">
        <w:trPr>
          <w:trHeight w:val="340"/>
          <w:jc w:val="center"/>
        </w:trPr>
        <w:tc>
          <w:tcPr>
            <w:tcW w:w="608" w:type="dxa"/>
          </w:tcPr>
          <w:p w14:paraId="40B82DD7" w14:textId="77777777" w:rsidR="000D58B7" w:rsidRPr="00D966EA" w:rsidRDefault="000D58B7" w:rsidP="005D38B9">
            <w:pPr>
              <w:rPr>
                <w:rFonts w:ascii="Times New Roman" w:hAnsi="Times New Roman" w:cs="Times New Roman"/>
                <w:b/>
                <w:bCs/>
              </w:rPr>
            </w:pPr>
            <w:r w:rsidRPr="00D966EA">
              <w:rPr>
                <w:rFonts w:ascii="Times New Roman" w:hAnsi="Times New Roman" w:cs="Times New Roman"/>
                <w:b/>
                <w:bCs/>
              </w:rPr>
              <w:t>H1</w:t>
            </w:r>
          </w:p>
        </w:tc>
        <w:tc>
          <w:tcPr>
            <w:tcW w:w="4065" w:type="dxa"/>
            <w:vAlign w:val="center"/>
          </w:tcPr>
          <w:p w14:paraId="74C37967" w14:textId="77777777" w:rsidR="000D58B7" w:rsidRPr="00D63A4C" w:rsidRDefault="000D58B7" w:rsidP="005D38B9">
            <w:pPr>
              <w:rPr>
                <w:rFonts w:ascii="Times New Roman" w:hAnsi="Times New Roman" w:cs="Times New Roman"/>
                <w:color w:val="FF0000"/>
              </w:rPr>
            </w:pPr>
            <w:r w:rsidRPr="00E678E4">
              <w:rPr>
                <w:rFonts w:ascii="Times New Roman" w:hAnsi="Times New Roman" w:cs="Times New Roman"/>
              </w:rPr>
              <w:t>Knowledge of what can do with degree</w:t>
            </w:r>
          </w:p>
        </w:tc>
        <w:tc>
          <w:tcPr>
            <w:tcW w:w="1276" w:type="dxa"/>
            <w:vAlign w:val="center"/>
          </w:tcPr>
          <w:p w14:paraId="0A155EA1" w14:textId="77777777" w:rsidR="000D58B7" w:rsidRPr="00D966EA" w:rsidRDefault="000D58B7" w:rsidP="005D38B9">
            <w:pPr>
              <w:jc w:val="center"/>
              <w:rPr>
                <w:rFonts w:ascii="Times New Roman" w:hAnsi="Times New Roman" w:cs="Times New Roman"/>
              </w:rPr>
            </w:pPr>
            <w:r w:rsidRPr="00D966EA">
              <w:rPr>
                <w:rFonts w:ascii="Times New Roman" w:hAnsi="Times New Roman" w:cs="Times New Roman"/>
              </w:rPr>
              <w:t>-.91</w:t>
            </w:r>
          </w:p>
        </w:tc>
        <w:tc>
          <w:tcPr>
            <w:tcW w:w="821" w:type="dxa"/>
            <w:vAlign w:val="center"/>
          </w:tcPr>
          <w:p w14:paraId="70DC03DA" w14:textId="77777777" w:rsidR="000D58B7" w:rsidRPr="00D966EA" w:rsidRDefault="000D58B7" w:rsidP="005D38B9">
            <w:pPr>
              <w:jc w:val="center"/>
              <w:rPr>
                <w:rFonts w:ascii="Times New Roman" w:hAnsi="Times New Roman" w:cs="Times New Roman"/>
              </w:rPr>
            </w:pPr>
            <w:r w:rsidRPr="00D966EA">
              <w:rPr>
                <w:rFonts w:ascii="Times New Roman" w:hAnsi="Times New Roman" w:cs="Times New Roman"/>
              </w:rPr>
              <w:t>1.171</w:t>
            </w:r>
          </w:p>
        </w:tc>
        <w:tc>
          <w:tcPr>
            <w:tcW w:w="895" w:type="dxa"/>
            <w:vAlign w:val="center"/>
          </w:tcPr>
          <w:p w14:paraId="438CB955"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-6.968</w:t>
            </w:r>
          </w:p>
        </w:tc>
        <w:tc>
          <w:tcPr>
            <w:tcW w:w="546" w:type="dxa"/>
            <w:vAlign w:val="center"/>
          </w:tcPr>
          <w:p w14:paraId="08AEC487"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79</w:t>
            </w:r>
          </w:p>
        </w:tc>
        <w:tc>
          <w:tcPr>
            <w:tcW w:w="656" w:type="dxa"/>
            <w:vAlign w:val="center"/>
          </w:tcPr>
          <w:p w14:paraId="33B62FEF" w14:textId="77777777" w:rsidR="000D58B7" w:rsidRPr="00D966EA" w:rsidRDefault="000D58B7" w:rsidP="005D38B9">
            <w:pPr>
              <w:jc w:val="center"/>
              <w:rPr>
                <w:rFonts w:ascii="Times New Roman" w:hAnsi="Times New Roman" w:cs="Times New Roman"/>
              </w:rPr>
            </w:pPr>
            <w:r w:rsidRPr="00D966EA">
              <w:rPr>
                <w:rFonts w:ascii="Times New Roman" w:hAnsi="Times New Roman" w:cs="Times New Roman"/>
              </w:rPr>
              <w:t>***</w:t>
            </w:r>
          </w:p>
        </w:tc>
      </w:tr>
      <w:tr w:rsidR="000D58B7" w:rsidRPr="00C81F31" w14:paraId="21B320B8" w14:textId="77777777" w:rsidTr="005D38B9">
        <w:trPr>
          <w:trHeight w:val="340"/>
          <w:jc w:val="center"/>
        </w:trPr>
        <w:tc>
          <w:tcPr>
            <w:tcW w:w="608" w:type="dxa"/>
          </w:tcPr>
          <w:p w14:paraId="5CC8E2BA" w14:textId="77777777" w:rsidR="000D58B7" w:rsidRPr="00D966EA" w:rsidRDefault="000D58B7" w:rsidP="005D38B9">
            <w:pPr>
              <w:rPr>
                <w:rFonts w:ascii="Times New Roman" w:hAnsi="Times New Roman" w:cs="Times New Roman"/>
                <w:b/>
                <w:bCs/>
              </w:rPr>
            </w:pPr>
            <w:r w:rsidRPr="00D966EA">
              <w:rPr>
                <w:rFonts w:ascii="Times New Roman" w:hAnsi="Times New Roman" w:cs="Times New Roman"/>
                <w:b/>
                <w:bCs/>
              </w:rPr>
              <w:t>H2</w:t>
            </w:r>
          </w:p>
        </w:tc>
        <w:tc>
          <w:tcPr>
            <w:tcW w:w="4065" w:type="dxa"/>
            <w:vAlign w:val="center"/>
          </w:tcPr>
          <w:p w14:paraId="21AEE47F" w14:textId="77777777" w:rsidR="000D58B7" w:rsidRPr="00D63A4C" w:rsidRDefault="000D58B7" w:rsidP="005D38B9">
            <w:pPr>
              <w:rPr>
                <w:rFonts w:ascii="Times New Roman" w:hAnsi="Times New Roman" w:cs="Times New Roman"/>
                <w:color w:val="FF0000"/>
              </w:rPr>
            </w:pPr>
            <w:r w:rsidRPr="00E678E4">
              <w:rPr>
                <w:rFonts w:ascii="Times New Roman" w:hAnsi="Times New Roman" w:cs="Times New Roman"/>
              </w:rPr>
              <w:t>Ability to make informed career decisions</w:t>
            </w:r>
          </w:p>
        </w:tc>
        <w:tc>
          <w:tcPr>
            <w:tcW w:w="1276" w:type="dxa"/>
            <w:vAlign w:val="center"/>
          </w:tcPr>
          <w:p w14:paraId="4D809754"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-.89</w:t>
            </w:r>
          </w:p>
        </w:tc>
        <w:tc>
          <w:tcPr>
            <w:tcW w:w="821" w:type="dxa"/>
            <w:vAlign w:val="center"/>
          </w:tcPr>
          <w:p w14:paraId="593A5E63"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1.019</w:t>
            </w:r>
          </w:p>
        </w:tc>
        <w:tc>
          <w:tcPr>
            <w:tcW w:w="895" w:type="dxa"/>
            <w:vAlign w:val="center"/>
          </w:tcPr>
          <w:p w14:paraId="2F43D2E2"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-7.792</w:t>
            </w:r>
          </w:p>
        </w:tc>
        <w:tc>
          <w:tcPr>
            <w:tcW w:w="546" w:type="dxa"/>
            <w:vAlign w:val="center"/>
          </w:tcPr>
          <w:p w14:paraId="57FDF68D"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79</w:t>
            </w:r>
          </w:p>
        </w:tc>
        <w:tc>
          <w:tcPr>
            <w:tcW w:w="656" w:type="dxa"/>
            <w:vAlign w:val="center"/>
          </w:tcPr>
          <w:p w14:paraId="44E85FE1" w14:textId="77777777" w:rsidR="000D58B7" w:rsidRPr="00D966EA" w:rsidRDefault="000D58B7" w:rsidP="005D38B9">
            <w:pPr>
              <w:jc w:val="center"/>
              <w:rPr>
                <w:rFonts w:ascii="Times New Roman" w:hAnsi="Times New Roman" w:cs="Times New Roman"/>
              </w:rPr>
            </w:pPr>
            <w:r w:rsidRPr="00D966EA">
              <w:rPr>
                <w:rFonts w:ascii="Times New Roman" w:hAnsi="Times New Roman" w:cs="Times New Roman"/>
              </w:rPr>
              <w:t>***</w:t>
            </w:r>
          </w:p>
        </w:tc>
      </w:tr>
      <w:tr w:rsidR="000D58B7" w:rsidRPr="00C81F31" w14:paraId="7FAB43BA" w14:textId="77777777" w:rsidTr="005D38B9">
        <w:trPr>
          <w:trHeight w:val="340"/>
          <w:jc w:val="center"/>
        </w:trPr>
        <w:tc>
          <w:tcPr>
            <w:tcW w:w="608" w:type="dxa"/>
          </w:tcPr>
          <w:p w14:paraId="6FFAEE7C" w14:textId="77777777" w:rsidR="000D58B7" w:rsidRPr="00D966EA" w:rsidRDefault="000D58B7" w:rsidP="005D38B9">
            <w:pPr>
              <w:rPr>
                <w:rFonts w:ascii="Times New Roman" w:hAnsi="Times New Roman" w:cs="Times New Roman"/>
                <w:b/>
                <w:bCs/>
              </w:rPr>
            </w:pPr>
            <w:r w:rsidRPr="00D966EA">
              <w:rPr>
                <w:rFonts w:ascii="Times New Roman" w:hAnsi="Times New Roman" w:cs="Times New Roman"/>
                <w:b/>
                <w:bCs/>
              </w:rPr>
              <w:t>H3</w:t>
            </w:r>
          </w:p>
        </w:tc>
        <w:tc>
          <w:tcPr>
            <w:tcW w:w="4065" w:type="dxa"/>
            <w:vAlign w:val="center"/>
          </w:tcPr>
          <w:p w14:paraId="089BFB5E" w14:textId="77777777" w:rsidR="000D58B7" w:rsidRPr="00D63A4C" w:rsidRDefault="000D58B7" w:rsidP="005D38B9">
            <w:pPr>
              <w:rPr>
                <w:rFonts w:ascii="Times New Roman" w:hAnsi="Times New Roman" w:cs="Times New Roman"/>
                <w:color w:val="FF0000"/>
              </w:rPr>
            </w:pPr>
            <w:r w:rsidRPr="00E678E4">
              <w:rPr>
                <w:rFonts w:ascii="Times New Roman" w:hAnsi="Times New Roman" w:cs="Times New Roman"/>
              </w:rPr>
              <w:t>Ability to find relevant opportunities</w:t>
            </w:r>
          </w:p>
        </w:tc>
        <w:tc>
          <w:tcPr>
            <w:tcW w:w="1276" w:type="dxa"/>
            <w:vAlign w:val="center"/>
          </w:tcPr>
          <w:p w14:paraId="63070369"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-.94</w:t>
            </w:r>
          </w:p>
        </w:tc>
        <w:tc>
          <w:tcPr>
            <w:tcW w:w="821" w:type="dxa"/>
            <w:vAlign w:val="center"/>
          </w:tcPr>
          <w:p w14:paraId="1F1AD12D"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1.140</w:t>
            </w:r>
          </w:p>
        </w:tc>
        <w:tc>
          <w:tcPr>
            <w:tcW w:w="895" w:type="dxa"/>
            <w:vAlign w:val="center"/>
          </w:tcPr>
          <w:p w14:paraId="62D772C1"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-7.355</w:t>
            </w:r>
          </w:p>
        </w:tc>
        <w:tc>
          <w:tcPr>
            <w:tcW w:w="546" w:type="dxa"/>
            <w:vAlign w:val="center"/>
          </w:tcPr>
          <w:p w14:paraId="7E5A33EC"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79</w:t>
            </w:r>
          </w:p>
        </w:tc>
        <w:tc>
          <w:tcPr>
            <w:tcW w:w="656" w:type="dxa"/>
            <w:vAlign w:val="center"/>
          </w:tcPr>
          <w:p w14:paraId="6586CE75" w14:textId="77777777" w:rsidR="000D58B7" w:rsidRPr="00D966EA" w:rsidRDefault="000D58B7" w:rsidP="005D38B9">
            <w:pPr>
              <w:jc w:val="center"/>
              <w:rPr>
                <w:rFonts w:ascii="Times New Roman" w:hAnsi="Times New Roman" w:cs="Times New Roman"/>
              </w:rPr>
            </w:pPr>
            <w:r w:rsidRPr="00D966EA">
              <w:rPr>
                <w:rFonts w:ascii="Times New Roman" w:hAnsi="Times New Roman" w:cs="Times New Roman"/>
              </w:rPr>
              <w:t>***</w:t>
            </w:r>
          </w:p>
        </w:tc>
      </w:tr>
      <w:tr w:rsidR="000D58B7" w:rsidRPr="00C81F31" w14:paraId="5F9FDDA4" w14:textId="77777777" w:rsidTr="005D38B9">
        <w:trPr>
          <w:trHeight w:val="340"/>
          <w:jc w:val="center"/>
        </w:trPr>
        <w:tc>
          <w:tcPr>
            <w:tcW w:w="608" w:type="dxa"/>
          </w:tcPr>
          <w:p w14:paraId="685245FB" w14:textId="77777777" w:rsidR="000D58B7" w:rsidRPr="00D966EA" w:rsidRDefault="000D58B7" w:rsidP="005D38B9">
            <w:pPr>
              <w:rPr>
                <w:rFonts w:ascii="Times New Roman" w:hAnsi="Times New Roman" w:cs="Times New Roman"/>
                <w:b/>
                <w:bCs/>
              </w:rPr>
            </w:pPr>
            <w:r w:rsidRPr="00D966EA">
              <w:rPr>
                <w:rFonts w:ascii="Times New Roman" w:hAnsi="Times New Roman" w:cs="Times New Roman"/>
                <w:b/>
                <w:bCs/>
              </w:rPr>
              <w:t>H4</w:t>
            </w:r>
          </w:p>
        </w:tc>
        <w:tc>
          <w:tcPr>
            <w:tcW w:w="4065" w:type="dxa"/>
            <w:vAlign w:val="center"/>
          </w:tcPr>
          <w:p w14:paraId="3753A180" w14:textId="77777777" w:rsidR="000D58B7" w:rsidRPr="00D63A4C" w:rsidRDefault="000D58B7" w:rsidP="005D38B9">
            <w:pPr>
              <w:rPr>
                <w:rFonts w:ascii="Times New Roman" w:hAnsi="Times New Roman" w:cs="Times New Roman"/>
                <w:color w:val="FF0000"/>
              </w:rPr>
            </w:pPr>
            <w:r w:rsidRPr="00E678E4">
              <w:rPr>
                <w:rFonts w:ascii="Times New Roman" w:hAnsi="Times New Roman" w:cs="Times New Roman"/>
              </w:rPr>
              <w:t xml:space="preserve">Knowledge of </w:t>
            </w:r>
            <w:r>
              <w:rPr>
                <w:rFonts w:ascii="Times New Roman" w:hAnsi="Times New Roman" w:cs="Times New Roman"/>
              </w:rPr>
              <w:t>the r</w:t>
            </w:r>
            <w:r w:rsidRPr="00E678E4">
              <w:rPr>
                <w:rFonts w:ascii="Times New Roman" w:hAnsi="Times New Roman" w:cs="Times New Roman"/>
              </w:rPr>
              <w:t xml:space="preserve">ecruitment </w:t>
            </w:r>
            <w:r>
              <w:rPr>
                <w:rFonts w:ascii="Times New Roman" w:hAnsi="Times New Roman" w:cs="Times New Roman"/>
              </w:rPr>
              <w:t>p</w:t>
            </w:r>
            <w:r w:rsidRPr="00E678E4">
              <w:rPr>
                <w:rFonts w:ascii="Times New Roman" w:hAnsi="Times New Roman" w:cs="Times New Roman"/>
              </w:rPr>
              <w:t>rocess</w:t>
            </w:r>
          </w:p>
        </w:tc>
        <w:tc>
          <w:tcPr>
            <w:tcW w:w="1276" w:type="dxa"/>
            <w:vAlign w:val="center"/>
          </w:tcPr>
          <w:p w14:paraId="1E6773E2"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-.88</w:t>
            </w:r>
          </w:p>
        </w:tc>
        <w:tc>
          <w:tcPr>
            <w:tcW w:w="821" w:type="dxa"/>
            <w:vAlign w:val="center"/>
          </w:tcPr>
          <w:p w14:paraId="01D56A6A"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1.335</w:t>
            </w:r>
          </w:p>
        </w:tc>
        <w:tc>
          <w:tcPr>
            <w:tcW w:w="895" w:type="dxa"/>
            <w:vAlign w:val="center"/>
          </w:tcPr>
          <w:p w14:paraId="736018A8"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-5.863</w:t>
            </w:r>
          </w:p>
        </w:tc>
        <w:tc>
          <w:tcPr>
            <w:tcW w:w="546" w:type="dxa"/>
            <w:vAlign w:val="center"/>
          </w:tcPr>
          <w:p w14:paraId="489ECF0F"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79</w:t>
            </w:r>
          </w:p>
        </w:tc>
        <w:tc>
          <w:tcPr>
            <w:tcW w:w="656" w:type="dxa"/>
            <w:vAlign w:val="center"/>
          </w:tcPr>
          <w:p w14:paraId="0F7A3DC1" w14:textId="77777777" w:rsidR="000D58B7" w:rsidRPr="00D966EA" w:rsidRDefault="000D58B7" w:rsidP="005D38B9">
            <w:pPr>
              <w:jc w:val="center"/>
              <w:rPr>
                <w:rFonts w:ascii="Times New Roman" w:hAnsi="Times New Roman" w:cs="Times New Roman"/>
              </w:rPr>
            </w:pPr>
            <w:r w:rsidRPr="00D966EA">
              <w:rPr>
                <w:rFonts w:ascii="Times New Roman" w:hAnsi="Times New Roman" w:cs="Times New Roman"/>
              </w:rPr>
              <w:t>***</w:t>
            </w:r>
          </w:p>
        </w:tc>
      </w:tr>
      <w:tr w:rsidR="000D58B7" w:rsidRPr="00C81F31" w14:paraId="263E90A8" w14:textId="77777777" w:rsidTr="005D38B9">
        <w:trPr>
          <w:trHeight w:val="340"/>
          <w:jc w:val="center"/>
        </w:trPr>
        <w:tc>
          <w:tcPr>
            <w:tcW w:w="608" w:type="dxa"/>
          </w:tcPr>
          <w:p w14:paraId="1306D631" w14:textId="77777777" w:rsidR="000D58B7" w:rsidRPr="00D966EA" w:rsidRDefault="000D58B7" w:rsidP="005D38B9">
            <w:pPr>
              <w:rPr>
                <w:rFonts w:ascii="Times New Roman" w:hAnsi="Times New Roman" w:cs="Times New Roman"/>
                <w:b/>
                <w:bCs/>
              </w:rPr>
            </w:pPr>
            <w:r w:rsidRPr="00D966EA">
              <w:rPr>
                <w:rFonts w:ascii="Times New Roman" w:hAnsi="Times New Roman" w:cs="Times New Roman"/>
                <w:b/>
                <w:bCs/>
              </w:rPr>
              <w:t>H5</w:t>
            </w:r>
          </w:p>
        </w:tc>
        <w:tc>
          <w:tcPr>
            <w:tcW w:w="4065" w:type="dxa"/>
            <w:vAlign w:val="center"/>
          </w:tcPr>
          <w:p w14:paraId="0853C1B6" w14:textId="77777777" w:rsidR="000D58B7" w:rsidRPr="00D63A4C" w:rsidRDefault="000D58B7" w:rsidP="005D38B9">
            <w:pPr>
              <w:rPr>
                <w:rFonts w:ascii="Times New Roman" w:hAnsi="Times New Roman" w:cs="Times New Roman"/>
                <w:color w:val="FF0000"/>
              </w:rPr>
            </w:pPr>
            <w:r w:rsidRPr="00D966EA">
              <w:rPr>
                <w:rFonts w:ascii="Times New Roman" w:hAnsi="Times New Roman" w:cs="Times New Roman"/>
              </w:rPr>
              <w:t>Composite scale</w:t>
            </w:r>
          </w:p>
        </w:tc>
        <w:tc>
          <w:tcPr>
            <w:tcW w:w="1276" w:type="dxa"/>
            <w:vAlign w:val="center"/>
          </w:tcPr>
          <w:p w14:paraId="103B2788"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-.90</w:t>
            </w:r>
          </w:p>
        </w:tc>
        <w:tc>
          <w:tcPr>
            <w:tcW w:w="821" w:type="dxa"/>
            <w:vAlign w:val="center"/>
          </w:tcPr>
          <w:p w14:paraId="486839AA"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.967</w:t>
            </w:r>
          </w:p>
        </w:tc>
        <w:tc>
          <w:tcPr>
            <w:tcW w:w="895" w:type="dxa"/>
            <w:vAlign w:val="center"/>
          </w:tcPr>
          <w:p w14:paraId="6178FD81"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-8.357</w:t>
            </w:r>
          </w:p>
        </w:tc>
        <w:tc>
          <w:tcPr>
            <w:tcW w:w="546" w:type="dxa"/>
            <w:vAlign w:val="center"/>
          </w:tcPr>
          <w:p w14:paraId="79A23A64" w14:textId="77777777" w:rsidR="000D58B7" w:rsidRPr="00D966EA" w:rsidRDefault="000D58B7" w:rsidP="005D38B9">
            <w:pPr>
              <w:jc w:val="center"/>
              <w:rPr>
                <w:rFonts w:ascii="Times New Roman" w:hAnsi="Times New Roman" w:cs="Times New Roman"/>
              </w:rPr>
            </w:pPr>
            <w:r>
              <w:rPr>
                <w:rFonts w:ascii="Times New Roman" w:hAnsi="Times New Roman" w:cs="Times New Roman"/>
              </w:rPr>
              <w:t>79</w:t>
            </w:r>
          </w:p>
        </w:tc>
        <w:tc>
          <w:tcPr>
            <w:tcW w:w="656" w:type="dxa"/>
            <w:vAlign w:val="center"/>
          </w:tcPr>
          <w:p w14:paraId="5FA70A2F" w14:textId="77777777" w:rsidR="000D58B7" w:rsidRPr="00D966EA" w:rsidRDefault="000D58B7" w:rsidP="005D38B9">
            <w:pPr>
              <w:jc w:val="center"/>
              <w:rPr>
                <w:rFonts w:ascii="Times New Roman" w:hAnsi="Times New Roman" w:cs="Times New Roman"/>
              </w:rPr>
            </w:pPr>
            <w:r w:rsidRPr="00D966EA">
              <w:rPr>
                <w:rFonts w:ascii="Times New Roman" w:hAnsi="Times New Roman" w:cs="Times New Roman"/>
              </w:rPr>
              <w:t>***</w:t>
            </w:r>
          </w:p>
        </w:tc>
      </w:tr>
    </w:tbl>
    <w:p w14:paraId="49403FDE" w14:textId="77777777" w:rsidR="000D58B7" w:rsidRDefault="000D58B7" w:rsidP="000D58B7">
      <w:pPr>
        <w:pStyle w:val="chaptersub-subtitleGJSD"/>
        <w:spacing w:after="0"/>
        <w:rPr>
          <w:i w:val="0"/>
          <w:iCs/>
        </w:rPr>
      </w:pPr>
      <w:r w:rsidRPr="004375A6">
        <w:rPr>
          <w:i w:val="0"/>
          <w:iCs/>
        </w:rPr>
        <w:t>***.p&lt;.001 (2-tailed).</w:t>
      </w:r>
    </w:p>
    <w:p w14:paraId="40DF0263" w14:textId="77777777" w:rsidR="000D58B7" w:rsidRDefault="000D58B7" w:rsidP="000D58B7">
      <w:pPr>
        <w:suppressAutoHyphens w:val="0"/>
        <w:spacing w:after="160" w:line="259" w:lineRule="auto"/>
        <w:rPr>
          <w:rFonts w:ascii="Times New Roman" w:hAnsi="Times New Roman" w:cs="Times New Roman"/>
          <w:bCs/>
          <w:iCs/>
          <w:sz w:val="24"/>
          <w:szCs w:val="24"/>
        </w:rPr>
      </w:pPr>
      <w:r>
        <w:rPr>
          <w:i/>
          <w:iCs/>
        </w:rPr>
        <w:br w:type="page"/>
      </w:r>
    </w:p>
    <w:p w14:paraId="466B6888" w14:textId="77777777" w:rsidR="000D58B7" w:rsidRDefault="000D58B7" w:rsidP="000D58B7">
      <w:pPr>
        <w:pStyle w:val="bodytextGJSD"/>
        <w:spacing w:after="0"/>
        <w:jc w:val="center"/>
        <w:rPr>
          <w:b/>
          <w:lang w:val="en-US"/>
        </w:rPr>
      </w:pPr>
      <w:r w:rsidRPr="002F31F3">
        <w:rPr>
          <w:b/>
          <w:lang w:val="en-US"/>
        </w:rPr>
        <w:lastRenderedPageBreak/>
        <w:t xml:space="preserve">Table </w:t>
      </w:r>
      <w:r>
        <w:rPr>
          <w:b/>
          <w:lang w:val="en-US"/>
        </w:rPr>
        <w:t>V: Module Key Benefits</w:t>
      </w:r>
    </w:p>
    <w:p w14:paraId="2195F7B5" w14:textId="77777777" w:rsidR="000D58B7" w:rsidRDefault="000D58B7" w:rsidP="000D58B7">
      <w:pPr>
        <w:pStyle w:val="bodytextGJSD"/>
        <w:spacing w:after="0"/>
        <w:jc w:val="center"/>
        <w:rPr>
          <w:b/>
          <w:lang w:val="en-US"/>
        </w:rPr>
      </w:pPr>
    </w:p>
    <w:tbl>
      <w:tblPr>
        <w:tblStyle w:val="TableGrid"/>
        <w:tblW w:w="6658" w:type="dxa"/>
        <w:jc w:val="center"/>
        <w:tblLook w:val="04A0" w:firstRow="1" w:lastRow="0" w:firstColumn="1" w:lastColumn="0" w:noHBand="0" w:noVBand="1"/>
      </w:tblPr>
      <w:tblGrid>
        <w:gridCol w:w="4077"/>
        <w:gridCol w:w="1305"/>
        <w:gridCol w:w="1276"/>
      </w:tblGrid>
      <w:tr w:rsidR="000D58B7" w:rsidRPr="00C81F31" w14:paraId="59B9BF4E" w14:textId="77777777" w:rsidTr="005D38B9">
        <w:trPr>
          <w:trHeight w:val="340"/>
          <w:jc w:val="center"/>
        </w:trPr>
        <w:tc>
          <w:tcPr>
            <w:tcW w:w="4077" w:type="dxa"/>
            <w:vAlign w:val="center"/>
          </w:tcPr>
          <w:p w14:paraId="114CAD7A" w14:textId="77777777" w:rsidR="000D58B7" w:rsidRPr="00602B0D" w:rsidRDefault="000D58B7" w:rsidP="005D38B9">
            <w:pPr>
              <w:rPr>
                <w:rFonts w:ascii="Times New Roman" w:hAnsi="Times New Roman" w:cs="Times New Roman"/>
                <w:b/>
                <w:bCs/>
              </w:rPr>
            </w:pPr>
            <w:r w:rsidRPr="00602B0D">
              <w:rPr>
                <w:rFonts w:ascii="Times New Roman" w:hAnsi="Times New Roman" w:cs="Times New Roman"/>
                <w:b/>
                <w:bCs/>
              </w:rPr>
              <w:t>Benefit</w:t>
            </w:r>
          </w:p>
        </w:tc>
        <w:tc>
          <w:tcPr>
            <w:tcW w:w="1305" w:type="dxa"/>
            <w:vAlign w:val="center"/>
          </w:tcPr>
          <w:p w14:paraId="45A7E92D" w14:textId="77777777" w:rsidR="000D58B7" w:rsidRPr="00602B0D" w:rsidRDefault="000D58B7" w:rsidP="005D38B9">
            <w:pPr>
              <w:jc w:val="center"/>
              <w:rPr>
                <w:rFonts w:ascii="Times New Roman" w:hAnsi="Times New Roman" w:cs="Times New Roman"/>
                <w:b/>
                <w:bCs/>
              </w:rPr>
            </w:pPr>
            <w:r w:rsidRPr="00602B0D">
              <w:rPr>
                <w:rFonts w:ascii="Times New Roman" w:hAnsi="Times New Roman" w:cs="Times New Roman"/>
                <w:b/>
                <w:bCs/>
              </w:rPr>
              <w:t>Count</w:t>
            </w:r>
          </w:p>
        </w:tc>
        <w:tc>
          <w:tcPr>
            <w:tcW w:w="1276" w:type="dxa"/>
          </w:tcPr>
          <w:p w14:paraId="55A9449B" w14:textId="77777777" w:rsidR="000D58B7" w:rsidRPr="00602B0D" w:rsidRDefault="000D58B7" w:rsidP="005D38B9">
            <w:pPr>
              <w:jc w:val="center"/>
              <w:rPr>
                <w:rFonts w:ascii="Times New Roman" w:hAnsi="Times New Roman" w:cs="Times New Roman"/>
                <w:b/>
                <w:bCs/>
              </w:rPr>
            </w:pPr>
            <w:r w:rsidRPr="00602B0D">
              <w:rPr>
                <w:rFonts w:ascii="Times New Roman" w:hAnsi="Times New Roman" w:cs="Times New Roman"/>
                <w:b/>
                <w:bCs/>
              </w:rPr>
              <w:t>%</w:t>
            </w:r>
          </w:p>
        </w:tc>
      </w:tr>
      <w:tr w:rsidR="000D58B7" w:rsidRPr="00C81F31" w14:paraId="3A24BA2E" w14:textId="77777777" w:rsidTr="005D38B9">
        <w:trPr>
          <w:trHeight w:val="340"/>
          <w:jc w:val="center"/>
        </w:trPr>
        <w:tc>
          <w:tcPr>
            <w:tcW w:w="4077" w:type="dxa"/>
            <w:vAlign w:val="center"/>
          </w:tcPr>
          <w:p w14:paraId="45ECFABD" w14:textId="77777777" w:rsidR="000D58B7" w:rsidRPr="00602B0D" w:rsidRDefault="000D58B7" w:rsidP="005D38B9">
            <w:pPr>
              <w:rPr>
                <w:rFonts w:ascii="Times New Roman" w:hAnsi="Times New Roman" w:cs="Times New Roman"/>
              </w:rPr>
            </w:pPr>
            <w:r w:rsidRPr="00602B0D">
              <w:rPr>
                <w:rFonts w:ascii="Times New Roman" w:hAnsi="Times New Roman" w:cs="Times New Roman"/>
              </w:rPr>
              <w:t>Confidence</w:t>
            </w:r>
          </w:p>
        </w:tc>
        <w:tc>
          <w:tcPr>
            <w:tcW w:w="1305" w:type="dxa"/>
            <w:vAlign w:val="center"/>
          </w:tcPr>
          <w:p w14:paraId="2F5BF19D"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19</w:t>
            </w:r>
          </w:p>
        </w:tc>
        <w:tc>
          <w:tcPr>
            <w:tcW w:w="1276" w:type="dxa"/>
          </w:tcPr>
          <w:p w14:paraId="7550DC6A"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26.02</w:t>
            </w:r>
          </w:p>
        </w:tc>
      </w:tr>
      <w:tr w:rsidR="000D58B7" w:rsidRPr="00C81F31" w14:paraId="14721862" w14:textId="77777777" w:rsidTr="005D38B9">
        <w:trPr>
          <w:trHeight w:val="340"/>
          <w:jc w:val="center"/>
        </w:trPr>
        <w:tc>
          <w:tcPr>
            <w:tcW w:w="4077" w:type="dxa"/>
            <w:vAlign w:val="center"/>
          </w:tcPr>
          <w:p w14:paraId="2E07514D" w14:textId="77777777" w:rsidR="000D58B7" w:rsidRPr="00602B0D" w:rsidRDefault="000D58B7" w:rsidP="005D38B9">
            <w:pPr>
              <w:rPr>
                <w:rFonts w:ascii="Times New Roman" w:hAnsi="Times New Roman" w:cs="Times New Roman"/>
              </w:rPr>
            </w:pPr>
            <w:r w:rsidRPr="00602B0D">
              <w:rPr>
                <w:rFonts w:ascii="Times New Roman" w:hAnsi="Times New Roman" w:cs="Times New Roman"/>
              </w:rPr>
              <w:t>Excellent module with interactive classes</w:t>
            </w:r>
          </w:p>
        </w:tc>
        <w:tc>
          <w:tcPr>
            <w:tcW w:w="1305" w:type="dxa"/>
            <w:vAlign w:val="center"/>
          </w:tcPr>
          <w:p w14:paraId="69C6C199"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13</w:t>
            </w:r>
          </w:p>
        </w:tc>
        <w:tc>
          <w:tcPr>
            <w:tcW w:w="1276" w:type="dxa"/>
          </w:tcPr>
          <w:p w14:paraId="08FE077E"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17.80</w:t>
            </w:r>
          </w:p>
        </w:tc>
      </w:tr>
      <w:tr w:rsidR="000D58B7" w:rsidRPr="00C81F31" w14:paraId="2C820D34" w14:textId="77777777" w:rsidTr="005D38B9">
        <w:trPr>
          <w:trHeight w:val="340"/>
          <w:jc w:val="center"/>
        </w:trPr>
        <w:tc>
          <w:tcPr>
            <w:tcW w:w="4077" w:type="dxa"/>
            <w:vAlign w:val="center"/>
          </w:tcPr>
          <w:p w14:paraId="781E367F" w14:textId="77777777" w:rsidR="000D58B7" w:rsidRPr="00602B0D" w:rsidRDefault="000D58B7" w:rsidP="005D38B9">
            <w:pPr>
              <w:rPr>
                <w:rFonts w:ascii="Times New Roman" w:hAnsi="Times New Roman" w:cs="Times New Roman"/>
              </w:rPr>
            </w:pPr>
            <w:r w:rsidRPr="00602B0D">
              <w:rPr>
                <w:rFonts w:ascii="Times New Roman" w:hAnsi="Times New Roman" w:cs="Times New Roman"/>
              </w:rPr>
              <w:t>Skills development</w:t>
            </w:r>
          </w:p>
        </w:tc>
        <w:tc>
          <w:tcPr>
            <w:tcW w:w="1305" w:type="dxa"/>
            <w:vAlign w:val="center"/>
          </w:tcPr>
          <w:p w14:paraId="3A1DB09B"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11</w:t>
            </w:r>
          </w:p>
        </w:tc>
        <w:tc>
          <w:tcPr>
            <w:tcW w:w="1276" w:type="dxa"/>
          </w:tcPr>
          <w:p w14:paraId="200CF790"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15.07</w:t>
            </w:r>
          </w:p>
        </w:tc>
      </w:tr>
      <w:tr w:rsidR="000D58B7" w:rsidRPr="00C81F31" w14:paraId="0D2CCBE8" w14:textId="77777777" w:rsidTr="005D38B9">
        <w:trPr>
          <w:trHeight w:val="340"/>
          <w:jc w:val="center"/>
        </w:trPr>
        <w:tc>
          <w:tcPr>
            <w:tcW w:w="4077" w:type="dxa"/>
            <w:vAlign w:val="center"/>
          </w:tcPr>
          <w:p w14:paraId="14415F15" w14:textId="77777777" w:rsidR="000D58B7" w:rsidRPr="00602B0D" w:rsidRDefault="000D58B7" w:rsidP="005D38B9">
            <w:pPr>
              <w:rPr>
                <w:rFonts w:ascii="Times New Roman" w:hAnsi="Times New Roman" w:cs="Times New Roman"/>
              </w:rPr>
            </w:pPr>
            <w:r w:rsidRPr="00602B0D">
              <w:rPr>
                <w:rFonts w:ascii="Times New Roman" w:hAnsi="Times New Roman" w:cs="Times New Roman"/>
              </w:rPr>
              <w:t>Knowledge of the recruitment process</w:t>
            </w:r>
          </w:p>
        </w:tc>
        <w:tc>
          <w:tcPr>
            <w:tcW w:w="1305" w:type="dxa"/>
            <w:vAlign w:val="center"/>
          </w:tcPr>
          <w:p w14:paraId="2AE95E47"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10</w:t>
            </w:r>
          </w:p>
        </w:tc>
        <w:tc>
          <w:tcPr>
            <w:tcW w:w="1276" w:type="dxa"/>
          </w:tcPr>
          <w:p w14:paraId="55D2A5BB"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13.70</w:t>
            </w:r>
          </w:p>
        </w:tc>
      </w:tr>
      <w:tr w:rsidR="000D58B7" w:rsidRPr="00C81F31" w14:paraId="46D3BB5D" w14:textId="77777777" w:rsidTr="005D38B9">
        <w:trPr>
          <w:trHeight w:val="340"/>
          <w:jc w:val="center"/>
        </w:trPr>
        <w:tc>
          <w:tcPr>
            <w:tcW w:w="4077" w:type="dxa"/>
            <w:vAlign w:val="center"/>
          </w:tcPr>
          <w:p w14:paraId="0A973603" w14:textId="77777777" w:rsidR="000D58B7" w:rsidRPr="00602B0D" w:rsidRDefault="000D58B7" w:rsidP="005D38B9">
            <w:pPr>
              <w:rPr>
                <w:rFonts w:ascii="Times New Roman" w:hAnsi="Times New Roman" w:cs="Times New Roman"/>
              </w:rPr>
            </w:pPr>
            <w:r w:rsidRPr="00602B0D">
              <w:rPr>
                <w:rFonts w:ascii="Times New Roman" w:hAnsi="Times New Roman" w:cs="Times New Roman"/>
              </w:rPr>
              <w:t>CV development</w:t>
            </w:r>
          </w:p>
        </w:tc>
        <w:tc>
          <w:tcPr>
            <w:tcW w:w="1305" w:type="dxa"/>
            <w:vAlign w:val="center"/>
          </w:tcPr>
          <w:p w14:paraId="65FFC371"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9</w:t>
            </w:r>
          </w:p>
        </w:tc>
        <w:tc>
          <w:tcPr>
            <w:tcW w:w="1276" w:type="dxa"/>
          </w:tcPr>
          <w:p w14:paraId="1FF9A24A"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12.33</w:t>
            </w:r>
          </w:p>
        </w:tc>
      </w:tr>
      <w:tr w:rsidR="000D58B7" w:rsidRPr="00C81F31" w14:paraId="66A0C816" w14:textId="77777777" w:rsidTr="005D38B9">
        <w:trPr>
          <w:trHeight w:val="340"/>
          <w:jc w:val="center"/>
        </w:trPr>
        <w:tc>
          <w:tcPr>
            <w:tcW w:w="4077" w:type="dxa"/>
            <w:vAlign w:val="center"/>
          </w:tcPr>
          <w:p w14:paraId="43C7A764" w14:textId="77777777" w:rsidR="000D58B7" w:rsidRPr="00602B0D" w:rsidRDefault="000D58B7" w:rsidP="005D38B9">
            <w:pPr>
              <w:rPr>
                <w:rFonts w:ascii="Times New Roman" w:hAnsi="Times New Roman" w:cs="Times New Roman"/>
              </w:rPr>
            </w:pPr>
            <w:r w:rsidRPr="00602B0D">
              <w:rPr>
                <w:rFonts w:ascii="Times New Roman" w:hAnsi="Times New Roman" w:cs="Times New Roman"/>
              </w:rPr>
              <w:t>Proactive career ownership</w:t>
            </w:r>
          </w:p>
        </w:tc>
        <w:tc>
          <w:tcPr>
            <w:tcW w:w="1305" w:type="dxa"/>
            <w:vAlign w:val="center"/>
          </w:tcPr>
          <w:p w14:paraId="5D6D818A"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4</w:t>
            </w:r>
          </w:p>
        </w:tc>
        <w:tc>
          <w:tcPr>
            <w:tcW w:w="1276" w:type="dxa"/>
          </w:tcPr>
          <w:p w14:paraId="4D0F7FA5"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5.48</w:t>
            </w:r>
          </w:p>
        </w:tc>
      </w:tr>
      <w:tr w:rsidR="000D58B7" w:rsidRPr="00C81F31" w14:paraId="0B365638" w14:textId="77777777" w:rsidTr="005D38B9">
        <w:trPr>
          <w:trHeight w:val="340"/>
          <w:jc w:val="center"/>
        </w:trPr>
        <w:tc>
          <w:tcPr>
            <w:tcW w:w="4077" w:type="dxa"/>
            <w:vAlign w:val="center"/>
          </w:tcPr>
          <w:p w14:paraId="4128EA74" w14:textId="77777777" w:rsidR="000D58B7" w:rsidRPr="00602B0D" w:rsidRDefault="000D58B7" w:rsidP="005D38B9">
            <w:pPr>
              <w:rPr>
                <w:rFonts w:ascii="Times New Roman" w:hAnsi="Times New Roman" w:cs="Times New Roman"/>
              </w:rPr>
            </w:pPr>
            <w:r w:rsidRPr="00602B0D">
              <w:rPr>
                <w:rFonts w:ascii="Times New Roman" w:hAnsi="Times New Roman" w:cs="Times New Roman"/>
              </w:rPr>
              <w:t>Interview guidance</w:t>
            </w:r>
          </w:p>
        </w:tc>
        <w:tc>
          <w:tcPr>
            <w:tcW w:w="1305" w:type="dxa"/>
            <w:vAlign w:val="center"/>
          </w:tcPr>
          <w:p w14:paraId="59B744A6"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4</w:t>
            </w:r>
          </w:p>
        </w:tc>
        <w:tc>
          <w:tcPr>
            <w:tcW w:w="1276" w:type="dxa"/>
          </w:tcPr>
          <w:p w14:paraId="66D16C58"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5.48</w:t>
            </w:r>
          </w:p>
        </w:tc>
      </w:tr>
      <w:tr w:rsidR="000D58B7" w:rsidRPr="00C81F31" w14:paraId="52B1D381" w14:textId="77777777" w:rsidTr="005D38B9">
        <w:trPr>
          <w:trHeight w:val="340"/>
          <w:jc w:val="center"/>
        </w:trPr>
        <w:tc>
          <w:tcPr>
            <w:tcW w:w="4077" w:type="dxa"/>
            <w:vAlign w:val="center"/>
          </w:tcPr>
          <w:p w14:paraId="3E966B8D" w14:textId="77777777" w:rsidR="000D58B7" w:rsidRPr="00602B0D" w:rsidRDefault="000D58B7" w:rsidP="005D38B9">
            <w:pPr>
              <w:rPr>
                <w:rFonts w:ascii="Times New Roman" w:hAnsi="Times New Roman" w:cs="Times New Roman"/>
              </w:rPr>
            </w:pPr>
            <w:r w:rsidRPr="00602B0D">
              <w:rPr>
                <w:rFonts w:ascii="Times New Roman" w:hAnsi="Times New Roman" w:cs="Times New Roman"/>
              </w:rPr>
              <w:t>Networking</w:t>
            </w:r>
          </w:p>
        </w:tc>
        <w:tc>
          <w:tcPr>
            <w:tcW w:w="1305" w:type="dxa"/>
            <w:vAlign w:val="center"/>
          </w:tcPr>
          <w:p w14:paraId="2BA8C575"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3</w:t>
            </w:r>
          </w:p>
        </w:tc>
        <w:tc>
          <w:tcPr>
            <w:tcW w:w="1276" w:type="dxa"/>
          </w:tcPr>
          <w:p w14:paraId="04ABED0E" w14:textId="77777777" w:rsidR="000D58B7" w:rsidRPr="00602B0D" w:rsidRDefault="000D58B7" w:rsidP="005D38B9">
            <w:pPr>
              <w:jc w:val="center"/>
              <w:rPr>
                <w:rFonts w:ascii="Times New Roman" w:hAnsi="Times New Roman" w:cs="Times New Roman"/>
              </w:rPr>
            </w:pPr>
            <w:r w:rsidRPr="00602B0D">
              <w:rPr>
                <w:rFonts w:ascii="Times New Roman" w:hAnsi="Times New Roman" w:cs="Times New Roman"/>
              </w:rPr>
              <w:t>4.12</w:t>
            </w:r>
          </w:p>
        </w:tc>
      </w:tr>
    </w:tbl>
    <w:p w14:paraId="0B0BD628" w14:textId="77777777" w:rsidR="000D58B7" w:rsidRDefault="000D58B7" w:rsidP="000D58B7">
      <w:pPr>
        <w:pStyle w:val="bodytextGJSD"/>
        <w:spacing w:after="0"/>
      </w:pPr>
      <w:r w:rsidRPr="009F33E2">
        <w:t>n=</w:t>
      </w:r>
      <w:r>
        <w:t>73</w:t>
      </w:r>
      <w:r w:rsidRPr="009F33E2">
        <w:t>.</w:t>
      </w:r>
    </w:p>
    <w:p w14:paraId="60236B49" w14:textId="77777777" w:rsidR="000D58B7" w:rsidRDefault="000D58B7" w:rsidP="000D58B7">
      <w:pPr>
        <w:suppressAutoHyphens w:val="0"/>
        <w:spacing w:after="160" w:line="259" w:lineRule="auto"/>
        <w:rPr>
          <w:rFonts w:ascii="Times New Roman" w:hAnsi="Times New Roman" w:cs="Times New Roman"/>
          <w:b/>
          <w:sz w:val="24"/>
          <w:szCs w:val="24"/>
          <w:lang w:val="en-US"/>
        </w:rPr>
      </w:pPr>
    </w:p>
    <w:p w14:paraId="49D7B68C" w14:textId="77777777" w:rsidR="000D58B7" w:rsidRDefault="000D58B7" w:rsidP="000D58B7">
      <w:pPr>
        <w:suppressAutoHyphens w:val="0"/>
        <w:spacing w:after="160" w:line="259" w:lineRule="auto"/>
        <w:rPr>
          <w:rFonts w:ascii="Times New Roman" w:hAnsi="Times New Roman" w:cs="Times New Roman"/>
          <w:b/>
          <w:sz w:val="24"/>
          <w:szCs w:val="24"/>
          <w:lang w:val="en-US"/>
        </w:rPr>
      </w:pPr>
      <w:r>
        <w:rPr>
          <w:b/>
          <w:lang w:val="en-US"/>
        </w:rPr>
        <w:br w:type="page"/>
      </w:r>
    </w:p>
    <w:p w14:paraId="7382E954" w14:textId="77777777" w:rsidR="000D58B7" w:rsidRDefault="000D58B7" w:rsidP="000D58B7">
      <w:pPr>
        <w:pStyle w:val="bodytextGJSD"/>
        <w:spacing w:after="0"/>
        <w:jc w:val="center"/>
        <w:rPr>
          <w:b/>
          <w:lang w:val="en-US"/>
        </w:rPr>
      </w:pPr>
      <w:r w:rsidRPr="002F31F3">
        <w:rPr>
          <w:b/>
          <w:lang w:val="en-US"/>
        </w:rPr>
        <w:lastRenderedPageBreak/>
        <w:t xml:space="preserve">Table </w:t>
      </w:r>
      <w:r>
        <w:rPr>
          <w:b/>
          <w:lang w:val="en-US"/>
        </w:rPr>
        <w:t>VI: Module Improvement Opportunities</w:t>
      </w:r>
    </w:p>
    <w:p w14:paraId="003E3EDF" w14:textId="77777777" w:rsidR="000D58B7" w:rsidRDefault="000D58B7" w:rsidP="000D58B7">
      <w:pPr>
        <w:pStyle w:val="bodytextGJSD"/>
        <w:spacing w:after="0"/>
        <w:jc w:val="center"/>
        <w:rPr>
          <w:b/>
          <w:lang w:val="en-US"/>
        </w:rPr>
      </w:pPr>
    </w:p>
    <w:tbl>
      <w:tblPr>
        <w:tblStyle w:val="TableGrid"/>
        <w:tblW w:w="6658" w:type="dxa"/>
        <w:jc w:val="center"/>
        <w:tblLook w:val="04A0" w:firstRow="1" w:lastRow="0" w:firstColumn="1" w:lastColumn="0" w:noHBand="0" w:noVBand="1"/>
      </w:tblPr>
      <w:tblGrid>
        <w:gridCol w:w="4077"/>
        <w:gridCol w:w="1305"/>
        <w:gridCol w:w="1276"/>
      </w:tblGrid>
      <w:tr w:rsidR="000D58B7" w:rsidRPr="00C81F31" w14:paraId="0C01A4CA" w14:textId="77777777" w:rsidTr="005D38B9">
        <w:trPr>
          <w:trHeight w:val="340"/>
          <w:jc w:val="center"/>
        </w:trPr>
        <w:tc>
          <w:tcPr>
            <w:tcW w:w="4077" w:type="dxa"/>
            <w:vAlign w:val="center"/>
          </w:tcPr>
          <w:p w14:paraId="6EFE8E28" w14:textId="77777777" w:rsidR="000D58B7" w:rsidRPr="00602B0D" w:rsidRDefault="000D58B7" w:rsidP="005D38B9">
            <w:pPr>
              <w:rPr>
                <w:rFonts w:ascii="Times New Roman" w:hAnsi="Times New Roman" w:cs="Times New Roman"/>
                <w:b/>
                <w:bCs/>
              </w:rPr>
            </w:pPr>
            <w:r>
              <w:rPr>
                <w:rFonts w:ascii="Times New Roman" w:hAnsi="Times New Roman" w:cs="Times New Roman"/>
                <w:b/>
                <w:bCs/>
              </w:rPr>
              <w:t>Improvement Opportunity</w:t>
            </w:r>
          </w:p>
        </w:tc>
        <w:tc>
          <w:tcPr>
            <w:tcW w:w="1305" w:type="dxa"/>
            <w:vAlign w:val="center"/>
          </w:tcPr>
          <w:p w14:paraId="36A087A0" w14:textId="77777777" w:rsidR="000D58B7" w:rsidRPr="00602B0D" w:rsidRDefault="000D58B7" w:rsidP="005D38B9">
            <w:pPr>
              <w:jc w:val="center"/>
              <w:rPr>
                <w:rFonts w:ascii="Times New Roman" w:hAnsi="Times New Roman" w:cs="Times New Roman"/>
                <w:b/>
                <w:bCs/>
              </w:rPr>
            </w:pPr>
            <w:r w:rsidRPr="00602B0D">
              <w:rPr>
                <w:rFonts w:ascii="Times New Roman" w:hAnsi="Times New Roman" w:cs="Times New Roman"/>
                <w:b/>
                <w:bCs/>
              </w:rPr>
              <w:t>Count</w:t>
            </w:r>
          </w:p>
        </w:tc>
        <w:tc>
          <w:tcPr>
            <w:tcW w:w="1276" w:type="dxa"/>
          </w:tcPr>
          <w:p w14:paraId="477FC6FD" w14:textId="77777777" w:rsidR="000D58B7" w:rsidRPr="00602B0D" w:rsidRDefault="000D58B7" w:rsidP="005D38B9">
            <w:pPr>
              <w:jc w:val="center"/>
              <w:rPr>
                <w:rFonts w:ascii="Times New Roman" w:hAnsi="Times New Roman" w:cs="Times New Roman"/>
                <w:b/>
                <w:bCs/>
              </w:rPr>
            </w:pPr>
            <w:r w:rsidRPr="00602B0D">
              <w:rPr>
                <w:rFonts w:ascii="Times New Roman" w:hAnsi="Times New Roman" w:cs="Times New Roman"/>
                <w:b/>
                <w:bCs/>
              </w:rPr>
              <w:t>%</w:t>
            </w:r>
          </w:p>
        </w:tc>
      </w:tr>
      <w:tr w:rsidR="000D58B7" w:rsidRPr="00C81F31" w14:paraId="3989219D" w14:textId="77777777" w:rsidTr="005D38B9">
        <w:trPr>
          <w:trHeight w:val="340"/>
          <w:jc w:val="center"/>
        </w:trPr>
        <w:tc>
          <w:tcPr>
            <w:tcW w:w="4077" w:type="dxa"/>
            <w:vAlign w:val="center"/>
          </w:tcPr>
          <w:p w14:paraId="361B9ACC" w14:textId="77777777" w:rsidR="000D58B7" w:rsidRPr="00602B0D" w:rsidRDefault="000D58B7" w:rsidP="005D38B9">
            <w:pPr>
              <w:rPr>
                <w:rFonts w:ascii="Times New Roman" w:hAnsi="Times New Roman" w:cs="Times New Roman"/>
              </w:rPr>
            </w:pPr>
            <w:r>
              <w:rPr>
                <w:rFonts w:ascii="Times New Roman" w:hAnsi="Times New Roman" w:cs="Times New Roman"/>
              </w:rPr>
              <w:t>More lecture time needed</w:t>
            </w:r>
          </w:p>
        </w:tc>
        <w:tc>
          <w:tcPr>
            <w:tcW w:w="1305" w:type="dxa"/>
            <w:vAlign w:val="center"/>
          </w:tcPr>
          <w:p w14:paraId="5C0E4D8A" w14:textId="77777777" w:rsidR="000D58B7" w:rsidRPr="00602B0D" w:rsidRDefault="000D58B7" w:rsidP="005D38B9">
            <w:pPr>
              <w:jc w:val="center"/>
              <w:rPr>
                <w:rFonts w:ascii="Times New Roman" w:hAnsi="Times New Roman" w:cs="Times New Roman"/>
              </w:rPr>
            </w:pPr>
            <w:r>
              <w:rPr>
                <w:rFonts w:ascii="Times New Roman" w:hAnsi="Times New Roman" w:cs="Times New Roman"/>
              </w:rPr>
              <w:t>4</w:t>
            </w:r>
          </w:p>
        </w:tc>
        <w:tc>
          <w:tcPr>
            <w:tcW w:w="1276" w:type="dxa"/>
          </w:tcPr>
          <w:p w14:paraId="2BC18146" w14:textId="77777777" w:rsidR="000D58B7" w:rsidRPr="00602B0D" w:rsidRDefault="000D58B7" w:rsidP="005D38B9">
            <w:pPr>
              <w:jc w:val="center"/>
              <w:rPr>
                <w:rFonts w:ascii="Times New Roman" w:hAnsi="Times New Roman" w:cs="Times New Roman"/>
              </w:rPr>
            </w:pPr>
            <w:r>
              <w:rPr>
                <w:rFonts w:ascii="Times New Roman" w:hAnsi="Times New Roman" w:cs="Times New Roman"/>
              </w:rPr>
              <w:t>66.66</w:t>
            </w:r>
          </w:p>
        </w:tc>
      </w:tr>
      <w:tr w:rsidR="000D58B7" w:rsidRPr="00C81F31" w14:paraId="7E0E4325" w14:textId="77777777" w:rsidTr="005D38B9">
        <w:trPr>
          <w:trHeight w:val="340"/>
          <w:jc w:val="center"/>
        </w:trPr>
        <w:tc>
          <w:tcPr>
            <w:tcW w:w="4077" w:type="dxa"/>
            <w:vAlign w:val="center"/>
          </w:tcPr>
          <w:p w14:paraId="5CDB4CF0" w14:textId="77777777" w:rsidR="000D58B7" w:rsidRPr="00602B0D" w:rsidRDefault="000D58B7" w:rsidP="005D38B9">
            <w:pPr>
              <w:rPr>
                <w:rFonts w:ascii="Times New Roman" w:hAnsi="Times New Roman" w:cs="Times New Roman"/>
              </w:rPr>
            </w:pPr>
            <w:r>
              <w:rPr>
                <w:rFonts w:ascii="Times New Roman" w:hAnsi="Times New Roman" w:cs="Times New Roman"/>
              </w:rPr>
              <w:t>Increased accessibility via subtitles</w:t>
            </w:r>
          </w:p>
        </w:tc>
        <w:tc>
          <w:tcPr>
            <w:tcW w:w="1305" w:type="dxa"/>
            <w:vAlign w:val="center"/>
          </w:tcPr>
          <w:p w14:paraId="64238946" w14:textId="77777777" w:rsidR="000D58B7" w:rsidRPr="00602B0D" w:rsidRDefault="000D58B7" w:rsidP="005D38B9">
            <w:pPr>
              <w:jc w:val="center"/>
              <w:rPr>
                <w:rFonts w:ascii="Times New Roman" w:hAnsi="Times New Roman" w:cs="Times New Roman"/>
              </w:rPr>
            </w:pPr>
            <w:r>
              <w:rPr>
                <w:rFonts w:ascii="Times New Roman" w:hAnsi="Times New Roman" w:cs="Times New Roman"/>
              </w:rPr>
              <w:t>1</w:t>
            </w:r>
          </w:p>
        </w:tc>
        <w:tc>
          <w:tcPr>
            <w:tcW w:w="1276" w:type="dxa"/>
          </w:tcPr>
          <w:p w14:paraId="42562676" w14:textId="77777777" w:rsidR="000D58B7" w:rsidRPr="00602B0D" w:rsidRDefault="000D58B7" w:rsidP="005D38B9">
            <w:pPr>
              <w:jc w:val="center"/>
              <w:rPr>
                <w:rFonts w:ascii="Times New Roman" w:hAnsi="Times New Roman" w:cs="Times New Roman"/>
              </w:rPr>
            </w:pPr>
            <w:r>
              <w:rPr>
                <w:rFonts w:ascii="Times New Roman" w:hAnsi="Times New Roman" w:cs="Times New Roman"/>
              </w:rPr>
              <w:t>16.67</w:t>
            </w:r>
          </w:p>
        </w:tc>
      </w:tr>
      <w:tr w:rsidR="000D58B7" w:rsidRPr="00C81F31" w14:paraId="2456C20D" w14:textId="77777777" w:rsidTr="005D38B9">
        <w:trPr>
          <w:trHeight w:val="340"/>
          <w:jc w:val="center"/>
        </w:trPr>
        <w:tc>
          <w:tcPr>
            <w:tcW w:w="4077" w:type="dxa"/>
            <w:vAlign w:val="center"/>
          </w:tcPr>
          <w:p w14:paraId="0432F12F" w14:textId="77777777" w:rsidR="000D58B7" w:rsidRPr="00602B0D" w:rsidRDefault="000D58B7" w:rsidP="005D38B9">
            <w:pPr>
              <w:rPr>
                <w:rFonts w:ascii="Times New Roman" w:hAnsi="Times New Roman" w:cs="Times New Roman"/>
              </w:rPr>
            </w:pPr>
            <w:r>
              <w:rPr>
                <w:rFonts w:ascii="Times New Roman" w:hAnsi="Times New Roman" w:cs="Times New Roman"/>
              </w:rPr>
              <w:t>Real-world experience opportunities</w:t>
            </w:r>
          </w:p>
        </w:tc>
        <w:tc>
          <w:tcPr>
            <w:tcW w:w="1305" w:type="dxa"/>
            <w:vAlign w:val="center"/>
          </w:tcPr>
          <w:p w14:paraId="315B4C9A" w14:textId="77777777" w:rsidR="000D58B7" w:rsidRPr="00602B0D" w:rsidRDefault="000D58B7" w:rsidP="005D38B9">
            <w:pPr>
              <w:jc w:val="center"/>
              <w:rPr>
                <w:rFonts w:ascii="Times New Roman" w:hAnsi="Times New Roman" w:cs="Times New Roman"/>
              </w:rPr>
            </w:pPr>
            <w:r>
              <w:rPr>
                <w:rFonts w:ascii="Times New Roman" w:hAnsi="Times New Roman" w:cs="Times New Roman"/>
              </w:rPr>
              <w:t>1</w:t>
            </w:r>
          </w:p>
        </w:tc>
        <w:tc>
          <w:tcPr>
            <w:tcW w:w="1276" w:type="dxa"/>
          </w:tcPr>
          <w:p w14:paraId="16967016" w14:textId="77777777" w:rsidR="000D58B7" w:rsidRPr="00602B0D" w:rsidRDefault="000D58B7" w:rsidP="005D38B9">
            <w:pPr>
              <w:jc w:val="center"/>
              <w:rPr>
                <w:rFonts w:ascii="Times New Roman" w:hAnsi="Times New Roman" w:cs="Times New Roman"/>
              </w:rPr>
            </w:pPr>
            <w:r>
              <w:rPr>
                <w:rFonts w:ascii="Times New Roman" w:hAnsi="Times New Roman" w:cs="Times New Roman"/>
              </w:rPr>
              <w:t>16.67</w:t>
            </w:r>
          </w:p>
        </w:tc>
      </w:tr>
    </w:tbl>
    <w:p w14:paraId="2F5F4032" w14:textId="77777777" w:rsidR="000D58B7" w:rsidRPr="00181459" w:rsidRDefault="000D58B7" w:rsidP="000D58B7">
      <w:pPr>
        <w:pStyle w:val="bodytextGJSD"/>
        <w:spacing w:after="0"/>
      </w:pPr>
      <w:r w:rsidRPr="009F33E2">
        <w:t>n=</w:t>
      </w:r>
      <w:r>
        <w:t>6.</w:t>
      </w:r>
    </w:p>
    <w:p w14:paraId="194E0C44" w14:textId="77777777" w:rsidR="0054298F" w:rsidRPr="00A96555" w:rsidRDefault="0054298F" w:rsidP="000D58B7">
      <w:pPr>
        <w:pStyle w:val="ReferencelistGJSD"/>
        <w:spacing w:after="0" w:line="480" w:lineRule="auto"/>
        <w:jc w:val="both"/>
        <w:rPr>
          <w:color w:val="0C7DBB"/>
          <w:sz w:val="24"/>
          <w:u w:val="single"/>
        </w:rPr>
      </w:pPr>
    </w:p>
    <w:sectPr w:rsidR="0054298F" w:rsidRPr="00A96555" w:rsidSect="00141AAB">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2D21" w14:textId="77777777" w:rsidR="004D4061" w:rsidRDefault="004D4061" w:rsidP="00404AE9">
      <w:pPr>
        <w:spacing w:line="240" w:lineRule="auto"/>
      </w:pPr>
      <w:r>
        <w:separator/>
      </w:r>
    </w:p>
  </w:endnote>
  <w:endnote w:type="continuationSeparator" w:id="0">
    <w:p w14:paraId="7F41D860" w14:textId="77777777" w:rsidR="004D4061" w:rsidRDefault="004D4061" w:rsidP="00404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Noto Sans Symbol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C472" w14:textId="77777777" w:rsidR="009C6CD9" w:rsidRPr="00404AE9" w:rsidRDefault="009C6CD9" w:rsidP="00404AE9">
    <w:pPr>
      <w:pStyle w:val="Footer"/>
      <w:jc w:val="center"/>
      <w:rPr>
        <w:rFonts w:ascii="Times New Roman" w:hAnsi="Times New Roman" w:cs="Times New Roman"/>
        <w:sz w:val="24"/>
        <w:szCs w:val="24"/>
      </w:rPr>
    </w:pPr>
    <w:r w:rsidRPr="00404AE9">
      <w:rPr>
        <w:rFonts w:ascii="Times New Roman" w:hAnsi="Times New Roman" w:cs="Times New Roman"/>
        <w:sz w:val="24"/>
        <w:szCs w:val="24"/>
      </w:rPr>
      <w:t xml:space="preserve">Page </w:t>
    </w:r>
    <w:r w:rsidRPr="00404AE9">
      <w:rPr>
        <w:rFonts w:ascii="Times New Roman" w:hAnsi="Times New Roman" w:cs="Times New Roman"/>
        <w:sz w:val="24"/>
        <w:szCs w:val="24"/>
      </w:rPr>
      <w:fldChar w:fldCharType="begin"/>
    </w:r>
    <w:r w:rsidRPr="00404AE9">
      <w:rPr>
        <w:rFonts w:ascii="Times New Roman" w:hAnsi="Times New Roman" w:cs="Times New Roman"/>
        <w:sz w:val="24"/>
        <w:szCs w:val="24"/>
      </w:rPr>
      <w:instrText xml:space="preserve"> PAGE  \* Arabic  \* MERGEFORMAT </w:instrText>
    </w:r>
    <w:r w:rsidRPr="00404AE9">
      <w:rPr>
        <w:rFonts w:ascii="Times New Roman" w:hAnsi="Times New Roman" w:cs="Times New Roman"/>
        <w:sz w:val="24"/>
        <w:szCs w:val="24"/>
      </w:rPr>
      <w:fldChar w:fldCharType="separate"/>
    </w:r>
    <w:r>
      <w:rPr>
        <w:rFonts w:ascii="Times New Roman" w:hAnsi="Times New Roman" w:cs="Times New Roman"/>
        <w:noProof/>
        <w:sz w:val="24"/>
        <w:szCs w:val="24"/>
      </w:rPr>
      <w:t>12</w:t>
    </w:r>
    <w:r w:rsidRPr="00404AE9">
      <w:rPr>
        <w:rFonts w:ascii="Times New Roman" w:hAnsi="Times New Roman" w:cs="Times New Roman"/>
        <w:sz w:val="24"/>
        <w:szCs w:val="24"/>
      </w:rPr>
      <w:fldChar w:fldCharType="end"/>
    </w:r>
    <w:r w:rsidRPr="00404AE9">
      <w:rPr>
        <w:rFonts w:ascii="Times New Roman" w:hAnsi="Times New Roman" w:cs="Times New Roman"/>
        <w:sz w:val="24"/>
        <w:szCs w:val="24"/>
      </w:rPr>
      <w:t xml:space="preserve"> of </w:t>
    </w:r>
    <w:r w:rsidRPr="00404AE9">
      <w:rPr>
        <w:rFonts w:ascii="Times New Roman" w:hAnsi="Times New Roman" w:cs="Times New Roman"/>
        <w:sz w:val="24"/>
        <w:szCs w:val="24"/>
      </w:rPr>
      <w:fldChar w:fldCharType="begin"/>
    </w:r>
    <w:r w:rsidRPr="00404AE9">
      <w:rPr>
        <w:rFonts w:ascii="Times New Roman" w:hAnsi="Times New Roman" w:cs="Times New Roman"/>
        <w:sz w:val="24"/>
        <w:szCs w:val="24"/>
      </w:rPr>
      <w:instrText xml:space="preserve"> NUMPAGES  \* Arabic  \* MERGEFORMAT </w:instrText>
    </w:r>
    <w:r w:rsidRPr="00404AE9">
      <w:rPr>
        <w:rFonts w:ascii="Times New Roman" w:hAnsi="Times New Roman" w:cs="Times New Roman"/>
        <w:sz w:val="24"/>
        <w:szCs w:val="24"/>
      </w:rPr>
      <w:fldChar w:fldCharType="separate"/>
    </w:r>
    <w:r>
      <w:rPr>
        <w:rFonts w:ascii="Times New Roman" w:hAnsi="Times New Roman" w:cs="Times New Roman"/>
        <w:noProof/>
        <w:sz w:val="24"/>
        <w:szCs w:val="24"/>
      </w:rPr>
      <w:t>39</w:t>
    </w:r>
    <w:r w:rsidRPr="00404AE9">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51915" w14:textId="77777777" w:rsidR="004D4061" w:rsidRDefault="004D4061" w:rsidP="00404AE9">
      <w:pPr>
        <w:spacing w:line="240" w:lineRule="auto"/>
      </w:pPr>
      <w:r>
        <w:separator/>
      </w:r>
    </w:p>
  </w:footnote>
  <w:footnote w:type="continuationSeparator" w:id="0">
    <w:p w14:paraId="2FA345FA" w14:textId="77777777" w:rsidR="004D4061" w:rsidRDefault="004D4061" w:rsidP="00404A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5633"/>
    <w:multiLevelType w:val="hybridMultilevel"/>
    <w:tmpl w:val="737E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C4B60"/>
    <w:multiLevelType w:val="multilevel"/>
    <w:tmpl w:val="F1E2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A4D17"/>
    <w:multiLevelType w:val="hybridMultilevel"/>
    <w:tmpl w:val="B69619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921B79"/>
    <w:multiLevelType w:val="multilevel"/>
    <w:tmpl w:val="6436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A1AD1"/>
    <w:multiLevelType w:val="multilevel"/>
    <w:tmpl w:val="0C40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E16B1"/>
    <w:multiLevelType w:val="hybridMultilevel"/>
    <w:tmpl w:val="5A2243BA"/>
    <w:lvl w:ilvl="0" w:tplc="4ADEA38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069C7"/>
    <w:multiLevelType w:val="multilevel"/>
    <w:tmpl w:val="876A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B40B5"/>
    <w:multiLevelType w:val="hybridMultilevel"/>
    <w:tmpl w:val="2B4C4DE2"/>
    <w:lvl w:ilvl="0" w:tplc="4ADEA386">
      <w:start w:val="1"/>
      <w:numFmt w:val="bullet"/>
      <w:lvlText w:val=""/>
      <w:lvlJc w:val="left"/>
      <w:pPr>
        <w:ind w:left="1080" w:hanging="360"/>
      </w:pPr>
      <w:rPr>
        <w:rFonts w:ascii="Symbol" w:hAnsi="Symbol"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B826DA5"/>
    <w:multiLevelType w:val="hybridMultilevel"/>
    <w:tmpl w:val="28EAD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E475F"/>
    <w:multiLevelType w:val="hybridMultilevel"/>
    <w:tmpl w:val="7016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672AC"/>
    <w:multiLevelType w:val="hybridMultilevel"/>
    <w:tmpl w:val="0096C786"/>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1" w15:restartNumberingAfterBreak="0">
    <w:nsid w:val="27FF1A3C"/>
    <w:multiLevelType w:val="hybridMultilevel"/>
    <w:tmpl w:val="69F0A202"/>
    <w:lvl w:ilvl="0" w:tplc="4ADEA38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82BC4"/>
    <w:multiLevelType w:val="hybridMultilevel"/>
    <w:tmpl w:val="51A2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807EC"/>
    <w:multiLevelType w:val="hybridMultilevel"/>
    <w:tmpl w:val="14B0FFD0"/>
    <w:lvl w:ilvl="0" w:tplc="4ADEA38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A0DFE"/>
    <w:multiLevelType w:val="multilevel"/>
    <w:tmpl w:val="F432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37438E"/>
    <w:multiLevelType w:val="hybridMultilevel"/>
    <w:tmpl w:val="DC2E7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140A2"/>
    <w:multiLevelType w:val="hybridMultilevel"/>
    <w:tmpl w:val="6C485D3A"/>
    <w:lvl w:ilvl="0" w:tplc="D5B65F1A">
      <w:start w:val="1"/>
      <w:numFmt w:val="bullet"/>
      <w:lvlText w:val="•"/>
      <w:lvlJc w:val="left"/>
      <w:pPr>
        <w:tabs>
          <w:tab w:val="num" w:pos="720"/>
        </w:tabs>
        <w:ind w:left="720" w:hanging="360"/>
      </w:pPr>
      <w:rPr>
        <w:rFonts w:ascii="Garamond" w:hAnsi="Garamond" w:hint="default"/>
      </w:rPr>
    </w:lvl>
    <w:lvl w:ilvl="1" w:tplc="EDD489A8">
      <w:numFmt w:val="bullet"/>
      <w:lvlText w:val="▪"/>
      <w:lvlJc w:val="left"/>
      <w:pPr>
        <w:tabs>
          <w:tab w:val="num" w:pos="1440"/>
        </w:tabs>
        <w:ind w:left="1440" w:hanging="360"/>
      </w:pPr>
      <w:rPr>
        <w:rFonts w:ascii="Noto Sans Symbols" w:hAnsi="Noto Sans Symbols" w:hint="default"/>
      </w:rPr>
    </w:lvl>
    <w:lvl w:ilvl="2" w:tplc="7A14EABE" w:tentative="1">
      <w:start w:val="1"/>
      <w:numFmt w:val="bullet"/>
      <w:lvlText w:val="•"/>
      <w:lvlJc w:val="left"/>
      <w:pPr>
        <w:tabs>
          <w:tab w:val="num" w:pos="2160"/>
        </w:tabs>
        <w:ind w:left="2160" w:hanging="360"/>
      </w:pPr>
      <w:rPr>
        <w:rFonts w:ascii="Garamond" w:hAnsi="Garamond" w:hint="default"/>
      </w:rPr>
    </w:lvl>
    <w:lvl w:ilvl="3" w:tplc="1D7C5EE0" w:tentative="1">
      <w:start w:val="1"/>
      <w:numFmt w:val="bullet"/>
      <w:lvlText w:val="•"/>
      <w:lvlJc w:val="left"/>
      <w:pPr>
        <w:tabs>
          <w:tab w:val="num" w:pos="2880"/>
        </w:tabs>
        <w:ind w:left="2880" w:hanging="360"/>
      </w:pPr>
      <w:rPr>
        <w:rFonts w:ascii="Garamond" w:hAnsi="Garamond" w:hint="default"/>
      </w:rPr>
    </w:lvl>
    <w:lvl w:ilvl="4" w:tplc="18F4D29A" w:tentative="1">
      <w:start w:val="1"/>
      <w:numFmt w:val="bullet"/>
      <w:lvlText w:val="•"/>
      <w:lvlJc w:val="left"/>
      <w:pPr>
        <w:tabs>
          <w:tab w:val="num" w:pos="3600"/>
        </w:tabs>
        <w:ind w:left="3600" w:hanging="360"/>
      </w:pPr>
      <w:rPr>
        <w:rFonts w:ascii="Garamond" w:hAnsi="Garamond" w:hint="default"/>
      </w:rPr>
    </w:lvl>
    <w:lvl w:ilvl="5" w:tplc="025250C8" w:tentative="1">
      <w:start w:val="1"/>
      <w:numFmt w:val="bullet"/>
      <w:lvlText w:val="•"/>
      <w:lvlJc w:val="left"/>
      <w:pPr>
        <w:tabs>
          <w:tab w:val="num" w:pos="4320"/>
        </w:tabs>
        <w:ind w:left="4320" w:hanging="360"/>
      </w:pPr>
      <w:rPr>
        <w:rFonts w:ascii="Garamond" w:hAnsi="Garamond" w:hint="default"/>
      </w:rPr>
    </w:lvl>
    <w:lvl w:ilvl="6" w:tplc="A268EF22" w:tentative="1">
      <w:start w:val="1"/>
      <w:numFmt w:val="bullet"/>
      <w:lvlText w:val="•"/>
      <w:lvlJc w:val="left"/>
      <w:pPr>
        <w:tabs>
          <w:tab w:val="num" w:pos="5040"/>
        </w:tabs>
        <w:ind w:left="5040" w:hanging="360"/>
      </w:pPr>
      <w:rPr>
        <w:rFonts w:ascii="Garamond" w:hAnsi="Garamond" w:hint="default"/>
      </w:rPr>
    </w:lvl>
    <w:lvl w:ilvl="7" w:tplc="864EF262" w:tentative="1">
      <w:start w:val="1"/>
      <w:numFmt w:val="bullet"/>
      <w:lvlText w:val="•"/>
      <w:lvlJc w:val="left"/>
      <w:pPr>
        <w:tabs>
          <w:tab w:val="num" w:pos="5760"/>
        </w:tabs>
        <w:ind w:left="5760" w:hanging="360"/>
      </w:pPr>
      <w:rPr>
        <w:rFonts w:ascii="Garamond" w:hAnsi="Garamond" w:hint="default"/>
      </w:rPr>
    </w:lvl>
    <w:lvl w:ilvl="8" w:tplc="2FB6D124" w:tentative="1">
      <w:start w:val="1"/>
      <w:numFmt w:val="bullet"/>
      <w:lvlText w:val="•"/>
      <w:lvlJc w:val="left"/>
      <w:pPr>
        <w:tabs>
          <w:tab w:val="num" w:pos="6480"/>
        </w:tabs>
        <w:ind w:left="6480" w:hanging="360"/>
      </w:pPr>
      <w:rPr>
        <w:rFonts w:ascii="Garamond" w:hAnsi="Garamond" w:hint="default"/>
      </w:rPr>
    </w:lvl>
  </w:abstractNum>
  <w:abstractNum w:abstractNumId="17" w15:restartNumberingAfterBreak="0">
    <w:nsid w:val="3DCB5248"/>
    <w:multiLevelType w:val="hybridMultilevel"/>
    <w:tmpl w:val="C22217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76F1E8D"/>
    <w:multiLevelType w:val="hybridMultilevel"/>
    <w:tmpl w:val="5DB08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E45D0"/>
    <w:multiLevelType w:val="hybridMultilevel"/>
    <w:tmpl w:val="02C8329E"/>
    <w:lvl w:ilvl="0" w:tplc="4ADEA386">
      <w:start w:val="1"/>
      <w:numFmt w:val="bullet"/>
      <w:lvlText w:val=""/>
      <w:lvlJc w:val="left"/>
      <w:pPr>
        <w:ind w:left="720" w:hanging="360"/>
      </w:pPr>
      <w:rPr>
        <w:rFonts w:ascii="Symbol" w:hAnsi="Symbol" w:hint="default"/>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D229EE"/>
    <w:multiLevelType w:val="hybridMultilevel"/>
    <w:tmpl w:val="87F2C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C3F9B"/>
    <w:multiLevelType w:val="multilevel"/>
    <w:tmpl w:val="A6F0E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B7103A"/>
    <w:multiLevelType w:val="hybridMultilevel"/>
    <w:tmpl w:val="EF60B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605C89"/>
    <w:multiLevelType w:val="hybridMultilevel"/>
    <w:tmpl w:val="8B907CB8"/>
    <w:lvl w:ilvl="0" w:tplc="4ADEA386">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76095"/>
    <w:multiLevelType w:val="hybridMultilevel"/>
    <w:tmpl w:val="194CE02A"/>
    <w:lvl w:ilvl="0" w:tplc="49EC6280">
      <w:start w:val="1"/>
      <w:numFmt w:val="bullet"/>
      <w:lvlText w:val="•"/>
      <w:lvlJc w:val="left"/>
      <w:pPr>
        <w:tabs>
          <w:tab w:val="num" w:pos="720"/>
        </w:tabs>
        <w:ind w:left="720" w:hanging="360"/>
      </w:pPr>
      <w:rPr>
        <w:rFonts w:ascii="Garamond" w:hAnsi="Garamond" w:hint="default"/>
      </w:rPr>
    </w:lvl>
    <w:lvl w:ilvl="1" w:tplc="53B4B958" w:tentative="1">
      <w:start w:val="1"/>
      <w:numFmt w:val="bullet"/>
      <w:lvlText w:val="•"/>
      <w:lvlJc w:val="left"/>
      <w:pPr>
        <w:tabs>
          <w:tab w:val="num" w:pos="1440"/>
        </w:tabs>
        <w:ind w:left="1440" w:hanging="360"/>
      </w:pPr>
      <w:rPr>
        <w:rFonts w:ascii="Garamond" w:hAnsi="Garamond" w:hint="default"/>
      </w:rPr>
    </w:lvl>
    <w:lvl w:ilvl="2" w:tplc="D4623AA0" w:tentative="1">
      <w:start w:val="1"/>
      <w:numFmt w:val="bullet"/>
      <w:lvlText w:val="•"/>
      <w:lvlJc w:val="left"/>
      <w:pPr>
        <w:tabs>
          <w:tab w:val="num" w:pos="2160"/>
        </w:tabs>
        <w:ind w:left="2160" w:hanging="360"/>
      </w:pPr>
      <w:rPr>
        <w:rFonts w:ascii="Garamond" w:hAnsi="Garamond" w:hint="default"/>
      </w:rPr>
    </w:lvl>
    <w:lvl w:ilvl="3" w:tplc="569E5E76" w:tentative="1">
      <w:start w:val="1"/>
      <w:numFmt w:val="bullet"/>
      <w:lvlText w:val="•"/>
      <w:lvlJc w:val="left"/>
      <w:pPr>
        <w:tabs>
          <w:tab w:val="num" w:pos="2880"/>
        </w:tabs>
        <w:ind w:left="2880" w:hanging="360"/>
      </w:pPr>
      <w:rPr>
        <w:rFonts w:ascii="Garamond" w:hAnsi="Garamond" w:hint="default"/>
      </w:rPr>
    </w:lvl>
    <w:lvl w:ilvl="4" w:tplc="32C2C14E" w:tentative="1">
      <w:start w:val="1"/>
      <w:numFmt w:val="bullet"/>
      <w:lvlText w:val="•"/>
      <w:lvlJc w:val="left"/>
      <w:pPr>
        <w:tabs>
          <w:tab w:val="num" w:pos="3600"/>
        </w:tabs>
        <w:ind w:left="3600" w:hanging="360"/>
      </w:pPr>
      <w:rPr>
        <w:rFonts w:ascii="Garamond" w:hAnsi="Garamond" w:hint="default"/>
      </w:rPr>
    </w:lvl>
    <w:lvl w:ilvl="5" w:tplc="613CA29C" w:tentative="1">
      <w:start w:val="1"/>
      <w:numFmt w:val="bullet"/>
      <w:lvlText w:val="•"/>
      <w:lvlJc w:val="left"/>
      <w:pPr>
        <w:tabs>
          <w:tab w:val="num" w:pos="4320"/>
        </w:tabs>
        <w:ind w:left="4320" w:hanging="360"/>
      </w:pPr>
      <w:rPr>
        <w:rFonts w:ascii="Garamond" w:hAnsi="Garamond" w:hint="default"/>
      </w:rPr>
    </w:lvl>
    <w:lvl w:ilvl="6" w:tplc="AFA8649A" w:tentative="1">
      <w:start w:val="1"/>
      <w:numFmt w:val="bullet"/>
      <w:lvlText w:val="•"/>
      <w:lvlJc w:val="left"/>
      <w:pPr>
        <w:tabs>
          <w:tab w:val="num" w:pos="5040"/>
        </w:tabs>
        <w:ind w:left="5040" w:hanging="360"/>
      </w:pPr>
      <w:rPr>
        <w:rFonts w:ascii="Garamond" w:hAnsi="Garamond" w:hint="default"/>
      </w:rPr>
    </w:lvl>
    <w:lvl w:ilvl="7" w:tplc="E82EF25E" w:tentative="1">
      <w:start w:val="1"/>
      <w:numFmt w:val="bullet"/>
      <w:lvlText w:val="•"/>
      <w:lvlJc w:val="left"/>
      <w:pPr>
        <w:tabs>
          <w:tab w:val="num" w:pos="5760"/>
        </w:tabs>
        <w:ind w:left="5760" w:hanging="360"/>
      </w:pPr>
      <w:rPr>
        <w:rFonts w:ascii="Garamond" w:hAnsi="Garamond" w:hint="default"/>
      </w:rPr>
    </w:lvl>
    <w:lvl w:ilvl="8" w:tplc="AC4EB27C" w:tentative="1">
      <w:start w:val="1"/>
      <w:numFmt w:val="bullet"/>
      <w:lvlText w:val="•"/>
      <w:lvlJc w:val="left"/>
      <w:pPr>
        <w:tabs>
          <w:tab w:val="num" w:pos="6480"/>
        </w:tabs>
        <w:ind w:left="6480" w:hanging="360"/>
      </w:pPr>
      <w:rPr>
        <w:rFonts w:ascii="Garamond" w:hAnsi="Garamond" w:hint="default"/>
      </w:rPr>
    </w:lvl>
  </w:abstractNum>
  <w:abstractNum w:abstractNumId="25" w15:restartNumberingAfterBreak="0">
    <w:nsid w:val="6DC976CC"/>
    <w:multiLevelType w:val="hybridMultilevel"/>
    <w:tmpl w:val="7C50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9D03B6"/>
    <w:multiLevelType w:val="hybridMultilevel"/>
    <w:tmpl w:val="A4FABA24"/>
    <w:lvl w:ilvl="0" w:tplc="83BC5918">
      <w:start w:val="1"/>
      <w:numFmt w:val="bullet"/>
      <w:lvlText w:val=""/>
      <w:lvlJc w:val="left"/>
      <w:pPr>
        <w:ind w:left="720" w:hanging="360"/>
      </w:pPr>
      <w:rPr>
        <w:rFonts w:ascii="Symbol" w:hAnsi="Symbol" w:hint="default"/>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0"/>
  </w:num>
  <w:num w:numId="4">
    <w:abstractNumId w:val="18"/>
  </w:num>
  <w:num w:numId="5">
    <w:abstractNumId w:val="8"/>
  </w:num>
  <w:num w:numId="6">
    <w:abstractNumId w:val="26"/>
  </w:num>
  <w:num w:numId="7">
    <w:abstractNumId w:val="19"/>
  </w:num>
  <w:num w:numId="8">
    <w:abstractNumId w:val="16"/>
  </w:num>
  <w:num w:numId="9">
    <w:abstractNumId w:val="24"/>
  </w:num>
  <w:num w:numId="10">
    <w:abstractNumId w:val="23"/>
  </w:num>
  <w:num w:numId="11">
    <w:abstractNumId w:val="5"/>
  </w:num>
  <w:num w:numId="12">
    <w:abstractNumId w:val="12"/>
  </w:num>
  <w:num w:numId="13">
    <w:abstractNumId w:val="13"/>
  </w:num>
  <w:num w:numId="14">
    <w:abstractNumId w:val="11"/>
  </w:num>
  <w:num w:numId="15">
    <w:abstractNumId w:val="7"/>
  </w:num>
  <w:num w:numId="16">
    <w:abstractNumId w:val="9"/>
  </w:num>
  <w:num w:numId="17">
    <w:abstractNumId w:val="10"/>
  </w:num>
  <w:num w:numId="18">
    <w:abstractNumId w:val="3"/>
  </w:num>
  <w:num w:numId="19">
    <w:abstractNumId w:val="22"/>
  </w:num>
  <w:num w:numId="20">
    <w:abstractNumId w:val="21"/>
  </w:num>
  <w:num w:numId="21">
    <w:abstractNumId w:val="2"/>
  </w:num>
  <w:num w:numId="22">
    <w:abstractNumId w:val="17"/>
  </w:num>
  <w:num w:numId="23">
    <w:abstractNumId w:val="6"/>
  </w:num>
  <w:num w:numId="24">
    <w:abstractNumId w:val="14"/>
  </w:num>
  <w:num w:numId="25">
    <w:abstractNumId w:val="4"/>
  </w:num>
  <w:num w:numId="26">
    <w:abstractNumId w:val="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TYwNjE0s7A0MDBV0lEKTi0uzszPAykws6gFALSzOqktAAAA"/>
  </w:docVars>
  <w:rsids>
    <w:rsidRoot w:val="00A32E23"/>
    <w:rsid w:val="00000E05"/>
    <w:rsid w:val="00001AFA"/>
    <w:rsid w:val="00005428"/>
    <w:rsid w:val="00005BC7"/>
    <w:rsid w:val="00007405"/>
    <w:rsid w:val="000078E0"/>
    <w:rsid w:val="00007F0A"/>
    <w:rsid w:val="00010810"/>
    <w:rsid w:val="00011904"/>
    <w:rsid w:val="0001213F"/>
    <w:rsid w:val="00023F03"/>
    <w:rsid w:val="000248A1"/>
    <w:rsid w:val="00031D3F"/>
    <w:rsid w:val="000333C6"/>
    <w:rsid w:val="000459B1"/>
    <w:rsid w:val="00047261"/>
    <w:rsid w:val="00054A9E"/>
    <w:rsid w:val="000569FF"/>
    <w:rsid w:val="00057938"/>
    <w:rsid w:val="00060F73"/>
    <w:rsid w:val="00060FB3"/>
    <w:rsid w:val="0006274C"/>
    <w:rsid w:val="00070F03"/>
    <w:rsid w:val="0007131A"/>
    <w:rsid w:val="00071C64"/>
    <w:rsid w:val="00072ADF"/>
    <w:rsid w:val="00073CE4"/>
    <w:rsid w:val="000769E8"/>
    <w:rsid w:val="00080FB9"/>
    <w:rsid w:val="00084056"/>
    <w:rsid w:val="00090D15"/>
    <w:rsid w:val="0009683B"/>
    <w:rsid w:val="00096DD1"/>
    <w:rsid w:val="000A55C9"/>
    <w:rsid w:val="000C01D1"/>
    <w:rsid w:val="000C2212"/>
    <w:rsid w:val="000C594B"/>
    <w:rsid w:val="000D04DA"/>
    <w:rsid w:val="000D4E8B"/>
    <w:rsid w:val="000D58B7"/>
    <w:rsid w:val="000D6DFC"/>
    <w:rsid w:val="000D78C0"/>
    <w:rsid w:val="000E33A3"/>
    <w:rsid w:val="000E4598"/>
    <w:rsid w:val="000F04FA"/>
    <w:rsid w:val="000F1D2F"/>
    <w:rsid w:val="000F670A"/>
    <w:rsid w:val="00103170"/>
    <w:rsid w:val="001070E8"/>
    <w:rsid w:val="00113E1D"/>
    <w:rsid w:val="00117868"/>
    <w:rsid w:val="00122CDD"/>
    <w:rsid w:val="00122DAC"/>
    <w:rsid w:val="0012669D"/>
    <w:rsid w:val="00126F8C"/>
    <w:rsid w:val="00127BC9"/>
    <w:rsid w:val="00131A35"/>
    <w:rsid w:val="00132641"/>
    <w:rsid w:val="001331BB"/>
    <w:rsid w:val="001351AE"/>
    <w:rsid w:val="00141AAB"/>
    <w:rsid w:val="00142FB8"/>
    <w:rsid w:val="001452E0"/>
    <w:rsid w:val="00147D72"/>
    <w:rsid w:val="00153550"/>
    <w:rsid w:val="00156393"/>
    <w:rsid w:val="00157DF4"/>
    <w:rsid w:val="001619E2"/>
    <w:rsid w:val="00165D8F"/>
    <w:rsid w:val="00166147"/>
    <w:rsid w:val="00166315"/>
    <w:rsid w:val="0016641F"/>
    <w:rsid w:val="0016663F"/>
    <w:rsid w:val="00166BAD"/>
    <w:rsid w:val="00172FA9"/>
    <w:rsid w:val="00173864"/>
    <w:rsid w:val="00176195"/>
    <w:rsid w:val="001773F7"/>
    <w:rsid w:val="001822DF"/>
    <w:rsid w:val="00183758"/>
    <w:rsid w:val="001838E4"/>
    <w:rsid w:val="00185A06"/>
    <w:rsid w:val="001874CD"/>
    <w:rsid w:val="001968FF"/>
    <w:rsid w:val="001A0D42"/>
    <w:rsid w:val="001A3DFF"/>
    <w:rsid w:val="001A3E7E"/>
    <w:rsid w:val="001A6CCB"/>
    <w:rsid w:val="001A775F"/>
    <w:rsid w:val="001B2D91"/>
    <w:rsid w:val="001B44A8"/>
    <w:rsid w:val="001B4F38"/>
    <w:rsid w:val="001C2663"/>
    <w:rsid w:val="001C51BE"/>
    <w:rsid w:val="001D3E6B"/>
    <w:rsid w:val="001D3EF7"/>
    <w:rsid w:val="001D4A5A"/>
    <w:rsid w:val="001E058B"/>
    <w:rsid w:val="001E0C5E"/>
    <w:rsid w:val="001E2068"/>
    <w:rsid w:val="001E5403"/>
    <w:rsid w:val="001E6B68"/>
    <w:rsid w:val="001F09FA"/>
    <w:rsid w:val="001F1E56"/>
    <w:rsid w:val="00200144"/>
    <w:rsid w:val="002010AB"/>
    <w:rsid w:val="00204FE9"/>
    <w:rsid w:val="002108DF"/>
    <w:rsid w:val="00211E65"/>
    <w:rsid w:val="002123FD"/>
    <w:rsid w:val="002217B5"/>
    <w:rsid w:val="00227AD5"/>
    <w:rsid w:val="002303CF"/>
    <w:rsid w:val="002366FF"/>
    <w:rsid w:val="00240ED0"/>
    <w:rsid w:val="00243AC4"/>
    <w:rsid w:val="00243D37"/>
    <w:rsid w:val="00250FD6"/>
    <w:rsid w:val="00260BB5"/>
    <w:rsid w:val="002623C3"/>
    <w:rsid w:val="00262D16"/>
    <w:rsid w:val="00264B37"/>
    <w:rsid w:val="00265784"/>
    <w:rsid w:val="00272443"/>
    <w:rsid w:val="00292880"/>
    <w:rsid w:val="00296AEF"/>
    <w:rsid w:val="00296ED5"/>
    <w:rsid w:val="002A08EC"/>
    <w:rsid w:val="002A4420"/>
    <w:rsid w:val="002A6939"/>
    <w:rsid w:val="002A6F65"/>
    <w:rsid w:val="002B4E70"/>
    <w:rsid w:val="002B6F68"/>
    <w:rsid w:val="002D0B68"/>
    <w:rsid w:val="002D2765"/>
    <w:rsid w:val="002D2DF5"/>
    <w:rsid w:val="002D52BC"/>
    <w:rsid w:val="002D564E"/>
    <w:rsid w:val="002E04B4"/>
    <w:rsid w:val="002E2F63"/>
    <w:rsid w:val="002E4036"/>
    <w:rsid w:val="002E448C"/>
    <w:rsid w:val="002F19E6"/>
    <w:rsid w:val="002F1A5C"/>
    <w:rsid w:val="002F4012"/>
    <w:rsid w:val="002F6CDD"/>
    <w:rsid w:val="002F7919"/>
    <w:rsid w:val="00303591"/>
    <w:rsid w:val="00305B26"/>
    <w:rsid w:val="00310F3E"/>
    <w:rsid w:val="003133A0"/>
    <w:rsid w:val="003142D9"/>
    <w:rsid w:val="003148D5"/>
    <w:rsid w:val="00316B56"/>
    <w:rsid w:val="00322226"/>
    <w:rsid w:val="00326614"/>
    <w:rsid w:val="00326B48"/>
    <w:rsid w:val="00326CE7"/>
    <w:rsid w:val="003340DF"/>
    <w:rsid w:val="003348AD"/>
    <w:rsid w:val="003438D5"/>
    <w:rsid w:val="00351FD6"/>
    <w:rsid w:val="003527DA"/>
    <w:rsid w:val="00354CFE"/>
    <w:rsid w:val="00355D43"/>
    <w:rsid w:val="00357BCD"/>
    <w:rsid w:val="00363EB8"/>
    <w:rsid w:val="003672BD"/>
    <w:rsid w:val="00373C80"/>
    <w:rsid w:val="00375D35"/>
    <w:rsid w:val="003762B9"/>
    <w:rsid w:val="003778AD"/>
    <w:rsid w:val="00381983"/>
    <w:rsid w:val="00392E30"/>
    <w:rsid w:val="003978F0"/>
    <w:rsid w:val="003A4E18"/>
    <w:rsid w:val="003A63F3"/>
    <w:rsid w:val="003A7FB2"/>
    <w:rsid w:val="003C2093"/>
    <w:rsid w:val="003C3DCE"/>
    <w:rsid w:val="003D1CE7"/>
    <w:rsid w:val="003D1D28"/>
    <w:rsid w:val="003E0E32"/>
    <w:rsid w:val="003E105B"/>
    <w:rsid w:val="003E48C1"/>
    <w:rsid w:val="003F1809"/>
    <w:rsid w:val="003F4812"/>
    <w:rsid w:val="00400C03"/>
    <w:rsid w:val="00401DB7"/>
    <w:rsid w:val="00404197"/>
    <w:rsid w:val="00404AE9"/>
    <w:rsid w:val="00406E36"/>
    <w:rsid w:val="0041263A"/>
    <w:rsid w:val="0041378C"/>
    <w:rsid w:val="00413B08"/>
    <w:rsid w:val="00415BFA"/>
    <w:rsid w:val="00420FAB"/>
    <w:rsid w:val="00432610"/>
    <w:rsid w:val="00441DFF"/>
    <w:rsid w:val="004452DE"/>
    <w:rsid w:val="00447A49"/>
    <w:rsid w:val="004633A2"/>
    <w:rsid w:val="00465668"/>
    <w:rsid w:val="00475FAF"/>
    <w:rsid w:val="0048237F"/>
    <w:rsid w:val="00483DC1"/>
    <w:rsid w:val="004861E5"/>
    <w:rsid w:val="00486685"/>
    <w:rsid w:val="00491244"/>
    <w:rsid w:val="00491604"/>
    <w:rsid w:val="00496CB9"/>
    <w:rsid w:val="004A1C7B"/>
    <w:rsid w:val="004A3E15"/>
    <w:rsid w:val="004A4A0F"/>
    <w:rsid w:val="004B06D3"/>
    <w:rsid w:val="004B2900"/>
    <w:rsid w:val="004B3D2B"/>
    <w:rsid w:val="004B6954"/>
    <w:rsid w:val="004C0E70"/>
    <w:rsid w:val="004C4F3B"/>
    <w:rsid w:val="004C5A3A"/>
    <w:rsid w:val="004C5C8A"/>
    <w:rsid w:val="004C5EF0"/>
    <w:rsid w:val="004D3782"/>
    <w:rsid w:val="004D3F89"/>
    <w:rsid w:val="004D4061"/>
    <w:rsid w:val="004D4209"/>
    <w:rsid w:val="004D6C39"/>
    <w:rsid w:val="004E2E0B"/>
    <w:rsid w:val="004E57FF"/>
    <w:rsid w:val="004F589B"/>
    <w:rsid w:val="004F7371"/>
    <w:rsid w:val="0050222A"/>
    <w:rsid w:val="0050486A"/>
    <w:rsid w:val="005122FC"/>
    <w:rsid w:val="00512A91"/>
    <w:rsid w:val="00516FFF"/>
    <w:rsid w:val="005174AE"/>
    <w:rsid w:val="0052391E"/>
    <w:rsid w:val="005239D9"/>
    <w:rsid w:val="005252C8"/>
    <w:rsid w:val="00525B40"/>
    <w:rsid w:val="00535F4D"/>
    <w:rsid w:val="00541F84"/>
    <w:rsid w:val="0054298F"/>
    <w:rsid w:val="0054475B"/>
    <w:rsid w:val="00546CEA"/>
    <w:rsid w:val="005526CA"/>
    <w:rsid w:val="00552D84"/>
    <w:rsid w:val="00560374"/>
    <w:rsid w:val="00564BF5"/>
    <w:rsid w:val="005679FC"/>
    <w:rsid w:val="00576021"/>
    <w:rsid w:val="005766EE"/>
    <w:rsid w:val="00582554"/>
    <w:rsid w:val="00583CD7"/>
    <w:rsid w:val="005856EF"/>
    <w:rsid w:val="005922AA"/>
    <w:rsid w:val="005A0ABA"/>
    <w:rsid w:val="005A0C87"/>
    <w:rsid w:val="005A3C98"/>
    <w:rsid w:val="005B52B3"/>
    <w:rsid w:val="005B6032"/>
    <w:rsid w:val="005B6822"/>
    <w:rsid w:val="005C32DE"/>
    <w:rsid w:val="005D33E6"/>
    <w:rsid w:val="005D39EA"/>
    <w:rsid w:val="005D46B7"/>
    <w:rsid w:val="005D4DBC"/>
    <w:rsid w:val="005D5AFB"/>
    <w:rsid w:val="005D63EC"/>
    <w:rsid w:val="005E0731"/>
    <w:rsid w:val="005E297C"/>
    <w:rsid w:val="005F1A7A"/>
    <w:rsid w:val="005F4B43"/>
    <w:rsid w:val="0060020E"/>
    <w:rsid w:val="0060280F"/>
    <w:rsid w:val="00605128"/>
    <w:rsid w:val="006118CC"/>
    <w:rsid w:val="00612175"/>
    <w:rsid w:val="0062681C"/>
    <w:rsid w:val="00626FF4"/>
    <w:rsid w:val="006331E4"/>
    <w:rsid w:val="0063433E"/>
    <w:rsid w:val="0063553A"/>
    <w:rsid w:val="00635AAE"/>
    <w:rsid w:val="00637BB7"/>
    <w:rsid w:val="006404F2"/>
    <w:rsid w:val="0064280A"/>
    <w:rsid w:val="00644EF6"/>
    <w:rsid w:val="00646F20"/>
    <w:rsid w:val="00647D82"/>
    <w:rsid w:val="00650F13"/>
    <w:rsid w:val="0065442E"/>
    <w:rsid w:val="006566E6"/>
    <w:rsid w:val="00662E73"/>
    <w:rsid w:val="00666DB5"/>
    <w:rsid w:val="00666DDA"/>
    <w:rsid w:val="006759D6"/>
    <w:rsid w:val="00677380"/>
    <w:rsid w:val="00677B46"/>
    <w:rsid w:val="006805DB"/>
    <w:rsid w:val="00680BF5"/>
    <w:rsid w:val="00682A52"/>
    <w:rsid w:val="006861F4"/>
    <w:rsid w:val="0068792E"/>
    <w:rsid w:val="00696114"/>
    <w:rsid w:val="00696239"/>
    <w:rsid w:val="00696F34"/>
    <w:rsid w:val="006A527E"/>
    <w:rsid w:val="006B19CF"/>
    <w:rsid w:val="006B600F"/>
    <w:rsid w:val="006B7AAC"/>
    <w:rsid w:val="006C122C"/>
    <w:rsid w:val="006C6F53"/>
    <w:rsid w:val="006D0822"/>
    <w:rsid w:val="006D5FF8"/>
    <w:rsid w:val="006E0AD0"/>
    <w:rsid w:val="006E3558"/>
    <w:rsid w:val="006F321B"/>
    <w:rsid w:val="006F5B83"/>
    <w:rsid w:val="006F6522"/>
    <w:rsid w:val="00701A2B"/>
    <w:rsid w:val="00704253"/>
    <w:rsid w:val="00710F68"/>
    <w:rsid w:val="00711753"/>
    <w:rsid w:val="00713335"/>
    <w:rsid w:val="00713BFC"/>
    <w:rsid w:val="007167E0"/>
    <w:rsid w:val="00720317"/>
    <w:rsid w:val="007207E5"/>
    <w:rsid w:val="00735404"/>
    <w:rsid w:val="0073628B"/>
    <w:rsid w:val="00741589"/>
    <w:rsid w:val="0074166F"/>
    <w:rsid w:val="0074168A"/>
    <w:rsid w:val="00751FD1"/>
    <w:rsid w:val="0075664D"/>
    <w:rsid w:val="007700E1"/>
    <w:rsid w:val="00773CA0"/>
    <w:rsid w:val="0077776F"/>
    <w:rsid w:val="00780AA1"/>
    <w:rsid w:val="0078298C"/>
    <w:rsid w:val="007927B3"/>
    <w:rsid w:val="007A0BF7"/>
    <w:rsid w:val="007A7BFE"/>
    <w:rsid w:val="007B267E"/>
    <w:rsid w:val="007C3B4C"/>
    <w:rsid w:val="007C3EC8"/>
    <w:rsid w:val="007C5BF0"/>
    <w:rsid w:val="007C69AB"/>
    <w:rsid w:val="007D0D03"/>
    <w:rsid w:val="007D7789"/>
    <w:rsid w:val="007E1145"/>
    <w:rsid w:val="007E1CC9"/>
    <w:rsid w:val="007E5102"/>
    <w:rsid w:val="007E6D58"/>
    <w:rsid w:val="007E7006"/>
    <w:rsid w:val="007F443E"/>
    <w:rsid w:val="00801E1E"/>
    <w:rsid w:val="00802B84"/>
    <w:rsid w:val="008038B6"/>
    <w:rsid w:val="00803925"/>
    <w:rsid w:val="00804E53"/>
    <w:rsid w:val="00804F20"/>
    <w:rsid w:val="0080732A"/>
    <w:rsid w:val="008101D1"/>
    <w:rsid w:val="00811405"/>
    <w:rsid w:val="0081266E"/>
    <w:rsid w:val="00816A64"/>
    <w:rsid w:val="0082044C"/>
    <w:rsid w:val="008224FA"/>
    <w:rsid w:val="0082486A"/>
    <w:rsid w:val="00841E3D"/>
    <w:rsid w:val="008455E8"/>
    <w:rsid w:val="00851D56"/>
    <w:rsid w:val="00853FF5"/>
    <w:rsid w:val="008610B0"/>
    <w:rsid w:val="008737FA"/>
    <w:rsid w:val="00882E6D"/>
    <w:rsid w:val="00884CB3"/>
    <w:rsid w:val="00893D9F"/>
    <w:rsid w:val="008A4530"/>
    <w:rsid w:val="008B0F03"/>
    <w:rsid w:val="008B165A"/>
    <w:rsid w:val="008B2364"/>
    <w:rsid w:val="008B2D1E"/>
    <w:rsid w:val="008B4AF4"/>
    <w:rsid w:val="008B799E"/>
    <w:rsid w:val="008C7376"/>
    <w:rsid w:val="008D197F"/>
    <w:rsid w:val="008D6AE8"/>
    <w:rsid w:val="008E3BA5"/>
    <w:rsid w:val="008F2D2A"/>
    <w:rsid w:val="00902983"/>
    <w:rsid w:val="00902CC5"/>
    <w:rsid w:val="00903272"/>
    <w:rsid w:val="00906617"/>
    <w:rsid w:val="00906AB0"/>
    <w:rsid w:val="00911687"/>
    <w:rsid w:val="0091443C"/>
    <w:rsid w:val="00914D50"/>
    <w:rsid w:val="00916F24"/>
    <w:rsid w:val="00921B14"/>
    <w:rsid w:val="00930800"/>
    <w:rsid w:val="00936F90"/>
    <w:rsid w:val="009374F8"/>
    <w:rsid w:val="0093782B"/>
    <w:rsid w:val="00944BA0"/>
    <w:rsid w:val="00945CB7"/>
    <w:rsid w:val="00946B0E"/>
    <w:rsid w:val="00950232"/>
    <w:rsid w:val="009566BC"/>
    <w:rsid w:val="00964A6C"/>
    <w:rsid w:val="009720A4"/>
    <w:rsid w:val="00984DC2"/>
    <w:rsid w:val="00987BE9"/>
    <w:rsid w:val="00992234"/>
    <w:rsid w:val="00993CB9"/>
    <w:rsid w:val="00994AD2"/>
    <w:rsid w:val="00996E6D"/>
    <w:rsid w:val="009B012A"/>
    <w:rsid w:val="009B0907"/>
    <w:rsid w:val="009B0951"/>
    <w:rsid w:val="009B40B1"/>
    <w:rsid w:val="009B4C13"/>
    <w:rsid w:val="009C13A1"/>
    <w:rsid w:val="009C2216"/>
    <w:rsid w:val="009C6CD9"/>
    <w:rsid w:val="009C728C"/>
    <w:rsid w:val="009C7317"/>
    <w:rsid w:val="009D692E"/>
    <w:rsid w:val="009E10DA"/>
    <w:rsid w:val="009E2CF3"/>
    <w:rsid w:val="009E3DEE"/>
    <w:rsid w:val="009E4179"/>
    <w:rsid w:val="009E4C43"/>
    <w:rsid w:val="009F280E"/>
    <w:rsid w:val="009F525A"/>
    <w:rsid w:val="00A04111"/>
    <w:rsid w:val="00A06BAC"/>
    <w:rsid w:val="00A120D4"/>
    <w:rsid w:val="00A2409A"/>
    <w:rsid w:val="00A24C37"/>
    <w:rsid w:val="00A32E23"/>
    <w:rsid w:val="00A34170"/>
    <w:rsid w:val="00A36704"/>
    <w:rsid w:val="00A3758B"/>
    <w:rsid w:val="00A4208F"/>
    <w:rsid w:val="00A467DC"/>
    <w:rsid w:val="00A52333"/>
    <w:rsid w:val="00A53DE0"/>
    <w:rsid w:val="00A55E13"/>
    <w:rsid w:val="00A63F8E"/>
    <w:rsid w:val="00A70584"/>
    <w:rsid w:val="00A70D9E"/>
    <w:rsid w:val="00A71E9A"/>
    <w:rsid w:val="00A722F7"/>
    <w:rsid w:val="00A73052"/>
    <w:rsid w:val="00A77907"/>
    <w:rsid w:val="00A77E22"/>
    <w:rsid w:val="00A84231"/>
    <w:rsid w:val="00A85D86"/>
    <w:rsid w:val="00A96555"/>
    <w:rsid w:val="00AA01FF"/>
    <w:rsid w:val="00AA6DF9"/>
    <w:rsid w:val="00AC42EE"/>
    <w:rsid w:val="00AC577C"/>
    <w:rsid w:val="00AC7806"/>
    <w:rsid w:val="00AD10B5"/>
    <w:rsid w:val="00AD3B9A"/>
    <w:rsid w:val="00AD4C06"/>
    <w:rsid w:val="00AD5DD5"/>
    <w:rsid w:val="00AD68E6"/>
    <w:rsid w:val="00AE293D"/>
    <w:rsid w:val="00AE4374"/>
    <w:rsid w:val="00AE5FB3"/>
    <w:rsid w:val="00AF0998"/>
    <w:rsid w:val="00AF6E65"/>
    <w:rsid w:val="00B01282"/>
    <w:rsid w:val="00B06EE7"/>
    <w:rsid w:val="00B0742B"/>
    <w:rsid w:val="00B07D8F"/>
    <w:rsid w:val="00B16B92"/>
    <w:rsid w:val="00B21807"/>
    <w:rsid w:val="00B231F2"/>
    <w:rsid w:val="00B23F81"/>
    <w:rsid w:val="00B24737"/>
    <w:rsid w:val="00B27DC7"/>
    <w:rsid w:val="00B32952"/>
    <w:rsid w:val="00B404E6"/>
    <w:rsid w:val="00B40DAD"/>
    <w:rsid w:val="00B422C8"/>
    <w:rsid w:val="00B450C3"/>
    <w:rsid w:val="00B4539B"/>
    <w:rsid w:val="00B472E1"/>
    <w:rsid w:val="00B571B6"/>
    <w:rsid w:val="00B61F88"/>
    <w:rsid w:val="00B647F9"/>
    <w:rsid w:val="00B73F9B"/>
    <w:rsid w:val="00B74ED5"/>
    <w:rsid w:val="00B84AB6"/>
    <w:rsid w:val="00B95B08"/>
    <w:rsid w:val="00BA0114"/>
    <w:rsid w:val="00BA2805"/>
    <w:rsid w:val="00BA3710"/>
    <w:rsid w:val="00BB0C35"/>
    <w:rsid w:val="00BB18EB"/>
    <w:rsid w:val="00BB4C95"/>
    <w:rsid w:val="00BB7221"/>
    <w:rsid w:val="00BC2F51"/>
    <w:rsid w:val="00BC3719"/>
    <w:rsid w:val="00BD000B"/>
    <w:rsid w:val="00BD318C"/>
    <w:rsid w:val="00BD4ED2"/>
    <w:rsid w:val="00BE0EBD"/>
    <w:rsid w:val="00BE1986"/>
    <w:rsid w:val="00BE6910"/>
    <w:rsid w:val="00BE728F"/>
    <w:rsid w:val="00BE7E09"/>
    <w:rsid w:val="00C0231E"/>
    <w:rsid w:val="00C04FEA"/>
    <w:rsid w:val="00C07B68"/>
    <w:rsid w:val="00C10F5E"/>
    <w:rsid w:val="00C11A90"/>
    <w:rsid w:val="00C15B4C"/>
    <w:rsid w:val="00C21F0A"/>
    <w:rsid w:val="00C26A0E"/>
    <w:rsid w:val="00C36FC1"/>
    <w:rsid w:val="00C43652"/>
    <w:rsid w:val="00C43A9D"/>
    <w:rsid w:val="00C453D2"/>
    <w:rsid w:val="00C476B2"/>
    <w:rsid w:val="00C47AD5"/>
    <w:rsid w:val="00C50D90"/>
    <w:rsid w:val="00C55BBA"/>
    <w:rsid w:val="00C57EF6"/>
    <w:rsid w:val="00C60167"/>
    <w:rsid w:val="00C607A1"/>
    <w:rsid w:val="00C6111D"/>
    <w:rsid w:val="00C61C2C"/>
    <w:rsid w:val="00C64B3A"/>
    <w:rsid w:val="00C67888"/>
    <w:rsid w:val="00C67E7F"/>
    <w:rsid w:val="00C74FE8"/>
    <w:rsid w:val="00C85FCC"/>
    <w:rsid w:val="00C86AA8"/>
    <w:rsid w:val="00C95684"/>
    <w:rsid w:val="00CA6237"/>
    <w:rsid w:val="00CA75A5"/>
    <w:rsid w:val="00CB05EA"/>
    <w:rsid w:val="00CB2199"/>
    <w:rsid w:val="00CB238A"/>
    <w:rsid w:val="00CB2461"/>
    <w:rsid w:val="00CB2F4B"/>
    <w:rsid w:val="00CB3773"/>
    <w:rsid w:val="00CC6E29"/>
    <w:rsid w:val="00CC6EB5"/>
    <w:rsid w:val="00CD3572"/>
    <w:rsid w:val="00CD499F"/>
    <w:rsid w:val="00CD4AA5"/>
    <w:rsid w:val="00CD684F"/>
    <w:rsid w:val="00CF2859"/>
    <w:rsid w:val="00CF4633"/>
    <w:rsid w:val="00CF59AC"/>
    <w:rsid w:val="00CF7651"/>
    <w:rsid w:val="00D01332"/>
    <w:rsid w:val="00D01653"/>
    <w:rsid w:val="00D025FA"/>
    <w:rsid w:val="00D02913"/>
    <w:rsid w:val="00D07898"/>
    <w:rsid w:val="00D078BC"/>
    <w:rsid w:val="00D13A9C"/>
    <w:rsid w:val="00D14D9D"/>
    <w:rsid w:val="00D16981"/>
    <w:rsid w:val="00D205A2"/>
    <w:rsid w:val="00D227A5"/>
    <w:rsid w:val="00D24ABA"/>
    <w:rsid w:val="00D2790E"/>
    <w:rsid w:val="00D30CA2"/>
    <w:rsid w:val="00D32222"/>
    <w:rsid w:val="00D33DE2"/>
    <w:rsid w:val="00D37DE1"/>
    <w:rsid w:val="00D40810"/>
    <w:rsid w:val="00D50116"/>
    <w:rsid w:val="00D522EA"/>
    <w:rsid w:val="00D5272D"/>
    <w:rsid w:val="00D61A58"/>
    <w:rsid w:val="00D62CB2"/>
    <w:rsid w:val="00D6603A"/>
    <w:rsid w:val="00D7145F"/>
    <w:rsid w:val="00D72BBA"/>
    <w:rsid w:val="00D74556"/>
    <w:rsid w:val="00D75073"/>
    <w:rsid w:val="00D76583"/>
    <w:rsid w:val="00D831F6"/>
    <w:rsid w:val="00D8517E"/>
    <w:rsid w:val="00D8562C"/>
    <w:rsid w:val="00D86210"/>
    <w:rsid w:val="00D86E8A"/>
    <w:rsid w:val="00D87410"/>
    <w:rsid w:val="00D87ED3"/>
    <w:rsid w:val="00D91ED0"/>
    <w:rsid w:val="00D9376F"/>
    <w:rsid w:val="00D9692E"/>
    <w:rsid w:val="00DA04D8"/>
    <w:rsid w:val="00DA13D1"/>
    <w:rsid w:val="00DA3907"/>
    <w:rsid w:val="00DA6CD9"/>
    <w:rsid w:val="00DB07D6"/>
    <w:rsid w:val="00DB201D"/>
    <w:rsid w:val="00DB31D1"/>
    <w:rsid w:val="00DB7100"/>
    <w:rsid w:val="00DC11E2"/>
    <w:rsid w:val="00DD5339"/>
    <w:rsid w:val="00DD53BF"/>
    <w:rsid w:val="00DE0830"/>
    <w:rsid w:val="00DE0C36"/>
    <w:rsid w:val="00DE0CD4"/>
    <w:rsid w:val="00DE1E63"/>
    <w:rsid w:val="00DE76DA"/>
    <w:rsid w:val="00DF1C4B"/>
    <w:rsid w:val="00DF64E7"/>
    <w:rsid w:val="00E02F90"/>
    <w:rsid w:val="00E06BFA"/>
    <w:rsid w:val="00E072F9"/>
    <w:rsid w:val="00E15002"/>
    <w:rsid w:val="00E215EA"/>
    <w:rsid w:val="00E2200F"/>
    <w:rsid w:val="00E232C7"/>
    <w:rsid w:val="00E2713F"/>
    <w:rsid w:val="00E3047C"/>
    <w:rsid w:val="00E327AA"/>
    <w:rsid w:val="00E343BE"/>
    <w:rsid w:val="00E45F99"/>
    <w:rsid w:val="00E52A43"/>
    <w:rsid w:val="00E53134"/>
    <w:rsid w:val="00E5393D"/>
    <w:rsid w:val="00E55C8F"/>
    <w:rsid w:val="00E56EF4"/>
    <w:rsid w:val="00E61C5F"/>
    <w:rsid w:val="00E64C2C"/>
    <w:rsid w:val="00E66193"/>
    <w:rsid w:val="00E66D37"/>
    <w:rsid w:val="00E67DCE"/>
    <w:rsid w:val="00E70AA3"/>
    <w:rsid w:val="00E75A0E"/>
    <w:rsid w:val="00E76301"/>
    <w:rsid w:val="00E768B6"/>
    <w:rsid w:val="00E76D4D"/>
    <w:rsid w:val="00E7743E"/>
    <w:rsid w:val="00E85DF9"/>
    <w:rsid w:val="00E87439"/>
    <w:rsid w:val="00E90796"/>
    <w:rsid w:val="00E92D70"/>
    <w:rsid w:val="00E93AEB"/>
    <w:rsid w:val="00E978D6"/>
    <w:rsid w:val="00EA15F8"/>
    <w:rsid w:val="00EA3D46"/>
    <w:rsid w:val="00EA5DA7"/>
    <w:rsid w:val="00EA765E"/>
    <w:rsid w:val="00EA7C79"/>
    <w:rsid w:val="00EB5742"/>
    <w:rsid w:val="00EB5D73"/>
    <w:rsid w:val="00EB6D75"/>
    <w:rsid w:val="00EB6FFB"/>
    <w:rsid w:val="00EC1948"/>
    <w:rsid w:val="00EC3423"/>
    <w:rsid w:val="00EC474D"/>
    <w:rsid w:val="00EC573C"/>
    <w:rsid w:val="00EC639B"/>
    <w:rsid w:val="00ED1288"/>
    <w:rsid w:val="00ED159C"/>
    <w:rsid w:val="00ED2353"/>
    <w:rsid w:val="00ED2ABE"/>
    <w:rsid w:val="00ED757E"/>
    <w:rsid w:val="00ED7FCB"/>
    <w:rsid w:val="00EE1D35"/>
    <w:rsid w:val="00EE3C34"/>
    <w:rsid w:val="00EE5040"/>
    <w:rsid w:val="00EE62C1"/>
    <w:rsid w:val="00EF10BF"/>
    <w:rsid w:val="00EF283B"/>
    <w:rsid w:val="00EF57B4"/>
    <w:rsid w:val="00EF6769"/>
    <w:rsid w:val="00F0200C"/>
    <w:rsid w:val="00F035E9"/>
    <w:rsid w:val="00F03C60"/>
    <w:rsid w:val="00F07915"/>
    <w:rsid w:val="00F12316"/>
    <w:rsid w:val="00F14D0F"/>
    <w:rsid w:val="00F3014E"/>
    <w:rsid w:val="00F34CEE"/>
    <w:rsid w:val="00F3629C"/>
    <w:rsid w:val="00F44B73"/>
    <w:rsid w:val="00F50243"/>
    <w:rsid w:val="00F57E41"/>
    <w:rsid w:val="00F60B56"/>
    <w:rsid w:val="00F636CA"/>
    <w:rsid w:val="00F63922"/>
    <w:rsid w:val="00F67BD7"/>
    <w:rsid w:val="00F748D7"/>
    <w:rsid w:val="00F7565B"/>
    <w:rsid w:val="00F764A6"/>
    <w:rsid w:val="00F819F4"/>
    <w:rsid w:val="00F86CBB"/>
    <w:rsid w:val="00F924C1"/>
    <w:rsid w:val="00F9351F"/>
    <w:rsid w:val="00F9448A"/>
    <w:rsid w:val="00F97FDB"/>
    <w:rsid w:val="00FA096F"/>
    <w:rsid w:val="00FA68ED"/>
    <w:rsid w:val="00FC1AC5"/>
    <w:rsid w:val="00FC1EA9"/>
    <w:rsid w:val="00FC396A"/>
    <w:rsid w:val="00FC3BD2"/>
    <w:rsid w:val="00FC54D1"/>
    <w:rsid w:val="00FC735A"/>
    <w:rsid w:val="00FC7B6D"/>
    <w:rsid w:val="00FD1D67"/>
    <w:rsid w:val="00FD21BF"/>
    <w:rsid w:val="00FD302B"/>
    <w:rsid w:val="00FE37B0"/>
    <w:rsid w:val="00FF7E05"/>
  </w:rsids>
  <m:mathPr>
    <m:mathFont m:val="Cambria Math"/>
    <m:brkBin m:val="before"/>
    <m:brkBinSub m:val="--"/>
    <m:smallFrac/>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4679D"/>
  <w15:chartTrackingRefBased/>
  <w15:docId w15:val="{1ADBC9A3-0EAC-4928-A95B-5211C8FB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E23"/>
    <w:pPr>
      <w:suppressAutoHyphens/>
      <w:spacing w:after="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2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25A"/>
    <w:rPr>
      <w:rFonts w:ascii="Segoe UI" w:hAnsi="Segoe UI" w:cs="Segoe UI"/>
      <w:sz w:val="18"/>
      <w:szCs w:val="18"/>
    </w:rPr>
  </w:style>
  <w:style w:type="character" w:styleId="CommentReference">
    <w:name w:val="annotation reference"/>
    <w:basedOn w:val="DefaultParagraphFont"/>
    <w:uiPriority w:val="99"/>
    <w:semiHidden/>
    <w:unhideWhenUsed/>
    <w:qFormat/>
    <w:rsid w:val="009F525A"/>
    <w:rPr>
      <w:sz w:val="16"/>
      <w:szCs w:val="16"/>
    </w:rPr>
  </w:style>
  <w:style w:type="character" w:customStyle="1" w:styleId="CommentTextChar">
    <w:name w:val="Comment Text Char"/>
    <w:basedOn w:val="DefaultParagraphFont"/>
    <w:link w:val="CommentText"/>
    <w:uiPriority w:val="99"/>
    <w:semiHidden/>
    <w:qFormat/>
    <w:rsid w:val="009F525A"/>
    <w:rPr>
      <w:sz w:val="20"/>
      <w:szCs w:val="20"/>
    </w:rPr>
  </w:style>
  <w:style w:type="paragraph" w:styleId="CommentText">
    <w:name w:val="annotation text"/>
    <w:basedOn w:val="Normal"/>
    <w:link w:val="CommentTextChar"/>
    <w:uiPriority w:val="99"/>
    <w:semiHidden/>
    <w:unhideWhenUsed/>
    <w:qFormat/>
    <w:rsid w:val="009F525A"/>
    <w:pPr>
      <w:spacing w:line="240" w:lineRule="auto"/>
    </w:pPr>
    <w:rPr>
      <w:sz w:val="20"/>
      <w:szCs w:val="20"/>
    </w:rPr>
  </w:style>
  <w:style w:type="character" w:customStyle="1" w:styleId="CommentTextChar1">
    <w:name w:val="Comment Text Char1"/>
    <w:basedOn w:val="DefaultParagraphFont"/>
    <w:uiPriority w:val="99"/>
    <w:semiHidden/>
    <w:rsid w:val="009F525A"/>
    <w:rPr>
      <w:sz w:val="20"/>
      <w:szCs w:val="20"/>
    </w:rPr>
  </w:style>
  <w:style w:type="paragraph" w:styleId="CommentSubject">
    <w:name w:val="annotation subject"/>
    <w:basedOn w:val="CommentText"/>
    <w:next w:val="CommentText"/>
    <w:link w:val="CommentSubjectChar"/>
    <w:uiPriority w:val="99"/>
    <w:semiHidden/>
    <w:unhideWhenUsed/>
    <w:rsid w:val="009F525A"/>
    <w:rPr>
      <w:b/>
      <w:bCs/>
    </w:rPr>
  </w:style>
  <w:style w:type="character" w:customStyle="1" w:styleId="CommentSubjectChar">
    <w:name w:val="Comment Subject Char"/>
    <w:basedOn w:val="CommentTextChar"/>
    <w:link w:val="CommentSubject"/>
    <w:uiPriority w:val="99"/>
    <w:semiHidden/>
    <w:rsid w:val="009F525A"/>
    <w:rPr>
      <w:b/>
      <w:bCs/>
      <w:sz w:val="20"/>
      <w:szCs w:val="20"/>
    </w:rPr>
  </w:style>
  <w:style w:type="paragraph" w:styleId="NormalWeb">
    <w:name w:val="Normal (Web)"/>
    <w:basedOn w:val="Normal"/>
    <w:uiPriority w:val="99"/>
    <w:semiHidden/>
    <w:unhideWhenUsed/>
    <w:rsid w:val="009F525A"/>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C5A3A"/>
    <w:pPr>
      <w:ind w:left="720"/>
      <w:contextualSpacing/>
    </w:pPr>
  </w:style>
  <w:style w:type="paragraph" w:styleId="Header">
    <w:name w:val="header"/>
    <w:basedOn w:val="Normal"/>
    <w:link w:val="HeaderChar"/>
    <w:uiPriority w:val="99"/>
    <w:unhideWhenUsed/>
    <w:rsid w:val="00404AE9"/>
    <w:pPr>
      <w:tabs>
        <w:tab w:val="center" w:pos="4513"/>
        <w:tab w:val="right" w:pos="9026"/>
      </w:tabs>
      <w:spacing w:line="240" w:lineRule="auto"/>
    </w:pPr>
  </w:style>
  <w:style w:type="character" w:customStyle="1" w:styleId="HeaderChar">
    <w:name w:val="Header Char"/>
    <w:basedOn w:val="DefaultParagraphFont"/>
    <w:link w:val="Header"/>
    <w:uiPriority w:val="99"/>
    <w:rsid w:val="00404AE9"/>
  </w:style>
  <w:style w:type="paragraph" w:styleId="Footer">
    <w:name w:val="footer"/>
    <w:basedOn w:val="Normal"/>
    <w:link w:val="FooterChar"/>
    <w:uiPriority w:val="99"/>
    <w:unhideWhenUsed/>
    <w:rsid w:val="00404AE9"/>
    <w:pPr>
      <w:tabs>
        <w:tab w:val="center" w:pos="4513"/>
        <w:tab w:val="right" w:pos="9026"/>
      </w:tabs>
      <w:spacing w:line="240" w:lineRule="auto"/>
    </w:pPr>
  </w:style>
  <w:style w:type="character" w:customStyle="1" w:styleId="FooterChar">
    <w:name w:val="Footer Char"/>
    <w:basedOn w:val="DefaultParagraphFont"/>
    <w:link w:val="Footer"/>
    <w:uiPriority w:val="99"/>
    <w:rsid w:val="00404AE9"/>
  </w:style>
  <w:style w:type="paragraph" w:customStyle="1" w:styleId="Normal0">
    <w:name w:val="Normal0"/>
    <w:basedOn w:val="Normal"/>
    <w:uiPriority w:val="99"/>
    <w:rsid w:val="00A24C37"/>
    <w:pPr>
      <w:suppressAutoHyphens w:val="0"/>
      <w:autoSpaceDE w:val="0"/>
      <w:autoSpaceDN w:val="0"/>
      <w:adjustRightInd w:val="0"/>
    </w:pPr>
    <w:rPr>
      <w:rFonts w:ascii="Calibri" w:hAnsi="Calibri" w:cs="Calibri"/>
    </w:rPr>
  </w:style>
  <w:style w:type="paragraph" w:customStyle="1" w:styleId="Normal1">
    <w:name w:val="[Normal]"/>
    <w:uiPriority w:val="99"/>
    <w:rsid w:val="004B6954"/>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FD1D67"/>
    <w:rPr>
      <w:color w:val="0563C1" w:themeColor="hyperlink"/>
      <w:u w:val="single"/>
    </w:rPr>
  </w:style>
  <w:style w:type="character" w:customStyle="1" w:styleId="UnresolvedMention1">
    <w:name w:val="Unresolved Mention1"/>
    <w:basedOn w:val="DefaultParagraphFont"/>
    <w:uiPriority w:val="99"/>
    <w:semiHidden/>
    <w:unhideWhenUsed/>
    <w:rsid w:val="00FD1D67"/>
    <w:rPr>
      <w:color w:val="605E5C"/>
      <w:shd w:val="clear" w:color="auto" w:fill="E1DFDD"/>
    </w:rPr>
  </w:style>
  <w:style w:type="character" w:customStyle="1" w:styleId="UnresolvedMention2">
    <w:name w:val="Unresolved Mention2"/>
    <w:basedOn w:val="DefaultParagraphFont"/>
    <w:uiPriority w:val="99"/>
    <w:semiHidden/>
    <w:unhideWhenUsed/>
    <w:rsid w:val="001C51BE"/>
    <w:rPr>
      <w:color w:val="605E5C"/>
      <w:shd w:val="clear" w:color="auto" w:fill="E1DFDD"/>
    </w:rPr>
  </w:style>
  <w:style w:type="character" w:styleId="UnresolvedMention">
    <w:name w:val="Unresolved Mention"/>
    <w:basedOn w:val="DefaultParagraphFont"/>
    <w:uiPriority w:val="99"/>
    <w:semiHidden/>
    <w:unhideWhenUsed/>
    <w:rsid w:val="00272443"/>
    <w:rPr>
      <w:color w:val="605E5C"/>
      <w:shd w:val="clear" w:color="auto" w:fill="E1DFDD"/>
    </w:rPr>
  </w:style>
  <w:style w:type="paragraph" w:customStyle="1" w:styleId="nova-legacy-e-listitem">
    <w:name w:val="nova-legacy-e-list__item"/>
    <w:basedOn w:val="Normal"/>
    <w:rsid w:val="00DE1E63"/>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textGJSD">
    <w:name w:val="body text GJSD"/>
    <w:basedOn w:val="Normal"/>
    <w:qFormat/>
    <w:rsid w:val="00512A91"/>
    <w:pPr>
      <w:suppressAutoHyphens w:val="0"/>
      <w:spacing w:after="160" w:line="259" w:lineRule="auto"/>
      <w:jc w:val="both"/>
    </w:pPr>
    <w:rPr>
      <w:rFonts w:ascii="Times New Roman" w:hAnsi="Times New Roman" w:cs="Times New Roman"/>
      <w:sz w:val="24"/>
      <w:szCs w:val="24"/>
    </w:rPr>
  </w:style>
  <w:style w:type="paragraph" w:customStyle="1" w:styleId="ReferencelistGJSD">
    <w:name w:val="Reference list GJSD"/>
    <w:basedOn w:val="bodytextGJSD"/>
    <w:qFormat/>
    <w:rsid w:val="0054298F"/>
    <w:pPr>
      <w:jc w:val="left"/>
    </w:pPr>
    <w:rPr>
      <w:sz w:val="22"/>
    </w:rPr>
  </w:style>
  <w:style w:type="paragraph" w:customStyle="1" w:styleId="AbstractGJSD">
    <w:name w:val="Abstract GJSD"/>
    <w:basedOn w:val="Normal"/>
    <w:qFormat/>
    <w:rsid w:val="003438D5"/>
    <w:pPr>
      <w:suppressAutoHyphens w:val="0"/>
      <w:spacing w:after="160" w:line="259" w:lineRule="auto"/>
      <w:jc w:val="both"/>
    </w:pPr>
    <w:rPr>
      <w:rFonts w:ascii="Times New Roman" w:hAnsi="Times New Roman" w:cs="Times New Roman"/>
      <w:sz w:val="24"/>
      <w:szCs w:val="24"/>
    </w:rPr>
  </w:style>
  <w:style w:type="paragraph" w:customStyle="1" w:styleId="dx-doi">
    <w:name w:val="dx-doi"/>
    <w:basedOn w:val="Normal"/>
    <w:rsid w:val="00EF57B4"/>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D58B7"/>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sub-subtitleGJSD">
    <w:name w:val="chapter sub-sub title GJSD"/>
    <w:basedOn w:val="Normal"/>
    <w:qFormat/>
    <w:rsid w:val="000D58B7"/>
    <w:pPr>
      <w:keepNext/>
      <w:suppressAutoHyphens w:val="0"/>
      <w:spacing w:after="120" w:line="240" w:lineRule="auto"/>
    </w:pPr>
    <w:rPr>
      <w:rFonts w:ascii="Times New Roman" w:hAnsi="Times New Roman" w:cs="Times New Roman"/>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8426">
      <w:bodyDiv w:val="1"/>
      <w:marLeft w:val="0"/>
      <w:marRight w:val="0"/>
      <w:marTop w:val="0"/>
      <w:marBottom w:val="0"/>
      <w:divBdr>
        <w:top w:val="none" w:sz="0" w:space="0" w:color="auto"/>
        <w:left w:val="none" w:sz="0" w:space="0" w:color="auto"/>
        <w:bottom w:val="none" w:sz="0" w:space="0" w:color="auto"/>
        <w:right w:val="none" w:sz="0" w:space="0" w:color="auto"/>
      </w:divBdr>
      <w:divsChild>
        <w:div w:id="1625652593">
          <w:marLeft w:val="547"/>
          <w:marRight w:val="0"/>
          <w:marTop w:val="0"/>
          <w:marBottom w:val="0"/>
          <w:divBdr>
            <w:top w:val="none" w:sz="0" w:space="0" w:color="auto"/>
            <w:left w:val="none" w:sz="0" w:space="0" w:color="auto"/>
            <w:bottom w:val="none" w:sz="0" w:space="0" w:color="auto"/>
            <w:right w:val="none" w:sz="0" w:space="0" w:color="auto"/>
          </w:divBdr>
        </w:div>
        <w:div w:id="2065568797">
          <w:marLeft w:val="547"/>
          <w:marRight w:val="0"/>
          <w:marTop w:val="0"/>
          <w:marBottom w:val="0"/>
          <w:divBdr>
            <w:top w:val="none" w:sz="0" w:space="0" w:color="auto"/>
            <w:left w:val="none" w:sz="0" w:space="0" w:color="auto"/>
            <w:bottom w:val="none" w:sz="0" w:space="0" w:color="auto"/>
            <w:right w:val="none" w:sz="0" w:space="0" w:color="auto"/>
          </w:divBdr>
        </w:div>
        <w:div w:id="1788890467">
          <w:marLeft w:val="547"/>
          <w:marRight w:val="0"/>
          <w:marTop w:val="0"/>
          <w:marBottom w:val="0"/>
          <w:divBdr>
            <w:top w:val="none" w:sz="0" w:space="0" w:color="auto"/>
            <w:left w:val="none" w:sz="0" w:space="0" w:color="auto"/>
            <w:bottom w:val="none" w:sz="0" w:space="0" w:color="auto"/>
            <w:right w:val="none" w:sz="0" w:space="0" w:color="auto"/>
          </w:divBdr>
        </w:div>
        <w:div w:id="500122179">
          <w:marLeft w:val="547"/>
          <w:marRight w:val="0"/>
          <w:marTop w:val="0"/>
          <w:marBottom w:val="0"/>
          <w:divBdr>
            <w:top w:val="none" w:sz="0" w:space="0" w:color="auto"/>
            <w:left w:val="none" w:sz="0" w:space="0" w:color="auto"/>
            <w:bottom w:val="none" w:sz="0" w:space="0" w:color="auto"/>
            <w:right w:val="none" w:sz="0" w:space="0" w:color="auto"/>
          </w:divBdr>
        </w:div>
        <w:div w:id="653070476">
          <w:marLeft w:val="547"/>
          <w:marRight w:val="0"/>
          <w:marTop w:val="0"/>
          <w:marBottom w:val="0"/>
          <w:divBdr>
            <w:top w:val="none" w:sz="0" w:space="0" w:color="auto"/>
            <w:left w:val="none" w:sz="0" w:space="0" w:color="auto"/>
            <w:bottom w:val="none" w:sz="0" w:space="0" w:color="auto"/>
            <w:right w:val="none" w:sz="0" w:space="0" w:color="auto"/>
          </w:divBdr>
        </w:div>
        <w:div w:id="1034162146">
          <w:marLeft w:val="547"/>
          <w:marRight w:val="0"/>
          <w:marTop w:val="0"/>
          <w:marBottom w:val="0"/>
          <w:divBdr>
            <w:top w:val="none" w:sz="0" w:space="0" w:color="auto"/>
            <w:left w:val="none" w:sz="0" w:space="0" w:color="auto"/>
            <w:bottom w:val="none" w:sz="0" w:space="0" w:color="auto"/>
            <w:right w:val="none" w:sz="0" w:space="0" w:color="auto"/>
          </w:divBdr>
        </w:div>
        <w:div w:id="1698461067">
          <w:marLeft w:val="547"/>
          <w:marRight w:val="0"/>
          <w:marTop w:val="0"/>
          <w:marBottom w:val="0"/>
          <w:divBdr>
            <w:top w:val="none" w:sz="0" w:space="0" w:color="auto"/>
            <w:left w:val="none" w:sz="0" w:space="0" w:color="auto"/>
            <w:bottom w:val="none" w:sz="0" w:space="0" w:color="auto"/>
            <w:right w:val="none" w:sz="0" w:space="0" w:color="auto"/>
          </w:divBdr>
        </w:div>
      </w:divsChild>
    </w:div>
    <w:div w:id="227230051">
      <w:bodyDiv w:val="1"/>
      <w:marLeft w:val="0"/>
      <w:marRight w:val="0"/>
      <w:marTop w:val="0"/>
      <w:marBottom w:val="0"/>
      <w:divBdr>
        <w:top w:val="none" w:sz="0" w:space="0" w:color="auto"/>
        <w:left w:val="none" w:sz="0" w:space="0" w:color="auto"/>
        <w:bottom w:val="none" w:sz="0" w:space="0" w:color="auto"/>
        <w:right w:val="none" w:sz="0" w:space="0" w:color="auto"/>
      </w:divBdr>
    </w:div>
    <w:div w:id="726611795">
      <w:bodyDiv w:val="1"/>
      <w:marLeft w:val="0"/>
      <w:marRight w:val="0"/>
      <w:marTop w:val="0"/>
      <w:marBottom w:val="0"/>
      <w:divBdr>
        <w:top w:val="none" w:sz="0" w:space="0" w:color="auto"/>
        <w:left w:val="none" w:sz="0" w:space="0" w:color="auto"/>
        <w:bottom w:val="none" w:sz="0" w:space="0" w:color="auto"/>
        <w:right w:val="none" w:sz="0" w:space="0" w:color="auto"/>
      </w:divBdr>
    </w:div>
    <w:div w:id="1022367374">
      <w:bodyDiv w:val="1"/>
      <w:marLeft w:val="0"/>
      <w:marRight w:val="0"/>
      <w:marTop w:val="0"/>
      <w:marBottom w:val="0"/>
      <w:divBdr>
        <w:top w:val="none" w:sz="0" w:space="0" w:color="auto"/>
        <w:left w:val="none" w:sz="0" w:space="0" w:color="auto"/>
        <w:bottom w:val="none" w:sz="0" w:space="0" w:color="auto"/>
        <w:right w:val="none" w:sz="0" w:space="0" w:color="auto"/>
      </w:divBdr>
    </w:div>
    <w:div w:id="1103182643">
      <w:bodyDiv w:val="1"/>
      <w:marLeft w:val="0"/>
      <w:marRight w:val="0"/>
      <w:marTop w:val="0"/>
      <w:marBottom w:val="0"/>
      <w:divBdr>
        <w:top w:val="none" w:sz="0" w:space="0" w:color="auto"/>
        <w:left w:val="none" w:sz="0" w:space="0" w:color="auto"/>
        <w:bottom w:val="none" w:sz="0" w:space="0" w:color="auto"/>
        <w:right w:val="none" w:sz="0" w:space="0" w:color="auto"/>
      </w:divBdr>
    </w:div>
    <w:div w:id="1275819028">
      <w:bodyDiv w:val="1"/>
      <w:marLeft w:val="0"/>
      <w:marRight w:val="0"/>
      <w:marTop w:val="0"/>
      <w:marBottom w:val="0"/>
      <w:divBdr>
        <w:top w:val="none" w:sz="0" w:space="0" w:color="auto"/>
        <w:left w:val="none" w:sz="0" w:space="0" w:color="auto"/>
        <w:bottom w:val="none" w:sz="0" w:space="0" w:color="auto"/>
        <w:right w:val="none" w:sz="0" w:space="0" w:color="auto"/>
      </w:divBdr>
    </w:div>
    <w:div w:id="1351298147">
      <w:bodyDiv w:val="1"/>
      <w:marLeft w:val="0"/>
      <w:marRight w:val="0"/>
      <w:marTop w:val="0"/>
      <w:marBottom w:val="0"/>
      <w:divBdr>
        <w:top w:val="none" w:sz="0" w:space="0" w:color="auto"/>
        <w:left w:val="none" w:sz="0" w:space="0" w:color="auto"/>
        <w:bottom w:val="none" w:sz="0" w:space="0" w:color="auto"/>
        <w:right w:val="none" w:sz="0" w:space="0" w:color="auto"/>
      </w:divBdr>
    </w:div>
    <w:div w:id="1352998813">
      <w:bodyDiv w:val="1"/>
      <w:marLeft w:val="0"/>
      <w:marRight w:val="0"/>
      <w:marTop w:val="0"/>
      <w:marBottom w:val="0"/>
      <w:divBdr>
        <w:top w:val="none" w:sz="0" w:space="0" w:color="auto"/>
        <w:left w:val="none" w:sz="0" w:space="0" w:color="auto"/>
        <w:bottom w:val="none" w:sz="0" w:space="0" w:color="auto"/>
        <w:right w:val="none" w:sz="0" w:space="0" w:color="auto"/>
      </w:divBdr>
    </w:div>
    <w:div w:id="1498231891">
      <w:bodyDiv w:val="1"/>
      <w:marLeft w:val="0"/>
      <w:marRight w:val="0"/>
      <w:marTop w:val="0"/>
      <w:marBottom w:val="0"/>
      <w:divBdr>
        <w:top w:val="none" w:sz="0" w:space="0" w:color="auto"/>
        <w:left w:val="none" w:sz="0" w:space="0" w:color="auto"/>
        <w:bottom w:val="none" w:sz="0" w:space="0" w:color="auto"/>
        <w:right w:val="none" w:sz="0" w:space="0" w:color="auto"/>
      </w:divBdr>
    </w:div>
    <w:div w:id="1609122828">
      <w:bodyDiv w:val="1"/>
      <w:marLeft w:val="0"/>
      <w:marRight w:val="0"/>
      <w:marTop w:val="0"/>
      <w:marBottom w:val="0"/>
      <w:divBdr>
        <w:top w:val="none" w:sz="0" w:space="0" w:color="auto"/>
        <w:left w:val="none" w:sz="0" w:space="0" w:color="auto"/>
        <w:bottom w:val="none" w:sz="0" w:space="0" w:color="auto"/>
        <w:right w:val="none" w:sz="0" w:space="0" w:color="auto"/>
      </w:divBdr>
      <w:divsChild>
        <w:div w:id="132217591">
          <w:marLeft w:val="547"/>
          <w:marRight w:val="0"/>
          <w:marTop w:val="0"/>
          <w:marBottom w:val="0"/>
          <w:divBdr>
            <w:top w:val="none" w:sz="0" w:space="0" w:color="auto"/>
            <w:left w:val="none" w:sz="0" w:space="0" w:color="auto"/>
            <w:bottom w:val="none" w:sz="0" w:space="0" w:color="auto"/>
            <w:right w:val="none" w:sz="0" w:space="0" w:color="auto"/>
          </w:divBdr>
        </w:div>
        <w:div w:id="2016881827">
          <w:marLeft w:val="1267"/>
          <w:marRight w:val="0"/>
          <w:marTop w:val="0"/>
          <w:marBottom w:val="0"/>
          <w:divBdr>
            <w:top w:val="none" w:sz="0" w:space="0" w:color="auto"/>
            <w:left w:val="none" w:sz="0" w:space="0" w:color="auto"/>
            <w:bottom w:val="none" w:sz="0" w:space="0" w:color="auto"/>
            <w:right w:val="none" w:sz="0" w:space="0" w:color="auto"/>
          </w:divBdr>
        </w:div>
        <w:div w:id="1352027627">
          <w:marLeft w:val="1267"/>
          <w:marRight w:val="0"/>
          <w:marTop w:val="0"/>
          <w:marBottom w:val="0"/>
          <w:divBdr>
            <w:top w:val="none" w:sz="0" w:space="0" w:color="auto"/>
            <w:left w:val="none" w:sz="0" w:space="0" w:color="auto"/>
            <w:bottom w:val="none" w:sz="0" w:space="0" w:color="auto"/>
            <w:right w:val="none" w:sz="0" w:space="0" w:color="auto"/>
          </w:divBdr>
        </w:div>
        <w:div w:id="1455055149">
          <w:marLeft w:val="1267"/>
          <w:marRight w:val="0"/>
          <w:marTop w:val="0"/>
          <w:marBottom w:val="0"/>
          <w:divBdr>
            <w:top w:val="none" w:sz="0" w:space="0" w:color="auto"/>
            <w:left w:val="none" w:sz="0" w:space="0" w:color="auto"/>
            <w:bottom w:val="none" w:sz="0" w:space="0" w:color="auto"/>
            <w:right w:val="none" w:sz="0" w:space="0" w:color="auto"/>
          </w:divBdr>
        </w:div>
        <w:div w:id="1143503216">
          <w:marLeft w:val="1267"/>
          <w:marRight w:val="0"/>
          <w:marTop w:val="0"/>
          <w:marBottom w:val="0"/>
          <w:divBdr>
            <w:top w:val="none" w:sz="0" w:space="0" w:color="auto"/>
            <w:left w:val="none" w:sz="0" w:space="0" w:color="auto"/>
            <w:bottom w:val="none" w:sz="0" w:space="0" w:color="auto"/>
            <w:right w:val="none" w:sz="0" w:space="0" w:color="auto"/>
          </w:divBdr>
        </w:div>
        <w:div w:id="345862490">
          <w:marLeft w:val="547"/>
          <w:marRight w:val="0"/>
          <w:marTop w:val="0"/>
          <w:marBottom w:val="0"/>
          <w:divBdr>
            <w:top w:val="none" w:sz="0" w:space="0" w:color="auto"/>
            <w:left w:val="none" w:sz="0" w:space="0" w:color="auto"/>
            <w:bottom w:val="none" w:sz="0" w:space="0" w:color="auto"/>
            <w:right w:val="none" w:sz="0" w:space="0" w:color="auto"/>
          </w:divBdr>
        </w:div>
        <w:div w:id="1187135090">
          <w:marLeft w:val="1267"/>
          <w:marRight w:val="0"/>
          <w:marTop w:val="0"/>
          <w:marBottom w:val="0"/>
          <w:divBdr>
            <w:top w:val="none" w:sz="0" w:space="0" w:color="auto"/>
            <w:left w:val="none" w:sz="0" w:space="0" w:color="auto"/>
            <w:bottom w:val="none" w:sz="0" w:space="0" w:color="auto"/>
            <w:right w:val="none" w:sz="0" w:space="0" w:color="auto"/>
          </w:divBdr>
        </w:div>
        <w:div w:id="942541557">
          <w:marLeft w:val="1267"/>
          <w:marRight w:val="0"/>
          <w:marTop w:val="0"/>
          <w:marBottom w:val="0"/>
          <w:divBdr>
            <w:top w:val="none" w:sz="0" w:space="0" w:color="auto"/>
            <w:left w:val="none" w:sz="0" w:space="0" w:color="auto"/>
            <w:bottom w:val="none" w:sz="0" w:space="0" w:color="auto"/>
            <w:right w:val="none" w:sz="0" w:space="0" w:color="auto"/>
          </w:divBdr>
        </w:div>
        <w:div w:id="192158494">
          <w:marLeft w:val="1267"/>
          <w:marRight w:val="0"/>
          <w:marTop w:val="0"/>
          <w:marBottom w:val="0"/>
          <w:divBdr>
            <w:top w:val="none" w:sz="0" w:space="0" w:color="auto"/>
            <w:left w:val="none" w:sz="0" w:space="0" w:color="auto"/>
            <w:bottom w:val="none" w:sz="0" w:space="0" w:color="auto"/>
            <w:right w:val="none" w:sz="0" w:space="0" w:color="auto"/>
          </w:divBdr>
        </w:div>
        <w:div w:id="924077098">
          <w:marLeft w:val="1267"/>
          <w:marRight w:val="0"/>
          <w:marTop w:val="0"/>
          <w:marBottom w:val="0"/>
          <w:divBdr>
            <w:top w:val="none" w:sz="0" w:space="0" w:color="auto"/>
            <w:left w:val="none" w:sz="0" w:space="0" w:color="auto"/>
            <w:bottom w:val="none" w:sz="0" w:space="0" w:color="auto"/>
            <w:right w:val="none" w:sz="0" w:space="0" w:color="auto"/>
          </w:divBdr>
        </w:div>
        <w:div w:id="13000595">
          <w:marLeft w:val="547"/>
          <w:marRight w:val="0"/>
          <w:marTop w:val="0"/>
          <w:marBottom w:val="0"/>
          <w:divBdr>
            <w:top w:val="none" w:sz="0" w:space="0" w:color="auto"/>
            <w:left w:val="none" w:sz="0" w:space="0" w:color="auto"/>
            <w:bottom w:val="none" w:sz="0" w:space="0" w:color="auto"/>
            <w:right w:val="none" w:sz="0" w:space="0" w:color="auto"/>
          </w:divBdr>
        </w:div>
        <w:div w:id="1897202522">
          <w:marLeft w:val="1267"/>
          <w:marRight w:val="0"/>
          <w:marTop w:val="0"/>
          <w:marBottom w:val="0"/>
          <w:divBdr>
            <w:top w:val="none" w:sz="0" w:space="0" w:color="auto"/>
            <w:left w:val="none" w:sz="0" w:space="0" w:color="auto"/>
            <w:bottom w:val="none" w:sz="0" w:space="0" w:color="auto"/>
            <w:right w:val="none" w:sz="0" w:space="0" w:color="auto"/>
          </w:divBdr>
        </w:div>
        <w:div w:id="1566068087">
          <w:marLeft w:val="1267"/>
          <w:marRight w:val="0"/>
          <w:marTop w:val="0"/>
          <w:marBottom w:val="0"/>
          <w:divBdr>
            <w:top w:val="none" w:sz="0" w:space="0" w:color="auto"/>
            <w:left w:val="none" w:sz="0" w:space="0" w:color="auto"/>
            <w:bottom w:val="none" w:sz="0" w:space="0" w:color="auto"/>
            <w:right w:val="none" w:sz="0" w:space="0" w:color="auto"/>
          </w:divBdr>
        </w:div>
      </w:divsChild>
    </w:div>
    <w:div w:id="1781142665">
      <w:bodyDiv w:val="1"/>
      <w:marLeft w:val="0"/>
      <w:marRight w:val="0"/>
      <w:marTop w:val="0"/>
      <w:marBottom w:val="0"/>
      <w:divBdr>
        <w:top w:val="none" w:sz="0" w:space="0" w:color="auto"/>
        <w:left w:val="none" w:sz="0" w:space="0" w:color="auto"/>
        <w:bottom w:val="none" w:sz="0" w:space="0" w:color="auto"/>
        <w:right w:val="none" w:sz="0" w:space="0" w:color="auto"/>
      </w:divBdr>
    </w:div>
    <w:div w:id="1822380538">
      <w:bodyDiv w:val="1"/>
      <w:marLeft w:val="0"/>
      <w:marRight w:val="0"/>
      <w:marTop w:val="0"/>
      <w:marBottom w:val="0"/>
      <w:divBdr>
        <w:top w:val="none" w:sz="0" w:space="0" w:color="auto"/>
        <w:left w:val="none" w:sz="0" w:space="0" w:color="auto"/>
        <w:bottom w:val="none" w:sz="0" w:space="0" w:color="auto"/>
        <w:right w:val="none" w:sz="0" w:space="0" w:color="auto"/>
      </w:divBdr>
    </w:div>
    <w:div w:id="189218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3075079.2020.1735329" TargetMode="External"/><Relationship Id="rId18" Type="http://schemas.openxmlformats.org/officeDocument/2006/relationships/hyperlink" Target="https://doi.org/10.1108/CDI-09-2017-0171" TargetMode="External"/><Relationship Id="rId26" Type="http://schemas.openxmlformats.org/officeDocument/2006/relationships/hyperlink" Target="https://doi.org/10.3390/philosophies6030063" TargetMode="External"/><Relationship Id="rId39" Type="http://schemas.openxmlformats.org/officeDocument/2006/relationships/hyperlink" Target="https://doi.org/10.1080/1331677X.2019.1697330" TargetMode="External"/><Relationship Id="rId21" Type="http://schemas.openxmlformats.org/officeDocument/2006/relationships/hyperlink" Target="https://doi.org/10.1108/CDI-03-2019-0079" TargetMode="External"/><Relationship Id="rId34" Type="http://schemas.openxmlformats.org/officeDocument/2006/relationships/hyperlink" Target="https://doi.org/10.1108/HESWBL-01-2021-0004" TargetMode="External"/><Relationship Id="rId42" Type="http://schemas.openxmlformats.org/officeDocument/2006/relationships/hyperlink" Target="https://doi.org/10.1108/ET-08-2017-01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jvb.2018.06.011" TargetMode="External"/><Relationship Id="rId29" Type="http://schemas.openxmlformats.org/officeDocument/2006/relationships/hyperlink" Target="https://doi.org/10.1080/13596748.2019.15964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7/s41307-018-0081-0" TargetMode="External"/><Relationship Id="rId24" Type="http://schemas.openxmlformats.org/officeDocument/2006/relationships/hyperlink" Target="https://doi.org/10.1080/07294360.2018.1473843" TargetMode="External"/><Relationship Id="rId32" Type="http://schemas.openxmlformats.org/officeDocument/2006/relationships/hyperlink" Target="https://doi.org/10.1108/HESWBL-11-2019-0162" TargetMode="External"/><Relationship Id="rId37" Type="http://schemas.openxmlformats.org/officeDocument/2006/relationships/hyperlink" Target="https://doi.org/10.1108/00483480710716704" TargetMode="External"/><Relationship Id="rId40" Type="http://schemas.openxmlformats.org/officeDocument/2006/relationships/hyperlink" Target="https://doi.org/10.1080/1360080X.2020.1833126"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033294119844981" TargetMode="External"/><Relationship Id="rId23" Type="http://schemas.openxmlformats.org/officeDocument/2006/relationships/hyperlink" Target="https://doi.org/10.1111/hequ.12308" TargetMode="External"/><Relationship Id="rId28" Type="http://schemas.openxmlformats.org/officeDocument/2006/relationships/hyperlink" Target="https://doi.org/10.1177/0950422220902978" TargetMode="External"/><Relationship Id="rId36" Type="http://schemas.openxmlformats.org/officeDocument/2006/relationships/hyperlink" Target="https://doi.org/10.1080/03075079.2019.1623770" TargetMode="External"/><Relationship Id="rId10" Type="http://schemas.openxmlformats.org/officeDocument/2006/relationships/hyperlink" Target="https://doi.org/10.1016/j.jvb.2003.06.002" TargetMode="External"/><Relationship Id="rId19" Type="http://schemas.openxmlformats.org/officeDocument/2006/relationships/hyperlink" Target="https://doi.org/10.1108/PR-03-2021-0170" TargetMode="External"/><Relationship Id="rId31" Type="http://schemas.openxmlformats.org/officeDocument/2006/relationships/hyperlink" Target="https://doi.org/10.1016/j.bushor.2003.11.00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07908318.2020.1748045" TargetMode="External"/><Relationship Id="rId14" Type="http://schemas.openxmlformats.org/officeDocument/2006/relationships/hyperlink" Target="https://doi.org/10.1108/HEED-03-2021-0025" TargetMode="External"/><Relationship Id="rId22" Type="http://schemas.openxmlformats.org/officeDocument/2006/relationships/hyperlink" Target="https://doi.org/10.1108/HESWBL-02-2021-0019" TargetMode="External"/><Relationship Id="rId27" Type="http://schemas.openxmlformats.org/officeDocument/2006/relationships/hyperlink" Target="https://doi.org/10.1080/03075079.2013.842210" TargetMode="External"/><Relationship Id="rId30" Type="http://schemas.openxmlformats.org/officeDocument/2006/relationships/hyperlink" Target="https://doi.org/10.1016/j.jvb.2020.103448" TargetMode="External"/><Relationship Id="rId35" Type="http://schemas.openxmlformats.org/officeDocument/2006/relationships/hyperlink" Target="https://doi.org/10.1177%2F10384162211066378" TargetMode="External"/><Relationship Id="rId43" Type="http://schemas.openxmlformats.org/officeDocument/2006/relationships/footer" Target="footer1.xml"/><Relationship Id="rId8" Type="http://schemas.openxmlformats.org/officeDocument/2006/relationships/hyperlink" Target="https://www.advance-he.ac.uk/guidance" TargetMode="External"/><Relationship Id="rId3" Type="http://schemas.openxmlformats.org/officeDocument/2006/relationships/styles" Target="styles.xml"/><Relationship Id="rId12" Type="http://schemas.openxmlformats.org/officeDocument/2006/relationships/hyperlink" Target="https://doi.org/10.1093/cdj/bsab018" TargetMode="External"/><Relationship Id="rId17" Type="http://schemas.openxmlformats.org/officeDocument/2006/relationships/hyperlink" Target="https://www.timeshighereducation.com/sites/default/files/breaking_news_files/green_paper.pdf" TargetMode="External"/><Relationship Id="rId25" Type="http://schemas.openxmlformats.org/officeDocument/2006/relationships/hyperlink" Target="https://doi.org/10.1080/02602938.2021.1888075" TargetMode="External"/><Relationship Id="rId33" Type="http://schemas.openxmlformats.org/officeDocument/2006/relationships/hyperlink" Target="https://doi.org/10.1080/23311886.2022.2054126" TargetMode="External"/><Relationship Id="rId38" Type="http://schemas.openxmlformats.org/officeDocument/2006/relationships/hyperlink" Target="https://doi.org/10.1080/13636820.2017.1394355" TargetMode="External"/><Relationship Id="rId20" Type="http://schemas.openxmlformats.org/officeDocument/2006/relationships/hyperlink" Target="https://doi.org/10.1080/03075079.2017.1387107" TargetMode="External"/><Relationship Id="rId41" Type="http://schemas.openxmlformats.org/officeDocument/2006/relationships/hyperlink" Target="https://doi.org/10.4337/9781782547037.00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220A0-3AAA-4FC2-999D-428B5E28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5795</TotalTime>
  <Pages>1</Pages>
  <Words>7775</Words>
  <Characters>44318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135</dc:creator>
  <cp:keywords/>
  <dc:description/>
  <cp:lastModifiedBy>Dr William Donald</cp:lastModifiedBy>
  <cp:revision>248</cp:revision>
  <dcterms:created xsi:type="dcterms:W3CDTF">2021-01-10T08:28:00Z</dcterms:created>
  <dcterms:modified xsi:type="dcterms:W3CDTF">2022-08-12T15:23:00Z</dcterms:modified>
</cp:coreProperties>
</file>