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DBBE3" w14:textId="5E8D03F7" w:rsidR="00E67147" w:rsidRPr="00667DA4" w:rsidRDefault="00EB4F02" w:rsidP="00FE5251">
      <w:pPr>
        <w:spacing w:line="480" w:lineRule="auto"/>
        <w:rPr>
          <w:rStyle w:val="Strong"/>
          <w:rFonts w:cs="Arial"/>
          <w:b w:val="0"/>
          <w:bCs w:val="0"/>
          <w:sz w:val="28"/>
        </w:rPr>
      </w:pPr>
      <w:bookmarkStart w:id="0" w:name="_Hlk35988319"/>
      <w:r w:rsidRPr="00667DA4">
        <w:rPr>
          <w:rFonts w:cs="Arial"/>
          <w:b/>
          <w:bCs/>
          <w:sz w:val="28"/>
          <w:u w:val="single"/>
        </w:rPr>
        <w:t>M</w:t>
      </w:r>
      <w:r w:rsidR="00E67147" w:rsidRPr="00667DA4">
        <w:rPr>
          <w:rFonts w:cs="Arial"/>
          <w:b/>
          <w:bCs/>
          <w:sz w:val="28"/>
          <w:u w:val="single"/>
        </w:rPr>
        <w:t>ortality in COVID-1</w:t>
      </w:r>
      <w:r w:rsidR="00530251" w:rsidRPr="00667DA4">
        <w:rPr>
          <w:rFonts w:cs="Arial"/>
          <w:b/>
          <w:bCs/>
          <w:sz w:val="28"/>
          <w:u w:val="single"/>
        </w:rPr>
        <w:t xml:space="preserve">9 </w:t>
      </w:r>
      <w:r w:rsidRPr="00667DA4">
        <w:rPr>
          <w:rFonts w:cs="Arial"/>
          <w:b/>
          <w:bCs/>
          <w:sz w:val="28"/>
          <w:u w:val="single"/>
        </w:rPr>
        <w:t>amongst women on</w:t>
      </w:r>
      <w:r w:rsidR="00E67147" w:rsidRPr="00667DA4">
        <w:rPr>
          <w:rFonts w:cs="Arial"/>
          <w:b/>
          <w:bCs/>
          <w:sz w:val="28"/>
          <w:u w:val="single"/>
        </w:rPr>
        <w:t xml:space="preserve"> Hormone Replacement Therapy:  </w:t>
      </w:r>
      <w:bookmarkEnd w:id="0"/>
      <w:r w:rsidR="00E67147" w:rsidRPr="00667DA4">
        <w:rPr>
          <w:rStyle w:val="Strong"/>
          <w:rFonts w:cs="Arial"/>
          <w:sz w:val="28"/>
          <w:u w:val="single"/>
        </w:rPr>
        <w:t>A</w:t>
      </w:r>
      <w:r w:rsidRPr="00667DA4">
        <w:rPr>
          <w:rStyle w:val="Strong"/>
          <w:rFonts w:cs="Arial"/>
          <w:sz w:val="28"/>
          <w:u w:val="single"/>
        </w:rPr>
        <w:t xml:space="preserve"> </w:t>
      </w:r>
      <w:r w:rsidR="00146113" w:rsidRPr="00667DA4">
        <w:rPr>
          <w:rStyle w:val="Strong"/>
          <w:rFonts w:cs="Arial"/>
          <w:sz w:val="28"/>
          <w:u w:val="single"/>
        </w:rPr>
        <w:t xml:space="preserve">retrospective </w:t>
      </w:r>
      <w:r w:rsidR="00E67147" w:rsidRPr="00667DA4">
        <w:rPr>
          <w:rStyle w:val="Strong"/>
          <w:rFonts w:cs="Arial"/>
          <w:sz w:val="28"/>
          <w:u w:val="single"/>
        </w:rPr>
        <w:t xml:space="preserve">cohort study </w:t>
      </w:r>
    </w:p>
    <w:p w14:paraId="2C8B9F74" w14:textId="77777777" w:rsidR="00FE09BC" w:rsidRPr="00667DA4" w:rsidRDefault="00FE09BC" w:rsidP="00FE5251">
      <w:pPr>
        <w:spacing w:line="480" w:lineRule="auto"/>
        <w:rPr>
          <w:rStyle w:val="Strong"/>
          <w:rFonts w:cs="Arial"/>
          <w:b w:val="0"/>
          <w:bCs w:val="0"/>
        </w:rPr>
      </w:pPr>
    </w:p>
    <w:p w14:paraId="350DBB06" w14:textId="7D64FC9C" w:rsidR="00E67147" w:rsidRDefault="00E67147" w:rsidP="00FE5251">
      <w:pPr>
        <w:spacing w:line="480" w:lineRule="auto"/>
        <w:rPr>
          <w:rStyle w:val="Strong"/>
          <w:rFonts w:cs="Arial"/>
          <w:b w:val="0"/>
          <w:bCs w:val="0"/>
        </w:rPr>
      </w:pPr>
      <w:r w:rsidRPr="000C66A8">
        <w:rPr>
          <w:rStyle w:val="Strong"/>
          <w:rFonts w:cs="Arial"/>
          <w:bCs w:val="0"/>
        </w:rPr>
        <w:t>Short title:</w:t>
      </w:r>
      <w:r w:rsidRPr="00667DA4">
        <w:rPr>
          <w:rStyle w:val="Strong"/>
          <w:rFonts w:cs="Arial"/>
          <w:b w:val="0"/>
          <w:bCs w:val="0"/>
        </w:rPr>
        <w:t xml:space="preserve"> COCP</w:t>
      </w:r>
      <w:r w:rsidR="00E97010" w:rsidRPr="00667DA4">
        <w:rPr>
          <w:rStyle w:val="Strong"/>
          <w:rFonts w:cs="Arial"/>
          <w:b w:val="0"/>
          <w:bCs w:val="0"/>
        </w:rPr>
        <w:t>/</w:t>
      </w:r>
      <w:r w:rsidRPr="00667DA4">
        <w:rPr>
          <w:rStyle w:val="Strong"/>
          <w:rFonts w:cs="Arial"/>
          <w:b w:val="0"/>
          <w:bCs w:val="0"/>
        </w:rPr>
        <w:t>HRT</w:t>
      </w:r>
      <w:r w:rsidR="00E97010" w:rsidRPr="00667DA4">
        <w:rPr>
          <w:rStyle w:val="Strong"/>
          <w:rFonts w:cs="Arial"/>
          <w:b w:val="0"/>
          <w:bCs w:val="0"/>
        </w:rPr>
        <w:t xml:space="preserve"> use in COVID-19 and </w:t>
      </w:r>
      <w:r w:rsidRPr="00667DA4">
        <w:rPr>
          <w:rStyle w:val="Strong"/>
          <w:rFonts w:cs="Arial"/>
          <w:b w:val="0"/>
          <w:bCs w:val="0"/>
        </w:rPr>
        <w:t>mortality</w:t>
      </w:r>
    </w:p>
    <w:p w14:paraId="263BEC47" w14:textId="45D2D7DF" w:rsidR="000C66A8" w:rsidRPr="00667DA4" w:rsidRDefault="000C66A8" w:rsidP="00FE5251">
      <w:pPr>
        <w:spacing w:line="480" w:lineRule="auto"/>
        <w:rPr>
          <w:rStyle w:val="Strong"/>
          <w:rFonts w:cs="Arial"/>
          <w:b w:val="0"/>
          <w:bCs w:val="0"/>
        </w:rPr>
      </w:pPr>
      <w:r w:rsidRPr="000C66A8">
        <w:rPr>
          <w:rStyle w:val="Strong"/>
          <w:rFonts w:cs="Arial"/>
          <w:bCs w:val="0"/>
        </w:rPr>
        <w:t>Article type</w:t>
      </w:r>
      <w:r>
        <w:rPr>
          <w:rStyle w:val="Strong"/>
          <w:rFonts w:cs="Arial"/>
          <w:b w:val="0"/>
          <w:bCs w:val="0"/>
        </w:rPr>
        <w:t>: epidemiology</w:t>
      </w:r>
      <w:bookmarkStart w:id="1" w:name="_GoBack"/>
      <w:bookmarkEnd w:id="1"/>
    </w:p>
    <w:p w14:paraId="1CA8A643" w14:textId="77777777" w:rsidR="00FE09BC" w:rsidRPr="00667DA4" w:rsidRDefault="00FE09BC" w:rsidP="00FE5251">
      <w:pPr>
        <w:spacing w:line="480" w:lineRule="auto"/>
        <w:rPr>
          <w:rStyle w:val="Strong"/>
          <w:rFonts w:cs="Arial"/>
          <w:b w:val="0"/>
          <w:bCs w:val="0"/>
        </w:rPr>
      </w:pPr>
    </w:p>
    <w:p w14:paraId="6ACC9A90" w14:textId="091BB91B" w:rsidR="00E67147" w:rsidRPr="00667DA4" w:rsidRDefault="00E67147" w:rsidP="00FE5251">
      <w:pPr>
        <w:spacing w:line="480" w:lineRule="auto"/>
        <w:jc w:val="both"/>
        <w:rPr>
          <w:rFonts w:eastAsia="Microsoft GothicNeo" w:cs="Arial"/>
          <w:lang w:val="en-US"/>
        </w:rPr>
      </w:pPr>
      <w:r w:rsidRPr="00667DA4">
        <w:rPr>
          <w:rFonts w:eastAsia="Microsoft GothicNeo" w:cs="Arial"/>
          <w:lang w:val="en-US"/>
        </w:rPr>
        <w:t>Hajira Dambha-Miller</w:t>
      </w:r>
      <w:r w:rsidRPr="00667DA4">
        <w:rPr>
          <w:rFonts w:eastAsia="Microsoft GothicNeo" w:cs="Arial"/>
          <w:vertAlign w:val="superscript"/>
          <w:lang w:val="en-US"/>
        </w:rPr>
        <w:t>1</w:t>
      </w:r>
      <w:r w:rsidRPr="00667DA4">
        <w:rPr>
          <w:rFonts w:eastAsia="Microsoft GothicNeo" w:cs="Arial"/>
          <w:lang w:val="en-US"/>
        </w:rPr>
        <w:t xml:space="preserve">, </w:t>
      </w:r>
      <w:r w:rsidRPr="00667DA4">
        <w:rPr>
          <w:rFonts w:cs="Arial"/>
          <w:lang w:val="en-US"/>
        </w:rPr>
        <w:t>William Hinton</w:t>
      </w:r>
      <w:r w:rsidRPr="00667DA4">
        <w:rPr>
          <w:rFonts w:cs="Arial"/>
          <w:shd w:val="clear" w:color="auto" w:fill="FFFFFF"/>
          <w:vertAlign w:val="superscript"/>
        </w:rPr>
        <w:t>2</w:t>
      </w:r>
      <w:r w:rsidRPr="00667DA4">
        <w:rPr>
          <w:rFonts w:cs="Arial"/>
          <w:lang w:val="en-US"/>
        </w:rPr>
        <w:t>,</w:t>
      </w:r>
      <w:r w:rsidRPr="00667DA4">
        <w:rPr>
          <w:rFonts w:cs="Arial"/>
          <w:shd w:val="clear" w:color="auto" w:fill="FFFFFF"/>
        </w:rPr>
        <w:t xml:space="preserve"> </w:t>
      </w:r>
      <w:r w:rsidR="002C68A5" w:rsidRPr="00667DA4">
        <w:rPr>
          <w:rFonts w:cs="Arial"/>
          <w:shd w:val="clear" w:color="auto" w:fill="FFFFFF"/>
        </w:rPr>
        <w:t>Christopher R Wilco</w:t>
      </w:r>
      <w:r w:rsidR="00D74680" w:rsidRPr="00667DA4">
        <w:rPr>
          <w:rFonts w:cs="Arial"/>
          <w:shd w:val="clear" w:color="auto" w:fill="FFFFFF"/>
        </w:rPr>
        <w:t>x</w:t>
      </w:r>
      <w:r w:rsidR="00D74680" w:rsidRPr="00667DA4">
        <w:rPr>
          <w:rFonts w:eastAsia="Microsoft GothicNeo" w:cs="Arial"/>
          <w:vertAlign w:val="superscript"/>
          <w:lang w:val="en-US"/>
        </w:rPr>
        <w:t>1</w:t>
      </w:r>
      <w:r w:rsidR="002C68A5" w:rsidRPr="00667DA4">
        <w:rPr>
          <w:rFonts w:cs="Arial"/>
          <w:shd w:val="clear" w:color="auto" w:fill="FFFFFF"/>
        </w:rPr>
        <w:t xml:space="preserve">, </w:t>
      </w:r>
      <w:r w:rsidRPr="00667DA4">
        <w:rPr>
          <w:rFonts w:cs="Arial"/>
          <w:lang w:val="en-US"/>
        </w:rPr>
        <w:t>Mark Joy</w:t>
      </w:r>
      <w:r w:rsidR="00981000" w:rsidRPr="00667DA4">
        <w:rPr>
          <w:rFonts w:cs="Arial"/>
          <w:vertAlign w:val="superscript"/>
          <w:lang w:val="en-US"/>
        </w:rPr>
        <w:t>2</w:t>
      </w:r>
      <w:r w:rsidRPr="00667DA4">
        <w:rPr>
          <w:rFonts w:cs="Arial"/>
          <w:lang w:val="en-US"/>
        </w:rPr>
        <w:t>,</w:t>
      </w:r>
      <w:r w:rsidR="00A533A7" w:rsidRPr="00667DA4">
        <w:rPr>
          <w:rFonts w:cs="Arial"/>
          <w:lang w:val="en-US"/>
        </w:rPr>
        <w:t xml:space="preserve"> </w:t>
      </w:r>
      <w:r w:rsidR="00124142" w:rsidRPr="00667DA4">
        <w:rPr>
          <w:rFonts w:cs="Arial"/>
          <w:lang w:val="en-US"/>
        </w:rPr>
        <w:t>Michael Feher</w:t>
      </w:r>
      <w:r w:rsidR="00124142" w:rsidRPr="00667DA4">
        <w:rPr>
          <w:rFonts w:cs="Arial"/>
          <w:vertAlign w:val="superscript"/>
          <w:lang w:val="en-US"/>
        </w:rPr>
        <w:t>2</w:t>
      </w:r>
      <w:r w:rsidR="00295509" w:rsidRPr="00667DA4">
        <w:rPr>
          <w:rFonts w:cs="Arial"/>
          <w:lang w:val="en-US"/>
        </w:rPr>
        <w:t xml:space="preserve"> and </w:t>
      </w:r>
      <w:r w:rsidR="00871247" w:rsidRPr="00667DA4">
        <w:rPr>
          <w:rFonts w:cs="Arial"/>
          <w:shd w:val="clear" w:color="auto" w:fill="FFFFFF"/>
        </w:rPr>
        <w:t>Simon de Lusignan</w:t>
      </w:r>
      <w:r w:rsidR="00871247" w:rsidRPr="00667DA4">
        <w:rPr>
          <w:rFonts w:cs="Arial"/>
          <w:shd w:val="clear" w:color="auto" w:fill="FFFFFF"/>
          <w:vertAlign w:val="superscript"/>
        </w:rPr>
        <w:t>2</w:t>
      </w:r>
      <w:r w:rsidR="00981000" w:rsidRPr="00667DA4">
        <w:rPr>
          <w:rFonts w:cs="Arial"/>
          <w:shd w:val="clear" w:color="auto" w:fill="FFFFFF"/>
          <w:vertAlign w:val="superscript"/>
        </w:rPr>
        <w:t>,3</w:t>
      </w:r>
      <w:r w:rsidR="00871247" w:rsidRPr="00667DA4">
        <w:rPr>
          <w:rFonts w:cs="Arial"/>
          <w:shd w:val="clear" w:color="auto" w:fill="FFFFFF"/>
          <w:vertAlign w:val="superscript"/>
        </w:rPr>
        <w:t xml:space="preserve"> </w:t>
      </w:r>
      <w:r w:rsidR="00871247" w:rsidRPr="00667DA4">
        <w:rPr>
          <w:rFonts w:cs="Arial"/>
          <w:lang w:val="en-US"/>
        </w:rPr>
        <w:t xml:space="preserve"> </w:t>
      </w:r>
    </w:p>
    <w:p w14:paraId="465267CB" w14:textId="67D8EB59" w:rsidR="00E67147" w:rsidRPr="00667DA4" w:rsidRDefault="00687734" w:rsidP="00FE5251">
      <w:pPr>
        <w:pStyle w:val="ListParagraph"/>
        <w:numPr>
          <w:ilvl w:val="0"/>
          <w:numId w:val="1"/>
        </w:numPr>
        <w:spacing w:line="480" w:lineRule="auto"/>
        <w:jc w:val="both"/>
        <w:rPr>
          <w:rFonts w:asciiTheme="minorHAnsi" w:eastAsia="Microsoft GothicNeo" w:hAnsiTheme="minorHAnsi" w:cs="Arial"/>
          <w:sz w:val="22"/>
        </w:rPr>
      </w:pPr>
      <w:r w:rsidRPr="00667DA4">
        <w:rPr>
          <w:rFonts w:asciiTheme="minorHAnsi" w:eastAsia="Microsoft GothicNeo" w:hAnsiTheme="minorHAnsi" w:cs="Arial"/>
          <w:sz w:val="22"/>
        </w:rPr>
        <w:t>Primary Care Research Centre</w:t>
      </w:r>
      <w:r w:rsidR="00E67147" w:rsidRPr="00667DA4">
        <w:rPr>
          <w:rFonts w:asciiTheme="minorHAnsi" w:eastAsia="Microsoft GothicNeo" w:hAnsiTheme="minorHAnsi" w:cs="Arial"/>
          <w:sz w:val="22"/>
        </w:rPr>
        <w:t>, University of Southampton</w:t>
      </w:r>
    </w:p>
    <w:p w14:paraId="6264BCB9" w14:textId="77777777" w:rsidR="00E67147" w:rsidRPr="00667DA4" w:rsidRDefault="00E67147" w:rsidP="00FE5251">
      <w:pPr>
        <w:pStyle w:val="ListParagraph"/>
        <w:numPr>
          <w:ilvl w:val="0"/>
          <w:numId w:val="1"/>
        </w:numPr>
        <w:spacing w:line="480" w:lineRule="auto"/>
        <w:jc w:val="both"/>
        <w:rPr>
          <w:rFonts w:asciiTheme="minorHAnsi" w:eastAsia="Microsoft GothicNeo" w:hAnsiTheme="minorHAnsi" w:cs="Arial"/>
          <w:sz w:val="22"/>
        </w:rPr>
      </w:pPr>
      <w:r w:rsidRPr="00667DA4">
        <w:rPr>
          <w:rFonts w:asciiTheme="minorHAnsi" w:eastAsia="Microsoft GothicNeo" w:hAnsiTheme="minorHAnsi" w:cs="Arial"/>
          <w:sz w:val="22"/>
        </w:rPr>
        <w:t>Nuffield Department of Primary Care Health Sciences, University of Oxford</w:t>
      </w:r>
    </w:p>
    <w:p w14:paraId="4E8A7440" w14:textId="77777777" w:rsidR="00B11C93" w:rsidRPr="00667DA4" w:rsidRDefault="00B11C93" w:rsidP="00FE5251">
      <w:pPr>
        <w:pStyle w:val="ListParagraph"/>
        <w:numPr>
          <w:ilvl w:val="0"/>
          <w:numId w:val="1"/>
        </w:numPr>
        <w:spacing w:after="0" w:line="480" w:lineRule="auto"/>
        <w:ind w:left="357" w:hanging="357"/>
        <w:rPr>
          <w:rFonts w:asciiTheme="minorHAnsi" w:eastAsia="Microsoft GothicNeo" w:hAnsiTheme="minorHAnsi" w:cs="Arial"/>
          <w:sz w:val="22"/>
        </w:rPr>
      </w:pPr>
      <w:r w:rsidRPr="00667DA4">
        <w:rPr>
          <w:rFonts w:asciiTheme="minorHAnsi" w:eastAsia="Microsoft GothicNeo" w:hAnsiTheme="minorHAnsi" w:cs="Arial"/>
          <w:sz w:val="22"/>
        </w:rPr>
        <w:t>Royal College of General Practitioners (RCGP) Research and Surveillance Centre (RSC), London, UK</w:t>
      </w:r>
    </w:p>
    <w:p w14:paraId="6EFFAF19" w14:textId="77777777" w:rsidR="005E3FDC" w:rsidRPr="00667DA4" w:rsidRDefault="005E3FDC" w:rsidP="00FE5251">
      <w:pPr>
        <w:pStyle w:val="ListParagraph"/>
        <w:spacing w:line="480" w:lineRule="auto"/>
        <w:ind w:left="360"/>
        <w:jc w:val="both"/>
        <w:rPr>
          <w:rFonts w:asciiTheme="minorHAnsi" w:eastAsia="Microsoft GothicNeo" w:hAnsiTheme="minorHAnsi" w:cs="Arial"/>
          <w:sz w:val="22"/>
        </w:rPr>
      </w:pPr>
    </w:p>
    <w:p w14:paraId="16069F62" w14:textId="6FFA6009" w:rsidR="00E67147" w:rsidRPr="00667DA4" w:rsidRDefault="00E67147" w:rsidP="00FE5251">
      <w:pPr>
        <w:pStyle w:val="HTMLAddress"/>
        <w:shd w:val="clear" w:color="auto" w:fill="FFFFFF"/>
        <w:spacing w:line="480" w:lineRule="auto"/>
        <w:rPr>
          <w:rStyle w:val="Hyperlink"/>
          <w:rFonts w:asciiTheme="minorHAnsi" w:eastAsia="Microsoft GothicNeo" w:hAnsiTheme="minorHAnsi" w:cs="Arial"/>
          <w:i w:val="0"/>
          <w:color w:val="auto"/>
          <w:sz w:val="22"/>
          <w:szCs w:val="22"/>
        </w:rPr>
      </w:pPr>
      <w:r w:rsidRPr="00667DA4">
        <w:rPr>
          <w:rStyle w:val="ja50-ce-correspondence"/>
          <w:rFonts w:asciiTheme="minorHAnsi" w:eastAsia="Microsoft GothicNeo" w:hAnsiTheme="minorHAnsi" w:cs="Arial"/>
          <w:b/>
          <w:bCs/>
          <w:i w:val="0"/>
          <w:sz w:val="22"/>
          <w:szCs w:val="22"/>
        </w:rPr>
        <w:t>Correspondence:</w:t>
      </w:r>
      <w:r w:rsidRPr="00667DA4">
        <w:rPr>
          <w:rStyle w:val="ja50-ce-correspondence"/>
          <w:rFonts w:asciiTheme="minorHAnsi" w:eastAsia="Microsoft GothicNeo" w:hAnsiTheme="minorHAnsi" w:cs="Arial"/>
          <w:i w:val="0"/>
          <w:sz w:val="22"/>
          <w:szCs w:val="22"/>
        </w:rPr>
        <w:t xml:space="preserve"> </w:t>
      </w:r>
      <w:r w:rsidR="000F01F1" w:rsidRPr="00667DA4">
        <w:rPr>
          <w:rStyle w:val="ja50-ce-correspondence"/>
          <w:rFonts w:asciiTheme="minorHAnsi" w:eastAsia="Microsoft GothicNeo" w:hAnsiTheme="minorHAnsi" w:cs="Arial"/>
          <w:i w:val="0"/>
          <w:sz w:val="22"/>
          <w:szCs w:val="22"/>
        </w:rPr>
        <w:t>Dr Christopher Wilcox</w:t>
      </w:r>
      <w:r w:rsidRPr="00667DA4">
        <w:rPr>
          <w:rStyle w:val="ja50-ce-correspondence"/>
          <w:rFonts w:asciiTheme="minorHAnsi" w:eastAsia="Microsoft GothicNeo" w:hAnsiTheme="minorHAnsi" w:cs="Arial"/>
          <w:i w:val="0"/>
          <w:sz w:val="22"/>
          <w:szCs w:val="22"/>
        </w:rPr>
        <w:t xml:space="preserve">, </w:t>
      </w:r>
      <w:r w:rsidRPr="00667DA4">
        <w:rPr>
          <w:rFonts w:asciiTheme="minorHAnsi" w:eastAsia="Microsoft GothicNeo" w:hAnsiTheme="minorHAnsi" w:cs="Arial"/>
          <w:i w:val="0"/>
          <w:sz w:val="22"/>
          <w:szCs w:val="22"/>
        </w:rPr>
        <w:t xml:space="preserve">Primary Care and Population Health, University of Southampton, Southampton, SO16 5ST, Email: </w:t>
      </w:r>
      <w:r w:rsidR="000F01F1" w:rsidRPr="00667DA4">
        <w:rPr>
          <w:rFonts w:asciiTheme="minorHAnsi" w:eastAsia="Microsoft GothicNeo" w:hAnsiTheme="minorHAnsi" w:cs="Arial"/>
          <w:i w:val="0"/>
          <w:sz w:val="22"/>
          <w:szCs w:val="22"/>
        </w:rPr>
        <w:t>Christopher.wilcox@soton.ac.uk</w:t>
      </w:r>
      <w:r w:rsidRPr="00667DA4">
        <w:rPr>
          <w:rStyle w:val="Hyperlink"/>
          <w:rFonts w:asciiTheme="minorHAnsi" w:eastAsia="Microsoft GothicNeo" w:hAnsiTheme="minorHAnsi" w:cs="Arial"/>
          <w:i w:val="0"/>
          <w:color w:val="auto"/>
          <w:sz w:val="22"/>
          <w:szCs w:val="22"/>
        </w:rPr>
        <w:t xml:space="preserve">  </w:t>
      </w:r>
    </w:p>
    <w:p w14:paraId="2C8BC90E" w14:textId="4A6BFCF0" w:rsidR="00894295" w:rsidRPr="00667DA4" w:rsidRDefault="00894295" w:rsidP="00FE5251">
      <w:pPr>
        <w:pStyle w:val="HTMLAddress"/>
        <w:shd w:val="clear" w:color="auto" w:fill="FFFFFF"/>
        <w:spacing w:line="480" w:lineRule="auto"/>
        <w:rPr>
          <w:rStyle w:val="Hyperlink"/>
          <w:rFonts w:asciiTheme="minorHAnsi" w:eastAsia="Microsoft GothicNeo" w:hAnsiTheme="minorHAnsi" w:cs="Arial"/>
          <w:i w:val="0"/>
          <w:color w:val="auto"/>
          <w:sz w:val="22"/>
          <w:szCs w:val="22"/>
        </w:rPr>
      </w:pPr>
    </w:p>
    <w:p w14:paraId="668DA83F" w14:textId="30F4DBFD" w:rsidR="00894295" w:rsidRPr="00667DA4" w:rsidRDefault="00894295" w:rsidP="00FE5251">
      <w:pPr>
        <w:autoSpaceDE w:val="0"/>
        <w:autoSpaceDN w:val="0"/>
        <w:adjustRightInd w:val="0"/>
        <w:spacing w:line="480" w:lineRule="auto"/>
        <w:jc w:val="both"/>
        <w:rPr>
          <w:rFonts w:cs="Arial"/>
        </w:rPr>
      </w:pPr>
      <w:r w:rsidRPr="00667DA4">
        <w:rPr>
          <w:rFonts w:cs="Arial"/>
          <w:b/>
        </w:rPr>
        <w:t xml:space="preserve">Number of tables: </w:t>
      </w:r>
      <w:r w:rsidR="00ED5BB5" w:rsidRPr="00667DA4">
        <w:rPr>
          <w:rFonts w:cs="Arial"/>
        </w:rPr>
        <w:t>3</w:t>
      </w:r>
    </w:p>
    <w:p w14:paraId="2BD35C6E" w14:textId="4F49DA37" w:rsidR="00894295" w:rsidRPr="00667DA4" w:rsidRDefault="00894295" w:rsidP="00FE5251">
      <w:pPr>
        <w:autoSpaceDE w:val="0"/>
        <w:autoSpaceDN w:val="0"/>
        <w:adjustRightInd w:val="0"/>
        <w:spacing w:line="480" w:lineRule="auto"/>
        <w:jc w:val="both"/>
        <w:rPr>
          <w:rStyle w:val="Hyperlink"/>
          <w:rFonts w:cs="Arial"/>
          <w:color w:val="auto"/>
          <w:u w:val="none"/>
        </w:rPr>
      </w:pPr>
      <w:r w:rsidRPr="00667DA4">
        <w:rPr>
          <w:rFonts w:cs="Arial"/>
          <w:b/>
        </w:rPr>
        <w:t>Number of figures:</w:t>
      </w:r>
      <w:r w:rsidRPr="00667DA4">
        <w:rPr>
          <w:rFonts w:cs="Arial"/>
        </w:rPr>
        <w:t xml:space="preserve"> Nil</w:t>
      </w:r>
    </w:p>
    <w:p w14:paraId="42CEDA7E" w14:textId="3A8ED30E" w:rsidR="00284745" w:rsidRPr="00667DA4" w:rsidRDefault="00284745" w:rsidP="00FE5251">
      <w:pPr>
        <w:autoSpaceDE w:val="0"/>
        <w:autoSpaceDN w:val="0"/>
        <w:adjustRightInd w:val="0"/>
        <w:spacing w:line="480" w:lineRule="auto"/>
        <w:jc w:val="both"/>
        <w:rPr>
          <w:rFonts w:cs="Arial"/>
          <w:shd w:val="clear" w:color="auto" w:fill="FFFFFF"/>
        </w:rPr>
      </w:pPr>
      <w:r w:rsidRPr="00667DA4">
        <w:rPr>
          <w:rFonts w:cs="Arial"/>
          <w:b/>
          <w:bCs/>
        </w:rPr>
        <w:t xml:space="preserve">Keywords: </w:t>
      </w:r>
      <w:r w:rsidRPr="00667DA4">
        <w:rPr>
          <w:rFonts w:cs="Arial"/>
        </w:rPr>
        <w:t xml:space="preserve">HRT, </w:t>
      </w:r>
      <w:r w:rsidR="000F51D0" w:rsidRPr="00667DA4">
        <w:rPr>
          <w:rFonts w:cs="Arial"/>
        </w:rPr>
        <w:t xml:space="preserve">Combined Oral Contraception, </w:t>
      </w:r>
      <w:r w:rsidRPr="00667DA4">
        <w:rPr>
          <w:rFonts w:cs="Arial"/>
        </w:rPr>
        <w:t>COVID-19, mortality</w:t>
      </w:r>
    </w:p>
    <w:p w14:paraId="63580544" w14:textId="77777777" w:rsidR="00284745" w:rsidRPr="00667DA4" w:rsidRDefault="00284745" w:rsidP="00FE09BC">
      <w:pPr>
        <w:pStyle w:val="HTMLAddress"/>
        <w:shd w:val="clear" w:color="auto" w:fill="FFFFFF"/>
        <w:rPr>
          <w:rStyle w:val="Hyperlink"/>
          <w:rFonts w:asciiTheme="minorHAnsi" w:eastAsia="Microsoft GothicNeo" w:hAnsiTheme="minorHAnsi" w:cs="Arial"/>
          <w:i w:val="0"/>
          <w:color w:val="auto"/>
          <w:sz w:val="22"/>
          <w:szCs w:val="22"/>
        </w:rPr>
      </w:pPr>
    </w:p>
    <w:p w14:paraId="171D1CF0" w14:textId="77777777" w:rsidR="00E67147" w:rsidRPr="00667DA4" w:rsidRDefault="00E67147" w:rsidP="00FE09BC">
      <w:pPr>
        <w:pStyle w:val="HTMLAddress"/>
        <w:shd w:val="clear" w:color="auto" w:fill="FFFFFF"/>
        <w:rPr>
          <w:rStyle w:val="Hyperlink"/>
          <w:rFonts w:asciiTheme="minorHAnsi" w:eastAsia="Microsoft GothicNeo" w:hAnsiTheme="minorHAnsi" w:cs="Arial"/>
          <w:i w:val="0"/>
          <w:color w:val="auto"/>
          <w:sz w:val="22"/>
          <w:szCs w:val="22"/>
        </w:rPr>
      </w:pPr>
    </w:p>
    <w:p w14:paraId="52EBEEB7" w14:textId="42AFACD7" w:rsidR="00E67147" w:rsidRPr="00667DA4" w:rsidRDefault="00E67147" w:rsidP="00FE09BC">
      <w:pPr>
        <w:pStyle w:val="HTMLAddress"/>
        <w:shd w:val="clear" w:color="auto" w:fill="FFFFFF"/>
        <w:rPr>
          <w:rStyle w:val="Hyperlink"/>
          <w:rFonts w:asciiTheme="minorHAnsi" w:eastAsia="Microsoft GothicNeo" w:hAnsiTheme="minorHAnsi" w:cs="Arial"/>
          <w:i w:val="0"/>
          <w:color w:val="auto"/>
          <w:sz w:val="22"/>
          <w:szCs w:val="22"/>
        </w:rPr>
      </w:pPr>
    </w:p>
    <w:p w14:paraId="688692F6" w14:textId="290F9268" w:rsidR="005056E6" w:rsidRPr="00667DA4" w:rsidRDefault="005056E6" w:rsidP="00FE09BC">
      <w:pPr>
        <w:pStyle w:val="HTMLAddress"/>
        <w:shd w:val="clear" w:color="auto" w:fill="FFFFFF"/>
        <w:rPr>
          <w:rStyle w:val="Hyperlink"/>
          <w:rFonts w:asciiTheme="minorHAnsi" w:eastAsia="Microsoft GothicNeo" w:hAnsiTheme="minorHAnsi" w:cs="Arial"/>
          <w:i w:val="0"/>
          <w:color w:val="auto"/>
          <w:sz w:val="22"/>
          <w:szCs w:val="22"/>
        </w:rPr>
      </w:pPr>
    </w:p>
    <w:p w14:paraId="5570738D" w14:textId="528E1DB0" w:rsidR="005056E6" w:rsidRPr="00667DA4" w:rsidRDefault="005056E6" w:rsidP="00FE09BC">
      <w:pPr>
        <w:pStyle w:val="HTMLAddress"/>
        <w:shd w:val="clear" w:color="auto" w:fill="FFFFFF"/>
        <w:rPr>
          <w:rStyle w:val="Hyperlink"/>
          <w:rFonts w:asciiTheme="minorHAnsi" w:eastAsia="Microsoft GothicNeo" w:hAnsiTheme="minorHAnsi" w:cs="Arial"/>
          <w:i w:val="0"/>
          <w:color w:val="auto"/>
          <w:sz w:val="22"/>
          <w:szCs w:val="22"/>
        </w:rPr>
      </w:pPr>
    </w:p>
    <w:p w14:paraId="3115BD02" w14:textId="2BF3C463" w:rsidR="005056E6" w:rsidRPr="00667DA4" w:rsidRDefault="005056E6" w:rsidP="00FE09BC">
      <w:pPr>
        <w:pStyle w:val="HTMLAddress"/>
        <w:shd w:val="clear" w:color="auto" w:fill="FFFFFF"/>
        <w:rPr>
          <w:rStyle w:val="Hyperlink"/>
          <w:rFonts w:asciiTheme="minorHAnsi" w:eastAsia="Microsoft GothicNeo" w:hAnsiTheme="minorHAnsi" w:cs="Arial"/>
          <w:i w:val="0"/>
          <w:color w:val="auto"/>
          <w:sz w:val="22"/>
          <w:szCs w:val="22"/>
        </w:rPr>
      </w:pPr>
    </w:p>
    <w:p w14:paraId="1867C0A5" w14:textId="77777777" w:rsidR="00FE5251" w:rsidRPr="00667DA4" w:rsidRDefault="00FE5251" w:rsidP="00FE09BC">
      <w:pPr>
        <w:pStyle w:val="HTMLAddress"/>
        <w:shd w:val="clear" w:color="auto" w:fill="FFFFFF"/>
        <w:rPr>
          <w:rStyle w:val="Hyperlink"/>
          <w:rFonts w:asciiTheme="minorHAnsi" w:eastAsia="Microsoft GothicNeo" w:hAnsiTheme="minorHAnsi" w:cs="Arial"/>
          <w:i w:val="0"/>
          <w:color w:val="auto"/>
          <w:sz w:val="22"/>
          <w:szCs w:val="22"/>
        </w:rPr>
      </w:pPr>
    </w:p>
    <w:p w14:paraId="66AE5BCE" w14:textId="77777777" w:rsidR="00FE5251" w:rsidRPr="00667DA4" w:rsidRDefault="00FE5251" w:rsidP="00FE09BC">
      <w:pPr>
        <w:pStyle w:val="HTMLAddress"/>
        <w:shd w:val="clear" w:color="auto" w:fill="FFFFFF"/>
        <w:rPr>
          <w:rStyle w:val="Hyperlink"/>
          <w:rFonts w:asciiTheme="minorHAnsi" w:eastAsia="Microsoft GothicNeo" w:hAnsiTheme="minorHAnsi" w:cs="Arial"/>
          <w:i w:val="0"/>
          <w:color w:val="auto"/>
          <w:sz w:val="22"/>
          <w:szCs w:val="22"/>
        </w:rPr>
      </w:pPr>
    </w:p>
    <w:p w14:paraId="6C41B619" w14:textId="77777777" w:rsidR="00FE5251" w:rsidRPr="00667DA4" w:rsidRDefault="00FE5251" w:rsidP="00FE09BC">
      <w:pPr>
        <w:pStyle w:val="HTMLAddress"/>
        <w:shd w:val="clear" w:color="auto" w:fill="FFFFFF"/>
        <w:rPr>
          <w:rStyle w:val="Hyperlink"/>
          <w:rFonts w:asciiTheme="minorHAnsi" w:eastAsia="Microsoft GothicNeo" w:hAnsiTheme="minorHAnsi" w:cs="Arial"/>
          <w:i w:val="0"/>
          <w:color w:val="auto"/>
          <w:sz w:val="22"/>
          <w:szCs w:val="22"/>
        </w:rPr>
      </w:pPr>
    </w:p>
    <w:p w14:paraId="7E02E6A5" w14:textId="77777777" w:rsidR="00FE5251" w:rsidRPr="00667DA4" w:rsidRDefault="00FE5251" w:rsidP="00FE09BC">
      <w:pPr>
        <w:pStyle w:val="HTMLAddress"/>
        <w:shd w:val="clear" w:color="auto" w:fill="FFFFFF"/>
        <w:rPr>
          <w:rStyle w:val="Hyperlink"/>
          <w:rFonts w:asciiTheme="minorHAnsi" w:eastAsia="Microsoft GothicNeo" w:hAnsiTheme="minorHAnsi" w:cs="Arial"/>
          <w:i w:val="0"/>
          <w:color w:val="auto"/>
          <w:sz w:val="22"/>
          <w:szCs w:val="22"/>
        </w:rPr>
      </w:pPr>
    </w:p>
    <w:p w14:paraId="41C1C409" w14:textId="32CD0343" w:rsidR="005056E6" w:rsidRPr="00667DA4" w:rsidRDefault="005056E6" w:rsidP="00746A27">
      <w:pPr>
        <w:pStyle w:val="HTMLAddress"/>
        <w:shd w:val="clear" w:color="auto" w:fill="FFFFFF"/>
        <w:spacing w:line="480" w:lineRule="auto"/>
        <w:rPr>
          <w:rStyle w:val="Hyperlink"/>
          <w:rFonts w:asciiTheme="minorHAnsi" w:eastAsia="Microsoft GothicNeo" w:hAnsiTheme="minorHAnsi" w:cs="Arial"/>
          <w:i w:val="0"/>
          <w:color w:val="auto"/>
          <w:sz w:val="22"/>
          <w:szCs w:val="22"/>
        </w:rPr>
      </w:pPr>
      <w:r w:rsidRPr="00667DA4">
        <w:rPr>
          <w:rStyle w:val="Hyperlink"/>
          <w:rFonts w:asciiTheme="minorHAnsi" w:eastAsia="Microsoft GothicNeo" w:hAnsiTheme="minorHAnsi" w:cs="Arial"/>
          <w:i w:val="0"/>
          <w:color w:val="auto"/>
          <w:sz w:val="22"/>
          <w:szCs w:val="22"/>
        </w:rPr>
        <w:t>KEY MESSAGES</w:t>
      </w:r>
    </w:p>
    <w:p w14:paraId="083FE9A8" w14:textId="6399DD22" w:rsidR="005056E6" w:rsidRPr="00667DA4" w:rsidRDefault="005056E6" w:rsidP="00746A27">
      <w:pPr>
        <w:pStyle w:val="HTMLAddress"/>
        <w:shd w:val="clear" w:color="auto" w:fill="FFFFFF"/>
        <w:spacing w:line="480" w:lineRule="auto"/>
        <w:rPr>
          <w:rStyle w:val="Hyperlink"/>
          <w:rFonts w:asciiTheme="minorHAnsi" w:eastAsia="Microsoft GothicNeo" w:hAnsiTheme="minorHAnsi" w:cs="Arial"/>
          <w:i w:val="0"/>
          <w:color w:val="auto"/>
          <w:sz w:val="22"/>
          <w:szCs w:val="22"/>
        </w:rPr>
      </w:pPr>
    </w:p>
    <w:p w14:paraId="3F7E7772" w14:textId="7D948FC9" w:rsidR="00FE5251" w:rsidRPr="00667DA4" w:rsidRDefault="00444AFF" w:rsidP="00746A27">
      <w:pPr>
        <w:pStyle w:val="HTMLAddress"/>
        <w:numPr>
          <w:ilvl w:val="0"/>
          <w:numId w:val="13"/>
        </w:numPr>
        <w:shd w:val="clear" w:color="auto" w:fill="FFFFFF"/>
        <w:spacing w:line="480" w:lineRule="auto"/>
        <w:rPr>
          <w:rFonts w:asciiTheme="minorHAnsi" w:eastAsia="Microsoft GothicNeo" w:hAnsiTheme="minorHAnsi" w:cs="Arial"/>
          <w:i w:val="0"/>
          <w:sz w:val="22"/>
          <w:szCs w:val="22"/>
          <w:u w:val="single"/>
        </w:rPr>
      </w:pPr>
      <w:r w:rsidRPr="00667DA4">
        <w:rPr>
          <w:rFonts w:asciiTheme="minorHAnsi" w:hAnsiTheme="minorHAnsi" w:cs="Arial"/>
          <w:i w:val="0"/>
          <w:sz w:val="22"/>
          <w:szCs w:val="22"/>
        </w:rPr>
        <w:t xml:space="preserve">HRT prescription </w:t>
      </w:r>
      <w:r w:rsidR="00FE5251" w:rsidRPr="00667DA4">
        <w:rPr>
          <w:rFonts w:asciiTheme="minorHAnsi" w:hAnsiTheme="minorHAnsi" w:cs="Arial"/>
          <w:i w:val="0"/>
          <w:sz w:val="22"/>
          <w:szCs w:val="22"/>
        </w:rPr>
        <w:t>was associated with</w:t>
      </w:r>
      <w:r w:rsidR="00DC23D2" w:rsidRPr="00667DA4">
        <w:rPr>
          <w:rFonts w:asciiTheme="minorHAnsi" w:hAnsiTheme="minorHAnsi" w:cs="Arial"/>
          <w:i w:val="0"/>
          <w:sz w:val="22"/>
          <w:szCs w:val="22"/>
        </w:rPr>
        <w:t xml:space="preserve"> reduced</w:t>
      </w:r>
      <w:r w:rsidR="00FE5251" w:rsidRPr="00667DA4">
        <w:rPr>
          <w:rFonts w:asciiTheme="minorHAnsi" w:hAnsiTheme="minorHAnsi" w:cs="Arial"/>
          <w:i w:val="0"/>
          <w:sz w:val="22"/>
          <w:szCs w:val="22"/>
        </w:rPr>
        <w:t xml:space="preserve"> all-cause mortality from COVID</w:t>
      </w:r>
    </w:p>
    <w:p w14:paraId="7F574B45" w14:textId="563A1BA7" w:rsidR="00FE5251" w:rsidRPr="00667DA4" w:rsidRDefault="00FE5251" w:rsidP="00746A27">
      <w:pPr>
        <w:pStyle w:val="HTMLAddress"/>
        <w:shd w:val="clear" w:color="auto" w:fill="FFFFFF"/>
        <w:spacing w:line="480" w:lineRule="auto"/>
        <w:rPr>
          <w:rFonts w:asciiTheme="minorHAnsi" w:eastAsia="Microsoft GothicNeo" w:hAnsiTheme="minorHAnsi" w:cs="Arial"/>
          <w:i w:val="0"/>
          <w:sz w:val="22"/>
          <w:szCs w:val="22"/>
          <w:u w:val="single"/>
        </w:rPr>
      </w:pPr>
    </w:p>
    <w:p w14:paraId="16913051" w14:textId="77493B9A" w:rsidR="00DC23D2" w:rsidRPr="00667DA4" w:rsidRDefault="00FE5251" w:rsidP="00746A27">
      <w:pPr>
        <w:pStyle w:val="HTMLAddress"/>
        <w:numPr>
          <w:ilvl w:val="0"/>
          <w:numId w:val="13"/>
        </w:numPr>
        <w:shd w:val="clear" w:color="auto" w:fill="FFFFFF"/>
        <w:spacing w:line="480" w:lineRule="auto"/>
        <w:rPr>
          <w:rFonts w:asciiTheme="minorHAnsi" w:eastAsia="Microsoft GothicNeo" w:hAnsiTheme="minorHAnsi" w:cs="Arial"/>
          <w:i w:val="0"/>
          <w:sz w:val="22"/>
          <w:szCs w:val="22"/>
        </w:rPr>
      </w:pPr>
      <w:r w:rsidRPr="00667DA4">
        <w:rPr>
          <w:rFonts w:asciiTheme="minorHAnsi" w:eastAsia="Microsoft GothicNeo" w:hAnsiTheme="minorHAnsi" w:cs="Arial"/>
          <w:i w:val="0"/>
          <w:sz w:val="22"/>
          <w:szCs w:val="22"/>
        </w:rPr>
        <w:t xml:space="preserve">This data </w:t>
      </w:r>
      <w:r w:rsidR="00DC23D2" w:rsidRPr="00667DA4">
        <w:rPr>
          <w:rFonts w:asciiTheme="minorHAnsi" w:eastAsia="Microsoft GothicNeo" w:hAnsiTheme="minorHAnsi" w:cs="Arial"/>
          <w:i w:val="0"/>
          <w:sz w:val="22"/>
          <w:szCs w:val="22"/>
        </w:rPr>
        <w:t>suggests</w:t>
      </w:r>
      <w:r w:rsidRPr="00667DA4">
        <w:rPr>
          <w:rFonts w:asciiTheme="minorHAnsi" w:eastAsia="Microsoft GothicNeo" w:hAnsiTheme="minorHAnsi" w:cs="Arial"/>
          <w:i w:val="0"/>
          <w:sz w:val="22"/>
          <w:szCs w:val="22"/>
        </w:rPr>
        <w:t xml:space="preserve"> no evidence to discontinue HRT </w:t>
      </w:r>
      <w:r w:rsidR="009B726C" w:rsidRPr="00667DA4">
        <w:rPr>
          <w:rFonts w:asciiTheme="minorHAnsi" w:eastAsia="Microsoft GothicNeo" w:hAnsiTheme="minorHAnsi" w:cs="Arial"/>
          <w:i w:val="0"/>
          <w:sz w:val="22"/>
          <w:szCs w:val="22"/>
        </w:rPr>
        <w:t>because of the pandemic</w:t>
      </w:r>
    </w:p>
    <w:p w14:paraId="78D85942" w14:textId="77777777" w:rsidR="00DC23D2" w:rsidRPr="00667DA4" w:rsidRDefault="00DC23D2" w:rsidP="00746A27">
      <w:pPr>
        <w:pStyle w:val="HTMLAddress"/>
        <w:shd w:val="clear" w:color="auto" w:fill="FFFFFF"/>
        <w:spacing w:line="480" w:lineRule="auto"/>
        <w:rPr>
          <w:rFonts w:asciiTheme="minorHAnsi" w:eastAsia="Microsoft GothicNeo" w:hAnsiTheme="minorHAnsi" w:cs="Arial"/>
          <w:i w:val="0"/>
          <w:sz w:val="22"/>
          <w:szCs w:val="22"/>
        </w:rPr>
      </w:pPr>
    </w:p>
    <w:p w14:paraId="2E8E38A7" w14:textId="4FE42331" w:rsidR="00DC23D2" w:rsidRPr="00667DA4" w:rsidRDefault="00DC23D2" w:rsidP="00746A27">
      <w:pPr>
        <w:pStyle w:val="HTMLAddress"/>
        <w:numPr>
          <w:ilvl w:val="0"/>
          <w:numId w:val="13"/>
        </w:numPr>
        <w:shd w:val="clear" w:color="auto" w:fill="FFFFFF"/>
        <w:spacing w:line="480" w:lineRule="auto"/>
        <w:rPr>
          <w:rFonts w:asciiTheme="minorHAnsi" w:eastAsia="Microsoft GothicNeo" w:hAnsiTheme="minorHAnsi" w:cs="Arial"/>
          <w:i w:val="0"/>
          <w:sz w:val="22"/>
          <w:szCs w:val="22"/>
        </w:rPr>
      </w:pPr>
      <w:r w:rsidRPr="00667DA4">
        <w:rPr>
          <w:rFonts w:asciiTheme="minorHAnsi" w:eastAsia="Microsoft GothicNeo" w:hAnsiTheme="minorHAnsi" w:cs="Arial"/>
          <w:i w:val="0"/>
          <w:sz w:val="22"/>
          <w:szCs w:val="22"/>
        </w:rPr>
        <w:t>Research should explore the association between combined contraception and COVID outcomes</w:t>
      </w:r>
    </w:p>
    <w:p w14:paraId="391F3405" w14:textId="7F06C41E" w:rsidR="00827768" w:rsidRPr="00667DA4" w:rsidRDefault="00894295" w:rsidP="00FE5251">
      <w:pPr>
        <w:spacing w:line="480" w:lineRule="auto"/>
        <w:jc w:val="both"/>
        <w:rPr>
          <w:rFonts w:cs="Arial"/>
          <w:b/>
          <w:u w:val="single"/>
        </w:rPr>
      </w:pPr>
      <w:bookmarkStart w:id="2" w:name="_Hlk26318385"/>
      <w:r w:rsidRPr="00667DA4">
        <w:rPr>
          <w:rFonts w:cs="Arial"/>
          <w:b/>
          <w:u w:val="single"/>
        </w:rPr>
        <w:br w:type="column"/>
      </w:r>
      <w:r w:rsidR="00E67147" w:rsidRPr="00667DA4">
        <w:rPr>
          <w:rFonts w:cs="Arial"/>
          <w:b/>
          <w:u w:val="single"/>
        </w:rPr>
        <w:lastRenderedPageBreak/>
        <w:t>ABSTRACT</w:t>
      </w:r>
    </w:p>
    <w:p w14:paraId="419E9C3F" w14:textId="77777777" w:rsidR="00904298" w:rsidRPr="00667DA4" w:rsidRDefault="00904298" w:rsidP="00FE5251">
      <w:pPr>
        <w:spacing w:line="480" w:lineRule="auto"/>
        <w:jc w:val="both"/>
        <w:rPr>
          <w:rFonts w:cs="Arial"/>
          <w:b/>
          <w:u w:val="single"/>
        </w:rPr>
      </w:pPr>
    </w:p>
    <w:p w14:paraId="43DFECAD" w14:textId="0CEB1403" w:rsidR="002669F8" w:rsidRPr="00667DA4" w:rsidRDefault="00284745" w:rsidP="00FE5251">
      <w:pPr>
        <w:spacing w:line="480" w:lineRule="auto"/>
        <w:jc w:val="both"/>
        <w:rPr>
          <w:rFonts w:cs="Arial"/>
          <w:b/>
        </w:rPr>
      </w:pPr>
      <w:r w:rsidRPr="00667DA4">
        <w:rPr>
          <w:rFonts w:cs="Arial"/>
          <w:b/>
        </w:rPr>
        <w:t>Background</w:t>
      </w:r>
    </w:p>
    <w:p w14:paraId="54FF00F4" w14:textId="5DB27045" w:rsidR="003B2BD5" w:rsidRPr="00667DA4" w:rsidRDefault="000823D4" w:rsidP="00FE5251">
      <w:pPr>
        <w:spacing w:line="480" w:lineRule="auto"/>
        <w:jc w:val="both"/>
        <w:rPr>
          <w:rFonts w:cs="Arial"/>
        </w:rPr>
      </w:pPr>
      <w:r w:rsidRPr="00667DA4">
        <w:rPr>
          <w:rFonts w:cs="Arial"/>
        </w:rPr>
        <w:t>Limited r</w:t>
      </w:r>
      <w:r w:rsidR="00230767" w:rsidRPr="00667DA4">
        <w:rPr>
          <w:rFonts w:cs="Arial"/>
        </w:rPr>
        <w:t xml:space="preserve">ecent observational data </w:t>
      </w:r>
      <w:r w:rsidR="00D374F8" w:rsidRPr="00667DA4">
        <w:rPr>
          <w:rFonts w:cs="Arial"/>
        </w:rPr>
        <w:t xml:space="preserve">has suggested there </w:t>
      </w:r>
      <w:r w:rsidR="002F5463" w:rsidRPr="00667DA4">
        <w:rPr>
          <w:rFonts w:cs="Arial"/>
        </w:rPr>
        <w:t xml:space="preserve">may be a </w:t>
      </w:r>
      <w:r w:rsidR="00D374F8" w:rsidRPr="00667DA4">
        <w:rPr>
          <w:rFonts w:cs="Arial"/>
          <w:shd w:val="clear" w:color="auto" w:fill="FFFFFF"/>
        </w:rPr>
        <w:t>protective effect of oestrogen on the severity of COVID-19 disease.</w:t>
      </w:r>
      <w:r w:rsidR="008E252A" w:rsidRPr="00667DA4">
        <w:rPr>
          <w:rFonts w:cs="Arial"/>
        </w:rPr>
        <w:t xml:space="preserve"> </w:t>
      </w:r>
      <w:r w:rsidR="00121AE8" w:rsidRPr="00667DA4">
        <w:rPr>
          <w:rFonts w:cs="Arial"/>
        </w:rPr>
        <w:t>Our aim was to</w:t>
      </w:r>
      <w:r w:rsidR="00124142" w:rsidRPr="00667DA4">
        <w:rPr>
          <w:rFonts w:cs="Arial"/>
        </w:rPr>
        <w:t xml:space="preserve"> </w:t>
      </w:r>
      <w:r w:rsidR="00E67147" w:rsidRPr="00667DA4">
        <w:rPr>
          <w:rFonts w:eastAsia="Arial" w:cs="Arial"/>
        </w:rPr>
        <w:t>investigate the association between</w:t>
      </w:r>
      <w:r w:rsidR="0037097E" w:rsidRPr="00667DA4">
        <w:rPr>
          <w:rFonts w:eastAsia="Arial" w:cs="Arial"/>
        </w:rPr>
        <w:t xml:space="preserve"> </w:t>
      </w:r>
      <w:r w:rsidR="0037097E" w:rsidRPr="00667DA4">
        <w:rPr>
          <w:rFonts w:cs="Arial"/>
        </w:rPr>
        <w:t>Hormone Replacement Therapy (</w:t>
      </w:r>
      <w:r w:rsidR="00E67147" w:rsidRPr="00667DA4">
        <w:rPr>
          <w:rFonts w:cs="Arial"/>
        </w:rPr>
        <w:t>HR</w:t>
      </w:r>
      <w:r w:rsidR="0037097E" w:rsidRPr="00667DA4">
        <w:rPr>
          <w:rFonts w:cs="Arial"/>
        </w:rPr>
        <w:t>T) or Combined Oral Contraception (</w:t>
      </w:r>
      <w:r w:rsidR="00E67147" w:rsidRPr="00667DA4">
        <w:rPr>
          <w:rFonts w:cs="Arial"/>
        </w:rPr>
        <w:t>COCP</w:t>
      </w:r>
      <w:r w:rsidR="0037097E" w:rsidRPr="00667DA4">
        <w:rPr>
          <w:rFonts w:cs="Arial"/>
        </w:rPr>
        <w:t>)</w:t>
      </w:r>
      <w:r w:rsidR="00541D9A" w:rsidRPr="00667DA4">
        <w:rPr>
          <w:rFonts w:cs="Arial"/>
        </w:rPr>
        <w:t xml:space="preserve"> use</w:t>
      </w:r>
      <w:r w:rsidR="00124142" w:rsidRPr="00667DA4">
        <w:rPr>
          <w:rFonts w:cs="Arial"/>
        </w:rPr>
        <w:t xml:space="preserve">, </w:t>
      </w:r>
      <w:r w:rsidR="00E67147" w:rsidRPr="00667DA4">
        <w:rPr>
          <w:rFonts w:cs="Arial"/>
        </w:rPr>
        <w:t xml:space="preserve">and </w:t>
      </w:r>
      <w:r w:rsidR="00144AB0" w:rsidRPr="00667DA4">
        <w:rPr>
          <w:rFonts w:cs="Arial"/>
        </w:rPr>
        <w:t xml:space="preserve">the </w:t>
      </w:r>
      <w:r w:rsidR="002B321F" w:rsidRPr="00667DA4">
        <w:rPr>
          <w:rFonts w:cs="Arial"/>
        </w:rPr>
        <w:t>likelihood</w:t>
      </w:r>
      <w:r w:rsidR="00E67147" w:rsidRPr="00667DA4">
        <w:rPr>
          <w:rFonts w:cs="Arial"/>
        </w:rPr>
        <w:t xml:space="preserve"> of death </w:t>
      </w:r>
      <w:r w:rsidR="00124142" w:rsidRPr="00667DA4">
        <w:rPr>
          <w:rFonts w:cs="Arial"/>
        </w:rPr>
        <w:t>in</w:t>
      </w:r>
      <w:r w:rsidR="00E67147" w:rsidRPr="00667DA4">
        <w:rPr>
          <w:rFonts w:cs="Arial"/>
        </w:rPr>
        <w:t xml:space="preserve"> women with COVID-19.</w:t>
      </w:r>
    </w:p>
    <w:p w14:paraId="537AB612" w14:textId="25A7C248" w:rsidR="00E146EA" w:rsidRPr="00667DA4" w:rsidRDefault="002669F8" w:rsidP="00FE5251">
      <w:pPr>
        <w:spacing w:line="480" w:lineRule="auto"/>
        <w:jc w:val="both"/>
        <w:rPr>
          <w:rFonts w:cs="Arial"/>
          <w:b/>
        </w:rPr>
      </w:pPr>
      <w:r w:rsidRPr="00667DA4">
        <w:rPr>
          <w:rFonts w:cs="Arial"/>
          <w:b/>
        </w:rPr>
        <w:t>Methods</w:t>
      </w:r>
    </w:p>
    <w:p w14:paraId="4125FDD0" w14:textId="63A90566" w:rsidR="002669F8" w:rsidRPr="00667DA4" w:rsidRDefault="00F157BD" w:rsidP="00FE5251">
      <w:pPr>
        <w:spacing w:line="480" w:lineRule="auto"/>
        <w:jc w:val="both"/>
        <w:rPr>
          <w:rFonts w:cs="Arial"/>
        </w:rPr>
      </w:pPr>
      <w:r w:rsidRPr="00667DA4">
        <w:rPr>
          <w:rFonts w:cs="Arial"/>
        </w:rPr>
        <w:t xml:space="preserve">We undertook a retrospective cohort study using routinely-collected computerised medical records </w:t>
      </w:r>
      <w:r w:rsidR="00E146EA" w:rsidRPr="00667DA4">
        <w:rPr>
          <w:rFonts w:cs="Arial"/>
        </w:rPr>
        <w:t>from</w:t>
      </w:r>
      <w:r w:rsidRPr="00667DA4">
        <w:rPr>
          <w:rFonts w:cs="Arial"/>
        </w:rPr>
        <w:t xml:space="preserve"> the Oxford-Royal College of General Practitioners (RCGP) Research and Surveillance Centre (RSC) primary care database.</w:t>
      </w:r>
      <w:r w:rsidR="00B902AC" w:rsidRPr="00667DA4">
        <w:rPr>
          <w:rFonts w:cs="Arial"/>
        </w:rPr>
        <w:t xml:space="preserve"> </w:t>
      </w:r>
      <w:r w:rsidR="00DF04EA" w:rsidRPr="00667DA4">
        <w:rPr>
          <w:rFonts w:cs="Arial"/>
        </w:rPr>
        <w:t xml:space="preserve">We identified a cohort of 1,863,478 women </w:t>
      </w:r>
      <w:r w:rsidR="00B902AC" w:rsidRPr="00667DA4">
        <w:rPr>
          <w:rFonts w:cs="Arial"/>
        </w:rPr>
        <w:t xml:space="preserve">over </w:t>
      </w:r>
      <w:r w:rsidR="00DF04EA" w:rsidRPr="00667DA4">
        <w:rPr>
          <w:rFonts w:cs="Arial"/>
        </w:rPr>
        <w:t>18 years</w:t>
      </w:r>
      <w:r w:rsidR="00B902AC" w:rsidRPr="00667DA4">
        <w:rPr>
          <w:rFonts w:cs="Arial"/>
        </w:rPr>
        <w:t xml:space="preserve">-of-age, from </w:t>
      </w:r>
      <w:r w:rsidR="00B902AC" w:rsidRPr="00667DA4">
        <w:rPr>
          <w:rFonts w:cs="Arial"/>
          <w:shd w:val="clear" w:color="auto" w:fill="FFFFFF"/>
        </w:rPr>
        <w:t>465 general practices in England.</w:t>
      </w:r>
      <w:r w:rsidR="00FD7585" w:rsidRPr="00667DA4">
        <w:rPr>
          <w:rFonts w:cs="Arial"/>
        </w:rPr>
        <w:t xml:space="preserve"> </w:t>
      </w:r>
      <w:r w:rsidR="000F5EF4" w:rsidRPr="00667DA4">
        <w:rPr>
          <w:rFonts w:cs="Arial"/>
          <w:shd w:val="clear" w:color="auto" w:fill="FFFFFF"/>
        </w:rPr>
        <w:t>M</w:t>
      </w:r>
      <w:r w:rsidR="000F5EF4" w:rsidRPr="00667DA4">
        <w:rPr>
          <w:rFonts w:cs="Arial"/>
        </w:rPr>
        <w:t xml:space="preserve">ixed-effects logistic regression models were used to quantify the association between </w:t>
      </w:r>
      <w:r w:rsidR="00D363E6" w:rsidRPr="00667DA4">
        <w:rPr>
          <w:rFonts w:cs="Arial"/>
        </w:rPr>
        <w:t xml:space="preserve">Hormone Replacement Therapy (HRT) or Combined Oral Contraceptive Pill (COCP) </w:t>
      </w:r>
      <w:r w:rsidR="000F5EF4" w:rsidRPr="00667DA4">
        <w:rPr>
          <w:rFonts w:cs="Arial"/>
          <w:shd w:val="clear" w:color="auto" w:fill="FFFFFF"/>
        </w:rPr>
        <w:t xml:space="preserve">use, and all-cause mortality among women </w:t>
      </w:r>
      <w:r w:rsidR="00DF71BD" w:rsidRPr="00667DA4">
        <w:rPr>
          <w:rFonts w:cs="Arial"/>
          <w:shd w:val="clear" w:color="auto" w:fill="FFFFFF"/>
        </w:rPr>
        <w:t xml:space="preserve">diagnosed </w:t>
      </w:r>
      <w:r w:rsidR="000F5EF4" w:rsidRPr="00667DA4">
        <w:rPr>
          <w:rFonts w:cs="Arial"/>
          <w:shd w:val="clear" w:color="auto" w:fill="FFFFFF"/>
        </w:rPr>
        <w:t xml:space="preserve">with </w:t>
      </w:r>
      <w:r w:rsidR="00DF71BD" w:rsidRPr="00667DA4">
        <w:rPr>
          <w:rFonts w:cs="Arial"/>
          <w:shd w:val="clear" w:color="auto" w:fill="FFFFFF"/>
        </w:rPr>
        <w:t>confirmed- or suspected</w:t>
      </w:r>
      <w:r w:rsidR="00FD7184" w:rsidRPr="00667DA4">
        <w:rPr>
          <w:rFonts w:cs="Arial"/>
          <w:shd w:val="clear" w:color="auto" w:fill="FFFFFF"/>
        </w:rPr>
        <w:t xml:space="preserve"> </w:t>
      </w:r>
      <w:r w:rsidR="000F5EF4" w:rsidRPr="00667DA4">
        <w:rPr>
          <w:rFonts w:cs="Arial"/>
          <w:shd w:val="clear" w:color="auto" w:fill="FFFFFF"/>
        </w:rPr>
        <w:t>COVID</w:t>
      </w:r>
      <w:r w:rsidR="00DF71BD" w:rsidRPr="00667DA4">
        <w:rPr>
          <w:rFonts w:cs="Arial"/>
          <w:shd w:val="clear" w:color="auto" w:fill="FFFFFF"/>
        </w:rPr>
        <w:t xml:space="preserve"> </w:t>
      </w:r>
      <w:r w:rsidR="000F5EF4" w:rsidRPr="00667DA4">
        <w:rPr>
          <w:rFonts w:cs="Arial"/>
          <w:shd w:val="clear" w:color="auto" w:fill="FFFFFF"/>
        </w:rPr>
        <w:t>19 in unadjusted and adjusted models.</w:t>
      </w:r>
      <w:bookmarkEnd w:id="2"/>
    </w:p>
    <w:p w14:paraId="077DA2EA" w14:textId="77777777" w:rsidR="002669F8" w:rsidRPr="00667DA4" w:rsidRDefault="00E67147" w:rsidP="00FE5251">
      <w:pPr>
        <w:spacing w:line="480" w:lineRule="auto"/>
        <w:jc w:val="both"/>
        <w:rPr>
          <w:rFonts w:cs="Arial"/>
          <w:b/>
          <w:bCs/>
        </w:rPr>
      </w:pPr>
      <w:r w:rsidRPr="00667DA4">
        <w:rPr>
          <w:rFonts w:cs="Arial"/>
          <w:b/>
          <w:bCs/>
        </w:rPr>
        <w:t>Results</w:t>
      </w:r>
    </w:p>
    <w:p w14:paraId="4BE6DFDD" w14:textId="4BB6BC2E" w:rsidR="00562941" w:rsidRPr="00667DA4" w:rsidRDefault="00E67147" w:rsidP="00FE5251">
      <w:pPr>
        <w:spacing w:line="480" w:lineRule="auto"/>
        <w:jc w:val="both"/>
        <w:rPr>
          <w:rFonts w:cs="Arial"/>
          <w:shd w:val="clear" w:color="auto" w:fill="FFFFFF"/>
        </w:rPr>
      </w:pPr>
      <w:r w:rsidRPr="00667DA4">
        <w:rPr>
          <w:rFonts w:cs="Arial"/>
          <w:shd w:val="clear" w:color="auto" w:fill="FFFFFF"/>
        </w:rPr>
        <w:t xml:space="preserve">There were </w:t>
      </w:r>
      <w:r w:rsidR="00562941" w:rsidRPr="00667DA4">
        <w:rPr>
          <w:rFonts w:cs="Arial"/>
          <w:shd w:val="clear" w:color="auto" w:fill="FFFFFF"/>
        </w:rPr>
        <w:t>5451</w:t>
      </w:r>
      <w:r w:rsidRPr="00667DA4">
        <w:rPr>
          <w:rFonts w:cs="Arial"/>
          <w:shd w:val="clear" w:color="auto" w:fill="FFFFFF"/>
        </w:rPr>
        <w:t xml:space="preserve"> COVID-19 cases</w:t>
      </w:r>
      <w:r w:rsidR="00A20A36" w:rsidRPr="00667DA4">
        <w:rPr>
          <w:rFonts w:cs="Arial"/>
          <w:shd w:val="clear" w:color="auto" w:fill="FFFFFF"/>
        </w:rPr>
        <w:t xml:space="preserve"> within the cohort</w:t>
      </w:r>
      <w:r w:rsidRPr="00667DA4">
        <w:rPr>
          <w:rFonts w:cs="Arial"/>
          <w:shd w:val="clear" w:color="auto" w:fill="FFFFFF"/>
        </w:rPr>
        <w:t xml:space="preserve">. </w:t>
      </w:r>
      <w:r w:rsidR="00562941" w:rsidRPr="00667DA4">
        <w:rPr>
          <w:rFonts w:cs="Arial"/>
          <w:shd w:val="clear" w:color="auto" w:fill="FFFFFF"/>
        </w:rPr>
        <w:t xml:space="preserve">HRT was associated with </w:t>
      </w:r>
      <w:r w:rsidR="00FD7184" w:rsidRPr="00667DA4">
        <w:rPr>
          <w:rFonts w:cs="Arial"/>
          <w:shd w:val="clear" w:color="auto" w:fill="FFFFFF"/>
        </w:rPr>
        <w:t>a reduction in</w:t>
      </w:r>
      <w:r w:rsidRPr="00667DA4">
        <w:rPr>
          <w:rFonts w:cs="Arial"/>
          <w:shd w:val="clear" w:color="auto" w:fill="FFFFFF"/>
        </w:rPr>
        <w:t xml:space="preserve"> all-cause mortality in COVID-19 (adjusted OR </w:t>
      </w:r>
      <w:r w:rsidR="00562941" w:rsidRPr="00667DA4">
        <w:rPr>
          <w:rFonts w:cs="Arial"/>
          <w:shd w:val="clear" w:color="auto" w:fill="FFFFFF"/>
        </w:rPr>
        <w:t>0</w:t>
      </w:r>
      <w:r w:rsidRPr="00667DA4">
        <w:rPr>
          <w:rFonts w:cs="Arial"/>
          <w:shd w:val="clear" w:color="auto" w:fill="FFFFFF"/>
        </w:rPr>
        <w:t>.</w:t>
      </w:r>
      <w:r w:rsidR="00562941" w:rsidRPr="00667DA4">
        <w:rPr>
          <w:rFonts w:cs="Arial"/>
          <w:shd w:val="clear" w:color="auto" w:fill="FFFFFF"/>
        </w:rPr>
        <w:t>2</w:t>
      </w:r>
      <w:r w:rsidRPr="00667DA4">
        <w:rPr>
          <w:rFonts w:cs="Arial"/>
          <w:shd w:val="clear" w:color="auto" w:fill="FFFFFF"/>
        </w:rPr>
        <w:t>2, 95% CI 0.</w:t>
      </w:r>
      <w:r w:rsidR="00562941" w:rsidRPr="00667DA4">
        <w:rPr>
          <w:rFonts w:cs="Arial"/>
          <w:shd w:val="clear" w:color="auto" w:fill="FFFFFF"/>
        </w:rPr>
        <w:t>05</w:t>
      </w:r>
      <w:r w:rsidRPr="00667DA4">
        <w:rPr>
          <w:rFonts w:cs="Arial"/>
          <w:shd w:val="clear" w:color="auto" w:fill="FFFFFF"/>
        </w:rPr>
        <w:t xml:space="preserve"> to </w:t>
      </w:r>
      <w:r w:rsidR="00562941" w:rsidRPr="00667DA4">
        <w:rPr>
          <w:rFonts w:cs="Arial"/>
          <w:shd w:val="clear" w:color="auto" w:fill="FFFFFF"/>
        </w:rPr>
        <w:t>0</w:t>
      </w:r>
      <w:r w:rsidRPr="00667DA4">
        <w:rPr>
          <w:rFonts w:cs="Arial"/>
          <w:shd w:val="clear" w:color="auto" w:fill="FFFFFF"/>
        </w:rPr>
        <w:t>.</w:t>
      </w:r>
      <w:r w:rsidR="00562941" w:rsidRPr="00667DA4">
        <w:rPr>
          <w:rFonts w:cs="Arial"/>
          <w:shd w:val="clear" w:color="auto" w:fill="FFFFFF"/>
        </w:rPr>
        <w:t>94</w:t>
      </w:r>
      <w:r w:rsidRPr="00667DA4">
        <w:rPr>
          <w:rFonts w:cs="Arial"/>
          <w:shd w:val="clear" w:color="auto" w:fill="FFFFFF"/>
        </w:rPr>
        <w:t>)</w:t>
      </w:r>
      <w:r w:rsidR="00562941" w:rsidRPr="00667DA4">
        <w:rPr>
          <w:rFonts w:cs="Arial"/>
          <w:shd w:val="clear" w:color="auto" w:fill="FFFFFF"/>
        </w:rPr>
        <w:t xml:space="preserve">. </w:t>
      </w:r>
      <w:r w:rsidR="007B469B" w:rsidRPr="00667DA4">
        <w:rPr>
          <w:rFonts w:cs="Arial"/>
          <w:shd w:val="clear" w:color="auto" w:fill="FFFFFF"/>
        </w:rPr>
        <w:t>There were no reported events for all-cause mortality in women prescribed COCPs. This prevented further examination of the impact of COCP.</w:t>
      </w:r>
    </w:p>
    <w:p w14:paraId="459219A0" w14:textId="77777777" w:rsidR="002669F8" w:rsidRPr="00667DA4" w:rsidRDefault="00E67147" w:rsidP="00FE5251">
      <w:pPr>
        <w:autoSpaceDE w:val="0"/>
        <w:autoSpaceDN w:val="0"/>
        <w:adjustRightInd w:val="0"/>
        <w:spacing w:line="480" w:lineRule="auto"/>
        <w:jc w:val="both"/>
        <w:rPr>
          <w:rFonts w:cs="Arial"/>
          <w:b/>
          <w:bCs/>
          <w:shd w:val="clear" w:color="auto" w:fill="FFFFFF"/>
        </w:rPr>
      </w:pPr>
      <w:r w:rsidRPr="00667DA4">
        <w:rPr>
          <w:rFonts w:cs="Arial"/>
          <w:b/>
          <w:bCs/>
          <w:shd w:val="clear" w:color="auto" w:fill="FFFFFF"/>
        </w:rPr>
        <w:t>Conclusions</w:t>
      </w:r>
    </w:p>
    <w:p w14:paraId="2D1C6D5B" w14:textId="52AA061B" w:rsidR="00E67147" w:rsidRPr="00667DA4" w:rsidRDefault="00FD7184" w:rsidP="00FE5251">
      <w:pPr>
        <w:autoSpaceDE w:val="0"/>
        <w:autoSpaceDN w:val="0"/>
        <w:adjustRightInd w:val="0"/>
        <w:spacing w:line="480" w:lineRule="auto"/>
        <w:jc w:val="both"/>
        <w:rPr>
          <w:rFonts w:cs="Arial"/>
        </w:rPr>
      </w:pPr>
      <w:r w:rsidRPr="00667DA4">
        <w:rPr>
          <w:rFonts w:cs="Arial"/>
        </w:rPr>
        <w:t xml:space="preserve">We found that HRT prescription within six months of a recorded diagnosis of COVID-19 infection was associated with a reduction in all-cause mortality. </w:t>
      </w:r>
      <w:r w:rsidR="005212BB" w:rsidRPr="00667DA4">
        <w:rPr>
          <w:rFonts w:cs="Arial"/>
        </w:rPr>
        <w:t xml:space="preserve"> </w:t>
      </w:r>
      <w:r w:rsidR="00FE4386" w:rsidRPr="00667DA4">
        <w:rPr>
          <w:rFonts w:cs="Arial"/>
        </w:rPr>
        <w:t xml:space="preserve">Further work is needed in larger cohorts to examine </w:t>
      </w:r>
      <w:r w:rsidR="00FE4386" w:rsidRPr="00667DA4">
        <w:rPr>
          <w:rFonts w:cs="Arial"/>
        </w:rPr>
        <w:lastRenderedPageBreak/>
        <w:t>the association of COCP in COVID-19</w:t>
      </w:r>
      <w:r w:rsidR="004859C7" w:rsidRPr="00667DA4">
        <w:rPr>
          <w:rFonts w:cs="Arial"/>
        </w:rPr>
        <w:t xml:space="preserve">, and to further investigate </w:t>
      </w:r>
      <w:r w:rsidR="00A45CAF" w:rsidRPr="00667DA4">
        <w:rPr>
          <w:rFonts w:cs="Arial"/>
        </w:rPr>
        <w:t xml:space="preserve">the </w:t>
      </w:r>
      <w:r w:rsidR="0037097E" w:rsidRPr="00667DA4">
        <w:rPr>
          <w:rFonts w:cs="Arial"/>
        </w:rPr>
        <w:t>hypothes</w:t>
      </w:r>
      <w:r w:rsidR="00A45CAF" w:rsidRPr="00667DA4">
        <w:rPr>
          <w:rFonts w:cs="Arial"/>
        </w:rPr>
        <w:t>i</w:t>
      </w:r>
      <w:r w:rsidR="0037097E" w:rsidRPr="00667DA4">
        <w:rPr>
          <w:rFonts w:cs="Arial"/>
        </w:rPr>
        <w:t>s that</w:t>
      </w:r>
      <w:r w:rsidR="00DF4561" w:rsidRPr="00667DA4">
        <w:rPr>
          <w:rFonts w:cs="Arial"/>
        </w:rPr>
        <w:t xml:space="preserve"> oestrogen</w:t>
      </w:r>
      <w:r w:rsidR="00FE4386" w:rsidRPr="00667DA4">
        <w:rPr>
          <w:rFonts w:cs="Arial"/>
        </w:rPr>
        <w:t>s</w:t>
      </w:r>
      <w:r w:rsidR="00E67147" w:rsidRPr="00667DA4">
        <w:rPr>
          <w:rFonts w:cs="Arial"/>
          <w:shd w:val="clear" w:color="auto" w:fill="FFFFFF"/>
        </w:rPr>
        <w:t xml:space="preserve"> </w:t>
      </w:r>
      <w:r w:rsidR="0037097E" w:rsidRPr="00667DA4">
        <w:rPr>
          <w:rFonts w:cs="Arial"/>
          <w:shd w:val="clear" w:color="auto" w:fill="FFFFFF"/>
        </w:rPr>
        <w:t xml:space="preserve">may </w:t>
      </w:r>
      <w:r w:rsidR="00817A4B" w:rsidRPr="00667DA4">
        <w:rPr>
          <w:rFonts w:cs="Arial"/>
        </w:rPr>
        <w:t xml:space="preserve">contribute </w:t>
      </w:r>
      <w:r w:rsidR="00CB0C80" w:rsidRPr="00667DA4">
        <w:rPr>
          <w:rFonts w:cs="Arial"/>
        </w:rPr>
        <w:t xml:space="preserve">a protective effect </w:t>
      </w:r>
      <w:r w:rsidR="0037097E" w:rsidRPr="00667DA4">
        <w:rPr>
          <w:rFonts w:cs="Arial"/>
        </w:rPr>
        <w:t>against COVID-19</w:t>
      </w:r>
      <w:r w:rsidR="00DF4561" w:rsidRPr="00667DA4">
        <w:rPr>
          <w:rFonts w:cs="Arial"/>
        </w:rPr>
        <w:t xml:space="preserve"> severity</w:t>
      </w:r>
      <w:r w:rsidR="0037097E" w:rsidRPr="00667DA4">
        <w:rPr>
          <w:rFonts w:cs="Arial"/>
        </w:rPr>
        <w:t>.</w:t>
      </w:r>
    </w:p>
    <w:p w14:paraId="59C7BE7C" w14:textId="07794C17" w:rsidR="00DF4561" w:rsidRPr="00667DA4" w:rsidRDefault="00DF4561" w:rsidP="00FE5251">
      <w:pPr>
        <w:pStyle w:val="NormalWeb"/>
        <w:shd w:val="clear" w:color="auto" w:fill="FFFFFF"/>
        <w:spacing w:before="0" w:beforeAutospacing="0" w:after="150" w:afterAutospacing="0" w:line="480" w:lineRule="auto"/>
        <w:rPr>
          <w:rFonts w:asciiTheme="minorHAnsi" w:hAnsiTheme="minorHAnsi" w:cs="Arial"/>
          <w:sz w:val="22"/>
          <w:szCs w:val="22"/>
          <w:shd w:val="clear" w:color="auto" w:fill="FFFFFF"/>
        </w:rPr>
      </w:pPr>
    </w:p>
    <w:p w14:paraId="25F6EDE8" w14:textId="0D11A7D7" w:rsidR="005B5E67" w:rsidRPr="00667DA4" w:rsidRDefault="0009093A" w:rsidP="00FE5251">
      <w:pPr>
        <w:spacing w:line="480" w:lineRule="auto"/>
        <w:jc w:val="both"/>
        <w:rPr>
          <w:rFonts w:cs="Arial"/>
          <w:b/>
          <w:bCs/>
          <w:u w:val="single"/>
        </w:rPr>
      </w:pPr>
      <w:r w:rsidRPr="00667DA4">
        <w:rPr>
          <w:rFonts w:cs="Arial"/>
          <w:b/>
          <w:bCs/>
          <w:u w:val="single"/>
        </w:rPr>
        <w:br w:type="column"/>
      </w:r>
      <w:r w:rsidR="00E67147" w:rsidRPr="00667DA4">
        <w:rPr>
          <w:rFonts w:cs="Arial"/>
          <w:b/>
          <w:bCs/>
          <w:u w:val="single"/>
        </w:rPr>
        <w:lastRenderedPageBreak/>
        <w:t>INTRODUCTION</w:t>
      </w:r>
    </w:p>
    <w:p w14:paraId="720731B6" w14:textId="190AF9C6" w:rsidR="005B5E67" w:rsidRPr="00667DA4" w:rsidRDefault="00520557" w:rsidP="00FE5251">
      <w:pPr>
        <w:spacing w:line="480" w:lineRule="auto"/>
        <w:jc w:val="both"/>
        <w:rPr>
          <w:rFonts w:cs="Arial"/>
        </w:rPr>
      </w:pPr>
      <w:r w:rsidRPr="00667DA4">
        <w:rPr>
          <w:rFonts w:cs="Arial"/>
        </w:rPr>
        <w:t>The novel severe acute respiratory syndrome coronavirus 2 (SARS-CoV-2) continues to spread globally with</w:t>
      </w:r>
      <w:r w:rsidR="0026371E" w:rsidRPr="00667DA4">
        <w:rPr>
          <w:rFonts w:cs="Arial"/>
        </w:rPr>
        <w:t xml:space="preserve"> m</w:t>
      </w:r>
      <w:r w:rsidR="00453E14" w:rsidRPr="00667DA4">
        <w:rPr>
          <w:rFonts w:cs="Arial"/>
        </w:rPr>
        <w:t>ales</w:t>
      </w:r>
      <w:r w:rsidR="0026371E" w:rsidRPr="00667DA4">
        <w:rPr>
          <w:rFonts w:cs="Arial"/>
        </w:rPr>
        <w:t xml:space="preserve"> and </w:t>
      </w:r>
      <w:r w:rsidR="00453E14" w:rsidRPr="00667DA4">
        <w:rPr>
          <w:rFonts w:cs="Arial"/>
        </w:rPr>
        <w:t>females equally susceptible to the infection</w:t>
      </w:r>
      <w:r w:rsidR="0026371E" w:rsidRPr="00667DA4">
        <w:rPr>
          <w:rFonts w:cs="Arial"/>
        </w:rPr>
        <w:t>. However, males experience great</w:t>
      </w:r>
      <w:r w:rsidR="00DB4760" w:rsidRPr="00667DA4">
        <w:rPr>
          <w:rFonts w:cs="Arial"/>
        </w:rPr>
        <w:t>er severity</w:t>
      </w:r>
      <w:r w:rsidR="0026371E" w:rsidRPr="00667DA4">
        <w:rPr>
          <w:rFonts w:cs="Arial"/>
        </w:rPr>
        <w:t xml:space="preserve"> </w:t>
      </w:r>
      <w:r w:rsidR="00DF4561" w:rsidRPr="00667DA4">
        <w:rPr>
          <w:rFonts w:cs="Arial"/>
        </w:rPr>
        <w:t xml:space="preserve">of infection </w:t>
      </w:r>
      <w:r w:rsidR="00453E14" w:rsidRPr="00667DA4">
        <w:rPr>
          <w:rFonts w:cs="Arial"/>
        </w:rPr>
        <w:t>with higher rates of hospitalisation and mortality</w:t>
      </w:r>
      <w:r w:rsidR="0026371E" w:rsidRPr="00667DA4">
        <w:rPr>
          <w:rFonts w:cs="Arial"/>
        </w:rPr>
        <w:t>.</w:t>
      </w:r>
      <w:r w:rsidR="00DF4561" w:rsidRPr="00667DA4">
        <w:rPr>
          <w:rFonts w:cs="Arial"/>
        </w:rPr>
        <w:fldChar w:fldCharType="begin" w:fldLock="1"/>
      </w:r>
      <w:r w:rsidR="0006312F" w:rsidRPr="00667DA4">
        <w:rPr>
          <w:rFonts w:cs="Arial"/>
        </w:rPr>
        <w:instrText>ADDIN CSL_CITATION {"citationItems":[{"id":"ITEM-1","itemData":{"DOI":"10.1038/s41586-020-2521-4","ISSN":"14764687","abstract":"Coronavirus disease 2019 (COVID-19) has rapidly affected mortality worldwide1. There is unprecedented urgency to understand who is most at risk of severe outcomes, and this requires new approaches for the timely analysis of large datasets. Working on behalf of NHS England, we created OpenSAFELY—a secure health analytics platform that covers 40% of all patients in England and holds patient data within the existing data centre of a major vendor of primary care electronic health records. Here we used OpenSAFELY to examine factors associated with COVID-19-related death. Primary care records of 17,278,392 adults were pseudonymously linked to 10,926 COVID-19-related deaths. COVID-19-related death was associated with: being male (hazard ratio (HR) 1.59 (95% confidence interval 1.53–1.65)); greater age and deprivation (both with a strong gradient); diabetes; severe asthma; and various other medical conditions. Compared with people of white ethnicity, Black and South Asian people were at higher risk, even after adjustment for other factors (HR 1.48 (1.29–1.69) and 1.45 (1.32–1.58), respectively). We have quantified a range of clinical factors associated with COVID-19-related death in one of the largest cohort studies on this topic so far. More patient records are rapidly being added to OpenSAFELY, we will update and extend our results regularly.","author":[{"dropping-particle":"","family":"Williamson","given":"Elizabeth J.","non-dropping-particle":"","parse-names":false,"suffix":""},{"dropping-particle":"","family":"Walker","given":"Alex J.","non-dropping-particle":"","parse-names":false,"suffix":""},{"dropping-particle":"","family":"Bhaskaran","given":"Krishnan","non-dropping-particle":"","parse-names":false,"suffix":""},{"dropping-particle":"","family":"Bacon","given":"Seb","non-dropping-particle":"","parse-names":false,"suffix":""},{"dropping-particle":"","family":"Bates","given":"Chris","non-dropping-particle":"","parse-names":false,"suffix":""},{"dropping-particle":"","family":"Morton","given":"Caroline E.","non-dropping-particle":"","parse-names":false,"suffix":""},{"dropping-particle":"","family":"Curtis","given":"Helen J.","non-dropping-particle":"","parse-names":false,"suffix":""},{"dropping-particle":"","family":"Mehrkar","given":"Amir","non-dropping-particle":"","parse-names":false,"suffix":""},{"dropping-particle":"","family":"Evans","given":"David","non-dropping-particle":"","parse-names":false,"suffix":""},{"dropping-particle":"","family":"Inglesby","given":"Peter","non-dropping-particle":"","parse-names":false,"suffix":""},{"dropping-particle":"","family":"Cockburn","given":"Jonathan","non-dropping-particle":"","parse-names":false,"suffix":""},{"dropping-particle":"","family":"McDonald","given":"Helen I.","non-dropping-particle":"","parse-names":false,"suffix":""},{"dropping-particle":"","family":"MacKenna","given":"Brian","non-dropping-particle":"","parse-names":false,"suffix":""},{"dropping-particle":"","family":"Tomlinson","given":"Laurie","non-dropping-particle":"","parse-names":false,"suffix":""},{"dropping-particle":"","family":"Douglas","given":"Ian J.","non-dropping-particle":"","parse-names":false,"suffix":""},{"dropping-particle":"","family":"Rentsch","given":"Christopher T.","non-dropping-particle":"","parse-names":false,"suffix":""},{"dropping-particle":"","family":"Mathur","given":"Rohini","non-dropping-particle":"","parse-names":false,"suffix":""},{"dropping-particle":"","family":"Wong","given":"Angel Y.S.","non-dropping-particle":"","parse-names":false,"suffix":""},{"dropping-particle":"","family":"Grieve","given":"Richard","non-dropping-particle":"","parse-names":false,"suffix":""},{"dropping-particle":"","family":"Harrison","given":"David","non-dropping-particle":"","parse-names":false,"suffix":""},{"dropping-particle":"","family":"Forbes","given":"Harriet","non-dropping-particle":"","parse-names":false,"suffix":""},{"dropping-particle":"","family":"Schultze","given":"Anna","non-dropping-particle":"","parse-names":false,"suffix":""},{"dropping-particle":"","family":"Croker","given":"Richard","non-dropping-particle":"","parse-names":false,"suffix":""},{"dropping-particle":"","family":"Parry","given":"John","non-dropping-particle":"","parse-names":false,"suffix":""},{"dropping-particle":"","family":"Hester","given":"Frank","non-dropping-particle":"","parse-names":false,"suffix":""},{"dropping-particle":"","family":"Harper","given":"Sam","non-dropping-particle":"","parse-names":false,"suffix":""},{"dropping-particle":"","family":"Perera","given":"Rafael","non-dropping-particle":"","parse-names":false,"suffix":""},{"dropping-particle":"","family":"Evans","given":"Stephen J.W.","non-dropping-particle":"","parse-names":false,"suffix":""},{"dropping-particle":"","family":"Smeeth","given":"Liam","non-dropping-particle":"","parse-names":false,"suffix":""},{"dropping-particle":"","family":"Goldacre","given":"Ben","non-dropping-particle":"","parse-names":false,"suffix":""}],"container-title":"Nature","id":"ITEM-1","issue":"7821","issued":{"date-parts":[["2020"]]},"title":"Factors associated with COVID-19-related death using OpenSAFELY","type":"article-journal","volume":"584"},"uris":["http://www.mendeley.com/documents/?uuid=551df50a-e255-3b0b-8512-ee021ae6d172","http://www.mendeley.com/documents/?uuid=d34af56b-0cfb-4af0-be4b-bca905f499b3"]}],"mendeley":{"formattedCitation":"[1]","plainTextFormattedCitation":"[1]","previouslyFormattedCitation":"[1]"},"properties":{"noteIndex":0},"schema":"https://github.com/citation-style-language/schema/raw/master/csl-citation.json"}</w:instrText>
      </w:r>
      <w:r w:rsidR="00DF4561" w:rsidRPr="00667DA4">
        <w:rPr>
          <w:rFonts w:cs="Arial"/>
        </w:rPr>
        <w:fldChar w:fldCharType="separate"/>
      </w:r>
      <w:r w:rsidR="00DF4561" w:rsidRPr="00667DA4">
        <w:rPr>
          <w:rFonts w:cs="Arial"/>
          <w:noProof/>
        </w:rPr>
        <w:t>[1]</w:t>
      </w:r>
      <w:r w:rsidR="00DF4561" w:rsidRPr="00667DA4">
        <w:rPr>
          <w:rFonts w:cs="Arial"/>
        </w:rPr>
        <w:fldChar w:fldCharType="end"/>
      </w:r>
      <w:r w:rsidR="00AB0492" w:rsidRPr="00667DA4">
        <w:rPr>
          <w:rFonts w:cs="Arial"/>
        </w:rPr>
        <w:t xml:space="preserve"> A recent review </w:t>
      </w:r>
      <w:r w:rsidR="00453E14" w:rsidRPr="00667DA4">
        <w:rPr>
          <w:rFonts w:cs="Arial"/>
        </w:rPr>
        <w:t>of sex differences in COVID-19 includ</w:t>
      </w:r>
      <w:r w:rsidR="00A627E7" w:rsidRPr="00667DA4">
        <w:rPr>
          <w:rFonts w:cs="Arial"/>
        </w:rPr>
        <w:t>ing</w:t>
      </w:r>
      <w:r w:rsidR="00453E14" w:rsidRPr="00667DA4">
        <w:rPr>
          <w:rFonts w:cs="Arial"/>
        </w:rPr>
        <w:t xml:space="preserve"> data from 3</w:t>
      </w:r>
      <w:r w:rsidR="00DB4760" w:rsidRPr="00667DA4">
        <w:rPr>
          <w:rFonts w:cs="Arial"/>
        </w:rPr>
        <w:t>8</w:t>
      </w:r>
      <w:r w:rsidR="00453E14" w:rsidRPr="00667DA4">
        <w:rPr>
          <w:rFonts w:cs="Arial"/>
        </w:rPr>
        <w:t xml:space="preserve"> countries </w:t>
      </w:r>
      <w:r w:rsidR="00A627E7" w:rsidRPr="00667DA4">
        <w:rPr>
          <w:rFonts w:cs="Arial"/>
        </w:rPr>
        <w:t>report</w:t>
      </w:r>
      <w:r w:rsidR="00DB4760" w:rsidRPr="00667DA4">
        <w:rPr>
          <w:rFonts w:cs="Arial"/>
        </w:rPr>
        <w:t>ed</w:t>
      </w:r>
      <w:r w:rsidR="00453E14" w:rsidRPr="00667DA4">
        <w:rPr>
          <w:rFonts w:cs="Arial"/>
        </w:rPr>
        <w:t xml:space="preserve"> mortality</w:t>
      </w:r>
      <w:r w:rsidR="00DF4561" w:rsidRPr="00667DA4">
        <w:rPr>
          <w:rFonts w:cs="Arial"/>
        </w:rPr>
        <w:t xml:space="preserve"> in</w:t>
      </w:r>
      <w:r w:rsidR="00453E14" w:rsidRPr="00667DA4">
        <w:rPr>
          <w:rFonts w:cs="Arial"/>
        </w:rPr>
        <w:t xml:space="preserve"> males as </w:t>
      </w:r>
      <w:r w:rsidR="00AB0492" w:rsidRPr="00667DA4">
        <w:rPr>
          <w:rFonts w:cs="Arial"/>
        </w:rPr>
        <w:t>1.7 times higher than the average female</w:t>
      </w:r>
      <w:r w:rsidR="00453E14" w:rsidRPr="00667DA4">
        <w:rPr>
          <w:rFonts w:cs="Arial"/>
        </w:rPr>
        <w:t xml:space="preserve">. </w:t>
      </w:r>
      <w:r w:rsidR="00DF4561" w:rsidRPr="00667DA4">
        <w:rPr>
          <w:rFonts w:cs="Arial"/>
        </w:rPr>
        <w:fldChar w:fldCharType="begin" w:fldLock="1"/>
      </w:r>
      <w:r w:rsidR="0006312F" w:rsidRPr="00667DA4">
        <w:rPr>
          <w:rFonts w:cs="Arial"/>
        </w:rPr>
        <w:instrText>ADDIN CSL_CITATION {"citationItems":[{"id":"ITEM-1","itemData":{"DOI":"10.1038/s41577-020-0348-8","ISSN":"14741741","abstract":"A male bias in mortality has emerged in the COVID-19 pandemic, which is consistent with the pathogenesis of other viral infections. Biological sex differences may manifest themselves in susceptibility to infection, early pathogenesis, innate viral control, adaptive immune responses or the balance of inflammation and tissue repair in the resolution of infection. We discuss available sex-disaggregated epidemiological data from the COVID-19 pandemic, introduce sex-differential features of immunity and highlight potential sex differences underlying COVID-19 severity. We propose that sex differences in immunopathogenesis will inform mechanisms of COVID-19, identify points for therapeutic intervention and improve vaccine design and increase vaccine efficacy.","author":[{"dropping-particle":"","family":"Scully","given":"Eileen P.","non-dropping-particle":"","parse-names":false,"suffix":""},{"dropping-particle":"","family":"Haverfield","given":"Jenna","non-dropping-particle":"","parse-names":false,"suffix":""},{"dropping-particle":"","family":"Ursin","given":"Rebecca L.","non-dropping-particle":"","parse-names":false,"suffix":""},{"dropping-particle":"","family":"Tannenbaum","given":"Cara","non-dropping-particle":"","parse-names":false,"suffix":""},{"dropping-particle":"","family":"Klein","given":"Sabra L.","non-dropping-particle":"","parse-names":false,"suffix":""}],"container-title":"Nature Reviews Immunology","id":"ITEM-1","issue":"7","issued":{"date-parts":[["2020"]]},"title":"Considering how biological sex impacts immune responses and COVID-19 outcomes","type":"article-journal","volume":"20"},"uris":["http://www.mendeley.com/documents/?uuid=5a792bb0-4ba2-3776-930f-d3ce33aef7d2","http://www.mendeley.com/documents/?uuid=66e24aa9-8ec3-40fe-a762-9b45b590cb16"]}],"mendeley":{"formattedCitation":"[2]","plainTextFormattedCitation":"[2]","previouslyFormattedCitation":"[2]"},"properties":{"noteIndex":0},"schema":"https://github.com/citation-style-language/schema/raw/master/csl-citation.json"}</w:instrText>
      </w:r>
      <w:r w:rsidR="00DF4561" w:rsidRPr="00667DA4">
        <w:rPr>
          <w:rFonts w:cs="Arial"/>
        </w:rPr>
        <w:fldChar w:fldCharType="separate"/>
      </w:r>
      <w:r w:rsidR="00DF4561" w:rsidRPr="00667DA4">
        <w:rPr>
          <w:rFonts w:cs="Arial"/>
          <w:noProof/>
        </w:rPr>
        <w:t>[2]</w:t>
      </w:r>
      <w:r w:rsidR="00DF4561" w:rsidRPr="00667DA4">
        <w:rPr>
          <w:rFonts w:cs="Arial"/>
        </w:rPr>
        <w:fldChar w:fldCharType="end"/>
      </w:r>
      <w:r w:rsidR="00DF4561" w:rsidRPr="00667DA4">
        <w:rPr>
          <w:rFonts w:cs="Arial"/>
        </w:rPr>
        <w:t xml:space="preserve"> </w:t>
      </w:r>
      <w:r w:rsidR="00A627E7" w:rsidRPr="00667DA4">
        <w:rPr>
          <w:rFonts w:cs="Arial"/>
        </w:rPr>
        <w:t xml:space="preserve">Similar data </w:t>
      </w:r>
      <w:r w:rsidR="00DB4760" w:rsidRPr="00667DA4">
        <w:rPr>
          <w:rFonts w:cs="Arial"/>
        </w:rPr>
        <w:t>ha</w:t>
      </w:r>
      <w:r w:rsidR="009B7BD1" w:rsidRPr="00667DA4">
        <w:rPr>
          <w:rFonts w:cs="Arial"/>
        </w:rPr>
        <w:t>ve</w:t>
      </w:r>
      <w:r w:rsidR="00DB4760" w:rsidRPr="00667DA4">
        <w:rPr>
          <w:rFonts w:cs="Arial"/>
        </w:rPr>
        <w:t xml:space="preserve"> been</w:t>
      </w:r>
      <w:r w:rsidR="00640E2E" w:rsidRPr="00667DA4">
        <w:rPr>
          <w:rFonts w:cs="Arial"/>
        </w:rPr>
        <w:t xml:space="preserve"> observed</w:t>
      </w:r>
      <w:r w:rsidR="00A627E7" w:rsidRPr="00667DA4">
        <w:rPr>
          <w:rFonts w:cs="Arial"/>
        </w:rPr>
        <w:t xml:space="preserve"> in </w:t>
      </w:r>
      <w:r w:rsidR="00640E2E" w:rsidRPr="00667DA4">
        <w:rPr>
          <w:rFonts w:cs="Arial"/>
        </w:rPr>
        <w:t>previous pandemics</w:t>
      </w:r>
      <w:r w:rsidR="00A627E7" w:rsidRPr="00667DA4">
        <w:rPr>
          <w:rFonts w:cs="Arial"/>
        </w:rPr>
        <w:t xml:space="preserve"> including the SARS-CoV (Severe Acute Respiratory Syndrome Corona Virus) and MERS-CoV (Middle East Respiratory Syndrome Corona Virus) outbreaks.</w:t>
      </w:r>
      <w:r w:rsidR="00A627E7" w:rsidRPr="00667DA4">
        <w:rPr>
          <w:rFonts w:cs="Arial"/>
        </w:rPr>
        <w:fldChar w:fldCharType="begin" w:fldLock="1"/>
      </w:r>
      <w:r w:rsidR="0006312F" w:rsidRPr="00667DA4">
        <w:rPr>
          <w:rFonts w:cs="Arial"/>
        </w:rPr>
        <w:instrText>ADDIN CSL_CITATION {"citationItems":[{"id":"ITEM-1","itemData":{"DOI":"10.1093/aje/kwh056","ISSN":"00029262","PMID":"14742282","abstract":"Severe acute respiratory syndrome (SARS) has been reported in 30 countries and regions, with a cumulative total of 8,099 probable cases and 774 deaths as of July 31, 2003, according to the World Health Organization. In Hong Kong, People's Republic of China, 1,755 SARS cases and 299 deaths had occurred as of September 22, 2003. The authors analyzed data from the Department of Health, Hong Kong SAR. The data series includes details regarding sex, age, and chronic disease history. Using data from early March to September 22, 2003, the authors found that males had a significantly (p &lt; 0.0001) higher case fatality rate than females did, 21.9% versus 13.2%; the relative risk was 1.66 (95% confidence interval (CI): 1.35, 2.05), and it was 1.62 (95% CI: 1.21, 2.16) after adjustment for age. Subgroup analysis was conducted by excluding health care workers (n = 386) from the analysis. The overall crude relative risk of mortality was 1.41 (95% CI: 1.15, 1.74), and the adjusted relative risk was 1. 48 (95% CI: 1.10, 2.00). Thus, among SARS patients, males may be more severely affected by the disease than females are. This finding could be related to a nonuniform case definition of SARS disease, a different treatment regimen, a past smoking history, work-environment factors, or gender-specific immune-defense factors, for instance.","author":[{"dropping-particle":"","family":"Karlberg","given":"Johan","non-dropping-particle":"","parse-names":false,"suffix":""},{"dropping-particle":"","family":"Chong","given":"D. S.Y.","non-dropping-particle":"","parse-names":false,"suffix":""},{"dropping-particle":"","family":"Lai","given":"W. Y.Y.","non-dropping-particle":"","parse-names":false,"suffix":""}],"container-title":"American Journal of Epidemiology","id":"ITEM-1","issue":"3","issued":{"date-parts":[["2004","2"]]},"page":"229-231","publisher":"Oxford University Press","title":"Do Men Have a Higher Case Fatality Rate of Severe Acute Respiratory Syndrome than Women Do?","type":"article-journal","volume":"159"},"uris":["http://www.mendeley.com/documents/?uuid=96fc625b-0d8a-32f4-89c3-9bcc2360a35b","http://www.mendeley.com/documents/?uuid=c4c9dea2-292b-4f43-8303-d61eb676e186"]}],"mendeley":{"formattedCitation":"[3]","plainTextFormattedCitation":"[3]","previouslyFormattedCitation":"[3]"},"properties":{"noteIndex":0},"schema":"https://github.com/citation-style-language/schema/raw/master/csl-citation.json"}</w:instrText>
      </w:r>
      <w:r w:rsidR="00A627E7" w:rsidRPr="00667DA4">
        <w:rPr>
          <w:rFonts w:cs="Arial"/>
        </w:rPr>
        <w:fldChar w:fldCharType="separate"/>
      </w:r>
      <w:r w:rsidR="00DF4561" w:rsidRPr="00667DA4">
        <w:rPr>
          <w:rFonts w:cs="Arial"/>
          <w:noProof/>
        </w:rPr>
        <w:t>[3]</w:t>
      </w:r>
      <w:r w:rsidR="00A627E7" w:rsidRPr="00667DA4">
        <w:rPr>
          <w:rFonts w:cs="Arial"/>
        </w:rPr>
        <w:fldChar w:fldCharType="end"/>
      </w:r>
      <w:r w:rsidR="00A627E7" w:rsidRPr="00667DA4">
        <w:rPr>
          <w:rFonts w:cs="Arial"/>
        </w:rPr>
        <w:t xml:space="preserve"> </w:t>
      </w:r>
      <w:r w:rsidR="00AB0492" w:rsidRPr="00667DA4">
        <w:rPr>
          <w:rFonts w:cs="Arial"/>
        </w:rPr>
        <w:t>The reason for th</w:t>
      </w:r>
      <w:r w:rsidR="00A627E7" w:rsidRPr="00667DA4">
        <w:rPr>
          <w:rFonts w:cs="Arial"/>
        </w:rPr>
        <w:t>ese</w:t>
      </w:r>
      <w:r w:rsidR="00640E2E" w:rsidRPr="00667DA4">
        <w:rPr>
          <w:rFonts w:cs="Arial"/>
        </w:rPr>
        <w:t xml:space="preserve"> sex</w:t>
      </w:r>
      <w:r w:rsidR="00A627E7" w:rsidRPr="00667DA4">
        <w:rPr>
          <w:rFonts w:cs="Arial"/>
        </w:rPr>
        <w:t xml:space="preserve"> differences</w:t>
      </w:r>
      <w:r w:rsidR="00DB4760" w:rsidRPr="00667DA4">
        <w:rPr>
          <w:rFonts w:cs="Arial"/>
        </w:rPr>
        <w:t xml:space="preserve"> </w:t>
      </w:r>
      <w:r w:rsidR="00A627E7" w:rsidRPr="00667DA4">
        <w:rPr>
          <w:rFonts w:cs="Arial"/>
        </w:rPr>
        <w:t>is</w:t>
      </w:r>
      <w:r w:rsidR="00AB0492" w:rsidRPr="00667DA4">
        <w:rPr>
          <w:rFonts w:cs="Arial"/>
        </w:rPr>
        <w:t xml:space="preserve"> unclear</w:t>
      </w:r>
      <w:r w:rsidR="00DB4760" w:rsidRPr="00667DA4">
        <w:rPr>
          <w:rFonts w:cs="Arial"/>
        </w:rPr>
        <w:t>.</w:t>
      </w:r>
      <w:r w:rsidR="00AB0492" w:rsidRPr="00667DA4">
        <w:rPr>
          <w:rFonts w:cs="Arial"/>
        </w:rPr>
        <w:t xml:space="preserve"> </w:t>
      </w:r>
      <w:r w:rsidR="00DB4760" w:rsidRPr="00667DA4">
        <w:rPr>
          <w:rFonts w:cs="Arial"/>
        </w:rPr>
        <w:t>A</w:t>
      </w:r>
      <w:r w:rsidR="0026371E" w:rsidRPr="00667DA4">
        <w:rPr>
          <w:rFonts w:cs="Arial"/>
        </w:rPr>
        <w:t xml:space="preserve"> range of hypothes</w:t>
      </w:r>
      <w:r w:rsidR="00DB4760" w:rsidRPr="00667DA4">
        <w:rPr>
          <w:rFonts w:cs="Arial"/>
        </w:rPr>
        <w:t>es ha</w:t>
      </w:r>
      <w:r w:rsidR="00425DEF" w:rsidRPr="00667DA4">
        <w:rPr>
          <w:rFonts w:cs="Arial"/>
        </w:rPr>
        <w:t>ve</w:t>
      </w:r>
      <w:r w:rsidR="00DB4760" w:rsidRPr="00667DA4">
        <w:rPr>
          <w:rFonts w:cs="Arial"/>
        </w:rPr>
        <w:t xml:space="preserve"> been</w:t>
      </w:r>
      <w:r w:rsidR="00AB0492" w:rsidRPr="00667DA4">
        <w:rPr>
          <w:rFonts w:cs="Arial"/>
        </w:rPr>
        <w:t xml:space="preserve"> proposed</w:t>
      </w:r>
      <w:r w:rsidR="00A627E7" w:rsidRPr="00667DA4">
        <w:rPr>
          <w:rFonts w:cs="Arial"/>
        </w:rPr>
        <w:t xml:space="preserve"> from variations in patterned sex behaviours such as smoking</w:t>
      </w:r>
      <w:r w:rsidR="00DF4561" w:rsidRPr="00667DA4">
        <w:rPr>
          <w:rFonts w:cs="Arial"/>
        </w:rPr>
        <w:t>,</w:t>
      </w:r>
      <w:r w:rsidR="0027292A" w:rsidRPr="00667DA4">
        <w:rPr>
          <w:rFonts w:cs="Arial"/>
        </w:rPr>
        <w:t xml:space="preserve"> co-morbidities </w:t>
      </w:r>
      <w:r w:rsidR="00640E2E" w:rsidRPr="00667DA4">
        <w:rPr>
          <w:rFonts w:cs="Arial"/>
        </w:rPr>
        <w:t>and</w:t>
      </w:r>
      <w:r w:rsidR="00AB0492" w:rsidRPr="00667DA4">
        <w:rPr>
          <w:rFonts w:cs="Arial"/>
        </w:rPr>
        <w:t xml:space="preserve"> sex-based immunological variations</w:t>
      </w:r>
      <w:r w:rsidR="00640E2E" w:rsidRPr="00667DA4">
        <w:rPr>
          <w:rFonts w:cs="Arial"/>
        </w:rPr>
        <w:t>.</w:t>
      </w:r>
      <w:r w:rsidR="00DF4561" w:rsidRPr="00667DA4">
        <w:rPr>
          <w:rFonts w:cs="Arial"/>
        </w:rPr>
        <w:fldChar w:fldCharType="begin" w:fldLock="1"/>
      </w:r>
      <w:r w:rsidR="0006312F" w:rsidRPr="00667DA4">
        <w:rPr>
          <w:rFonts w:cs="Arial"/>
        </w:rPr>
        <w:instrText>ADDIN CSL_CITATION {"citationItems":[{"id":"ITEM-1","itemData":{"DOI":"10.1038/s41577-020-0348-8","ISSN":"14741741","abstract":"A male bias in mortality has emerged in the COVID-19 pandemic, which is consistent with the pathogenesis of other viral infections. Biological sex differences may manifest themselves in susceptibility to infection, early pathogenesis, innate viral control, adaptive immune responses or the balance of inflammation and tissue repair in the resolution of infection. We discuss available sex-disaggregated epidemiological data from the COVID-19 pandemic, introduce sex-differential features of immunity and highlight potential sex differences underlying COVID-19 severity. We propose that sex differences in immunopathogenesis will inform mechanisms of COVID-19, identify points for therapeutic intervention and improve vaccine design and increase vaccine efficacy.","author":[{"dropping-particle":"","family":"Scully","given":"Eileen P.","non-dropping-particle":"","parse-names":false,"suffix":""},{"dropping-particle":"","family":"Haverfield","given":"Jenna","non-dropping-particle":"","parse-names":false,"suffix":""},{"dropping-particle":"","family":"Ursin","given":"Rebecca L.","non-dropping-particle":"","parse-names":false,"suffix":""},{"dropping-particle":"","family":"Tannenbaum","given":"Cara","non-dropping-particle":"","parse-names":false,"suffix":""},{"dropping-particle":"","family":"Klein","given":"Sabra L.","non-dropping-particle":"","parse-names":false,"suffix":""}],"container-title":"Nature Reviews Immunology","id":"ITEM-1","issue":"7","issued":{"date-parts":[["2020"]]},"title":"Considering how biological sex impacts immune responses and COVID-19 outcomes","type":"article-journal","volume":"20"},"uris":["http://www.mendeley.com/documents/?uuid=66e24aa9-8ec3-40fe-a762-9b45b590cb16","http://www.mendeley.com/documents/?uuid=5a792bb0-4ba2-3776-930f-d3ce33aef7d2"]}],"mendeley":{"formattedCitation":"[2]","plainTextFormattedCitation":"[2]","previouslyFormattedCitation":"[2]"},"properties":{"noteIndex":0},"schema":"https://github.com/citation-style-language/schema/raw/master/csl-citation.json"}</w:instrText>
      </w:r>
      <w:r w:rsidR="00DF4561" w:rsidRPr="00667DA4">
        <w:rPr>
          <w:rFonts w:cs="Arial"/>
        </w:rPr>
        <w:fldChar w:fldCharType="separate"/>
      </w:r>
      <w:r w:rsidR="00DF4561" w:rsidRPr="00667DA4">
        <w:rPr>
          <w:rFonts w:cs="Arial"/>
          <w:noProof/>
        </w:rPr>
        <w:t>[2]</w:t>
      </w:r>
      <w:r w:rsidR="00DF4561" w:rsidRPr="00667DA4">
        <w:rPr>
          <w:rFonts w:cs="Arial"/>
        </w:rPr>
        <w:fldChar w:fldCharType="end"/>
      </w:r>
      <w:r w:rsidR="00A627E7" w:rsidRPr="00667DA4">
        <w:rPr>
          <w:rFonts w:cs="Arial"/>
        </w:rPr>
        <w:t xml:space="preserve"> In particular, the role of</w:t>
      </w:r>
      <w:r w:rsidR="00AB0492" w:rsidRPr="00667DA4">
        <w:rPr>
          <w:rFonts w:cs="Arial"/>
        </w:rPr>
        <w:t xml:space="preserve"> o</w:t>
      </w:r>
      <w:r w:rsidR="0026371E" w:rsidRPr="00667DA4">
        <w:rPr>
          <w:rFonts w:cs="Arial"/>
        </w:rPr>
        <w:t>estrogen in female</w:t>
      </w:r>
      <w:r w:rsidR="00640E2E" w:rsidRPr="00667DA4">
        <w:rPr>
          <w:rFonts w:cs="Arial"/>
        </w:rPr>
        <w:t xml:space="preserve"> immune responses </w:t>
      </w:r>
      <w:r w:rsidR="00A627E7" w:rsidRPr="00667DA4">
        <w:rPr>
          <w:rFonts w:cs="Arial"/>
        </w:rPr>
        <w:t xml:space="preserve">has received </w:t>
      </w:r>
      <w:r w:rsidR="00D30C25" w:rsidRPr="00667DA4">
        <w:rPr>
          <w:rFonts w:cs="Arial"/>
        </w:rPr>
        <w:t xml:space="preserve">much </w:t>
      </w:r>
      <w:r w:rsidR="00A627E7" w:rsidRPr="00667DA4">
        <w:rPr>
          <w:rFonts w:cs="Arial"/>
        </w:rPr>
        <w:t>attention</w:t>
      </w:r>
      <w:r w:rsidR="0026371E" w:rsidRPr="00667DA4">
        <w:rPr>
          <w:rFonts w:cs="Arial"/>
        </w:rPr>
        <w:t>.</w:t>
      </w:r>
      <w:r w:rsidR="00D30C25" w:rsidRPr="00667DA4">
        <w:rPr>
          <w:rFonts w:cs="Arial"/>
        </w:rPr>
        <w:fldChar w:fldCharType="begin" w:fldLock="1"/>
      </w:r>
      <w:r w:rsidR="0006312F" w:rsidRPr="00667DA4">
        <w:rPr>
          <w:rFonts w:cs="Arial"/>
        </w:rPr>
        <w:instrText>ADDIN CSL_CITATION {"citationItems":[{"id":"ITEM-1","itemData":{"DOI":"10.1016/j.mayocp.2020.05.013","ISSN":"19425546","abstract":"Given the rapid spread of the coronavirus disease 2019 (COVID-19) pandemic and its overwhelming effect on health care systems and the global economy, innovative therapeutic strategies are urgently needed. The proposed primary culprit of COVID-19 is the intense inflammatory response—an augmented immune response and cytokine storm—severely damaging the lung tissue and rendering some patients’ conditions severe enough to require assisted ventilation. Sex differences in the response to inflammation have been documented and can be attributed, at least in part, to sex steroid hormones. Moreover, age-associated decreases in sex steroid hormones, namely, estrogen and testosterone, may mediate proinflammatory increases in older adults that could increase their risk of COVID-19 adverse outcomes. Sex hormones can mitigate the inflammation response and might provide promising therapeutic potential for patients with COVID-19. In this article, we explore the possible anti-inflammatory effects of estrogen and testosterone and the anabolic effect of testosterone, with particular attention to the potential therapeutic role of hormone replacement therapy in older men and women with COVID-19.","author":[{"dropping-particle":"","family":"Al-Lami","given":"Rasha A.","non-dropping-particle":"","parse-names":false,"suffix":""},{"dropping-particle":"","family":"Urban","given":"Randall J.","non-dropping-particle":"","parse-names":false,"suffix":""},{"dropping-particle":"","family":"Volpi","given":"Elena","non-dropping-particle":"","parse-names":false,"suffix":""},{"dropping-particle":"","family":"Algburi","given":"Ammar M.A.","non-dropping-particle":"","parse-names":false,"suffix":""},{"dropping-particle":"","family":"Baillargeon","given":"Jacques","non-dropping-particle":"","parse-names":false,"suffix":""}],"container-title":"Mayo Clinic Proceedings","id":"ITEM-1","issue":"8","issued":{"date-parts":[["2020"]]},"title":"Sex Hormones and Novel Corona Virus Infectious Disease (COVID-19)","type":"article","volume":"95"},"uris":["http://www.mendeley.com/documents/?uuid=5ed8d339-5778-37d9-808e-9f6cd9d342ba","http://www.mendeley.com/documents/?uuid=539847c4-c1b7-47e9-87bb-5d080c36be43"]},{"id":"ITEM-2","itemData":{"DOI":"10.1016/j.mehy.2020.110148","ISSN":"15322777","abstract":"Estrogen hormone acts as a potential key player in providing immunity against certain viral infection. It is found to be associated in providing immunity against acute lungs inflammation and influenza virus by modulating cytokines storm and mediating adaptive immune alterations respectively. Women are less affected by SARS-CoV-2 infection because of the possible influence of estrogen hormone as compared to men. We hypothesized that SARS-CoV-2 causes stress in endoplasmic reticulum (ER) which in turn aggravates the infection, estrogen hormone might play key role in decreasing ER stress by activating estrogen mediated signaling pathways, results in unfolded protein response (UPR). Estrogen governs degradation of phosphotidylinositol 4,5-bisphosphate (PIP2) into diacylglycerol (DAG) and inositol triphosphate (IP3) with the help of phospholipase C. IP3 start in-fluxing Ca+2 ions that helps in UPR activation. To support our hypothesis, we analyzed the data of 162,392 COVID-19 patients to determine the relation of this disease with gender. We observed that 26% of women and 74% of men were affected by SARS-CoV-2. It indicated that women are less affected because of the possible influence of estrogen hormone in women.","author":[{"dropping-particle":"","family":"Shabbir","given":"Sana","non-dropping-particle":"","parse-names":false,"suffix":""},{"dropping-particle":"","family":"Hafeez","given":"Assad","non-dropping-particle":"","parse-names":false,"suffix":""},{"dropping-particle":"","family":"Rafiq","given":"Muhammad Arshad","non-dropping-particle":"","parse-names":false,"suffix":""},{"dropping-particle":"","family":"Khan","given":"Muhammad Jawad","non-dropping-particle":"","parse-names":false,"suffix":""}],"container-title":"Medical Hypotheses","id":"ITEM-2","issued":{"date-parts":[["2020"]]},"title":"Estrogen shields women from COVID-19 complications by reducing ER stress","type":"article-journal","volume":"143"},"uris":["http://www.mendeley.com/documents/?uuid=c56b18ec-11f6-3e6a-9eb7-c0d98b2000f9","http://www.mendeley.com/documents/?uuid=16fb5a3e-00a9-411c-9c5e-7d7da7065c2a"]}],"mendeley":{"formattedCitation":"[4,5]","plainTextFormattedCitation":"[4,5]","previouslyFormattedCitation":"[4,5]"},"properties":{"noteIndex":0},"schema":"https://github.com/citation-style-language/schema/raw/master/csl-citation.json"}</w:instrText>
      </w:r>
      <w:r w:rsidR="00D30C25" w:rsidRPr="00667DA4">
        <w:rPr>
          <w:rFonts w:cs="Arial"/>
        </w:rPr>
        <w:fldChar w:fldCharType="separate"/>
      </w:r>
      <w:r w:rsidR="00D30C25" w:rsidRPr="00667DA4">
        <w:rPr>
          <w:rFonts w:cs="Arial"/>
          <w:noProof/>
        </w:rPr>
        <w:t>[4,5]</w:t>
      </w:r>
      <w:r w:rsidR="00D30C25" w:rsidRPr="00667DA4">
        <w:rPr>
          <w:rFonts w:cs="Arial"/>
        </w:rPr>
        <w:fldChar w:fldCharType="end"/>
      </w:r>
      <w:r w:rsidR="00A45CAF" w:rsidRPr="00667DA4">
        <w:rPr>
          <w:rFonts w:cs="Arial"/>
        </w:rPr>
        <w:t xml:space="preserve"> Younger females or those with higher oestrogen levels are less likely to experience severe COVID-19 complications.</w:t>
      </w:r>
      <w:r w:rsidR="00A45CAF" w:rsidRPr="00667DA4">
        <w:rPr>
          <w:rFonts w:cs="Arial"/>
        </w:rPr>
        <w:fldChar w:fldCharType="begin" w:fldLock="1"/>
      </w:r>
      <w:r w:rsidR="0006312F" w:rsidRPr="00667DA4">
        <w:rPr>
          <w:rFonts w:cs="Arial"/>
        </w:rPr>
        <w:instrText>ADDIN CSL_CITATION {"citationItems":[{"id":"ITEM-1","itemData":{"DOI":"10.1016/j.mayocp.2020.05.013","ISSN":"19425546","abstract":"Given the rapid spread of the coronavirus disease 2019 (COVID-19) pandemic and its overwhelming effect on health care systems and the global economy, innovative therapeutic strategies are urgently needed. The proposed primary culprit of COVID-19 is the intense inflammatory response—an augmented immune response and cytokine storm—severely damaging the lung tissue and rendering some patients’ conditions severe enough to require assisted ventilation. Sex differences in the response to inflammation have been documented and can be attributed, at least in part, to sex steroid hormones. Moreover, age-associated decreases in sex steroid hormones, namely, estrogen and testosterone, may mediate proinflammatory increases in older adults that could increase their risk of COVID-19 adverse outcomes. Sex hormones can mitigate the inflammation response and might provide promising therapeutic potential for patients with COVID-19. In this article, we explore the possible anti-inflammatory effects of estrogen and testosterone and the anabolic effect of testosterone, with particular attention to the potential therapeutic role of hormone replacement therapy in older men and women with COVID-19.","author":[{"dropping-particle":"","family":"Al-Lami","given":"Rasha A.","non-dropping-particle":"","parse-names":false,"suffix":""},{"dropping-particle":"","family":"Urban","given":"Randall J.","non-dropping-particle":"","parse-names":false,"suffix":""},{"dropping-particle":"","family":"Volpi","given":"Elena","non-dropping-particle":"","parse-names":false,"suffix":""},{"dropping-particle":"","family":"Algburi","given":"Ammar M.A.","non-dropping-particle":"","parse-names":false,"suffix":""},{"dropping-particle":"","family":"Baillargeon","given":"Jacques","non-dropping-particle":"","parse-names":false,"suffix":""}],"container-title":"Mayo Clinic Proceedings","id":"ITEM-1","issue":"8","issued":{"date-parts":[["2020"]]},"title":"Sex Hormones and Novel Corona Virus Infectious Disease (COVID-19)","type":"article","volume":"95"},"uris":["http://www.mendeley.com/documents/?uuid=539847c4-c1b7-47e9-87bb-5d080c36be43","http://www.mendeley.com/documents/?uuid=5ed8d339-5778-37d9-808e-9f6cd9d342ba"]}],"mendeley":{"formattedCitation":"[4]","plainTextFormattedCitation":"[4]","previouslyFormattedCitation":"[4]"},"properties":{"noteIndex":0},"schema":"https://github.com/citation-style-language/schema/raw/master/csl-citation.json"}</w:instrText>
      </w:r>
      <w:r w:rsidR="00A45CAF" w:rsidRPr="00667DA4">
        <w:rPr>
          <w:rFonts w:cs="Arial"/>
        </w:rPr>
        <w:fldChar w:fldCharType="separate"/>
      </w:r>
      <w:r w:rsidR="00A45CAF" w:rsidRPr="00667DA4">
        <w:rPr>
          <w:rFonts w:cs="Arial"/>
          <w:noProof/>
        </w:rPr>
        <w:t>[4]</w:t>
      </w:r>
      <w:r w:rsidR="00A45CAF" w:rsidRPr="00667DA4">
        <w:rPr>
          <w:rFonts w:cs="Arial"/>
        </w:rPr>
        <w:fldChar w:fldCharType="end"/>
      </w:r>
      <w:r w:rsidR="00806B37" w:rsidRPr="00667DA4">
        <w:rPr>
          <w:rFonts w:cs="Arial"/>
        </w:rPr>
        <w:t xml:space="preserve"> </w:t>
      </w:r>
      <w:r w:rsidR="00640E2E" w:rsidRPr="00667DA4">
        <w:rPr>
          <w:rFonts w:cs="Arial"/>
        </w:rPr>
        <w:t xml:space="preserve">Earlier studies show that females mount </w:t>
      </w:r>
      <w:r w:rsidR="00DB4760" w:rsidRPr="00667DA4">
        <w:rPr>
          <w:rFonts w:cs="Arial"/>
        </w:rPr>
        <w:t>faster</w:t>
      </w:r>
      <w:r w:rsidR="00640E2E" w:rsidRPr="00667DA4">
        <w:rPr>
          <w:rFonts w:cs="Arial"/>
        </w:rPr>
        <w:t xml:space="preserve"> and </w:t>
      </w:r>
      <w:r w:rsidR="00DB4760" w:rsidRPr="00667DA4">
        <w:rPr>
          <w:rFonts w:cs="Arial"/>
        </w:rPr>
        <w:t>greater</w:t>
      </w:r>
      <w:r w:rsidR="00640E2E" w:rsidRPr="00667DA4">
        <w:rPr>
          <w:rFonts w:cs="Arial"/>
        </w:rPr>
        <w:t xml:space="preserve"> immune responses to viral infection</w:t>
      </w:r>
      <w:r w:rsidR="00DB4760" w:rsidRPr="00667DA4">
        <w:rPr>
          <w:rFonts w:cs="Arial"/>
        </w:rPr>
        <w:t>s</w:t>
      </w:r>
      <w:r w:rsidR="00640E2E" w:rsidRPr="00667DA4">
        <w:rPr>
          <w:rFonts w:cs="Arial"/>
        </w:rPr>
        <w:t xml:space="preserve"> through cellular and humoral immune responses.</w:t>
      </w:r>
      <w:r w:rsidR="00D30C25" w:rsidRPr="00667DA4">
        <w:rPr>
          <w:rFonts w:cs="Arial"/>
        </w:rPr>
        <w:fldChar w:fldCharType="begin" w:fldLock="1"/>
      </w:r>
      <w:r w:rsidR="0006312F" w:rsidRPr="00667DA4">
        <w:rPr>
          <w:rFonts w:cs="Arial"/>
        </w:rPr>
        <w:instrText>ADDIN CSL_CITATION {"citationItems":[{"id":"ITEM-1","itemData":{"DOI":"10.1038/s41577-020-0348-8","ISSN":"14741741","abstract":"A male bias in mortality has emerged in the COVID-19 pandemic, which is consistent with the pathogenesis of other viral infections. Biological sex differences may manifest themselves in susceptibility to infection, early pathogenesis, innate viral control, adaptive immune responses or the balance of inflammation and tissue repair in the resolution of infection. We discuss available sex-disaggregated epidemiological data from the COVID-19 pandemic, introduce sex-differential features of immunity and highlight potential sex differences underlying COVID-19 severity. We propose that sex differences in immunopathogenesis will inform mechanisms of COVID-19, identify points for therapeutic intervention and improve vaccine design and increase vaccine efficacy.","author":[{"dropping-particle":"","family":"Scully","given":"Eileen P.","non-dropping-particle":"","parse-names":false,"suffix":""},{"dropping-particle":"","family":"Haverfield","given":"Jenna","non-dropping-particle":"","parse-names":false,"suffix":""},{"dropping-particle":"","family":"Ursin","given":"Rebecca L.","non-dropping-particle":"","parse-names":false,"suffix":""},{"dropping-particle":"","family":"Tannenbaum","given":"Cara","non-dropping-particle":"","parse-names":false,"suffix":""},{"dropping-particle":"","family":"Klein","given":"Sabra L.","non-dropping-particle":"","parse-names":false,"suffix":""}],"container-title":"Nature Reviews Immunology","id":"ITEM-1","issue":"7","issued":{"date-parts":[["2020"]]},"title":"Considering how biological sex impacts immune responses and COVID-19 outcomes","type":"article-journal","volume":"20"},"uris":["http://www.mendeley.com/documents/?uuid=66e24aa9-8ec3-40fe-a762-9b45b590cb16","http://www.mendeley.com/documents/?uuid=5a792bb0-4ba2-3776-930f-d3ce33aef7d2"]}],"mendeley":{"formattedCitation":"[2]","plainTextFormattedCitation":"[2]","previouslyFormattedCitation":"[2]"},"properties":{"noteIndex":0},"schema":"https://github.com/citation-style-language/schema/raw/master/csl-citation.json"}</w:instrText>
      </w:r>
      <w:r w:rsidR="00D30C25" w:rsidRPr="00667DA4">
        <w:rPr>
          <w:rFonts w:cs="Arial"/>
        </w:rPr>
        <w:fldChar w:fldCharType="separate"/>
      </w:r>
      <w:r w:rsidR="00D30C25" w:rsidRPr="00667DA4">
        <w:rPr>
          <w:rFonts w:cs="Arial"/>
          <w:noProof/>
        </w:rPr>
        <w:t>[2]</w:t>
      </w:r>
      <w:r w:rsidR="00D30C25" w:rsidRPr="00667DA4">
        <w:rPr>
          <w:rFonts w:cs="Arial"/>
        </w:rPr>
        <w:fldChar w:fldCharType="end"/>
      </w:r>
      <w:r w:rsidR="00D30C25" w:rsidRPr="00667DA4">
        <w:rPr>
          <w:rFonts w:cs="Arial"/>
        </w:rPr>
        <w:t xml:space="preserve"> </w:t>
      </w:r>
      <w:r w:rsidR="00DB4760" w:rsidRPr="00667DA4">
        <w:rPr>
          <w:rFonts w:cs="Arial"/>
        </w:rPr>
        <w:t>More</w:t>
      </w:r>
      <w:r w:rsidR="002954F1" w:rsidRPr="00667DA4">
        <w:rPr>
          <w:rFonts w:cs="Arial"/>
        </w:rPr>
        <w:t>over,</w:t>
      </w:r>
      <w:r w:rsidR="00DB4760" w:rsidRPr="00667DA4">
        <w:rPr>
          <w:rFonts w:cs="Arial"/>
        </w:rPr>
        <w:t xml:space="preserve"> </w:t>
      </w:r>
      <w:r w:rsidR="00DB4760" w:rsidRPr="00667DA4">
        <w:rPr>
          <w:rFonts w:cs="Arial"/>
          <w:shd w:val="clear" w:color="auto" w:fill="FFFFFF"/>
        </w:rPr>
        <w:t xml:space="preserve">immune responses can be </w:t>
      </w:r>
      <w:r w:rsidR="00640E2E" w:rsidRPr="00667DA4">
        <w:rPr>
          <w:rFonts w:cs="Arial"/>
          <w:shd w:val="clear" w:color="auto" w:fill="FFFFFF"/>
        </w:rPr>
        <w:t xml:space="preserve">modulated by oestrogen </w:t>
      </w:r>
      <w:r w:rsidR="00A45CAF" w:rsidRPr="00667DA4">
        <w:rPr>
          <w:rFonts w:cs="Arial"/>
          <w:shd w:val="clear" w:color="auto" w:fill="FFFFFF"/>
        </w:rPr>
        <w:t>through a</w:t>
      </w:r>
      <w:r w:rsidR="002954F1" w:rsidRPr="00667DA4">
        <w:rPr>
          <w:rFonts w:cs="Arial"/>
          <w:shd w:val="clear" w:color="auto" w:fill="FFFFFF"/>
        </w:rPr>
        <w:t xml:space="preserve"> reduc</w:t>
      </w:r>
      <w:r w:rsidR="00A45CAF" w:rsidRPr="00667DA4">
        <w:rPr>
          <w:rFonts w:cs="Arial"/>
          <w:shd w:val="clear" w:color="auto" w:fill="FFFFFF"/>
        </w:rPr>
        <w:t>tion in</w:t>
      </w:r>
      <w:r w:rsidR="002954F1" w:rsidRPr="00667DA4">
        <w:rPr>
          <w:rFonts w:cs="Arial"/>
          <w:shd w:val="clear" w:color="auto" w:fill="FFFFFF"/>
        </w:rPr>
        <w:t xml:space="preserve"> T-cell exhaustion and</w:t>
      </w:r>
      <w:r w:rsidR="00640E2E" w:rsidRPr="00667DA4">
        <w:rPr>
          <w:rFonts w:cs="Arial"/>
          <w:shd w:val="clear" w:color="auto" w:fill="FFFFFF"/>
        </w:rPr>
        <w:t xml:space="preserve"> suppress</w:t>
      </w:r>
      <w:r w:rsidR="002954F1" w:rsidRPr="00667DA4">
        <w:rPr>
          <w:rFonts w:cs="Arial"/>
          <w:shd w:val="clear" w:color="auto" w:fill="FFFFFF"/>
        </w:rPr>
        <w:t>i</w:t>
      </w:r>
      <w:r w:rsidR="00A45CAF" w:rsidRPr="00667DA4">
        <w:rPr>
          <w:rFonts w:cs="Arial"/>
          <w:shd w:val="clear" w:color="auto" w:fill="FFFFFF"/>
        </w:rPr>
        <w:t>on of</w:t>
      </w:r>
      <w:r w:rsidR="00640E2E" w:rsidRPr="00667DA4">
        <w:rPr>
          <w:rFonts w:cs="Arial"/>
          <w:shd w:val="clear" w:color="auto" w:fill="FFFFFF"/>
        </w:rPr>
        <w:t xml:space="preserve"> IL-1β and IL-6 production</w:t>
      </w:r>
      <w:r w:rsidR="00A45CAF" w:rsidRPr="00667DA4">
        <w:rPr>
          <w:rFonts w:cs="Arial"/>
          <w:shd w:val="clear" w:color="auto" w:fill="FFFFFF"/>
        </w:rPr>
        <w:t>.</w:t>
      </w:r>
      <w:r w:rsidR="00A45CAF" w:rsidRPr="00667DA4">
        <w:rPr>
          <w:rFonts w:cs="Arial"/>
          <w:shd w:val="clear" w:color="auto" w:fill="FFFFFF"/>
        </w:rPr>
        <w:fldChar w:fldCharType="begin" w:fldLock="1"/>
      </w:r>
      <w:r w:rsidR="0006312F" w:rsidRPr="00667DA4">
        <w:rPr>
          <w:rFonts w:cs="Arial"/>
          <w:shd w:val="clear" w:color="auto" w:fill="FFFFFF"/>
        </w:rPr>
        <w:instrText>ADDIN CSL_CITATION {"citationItems":[{"id":"ITEM-1","itemData":{"DOI":"10.1038/s41577-020-0305-6","ISSN":"14741741","author":[{"dropping-particle":"","family":"Vaninov","given":"Natalie","non-dropping-particle":"","parse-names":false,"suffix":""}],"container-title":"Nature Reviews Immunology","id":"ITEM-1","issue":"5","issued":{"date-parts":[["2020"]]},"title":"In the eye of the COVID-19 cytokine storm","type":"article-journal","volume":"20"},"uris":["http://www.mendeley.com/documents/?uuid=ae567488-ccf2-3051-8ae2-61d9fa9b5661","http://www.mendeley.com/documents/?uuid=51ec4362-d96b-4256-a9b8-6509f7c63107"]}],"mendeley":{"formattedCitation":"[6]","plainTextFormattedCitation":"[6]","previouslyFormattedCitation":"[6]"},"properties":{"noteIndex":0},"schema":"https://github.com/citation-style-language/schema/raw/master/csl-citation.json"}</w:instrText>
      </w:r>
      <w:r w:rsidR="00A45CAF" w:rsidRPr="00667DA4">
        <w:rPr>
          <w:rFonts w:cs="Arial"/>
          <w:shd w:val="clear" w:color="auto" w:fill="FFFFFF"/>
        </w:rPr>
        <w:fldChar w:fldCharType="separate"/>
      </w:r>
      <w:r w:rsidR="00A45CAF" w:rsidRPr="00667DA4">
        <w:rPr>
          <w:rFonts w:cs="Arial"/>
          <w:noProof/>
          <w:shd w:val="clear" w:color="auto" w:fill="FFFFFF"/>
        </w:rPr>
        <w:t>[6]</w:t>
      </w:r>
      <w:r w:rsidR="00A45CAF" w:rsidRPr="00667DA4">
        <w:rPr>
          <w:rFonts w:cs="Arial"/>
          <w:shd w:val="clear" w:color="auto" w:fill="FFFFFF"/>
        </w:rPr>
        <w:fldChar w:fldCharType="end"/>
      </w:r>
      <w:r w:rsidR="00A45CAF" w:rsidRPr="00667DA4">
        <w:rPr>
          <w:rFonts w:cs="Arial"/>
          <w:shd w:val="clear" w:color="auto" w:fill="FFFFFF"/>
        </w:rPr>
        <w:t xml:space="preserve"> This </w:t>
      </w:r>
      <w:r w:rsidR="00DB4760" w:rsidRPr="00667DA4">
        <w:rPr>
          <w:rFonts w:cs="Arial"/>
        </w:rPr>
        <w:t>potentially limit</w:t>
      </w:r>
      <w:r w:rsidR="00A45CAF" w:rsidRPr="00667DA4">
        <w:rPr>
          <w:rFonts w:cs="Arial"/>
        </w:rPr>
        <w:t>s</w:t>
      </w:r>
      <w:r w:rsidR="00DB4760" w:rsidRPr="00667DA4">
        <w:rPr>
          <w:rFonts w:cs="Arial"/>
        </w:rPr>
        <w:t xml:space="preserve"> the </w:t>
      </w:r>
      <w:r w:rsidR="00DB4760" w:rsidRPr="00667DA4">
        <w:rPr>
          <w:rFonts w:cs="Arial"/>
          <w:shd w:val="clear" w:color="auto" w:fill="FFFFFF"/>
        </w:rPr>
        <w:t xml:space="preserve">cytokine storm and subsequent respiratory failure that is characteristically triggered by </w:t>
      </w:r>
      <w:r w:rsidR="00DB4760" w:rsidRPr="00667DA4">
        <w:rPr>
          <w:rFonts w:cs="Arial"/>
        </w:rPr>
        <w:t>SARS-CoV</w:t>
      </w:r>
      <w:r w:rsidR="005B3025" w:rsidRPr="00667DA4">
        <w:rPr>
          <w:rFonts w:cs="Arial"/>
          <w:shd w:val="clear" w:color="auto" w:fill="FFFFFF"/>
        </w:rPr>
        <w:t>-2. This may explain why fewer women compared to men have been hospitalis</w:t>
      </w:r>
      <w:r w:rsidR="00425DEF" w:rsidRPr="00667DA4">
        <w:rPr>
          <w:rFonts w:cs="Arial"/>
          <w:shd w:val="clear" w:color="auto" w:fill="FFFFFF"/>
        </w:rPr>
        <w:t>ed</w:t>
      </w:r>
      <w:r w:rsidR="005B3025" w:rsidRPr="00667DA4">
        <w:rPr>
          <w:rFonts w:cs="Arial"/>
          <w:shd w:val="clear" w:color="auto" w:fill="FFFFFF"/>
        </w:rPr>
        <w:t>, admitted to ITU or have died during the pandemic.</w:t>
      </w:r>
      <w:r w:rsidR="00640E2E" w:rsidRPr="00667DA4">
        <w:rPr>
          <w:rFonts w:cs="Arial"/>
          <w:shd w:val="clear" w:color="auto" w:fill="FFFFFF"/>
        </w:rPr>
        <w:t xml:space="preserve"> </w:t>
      </w:r>
      <w:r w:rsidR="005B3025" w:rsidRPr="00667DA4">
        <w:rPr>
          <w:rFonts w:cs="Arial"/>
        </w:rPr>
        <w:fldChar w:fldCharType="begin" w:fldLock="1"/>
      </w:r>
      <w:r w:rsidR="0006312F" w:rsidRPr="00667DA4">
        <w:rPr>
          <w:rFonts w:cs="Arial"/>
        </w:rPr>
        <w:instrText>ADDIN CSL_CITATION {"citationItems":[{"id":"ITEM-1","itemData":{"DOI":"10.1038/s41586-020-2521-4","ISSN":"14764687","abstract":"Coronavirus disease 2019 (COVID-19) has rapidly affected mortality worldwide1. There is unprecedented urgency to understand who is most at risk of severe outcomes, and this requires new approaches for the timely analysis of large datasets. Working on behalf of NHS England, we created OpenSAFELY—a secure health analytics platform that covers 40% of all patients in England and holds patient data within the existing data centre of a major vendor of primary care electronic health records. Here we used OpenSAFELY to examine factors associated with COVID-19-related death. Primary care records of 17,278,392 adults were pseudonymously linked to 10,926 COVID-19-related deaths. COVID-19-related death was associated with: being male (hazard ratio (HR) 1.59 (95% confidence interval 1.53–1.65)); greater age and deprivation (both with a strong gradient); diabetes; severe asthma; and various other medical conditions. Compared with people of white ethnicity, Black and South Asian people were at higher risk, even after adjustment for other factors (HR 1.48 (1.29–1.69) and 1.45 (1.32–1.58), respectively). We have quantified a range of clinical factors associated with COVID-19-related death in one of the largest cohort studies on this topic so far. More patient records are rapidly being added to OpenSAFELY, we will update and extend our results regularly.","author":[{"dropping-particle":"","family":"Williamson","given":"Elizabeth J.","non-dropping-particle":"","parse-names":false,"suffix":""},{"dropping-particle":"","family":"Walker","given":"Alex J.","non-dropping-particle":"","parse-names":false,"suffix":""},{"dropping-particle":"","family":"Bhaskaran","given":"Krishnan","non-dropping-particle":"","parse-names":false,"suffix":""},{"dropping-particle":"","family":"Bacon","given":"Seb","non-dropping-particle":"","parse-names":false,"suffix":""},{"dropping-particle":"","family":"Bates","given":"Chris","non-dropping-particle":"","parse-names":false,"suffix":""},{"dropping-particle":"","family":"Morton","given":"Caroline E.","non-dropping-particle":"","parse-names":false,"suffix":""},{"dropping-particle":"","family":"Curtis","given":"Helen J.","non-dropping-particle":"","parse-names":false,"suffix":""},{"dropping-particle":"","family":"Mehrkar","given":"Amir","non-dropping-particle":"","parse-names":false,"suffix":""},{"dropping-particle":"","family":"Evans","given":"David","non-dropping-particle":"","parse-names":false,"suffix":""},{"dropping-particle":"","family":"Inglesby","given":"Peter","non-dropping-particle":"","parse-names":false,"suffix":""},{"dropping-particle":"","family":"Cockburn","given":"Jonathan","non-dropping-particle":"","parse-names":false,"suffix":""},{"dropping-particle":"","family":"McDonald","given":"Helen I.","non-dropping-particle":"","parse-names":false,"suffix":""},{"dropping-particle":"","family":"MacKenna","given":"Brian","non-dropping-particle":"","parse-names":false,"suffix":""},{"dropping-particle":"","family":"Tomlinson","given":"Laurie","non-dropping-particle":"","parse-names":false,"suffix":""},{"dropping-particle":"","family":"Douglas","given":"Ian J.","non-dropping-particle":"","parse-names":false,"suffix":""},{"dropping-particle":"","family":"Rentsch","given":"Christopher T.","non-dropping-particle":"","parse-names":false,"suffix":""},{"dropping-particle":"","family":"Mathur","given":"Rohini","non-dropping-particle":"","parse-names":false,"suffix":""},{"dropping-particle":"","family":"Wong","given":"Angel Y.S.","non-dropping-particle":"","parse-names":false,"suffix":""},{"dropping-particle":"","family":"Grieve","given":"Richard","non-dropping-particle":"","parse-names":false,"suffix":""},{"dropping-particle":"","family":"Harrison","given":"David","non-dropping-particle":"","parse-names":false,"suffix":""},{"dropping-particle":"","family":"Forbes","given":"Harriet","non-dropping-particle":"","parse-names":false,"suffix":""},{"dropping-particle":"","family":"Schultze","given":"Anna","non-dropping-particle":"","parse-names":false,"suffix":""},{"dropping-particle":"","family":"Croker","given":"Richard","non-dropping-particle":"","parse-names":false,"suffix":""},{"dropping-particle":"","family":"Parry","given":"John","non-dropping-particle":"","parse-names":false,"suffix":""},{"dropping-particle":"","family":"Hester","given":"Frank","non-dropping-particle":"","parse-names":false,"suffix":""},{"dropping-particle":"","family":"Harper","given":"Sam","non-dropping-particle":"","parse-names":false,"suffix":""},{"dropping-particle":"","family":"Perera","given":"Rafael","non-dropping-particle":"","parse-names":false,"suffix":""},{"dropping-particle":"","family":"Evans","given":"Stephen J.W.","non-dropping-particle":"","parse-names":false,"suffix":""},{"dropping-particle":"","family":"Smeeth","given":"Liam","non-dropping-particle":"","parse-names":false,"suffix":""},{"dropping-particle":"","family":"Goldacre","given":"Ben","non-dropping-particle":"","parse-names":false,"suffix":""}],"container-title":"Nature","id":"ITEM-1","issue":"7821","issued":{"date-parts":[["2020"]]},"title":"Factors associated with COVID-19-related death using OpenSAFELY","type":"article-journal","volume":"584"},"uris":["http://www.mendeley.com/documents/?uuid=d34af56b-0cfb-4af0-be4b-bca905f499b3","http://www.mendeley.com/documents/?uuid=551df50a-e255-3b0b-8512-ee021ae6d172"]}],"mendeley":{"formattedCitation":"[1]","plainTextFormattedCitation":"[1]","previouslyFormattedCitation":"[1]"},"properties":{"noteIndex":0},"schema":"https://github.com/citation-style-language/schema/raw/master/csl-citation.json"}</w:instrText>
      </w:r>
      <w:r w:rsidR="005B3025" w:rsidRPr="00667DA4">
        <w:rPr>
          <w:rFonts w:cs="Arial"/>
        </w:rPr>
        <w:fldChar w:fldCharType="separate"/>
      </w:r>
      <w:r w:rsidR="005B3025" w:rsidRPr="00667DA4">
        <w:rPr>
          <w:rFonts w:cs="Arial"/>
          <w:noProof/>
        </w:rPr>
        <w:t>[1]</w:t>
      </w:r>
      <w:r w:rsidR="005B3025" w:rsidRPr="00667DA4">
        <w:rPr>
          <w:rFonts w:cs="Arial"/>
        </w:rPr>
        <w:fldChar w:fldCharType="end"/>
      </w:r>
    </w:p>
    <w:p w14:paraId="2A6755B7" w14:textId="4954EED9" w:rsidR="005B5E67" w:rsidRPr="00667DA4" w:rsidRDefault="001E0B55" w:rsidP="00FE5251">
      <w:pPr>
        <w:spacing w:line="480" w:lineRule="auto"/>
        <w:jc w:val="both"/>
        <w:rPr>
          <w:rFonts w:cs="Arial"/>
          <w:shd w:val="clear" w:color="auto" w:fill="FFFFFF"/>
        </w:rPr>
      </w:pPr>
      <w:r w:rsidRPr="00667DA4">
        <w:rPr>
          <w:rFonts w:cs="Arial"/>
        </w:rPr>
        <w:t xml:space="preserve">To-date, </w:t>
      </w:r>
      <w:r w:rsidR="00B6672C" w:rsidRPr="00667DA4">
        <w:rPr>
          <w:rFonts w:cs="Arial"/>
        </w:rPr>
        <w:t xml:space="preserve">a limited number of studies have explored the association between </w:t>
      </w:r>
      <w:r w:rsidR="00DA1876" w:rsidRPr="00667DA4">
        <w:rPr>
          <w:rFonts w:cs="Arial"/>
          <w:shd w:val="clear" w:color="auto" w:fill="FFFFFF"/>
        </w:rPr>
        <w:t xml:space="preserve">oestrogen-containing products and COVID-19 outcomes. </w:t>
      </w:r>
      <w:r w:rsidR="005B3025" w:rsidRPr="00667DA4">
        <w:rPr>
          <w:rFonts w:cs="Arial"/>
          <w:shd w:val="clear" w:color="auto" w:fill="FFFFFF"/>
        </w:rPr>
        <w:t xml:space="preserve">Recent observational data suggests that women aged 18-45 years taking the </w:t>
      </w:r>
      <w:r w:rsidR="000C044B" w:rsidRPr="00667DA4">
        <w:rPr>
          <w:rFonts w:cs="Arial"/>
          <w:shd w:val="clear" w:color="auto" w:fill="FFFFFF"/>
        </w:rPr>
        <w:t xml:space="preserve">Combined Oral Contraceptive Pill (COCP) </w:t>
      </w:r>
      <w:r w:rsidR="005B3025" w:rsidRPr="00667DA4">
        <w:rPr>
          <w:rFonts w:cs="Arial"/>
          <w:shd w:val="clear" w:color="auto" w:fill="FFFFFF"/>
        </w:rPr>
        <w:t xml:space="preserve">have a </w:t>
      </w:r>
      <w:r w:rsidR="008159B3" w:rsidRPr="00667DA4">
        <w:rPr>
          <w:rFonts w:cs="Arial"/>
          <w:shd w:val="clear" w:color="auto" w:fill="FFFFFF"/>
        </w:rPr>
        <w:t xml:space="preserve">significantly </w:t>
      </w:r>
      <w:r w:rsidR="005B3025" w:rsidRPr="00667DA4">
        <w:rPr>
          <w:rFonts w:cs="Arial"/>
          <w:shd w:val="clear" w:color="auto" w:fill="FFFFFF"/>
        </w:rPr>
        <w:t xml:space="preserve">lower risk of </w:t>
      </w:r>
      <w:r w:rsidR="00BD3432" w:rsidRPr="00667DA4">
        <w:rPr>
          <w:rFonts w:cs="Arial"/>
          <w:shd w:val="clear" w:color="auto" w:fill="FFFFFF"/>
        </w:rPr>
        <w:t xml:space="preserve">acquiring </w:t>
      </w:r>
      <w:r w:rsidR="005B3025" w:rsidRPr="00667DA4">
        <w:rPr>
          <w:rFonts w:cs="Arial"/>
          <w:shd w:val="clear" w:color="auto" w:fill="FFFFFF"/>
        </w:rPr>
        <w:t xml:space="preserve">COVID-19 </w:t>
      </w:r>
      <w:r w:rsidR="008159B3" w:rsidRPr="00667DA4">
        <w:rPr>
          <w:rFonts w:cs="Arial"/>
          <w:shd w:val="clear" w:color="auto" w:fill="FFFFFF"/>
        </w:rPr>
        <w:t>(OR 0.87</w:t>
      </w:r>
      <w:r w:rsidR="00BD3432" w:rsidRPr="00667DA4">
        <w:rPr>
          <w:rFonts w:cs="Arial"/>
          <w:shd w:val="clear" w:color="auto" w:fill="FFFFFF"/>
        </w:rPr>
        <w:t>, p&lt;0.001</w:t>
      </w:r>
      <w:r w:rsidR="008159B3" w:rsidRPr="00667DA4">
        <w:rPr>
          <w:rFonts w:cs="Arial"/>
          <w:shd w:val="clear" w:color="auto" w:fill="FFFFFF"/>
        </w:rPr>
        <w:t xml:space="preserve">) </w:t>
      </w:r>
      <w:r w:rsidR="000C044B" w:rsidRPr="00667DA4">
        <w:rPr>
          <w:rFonts w:cs="Arial"/>
          <w:shd w:val="clear" w:color="auto" w:fill="FFFFFF"/>
        </w:rPr>
        <w:t xml:space="preserve">, </w:t>
      </w:r>
      <w:r w:rsidR="00BD3432" w:rsidRPr="00667DA4">
        <w:rPr>
          <w:rFonts w:cs="Arial"/>
          <w:shd w:val="clear" w:color="auto" w:fill="FFFFFF"/>
        </w:rPr>
        <w:t xml:space="preserve">as well as </w:t>
      </w:r>
      <w:r w:rsidR="000C044B" w:rsidRPr="00667DA4">
        <w:rPr>
          <w:rFonts w:cs="Arial"/>
          <w:shd w:val="clear" w:color="auto" w:fill="FFFFFF"/>
        </w:rPr>
        <w:t xml:space="preserve">a reduction in </w:t>
      </w:r>
      <w:r w:rsidR="005B3025" w:rsidRPr="00667DA4">
        <w:rPr>
          <w:rFonts w:cs="Arial"/>
          <w:shd w:val="clear" w:color="auto" w:fill="FFFFFF"/>
        </w:rPr>
        <w:t>hospital attendance</w:t>
      </w:r>
      <w:r w:rsidR="00BD3432" w:rsidRPr="00667DA4">
        <w:rPr>
          <w:rFonts w:cs="Arial"/>
          <w:shd w:val="clear" w:color="auto" w:fill="FFFFFF"/>
        </w:rPr>
        <w:t xml:space="preserve"> (OR 0.79, p=0.023)</w:t>
      </w:r>
      <w:r w:rsidR="005B3025" w:rsidRPr="00667DA4">
        <w:rPr>
          <w:rFonts w:cs="Arial"/>
          <w:shd w:val="clear" w:color="auto" w:fill="FFFFFF"/>
        </w:rPr>
        <w:t xml:space="preserve"> </w:t>
      </w:r>
      <w:r w:rsidR="0006312F" w:rsidRPr="00667DA4">
        <w:rPr>
          <w:rFonts w:cs="Arial"/>
          <w:shd w:val="clear" w:color="auto" w:fill="FFFFFF"/>
        </w:rPr>
        <w:fldChar w:fldCharType="begin" w:fldLock="1"/>
      </w:r>
      <w:r w:rsidR="00577C0F" w:rsidRPr="00667DA4">
        <w:rPr>
          <w:rFonts w:cs="Arial"/>
          <w:shd w:val="clear" w:color="auto" w:fill="FFFFFF"/>
        </w:rPr>
        <w:instrText>ADDIN CSL_CITATION {"citationItems":[{"id":"ITEM-1","itemData":{"DOI":"10.1371/journal.pone.0257051","ISSN":"1932-6203","abstract":"It has been widely observed that adult men of all ages are at higher risk of developing serious complications from COVID-19 when compared with women. This study aimed to investigate the association of COVID-19 positivity and severity with estrogen exposure in women, in a population based matched cohort study of female users of the COVID Symptom Study application in the UK. Analyses included 152,637 women for menopausal status, 295,689 women for exogenous estrogen intake in the form of the combined oral contraceptive pill (COCP), and 151,193 menopausal women for hormone replacement therapy (HRT). Data were collected using the COVID Symptom Study in May-June 2020. Analyses investigated associations between predicted or tested COVID-19 status and menopausal status, COCP use, and HRT use, adjusting for age, smoking and BMI, with follow-up age sensitivity analysis, and validation in a subset of participants from the TwinsUK cohort. Menopausal women had higher rates of predicted COVID-19 (P = 0.003). COCP-users had lower rates of predicted COVID-19 (P = 8.03E-05), with reduction in hospital attendance (P = 0.023). Menopausal women using HRT or hormonal therapies did not exhibit consistent associations, including increased rates of predicted COVID-19 (P = 2.22E-05) for HRT users alone. The findings support a protective effect of estrogen exposure on COVID-19, based on positive association between predicted COVID-19 with menopausal status, and negative association with COCP use. HRT use was positively associated with COVID-19, but the results should be considered with caution due to lack of data on HRT type, route of administration, duration of treatment, and potential unaccounted for confounders and comorbidities.","author":[{"dropping-particle":"","family":"Costeira","given":"Ricardo","non-dropping-particle":"","parse-names":false,"suffix":""},{"dropping-particle":"","family":"Lee","given":"Karla A.","non-dropping-particle":"","parse-names":false,"suffix":""},{"dropping-particle":"","family":"Murray","given":"Benjamin","non-dropping-particle":"","parse-names":false,"suffix":""},{"dropping-particle":"","family":"Christiansen","given":"Colette","non-dropping-particle":"","parse-names":false,"suffix":""},{"dropping-particle":"","family":"Castillo-Fernandez","given":"Juan","non-dropping-particle":"","parse-names":false,"suffix":""},{"dropping-particle":"","family":"Ni Lochlainn","given":"Mary","non-dropping-particle":"","parse-names":false,"suffix":""},{"dropping-particle":"","family":"Capdevila Pujol","given":"Joan","non-dropping-particle":"","parse-names":false,"suffix":""},{"dropping-particle":"","family":"Macfarlane","given":"Heather","non-dropping-particle":"","parse-names":false,"suffix":""},{"dropping-particle":"","family":"Kenny","given":"Louise C.","non-dropping-particle":"","parse-names":false,"suffix":""},{"dropping-particle":"","family":"Buchan","given":"Iain","non-dropping-particle":"","parse-names":false,"suffix":""},{"dropping-particle":"","family":"Wolf","given":"Jonathan","non-dropping-particle":"","parse-names":false,"suffix":""},{"dropping-particle":"","family":"Rymer","given":"Janice","non-dropping-particle":"","parse-names":false,"suffix":""},{"dropping-particle":"","family":"Ourselin","given":"Sebastien","non-dropping-particle":"","parse-names":false,"suffix":""},{"dropping-particle":"","family":"Steves","given":"Claire J.","non-dropping-particle":"","parse-names":false,"suffix":""},{"dropping-particle":"","family":"Spector","given":"Timothy D.","non-dropping-particle":"","parse-names":false,"suffix":""},{"dropping-particle":"","family":"Newson","given":"Louise R.","non-dropping-particle":"","parse-names":false,"suffix":""},{"dropping-particle":"","family":"Bell","given":"Jordana T.","non-dropping-particle":"","parse-names":false,"suffix":""}],"container-title":"PLOS ONE","editor":[{"dropping-particle":"","family":"Mullins","given":"Edward","non-dropping-particle":"","parse-names":false,"suffix":""}],"id":"ITEM-1","issue":"9","issued":{"date-parts":[["2021","9","10"]]},"page":"e0257051","title":"Estrogen and COVID-19 symptoms: Associations in women from the COVID Symptom Study","type":"article-journal","volume":"16"},"uris":["http://www.mendeley.com/documents/?uuid=1597fa8b-994c-44a5-bd12-7de21e4adf86"]},{"id":"ITEM-2","itemData":{"DOI":"10.1101/2020.05.07.20073817","author":[{"dropping-particle":"","family":"Schroeder","given":"Maria","non-dropping-particle":"","parse-names":false,"suffix":""},{"dropping-particle":"","family":"Jarczak","given":"Dominik","non-dropping-particle":"","parse-names":false,"suffix":""},{"dropping-particle":"","family":"Nierhaus","given":"Axel","non-dropping-particle":"","parse-names":false,"suffix":""},{"dropping-particle":"","family":"Bai","given":"Tian","non-dropping-particle":"","parse-names":false,"suffix":""},{"dropping-particle":"","family":"Jacobsen","given":"Henning","non-dropping-particle":"","parse-names":false,"suffix":""},{"dropping-particle":"","family":"Zickler","given":"Martin","non-dropping-particle":"","parse-names":false,"suffix":""},{"dropping-particle":"","family":"Müller","given":"Zacharias","non-dropping-particle":"","parse-names":false,"suffix":""},{"dropping-particle":"","family":"Stanelle-Bertram","given":"Stephanie","non-dropping-particle":"","parse-names":false,"suffix":""},{"dropping-particle":"","family":"Meinhardt","given":"Andreas","non-dropping-particle":"","parse-names":false,"suffix":""},{"dropping-particle":"","family":"Aberle","given":"Jens","non-dropping-particle":"","parse-names":false,"suffix":""},{"dropping-particle":"","family":"Kluge","given":"Stefan","non-dropping-particle":"","parse-names":false,"suffix":""},{"dropping-particle":"","family":"Gabriel","given":"Gülsah","non-dropping-particle":"","parse-names":false,"suffix":""}],"id":"ITEM-2","issued":{"date-parts":[["0"]]},"title":"The majority of male patients with COVID-19 present low testosterone levels on admission to Intensive Care in Hamburg, Germany: a retrospective cohort study","type":"article-journal"},"uris":["http://www.mendeley.com/documents/?uuid=cdb24285-0fd3-4add-881b-c808d768f369"]}],"mendeley":{"formattedCitation":"[7,8]","plainTextFormattedCitation":"[7,8]","previouslyFormattedCitation":"[7,8]"},"properties":{"noteIndex":0},"schema":"https://github.com/citation-style-language/schema/raw/master/csl-citation.json"}</w:instrText>
      </w:r>
      <w:r w:rsidR="0006312F" w:rsidRPr="00667DA4">
        <w:rPr>
          <w:rFonts w:cs="Arial"/>
          <w:shd w:val="clear" w:color="auto" w:fill="FFFFFF"/>
        </w:rPr>
        <w:fldChar w:fldCharType="separate"/>
      </w:r>
      <w:r w:rsidR="0006312F" w:rsidRPr="00667DA4">
        <w:rPr>
          <w:rFonts w:cs="Arial"/>
          <w:noProof/>
          <w:shd w:val="clear" w:color="auto" w:fill="FFFFFF"/>
        </w:rPr>
        <w:t>[7,8]</w:t>
      </w:r>
      <w:r w:rsidR="0006312F" w:rsidRPr="00667DA4">
        <w:rPr>
          <w:rFonts w:cs="Arial"/>
          <w:shd w:val="clear" w:color="auto" w:fill="FFFFFF"/>
        </w:rPr>
        <w:fldChar w:fldCharType="end"/>
      </w:r>
      <w:r w:rsidR="000C044B" w:rsidRPr="00667DA4">
        <w:rPr>
          <w:rFonts w:cs="Arial"/>
          <w:shd w:val="clear" w:color="auto" w:fill="FFFFFF"/>
        </w:rPr>
        <w:t>.</w:t>
      </w:r>
      <w:r w:rsidR="009460D7" w:rsidRPr="00667DA4">
        <w:rPr>
          <w:rFonts w:cs="Arial"/>
          <w:shd w:val="clear" w:color="auto" w:fill="FFFFFF"/>
        </w:rPr>
        <w:t xml:space="preserve"> </w:t>
      </w:r>
      <w:r w:rsidR="001238AB" w:rsidRPr="00667DA4">
        <w:rPr>
          <w:rFonts w:cs="Arial"/>
          <w:shd w:val="clear" w:color="auto" w:fill="FFFFFF"/>
        </w:rPr>
        <w:t xml:space="preserve"> </w:t>
      </w:r>
      <w:r w:rsidR="005B3025" w:rsidRPr="00667DA4">
        <w:rPr>
          <w:rFonts w:cs="Arial"/>
          <w:shd w:val="clear" w:color="auto" w:fill="FFFFFF"/>
        </w:rPr>
        <w:t xml:space="preserve">Evidence on Hormone Replacement Therapy (HRT) has </w:t>
      </w:r>
      <w:r w:rsidR="005A6ED7" w:rsidRPr="00667DA4">
        <w:rPr>
          <w:rFonts w:cs="Arial"/>
          <w:shd w:val="clear" w:color="auto" w:fill="FFFFFF"/>
        </w:rPr>
        <w:t xml:space="preserve">been </w:t>
      </w:r>
      <w:r w:rsidR="009363C4" w:rsidRPr="00667DA4">
        <w:rPr>
          <w:rFonts w:cs="Arial"/>
          <w:shd w:val="clear" w:color="auto" w:fill="FFFFFF"/>
        </w:rPr>
        <w:t xml:space="preserve">less </w:t>
      </w:r>
      <w:r w:rsidR="005A6ED7" w:rsidRPr="00667DA4">
        <w:rPr>
          <w:rFonts w:cs="Arial"/>
          <w:shd w:val="clear" w:color="auto" w:fill="FFFFFF"/>
        </w:rPr>
        <w:t>consistent</w:t>
      </w:r>
      <w:r w:rsidR="005066A0" w:rsidRPr="00667DA4">
        <w:rPr>
          <w:rFonts w:cs="Arial"/>
          <w:shd w:val="clear" w:color="auto" w:fill="FFFFFF"/>
        </w:rPr>
        <w:t xml:space="preserve">. </w:t>
      </w:r>
      <w:r w:rsidR="00A45389" w:rsidRPr="00667DA4">
        <w:rPr>
          <w:rFonts w:cs="Arial"/>
          <w:shd w:val="clear" w:color="auto" w:fill="FFFFFF"/>
        </w:rPr>
        <w:t>I</w:t>
      </w:r>
      <w:r w:rsidR="00C84532" w:rsidRPr="00667DA4">
        <w:rPr>
          <w:rFonts w:cs="Arial"/>
          <w:shd w:val="clear" w:color="auto" w:fill="FFFFFF"/>
        </w:rPr>
        <w:t xml:space="preserve">ncreased rates of </w:t>
      </w:r>
      <w:r w:rsidR="001F41D8" w:rsidRPr="00667DA4">
        <w:rPr>
          <w:rFonts w:cs="Arial"/>
          <w:shd w:val="clear" w:color="auto" w:fill="FFFFFF"/>
        </w:rPr>
        <w:t xml:space="preserve">predicted (but not confirmed) COVID-19 </w:t>
      </w:r>
      <w:r w:rsidR="00A45389" w:rsidRPr="00667DA4">
        <w:rPr>
          <w:rFonts w:cs="Arial"/>
          <w:shd w:val="clear" w:color="auto" w:fill="FFFFFF"/>
        </w:rPr>
        <w:t xml:space="preserve">were </w:t>
      </w:r>
      <w:r w:rsidR="00704004" w:rsidRPr="00667DA4">
        <w:rPr>
          <w:rFonts w:cs="Arial"/>
          <w:shd w:val="clear" w:color="auto" w:fill="FFFFFF"/>
        </w:rPr>
        <w:t xml:space="preserve">seen </w:t>
      </w:r>
      <w:r w:rsidR="001F41D8" w:rsidRPr="00667DA4">
        <w:rPr>
          <w:rFonts w:cs="Arial"/>
          <w:shd w:val="clear" w:color="auto" w:fill="FFFFFF"/>
        </w:rPr>
        <w:t xml:space="preserve">amongst HRT users </w:t>
      </w:r>
      <w:r w:rsidR="00704004" w:rsidRPr="00667DA4">
        <w:rPr>
          <w:rFonts w:cs="Arial"/>
          <w:shd w:val="clear" w:color="auto" w:fill="FFFFFF"/>
        </w:rPr>
        <w:t xml:space="preserve">in a recent large </w:t>
      </w:r>
      <w:r w:rsidR="00E969DA" w:rsidRPr="00667DA4">
        <w:rPr>
          <w:rFonts w:cs="Arial"/>
          <w:shd w:val="clear" w:color="auto" w:fill="FFFFFF"/>
        </w:rPr>
        <w:t xml:space="preserve">retrospective </w:t>
      </w:r>
      <w:r w:rsidR="00704004" w:rsidRPr="00667DA4">
        <w:rPr>
          <w:rFonts w:cs="Arial"/>
          <w:shd w:val="clear" w:color="auto" w:fill="FFFFFF"/>
        </w:rPr>
        <w:t xml:space="preserve">cohort study </w:t>
      </w:r>
      <w:r w:rsidR="00704004" w:rsidRPr="00667DA4">
        <w:rPr>
          <w:rFonts w:cs="Arial"/>
          <w:shd w:val="clear" w:color="auto" w:fill="FFFFFF"/>
        </w:rPr>
        <w:lastRenderedPageBreak/>
        <w:fldChar w:fldCharType="begin" w:fldLock="1"/>
      </w:r>
      <w:r w:rsidR="00704004" w:rsidRPr="00667DA4">
        <w:rPr>
          <w:rFonts w:cs="Arial"/>
          <w:shd w:val="clear" w:color="auto" w:fill="FFFFFF"/>
        </w:rPr>
        <w:instrText>ADDIN CSL_CITATION {"citationItems":[{"id":"ITEM-1","itemData":{"DOI":"10.1371/journal.pone.0257051","ISSN":"1932-6203","abstract":"It has been widely observed that adult men of all ages are at higher risk of developing serious complications from COVID-19 when compared with women. This study aimed to investigate the association of COVID-19 positivity and severity with estrogen exposure in women, in a population based matched cohort study of female users of the COVID Symptom Study application in the UK. Analyses included 152,637 women for menopausal status, 295,689 women for exogenous estrogen intake in the form of the combined oral contraceptive pill (COCP), and 151,193 menopausal women for hormone replacement therapy (HRT). Data were collected using the COVID Symptom Study in May-June 2020. Analyses investigated associations between predicted or tested COVID-19 status and menopausal status, COCP use, and HRT use, adjusting for age, smoking and BMI, with follow-up age sensitivity analysis, and validation in a subset of participants from the TwinsUK cohort. Menopausal women had higher rates of predicted COVID-19 (P = 0.003). COCP-users had lower rates of predicted COVID-19 (P = 8.03E-05), with reduction in hospital attendance (P = 0.023). Menopausal women using HRT or hormonal therapies did not exhibit consistent associations, including increased rates of predicted COVID-19 (P = 2.22E-05) for HRT users alone. The findings support a protective effect of estrogen exposure on COVID-19, based on positive association between predicted COVID-19 with menopausal status, and negative association with COCP use. HRT use was positively associated with COVID-19, but the results should be considered with caution due to lack of data on HRT type, route of administration, duration of treatment, and potential unaccounted for confounders and comorbidities.","author":[{"dropping-particle":"","family":"Costeira","given":"Ricardo","non-dropping-particle":"","parse-names":false,"suffix":""},{"dropping-particle":"","family":"Lee","given":"Karla A.","non-dropping-particle":"","parse-names":false,"suffix":""},{"dropping-particle":"","family":"Murray","given":"Benjamin","non-dropping-particle":"","parse-names":false,"suffix":""},{"dropping-particle":"","family":"Christiansen","given":"Colette","non-dropping-particle":"","parse-names":false,"suffix":""},{"dropping-particle":"","family":"Castillo-Fernandez","given":"Juan","non-dropping-particle":"","parse-names":false,"suffix":""},{"dropping-particle":"","family":"Ni Lochlainn","given":"Mary","non-dropping-particle":"","parse-names":false,"suffix":""},{"dropping-particle":"","family":"Capdevila Pujol","given":"Joan","non-dropping-particle":"","parse-names":false,"suffix":""},{"dropping-particle":"","family":"Macfarlane","given":"Heather","non-dropping-particle":"","parse-names":false,"suffix":""},{"dropping-particle":"","family":"Kenny","given":"Louise C.","non-dropping-particle":"","parse-names":false,"suffix":""},{"dropping-particle":"","family":"Buchan","given":"Iain","non-dropping-particle":"","parse-names":false,"suffix":""},{"dropping-particle":"","family":"Wolf","given":"Jonathan","non-dropping-particle":"","parse-names":false,"suffix":""},{"dropping-particle":"","family":"Rymer","given":"Janice","non-dropping-particle":"","parse-names":false,"suffix":""},{"dropping-particle":"","family":"Ourselin","given":"Sebastien","non-dropping-particle":"","parse-names":false,"suffix":""},{"dropping-particle":"","family":"Steves","given":"Claire J.","non-dropping-particle":"","parse-names":false,"suffix":""},{"dropping-particle":"","family":"Spector","given":"Timothy D.","non-dropping-particle":"","parse-names":false,"suffix":""},{"dropping-particle":"","family":"Newson","given":"Louise R.","non-dropping-particle":"","parse-names":false,"suffix":""},{"dropping-particle":"","family":"Bell","given":"Jordana T.","non-dropping-particle":"","parse-names":false,"suffix":""}],"container-title":"PLOS ONE","editor":[{"dropping-particle":"","family":"Mullins","given":"Edward","non-dropping-particle":"","parse-names":false,"suffix":""}],"id":"ITEM-1","issue":"9","issued":{"date-parts":[["2021","9","10"]]},"page":"e0257051","title":"Estrogen and COVID-19 symptoms: Associations in women from the COVID Symptom Study","type":"article-journal","volume":"16"},"uris":["http://www.mendeley.com/documents/?uuid=1597fa8b-994c-44a5-bd12-7de21e4adf86"]}],"mendeley":{"formattedCitation":"[7]","plainTextFormattedCitation":"[7]","previouslyFormattedCitation":"[7]"},"properties":{"noteIndex":0},"schema":"https://github.com/citation-style-language/schema/raw/master/csl-citation.json"}</w:instrText>
      </w:r>
      <w:r w:rsidR="00704004" w:rsidRPr="00667DA4">
        <w:rPr>
          <w:rFonts w:cs="Arial"/>
          <w:shd w:val="clear" w:color="auto" w:fill="FFFFFF"/>
        </w:rPr>
        <w:fldChar w:fldCharType="separate"/>
      </w:r>
      <w:r w:rsidR="00704004" w:rsidRPr="00667DA4">
        <w:rPr>
          <w:rFonts w:cs="Arial"/>
          <w:noProof/>
          <w:shd w:val="clear" w:color="auto" w:fill="FFFFFF"/>
        </w:rPr>
        <w:t>[7]</w:t>
      </w:r>
      <w:r w:rsidR="00704004" w:rsidRPr="00667DA4">
        <w:rPr>
          <w:rFonts w:cs="Arial"/>
          <w:shd w:val="clear" w:color="auto" w:fill="FFFFFF"/>
        </w:rPr>
        <w:fldChar w:fldCharType="end"/>
      </w:r>
      <w:r w:rsidR="005066A0" w:rsidRPr="00667DA4">
        <w:rPr>
          <w:rFonts w:cs="Arial"/>
          <w:shd w:val="clear" w:color="auto" w:fill="FFFFFF"/>
        </w:rPr>
        <w:t xml:space="preserve">, </w:t>
      </w:r>
      <w:r w:rsidR="00E969DA" w:rsidRPr="00667DA4">
        <w:rPr>
          <w:rFonts w:cs="Arial"/>
          <w:shd w:val="clear" w:color="auto" w:fill="FFFFFF"/>
        </w:rPr>
        <w:t xml:space="preserve">however </w:t>
      </w:r>
      <w:r w:rsidR="009363C4" w:rsidRPr="00667DA4">
        <w:rPr>
          <w:rFonts w:cs="Arial"/>
          <w:shd w:val="clear" w:color="auto" w:fill="FFFFFF"/>
        </w:rPr>
        <w:t>a</w:t>
      </w:r>
      <w:r w:rsidR="00BE54B2" w:rsidRPr="00667DA4">
        <w:rPr>
          <w:rFonts w:cs="Arial"/>
          <w:shd w:val="clear" w:color="auto" w:fill="FFFFFF"/>
        </w:rPr>
        <w:t>nother</w:t>
      </w:r>
      <w:r w:rsidR="009363C4" w:rsidRPr="00667DA4">
        <w:rPr>
          <w:rFonts w:cs="Arial"/>
          <w:shd w:val="clear" w:color="auto" w:fill="FFFFFF"/>
        </w:rPr>
        <w:t xml:space="preserve"> recent cohort study </w:t>
      </w:r>
      <w:r w:rsidR="00652BFA" w:rsidRPr="00667DA4">
        <w:rPr>
          <w:rFonts w:cs="Arial"/>
          <w:shd w:val="clear" w:color="auto" w:fill="FFFFFF"/>
        </w:rPr>
        <w:t>d</w:t>
      </w:r>
      <w:r w:rsidR="00F623C1" w:rsidRPr="00667DA4">
        <w:rPr>
          <w:rFonts w:cs="Arial"/>
          <w:shd w:val="clear" w:color="auto" w:fill="FFFFFF"/>
        </w:rPr>
        <w:t xml:space="preserve">emonstrated </w:t>
      </w:r>
      <w:r w:rsidR="00C77ECB" w:rsidRPr="00667DA4">
        <w:rPr>
          <w:rFonts w:cs="Arial"/>
          <w:shd w:val="clear" w:color="auto" w:fill="FFFFFF"/>
        </w:rPr>
        <w:t xml:space="preserve">a significant reduction in mortality amongst women &gt;50 years-of-age receiving </w:t>
      </w:r>
      <w:r w:rsidR="0043626F" w:rsidRPr="00667DA4">
        <w:rPr>
          <w:rFonts w:cs="Arial"/>
          <w:shd w:val="clear" w:color="auto" w:fill="FFFFFF"/>
        </w:rPr>
        <w:t xml:space="preserve">estradiol therapy </w:t>
      </w:r>
      <w:r w:rsidR="00652BFA" w:rsidRPr="00667DA4">
        <w:rPr>
          <w:rFonts w:cs="Arial"/>
          <w:shd w:val="clear" w:color="auto" w:fill="FFFFFF"/>
        </w:rPr>
        <w:t xml:space="preserve"> </w:t>
      </w:r>
      <w:r w:rsidR="00F4022F" w:rsidRPr="00667DA4">
        <w:rPr>
          <w:rFonts w:cs="Arial"/>
          <w:shd w:val="clear" w:color="auto" w:fill="FFFFFF"/>
        </w:rPr>
        <w:t>(OR 0.33, 95% CI 0.18-0.62)</w:t>
      </w:r>
      <w:r w:rsidR="00E7030F" w:rsidRPr="00667DA4">
        <w:rPr>
          <w:rFonts w:cs="Arial"/>
          <w:shd w:val="clear" w:color="auto" w:fill="FFFFFF"/>
        </w:rPr>
        <w:t xml:space="preserve"> </w:t>
      </w:r>
      <w:r w:rsidR="00577C0F" w:rsidRPr="00667DA4">
        <w:rPr>
          <w:rFonts w:cs="Arial"/>
          <w:shd w:val="clear" w:color="auto" w:fill="FFFFFF"/>
        </w:rPr>
        <w:fldChar w:fldCharType="begin" w:fldLock="1"/>
      </w:r>
      <w:r w:rsidR="005E4FFF" w:rsidRPr="00667DA4">
        <w:rPr>
          <w:rFonts w:cs="Arial"/>
          <w:shd w:val="clear" w:color="auto" w:fill="FFFFFF"/>
        </w:rPr>
        <w:instrText>ADDIN CSL_CITATION {"citationItems":[{"id":"ITEM-1","itemData":{"DOI":"10.1186/s12916-020-01851-z","ISSN":"1741-7015","author":[{"dropping-particle":"","family":"Seeland","given":"Ute","non-dropping-particle":"","parse-names":false,"suffix":""},{"dropping-particle":"","family":"Coluzzi","given":"Flaminia","non-dropping-particle":"","parse-names":false,"suffix":""},{"dropping-particle":"","family":"Simmaco","given":"Maurizio","non-dropping-particle":"","parse-names":false,"suffix":""},{"dropping-particle":"","family":"Mura","given":"Cameron","non-dropping-particle":"","parse-names":false,"suffix":""},{"dropping-particle":"","family":"Bourne","given":"Philip E.","non-dropping-particle":"","parse-names":false,"suffix":""},{"dropping-particle":"","family":"Heiland","given":"Max","non-dropping-particle":"","parse-names":false,"suffix":""},{"dropping-particle":"","family":"Preissner","given":"Robert","non-dropping-particle":"","parse-names":false,"suffix":""},{"dropping-particle":"","family":"Preissner","given":"Saskia","non-dropping-particle":"","parse-names":false,"suffix":""}],"container-title":"BMC Medicine","id":"ITEM-1","issue":"1","issued":{"date-parts":[["2020","12","25"]]},"page":"369","title":"Evidence for treatment with estradiol for women with SARS-CoV-2 infection","type":"article-journal","volume":"18"},"uris":["http://www.mendeley.com/documents/?uuid=67d316a8-aaf7-4192-98f8-ad71da7dfd22"]}],"mendeley":{"formattedCitation":"[9]","plainTextFormattedCitation":"[9]","previouslyFormattedCitation":"[9]"},"properties":{"noteIndex":0},"schema":"https://github.com/citation-style-language/schema/raw/master/csl-citation.json"}</w:instrText>
      </w:r>
      <w:r w:rsidR="00577C0F" w:rsidRPr="00667DA4">
        <w:rPr>
          <w:rFonts w:cs="Arial"/>
          <w:shd w:val="clear" w:color="auto" w:fill="FFFFFF"/>
        </w:rPr>
        <w:fldChar w:fldCharType="separate"/>
      </w:r>
      <w:r w:rsidR="00577C0F" w:rsidRPr="00667DA4">
        <w:rPr>
          <w:rFonts w:cs="Arial"/>
          <w:noProof/>
          <w:shd w:val="clear" w:color="auto" w:fill="FFFFFF"/>
        </w:rPr>
        <w:t>[9]</w:t>
      </w:r>
      <w:r w:rsidR="00577C0F" w:rsidRPr="00667DA4">
        <w:rPr>
          <w:rFonts w:cs="Arial"/>
          <w:shd w:val="clear" w:color="auto" w:fill="FFFFFF"/>
        </w:rPr>
        <w:fldChar w:fldCharType="end"/>
      </w:r>
      <w:r w:rsidR="00F4022F" w:rsidRPr="00667DA4">
        <w:rPr>
          <w:rFonts w:cs="Arial"/>
          <w:shd w:val="clear" w:color="auto" w:fill="FFFFFF"/>
        </w:rPr>
        <w:t xml:space="preserve">. </w:t>
      </w:r>
    </w:p>
    <w:p w14:paraId="249E420F" w14:textId="041325A1" w:rsidR="00410E31" w:rsidRPr="00667DA4" w:rsidRDefault="008E6F79" w:rsidP="00FE5251">
      <w:pPr>
        <w:spacing w:line="480" w:lineRule="auto"/>
        <w:jc w:val="both"/>
        <w:rPr>
          <w:rFonts w:cs="Arial"/>
          <w:shd w:val="clear" w:color="auto" w:fill="FFFFFF"/>
        </w:rPr>
      </w:pPr>
      <w:r w:rsidRPr="00667DA4">
        <w:rPr>
          <w:rFonts w:cs="Arial"/>
          <w:shd w:val="clear" w:color="auto" w:fill="FFFFFF"/>
        </w:rPr>
        <w:t>Th</w:t>
      </w:r>
      <w:r w:rsidR="002954F1" w:rsidRPr="00667DA4">
        <w:rPr>
          <w:rFonts w:cs="Arial"/>
          <w:shd w:val="clear" w:color="auto" w:fill="FFFFFF"/>
        </w:rPr>
        <w:t>e</w:t>
      </w:r>
      <w:r w:rsidR="002D4C14" w:rsidRPr="00667DA4">
        <w:rPr>
          <w:rFonts w:cs="Arial"/>
          <w:shd w:val="clear" w:color="auto" w:fill="FFFFFF"/>
        </w:rPr>
        <w:t xml:space="preserve"> </w:t>
      </w:r>
      <w:r w:rsidRPr="00667DA4">
        <w:rPr>
          <w:rFonts w:cs="Arial"/>
          <w:shd w:val="clear" w:color="auto" w:fill="FFFFFF"/>
        </w:rPr>
        <w:t xml:space="preserve">potential </w:t>
      </w:r>
      <w:r w:rsidR="00145291" w:rsidRPr="00667DA4">
        <w:rPr>
          <w:rFonts w:cs="Arial"/>
          <w:shd w:val="clear" w:color="auto" w:fill="FFFFFF"/>
        </w:rPr>
        <w:t xml:space="preserve">protective </w:t>
      </w:r>
      <w:r w:rsidRPr="00667DA4">
        <w:rPr>
          <w:rFonts w:cs="Arial"/>
          <w:shd w:val="clear" w:color="auto" w:fill="FFFFFF"/>
        </w:rPr>
        <w:t>effect</w:t>
      </w:r>
      <w:r w:rsidR="002954F1" w:rsidRPr="00667DA4">
        <w:rPr>
          <w:rFonts w:cs="Arial"/>
          <w:shd w:val="clear" w:color="auto" w:fill="FFFFFF"/>
        </w:rPr>
        <w:t>s</w:t>
      </w:r>
      <w:r w:rsidRPr="00667DA4">
        <w:rPr>
          <w:rFonts w:cs="Arial"/>
          <w:shd w:val="clear" w:color="auto" w:fill="FFFFFF"/>
        </w:rPr>
        <w:t xml:space="preserve"> of oestrogen </w:t>
      </w:r>
      <w:r w:rsidR="00145291" w:rsidRPr="00667DA4">
        <w:rPr>
          <w:rFonts w:cs="Arial"/>
          <w:shd w:val="clear" w:color="auto" w:fill="FFFFFF"/>
        </w:rPr>
        <w:t xml:space="preserve">on the severity of COVID-19 </w:t>
      </w:r>
      <w:r w:rsidR="002954F1" w:rsidRPr="00667DA4">
        <w:rPr>
          <w:rFonts w:cs="Arial"/>
          <w:shd w:val="clear" w:color="auto" w:fill="FFFFFF"/>
        </w:rPr>
        <w:t>ha</w:t>
      </w:r>
      <w:r w:rsidR="002D4C14" w:rsidRPr="00667DA4">
        <w:rPr>
          <w:rFonts w:cs="Arial"/>
          <w:shd w:val="clear" w:color="auto" w:fill="FFFFFF"/>
        </w:rPr>
        <w:t>s</w:t>
      </w:r>
      <w:r w:rsidR="002954F1" w:rsidRPr="00667DA4">
        <w:rPr>
          <w:rFonts w:cs="Arial"/>
          <w:shd w:val="clear" w:color="auto" w:fill="FFFFFF"/>
        </w:rPr>
        <w:t xml:space="preserve"> important public health and clinical relevance</w:t>
      </w:r>
      <w:r w:rsidR="00DF548D" w:rsidRPr="00667DA4">
        <w:rPr>
          <w:rFonts w:cs="Arial"/>
          <w:shd w:val="clear" w:color="auto" w:fill="FFFFFF"/>
        </w:rPr>
        <w:t>.</w:t>
      </w:r>
      <w:r w:rsidR="00476EFF" w:rsidRPr="00667DA4">
        <w:rPr>
          <w:rFonts w:cs="Arial"/>
          <w:shd w:val="clear" w:color="auto" w:fill="FFFFFF"/>
        </w:rPr>
        <w:t xml:space="preserve"> </w:t>
      </w:r>
      <w:r w:rsidR="009963CE" w:rsidRPr="00667DA4">
        <w:rPr>
          <w:rFonts w:cs="Arial"/>
          <w:shd w:val="clear" w:color="auto" w:fill="FFFFFF"/>
        </w:rPr>
        <w:t>With the lack</w:t>
      </w:r>
      <w:r w:rsidR="00145291" w:rsidRPr="00667DA4">
        <w:rPr>
          <w:rFonts w:cs="Arial"/>
          <w:shd w:val="clear" w:color="auto" w:fill="FFFFFF"/>
        </w:rPr>
        <w:t xml:space="preserve"> of curative treatment for</w:t>
      </w:r>
      <w:r w:rsidR="002954F1" w:rsidRPr="00667DA4">
        <w:rPr>
          <w:rFonts w:cs="Arial"/>
          <w:shd w:val="clear" w:color="auto" w:fill="FFFFFF"/>
        </w:rPr>
        <w:t xml:space="preserve"> the infection</w:t>
      </w:r>
      <w:r w:rsidR="00DF548D" w:rsidRPr="00667DA4">
        <w:rPr>
          <w:rFonts w:cs="Arial"/>
          <w:shd w:val="clear" w:color="auto" w:fill="FFFFFF"/>
        </w:rPr>
        <w:t>, repurposing of existing drugs including exogenous oestrogen products</w:t>
      </w:r>
      <w:r w:rsidR="002D4C14" w:rsidRPr="00667DA4">
        <w:rPr>
          <w:rFonts w:cs="Arial"/>
          <w:shd w:val="clear" w:color="auto" w:fill="FFFFFF"/>
        </w:rPr>
        <w:t xml:space="preserve"> requires </w:t>
      </w:r>
      <w:r w:rsidR="002F5050" w:rsidRPr="00667DA4">
        <w:rPr>
          <w:rFonts w:cs="Arial"/>
          <w:shd w:val="clear" w:color="auto" w:fill="FFFFFF"/>
        </w:rPr>
        <w:t xml:space="preserve">further </w:t>
      </w:r>
      <w:r w:rsidR="002D4C14" w:rsidRPr="00667DA4">
        <w:rPr>
          <w:rFonts w:cs="Arial"/>
          <w:shd w:val="clear" w:color="auto" w:fill="FFFFFF"/>
        </w:rPr>
        <w:t xml:space="preserve">investigation. </w:t>
      </w:r>
      <w:r w:rsidR="005B5E67" w:rsidRPr="00667DA4">
        <w:rPr>
          <w:rFonts w:cs="Arial"/>
          <w:shd w:val="clear" w:color="auto" w:fill="FFFFFF"/>
        </w:rPr>
        <w:t>Considering public and prescriber concern, i</w:t>
      </w:r>
      <w:r w:rsidR="002D4C14" w:rsidRPr="00667DA4">
        <w:rPr>
          <w:rFonts w:cs="Arial"/>
          <w:shd w:val="clear" w:color="auto" w:fill="FFFFFF"/>
        </w:rPr>
        <w:t xml:space="preserve">t is necessary to </w:t>
      </w:r>
      <w:r w:rsidR="00E56C98" w:rsidRPr="00667DA4">
        <w:rPr>
          <w:rFonts w:cs="Arial"/>
          <w:shd w:val="clear" w:color="auto" w:fill="FFFFFF"/>
        </w:rPr>
        <w:t xml:space="preserve">better </w:t>
      </w:r>
      <w:r w:rsidR="002D4C14" w:rsidRPr="00667DA4">
        <w:rPr>
          <w:rFonts w:cs="Arial"/>
          <w:shd w:val="clear" w:color="auto" w:fill="FFFFFF"/>
        </w:rPr>
        <w:t xml:space="preserve">understand the potential </w:t>
      </w:r>
      <w:r w:rsidR="002954F1" w:rsidRPr="00667DA4">
        <w:rPr>
          <w:rFonts w:cs="Arial"/>
          <w:shd w:val="clear" w:color="auto" w:fill="FFFFFF"/>
        </w:rPr>
        <w:t>impact</w:t>
      </w:r>
      <w:r w:rsidR="00DF548D" w:rsidRPr="00667DA4">
        <w:rPr>
          <w:rFonts w:cs="Arial"/>
          <w:shd w:val="clear" w:color="auto" w:fill="FFFFFF"/>
        </w:rPr>
        <w:t xml:space="preserve"> </w:t>
      </w:r>
      <w:r w:rsidR="002D4C14" w:rsidRPr="00667DA4">
        <w:rPr>
          <w:rFonts w:cs="Arial"/>
          <w:shd w:val="clear" w:color="auto" w:fill="FFFFFF"/>
        </w:rPr>
        <w:t xml:space="preserve">of these drugs </w:t>
      </w:r>
      <w:r w:rsidR="00DF548D" w:rsidRPr="00667DA4">
        <w:rPr>
          <w:rFonts w:cs="Arial"/>
          <w:shd w:val="clear" w:color="auto" w:fill="FFFFFF"/>
        </w:rPr>
        <w:t xml:space="preserve">for </w:t>
      </w:r>
      <w:r w:rsidR="005B3025" w:rsidRPr="00667DA4">
        <w:rPr>
          <w:rFonts w:cs="Arial"/>
          <w:shd w:val="clear" w:color="auto" w:fill="FFFFFF"/>
        </w:rPr>
        <w:t xml:space="preserve">women </w:t>
      </w:r>
      <w:r w:rsidR="002D4C14" w:rsidRPr="00667DA4">
        <w:rPr>
          <w:rFonts w:cs="Arial"/>
          <w:shd w:val="clear" w:color="auto" w:fill="FFFFFF"/>
        </w:rPr>
        <w:t>taking them</w:t>
      </w:r>
      <w:r w:rsidR="005B5E67" w:rsidRPr="00667DA4">
        <w:rPr>
          <w:rFonts w:cs="Arial"/>
          <w:shd w:val="clear" w:color="auto" w:fill="FFFFFF"/>
        </w:rPr>
        <w:t>.</w:t>
      </w:r>
    </w:p>
    <w:p w14:paraId="5218D364" w14:textId="35C5AD1A" w:rsidR="00E04BCA" w:rsidRPr="00667DA4" w:rsidRDefault="005B5E67" w:rsidP="00FE5251">
      <w:pPr>
        <w:spacing w:line="480" w:lineRule="auto"/>
        <w:jc w:val="both"/>
        <w:rPr>
          <w:rFonts w:cs="Arial"/>
          <w:shd w:val="clear" w:color="auto" w:fill="FFFFFF"/>
        </w:rPr>
      </w:pPr>
      <w:r w:rsidRPr="00667DA4">
        <w:rPr>
          <w:rFonts w:cs="Arial"/>
          <w:shd w:val="clear" w:color="auto" w:fill="FFFFFF"/>
        </w:rPr>
        <w:t>In this study</w:t>
      </w:r>
      <w:r w:rsidR="005557E0" w:rsidRPr="00667DA4">
        <w:rPr>
          <w:rFonts w:cs="Arial"/>
          <w:shd w:val="clear" w:color="auto" w:fill="FFFFFF"/>
        </w:rPr>
        <w:t>,</w:t>
      </w:r>
      <w:r w:rsidR="002C559E" w:rsidRPr="00667DA4">
        <w:rPr>
          <w:rFonts w:cs="Arial"/>
          <w:shd w:val="clear" w:color="auto" w:fill="FFFFFF"/>
        </w:rPr>
        <w:t xml:space="preserve"> </w:t>
      </w:r>
      <w:r w:rsidR="005557E0" w:rsidRPr="00667DA4">
        <w:rPr>
          <w:rFonts w:cs="Arial"/>
          <w:shd w:val="clear" w:color="auto" w:fill="FFFFFF"/>
        </w:rPr>
        <w:t xml:space="preserve">we </w:t>
      </w:r>
      <w:r w:rsidRPr="00667DA4">
        <w:rPr>
          <w:rFonts w:cs="Arial"/>
          <w:shd w:val="clear" w:color="auto" w:fill="FFFFFF"/>
        </w:rPr>
        <w:t xml:space="preserve">set out to </w:t>
      </w:r>
      <w:r w:rsidR="006605E5" w:rsidRPr="00667DA4">
        <w:rPr>
          <w:rFonts w:cs="Arial"/>
          <w:shd w:val="clear" w:color="auto" w:fill="FFFFFF"/>
        </w:rPr>
        <w:t>quantif</w:t>
      </w:r>
      <w:r w:rsidRPr="00667DA4">
        <w:rPr>
          <w:rFonts w:cs="Arial"/>
          <w:shd w:val="clear" w:color="auto" w:fill="FFFFFF"/>
        </w:rPr>
        <w:t>y</w:t>
      </w:r>
      <w:r w:rsidR="006605E5" w:rsidRPr="00667DA4">
        <w:rPr>
          <w:rFonts w:cs="Arial"/>
          <w:shd w:val="clear" w:color="auto" w:fill="FFFFFF"/>
        </w:rPr>
        <w:t xml:space="preserve"> the</w:t>
      </w:r>
      <w:r w:rsidR="006605E5" w:rsidRPr="00667DA4">
        <w:rPr>
          <w:rFonts w:eastAsia="Arial" w:cs="Arial"/>
        </w:rPr>
        <w:t xml:space="preserve"> association between</w:t>
      </w:r>
      <w:r w:rsidR="006605E5" w:rsidRPr="00667DA4">
        <w:rPr>
          <w:rFonts w:cs="Arial"/>
        </w:rPr>
        <w:t xml:space="preserve"> COCP</w:t>
      </w:r>
      <w:r w:rsidR="002D4C14" w:rsidRPr="00667DA4">
        <w:rPr>
          <w:rFonts w:cs="Arial"/>
        </w:rPr>
        <w:t xml:space="preserve"> or </w:t>
      </w:r>
      <w:r w:rsidR="006605E5" w:rsidRPr="00667DA4">
        <w:rPr>
          <w:rFonts w:cs="Arial"/>
          <w:shd w:val="clear" w:color="auto" w:fill="FFFFFF"/>
        </w:rPr>
        <w:t>HRT use</w:t>
      </w:r>
      <w:r w:rsidRPr="00667DA4">
        <w:rPr>
          <w:rFonts w:cs="Arial"/>
          <w:shd w:val="clear" w:color="auto" w:fill="FFFFFF"/>
        </w:rPr>
        <w:t>,</w:t>
      </w:r>
      <w:r w:rsidR="006605E5" w:rsidRPr="00667DA4">
        <w:rPr>
          <w:rFonts w:cs="Arial"/>
        </w:rPr>
        <w:t xml:space="preserve"> and the </w:t>
      </w:r>
      <w:r w:rsidR="00043589" w:rsidRPr="00667DA4">
        <w:rPr>
          <w:rFonts w:cs="Arial"/>
        </w:rPr>
        <w:t xml:space="preserve">likelihood </w:t>
      </w:r>
      <w:r w:rsidR="006605E5" w:rsidRPr="00667DA4">
        <w:rPr>
          <w:rFonts w:cs="Arial"/>
        </w:rPr>
        <w:t>of</w:t>
      </w:r>
      <w:r w:rsidR="002D4C14" w:rsidRPr="00667DA4">
        <w:rPr>
          <w:rFonts w:cs="Arial"/>
        </w:rPr>
        <w:t xml:space="preserve"> mortality</w:t>
      </w:r>
      <w:r w:rsidRPr="00667DA4">
        <w:rPr>
          <w:rFonts w:cs="Arial"/>
        </w:rPr>
        <w:t>,</w:t>
      </w:r>
      <w:r w:rsidR="002D4C14" w:rsidRPr="00667DA4">
        <w:rPr>
          <w:rFonts w:cs="Arial"/>
        </w:rPr>
        <w:t xml:space="preserve"> </w:t>
      </w:r>
      <w:r w:rsidR="006605E5" w:rsidRPr="00667DA4">
        <w:rPr>
          <w:rFonts w:cs="Arial"/>
        </w:rPr>
        <w:t xml:space="preserve">amongst females with COVID-19 during the first six months of the </w:t>
      </w:r>
      <w:r w:rsidR="005557E0" w:rsidRPr="00667DA4">
        <w:rPr>
          <w:rFonts w:cs="Arial"/>
        </w:rPr>
        <w:t>pandemic</w:t>
      </w:r>
      <w:r w:rsidR="005B3025" w:rsidRPr="00667DA4">
        <w:rPr>
          <w:rFonts w:cs="Arial"/>
        </w:rPr>
        <w:t>.</w:t>
      </w:r>
    </w:p>
    <w:p w14:paraId="42DF23F2" w14:textId="19658C8D" w:rsidR="000A139C" w:rsidRPr="00667DA4" w:rsidRDefault="000A139C" w:rsidP="00FE5251">
      <w:pPr>
        <w:spacing w:line="480" w:lineRule="auto"/>
        <w:jc w:val="both"/>
        <w:rPr>
          <w:rFonts w:cs="Arial"/>
          <w:shd w:val="clear" w:color="auto" w:fill="FFFFFF"/>
        </w:rPr>
      </w:pPr>
    </w:p>
    <w:p w14:paraId="67CDC72D" w14:textId="5C5EEDE6" w:rsidR="000A139C" w:rsidRPr="00667DA4" w:rsidRDefault="000A139C" w:rsidP="00FE5251">
      <w:pPr>
        <w:spacing w:line="480" w:lineRule="auto"/>
        <w:jc w:val="both"/>
        <w:rPr>
          <w:rFonts w:cs="Arial"/>
          <w:shd w:val="clear" w:color="auto" w:fill="FFFFFF"/>
        </w:rPr>
      </w:pPr>
    </w:p>
    <w:p w14:paraId="40D9879E" w14:textId="77777777" w:rsidR="000A139C" w:rsidRPr="00667DA4" w:rsidRDefault="000A139C" w:rsidP="00FE5251">
      <w:pPr>
        <w:spacing w:line="480" w:lineRule="auto"/>
        <w:jc w:val="both"/>
        <w:rPr>
          <w:rFonts w:cs="Arial"/>
          <w:shd w:val="clear" w:color="auto" w:fill="FFFFFF"/>
        </w:rPr>
      </w:pPr>
    </w:p>
    <w:p w14:paraId="3B19BC18" w14:textId="3000845F" w:rsidR="00E67147" w:rsidRPr="00667DA4" w:rsidRDefault="0009093A" w:rsidP="00FE5251">
      <w:pPr>
        <w:spacing w:line="480" w:lineRule="auto"/>
        <w:jc w:val="both"/>
        <w:rPr>
          <w:rFonts w:cs="Arial"/>
          <w:b/>
          <w:bCs/>
          <w:u w:val="single"/>
        </w:rPr>
      </w:pPr>
      <w:r w:rsidRPr="00667DA4">
        <w:rPr>
          <w:rFonts w:cs="Arial"/>
          <w:b/>
          <w:bCs/>
          <w:u w:val="single"/>
        </w:rPr>
        <w:br w:type="column"/>
      </w:r>
      <w:r w:rsidR="00E67147" w:rsidRPr="00667DA4">
        <w:rPr>
          <w:rFonts w:cs="Arial"/>
          <w:b/>
          <w:bCs/>
          <w:u w:val="single"/>
        </w:rPr>
        <w:lastRenderedPageBreak/>
        <w:t>METHODS</w:t>
      </w:r>
    </w:p>
    <w:p w14:paraId="3FDCF2FE" w14:textId="2587E5BC" w:rsidR="00FB4390" w:rsidRPr="00667DA4" w:rsidRDefault="00FB4390" w:rsidP="00FE5251">
      <w:pPr>
        <w:spacing w:line="480" w:lineRule="auto"/>
        <w:jc w:val="both"/>
        <w:rPr>
          <w:rFonts w:cs="Arial"/>
          <w:i/>
          <w:iCs/>
        </w:rPr>
      </w:pPr>
      <w:r w:rsidRPr="00667DA4">
        <w:rPr>
          <w:rFonts w:cs="Arial"/>
          <w:i/>
          <w:iCs/>
        </w:rPr>
        <w:t>Study design, data source and population</w:t>
      </w:r>
    </w:p>
    <w:p w14:paraId="0708A9DA" w14:textId="05BE4441" w:rsidR="002629DC" w:rsidRPr="00667DA4" w:rsidRDefault="0037097E" w:rsidP="00FE5251">
      <w:pPr>
        <w:autoSpaceDE w:val="0"/>
        <w:autoSpaceDN w:val="0"/>
        <w:adjustRightInd w:val="0"/>
        <w:spacing w:line="480" w:lineRule="auto"/>
        <w:jc w:val="both"/>
        <w:rPr>
          <w:rFonts w:cs="Arial"/>
        </w:rPr>
      </w:pPr>
      <w:r w:rsidRPr="00667DA4">
        <w:rPr>
          <w:rFonts w:cs="Arial"/>
          <w:shd w:val="clear" w:color="auto" w:fill="FFFFFF"/>
        </w:rPr>
        <w:t xml:space="preserve">In this retrospective cohort study, we </w:t>
      </w:r>
      <w:r w:rsidR="00430759" w:rsidRPr="00667DA4">
        <w:rPr>
          <w:rFonts w:cs="Arial"/>
          <w:shd w:val="clear" w:color="auto" w:fill="FFFFFF"/>
        </w:rPr>
        <w:t>us</w:t>
      </w:r>
      <w:r w:rsidRPr="00667DA4">
        <w:rPr>
          <w:rFonts w:cs="Arial"/>
          <w:shd w:val="clear" w:color="auto" w:fill="FFFFFF"/>
        </w:rPr>
        <w:t>ed</w:t>
      </w:r>
      <w:r w:rsidR="00430759" w:rsidRPr="00667DA4">
        <w:rPr>
          <w:rFonts w:cs="Arial"/>
          <w:shd w:val="clear" w:color="auto" w:fill="FFFFFF"/>
        </w:rPr>
        <w:t xml:space="preserve"> the</w:t>
      </w:r>
      <w:r w:rsidR="00430759" w:rsidRPr="00667DA4">
        <w:rPr>
          <w:rFonts w:cs="Arial"/>
        </w:rPr>
        <w:t xml:space="preserve"> Oxford-Royal College of General Practitioners (RCGP) </w:t>
      </w:r>
      <w:r w:rsidR="00430759" w:rsidRPr="00667DA4">
        <w:rPr>
          <w:rFonts w:cs="Arial"/>
          <w:shd w:val="clear" w:color="auto" w:fill="FFFFFF"/>
        </w:rPr>
        <w:t xml:space="preserve">Research and Surveillance Centre (RSC) </w:t>
      </w:r>
      <w:r w:rsidR="00430759" w:rsidRPr="00667DA4">
        <w:rPr>
          <w:rFonts w:cs="Arial"/>
        </w:rPr>
        <w:t>database of</w:t>
      </w:r>
      <w:r w:rsidR="00E33EED" w:rsidRPr="00667DA4">
        <w:rPr>
          <w:rFonts w:cs="Arial"/>
        </w:rPr>
        <w:t xml:space="preserve"> individual</w:t>
      </w:r>
      <w:r w:rsidR="009B7BD1" w:rsidRPr="00667DA4">
        <w:rPr>
          <w:rFonts w:cs="Arial"/>
        </w:rPr>
        <w:t>-</w:t>
      </w:r>
      <w:r w:rsidR="00E33EED" w:rsidRPr="00667DA4">
        <w:rPr>
          <w:rFonts w:cs="Arial"/>
        </w:rPr>
        <w:t>level pseudonymised data that has been routinely collected from primary care records</w:t>
      </w:r>
      <w:r w:rsidR="00E33EED" w:rsidRPr="00667DA4">
        <w:rPr>
          <w:rFonts w:cs="Arial"/>
          <w:shd w:val="clear" w:color="auto" w:fill="FFFFFF"/>
        </w:rPr>
        <w:t>.</w:t>
      </w:r>
      <w:r w:rsidR="00E33EED" w:rsidRPr="00667DA4">
        <w:rPr>
          <w:rFonts w:cs="Arial"/>
          <w:shd w:val="clear" w:color="auto" w:fill="FFFFFF"/>
        </w:rPr>
        <w:fldChar w:fldCharType="begin" w:fldLock="1"/>
      </w:r>
      <w:r w:rsidR="005E4FFF" w:rsidRPr="00667DA4">
        <w:rPr>
          <w:rFonts w:cs="Arial"/>
          <w:shd w:val="clear" w:color="auto" w:fill="FFFFFF"/>
        </w:rPr>
        <w:instrText>ADDIN CSL_CITATION {"citationItems":[{"id":"ITEM-1","itemData":{"DOI":"10.3399/bjgp17X692645","ISSN":"14785242","author":[{"dropping-particle":"","family":"Lusignan","given":"Simon","non-dropping-particle":"De","parse-names":false,"suffix":""},{"dropping-particle":"","family":"Correa","given":"Ana","non-dropping-particle":"","parse-names":false,"suffix":""},{"dropping-particle":"","family":"Smith","given":"Gillian E.","non-dropping-particle":"","parse-names":false,"suffix":""},{"dropping-particle":"","family":"Yonova","given":"Ivelina","non-dropping-particle":"","parse-names":false,"suffix":""},{"dropping-particle":"","family":"Pebody","given":"Richard","non-dropping-particle":"","parse-names":false,"suffix":""},{"dropping-particle":"","family":"Ferreira","given":"Filipa","non-dropping-particle":"","parse-names":false,"suffix":""},{"dropping-particle":"","family":"Elliot","given":"Alex J.","non-dropping-particle":"","parse-names":false,"suffix":""},{"dropping-particle":"","family":"Fleming","given":"Douglas","non-dropping-particle":"","parse-names":false,"suffix":""}],"container-title":"British Journal of General Practice","id":"ITEM-1","issue":"663","issued":{"date-parts":[["2017","10"]]},"page":"440-441","publisher":"Royal College of General Practitioners","title":"RCGP Research and Surveillance Centre: 50 years' surveillance of influenza, infections, and respiratory conditions","type":"article","volume":"67"},"uris":["http://www.mendeley.com/documents/?uuid=22fa63e2-d7e7-472a-904d-2e2396448b2a"]}],"mendeley":{"formattedCitation":"[10]","plainTextFormattedCitation":"[10]","previouslyFormattedCitation":"[10]"},"properties":{"noteIndex":0},"schema":"https://github.com/citation-style-language/schema/raw/master/csl-citation.json"}</w:instrText>
      </w:r>
      <w:r w:rsidR="00E33EED" w:rsidRPr="00667DA4">
        <w:rPr>
          <w:rFonts w:cs="Arial"/>
          <w:shd w:val="clear" w:color="auto" w:fill="FFFFFF"/>
        </w:rPr>
        <w:fldChar w:fldCharType="separate"/>
      </w:r>
      <w:r w:rsidR="00577C0F" w:rsidRPr="00667DA4">
        <w:rPr>
          <w:rFonts w:cs="Arial"/>
          <w:noProof/>
          <w:shd w:val="clear" w:color="auto" w:fill="FFFFFF"/>
        </w:rPr>
        <w:t>[10]</w:t>
      </w:r>
      <w:r w:rsidR="00E33EED" w:rsidRPr="00667DA4">
        <w:rPr>
          <w:rFonts w:cs="Arial"/>
          <w:shd w:val="clear" w:color="auto" w:fill="FFFFFF"/>
        </w:rPr>
        <w:fldChar w:fldCharType="end"/>
      </w:r>
      <w:r w:rsidR="00E33EED" w:rsidRPr="00667DA4">
        <w:rPr>
          <w:rFonts w:cs="Arial"/>
          <w:shd w:val="clear" w:color="auto" w:fill="FFFFFF"/>
        </w:rPr>
        <w:t xml:space="preserve"> </w:t>
      </w:r>
      <w:r w:rsidR="00E33EED" w:rsidRPr="00667DA4">
        <w:rPr>
          <w:rFonts w:cs="Arial"/>
        </w:rPr>
        <w:t>It includes continuous longitudinal data with sociodemographic information, prescribed medications, clinical diagnosi</w:t>
      </w:r>
      <w:r w:rsidR="00E6122A" w:rsidRPr="00667DA4">
        <w:rPr>
          <w:rFonts w:cs="Arial"/>
        </w:rPr>
        <w:t>s, symptoms,</w:t>
      </w:r>
      <w:r w:rsidR="00E33EED" w:rsidRPr="00667DA4">
        <w:rPr>
          <w:rFonts w:cs="Arial"/>
        </w:rPr>
        <w:t xml:space="preserve"> investigations and results. The database includes </w:t>
      </w:r>
      <w:r w:rsidR="00E33EED" w:rsidRPr="00667DA4">
        <w:rPr>
          <w:rFonts w:cs="Arial"/>
          <w:shd w:val="clear" w:color="auto" w:fill="FFFFFF"/>
        </w:rPr>
        <w:t xml:space="preserve">465 GP practices in both rural and urban areas of England covering a nationally representative population of </w:t>
      </w:r>
      <w:r w:rsidR="00D00749" w:rsidRPr="00667DA4">
        <w:rPr>
          <w:rFonts w:cs="Arial"/>
          <w:shd w:val="clear" w:color="auto" w:fill="FFFFFF"/>
        </w:rPr>
        <w:t>1.8</w:t>
      </w:r>
      <w:r w:rsidR="00E33EED" w:rsidRPr="00667DA4">
        <w:rPr>
          <w:rFonts w:cs="Arial"/>
          <w:shd w:val="clear" w:color="auto" w:fill="FFFFFF"/>
        </w:rPr>
        <w:t xml:space="preserve"> million </w:t>
      </w:r>
      <w:r w:rsidR="00D00749" w:rsidRPr="00667DA4">
        <w:rPr>
          <w:rFonts w:cs="Arial"/>
          <w:shd w:val="clear" w:color="auto" w:fill="FFFFFF"/>
        </w:rPr>
        <w:t>women</w:t>
      </w:r>
      <w:r w:rsidR="00E33EED" w:rsidRPr="00667DA4">
        <w:rPr>
          <w:rFonts w:cs="Arial"/>
          <w:shd w:val="clear" w:color="auto" w:fill="FFFFFF"/>
        </w:rPr>
        <w:t>.</w:t>
      </w:r>
      <w:r w:rsidR="00430759" w:rsidRPr="00667DA4">
        <w:rPr>
          <w:rFonts w:cs="Arial"/>
        </w:rPr>
        <w:t xml:space="preserve"> </w:t>
      </w:r>
      <w:r w:rsidR="00E33EED" w:rsidRPr="00667DA4">
        <w:rPr>
          <w:rFonts w:cs="Arial"/>
        </w:rPr>
        <w:t xml:space="preserve">Within the database, we </w:t>
      </w:r>
      <w:r w:rsidR="00430759" w:rsidRPr="00667DA4">
        <w:rPr>
          <w:rFonts w:cs="Arial"/>
          <w:shd w:val="clear" w:color="auto" w:fill="FFFFFF"/>
        </w:rPr>
        <w:t>i</w:t>
      </w:r>
      <w:r w:rsidR="00E33EED" w:rsidRPr="00667DA4">
        <w:rPr>
          <w:rFonts w:cs="Arial"/>
          <w:shd w:val="clear" w:color="auto" w:fill="FFFFFF"/>
        </w:rPr>
        <w:t>dentified</w:t>
      </w:r>
      <w:r w:rsidR="00430759" w:rsidRPr="00667DA4">
        <w:rPr>
          <w:rFonts w:cs="Arial"/>
          <w:shd w:val="clear" w:color="auto" w:fill="FFFFFF"/>
        </w:rPr>
        <w:t xml:space="preserve"> </w:t>
      </w:r>
      <w:r w:rsidR="00E33EED" w:rsidRPr="00667DA4">
        <w:rPr>
          <w:rFonts w:cs="Arial"/>
          <w:shd w:val="clear" w:color="auto" w:fill="FFFFFF"/>
        </w:rPr>
        <w:t xml:space="preserve">a cohort of </w:t>
      </w:r>
      <w:r w:rsidR="00446AD9" w:rsidRPr="00667DA4">
        <w:rPr>
          <w:rFonts w:cs="Arial"/>
          <w:shd w:val="clear" w:color="auto" w:fill="FFFFFF"/>
        </w:rPr>
        <w:t>w</w:t>
      </w:r>
      <w:r w:rsidR="00E33EED" w:rsidRPr="00667DA4">
        <w:rPr>
          <w:rFonts w:cs="Arial"/>
          <w:shd w:val="clear" w:color="auto" w:fill="FFFFFF"/>
        </w:rPr>
        <w:t xml:space="preserve">omen registered </w:t>
      </w:r>
      <w:r w:rsidR="000911E9" w:rsidRPr="00667DA4">
        <w:rPr>
          <w:rFonts w:cs="Arial"/>
          <w:shd w:val="clear" w:color="auto" w:fill="FFFFFF"/>
        </w:rPr>
        <w:t>on</w:t>
      </w:r>
      <w:r w:rsidR="00E33EED" w:rsidRPr="00667DA4">
        <w:rPr>
          <w:rFonts w:cs="Arial"/>
          <w:shd w:val="clear" w:color="auto" w:fill="FFFFFF"/>
        </w:rPr>
        <w:t xml:space="preserve"> the 1</w:t>
      </w:r>
      <w:r w:rsidR="00E33EED" w:rsidRPr="00667DA4">
        <w:rPr>
          <w:rFonts w:cs="Arial"/>
          <w:shd w:val="clear" w:color="auto" w:fill="FFFFFF"/>
          <w:vertAlign w:val="superscript"/>
        </w:rPr>
        <w:t>st</w:t>
      </w:r>
      <w:r w:rsidR="00E33EED" w:rsidRPr="00667DA4">
        <w:rPr>
          <w:rFonts w:cs="Arial"/>
          <w:shd w:val="clear" w:color="auto" w:fill="FFFFFF"/>
        </w:rPr>
        <w:t xml:space="preserve"> January 2020 who were </w:t>
      </w:r>
      <w:r w:rsidR="00541D9A" w:rsidRPr="00667DA4">
        <w:rPr>
          <w:rFonts w:cs="Arial"/>
          <w:shd w:val="clear" w:color="auto" w:fill="FFFFFF"/>
        </w:rPr>
        <w:t xml:space="preserve">aged </w:t>
      </w:r>
      <w:r w:rsidR="00E33EED" w:rsidRPr="00667DA4">
        <w:rPr>
          <w:rFonts w:cs="Arial"/>
          <w:shd w:val="clear" w:color="auto" w:fill="FFFFFF"/>
        </w:rPr>
        <w:t xml:space="preserve">over 18 years </w:t>
      </w:r>
      <w:r w:rsidR="00430759" w:rsidRPr="00667DA4">
        <w:rPr>
          <w:rFonts w:cs="Arial"/>
          <w:shd w:val="clear" w:color="auto" w:fill="FFFFFF"/>
        </w:rPr>
        <w:t xml:space="preserve">with confirmed or </w:t>
      </w:r>
      <w:r w:rsidR="00334115" w:rsidRPr="00667DA4">
        <w:rPr>
          <w:rFonts w:cs="Arial"/>
          <w:shd w:val="clear" w:color="auto" w:fill="FFFFFF"/>
        </w:rPr>
        <w:t xml:space="preserve">probable </w:t>
      </w:r>
      <w:r w:rsidR="00430759" w:rsidRPr="00667DA4">
        <w:rPr>
          <w:rFonts w:cs="Arial"/>
          <w:shd w:val="clear" w:color="auto" w:fill="FFFFFF"/>
        </w:rPr>
        <w:t>COVID-19</w:t>
      </w:r>
      <w:r w:rsidR="00E33EED" w:rsidRPr="00667DA4">
        <w:rPr>
          <w:rFonts w:cs="Arial"/>
          <w:shd w:val="clear" w:color="auto" w:fill="FFFFFF"/>
        </w:rPr>
        <w:t xml:space="preserve">. </w:t>
      </w:r>
      <w:r w:rsidR="00430759" w:rsidRPr="00667DA4">
        <w:rPr>
          <w:rFonts w:cs="Arial"/>
          <w:shd w:val="clear" w:color="auto" w:fill="FFFFFF"/>
        </w:rPr>
        <w:t xml:space="preserve">Confirmed cases were </w:t>
      </w:r>
      <w:r w:rsidR="00E33EED" w:rsidRPr="00667DA4">
        <w:rPr>
          <w:rFonts w:cs="Arial"/>
          <w:shd w:val="clear" w:color="auto" w:fill="FFFFFF"/>
        </w:rPr>
        <w:t xml:space="preserve">defined as </w:t>
      </w:r>
      <w:r w:rsidR="00430759" w:rsidRPr="00667DA4">
        <w:rPr>
          <w:rFonts w:cs="Arial"/>
          <w:shd w:val="clear" w:color="auto" w:fill="FFFFFF"/>
        </w:rPr>
        <w:t xml:space="preserve">those with a positive RT-PCR assay </w:t>
      </w:r>
      <w:r w:rsidR="00430759" w:rsidRPr="00667DA4">
        <w:rPr>
          <w:rFonts w:cs="Arial"/>
        </w:rPr>
        <w:t>for SARS-CoV-2 on</w:t>
      </w:r>
      <w:r w:rsidR="00430759" w:rsidRPr="00667DA4">
        <w:rPr>
          <w:rFonts w:cs="Arial"/>
          <w:shd w:val="clear" w:color="auto" w:fill="FFFFFF"/>
        </w:rPr>
        <w:t xml:space="preserve"> </w:t>
      </w:r>
      <w:r w:rsidR="009B7BD1" w:rsidRPr="00667DA4">
        <w:rPr>
          <w:rFonts w:cs="Arial"/>
          <w:shd w:val="clear" w:color="auto" w:fill="FFFFFF"/>
        </w:rPr>
        <w:t xml:space="preserve">a </w:t>
      </w:r>
      <w:r w:rsidR="00430759" w:rsidRPr="00667DA4">
        <w:rPr>
          <w:rFonts w:cs="Arial"/>
          <w:shd w:val="clear" w:color="auto" w:fill="FFFFFF"/>
        </w:rPr>
        <w:t>nasal or pharyngeal swab</w:t>
      </w:r>
      <w:r w:rsidR="00E33EED" w:rsidRPr="00667DA4">
        <w:rPr>
          <w:rFonts w:cs="Arial"/>
          <w:shd w:val="clear" w:color="auto" w:fill="FFFFFF"/>
        </w:rPr>
        <w:t xml:space="preserve"> and </w:t>
      </w:r>
      <w:r w:rsidR="00334115" w:rsidRPr="00667DA4">
        <w:rPr>
          <w:rFonts w:cs="Arial"/>
          <w:shd w:val="clear" w:color="auto" w:fill="FFFFFF"/>
        </w:rPr>
        <w:t xml:space="preserve">probable </w:t>
      </w:r>
      <w:r w:rsidR="00E33EED" w:rsidRPr="00667DA4">
        <w:rPr>
          <w:rFonts w:cs="Arial"/>
          <w:shd w:val="clear" w:color="auto" w:fill="FFFFFF"/>
        </w:rPr>
        <w:t xml:space="preserve">cases were those diagnosed </w:t>
      </w:r>
      <w:r w:rsidR="002C559E" w:rsidRPr="00667DA4">
        <w:rPr>
          <w:rFonts w:cs="Arial"/>
          <w:shd w:val="clear" w:color="auto" w:fill="FFFFFF"/>
        </w:rPr>
        <w:t xml:space="preserve">radiologically or </w:t>
      </w:r>
      <w:r w:rsidR="00E33EED" w:rsidRPr="00667DA4">
        <w:rPr>
          <w:rFonts w:cs="Arial"/>
          <w:shd w:val="clear" w:color="auto" w:fill="FFFFFF"/>
        </w:rPr>
        <w:t xml:space="preserve">clinically based </w:t>
      </w:r>
      <w:r w:rsidR="00430759" w:rsidRPr="00667DA4">
        <w:rPr>
          <w:rFonts w:cs="Arial"/>
        </w:rPr>
        <w:t>Public Health England</w:t>
      </w:r>
      <w:r w:rsidR="00E33EED" w:rsidRPr="00667DA4">
        <w:rPr>
          <w:rFonts w:cs="Arial"/>
        </w:rPr>
        <w:t>’s</w:t>
      </w:r>
      <w:r w:rsidR="00430759" w:rsidRPr="00667DA4">
        <w:rPr>
          <w:rFonts w:cs="Arial"/>
        </w:rPr>
        <w:t xml:space="preserve"> recommend</w:t>
      </w:r>
      <w:r w:rsidR="00E33EED" w:rsidRPr="00667DA4">
        <w:rPr>
          <w:rFonts w:cs="Arial"/>
        </w:rPr>
        <w:t>ations.</w:t>
      </w:r>
      <w:r w:rsidR="002C559E" w:rsidRPr="00667DA4">
        <w:rPr>
          <w:rFonts w:cs="Arial"/>
        </w:rPr>
        <w:t xml:space="preserve"> Clinical symptoms included</w:t>
      </w:r>
      <w:r w:rsidR="006155CD" w:rsidRPr="00667DA4">
        <w:rPr>
          <w:rFonts w:cs="Arial"/>
        </w:rPr>
        <w:t xml:space="preserve"> a new continuous cough, a fever &gt;37.8 degrees or a loss/change in normal smell or taste. </w:t>
      </w:r>
      <w:r w:rsidR="002629DC" w:rsidRPr="00667DA4">
        <w:rPr>
          <w:rFonts w:cs="Arial"/>
        </w:rPr>
        <w:t xml:space="preserve">Data on the method of temperature measurement was not available. </w:t>
      </w:r>
    </w:p>
    <w:p w14:paraId="1F51E64C" w14:textId="26CBC1BA" w:rsidR="00377099" w:rsidRPr="00667DA4" w:rsidRDefault="00E33EED" w:rsidP="00FE5251">
      <w:pPr>
        <w:autoSpaceDE w:val="0"/>
        <w:autoSpaceDN w:val="0"/>
        <w:adjustRightInd w:val="0"/>
        <w:spacing w:line="480" w:lineRule="auto"/>
        <w:jc w:val="both"/>
        <w:rPr>
          <w:rFonts w:cs="Arial"/>
        </w:rPr>
      </w:pPr>
      <w:r w:rsidRPr="00667DA4">
        <w:rPr>
          <w:rFonts w:cs="Arial"/>
        </w:rPr>
        <w:t xml:space="preserve">The </w:t>
      </w:r>
      <w:r w:rsidR="006155CD" w:rsidRPr="00667DA4">
        <w:rPr>
          <w:rFonts w:cs="Arial"/>
        </w:rPr>
        <w:t>variability in</w:t>
      </w:r>
      <w:r w:rsidR="002C559E" w:rsidRPr="00667DA4">
        <w:rPr>
          <w:rFonts w:cs="Arial"/>
        </w:rPr>
        <w:t xml:space="preserve"> </w:t>
      </w:r>
      <w:r w:rsidR="009B7BD1" w:rsidRPr="00667DA4">
        <w:rPr>
          <w:rFonts w:cs="Arial"/>
        </w:rPr>
        <w:t xml:space="preserve">the </w:t>
      </w:r>
      <w:r w:rsidR="002C559E" w:rsidRPr="00667DA4">
        <w:rPr>
          <w:rFonts w:cs="Arial"/>
        </w:rPr>
        <w:t>availability of</w:t>
      </w:r>
      <w:r w:rsidR="006155CD" w:rsidRPr="00667DA4">
        <w:rPr>
          <w:rFonts w:cs="Arial"/>
        </w:rPr>
        <w:t xml:space="preserve"> RT-PCR</w:t>
      </w:r>
      <w:r w:rsidRPr="00667DA4">
        <w:rPr>
          <w:rFonts w:cs="Arial"/>
        </w:rPr>
        <w:t xml:space="preserve"> testing during</w:t>
      </w:r>
      <w:r w:rsidR="006155CD" w:rsidRPr="00667DA4">
        <w:rPr>
          <w:rFonts w:cs="Arial"/>
        </w:rPr>
        <w:t xml:space="preserve"> the</w:t>
      </w:r>
      <w:r w:rsidRPr="00667DA4">
        <w:rPr>
          <w:rFonts w:cs="Arial"/>
        </w:rPr>
        <w:t xml:space="preserve"> pandemic meant that most </w:t>
      </w:r>
      <w:r w:rsidR="006155CD" w:rsidRPr="00667DA4">
        <w:rPr>
          <w:rFonts w:cs="Arial"/>
        </w:rPr>
        <w:t xml:space="preserve">recorded </w:t>
      </w:r>
      <w:r w:rsidRPr="00667DA4">
        <w:rPr>
          <w:rFonts w:cs="Arial"/>
        </w:rPr>
        <w:t xml:space="preserve">cases </w:t>
      </w:r>
      <w:r w:rsidR="006155CD" w:rsidRPr="00667DA4">
        <w:rPr>
          <w:rFonts w:cs="Arial"/>
        </w:rPr>
        <w:t xml:space="preserve">in the dataset </w:t>
      </w:r>
      <w:r w:rsidRPr="00667DA4">
        <w:rPr>
          <w:rFonts w:cs="Arial"/>
        </w:rPr>
        <w:t xml:space="preserve">were diagnosed </w:t>
      </w:r>
      <w:r w:rsidR="006C1F4B" w:rsidRPr="00667DA4">
        <w:rPr>
          <w:rFonts w:cs="Arial"/>
        </w:rPr>
        <w:t xml:space="preserve">as </w:t>
      </w:r>
      <w:r w:rsidR="00377099" w:rsidRPr="00667DA4">
        <w:rPr>
          <w:rFonts w:cs="Arial"/>
        </w:rPr>
        <w:t>probabl</w:t>
      </w:r>
      <w:r w:rsidR="00A9178F" w:rsidRPr="00667DA4">
        <w:rPr>
          <w:rFonts w:cs="Arial"/>
        </w:rPr>
        <w:t>e</w:t>
      </w:r>
      <w:r w:rsidR="006C1F4B" w:rsidRPr="00667DA4">
        <w:rPr>
          <w:rFonts w:cs="Arial"/>
        </w:rPr>
        <w:t xml:space="preserve"> cases</w:t>
      </w:r>
      <w:r w:rsidRPr="00667DA4">
        <w:rPr>
          <w:rFonts w:cs="Arial"/>
        </w:rPr>
        <w:t xml:space="preserve">. </w:t>
      </w:r>
      <w:r w:rsidR="00430759" w:rsidRPr="00667DA4">
        <w:rPr>
          <w:rFonts w:cs="Arial"/>
          <w:shd w:val="clear" w:color="auto" w:fill="FFFFFF"/>
        </w:rPr>
        <w:fldChar w:fldCharType="begin" w:fldLock="1"/>
      </w:r>
      <w:r w:rsidR="005E4FFF" w:rsidRPr="00667DA4">
        <w:rPr>
          <w:rFonts w:cs="Arial"/>
          <w:shd w:val="clear" w:color="auto" w:fill="FFFFFF"/>
        </w:rPr>
        <w:instrText>ADDIN CSL_CITATION {"citationItems":[{"id":"ITEM-1","itemData":{"abstract":"The use of big data containing millions of primary care medical records provides an opportunity for rapid research to help inform patient care and policy decisions during the first and subsequent waves of the COVID-19 pandemic. Routinely collected UK primary care data have previously been used for national pandemic surveillance, quantifying associations between exposures and outcomes, identifying high-risk populations and examining the effects of interventions at scale. However, there is no consensus on how to effectively conduct or report these data for COVID-19 research. A COVID-19 primary care database consortium was established in April 2020. Collectively, its researchers have ongoing COVID-19 projects in overlapping datasets with millions of primary care records representing 30% of the UK population, that are variously linked to public health, secondary care and vital status records. This consensus agreement is aimed at facilitating transparency and rigour in methodological approaches,","author":[{"dropping-particle":"","family":"Dambha-Miller","given":"Hajira","non-dropping-particle":"","parse-names":false,"suffix":""},{"dropping-particle":"","family":"Griffin","given":"Simon J","non-dropping-particle":"","parse-names":false,"suffix":""},{"dropping-particle":"","family":"Young","given":"Duncan","non-dropping-particle":"","parse-names":false,"suffix":""},{"dropping-particle":"","family":"Watkinson","given":"Peter","non-dropping-particle":"","parse-names":false,"suffix":""},{"dropping-particle":"","family":"Tan","given":"Pui San","non-dropping-particle":"","parse-names":false,"suffix":""},{"dropping-particle":"","family":"Clift","given":"Ashley K","non-dropping-particle":"","parse-names":false,"suffix":""},{"dropping-particle":"","family":"Payne","given":"Rupert A","non-dropping-particle":"","parse-names":false,"suffix":""},{"dropping-particle":"","family":"Coupland","given":"Carol","non-dropping-particle":"","parse-names":false,"suffix":""},{"dropping-particle":"","family":"Hopewell","given":"Jemma C","non-dropping-particle":"","parse-names":false,"suffix":""},{"dropping-particle":"","family":"Mant","given":"Jonathan","non-dropping-particle":"","parse-names":false,"suffix":""},{"dropping-particle":"","family":"Martin","given":"Richard M","non-dropping-particle":"","parse-names":false,"suffix":""},{"dropping-particle":"","family":"Hippisley-Cox","given":"Julia","non-dropping-particle":"","parse-names":false,"suffix":""}],"id":"ITEM-1","issued":{"date-parts":[["2020","5"]]},"title":"Posted on Annals of Family Medicine COVID-19 Collection, courtesy of Hajira Dambha-Miller","type":"report"},"uris":["http://www.mendeley.com/documents/?uuid=b13ffa99-3680-4b60-b3e7-2cf1bee79258"]},{"id":"ITEM-2","itemData":{"DOI":"10.2196/18606","ISSN":"2369-2960","PMID":"32240095","abstract":"BACKGROUND The Royal College of General Practitioners (RCGP) Research and Surveillance Centre (RSC) and Public Health England (PHE) have successfully worked together on the surveillance of influenza and other infectious diseases for over 50 years, including three previous pandemics. With the emergence of the international outbreak of the coronavirus infection (COVID-19), a UK national approach to containment has been established to test people suspected of exposure to COVID-19. At the same time and separately, the RCGP RSC's surveillance has been extended to monitor the temporal and geographical distribution of COVID-19 infection in the community as well as assess the effectiveness of the containment strategy. OBJECTIVES The aims of this study are to surveil COVID-19 in both asymptomatic populations and ambulatory cases with respiratory infections, ascertain both the rate and pattern of COVID-19 spread, and assess the effectiveness of the containment policy. METHODS The RCGP RSC, a network of over 500 general practices in England, extract pseudonymized data weekly. This extended surveillance comprises of five components: (1) Recording in medical records of anyone suspected to have or who has been exposed to COVID-19. Computerized medical records suppliers have within a week of request created new codes to support this. (2) Extension of current virological surveillance and testing people with influenza-like illness or lower respiratory tract infections (LRTI)-with the caveat that people suspected to have or who have been exposed to COVID-19 should be referred to the national containment pathway and not seen in primary care. (3) Serology sample collection across all age groups. This will be an extra blood sample taken from people who are attending their general practice for a scheduled blood test. The 100 general practices currently undertaking annual influenza virology surveillance will be involved in the extended virological and serological surveillance. (4) Collecting convalescent serum samples. (5) Data curation. We have the opportunity to escalate the data extraction to twice weekly if needed. Swabs and sera will be analyzed in PHE reference laboratories. RESULTS General practice clinical system providers have introduced an emergency new set of clinical codes to support COVID-19 surveillance. Additionally, practices participating in current virology surveillance are now taking samples for COVID-19 surveillance from low-risk patients presenting with L…","author":[{"dropping-particle":"","family":"Lusignan","given":"Simon","non-dropping-particle":"de","parse-names":false,"suffix":""},{"dropping-particle":"","family":"Lopez Bernal","given":"Jamie","non-dropping-particle":"","parse-names":false,"suffix":""},{"dropping-particle":"","family":"Zambon","given":"Maria","non-dropping-particle":"","parse-names":false,"suffix":""},{"dropping-particle":"","family":"Akinyemi","given":"Oluwafunmi","non-dropping-particle":"","parse-names":false,"suffix":""},{"dropping-particle":"","family":"Amirthalingam","given":"Gayatri","non-dropping-particle":"","parse-names":false,"suffix":""},{"dropping-particle":"","family":"Andrews","given":"Nick","non-dropping-particle":"","parse-names":false,"suffix":""},{"dropping-particle":"","family":"Borrow","given":"Ray","non-dropping-particle":"","parse-names":false,"suffix":""},{"dropping-particle":"","family":"Byford","given":"Rachel","non-dropping-particle":"","parse-names":false,"suffix":""},{"dropping-particle":"","family":"Charlett","given":"André","non-dropping-particle":"","parse-names":false,"suffix":""},{"dropping-particle":"","family":"Dabrera","given":"Gavin","non-dropping-particle":"","parse-names":false,"suffix":""},{"dropping-particle":"","family":"Ellis","given":"Joanna","non-dropping-particle":"","parse-names":false,"suffix":""},{"dropping-particle":"","family":"Elliot","given":"Alex","non-dropping-particle":"","parse-names":false,"suffix":""},{"dropping-particle":"","family":"Feher","given":"Michael","non-dropping-particle":"","parse-names":false,"suffix":""},{"dropping-particle":"","family":"Ferreira","given":"Filipa","non-dropping-particle":"","parse-names":false,"suffix":""},{"dropping-particle":"","family":"Krajenbrink","given":"Else","non-dropping-particle":"","parse-names":false,"suffix":""},{"dropping-particle":"","family":"Leach","given":"Jonathan","non-dropping-particle":"","parse-names":false,"suffix":""},{"dropping-particle":"","family":"Linley","given":"Ezra","non-dropping-particle":"","parse-names":false,"suffix":""},{"dropping-particle":"","family":"Liyanage","given":"Harshana","non-dropping-particle":"","parse-names":false,"suffix":""},{"dropping-particle":"","family":"Okusi","given":"Cecilia","non-dropping-particle":"","parse-names":false,"suffix":""},{"dropping-particle":"","family":"Ramsay","given":"Mary","non-dropping-particle":"","parse-names":false,"suffix":""},{"dropping-particle":"","family":"Smith","given":"Gillian","non-dropping-particle":"","parse-names":false,"suffix":""},{"dropping-particle":"","family":"Sherlock","given":"Julian","non-dropping-particle":"","parse-names":false,"suffix":""},{"dropping-particle":"","family":"Thomas","given":"Nicholas","non-dropping-particle":"","parse-names":false,"suffix":""},{"dropping-particle":"","family":"Tripathy","given":"Manasa","non-dropping-particle":"","parse-names":false,"suffix":""},{"dropping-particle":"","family":"Williams","given":"John","non-dropping-particle":"","parse-names":false,"suffix":""},{"dropping-particle":"","family":"Howsam","given":"Gary","non-dropping-particle":"","parse-names":false,"suffix":""},{"dropping-particle":"","family":"Joy","given":"Mark","non-dropping-particle":"","parse-names":false,"suffix":""},{"dropping-particle":"","family":"Hobbs","given":"Richard","non-dropping-particle":"","parse-names":false,"suffix":""}],"container-title":"JMIR Public Health and Surveillance","id":"ITEM-2","issue":"2","issued":{"date-parts":[["2020","3"]]},"page":"e18606","publisher":"JMIR Publications Inc.","title":"Emergence of a Novel Coronavirus (COVID-19): A Protocol for Extending Surveillance Used by the Royal College of General Practitioners (RCGP) Research and Surveillance Centre (RSC) and Public Health England (PHE) (Preprint)","type":"article-journal","volume":"6"},"uris":["http://www.mendeley.com/documents/?uuid=4d377bb9-8ab8-4be5-8aec-5cb15a1d60dd"]}],"mendeley":{"formattedCitation":"[11,12]","plainTextFormattedCitation":"[11,12]","previouslyFormattedCitation":"[11,12]"},"properties":{"noteIndex":0},"schema":"https://github.com/citation-style-language/schema/raw/master/csl-citation.json"}</w:instrText>
      </w:r>
      <w:r w:rsidR="00430759" w:rsidRPr="00667DA4">
        <w:rPr>
          <w:rFonts w:cs="Arial"/>
          <w:shd w:val="clear" w:color="auto" w:fill="FFFFFF"/>
        </w:rPr>
        <w:fldChar w:fldCharType="separate"/>
      </w:r>
      <w:r w:rsidR="00577C0F" w:rsidRPr="00667DA4">
        <w:rPr>
          <w:rFonts w:cs="Arial"/>
          <w:noProof/>
          <w:shd w:val="clear" w:color="auto" w:fill="FFFFFF"/>
        </w:rPr>
        <w:t>[11,12]</w:t>
      </w:r>
      <w:r w:rsidR="00430759" w:rsidRPr="00667DA4">
        <w:rPr>
          <w:rFonts w:cs="Arial"/>
          <w:shd w:val="clear" w:color="auto" w:fill="FFFFFF"/>
        </w:rPr>
        <w:fldChar w:fldCharType="end"/>
      </w:r>
      <w:r w:rsidR="006C1F4B" w:rsidRPr="00667DA4">
        <w:rPr>
          <w:rFonts w:cs="Arial"/>
          <w:shd w:val="clear" w:color="auto" w:fill="FFFFFF"/>
        </w:rPr>
        <w:t xml:space="preserve"> Our previous </w:t>
      </w:r>
      <w:r w:rsidR="006155CD" w:rsidRPr="00667DA4">
        <w:rPr>
          <w:rFonts w:cs="Arial"/>
          <w:shd w:val="clear" w:color="auto" w:fill="FFFFFF"/>
        </w:rPr>
        <w:t>work</w:t>
      </w:r>
      <w:r w:rsidR="006C1F4B" w:rsidRPr="00667DA4">
        <w:rPr>
          <w:rFonts w:cs="Arial"/>
          <w:shd w:val="clear" w:color="auto" w:fill="FFFFFF"/>
        </w:rPr>
        <w:t xml:space="preserve"> </w:t>
      </w:r>
      <w:r w:rsidR="006155CD" w:rsidRPr="00667DA4">
        <w:rPr>
          <w:rFonts w:cs="Arial"/>
          <w:shd w:val="clear" w:color="auto" w:fill="FFFFFF"/>
        </w:rPr>
        <w:t xml:space="preserve">shows that clinical and </w:t>
      </w:r>
      <w:r w:rsidR="00B8659F" w:rsidRPr="00667DA4">
        <w:rPr>
          <w:rFonts w:cs="Arial"/>
          <w:shd w:val="clear" w:color="auto" w:fill="FFFFFF"/>
        </w:rPr>
        <w:t xml:space="preserve">probable </w:t>
      </w:r>
      <w:r w:rsidR="006155CD" w:rsidRPr="00667DA4">
        <w:rPr>
          <w:rFonts w:cs="Arial"/>
          <w:shd w:val="clear" w:color="auto" w:fill="FFFFFF"/>
        </w:rPr>
        <w:t>cases are similar in terms of</w:t>
      </w:r>
      <w:r w:rsidR="006C1F4B" w:rsidRPr="00667DA4">
        <w:rPr>
          <w:rFonts w:cs="Arial"/>
          <w:shd w:val="clear" w:color="auto" w:fill="FFFFFF"/>
        </w:rPr>
        <w:t xml:space="preserve"> outcomes</w:t>
      </w:r>
      <w:r w:rsidR="006155CD" w:rsidRPr="00667DA4">
        <w:rPr>
          <w:rFonts w:cs="Arial"/>
          <w:shd w:val="clear" w:color="auto" w:fill="FFFFFF"/>
        </w:rPr>
        <w:t xml:space="preserve">; </w:t>
      </w:r>
      <w:r w:rsidR="006C1F4B" w:rsidRPr="00667DA4">
        <w:rPr>
          <w:rFonts w:cs="Arial"/>
          <w:shd w:val="clear" w:color="auto" w:fill="FFFFFF"/>
        </w:rPr>
        <w:t>for mortality</w:t>
      </w:r>
      <w:r w:rsidR="009B7BD1" w:rsidRPr="00667DA4">
        <w:rPr>
          <w:rFonts w:cs="Arial"/>
          <w:shd w:val="clear" w:color="auto" w:fill="FFFFFF"/>
        </w:rPr>
        <w:t>,</w:t>
      </w:r>
      <w:r w:rsidR="008C2C9C" w:rsidRPr="00667DA4">
        <w:rPr>
          <w:rFonts w:cs="Arial"/>
          <w:shd w:val="clear" w:color="auto" w:fill="FFFFFF"/>
        </w:rPr>
        <w:t xml:space="preserve"> the</w:t>
      </w:r>
      <w:r w:rsidR="006C1F4B" w:rsidRPr="00667DA4">
        <w:rPr>
          <w:rFonts w:cs="Arial"/>
          <w:shd w:val="clear" w:color="auto" w:fill="FFFFFF"/>
        </w:rPr>
        <w:t xml:space="preserve"> odds ratios were 8.9 (95% CI = 6.7 to 11.8, </w:t>
      </w:r>
      <w:r w:rsidR="006C1F4B" w:rsidRPr="00667DA4">
        <w:rPr>
          <w:rFonts w:cs="Arial"/>
          <w:i/>
          <w:iCs/>
          <w:shd w:val="clear" w:color="auto" w:fill="FFFFFF"/>
        </w:rPr>
        <w:t>P</w:t>
      </w:r>
      <w:r w:rsidR="006C1F4B" w:rsidRPr="00667DA4">
        <w:rPr>
          <w:rFonts w:cs="Arial"/>
          <w:shd w:val="clear" w:color="auto" w:fill="FFFFFF"/>
        </w:rPr>
        <w:t>&lt;0.0001) and 9.7 (95% CI = 7.1 to 13.2, </w:t>
      </w:r>
      <w:r w:rsidR="006C1F4B" w:rsidRPr="00667DA4">
        <w:rPr>
          <w:rFonts w:cs="Arial"/>
          <w:i/>
          <w:iCs/>
          <w:shd w:val="clear" w:color="auto" w:fill="FFFFFF"/>
        </w:rPr>
        <w:t>P</w:t>
      </w:r>
      <w:r w:rsidR="006C1F4B" w:rsidRPr="00667DA4">
        <w:rPr>
          <w:rFonts w:cs="Arial"/>
          <w:shd w:val="clear" w:color="auto" w:fill="FFFFFF"/>
        </w:rPr>
        <w:t xml:space="preserve">&lt;0.0001) for RT-PCR confirmed and clinically diagnosed cases, respectively. </w:t>
      </w:r>
      <w:r w:rsidR="006C1F4B" w:rsidRPr="00667DA4">
        <w:rPr>
          <w:rFonts w:cs="Arial"/>
          <w:shd w:val="clear" w:color="auto" w:fill="FFFFFF"/>
        </w:rPr>
        <w:fldChar w:fldCharType="begin" w:fldLock="1"/>
      </w:r>
      <w:r w:rsidR="005E4FFF" w:rsidRPr="00667DA4">
        <w:rPr>
          <w:rFonts w:cs="Arial"/>
          <w:shd w:val="clear" w:color="auto" w:fill="FFFFFF"/>
        </w:rPr>
        <w:instrText>ADDIN CSL_CITATION {"citationItems":[{"id":"ITEM-1","itemData":{"DOI":"10.3399/bjgp20X713393","ISSN":"1478-5242","PMID":"33077508","abstract":"BACKGROUND The SARS-CoV-2 pandemic has passed its first peak in Europe. AIM To describe the mortality in England and its association with SARS-CoV-2 status and other demographic and risk factors. DESIGN AND SETTING Cross-sectional analyses of people with known SARS-CoV-2 status in the Oxford RCGP Research and Surveillance Centre (RSC) sentinel network. METHOD Pseudonymised, coded clinical data were uploaded from volunteer general practice members of this nationally representative network ( n = 4 413 734). All-cause mortality was compared with national rates for 2019, using a relative survival model, reporting relative hazard ratios (RHR), and 95% confidence intervals (CI). A multivariable adjusted odds ratios (OR) analysis was conducted for those with known SARS-CoV-2 status ( n = 56 628, 1.3%) including multiple imputation and inverse probability analysis, and a complete cases sensitivity analysis. RESULTS Mortality peaked in week 16. People living in households of ≥9 had a fivefold increase in relative mortality (RHR = 5.1, 95% CI = 4.87 to 5.31, P&lt;0.0001). The ORs of mortality were 8.9 (95% CI = 6.7 to 11.8, P&lt;0.0001) and 9.7 (95% CI = 7.1 to 13.2, P&lt;0.0001) for virologically and clinically diagnosed cases respectively, using people with negative tests as reference. The adjusted mortality for the virologically confirmed group was 18.1% (95% CI = 17.6 to 18.7). Male sex, population density, black ethnicity (compared to white), and people with long-term conditions, including learning disability (OR = 1.96, 95% CI = 1.22 to 3.18, P = 0.0056) had higher odds of mortality. CONCLUSION The first SARS-CoV-2 peak in England has been associated with excess mortality. Planning for subsequent peaks needs to better manage risk in males, those of black ethnicity, older people, people with learning disabilities, and people who live in multi-occupancy dwellings.","author":[{"dropping-particle":"","family":"Joy","given":"Mark","non-dropping-particle":"","parse-names":false,"suffix":""},{"dropping-particle":"","family":"Hobbs","given":"Fd Richard","non-dropping-particle":"","parse-names":false,"suffix":""},{"dropping-particle":"","family":"Bernal","given":"Jamie Lopez","non-dropping-particle":"","parse-names":false,"suffix":""},{"dropping-particle":"","family":"Sherlock","given":"Julian","non-dropping-particle":"","parse-names":false,"suffix":""},{"dropping-particle":"","family":"Amirthalingam","given":"Gayatri","non-dropping-particle":"","parse-names":false,"suffix":""},{"dropping-particle":"","family":"McGagh","given":"Dylan","non-dropping-particle":"","parse-names":false,"suffix":""},{"dropping-particle":"","family":"Akinyemi","given":"Oluwafunmi","non-dropping-particle":"","parse-names":false,"suffix":""},{"dropping-particle":"","family":"Byford","given":"Rachel","non-dropping-particle":"","parse-names":false,"suffix":""},{"dropping-particle":"","family":"Dabrera","given":"Gavin","non-dropping-particle":"","parse-names":false,"suffix":""},{"dropping-particle":"","family":"Dorward","given":"Jienchi","non-dropping-particle":"","parse-names":false,"suffix":""},{"dropping-particle":"","family":"Ellis","given":"Joanna","non-dropping-particle":"","parse-names":false,"suffix":""},{"dropping-particle":"","family":"Ferreira","given":"Filipa","non-dropping-particle":"","parse-names":false,"suffix":""},{"dropping-particle":"","family":"Jones","given":"Nicholas","non-dropping-particle":"","parse-names":false,"suffix":""},{"dropping-particle":"","family":"Oke","given":"Jason","non-dropping-particle":"","parse-names":false,"suffix":""},{"dropping-particle":"","family":"Okusi","given":"Cecilia","non-dropping-particle":"","parse-names":false,"suffix":""},{"dropping-particle":"","family":"Nicholson","given":"Brian D","non-dropping-particle":"","parse-names":false,"suffix":""},{"dropping-particle":"","family":"Ramsay","given":"Mary","non-dropping-particle":"","parse-names":false,"suffix":""},{"dropping-particle":"","family":"Sheppard","given":"James P","non-dropping-particle":"","parse-names":false,"suffix":""},{"dropping-particle":"","family":"Sinnathamby","given":"Mary","non-dropping-particle":"","parse-names":false,"suffix":""},{"dropping-particle":"","family":"Zambon","given":"Maria","non-dropping-particle":"","parse-names":false,"suffix":""},{"dropping-particle":"","family":"Howsam","given":"Gary","non-dropping-particle":"","parse-names":false,"suffix":""},{"dropping-particle":"","family":"Williams","given":"John","non-dropping-particle":"","parse-names":false,"suffix":""},{"dropping-particle":"","family":"Lusignan","given":"Simon","non-dropping-particle":"de","parse-names":false,"suffix":""}],"container-title":"The British journal of general practice : the journal of the Royal College of General Practitioners","id":"ITEM-1","issued":{"date-parts":[["2020","10"]]},"publisher":"British Journal of General Practice","title":"Excess mortality in the first COVID pandemic peak: cross-sectional analyses of the impact of age, sex, ethnicity, household size, and long-term conditions in people of known SARS-Cov-2 status in England.","type":"article-journal"},"uris":["http://www.mendeley.com/documents/?uuid=083a05ec-c687-4893-8fa2-d1de51e2c0ef"]}],"mendeley":{"formattedCitation":"[13]","plainTextFormattedCitation":"[13]","previouslyFormattedCitation":"[13]"},"properties":{"noteIndex":0},"schema":"https://github.com/citation-style-language/schema/raw/master/csl-citation.json"}</w:instrText>
      </w:r>
      <w:r w:rsidR="006C1F4B" w:rsidRPr="00667DA4">
        <w:rPr>
          <w:rFonts w:cs="Arial"/>
          <w:shd w:val="clear" w:color="auto" w:fill="FFFFFF"/>
        </w:rPr>
        <w:fldChar w:fldCharType="separate"/>
      </w:r>
      <w:r w:rsidR="00577C0F" w:rsidRPr="00667DA4">
        <w:rPr>
          <w:rFonts w:cs="Arial"/>
          <w:noProof/>
          <w:shd w:val="clear" w:color="auto" w:fill="FFFFFF"/>
        </w:rPr>
        <w:t>[13]</w:t>
      </w:r>
      <w:r w:rsidR="006C1F4B" w:rsidRPr="00667DA4">
        <w:rPr>
          <w:rFonts w:cs="Arial"/>
          <w:shd w:val="clear" w:color="auto" w:fill="FFFFFF"/>
        </w:rPr>
        <w:fldChar w:fldCharType="end"/>
      </w:r>
      <w:r w:rsidR="006C1F4B" w:rsidRPr="00667DA4">
        <w:rPr>
          <w:rFonts w:cs="Arial"/>
          <w:shd w:val="clear" w:color="auto" w:fill="FFFFFF"/>
        </w:rPr>
        <w:t xml:space="preserve"> </w:t>
      </w:r>
    </w:p>
    <w:p w14:paraId="6D6E5D12" w14:textId="53AF2CDA" w:rsidR="00E67147" w:rsidRPr="00667DA4" w:rsidRDefault="00E67147" w:rsidP="00FE5251">
      <w:pPr>
        <w:autoSpaceDE w:val="0"/>
        <w:autoSpaceDN w:val="0"/>
        <w:adjustRightInd w:val="0"/>
        <w:spacing w:line="480" w:lineRule="auto"/>
        <w:rPr>
          <w:rFonts w:cs="Arial"/>
          <w:i/>
          <w:iCs/>
          <w:shd w:val="clear" w:color="auto" w:fill="FFFFFF"/>
        </w:rPr>
      </w:pPr>
      <w:r w:rsidRPr="00667DA4">
        <w:rPr>
          <w:rFonts w:cs="Arial"/>
          <w:i/>
          <w:iCs/>
          <w:shd w:val="clear" w:color="auto" w:fill="FFFFFF"/>
        </w:rPr>
        <w:t xml:space="preserve">Exposure: </w:t>
      </w:r>
      <w:r w:rsidR="00430759" w:rsidRPr="00667DA4">
        <w:rPr>
          <w:rFonts w:cs="Arial"/>
          <w:i/>
          <w:iCs/>
          <w:shd w:val="clear" w:color="auto" w:fill="FFFFFF"/>
        </w:rPr>
        <w:t>HRT or COCP</w:t>
      </w:r>
      <w:r w:rsidRPr="00667DA4">
        <w:rPr>
          <w:rFonts w:cs="Arial"/>
          <w:i/>
          <w:iCs/>
          <w:shd w:val="clear" w:color="auto" w:fill="FFFFFF"/>
        </w:rPr>
        <w:t xml:space="preserve"> use</w:t>
      </w:r>
    </w:p>
    <w:p w14:paraId="592E04DB" w14:textId="73B498EC" w:rsidR="00F41BE8" w:rsidRPr="00667DA4" w:rsidRDefault="00E67147" w:rsidP="00FE5251">
      <w:pPr>
        <w:autoSpaceDE w:val="0"/>
        <w:autoSpaceDN w:val="0"/>
        <w:adjustRightInd w:val="0"/>
        <w:spacing w:line="480" w:lineRule="auto"/>
        <w:jc w:val="both"/>
        <w:rPr>
          <w:rFonts w:cs="Arial"/>
        </w:rPr>
      </w:pPr>
      <w:r w:rsidRPr="00667DA4">
        <w:rPr>
          <w:rFonts w:cs="Arial"/>
          <w:shd w:val="clear" w:color="auto" w:fill="FFFFFF"/>
        </w:rPr>
        <w:t xml:space="preserve">We defined the exposure as one or more </w:t>
      </w:r>
      <w:r w:rsidR="00124142" w:rsidRPr="00667DA4">
        <w:rPr>
          <w:rFonts w:cs="Arial"/>
          <w:shd w:val="clear" w:color="auto" w:fill="FFFFFF"/>
        </w:rPr>
        <w:t>HRT</w:t>
      </w:r>
      <w:r w:rsidRPr="00667DA4">
        <w:rPr>
          <w:rFonts w:cs="Arial"/>
          <w:shd w:val="clear" w:color="auto" w:fill="FFFFFF"/>
        </w:rPr>
        <w:t xml:space="preserve"> or </w:t>
      </w:r>
      <w:r w:rsidR="00124142" w:rsidRPr="00667DA4">
        <w:rPr>
          <w:rFonts w:cs="Arial"/>
          <w:shd w:val="clear" w:color="auto" w:fill="FFFFFF"/>
        </w:rPr>
        <w:t>COCP</w:t>
      </w:r>
      <w:r w:rsidRPr="00667DA4">
        <w:rPr>
          <w:rFonts w:cs="Arial"/>
          <w:shd w:val="clear" w:color="auto" w:fill="FFFFFF"/>
        </w:rPr>
        <w:t xml:space="preserve"> prescriptions within </w:t>
      </w:r>
      <w:r w:rsidRPr="00667DA4">
        <w:rPr>
          <w:rFonts w:cs="Arial"/>
        </w:rPr>
        <w:t>6 months of a confirmed or suspected COVID-19 case</w:t>
      </w:r>
      <w:r w:rsidR="004D5763" w:rsidRPr="00667DA4">
        <w:rPr>
          <w:rFonts w:cs="Arial"/>
        </w:rPr>
        <w:t>.</w:t>
      </w:r>
      <w:r w:rsidR="003E68CA" w:rsidRPr="00667DA4">
        <w:rPr>
          <w:rFonts w:cs="Arial"/>
        </w:rPr>
        <w:t xml:space="preserve"> This had to be </w:t>
      </w:r>
      <w:r w:rsidR="009B7BD1" w:rsidRPr="00667DA4">
        <w:rPr>
          <w:rFonts w:cs="Arial"/>
        </w:rPr>
        <w:t>before</w:t>
      </w:r>
      <w:r w:rsidR="003E68CA" w:rsidRPr="00667DA4">
        <w:rPr>
          <w:rFonts w:cs="Arial"/>
        </w:rPr>
        <w:t xml:space="preserve"> case confirmation.</w:t>
      </w:r>
    </w:p>
    <w:p w14:paraId="092F4CAD" w14:textId="77777777" w:rsidR="00E67147" w:rsidRPr="00667DA4" w:rsidRDefault="00E67147" w:rsidP="00FE5251">
      <w:pPr>
        <w:autoSpaceDE w:val="0"/>
        <w:autoSpaceDN w:val="0"/>
        <w:adjustRightInd w:val="0"/>
        <w:spacing w:line="480" w:lineRule="auto"/>
        <w:jc w:val="both"/>
        <w:rPr>
          <w:rFonts w:cs="Arial"/>
          <w:i/>
          <w:iCs/>
          <w:shd w:val="clear" w:color="auto" w:fill="FFFFFF"/>
        </w:rPr>
      </w:pPr>
      <w:r w:rsidRPr="00667DA4">
        <w:rPr>
          <w:rFonts w:cs="Arial"/>
          <w:i/>
          <w:iCs/>
          <w:shd w:val="clear" w:color="auto" w:fill="FFFFFF"/>
        </w:rPr>
        <w:t>Outcome: All-cause mortality</w:t>
      </w:r>
    </w:p>
    <w:p w14:paraId="55FFCC9F" w14:textId="47480DEB" w:rsidR="006B2640" w:rsidRPr="00667DA4" w:rsidRDefault="00E67147" w:rsidP="00FE5251">
      <w:pPr>
        <w:autoSpaceDE w:val="0"/>
        <w:autoSpaceDN w:val="0"/>
        <w:adjustRightInd w:val="0"/>
        <w:spacing w:line="480" w:lineRule="auto"/>
        <w:jc w:val="both"/>
        <w:rPr>
          <w:rFonts w:cs="Arial"/>
        </w:rPr>
      </w:pPr>
      <w:r w:rsidRPr="00667DA4">
        <w:rPr>
          <w:rFonts w:cs="Arial"/>
          <w:shd w:val="clear" w:color="auto" w:fill="FFFFFF"/>
        </w:rPr>
        <w:lastRenderedPageBreak/>
        <w:t>The primary outcome was all-cause mortality during the follow-up period</w:t>
      </w:r>
      <w:r w:rsidR="002C559E" w:rsidRPr="00667DA4">
        <w:rPr>
          <w:rFonts w:cs="Arial"/>
          <w:shd w:val="clear" w:color="auto" w:fill="FFFFFF"/>
        </w:rPr>
        <w:t xml:space="preserve"> </w:t>
      </w:r>
      <w:r w:rsidR="00A22F1F" w:rsidRPr="00667DA4">
        <w:rPr>
          <w:rFonts w:cs="Arial"/>
          <w:shd w:val="clear" w:color="auto" w:fill="FFFFFF"/>
        </w:rPr>
        <w:t xml:space="preserve">from </w:t>
      </w:r>
      <w:r w:rsidR="002C559E" w:rsidRPr="00667DA4">
        <w:rPr>
          <w:rFonts w:cs="Arial"/>
          <w:shd w:val="clear" w:color="auto" w:fill="FFFFFF"/>
        </w:rPr>
        <w:t>1</w:t>
      </w:r>
      <w:r w:rsidR="002C559E" w:rsidRPr="00667DA4">
        <w:rPr>
          <w:rFonts w:cs="Arial"/>
          <w:shd w:val="clear" w:color="auto" w:fill="FFFFFF"/>
          <w:vertAlign w:val="superscript"/>
        </w:rPr>
        <w:t>st</w:t>
      </w:r>
      <w:r w:rsidR="002C559E" w:rsidRPr="00667DA4">
        <w:rPr>
          <w:rFonts w:cs="Arial"/>
          <w:shd w:val="clear" w:color="auto" w:fill="FFFFFF"/>
        </w:rPr>
        <w:t xml:space="preserve"> January</w:t>
      </w:r>
      <w:r w:rsidR="00A22F1F" w:rsidRPr="00667DA4">
        <w:rPr>
          <w:rFonts w:cs="Arial"/>
          <w:shd w:val="clear" w:color="auto" w:fill="FFFFFF"/>
        </w:rPr>
        <w:t xml:space="preserve"> 2020</w:t>
      </w:r>
      <w:r w:rsidR="002C559E" w:rsidRPr="00667DA4">
        <w:rPr>
          <w:rFonts w:cs="Arial"/>
          <w:shd w:val="clear" w:color="auto" w:fill="FFFFFF"/>
        </w:rPr>
        <w:t xml:space="preserve"> </w:t>
      </w:r>
      <w:r w:rsidR="00A22F1F" w:rsidRPr="00667DA4">
        <w:rPr>
          <w:rFonts w:cs="Arial"/>
          <w:shd w:val="clear" w:color="auto" w:fill="FFFFFF"/>
        </w:rPr>
        <w:t xml:space="preserve">(index date) </w:t>
      </w:r>
      <w:r w:rsidR="002C559E" w:rsidRPr="00667DA4">
        <w:rPr>
          <w:rFonts w:cs="Arial"/>
          <w:shd w:val="clear" w:color="auto" w:fill="FFFFFF"/>
        </w:rPr>
        <w:t>to 21</w:t>
      </w:r>
      <w:r w:rsidR="002C559E" w:rsidRPr="00667DA4">
        <w:rPr>
          <w:rFonts w:cs="Arial"/>
          <w:shd w:val="clear" w:color="auto" w:fill="FFFFFF"/>
          <w:vertAlign w:val="superscript"/>
        </w:rPr>
        <w:t>st</w:t>
      </w:r>
      <w:r w:rsidR="002C559E" w:rsidRPr="00667DA4">
        <w:rPr>
          <w:rFonts w:cs="Arial"/>
          <w:shd w:val="clear" w:color="auto" w:fill="FFFFFF"/>
        </w:rPr>
        <w:t xml:space="preserve"> June 2020</w:t>
      </w:r>
      <w:r w:rsidR="00A22F1F" w:rsidRPr="00667DA4">
        <w:rPr>
          <w:rFonts w:cs="Arial"/>
          <w:shd w:val="clear" w:color="auto" w:fill="FFFFFF"/>
        </w:rPr>
        <w:t xml:space="preserve"> (end date</w:t>
      </w:r>
      <w:r w:rsidR="002C559E" w:rsidRPr="00667DA4">
        <w:rPr>
          <w:rFonts w:cs="Arial"/>
          <w:shd w:val="clear" w:color="auto" w:fill="FFFFFF"/>
        </w:rPr>
        <w:t>)</w:t>
      </w:r>
      <w:r w:rsidRPr="00667DA4">
        <w:rPr>
          <w:rFonts w:cs="Arial"/>
          <w:shd w:val="clear" w:color="auto" w:fill="FFFFFF"/>
        </w:rPr>
        <w:t xml:space="preserve"> </w:t>
      </w:r>
      <w:r w:rsidRPr="00667DA4">
        <w:rPr>
          <w:rFonts w:cs="Arial"/>
        </w:rPr>
        <w:t>as recorded in the</w:t>
      </w:r>
      <w:r w:rsidR="00446AD9" w:rsidRPr="00667DA4">
        <w:rPr>
          <w:rFonts w:cs="Arial"/>
        </w:rPr>
        <w:t xml:space="preserve"> </w:t>
      </w:r>
      <w:r w:rsidR="002C559E" w:rsidRPr="00667DA4">
        <w:rPr>
          <w:rFonts w:cs="Arial"/>
        </w:rPr>
        <w:t>electronic record.</w:t>
      </w:r>
    </w:p>
    <w:p w14:paraId="18552F6F" w14:textId="77777777" w:rsidR="00541D9A" w:rsidRPr="00667DA4" w:rsidRDefault="00FB4390" w:rsidP="00FE5251">
      <w:pPr>
        <w:autoSpaceDE w:val="0"/>
        <w:autoSpaceDN w:val="0"/>
        <w:adjustRightInd w:val="0"/>
        <w:spacing w:line="480" w:lineRule="auto"/>
        <w:jc w:val="both"/>
        <w:rPr>
          <w:rFonts w:cs="Arial"/>
          <w:i/>
          <w:iCs/>
        </w:rPr>
      </w:pPr>
      <w:bookmarkStart w:id="3" w:name="_Hlk54620697"/>
      <w:r w:rsidRPr="00667DA4">
        <w:rPr>
          <w:rFonts w:cs="Arial"/>
          <w:i/>
          <w:iCs/>
        </w:rPr>
        <w:t>Covariables:</w:t>
      </w:r>
    </w:p>
    <w:p w14:paraId="59580C3E" w14:textId="676EAC09" w:rsidR="00D216EC" w:rsidRPr="00667DA4" w:rsidRDefault="002C559E" w:rsidP="00FE5251">
      <w:pPr>
        <w:autoSpaceDE w:val="0"/>
        <w:autoSpaceDN w:val="0"/>
        <w:adjustRightInd w:val="0"/>
        <w:spacing w:line="480" w:lineRule="auto"/>
        <w:jc w:val="both"/>
        <w:rPr>
          <w:rFonts w:cs="Arial"/>
        </w:rPr>
      </w:pPr>
      <w:r w:rsidRPr="00667DA4">
        <w:rPr>
          <w:rFonts w:cs="Arial"/>
        </w:rPr>
        <w:t>We extracted data on a</w:t>
      </w:r>
      <w:r w:rsidR="00E67147" w:rsidRPr="00667DA4">
        <w:rPr>
          <w:rFonts w:cs="Arial"/>
        </w:rPr>
        <w:t>ge,</w:t>
      </w:r>
      <w:r w:rsidRPr="00667DA4">
        <w:rPr>
          <w:rFonts w:cs="Arial"/>
        </w:rPr>
        <w:t xml:space="preserve"> ethnicity </w:t>
      </w:r>
      <w:r w:rsidR="00E67147" w:rsidRPr="00667DA4">
        <w:rPr>
          <w:rFonts w:cs="Arial"/>
        </w:rPr>
        <w:t>and socioeconomic status</w:t>
      </w:r>
      <w:r w:rsidRPr="00667DA4">
        <w:rPr>
          <w:rFonts w:cs="Arial"/>
        </w:rPr>
        <w:t>.</w:t>
      </w:r>
      <w:r w:rsidR="003E3C12" w:rsidRPr="00667DA4">
        <w:rPr>
          <w:rFonts w:cs="Arial"/>
        </w:rPr>
        <w:t xml:space="preserve"> Ethnicity was self-reported in the records</w:t>
      </w:r>
      <w:r w:rsidR="001135D9" w:rsidRPr="00667DA4">
        <w:rPr>
          <w:rFonts w:cs="Arial"/>
          <w:shd w:val="clear" w:color="auto" w:fill="FFFFFF"/>
        </w:rPr>
        <w:t>.</w:t>
      </w:r>
      <w:r w:rsidR="001135D9" w:rsidRPr="00667DA4">
        <w:rPr>
          <w:rFonts w:cs="Arial"/>
          <w:shd w:val="clear" w:color="auto" w:fill="FFFFFF"/>
        </w:rPr>
        <w:fldChar w:fldCharType="begin" w:fldLock="1"/>
      </w:r>
      <w:r w:rsidR="005E4FFF" w:rsidRPr="00667DA4">
        <w:rPr>
          <w:rFonts w:cs="Arial"/>
          <w:shd w:val="clear" w:color="auto" w:fill="FFFFFF"/>
        </w:rPr>
        <w:instrText>ADDIN CSL_CITATION {"citationItems":[{"id":"ITEM-1","itemData":{"DOI":"10.1136/bmj.39609.449676.25","ISSN":"09598146","PMID":"18573856","abstract":"Objective: To develop and validate version two of the QRISK cardiovascular disease risk algorithm (QRISK2) to provide accurate estimates of cardiovascular risk in patients from different ethnic groups in England and Wales and to compare its performance with the modified version of Framingham score recommended by the National Institute for Health and Clinical Excellence (NICE). Design: Prospective open cohort study with routinely collected data from general practice, 1 January 1993 to 31 March 2008. Setting: 531 practices in England and Wales contributing to the national QRESEARCH database. Participants: 2.3 million patients aged 35-74 (over 16 million person years) with 140 000 cardiovascular events. Overall population (derivation and validation cohorts) comprised 2.22 million people who were white or whose ethnic group was not recorded, 22 013 south Asian, 11 595 black African, 10 402 black Caribbean, and 19 792 from Chinese or other Asian or other ethnic groups. Main outcome measures: First (incident) diagnosis of cardiovascular disease (coronary heart disease, stroke, and transient ischaemic attack) recorded in general practice records or linked Office for National Statistics death certificates. Risk factors included self assigned ethnicity, age, sex, smoking status, systolic blood pressure, ratio of total serum cholesterol:high density lipoprotein cholesterol, body mass index, family history of coronary heart disease in first degree relative under 60 years, Townsend deprivation score, treated hypertension, type 2 diabetes, renal disease, atrial fibrillation, and rheumatoid arthritis. Results: The validation statistics indicated that QRISK2 had improved discrimination and calibration compared with the modified Framingham score. The QRISK2 algorithm explained 43% of the variation in women and 38% in men compared with 39% and 35%, respectively, by the modified Framingham score. Of the 112 156 patients classified as high risk (that is, ≥20% risk over 10 years) by the modified Framingham score, 46 094 (41.1%) would be reclassified at low risk with QRISK2. The 10 year observed risk among these reclassified patients was 16.6% (95% confidence interval 16.1% to 17.0%) - that is, below the 20% treatment threshold. Of the 78 024 patients classified at high risk on QRISK2, 11 962 (15.3%) would be reclassified at low risk by the modified Framingham score. The 10 year observed risk among these patients was 23.3% (22.2% to 24.4%) - that is, above the 20% threshold…","author":[{"dropping-particle":"","family":"Hippisley-Cox","given":"Julia","non-dropping-particle":"","parse-names":false,"suffix":""},{"dropping-particle":"","family":"Coupland","given":"Carol","non-dropping-particle":"","parse-names":false,"suffix":""},{"dropping-particle":"","family":"Vinogradova","given":"Yana","non-dropping-particle":"","parse-names":false,"suffix":""},{"dropping-particle":"","family":"Robson","given":"John","non-dropping-particle":"","parse-names":false,"suffix":""},{"dropping-particle":"","family":"Minhas","given":"Rubin","non-dropping-particle":"","parse-names":false,"suffix":""},{"dropping-particle":"","family":"Sheikh","given":"Aziz","non-dropping-particle":"","parse-names":false,"suffix":""},{"dropping-particle":"","family":"Brindle","given":"Peter","non-dropping-particle":"","parse-names":false,"suffix":""}],"container-title":"BMJ","id":"ITEM-1","issue":"7659","issued":{"date-parts":[["2008","6"]]},"page":"1475-1482","publisher":"BMJ Publishing Group","title":"Predicting cardiovascular risk in England and Wales: Prospective derivation and validation of QRISK2","type":"article-journal","volume":"336"},"uris":["http://www.mendeley.com/documents/?uuid=3b9864d9-7625-4240-913d-c157693db261"]}],"mendeley":{"formattedCitation":"[14]","plainTextFormattedCitation":"[14]","previouslyFormattedCitation":"[14]"},"properties":{"noteIndex":0},"schema":"https://github.com/citation-style-language/schema/raw/master/csl-citation.json"}</w:instrText>
      </w:r>
      <w:r w:rsidR="001135D9" w:rsidRPr="00667DA4">
        <w:rPr>
          <w:rFonts w:cs="Arial"/>
          <w:shd w:val="clear" w:color="auto" w:fill="FFFFFF"/>
        </w:rPr>
        <w:fldChar w:fldCharType="separate"/>
      </w:r>
      <w:r w:rsidR="00577C0F" w:rsidRPr="00667DA4">
        <w:rPr>
          <w:rFonts w:cs="Arial"/>
          <w:noProof/>
          <w:shd w:val="clear" w:color="auto" w:fill="FFFFFF"/>
        </w:rPr>
        <w:t>[14]</w:t>
      </w:r>
      <w:r w:rsidR="001135D9" w:rsidRPr="00667DA4">
        <w:rPr>
          <w:rFonts w:cs="Arial"/>
          <w:shd w:val="clear" w:color="auto" w:fill="FFFFFF"/>
        </w:rPr>
        <w:fldChar w:fldCharType="end"/>
      </w:r>
      <w:r w:rsidRPr="00667DA4">
        <w:rPr>
          <w:rFonts w:cs="Arial"/>
        </w:rPr>
        <w:t xml:space="preserve"> </w:t>
      </w:r>
      <w:r w:rsidR="001135D9" w:rsidRPr="00667DA4">
        <w:rPr>
          <w:rFonts w:cs="Arial"/>
        </w:rPr>
        <w:t>Fo</w:t>
      </w:r>
      <w:r w:rsidR="003E3C12" w:rsidRPr="00667DA4">
        <w:rPr>
          <w:rFonts w:cs="Arial"/>
        </w:rPr>
        <w:t>r</w:t>
      </w:r>
      <w:r w:rsidRPr="00667DA4">
        <w:rPr>
          <w:rFonts w:cs="Arial"/>
        </w:rPr>
        <w:t xml:space="preserve"> socioeconomic status</w:t>
      </w:r>
      <w:r w:rsidR="009B7BD1" w:rsidRPr="00667DA4">
        <w:rPr>
          <w:rFonts w:cs="Arial"/>
        </w:rPr>
        <w:t>,</w:t>
      </w:r>
      <w:r w:rsidRPr="00667DA4">
        <w:rPr>
          <w:rFonts w:cs="Arial"/>
        </w:rPr>
        <w:t xml:space="preserve"> </w:t>
      </w:r>
      <w:r w:rsidR="003E3C12" w:rsidRPr="00667DA4">
        <w:rPr>
          <w:rFonts w:cs="Arial"/>
        </w:rPr>
        <w:t>the</w:t>
      </w:r>
      <w:r w:rsidR="00E67147" w:rsidRPr="00667DA4">
        <w:rPr>
          <w:rFonts w:cs="Arial"/>
          <w:shd w:val="clear" w:color="auto" w:fill="FFFFFF"/>
        </w:rPr>
        <w:t xml:space="preserve"> English Index of Multiple Deprivation</w:t>
      </w:r>
      <w:r w:rsidR="003E3C12" w:rsidRPr="00667DA4">
        <w:rPr>
          <w:rFonts w:cs="Arial"/>
          <w:shd w:val="clear" w:color="auto" w:fill="FFFFFF"/>
        </w:rPr>
        <w:t xml:space="preserve"> was used</w:t>
      </w:r>
      <w:r w:rsidRPr="00667DA4">
        <w:rPr>
          <w:rFonts w:cs="Arial"/>
          <w:shd w:val="clear" w:color="auto" w:fill="FFFFFF"/>
        </w:rPr>
        <w:t xml:space="preserve">. </w:t>
      </w:r>
      <w:r w:rsidR="00AA7E35" w:rsidRPr="00667DA4">
        <w:rPr>
          <w:rFonts w:cs="Arial"/>
        </w:rPr>
        <w:fldChar w:fldCharType="begin" w:fldLock="1"/>
      </w:r>
      <w:r w:rsidR="005E4FFF" w:rsidRPr="00667DA4">
        <w:rPr>
          <w:rFonts w:cs="Arial"/>
        </w:rPr>
        <w:instrText>ADDIN CSL_CITATION {"citationItems":[{"id":"ITEM-1","itemData":{"author":[{"dropping-particle":"","family":"Government","given":"Department for Communities and Local","non-dropping-particle":"","parse-names":false,"suffix":""}],"id":"ITEM-1","issued":{"date-parts":[["0"]]},"title":"The English Index of Multiple Deprivation (IMD) 2015—Guidance","type":"article"},"uris":["http://www.mendeley.com/documents/?uuid=c0eac7a7-a1bb-4ae6-af4f-3efea50959e3"]},{"id":"ITEM-2","itemData":{"DOI":"10.14236/jhi.v23i4.920","abstract":"Background Ethnicity recording within primary care computerised medical record (CMR) systems is suboptimal, exacerbated by tangled taxonomies within current coding systems. Objective To develop a method for extending ethnicity identification using routinely collected data. Methods We used an ontological method to maximise the reliability and prevalence of ethnicity information in the Royal College of General Practitioner's Research and Surveillance database. Clinical codes were either directly mapped to ethnicity group or utilised as proxy markers (such as language spoken) from which ethnicity could be inferred. We compared the performance of our method with the recording rates that would be identified by code lists utilised by the UK pay for the performance system, with the help of the Quality and Outcomes Framework (QOF). Results Data from 2,059,453 patients across 110 practices were included. The overall categorisable ethnicity using QOF codes was 36.26% (95% confidence interval (CI): 36.20%-36.33%). This rose to 48.57% (CI:48.50%-48.64%) using the described ethnicity mapping process. Mapping increased across all ethnic groups. The largest increase was seen in the white ethnicity category (30.61%; CI: 30.55%-30.67% to 40.24%; CI: 40.17%-40.30%). The highest relative increase was in the ethnic group categorised as the other (0.04%; CI: 0.03%-0.04% to 0.92%; CI: 0.91%-0.93%).","author":[{"dropping-particle":"","family":"Tippu","given":"Z","non-dropping-particle":"","parse-names":false,"suffix":""},{"dropping-particle":"","family":"Correa","given":"A","non-dropping-particle":"","parse-names":false,"suffix":""},{"dropping-particle":"","family":"Liyanage","given":"H","non-dropping-particle":"","parse-names":false,"suffix":""},{"dropping-particle":"","family":"Vlymen","given":"J","non-dropping-particle":"Van","parse-names":false,"suffix":""},{"dropping-particle":"","family":"Burleigh","given":"D","non-dropping-particle":"","parse-names":false,"suffix":""},{"dropping-particle":"","family":"Mcgovern","given":"A","non-dropping-particle":"","parse-names":false,"suffix":""},{"dropping-particle":"","family":"Jones","given":"S","non-dropping-particle":"","parse-names":false,"suffix":""},{"dropping-particle":"","family":"Lusignan","given":"S","non-dropping-particle":"De","parse-names":false,"suffix":""}],"container-title":"Journal of Innovation in Health Informatics","id":"ITEM-2","issue":"4","issued":{"date-parts":[["2017"]]},"title":"Ethnicity recording in primary care computerised medical record systems: an ontological approach","type":"article-journal","volume":"23"},"uris":["http://www.mendeley.com/documents/?uuid=ee890697-9003-4412-9769-4adacef0a124"]}],"mendeley":{"formattedCitation":"[15,16]","plainTextFormattedCitation":"[15,16]","previouslyFormattedCitation":"[15,16]"},"properties":{"noteIndex":0},"schema":"https://github.com/citation-style-language/schema/raw/master/csl-citation.json"}</w:instrText>
      </w:r>
      <w:r w:rsidR="00AA7E35" w:rsidRPr="00667DA4">
        <w:rPr>
          <w:rFonts w:cs="Arial"/>
        </w:rPr>
        <w:fldChar w:fldCharType="separate"/>
      </w:r>
      <w:r w:rsidR="00577C0F" w:rsidRPr="00667DA4">
        <w:rPr>
          <w:rFonts w:cs="Arial"/>
          <w:noProof/>
        </w:rPr>
        <w:t>[15,16]</w:t>
      </w:r>
      <w:r w:rsidR="00AA7E35" w:rsidRPr="00667DA4">
        <w:rPr>
          <w:rFonts w:cs="Arial"/>
        </w:rPr>
        <w:fldChar w:fldCharType="end"/>
      </w:r>
      <w:r w:rsidR="00E67147" w:rsidRPr="00667DA4">
        <w:rPr>
          <w:rFonts w:cs="Arial"/>
        </w:rPr>
        <w:t xml:space="preserve"> </w:t>
      </w:r>
      <w:r w:rsidR="005E3FDC" w:rsidRPr="00667DA4">
        <w:rPr>
          <w:rFonts w:cs="Arial"/>
        </w:rPr>
        <w:t xml:space="preserve"> We combined IMD quintiles 1 and 2 becaus</w:t>
      </w:r>
      <w:r w:rsidR="003E3C12" w:rsidRPr="00667DA4">
        <w:rPr>
          <w:rFonts w:cs="Arial"/>
        </w:rPr>
        <w:t>e</w:t>
      </w:r>
      <w:r w:rsidR="00D879D2" w:rsidRPr="00667DA4">
        <w:rPr>
          <w:rFonts w:cs="Arial"/>
        </w:rPr>
        <w:t xml:space="preserve"> </w:t>
      </w:r>
      <w:r w:rsidR="00D879D2" w:rsidRPr="00667DA4">
        <w:rPr>
          <w:rFonts w:cs="Arial"/>
          <w:shd w:val="clear" w:color="auto" w:fill="FFFFFF"/>
        </w:rPr>
        <w:t>recent evidence shows that there is a low frequency of testing, leading to sparse data in the most deprived quintile.</w:t>
      </w:r>
      <w:r w:rsidR="00D879D2" w:rsidRPr="00667DA4">
        <w:rPr>
          <w:rFonts w:cs="Arial"/>
          <w:shd w:val="clear" w:color="auto" w:fill="FFFFFF"/>
        </w:rPr>
        <w:fldChar w:fldCharType="begin" w:fldLock="1"/>
      </w:r>
      <w:r w:rsidR="005E4FFF" w:rsidRPr="00667DA4">
        <w:rPr>
          <w:rFonts w:cs="Arial"/>
          <w:shd w:val="clear" w:color="auto" w:fill="FFFFFF"/>
        </w:rPr>
        <w:instrText>ADDIN CSL_CITATION {"citationItems":[{"id":"ITEM-1","itemData":{"author":[{"dropping-particle":"","family":"Government","given":"Department for Communities and Local","non-dropping-particle":"","parse-names":false,"suffix":""}],"id":"ITEM-1","issued":{"date-parts":[["0"]]},"title":"The English Index of Multiple Deprivation (IMD) 2015—Guidance","type":"article"},"uris":["http://www.mendeley.com/documents/?uuid=c0eac7a7-a1bb-4ae6-af4f-3efea50959e3"]}],"mendeley":{"formattedCitation":"[15]","plainTextFormattedCitation":"[15]","previouslyFormattedCitation":"[15]"},"properties":{"noteIndex":0},"schema":"https://github.com/citation-style-language/schema/raw/master/csl-citation.json"}</w:instrText>
      </w:r>
      <w:r w:rsidR="00D879D2" w:rsidRPr="00667DA4">
        <w:rPr>
          <w:rFonts w:cs="Arial"/>
          <w:shd w:val="clear" w:color="auto" w:fill="FFFFFF"/>
        </w:rPr>
        <w:fldChar w:fldCharType="separate"/>
      </w:r>
      <w:r w:rsidR="00577C0F" w:rsidRPr="00667DA4">
        <w:rPr>
          <w:rFonts w:cs="Arial"/>
          <w:noProof/>
          <w:shd w:val="clear" w:color="auto" w:fill="FFFFFF"/>
        </w:rPr>
        <w:t>[15]</w:t>
      </w:r>
      <w:r w:rsidR="00D879D2" w:rsidRPr="00667DA4">
        <w:rPr>
          <w:rFonts w:cs="Arial"/>
          <w:shd w:val="clear" w:color="auto" w:fill="FFFFFF"/>
        </w:rPr>
        <w:fldChar w:fldCharType="end"/>
      </w:r>
      <w:r w:rsidR="00D879D2" w:rsidRPr="00667DA4">
        <w:rPr>
          <w:rFonts w:cs="Arial"/>
          <w:shd w:val="clear" w:color="auto" w:fill="FFFFFF"/>
        </w:rPr>
        <w:t xml:space="preserve"> We</w:t>
      </w:r>
      <w:r w:rsidR="003E3C12" w:rsidRPr="00667DA4">
        <w:rPr>
          <w:rFonts w:cs="Arial"/>
        </w:rPr>
        <w:t xml:space="preserve"> included the most recent</w:t>
      </w:r>
      <w:r w:rsidR="006155CD" w:rsidRPr="00667DA4">
        <w:rPr>
          <w:rFonts w:cs="Arial"/>
        </w:rPr>
        <w:t>ly</w:t>
      </w:r>
      <w:r w:rsidR="003E3C12" w:rsidRPr="00667DA4">
        <w:rPr>
          <w:rFonts w:cs="Arial"/>
        </w:rPr>
        <w:t xml:space="preserve"> available data on </w:t>
      </w:r>
      <w:r w:rsidR="009B7BD1" w:rsidRPr="00667DA4">
        <w:rPr>
          <w:rFonts w:cs="Arial"/>
        </w:rPr>
        <w:t xml:space="preserve">the </w:t>
      </w:r>
      <w:r w:rsidR="00E67147" w:rsidRPr="00667DA4">
        <w:rPr>
          <w:rFonts w:cs="Arial"/>
        </w:rPr>
        <w:t xml:space="preserve">household size </w:t>
      </w:r>
      <w:r w:rsidR="003E3C12" w:rsidRPr="00667DA4">
        <w:rPr>
          <w:rFonts w:cs="Arial"/>
        </w:rPr>
        <w:t xml:space="preserve">as this </w:t>
      </w:r>
      <w:r w:rsidR="009B7BD1" w:rsidRPr="00667DA4">
        <w:rPr>
          <w:rFonts w:cs="Arial"/>
        </w:rPr>
        <w:t>is</w:t>
      </w:r>
      <w:r w:rsidR="003E3C12" w:rsidRPr="00667DA4">
        <w:rPr>
          <w:rFonts w:cs="Arial"/>
        </w:rPr>
        <w:t xml:space="preserve"> important in</w:t>
      </w:r>
      <w:r w:rsidR="00E67147" w:rsidRPr="00667DA4">
        <w:rPr>
          <w:rFonts w:cs="Arial"/>
        </w:rPr>
        <w:t xml:space="preserve"> acquiring COVID-1</w:t>
      </w:r>
      <w:r w:rsidR="003E3C12" w:rsidRPr="00667DA4">
        <w:rPr>
          <w:rFonts w:cs="Arial"/>
        </w:rPr>
        <w:t>9 infection</w:t>
      </w:r>
      <w:r w:rsidR="00E67147" w:rsidRPr="00667DA4">
        <w:rPr>
          <w:rFonts w:cs="Arial"/>
        </w:rPr>
        <w:t>.</w:t>
      </w:r>
      <w:r w:rsidR="00E67147" w:rsidRPr="00667DA4">
        <w:rPr>
          <w:rFonts w:cs="Arial"/>
        </w:rPr>
        <w:fldChar w:fldCharType="begin" w:fldLock="1"/>
      </w:r>
      <w:r w:rsidR="005E4FFF" w:rsidRPr="00667DA4">
        <w:rPr>
          <w:rFonts w:cs="Arial"/>
        </w:rPr>
        <w:instrText>ADDIN CSL_CITATION {"citationItems":[{"id":"ITEM-1","itemData":{"DOI":"10.1016/j.eclinm.2020.100466","ISSN":"25895370","abstract":"Background: Accumulating evidence indicates that COVID-19 causes adverse outcomes in ethnic minority groups. However, little is known about the impact of ethnicity and household size on acquiring infection with SARS-CoV-2. Methods: We undertook a retrospective cohort study, in Leicester (UK), of all individuals assessed for COVID-19 with polymerase chain reaction (PCR) testing at University Hospitals of Leicester NHS Trust between 1st March and 28th April 2020. We used logistic regression to identify sociodemographic, clinical and temporal factors associated with SARS-CoV-2 PCR positivity before/after lockdown. Findings: 971/4051 (24.0%) patients with suspected COVID-19 were found to be PCR positive for SARS-CoV-2. PCR positivity was more common amongst individuals from ethnic minortiy backgrounds than their White counterparts (White 20.0%, South Asian 37.5%, Black 36.1%, Other 32.2%; p&lt;0.001 for all ethnic minority groups vs White). After adjustment, compared to White ethnicity, South Asian (aOR 2.44 95%CI 2.01, 2.97), Black (aOR 2.56 95%CI 1.71, 3.84) and Other (aOR 2.53 95%CI 1.74, 3.70) ethnicities were more likely to test positive, as were those with a larger estimated household size (aOR 1.06 95%CI 1.02, 1.11). We saw increasing proportions of positive tests in the three weeks post-lockdown amongst the ethnic minority, but not the White, cohort. Estimated household size was associated with PCR positivity after, but not before, lockdown (aOR 1.10 95%CI 1.03, 1.16). Interpretation: In individuals presenting with suspected COVID-19, those from ethnic minority communities and larger households had an increased likelihood of SARS-CoV-2 PCR positivity. Pandemic control measures may have more rapid impact on slowing viral transmission amongst those of White ethnicity compared to ethnic minority groups, Research is urgently required to understand the mechanisms underlying these disparities and whether public health interventions have differential effects on individuals from ethnic minority groups. Funding: NIHR","author":[{"dropping-particle":"","family":"Martin","given":"Christopher A.","non-dropping-particle":"","parse-names":false,"suffix":""},{"dropping-particle":"","family":"Jenkins","given":"David R.","non-dropping-particle":"","parse-names":false,"suffix":""},{"dropping-particle":"","family":"Minhas","given":"Jatinder S.","non-dropping-particle":"","parse-names":false,"suffix":""},{"dropping-particle":"","family":"Gray","given":"Laura J.","non-dropping-particle":"","parse-names":false,"suffix":""},{"dropping-particle":"","family":"Tang","given":"Julian","non-dropping-particle":"","parse-names":false,"suffix":""},{"dropping-particle":"","family":"Williams","given":"Caroline","non-dropping-particle":"","parse-names":false,"suffix":""},{"dropping-particle":"","family":"Sze","given":"Shirley","non-dropping-particle":"","parse-names":false,"suffix":""},{"dropping-particle":"","family":"Pan","given":"Daniel","non-dropping-particle":"","parse-names":false,"suffix":""},{"dropping-particle":"","family":"Jones","given":"William","non-dropping-particle":"","parse-names":false,"suffix":""},{"dropping-particle":"","family":"Verma","given":"Raman","non-dropping-particle":"","parse-names":false,"suffix":""},{"dropping-particle":"","family":"Knapp","given":"Scott","non-dropping-particle":"","parse-names":false,"suffix":""},{"dropping-particle":"","family":"Major","given":"Rupert","non-dropping-particle":"","parse-names":false,"suffix":""},{"dropping-particle":"","family":"Davies","given":"Melanie","non-dropping-particle":"","parse-names":false,"suffix":""},{"dropping-particle":"","family":"Brunskill","given":"Nigel","non-dropping-particle":"","parse-names":false,"suffix":""},{"dropping-particle":"","family":"Wiselka","given":"Martin","non-dropping-particle":"","parse-names":false,"suffix":""},{"dropping-particle":"","family":"Brightling","given":"Chris","non-dropping-particle":"","parse-names":false,"suffix":""},{"dropping-particle":"","family":"Khunti","given":"Kamlesh","non-dropping-particle":"","parse-names":false,"suffix":""},{"dropping-particle":"","family":"Haldar","given":"Pranab","non-dropping-particle":"","parse-names":false,"suffix":""},{"dropping-particle":"","family":"Pareek","given":"Manish","non-dropping-particle":"","parse-names":false,"suffix":""}],"container-title":"EClinicalMedicine","id":"ITEM-1","issued":{"date-parts":[["2020","8"]]},"publisher":"Lancet Publishing Group","title":"Socio-demographic heterogeneity in the prevalence of COVID-19 during lockdown is associated with ethnicity and household size: Results from an observational cohort study","type":"article-journal","volume":"25"},"uris":["http://www.mendeley.com/documents/?uuid=fff8cc30-4f18-453f-9bd0-0dbde2d3d35e"]}],"mendeley":{"formattedCitation":"[17]","plainTextFormattedCitation":"[17]","previouslyFormattedCitation":"[17]"},"properties":{"noteIndex":0},"schema":"https://github.com/citation-style-language/schema/raw/master/csl-citation.json"}</w:instrText>
      </w:r>
      <w:r w:rsidR="00E67147" w:rsidRPr="00667DA4">
        <w:rPr>
          <w:rFonts w:cs="Arial"/>
        </w:rPr>
        <w:fldChar w:fldCharType="separate"/>
      </w:r>
      <w:r w:rsidR="00577C0F" w:rsidRPr="00667DA4">
        <w:rPr>
          <w:rFonts w:cs="Arial"/>
          <w:noProof/>
        </w:rPr>
        <w:t>[17]</w:t>
      </w:r>
      <w:r w:rsidR="00E67147" w:rsidRPr="00667DA4">
        <w:rPr>
          <w:rFonts w:cs="Arial"/>
        </w:rPr>
        <w:fldChar w:fldCharType="end"/>
      </w:r>
      <w:r w:rsidR="00E67147" w:rsidRPr="00667DA4">
        <w:rPr>
          <w:rFonts w:cs="Arial"/>
        </w:rPr>
        <w:t xml:space="preserve"> </w:t>
      </w:r>
      <w:bookmarkEnd w:id="3"/>
      <w:r w:rsidR="006D6E7D" w:rsidRPr="00667DA4">
        <w:rPr>
          <w:rFonts w:cs="Arial"/>
        </w:rPr>
        <w:t>For clinical variables, we</w:t>
      </w:r>
      <w:r w:rsidR="003E3C12" w:rsidRPr="00667DA4">
        <w:rPr>
          <w:rFonts w:cs="Arial"/>
        </w:rPr>
        <w:t xml:space="preserve"> considered</w:t>
      </w:r>
      <w:r w:rsidR="007B469B" w:rsidRPr="00667DA4">
        <w:rPr>
          <w:rFonts w:cs="Arial"/>
        </w:rPr>
        <w:t xml:space="preserve"> body mass index (BMI) as the most recent recording </w:t>
      </w:r>
      <w:r w:rsidR="00DD0094" w:rsidRPr="00667DA4">
        <w:rPr>
          <w:rFonts w:cs="Arial"/>
        </w:rPr>
        <w:t xml:space="preserve">within the 12 months before the study </w:t>
      </w:r>
      <w:r w:rsidR="00A90860" w:rsidRPr="00667DA4">
        <w:rPr>
          <w:rFonts w:cs="Arial"/>
        </w:rPr>
        <w:t>index</w:t>
      </w:r>
      <w:r w:rsidR="00DD0094" w:rsidRPr="00667DA4">
        <w:rPr>
          <w:rFonts w:cs="Arial"/>
        </w:rPr>
        <w:t xml:space="preserve"> date</w:t>
      </w:r>
      <w:r w:rsidR="00620412" w:rsidRPr="00667DA4">
        <w:rPr>
          <w:rFonts w:cs="Arial"/>
        </w:rPr>
        <w:t>. C</w:t>
      </w:r>
      <w:r w:rsidR="006155CD" w:rsidRPr="00667DA4">
        <w:rPr>
          <w:rFonts w:cs="Arial"/>
        </w:rPr>
        <w:t>oding for</w:t>
      </w:r>
      <w:r w:rsidR="006D6E7D" w:rsidRPr="00667DA4">
        <w:rPr>
          <w:rFonts w:cs="Arial"/>
        </w:rPr>
        <w:t xml:space="preserve"> </w:t>
      </w:r>
      <w:r w:rsidR="007B469B" w:rsidRPr="00667DA4">
        <w:rPr>
          <w:rFonts w:cs="Arial"/>
        </w:rPr>
        <w:t xml:space="preserve">co-morbidities were recorded as any history of </w:t>
      </w:r>
      <w:r w:rsidR="006D6E7D" w:rsidRPr="00667DA4">
        <w:rPr>
          <w:rFonts w:cs="Arial"/>
        </w:rPr>
        <w:t>hypertension, coronary heart disease, type 1 diabetes, type 2 diabetes,</w:t>
      </w:r>
      <w:r w:rsidR="003E3C12" w:rsidRPr="00667DA4">
        <w:rPr>
          <w:rFonts w:cs="Arial"/>
        </w:rPr>
        <w:t xml:space="preserve"> asthma,</w:t>
      </w:r>
      <w:r w:rsidR="006D6E7D" w:rsidRPr="00667DA4">
        <w:rPr>
          <w:rFonts w:cs="Arial"/>
        </w:rPr>
        <w:t xml:space="preserve"> chronic obstructive pulmonary disease (COPD), chronic kidney disease (CKD) stage 3</w:t>
      </w:r>
      <w:r w:rsidRPr="00667DA4">
        <w:rPr>
          <w:rFonts w:cs="Arial"/>
        </w:rPr>
        <w:t>-5</w:t>
      </w:r>
      <w:r w:rsidR="00CC78F9" w:rsidRPr="00667DA4">
        <w:rPr>
          <w:rFonts w:cs="Arial"/>
        </w:rPr>
        <w:t xml:space="preserve"> before the study index date</w:t>
      </w:r>
      <w:r w:rsidR="004859C7" w:rsidRPr="00667DA4">
        <w:rPr>
          <w:rFonts w:cs="Arial"/>
        </w:rPr>
        <w:t xml:space="preserve">. </w:t>
      </w:r>
      <w:r w:rsidR="007B469B" w:rsidRPr="00667DA4">
        <w:rPr>
          <w:rFonts w:cs="Arial"/>
        </w:rPr>
        <w:t>S</w:t>
      </w:r>
      <w:r w:rsidR="006D6E7D" w:rsidRPr="00667DA4">
        <w:rPr>
          <w:rFonts w:cs="Arial"/>
        </w:rPr>
        <w:t xml:space="preserve">moking status </w:t>
      </w:r>
      <w:r w:rsidR="004859C7" w:rsidRPr="00667DA4">
        <w:rPr>
          <w:rFonts w:cs="Arial"/>
        </w:rPr>
        <w:t xml:space="preserve">was </w:t>
      </w:r>
      <w:r w:rsidR="006D6E7D" w:rsidRPr="00667DA4">
        <w:rPr>
          <w:rFonts w:cs="Arial"/>
        </w:rPr>
        <w:t>categorised as non-smoker, active-smoker or ex-smoker</w:t>
      </w:r>
      <w:r w:rsidR="00C61D9C" w:rsidRPr="00667DA4">
        <w:rPr>
          <w:rFonts w:cs="Arial"/>
        </w:rPr>
        <w:t xml:space="preserve"> (</w:t>
      </w:r>
      <w:r w:rsidR="00A90860" w:rsidRPr="00667DA4">
        <w:rPr>
          <w:rFonts w:cs="Arial"/>
        </w:rPr>
        <w:t xml:space="preserve">the most recent </w:t>
      </w:r>
      <w:r w:rsidR="00074B72" w:rsidRPr="00667DA4">
        <w:rPr>
          <w:rFonts w:cs="Arial"/>
        </w:rPr>
        <w:t>coding</w:t>
      </w:r>
      <w:r w:rsidR="00C61D9C" w:rsidRPr="00667DA4">
        <w:rPr>
          <w:rFonts w:cs="Arial"/>
        </w:rPr>
        <w:t xml:space="preserve"> within 12 months before the </w:t>
      </w:r>
      <w:r w:rsidR="00525060" w:rsidRPr="00667DA4">
        <w:rPr>
          <w:rFonts w:cs="Arial"/>
        </w:rPr>
        <w:t>study index</w:t>
      </w:r>
      <w:r w:rsidR="00C61D9C" w:rsidRPr="00667DA4">
        <w:rPr>
          <w:rFonts w:cs="Arial"/>
        </w:rPr>
        <w:t xml:space="preserve"> date). </w:t>
      </w:r>
      <w:r w:rsidR="002854D7" w:rsidRPr="00667DA4">
        <w:rPr>
          <w:rFonts w:cs="Arial"/>
        </w:rPr>
        <w:t xml:space="preserve">We also included </w:t>
      </w:r>
      <w:r w:rsidR="00430759" w:rsidRPr="00667DA4">
        <w:rPr>
          <w:rFonts w:cs="Arial"/>
          <w:shd w:val="clear" w:color="auto" w:fill="FFFFFF"/>
        </w:rPr>
        <w:t xml:space="preserve">prescriptions for prednisolone and/or disease-modifying anti-rheumatic drugs as a surrogate for immunosuppression. </w:t>
      </w:r>
      <w:r w:rsidR="00ED6D3D" w:rsidRPr="00667DA4">
        <w:rPr>
          <w:rFonts w:cs="Arial"/>
          <w:shd w:val="clear" w:color="auto" w:fill="FFFFFF"/>
        </w:rPr>
        <w:t>We used standardised coding required for NHS payment and administrative purposes to increase consistency and quality of data included.</w:t>
      </w:r>
    </w:p>
    <w:p w14:paraId="3408DB83" w14:textId="77777777" w:rsidR="00430759" w:rsidRPr="00667DA4" w:rsidRDefault="00430759" w:rsidP="00FE5251">
      <w:pPr>
        <w:autoSpaceDE w:val="0"/>
        <w:autoSpaceDN w:val="0"/>
        <w:adjustRightInd w:val="0"/>
        <w:spacing w:line="480" w:lineRule="auto"/>
        <w:jc w:val="both"/>
        <w:rPr>
          <w:rFonts w:cs="Arial"/>
          <w:i/>
          <w:iCs/>
          <w:shd w:val="clear" w:color="auto" w:fill="FFFFFF"/>
        </w:rPr>
      </w:pPr>
      <w:r w:rsidRPr="00667DA4">
        <w:rPr>
          <w:rFonts w:cs="Arial"/>
          <w:i/>
          <w:iCs/>
          <w:shd w:val="clear" w:color="auto" w:fill="FFFFFF"/>
        </w:rPr>
        <w:t>Statistical Analysis</w:t>
      </w:r>
    </w:p>
    <w:p w14:paraId="03C5F071" w14:textId="475B5A99" w:rsidR="002B7EF0" w:rsidRPr="00667DA4" w:rsidRDefault="006D6E7D" w:rsidP="00FE5251">
      <w:pPr>
        <w:spacing w:line="480" w:lineRule="auto"/>
        <w:jc w:val="both"/>
        <w:rPr>
          <w:rFonts w:cs="Arial"/>
        </w:rPr>
      </w:pPr>
      <w:r w:rsidRPr="00667DA4">
        <w:rPr>
          <w:rFonts w:cs="Arial"/>
          <w:shd w:val="clear" w:color="auto" w:fill="FFFFFF"/>
        </w:rPr>
        <w:t>Socio</w:t>
      </w:r>
      <w:r w:rsidR="00430759" w:rsidRPr="00667DA4">
        <w:rPr>
          <w:rFonts w:cs="Arial"/>
          <w:shd w:val="clear" w:color="auto" w:fill="FFFFFF"/>
        </w:rPr>
        <w:t xml:space="preserve">demographic and clinical characteristics were summarised </w:t>
      </w:r>
      <w:r w:rsidR="00446AD9" w:rsidRPr="00667DA4">
        <w:rPr>
          <w:rFonts w:cs="Arial"/>
          <w:shd w:val="clear" w:color="auto" w:fill="FFFFFF"/>
        </w:rPr>
        <w:t>using descriptive statistics</w:t>
      </w:r>
      <w:r w:rsidR="003E68CA" w:rsidRPr="00667DA4">
        <w:rPr>
          <w:rFonts w:cs="Arial"/>
          <w:shd w:val="clear" w:color="auto" w:fill="FFFFFF"/>
        </w:rPr>
        <w:t>, and we compared the characteristics of those with and without missing data</w:t>
      </w:r>
      <w:r w:rsidR="00430759" w:rsidRPr="00667DA4">
        <w:rPr>
          <w:rFonts w:cs="Arial"/>
          <w:shd w:val="clear" w:color="auto" w:fill="FFFFFF"/>
        </w:rPr>
        <w:t>.</w:t>
      </w:r>
      <w:r w:rsidRPr="00667DA4">
        <w:rPr>
          <w:rFonts w:cs="Arial"/>
          <w:shd w:val="clear" w:color="auto" w:fill="FFFFFF"/>
        </w:rPr>
        <w:t xml:space="preserve"> </w:t>
      </w:r>
      <w:r w:rsidR="00CD34DC" w:rsidRPr="00667DA4">
        <w:rPr>
          <w:rFonts w:cs="Arial"/>
          <w:shd w:val="clear" w:color="auto" w:fill="FFFFFF"/>
        </w:rPr>
        <w:t>U</w:t>
      </w:r>
      <w:r w:rsidR="00430759" w:rsidRPr="00667DA4">
        <w:rPr>
          <w:rFonts w:cs="Arial"/>
        </w:rPr>
        <w:t xml:space="preserve">nivariable logistic regression models </w:t>
      </w:r>
      <w:r w:rsidR="00990DA5" w:rsidRPr="00667DA4">
        <w:rPr>
          <w:rFonts w:cs="Arial"/>
        </w:rPr>
        <w:t>were used to quantify the association between</w:t>
      </w:r>
      <w:r w:rsidR="00430759" w:rsidRPr="00667DA4">
        <w:rPr>
          <w:rFonts w:cs="Arial"/>
        </w:rPr>
        <w:t xml:space="preserve"> </w:t>
      </w:r>
      <w:r w:rsidRPr="00667DA4">
        <w:rPr>
          <w:rFonts w:cs="Arial"/>
        </w:rPr>
        <w:t xml:space="preserve">HRT </w:t>
      </w:r>
      <w:r w:rsidR="00430759" w:rsidRPr="00667DA4">
        <w:rPr>
          <w:rFonts w:cs="Arial"/>
        </w:rPr>
        <w:t>and</w:t>
      </w:r>
      <w:r w:rsidR="00990DA5" w:rsidRPr="00667DA4">
        <w:rPr>
          <w:rFonts w:cs="Arial"/>
        </w:rPr>
        <w:t xml:space="preserve"> COCP (</w:t>
      </w:r>
      <w:r w:rsidR="00430759" w:rsidRPr="00667DA4">
        <w:rPr>
          <w:rFonts w:cs="Arial"/>
        </w:rPr>
        <w:t>separately</w:t>
      </w:r>
      <w:r w:rsidR="00990DA5" w:rsidRPr="00667DA4">
        <w:rPr>
          <w:rFonts w:cs="Arial"/>
        </w:rPr>
        <w:t>)</w:t>
      </w:r>
      <w:r w:rsidR="00430759" w:rsidRPr="00667DA4">
        <w:rPr>
          <w:rFonts w:cs="Arial"/>
        </w:rPr>
        <w:t xml:space="preserve"> in relation to all-cause mortality. </w:t>
      </w:r>
      <w:r w:rsidR="00CD34DC" w:rsidRPr="00667DA4">
        <w:rPr>
          <w:rFonts w:cs="Arial"/>
        </w:rPr>
        <w:t>For each, w</w:t>
      </w:r>
      <w:r w:rsidR="00990DA5" w:rsidRPr="00667DA4">
        <w:rPr>
          <w:rFonts w:cs="Arial"/>
        </w:rPr>
        <w:t xml:space="preserve">e then ran </w:t>
      </w:r>
      <w:r w:rsidR="00CD34DC" w:rsidRPr="00667DA4">
        <w:rPr>
          <w:rFonts w:cs="Arial"/>
        </w:rPr>
        <w:t xml:space="preserve">a single </w:t>
      </w:r>
      <w:r w:rsidR="00990DA5" w:rsidRPr="00667DA4">
        <w:rPr>
          <w:rFonts w:cs="Arial"/>
        </w:rPr>
        <w:t xml:space="preserve">multivariable </w:t>
      </w:r>
      <w:r w:rsidR="00430759" w:rsidRPr="00667DA4">
        <w:rPr>
          <w:rFonts w:cs="Arial"/>
        </w:rPr>
        <w:t>mode</w:t>
      </w:r>
      <w:r w:rsidR="0097011F" w:rsidRPr="00667DA4">
        <w:rPr>
          <w:rFonts w:cs="Arial"/>
        </w:rPr>
        <w:t>l</w:t>
      </w:r>
      <w:r w:rsidR="00990DA5" w:rsidRPr="00667DA4">
        <w:rPr>
          <w:rFonts w:cs="Arial"/>
        </w:rPr>
        <w:t xml:space="preserve"> </w:t>
      </w:r>
      <w:r w:rsidR="00802E23" w:rsidRPr="00667DA4">
        <w:rPr>
          <w:rFonts w:cs="Arial"/>
        </w:rPr>
        <w:t>fully-</w:t>
      </w:r>
      <w:r w:rsidR="00990DA5" w:rsidRPr="00667DA4">
        <w:rPr>
          <w:rFonts w:cs="Arial"/>
        </w:rPr>
        <w:t>adjust</w:t>
      </w:r>
      <w:r w:rsidR="00802E23" w:rsidRPr="00667DA4">
        <w:rPr>
          <w:rFonts w:cs="Arial"/>
        </w:rPr>
        <w:t>ed</w:t>
      </w:r>
      <w:r w:rsidR="00990DA5" w:rsidRPr="00667DA4">
        <w:rPr>
          <w:rFonts w:cs="Arial"/>
        </w:rPr>
        <w:t xml:space="preserve"> for </w:t>
      </w:r>
      <w:r w:rsidR="00430759" w:rsidRPr="00667DA4">
        <w:rPr>
          <w:rFonts w:cs="Arial"/>
        </w:rPr>
        <w:t xml:space="preserve">age, </w:t>
      </w:r>
      <w:r w:rsidR="00990DA5" w:rsidRPr="00667DA4">
        <w:rPr>
          <w:rFonts w:cs="Arial"/>
        </w:rPr>
        <w:t>sex</w:t>
      </w:r>
      <w:r w:rsidR="00F0152F" w:rsidRPr="00667DA4">
        <w:rPr>
          <w:rFonts w:cs="Arial"/>
        </w:rPr>
        <w:t>,</w:t>
      </w:r>
      <w:r w:rsidR="00430759" w:rsidRPr="00667DA4">
        <w:rPr>
          <w:rFonts w:cs="Arial"/>
        </w:rPr>
        <w:t xml:space="preserve"> ethnicity, </w:t>
      </w:r>
      <w:r w:rsidR="00990DA5" w:rsidRPr="00667DA4">
        <w:rPr>
          <w:rFonts w:cs="Arial"/>
        </w:rPr>
        <w:t>index of multiple deprivation</w:t>
      </w:r>
      <w:r w:rsidR="00430759" w:rsidRPr="00667DA4">
        <w:rPr>
          <w:rFonts w:cs="Arial"/>
        </w:rPr>
        <w:t>, household size,</w:t>
      </w:r>
      <w:r w:rsidR="00430759" w:rsidRPr="00667DA4">
        <w:rPr>
          <w:rFonts w:cs="Arial"/>
          <w:i/>
          <w:iCs/>
        </w:rPr>
        <w:t xml:space="preserve"> </w:t>
      </w:r>
      <w:r w:rsidR="00430759" w:rsidRPr="00667DA4">
        <w:rPr>
          <w:rFonts w:cs="Arial"/>
        </w:rPr>
        <w:t>BMI, comorbidities</w:t>
      </w:r>
      <w:r w:rsidR="004859C7" w:rsidRPr="00667DA4">
        <w:rPr>
          <w:rFonts w:cs="Arial"/>
        </w:rPr>
        <w:t>, and smoking status</w:t>
      </w:r>
      <w:r w:rsidR="00430759" w:rsidRPr="00667DA4">
        <w:rPr>
          <w:rFonts w:cs="Arial"/>
        </w:rPr>
        <w:t>. Mixed-effects models were performed to account for practice clustering.</w:t>
      </w:r>
      <w:r w:rsidR="00990DA5" w:rsidRPr="00667DA4">
        <w:rPr>
          <w:rFonts w:cs="Arial"/>
        </w:rPr>
        <w:t xml:space="preserve"> </w:t>
      </w:r>
      <w:r w:rsidR="002854D7" w:rsidRPr="00667DA4">
        <w:rPr>
          <w:rFonts w:cs="Arial"/>
        </w:rPr>
        <w:t>We ran a</w:t>
      </w:r>
      <w:r w:rsidR="00990DA5" w:rsidRPr="00667DA4">
        <w:rPr>
          <w:rFonts w:cs="Arial"/>
          <w:shd w:val="clear" w:color="auto" w:fill="FFFFFF"/>
        </w:rPr>
        <w:t xml:space="preserve"> c</w:t>
      </w:r>
      <w:r w:rsidR="00430759" w:rsidRPr="00667DA4">
        <w:rPr>
          <w:rFonts w:cs="Arial"/>
          <w:shd w:val="clear" w:color="auto" w:fill="FFFFFF"/>
        </w:rPr>
        <w:t>omplete case analysis</w:t>
      </w:r>
      <w:r w:rsidR="008740F6" w:rsidRPr="00667DA4">
        <w:rPr>
          <w:rFonts w:cs="Arial"/>
          <w:shd w:val="clear" w:color="auto" w:fill="FFFFFF"/>
        </w:rPr>
        <w:t xml:space="preserve">, and </w:t>
      </w:r>
      <w:r w:rsidR="006532C5" w:rsidRPr="00667DA4">
        <w:rPr>
          <w:rFonts w:cs="Arial"/>
          <w:shd w:val="clear" w:color="auto" w:fill="FFFFFF"/>
        </w:rPr>
        <w:t xml:space="preserve">as an additional sensitivity analysis we ran a model using multiple imputation for missing </w:t>
      </w:r>
      <w:r w:rsidR="006532C5" w:rsidRPr="00667DA4">
        <w:rPr>
          <w:rFonts w:cs="Arial"/>
          <w:shd w:val="clear" w:color="auto" w:fill="FFFFFF"/>
        </w:rPr>
        <w:lastRenderedPageBreak/>
        <w:t xml:space="preserve">data. </w:t>
      </w:r>
      <w:r w:rsidR="008740F6" w:rsidRPr="00667DA4">
        <w:rPr>
          <w:rFonts w:cs="Arial"/>
          <w:shd w:val="clear" w:color="auto" w:fill="FFFFFF"/>
        </w:rPr>
        <w:t xml:space="preserve"> </w:t>
      </w:r>
      <w:r w:rsidR="00430759" w:rsidRPr="00667DA4">
        <w:rPr>
          <w:rFonts w:cs="Arial"/>
        </w:rPr>
        <w:t>Statistical analyses were performed using R (Version 3.5.3). The level of significance was set at 5% and all statistical tests were 2-tailed. Model parameters were reported using odds ratios (ORs) and 95% confidence intervals. Our findings are reported in line with the STROBE and RECORD guidelines for observational studies using routinely collected health data.</w:t>
      </w:r>
    </w:p>
    <w:p w14:paraId="1F3F5CE7" w14:textId="77777777" w:rsidR="006D6E7D" w:rsidRPr="00667DA4" w:rsidRDefault="006D6E7D" w:rsidP="00FE5251">
      <w:pPr>
        <w:pStyle w:val="NormalWeb"/>
        <w:shd w:val="clear" w:color="auto" w:fill="FFFFFF"/>
        <w:spacing w:before="0" w:beforeAutospacing="0" w:after="150" w:afterAutospacing="0" w:line="480" w:lineRule="auto"/>
        <w:jc w:val="both"/>
        <w:rPr>
          <w:rFonts w:asciiTheme="minorHAnsi" w:hAnsiTheme="minorHAnsi" w:cs="Arial"/>
          <w:i/>
          <w:iCs/>
          <w:sz w:val="22"/>
          <w:szCs w:val="22"/>
        </w:rPr>
      </w:pPr>
      <w:r w:rsidRPr="00667DA4">
        <w:rPr>
          <w:rFonts w:asciiTheme="minorHAnsi" w:hAnsiTheme="minorHAnsi" w:cs="Arial"/>
          <w:i/>
          <w:iCs/>
          <w:sz w:val="22"/>
          <w:szCs w:val="22"/>
        </w:rPr>
        <w:t>Patient and public involvement</w:t>
      </w:r>
    </w:p>
    <w:p w14:paraId="0B724121" w14:textId="3C6B011A" w:rsidR="006903A4" w:rsidRPr="00667DA4" w:rsidRDefault="006903A4" w:rsidP="00FE5251">
      <w:pPr>
        <w:pStyle w:val="NormalWeb"/>
        <w:shd w:val="clear" w:color="auto" w:fill="FFFFFF"/>
        <w:spacing w:before="0" w:beforeAutospacing="0" w:after="150" w:afterAutospacing="0" w:line="480" w:lineRule="auto"/>
        <w:jc w:val="both"/>
        <w:rPr>
          <w:rFonts w:asciiTheme="minorHAnsi" w:hAnsiTheme="minorHAnsi" w:cs="Arial"/>
          <w:sz w:val="22"/>
          <w:szCs w:val="22"/>
        </w:rPr>
      </w:pPr>
      <w:r w:rsidRPr="00667DA4">
        <w:rPr>
          <w:rFonts w:asciiTheme="minorHAnsi" w:hAnsiTheme="minorHAnsi" w:cs="Arial"/>
          <w:sz w:val="22"/>
          <w:szCs w:val="22"/>
        </w:rPr>
        <w:t>Patients and members of the public contributed to the setting the research question, the outcome measures</w:t>
      </w:r>
      <w:r w:rsidR="006D6E7D" w:rsidRPr="00667DA4">
        <w:rPr>
          <w:rFonts w:asciiTheme="minorHAnsi" w:hAnsiTheme="minorHAnsi" w:cs="Arial"/>
          <w:sz w:val="22"/>
          <w:szCs w:val="22"/>
        </w:rPr>
        <w:t xml:space="preserve"> and </w:t>
      </w:r>
      <w:r w:rsidRPr="00667DA4">
        <w:rPr>
          <w:rFonts w:asciiTheme="minorHAnsi" w:hAnsiTheme="minorHAnsi" w:cs="Arial"/>
          <w:sz w:val="22"/>
          <w:szCs w:val="22"/>
        </w:rPr>
        <w:t>th</w:t>
      </w:r>
      <w:r w:rsidR="002B7EF0" w:rsidRPr="00667DA4">
        <w:rPr>
          <w:rFonts w:asciiTheme="minorHAnsi" w:hAnsiTheme="minorHAnsi" w:cs="Arial"/>
          <w:sz w:val="22"/>
          <w:szCs w:val="22"/>
        </w:rPr>
        <w:t>e</w:t>
      </w:r>
      <w:r w:rsidRPr="00667DA4">
        <w:rPr>
          <w:rFonts w:asciiTheme="minorHAnsi" w:hAnsiTheme="minorHAnsi" w:cs="Arial"/>
          <w:sz w:val="22"/>
          <w:szCs w:val="22"/>
        </w:rPr>
        <w:t xml:space="preserve"> dissemination</w:t>
      </w:r>
      <w:r w:rsidR="006D6E7D" w:rsidRPr="00667DA4">
        <w:rPr>
          <w:rFonts w:asciiTheme="minorHAnsi" w:hAnsiTheme="minorHAnsi" w:cs="Arial"/>
          <w:sz w:val="22"/>
          <w:szCs w:val="22"/>
        </w:rPr>
        <w:t xml:space="preserve"> of our findings.</w:t>
      </w:r>
    </w:p>
    <w:p w14:paraId="70160F8B" w14:textId="316CF99B" w:rsidR="003E68CA" w:rsidRPr="00667DA4" w:rsidRDefault="003E68CA" w:rsidP="00FE5251">
      <w:pPr>
        <w:pStyle w:val="NormalWeb"/>
        <w:shd w:val="clear" w:color="auto" w:fill="FFFFFF"/>
        <w:spacing w:before="0" w:beforeAutospacing="0" w:after="150" w:afterAutospacing="0" w:line="480" w:lineRule="auto"/>
        <w:jc w:val="both"/>
        <w:rPr>
          <w:rFonts w:asciiTheme="minorHAnsi" w:hAnsiTheme="minorHAnsi" w:cs="Arial"/>
          <w:i/>
          <w:iCs/>
          <w:sz w:val="22"/>
          <w:szCs w:val="22"/>
        </w:rPr>
      </w:pPr>
      <w:r w:rsidRPr="00667DA4">
        <w:rPr>
          <w:rFonts w:asciiTheme="minorHAnsi" w:hAnsiTheme="minorHAnsi" w:cs="Arial"/>
          <w:i/>
          <w:iCs/>
          <w:sz w:val="22"/>
          <w:szCs w:val="22"/>
        </w:rPr>
        <w:t>Ethical approval</w:t>
      </w:r>
    </w:p>
    <w:p w14:paraId="58206FCA" w14:textId="58785BB3" w:rsidR="003E68CA" w:rsidRPr="00667DA4" w:rsidRDefault="003E68CA" w:rsidP="00FE5251">
      <w:pPr>
        <w:pStyle w:val="NormalWeb"/>
        <w:shd w:val="clear" w:color="auto" w:fill="FFFFFF"/>
        <w:spacing w:before="0" w:beforeAutospacing="0" w:after="150" w:afterAutospacing="0" w:line="480" w:lineRule="auto"/>
        <w:rPr>
          <w:rFonts w:asciiTheme="minorHAnsi" w:hAnsiTheme="minorHAnsi" w:cs="Arial"/>
          <w:sz w:val="22"/>
          <w:szCs w:val="22"/>
          <w:shd w:val="clear" w:color="auto" w:fill="FFFFFF"/>
        </w:rPr>
      </w:pPr>
      <w:r w:rsidRPr="00667DA4">
        <w:rPr>
          <w:rStyle w:val="Strong"/>
          <w:rFonts w:asciiTheme="minorHAnsi" w:hAnsiTheme="minorHAnsi" w:cs="Arial"/>
          <w:b w:val="0"/>
          <w:bCs w:val="0"/>
          <w:sz w:val="22"/>
          <w:szCs w:val="22"/>
          <w:shd w:val="clear" w:color="auto" w:fill="FFFFFF"/>
        </w:rPr>
        <w:t xml:space="preserve">This study received approval from </w:t>
      </w:r>
      <w:r w:rsidRPr="00667DA4">
        <w:rPr>
          <w:rFonts w:asciiTheme="minorHAnsi" w:hAnsiTheme="minorHAnsi" w:cs="Arial"/>
          <w:sz w:val="22"/>
          <w:szCs w:val="22"/>
          <w:shd w:val="clear" w:color="auto" w:fill="FFFFFF"/>
        </w:rPr>
        <w:t xml:space="preserve">the Oxford- RCGP RSC study approval committee (RSC_0920) and the </w:t>
      </w:r>
      <w:r w:rsidRPr="00667DA4">
        <w:rPr>
          <w:rStyle w:val="Strong"/>
          <w:rFonts w:asciiTheme="minorHAnsi" w:hAnsiTheme="minorHAnsi" w:cs="Arial"/>
          <w:b w:val="0"/>
          <w:bCs w:val="0"/>
          <w:sz w:val="22"/>
          <w:szCs w:val="22"/>
          <w:shd w:val="clear" w:color="auto" w:fill="FFFFFF"/>
        </w:rPr>
        <w:t>University of Southampton Research Ethics committee (</w:t>
      </w:r>
      <w:r w:rsidRPr="00667DA4">
        <w:rPr>
          <w:rFonts w:asciiTheme="minorHAnsi" w:hAnsiTheme="minorHAnsi" w:cs="Arial"/>
          <w:spacing w:val="-2"/>
          <w:sz w:val="22"/>
          <w:szCs w:val="22"/>
        </w:rPr>
        <w:t xml:space="preserve">56309) </w:t>
      </w:r>
    </w:p>
    <w:p w14:paraId="2A1F8CD5" w14:textId="1EE30183" w:rsidR="00FB4390" w:rsidRPr="00667DA4" w:rsidRDefault="0009093A" w:rsidP="00FE5251">
      <w:pPr>
        <w:spacing w:line="480" w:lineRule="auto"/>
        <w:jc w:val="both"/>
        <w:rPr>
          <w:rFonts w:cs="Arial"/>
        </w:rPr>
      </w:pPr>
      <w:r w:rsidRPr="00667DA4">
        <w:rPr>
          <w:rFonts w:cs="Arial"/>
          <w:b/>
          <w:bCs/>
          <w:u w:val="single"/>
        </w:rPr>
        <w:br w:type="column"/>
      </w:r>
      <w:r w:rsidR="00760AD6" w:rsidRPr="00667DA4">
        <w:rPr>
          <w:rFonts w:cs="Arial"/>
          <w:b/>
          <w:bCs/>
          <w:u w:val="single"/>
        </w:rPr>
        <w:lastRenderedPageBreak/>
        <w:t>RESULTS</w:t>
      </w:r>
      <w:r w:rsidR="00760AD6" w:rsidRPr="00667DA4">
        <w:rPr>
          <w:rFonts w:cs="Arial"/>
        </w:rPr>
        <w:t xml:space="preserve"> </w:t>
      </w:r>
    </w:p>
    <w:p w14:paraId="590F870C" w14:textId="39BD651F" w:rsidR="00760AD6" w:rsidRPr="00667DA4" w:rsidRDefault="00FB4390" w:rsidP="00FE5251">
      <w:pPr>
        <w:spacing w:line="480" w:lineRule="auto"/>
        <w:jc w:val="both"/>
        <w:rPr>
          <w:rFonts w:cs="Arial"/>
        </w:rPr>
      </w:pPr>
      <w:r w:rsidRPr="00667DA4">
        <w:rPr>
          <w:rFonts w:cs="Arial"/>
          <w:i/>
          <w:iCs/>
        </w:rPr>
        <w:t>Participant</w:t>
      </w:r>
      <w:r w:rsidR="00760AD6" w:rsidRPr="00667DA4">
        <w:rPr>
          <w:rFonts w:cs="Arial"/>
          <w:i/>
          <w:iCs/>
        </w:rPr>
        <w:t xml:space="preserve"> characteristics</w:t>
      </w:r>
    </w:p>
    <w:p w14:paraId="05B87191" w14:textId="188B17B2" w:rsidR="003E68CA" w:rsidRPr="00667DA4" w:rsidRDefault="00760AD6" w:rsidP="00FE5251">
      <w:pPr>
        <w:autoSpaceDE w:val="0"/>
        <w:autoSpaceDN w:val="0"/>
        <w:adjustRightInd w:val="0"/>
        <w:spacing w:line="480" w:lineRule="auto"/>
        <w:jc w:val="both"/>
        <w:rPr>
          <w:rFonts w:cs="Arial"/>
        </w:rPr>
      </w:pPr>
      <w:r w:rsidRPr="00667DA4">
        <w:rPr>
          <w:rFonts w:cs="Arial"/>
          <w:shd w:val="clear" w:color="auto" w:fill="FFFFFF"/>
        </w:rPr>
        <w:t xml:space="preserve">In this </w:t>
      </w:r>
      <w:r w:rsidR="003D23B7" w:rsidRPr="00667DA4">
        <w:rPr>
          <w:rFonts w:cs="Arial"/>
          <w:shd w:val="clear" w:color="auto" w:fill="FFFFFF"/>
        </w:rPr>
        <w:t>retrospective</w:t>
      </w:r>
      <w:r w:rsidRPr="00667DA4">
        <w:rPr>
          <w:rFonts w:cs="Arial"/>
          <w:shd w:val="clear" w:color="auto" w:fill="FFFFFF"/>
        </w:rPr>
        <w:t xml:space="preserve"> cohort study, the </w:t>
      </w:r>
      <w:r w:rsidR="00D879D2" w:rsidRPr="00667DA4">
        <w:rPr>
          <w:rFonts w:cs="Arial"/>
          <w:shd w:val="clear" w:color="auto" w:fill="FFFFFF"/>
        </w:rPr>
        <w:t>denominator</w:t>
      </w:r>
      <w:r w:rsidRPr="00667DA4">
        <w:rPr>
          <w:rFonts w:cs="Arial"/>
          <w:shd w:val="clear" w:color="auto" w:fill="FFFFFF"/>
        </w:rPr>
        <w:t xml:space="preserve"> population included </w:t>
      </w:r>
      <w:r w:rsidR="00F0152F" w:rsidRPr="00667DA4">
        <w:rPr>
          <w:rFonts w:cs="Arial"/>
          <w:shd w:val="clear" w:color="auto" w:fill="FFFFFF"/>
        </w:rPr>
        <w:t>1,863,</w:t>
      </w:r>
      <w:r w:rsidR="00DE0F26" w:rsidRPr="00667DA4">
        <w:rPr>
          <w:rFonts w:cs="Arial"/>
          <w:shd w:val="clear" w:color="auto" w:fill="FFFFFF"/>
        </w:rPr>
        <w:t>478</w:t>
      </w:r>
      <w:r w:rsidRPr="00667DA4">
        <w:rPr>
          <w:rFonts w:cs="Arial"/>
          <w:shd w:val="clear" w:color="auto" w:fill="FFFFFF"/>
        </w:rPr>
        <w:t xml:space="preserve"> women across </w:t>
      </w:r>
      <w:r w:rsidR="00F0152F" w:rsidRPr="00667DA4">
        <w:rPr>
          <w:rFonts w:cs="Arial"/>
          <w:shd w:val="clear" w:color="auto" w:fill="FFFFFF"/>
        </w:rPr>
        <w:t>4</w:t>
      </w:r>
      <w:r w:rsidR="00DE0F26" w:rsidRPr="00667DA4">
        <w:rPr>
          <w:rFonts w:cs="Arial"/>
          <w:shd w:val="clear" w:color="auto" w:fill="FFFFFF"/>
        </w:rPr>
        <w:t>65</w:t>
      </w:r>
      <w:r w:rsidRPr="00667DA4">
        <w:rPr>
          <w:rFonts w:cs="Arial"/>
          <w:shd w:val="clear" w:color="auto" w:fill="FFFFFF"/>
        </w:rPr>
        <w:t xml:space="preserve"> </w:t>
      </w:r>
      <w:r w:rsidR="00D879D2" w:rsidRPr="00667DA4">
        <w:rPr>
          <w:rFonts w:cs="Arial"/>
          <w:shd w:val="clear" w:color="auto" w:fill="FFFFFF"/>
        </w:rPr>
        <w:t>general</w:t>
      </w:r>
      <w:r w:rsidRPr="00667DA4">
        <w:rPr>
          <w:rFonts w:cs="Arial"/>
          <w:shd w:val="clear" w:color="auto" w:fill="FFFFFF"/>
        </w:rPr>
        <w:t xml:space="preserve"> practices within the </w:t>
      </w:r>
      <w:r w:rsidR="00D879D2" w:rsidRPr="00667DA4">
        <w:rPr>
          <w:rFonts w:cs="Arial"/>
          <w:shd w:val="clear" w:color="auto" w:fill="FFFFFF"/>
        </w:rPr>
        <w:t>Oxford-</w:t>
      </w:r>
      <w:r w:rsidRPr="00667DA4">
        <w:rPr>
          <w:rFonts w:cs="Arial"/>
          <w:shd w:val="clear" w:color="auto" w:fill="FFFFFF"/>
        </w:rPr>
        <w:t xml:space="preserve">RCGP RSC database </w:t>
      </w:r>
      <w:r w:rsidR="004C6C56" w:rsidRPr="00667DA4">
        <w:rPr>
          <w:rFonts w:cs="Arial"/>
          <w:shd w:val="clear" w:color="auto" w:fill="FFFFFF"/>
        </w:rPr>
        <w:t>during</w:t>
      </w:r>
      <w:r w:rsidRPr="00667DA4">
        <w:rPr>
          <w:rFonts w:cs="Arial"/>
          <w:shd w:val="clear" w:color="auto" w:fill="FFFFFF"/>
        </w:rPr>
        <w:t xml:space="preserve"> the first six months of the UK</w:t>
      </w:r>
      <w:r w:rsidR="004C6C56" w:rsidRPr="00667DA4">
        <w:rPr>
          <w:rFonts w:cs="Arial"/>
          <w:shd w:val="clear" w:color="auto" w:fill="FFFFFF"/>
        </w:rPr>
        <w:t>’s</w:t>
      </w:r>
      <w:r w:rsidRPr="00667DA4">
        <w:rPr>
          <w:rFonts w:cs="Arial"/>
          <w:shd w:val="clear" w:color="auto" w:fill="FFFFFF"/>
        </w:rPr>
        <w:t xml:space="preserve"> COVID-19 pandemic. Within this sample, </w:t>
      </w:r>
      <w:r w:rsidR="004C6C56" w:rsidRPr="00667DA4">
        <w:rPr>
          <w:rFonts w:cs="Arial"/>
          <w:shd w:val="clear" w:color="auto" w:fill="FFFFFF"/>
        </w:rPr>
        <w:t>we identified a cohort of 5451</w:t>
      </w:r>
      <w:r w:rsidRPr="00667DA4">
        <w:rPr>
          <w:rFonts w:cs="Arial"/>
          <w:shd w:val="clear" w:color="auto" w:fill="FFFFFF"/>
        </w:rPr>
        <w:t xml:space="preserve"> </w:t>
      </w:r>
      <w:r w:rsidR="004C6C56" w:rsidRPr="00667DA4">
        <w:rPr>
          <w:rFonts w:cs="Arial"/>
          <w:shd w:val="clear" w:color="auto" w:fill="FFFFFF"/>
        </w:rPr>
        <w:t>women</w:t>
      </w:r>
      <w:r w:rsidRPr="00667DA4">
        <w:rPr>
          <w:rFonts w:cs="Arial"/>
          <w:shd w:val="clear" w:color="auto" w:fill="FFFFFF"/>
        </w:rPr>
        <w:t xml:space="preserve"> </w:t>
      </w:r>
      <w:r w:rsidR="004C6C56" w:rsidRPr="00667DA4">
        <w:rPr>
          <w:rFonts w:cs="Arial"/>
          <w:shd w:val="clear" w:color="auto" w:fill="FFFFFF"/>
        </w:rPr>
        <w:t xml:space="preserve">who </w:t>
      </w:r>
      <w:r w:rsidRPr="00667DA4">
        <w:rPr>
          <w:rFonts w:cs="Arial"/>
          <w:shd w:val="clear" w:color="auto" w:fill="FFFFFF"/>
        </w:rPr>
        <w:t>had COVID-1</w:t>
      </w:r>
      <w:r w:rsidR="00D879D2" w:rsidRPr="00667DA4">
        <w:rPr>
          <w:rFonts w:cs="Arial"/>
          <w:shd w:val="clear" w:color="auto" w:fill="FFFFFF"/>
        </w:rPr>
        <w:t>9</w:t>
      </w:r>
      <w:r w:rsidR="002B7EF0" w:rsidRPr="00667DA4">
        <w:rPr>
          <w:rFonts w:cs="Arial"/>
          <w:shd w:val="clear" w:color="auto" w:fill="FFFFFF"/>
        </w:rPr>
        <w:t xml:space="preserve">. </w:t>
      </w:r>
      <w:r w:rsidR="00ED6D3D" w:rsidRPr="00667DA4">
        <w:rPr>
          <w:rFonts w:cs="Arial"/>
          <w:shd w:val="clear" w:color="auto" w:fill="FFFFFF"/>
        </w:rPr>
        <w:t>The</w:t>
      </w:r>
      <w:r w:rsidR="004C6C56" w:rsidRPr="00667DA4">
        <w:rPr>
          <w:rFonts w:cs="Arial"/>
          <w:shd w:val="clear" w:color="auto" w:fill="FFFFFF"/>
        </w:rPr>
        <w:t xml:space="preserve"> mean follow-up period was </w:t>
      </w:r>
      <w:r w:rsidR="00197ED5" w:rsidRPr="00667DA4">
        <w:rPr>
          <w:rFonts w:cs="Arial"/>
          <w:shd w:val="clear" w:color="auto" w:fill="FFFFFF"/>
        </w:rPr>
        <w:t>164</w:t>
      </w:r>
      <w:r w:rsidR="00FD6EED" w:rsidRPr="00667DA4">
        <w:rPr>
          <w:rFonts w:cs="Arial"/>
          <w:shd w:val="clear" w:color="auto" w:fill="FFFFFF"/>
        </w:rPr>
        <w:t>.9</w:t>
      </w:r>
      <w:r w:rsidR="004C6C56" w:rsidRPr="00667DA4">
        <w:rPr>
          <w:rFonts w:cs="Arial"/>
          <w:shd w:val="clear" w:color="auto" w:fill="FFFFFF"/>
        </w:rPr>
        <w:t>(SD</w:t>
      </w:r>
      <w:r w:rsidR="00FD6EED" w:rsidRPr="00667DA4">
        <w:rPr>
          <w:rFonts w:cs="Arial"/>
          <w:shd w:val="clear" w:color="auto" w:fill="FFFFFF"/>
        </w:rPr>
        <w:t xml:space="preserve"> 19.6</w:t>
      </w:r>
      <w:r w:rsidR="004C6C56" w:rsidRPr="00667DA4">
        <w:rPr>
          <w:rFonts w:cs="Arial"/>
          <w:shd w:val="clear" w:color="auto" w:fill="FFFFFF"/>
        </w:rPr>
        <w:t xml:space="preserve">) days. </w:t>
      </w:r>
      <w:r w:rsidRPr="00667DA4">
        <w:rPr>
          <w:rFonts w:cs="Arial"/>
          <w:shd w:val="clear" w:color="auto" w:fill="FFFFFF"/>
        </w:rPr>
        <w:t xml:space="preserve">The mean age of the cohort was </w:t>
      </w:r>
      <w:r w:rsidR="00BE0C06" w:rsidRPr="00667DA4">
        <w:rPr>
          <w:rFonts w:cs="Arial"/>
          <w:shd w:val="clear" w:color="auto" w:fill="FFFFFF"/>
        </w:rPr>
        <w:t>59.0</w:t>
      </w:r>
      <w:r w:rsidRPr="00667DA4">
        <w:rPr>
          <w:rFonts w:cs="Arial"/>
          <w:shd w:val="clear" w:color="auto" w:fill="FFFFFF"/>
        </w:rPr>
        <w:t xml:space="preserve"> years (SD</w:t>
      </w:r>
      <w:r w:rsidR="00BE0C06" w:rsidRPr="00667DA4">
        <w:rPr>
          <w:rFonts w:cs="Arial"/>
          <w:shd w:val="clear" w:color="auto" w:fill="FFFFFF"/>
        </w:rPr>
        <w:t xml:space="preserve"> 21.7</w:t>
      </w:r>
      <w:r w:rsidRPr="00667DA4">
        <w:rPr>
          <w:rFonts w:cs="Arial"/>
          <w:shd w:val="clear" w:color="auto" w:fill="FFFFFF"/>
        </w:rPr>
        <w:t xml:space="preserve">); self-assigned ethnicity was predominantly </w:t>
      </w:r>
      <w:r w:rsidR="00D879D2" w:rsidRPr="00667DA4">
        <w:rPr>
          <w:rFonts w:cs="Arial"/>
          <w:shd w:val="clear" w:color="auto" w:fill="FFFFFF"/>
        </w:rPr>
        <w:t>White</w:t>
      </w:r>
      <w:r w:rsidRPr="00667DA4">
        <w:rPr>
          <w:rFonts w:cs="Arial"/>
          <w:shd w:val="clear" w:color="auto" w:fill="FFFFFF"/>
        </w:rPr>
        <w:t xml:space="preserve"> (</w:t>
      </w:r>
      <w:r w:rsidR="00BE0C06" w:rsidRPr="00667DA4">
        <w:rPr>
          <w:rFonts w:cs="Arial"/>
          <w:shd w:val="clear" w:color="auto" w:fill="FFFFFF"/>
        </w:rPr>
        <w:t>64.8%</w:t>
      </w:r>
      <w:r w:rsidRPr="00667DA4">
        <w:rPr>
          <w:rFonts w:cs="Arial"/>
          <w:shd w:val="clear" w:color="auto" w:fill="FFFFFF"/>
        </w:rPr>
        <w:t xml:space="preserve">). There were </w:t>
      </w:r>
      <w:r w:rsidR="002B7EF0" w:rsidRPr="00667DA4">
        <w:rPr>
          <w:rFonts w:cs="Arial"/>
          <w:shd w:val="clear" w:color="auto" w:fill="FFFFFF"/>
        </w:rPr>
        <w:t>235</w:t>
      </w:r>
      <w:r w:rsidRPr="00667DA4">
        <w:rPr>
          <w:rFonts w:cs="Arial"/>
          <w:shd w:val="clear" w:color="auto" w:fill="FFFFFF"/>
        </w:rPr>
        <w:t xml:space="preserve"> </w:t>
      </w:r>
      <w:r w:rsidR="002B7EF0" w:rsidRPr="00667DA4">
        <w:rPr>
          <w:rFonts w:cs="Arial"/>
          <w:shd w:val="clear" w:color="auto" w:fill="FFFFFF"/>
        </w:rPr>
        <w:t xml:space="preserve">women </w:t>
      </w:r>
      <w:r w:rsidR="00D879D2" w:rsidRPr="00667DA4">
        <w:rPr>
          <w:rFonts w:cs="Arial"/>
          <w:shd w:val="clear" w:color="auto" w:fill="FFFFFF"/>
        </w:rPr>
        <w:t>with</w:t>
      </w:r>
      <w:r w:rsidR="002B7EF0" w:rsidRPr="00667DA4">
        <w:rPr>
          <w:rFonts w:cs="Arial"/>
          <w:shd w:val="clear" w:color="auto" w:fill="FFFFFF"/>
        </w:rPr>
        <w:t xml:space="preserve"> HRT </w:t>
      </w:r>
      <w:r w:rsidR="00D879D2" w:rsidRPr="00667DA4">
        <w:rPr>
          <w:rFonts w:cs="Arial"/>
          <w:shd w:val="clear" w:color="auto" w:fill="FFFFFF"/>
        </w:rPr>
        <w:t xml:space="preserve">prescriptions </w:t>
      </w:r>
      <w:r w:rsidR="002B7EF0" w:rsidRPr="00667DA4">
        <w:rPr>
          <w:rFonts w:cs="Arial"/>
          <w:shd w:val="clear" w:color="auto" w:fill="FFFFFF"/>
        </w:rPr>
        <w:t xml:space="preserve">and 171 </w:t>
      </w:r>
      <w:r w:rsidR="00D879D2" w:rsidRPr="00667DA4">
        <w:rPr>
          <w:rFonts w:cs="Arial"/>
          <w:shd w:val="clear" w:color="auto" w:fill="FFFFFF"/>
        </w:rPr>
        <w:t>with</w:t>
      </w:r>
      <w:r w:rsidR="002B7EF0" w:rsidRPr="00667DA4">
        <w:rPr>
          <w:rFonts w:cs="Arial"/>
          <w:shd w:val="clear" w:color="auto" w:fill="FFFFFF"/>
        </w:rPr>
        <w:t xml:space="preserve"> </w:t>
      </w:r>
      <w:r w:rsidR="00D879D2" w:rsidRPr="00667DA4">
        <w:rPr>
          <w:rFonts w:cs="Arial"/>
          <w:shd w:val="clear" w:color="auto" w:fill="FFFFFF"/>
        </w:rPr>
        <w:t xml:space="preserve">a prescription for the </w:t>
      </w:r>
      <w:r w:rsidR="002B7EF0" w:rsidRPr="00667DA4">
        <w:rPr>
          <w:rFonts w:cs="Arial"/>
          <w:shd w:val="clear" w:color="auto" w:fill="FFFFFF"/>
        </w:rPr>
        <w:t xml:space="preserve">COCP. </w:t>
      </w:r>
      <w:r w:rsidRPr="00667DA4">
        <w:rPr>
          <w:rFonts w:cs="Arial"/>
          <w:shd w:val="clear" w:color="auto" w:fill="FFFFFF"/>
        </w:rPr>
        <w:t>Table 1 s</w:t>
      </w:r>
      <w:r w:rsidR="002B7EF0" w:rsidRPr="00667DA4">
        <w:rPr>
          <w:rFonts w:cs="Arial"/>
          <w:shd w:val="clear" w:color="auto" w:fill="FFFFFF"/>
        </w:rPr>
        <w:t xml:space="preserve">ummarises </w:t>
      </w:r>
      <w:r w:rsidRPr="00667DA4">
        <w:rPr>
          <w:rFonts w:cs="Arial"/>
          <w:shd w:val="clear" w:color="auto" w:fill="FFFFFF"/>
        </w:rPr>
        <w:t>sociodemographic and clinical characteristics</w:t>
      </w:r>
      <w:r w:rsidR="002B7EF0" w:rsidRPr="00667DA4">
        <w:rPr>
          <w:rFonts w:cs="Arial"/>
          <w:shd w:val="clear" w:color="auto" w:fill="FFFFFF"/>
        </w:rPr>
        <w:t xml:space="preserve"> in the whole cohort, and separated as those on HRT or COCP</w:t>
      </w:r>
      <w:r w:rsidR="006155CD" w:rsidRPr="00667DA4">
        <w:rPr>
          <w:rFonts w:cs="Arial"/>
          <w:shd w:val="clear" w:color="auto" w:fill="FFFFFF"/>
        </w:rPr>
        <w:t xml:space="preserve">. </w:t>
      </w:r>
      <w:r w:rsidR="003E68CA" w:rsidRPr="00667DA4">
        <w:rPr>
          <w:rFonts w:cs="Arial"/>
          <w:shd w:val="clear" w:color="auto" w:fill="FFFFFF"/>
        </w:rPr>
        <w:t xml:space="preserve">During the follow up-period </w:t>
      </w:r>
      <w:r w:rsidR="00276852" w:rsidRPr="00667DA4">
        <w:rPr>
          <w:rFonts w:cs="Arial"/>
          <w:shd w:val="clear" w:color="auto" w:fill="FFFFFF"/>
        </w:rPr>
        <w:t>664 (12.2%)</w:t>
      </w:r>
      <w:r w:rsidR="003E68CA" w:rsidRPr="00667DA4">
        <w:rPr>
          <w:rFonts w:cs="Arial"/>
          <w:shd w:val="clear" w:color="auto" w:fill="FFFFFF"/>
        </w:rPr>
        <w:t xml:space="preserve"> women died. </w:t>
      </w:r>
      <w:r w:rsidR="006155CD" w:rsidRPr="00667DA4">
        <w:rPr>
          <w:rFonts w:cs="Arial"/>
          <w:shd w:val="clear" w:color="auto" w:fill="FFFFFF"/>
        </w:rPr>
        <w:t>Table 2 summarises</w:t>
      </w:r>
      <w:r w:rsidR="002B7EF0" w:rsidRPr="00667DA4">
        <w:rPr>
          <w:rFonts w:cs="Arial"/>
          <w:shd w:val="clear" w:color="auto" w:fill="FFFFFF"/>
        </w:rPr>
        <w:t xml:space="preserve"> th</w:t>
      </w:r>
      <w:r w:rsidR="003E68CA" w:rsidRPr="00667DA4">
        <w:rPr>
          <w:rFonts w:cs="Arial"/>
          <w:shd w:val="clear" w:color="auto" w:fill="FFFFFF"/>
        </w:rPr>
        <w:t>e characteristics of women who died; they were more like</w:t>
      </w:r>
      <w:r w:rsidR="00276852" w:rsidRPr="00667DA4">
        <w:rPr>
          <w:rFonts w:cs="Arial"/>
          <w:shd w:val="clear" w:color="auto" w:fill="FFFFFF"/>
        </w:rPr>
        <w:t>l</w:t>
      </w:r>
      <w:r w:rsidR="003E68CA" w:rsidRPr="00667DA4">
        <w:rPr>
          <w:rFonts w:cs="Arial"/>
          <w:shd w:val="clear" w:color="auto" w:fill="FFFFFF"/>
        </w:rPr>
        <w:t xml:space="preserve">y to </w:t>
      </w:r>
      <w:r w:rsidR="00144AB0" w:rsidRPr="00667DA4">
        <w:rPr>
          <w:rFonts w:cs="Arial"/>
          <w:shd w:val="clear" w:color="auto" w:fill="FFFFFF"/>
        </w:rPr>
        <w:t xml:space="preserve">be </w:t>
      </w:r>
      <w:r w:rsidR="00E6122A" w:rsidRPr="00667DA4">
        <w:rPr>
          <w:rFonts w:cs="Arial"/>
          <w:shd w:val="clear" w:color="auto" w:fill="FFFFFF"/>
        </w:rPr>
        <w:t>older with multiple</w:t>
      </w:r>
      <w:r w:rsidR="00DD0094" w:rsidRPr="00667DA4">
        <w:rPr>
          <w:rFonts w:cs="Arial"/>
          <w:shd w:val="clear" w:color="auto" w:fill="FFFFFF"/>
        </w:rPr>
        <w:t xml:space="preserve"> morbidities.</w:t>
      </w:r>
      <w:r w:rsidR="003E68CA" w:rsidRPr="00667DA4">
        <w:rPr>
          <w:rFonts w:cs="Arial"/>
        </w:rPr>
        <w:t xml:space="preserve"> </w:t>
      </w:r>
    </w:p>
    <w:p w14:paraId="333E4E1B" w14:textId="77777777" w:rsidR="003E68CA" w:rsidRPr="00667DA4" w:rsidRDefault="003E68CA" w:rsidP="00FE5251">
      <w:pPr>
        <w:spacing w:line="480" w:lineRule="auto"/>
        <w:rPr>
          <w:rFonts w:cs="Arial"/>
        </w:rPr>
      </w:pPr>
    </w:p>
    <w:p w14:paraId="4FDAECF4" w14:textId="2C0D9C04" w:rsidR="002854D7" w:rsidRPr="00667DA4" w:rsidRDefault="002854D7" w:rsidP="00FE5251">
      <w:pPr>
        <w:autoSpaceDE w:val="0"/>
        <w:autoSpaceDN w:val="0"/>
        <w:adjustRightInd w:val="0"/>
        <w:spacing w:line="480" w:lineRule="auto"/>
        <w:jc w:val="both"/>
        <w:rPr>
          <w:rFonts w:cs="Arial"/>
          <w:i/>
          <w:iCs/>
          <w:shd w:val="clear" w:color="auto" w:fill="FFFFFF"/>
        </w:rPr>
      </w:pPr>
      <w:r w:rsidRPr="00667DA4">
        <w:rPr>
          <w:rFonts w:cs="Arial"/>
          <w:i/>
          <w:iCs/>
          <w:shd w:val="clear" w:color="auto" w:fill="FFFFFF"/>
        </w:rPr>
        <w:t>HRT use and all-cause mortality in COVID-19</w:t>
      </w:r>
    </w:p>
    <w:p w14:paraId="4AEB283C" w14:textId="16BC6DF8" w:rsidR="001B54F4" w:rsidRPr="00667DA4" w:rsidRDefault="006155CD" w:rsidP="00FE5251">
      <w:pPr>
        <w:autoSpaceDE w:val="0"/>
        <w:autoSpaceDN w:val="0"/>
        <w:adjustRightInd w:val="0"/>
        <w:spacing w:line="480" w:lineRule="auto"/>
        <w:jc w:val="both"/>
        <w:rPr>
          <w:rFonts w:cs="Arial"/>
          <w:shd w:val="clear" w:color="auto" w:fill="FFFFFF"/>
        </w:rPr>
      </w:pPr>
      <w:r w:rsidRPr="00667DA4">
        <w:rPr>
          <w:rFonts w:cs="Arial"/>
          <w:shd w:val="clear" w:color="auto" w:fill="FFFFFF"/>
        </w:rPr>
        <w:t xml:space="preserve">HRT </w:t>
      </w:r>
      <w:r w:rsidR="00D879D2" w:rsidRPr="00667DA4">
        <w:rPr>
          <w:rFonts w:cs="Arial"/>
          <w:shd w:val="clear" w:color="auto" w:fill="FFFFFF"/>
        </w:rPr>
        <w:t xml:space="preserve">use </w:t>
      </w:r>
      <w:r w:rsidRPr="00667DA4">
        <w:rPr>
          <w:rFonts w:cs="Arial"/>
          <w:shd w:val="clear" w:color="auto" w:fill="FFFFFF"/>
        </w:rPr>
        <w:t xml:space="preserve">was associated with a lower </w:t>
      </w:r>
      <w:r w:rsidR="00D91830" w:rsidRPr="00667DA4">
        <w:rPr>
          <w:rFonts w:cs="Arial"/>
          <w:shd w:val="clear" w:color="auto" w:fill="FFFFFF"/>
        </w:rPr>
        <w:t>likelihood</w:t>
      </w:r>
      <w:r w:rsidRPr="00667DA4">
        <w:rPr>
          <w:rFonts w:cs="Arial"/>
          <w:shd w:val="clear" w:color="auto" w:fill="FFFFFF"/>
        </w:rPr>
        <w:t xml:space="preserve"> of all-cause mortality in COVID-19</w:t>
      </w:r>
      <w:r w:rsidR="00D879D2" w:rsidRPr="00667DA4">
        <w:rPr>
          <w:rFonts w:cs="Arial"/>
          <w:shd w:val="clear" w:color="auto" w:fill="FFFFFF"/>
        </w:rPr>
        <w:t xml:space="preserve"> within unadjusted models (OR 0.1</w:t>
      </w:r>
      <w:r w:rsidR="009B2E2D" w:rsidRPr="00667DA4">
        <w:rPr>
          <w:rFonts w:cs="Arial"/>
          <w:shd w:val="clear" w:color="auto" w:fill="FFFFFF"/>
        </w:rPr>
        <w:t>5</w:t>
      </w:r>
      <w:r w:rsidR="00D879D2" w:rsidRPr="00667DA4">
        <w:rPr>
          <w:rFonts w:cs="Arial"/>
          <w:shd w:val="clear" w:color="auto" w:fill="FFFFFF"/>
        </w:rPr>
        <w:t>, 95% CI 0.0</w:t>
      </w:r>
      <w:r w:rsidR="00E673BF" w:rsidRPr="00667DA4">
        <w:rPr>
          <w:rFonts w:cs="Arial"/>
          <w:shd w:val="clear" w:color="auto" w:fill="FFFFFF"/>
        </w:rPr>
        <w:t>6</w:t>
      </w:r>
      <w:r w:rsidR="00D879D2" w:rsidRPr="00667DA4">
        <w:rPr>
          <w:rFonts w:cs="Arial"/>
          <w:shd w:val="clear" w:color="auto" w:fill="FFFFFF"/>
        </w:rPr>
        <w:t xml:space="preserve"> to 0.3</w:t>
      </w:r>
      <w:r w:rsidR="00E673BF" w:rsidRPr="00667DA4">
        <w:rPr>
          <w:rFonts w:cs="Arial"/>
          <w:shd w:val="clear" w:color="auto" w:fill="FFFFFF"/>
        </w:rPr>
        <w:t>7</w:t>
      </w:r>
      <w:r w:rsidR="00D879D2" w:rsidRPr="00667DA4">
        <w:rPr>
          <w:rFonts w:cs="Arial"/>
          <w:shd w:val="clear" w:color="auto" w:fill="FFFFFF"/>
        </w:rPr>
        <w:t>)</w:t>
      </w:r>
      <w:r w:rsidR="00B83D5E" w:rsidRPr="00667DA4">
        <w:rPr>
          <w:rFonts w:cs="Arial"/>
          <w:shd w:val="clear" w:color="auto" w:fill="FFFFFF"/>
        </w:rPr>
        <w:t xml:space="preserve"> and </w:t>
      </w:r>
      <w:r w:rsidR="00E03D26" w:rsidRPr="00667DA4">
        <w:rPr>
          <w:rFonts w:cs="Arial"/>
          <w:shd w:val="clear" w:color="auto" w:fill="FFFFFF"/>
        </w:rPr>
        <w:t>adjusted</w:t>
      </w:r>
      <w:r w:rsidR="00B83D5E" w:rsidRPr="00667DA4">
        <w:rPr>
          <w:rFonts w:cs="Arial"/>
          <w:shd w:val="clear" w:color="auto" w:fill="FFFFFF"/>
        </w:rPr>
        <w:t xml:space="preserve"> </w:t>
      </w:r>
      <w:r w:rsidR="003207AA" w:rsidRPr="00667DA4">
        <w:rPr>
          <w:rFonts w:cs="Arial"/>
          <w:shd w:val="clear" w:color="auto" w:fill="FFFFFF"/>
        </w:rPr>
        <w:t xml:space="preserve">models </w:t>
      </w:r>
      <w:r w:rsidR="00B83D5E" w:rsidRPr="00667DA4">
        <w:rPr>
          <w:rFonts w:cs="Arial"/>
          <w:shd w:val="clear" w:color="auto" w:fill="FFFFFF"/>
        </w:rPr>
        <w:t>(OR 0.22, 95% CI 0.05 to 0.94</w:t>
      </w:r>
      <w:r w:rsidR="00845091" w:rsidRPr="00667DA4">
        <w:rPr>
          <w:rFonts w:cs="Arial"/>
          <w:shd w:val="clear" w:color="auto" w:fill="FFFFFF"/>
        </w:rPr>
        <w:t>)</w:t>
      </w:r>
      <w:r w:rsidR="00EE50D3" w:rsidRPr="00667DA4">
        <w:rPr>
          <w:rFonts w:cs="Arial"/>
          <w:shd w:val="clear" w:color="auto" w:fill="FFFFFF"/>
        </w:rPr>
        <w:t xml:space="preserve">. </w:t>
      </w:r>
      <w:r w:rsidR="00B83D5E" w:rsidRPr="00667DA4">
        <w:rPr>
          <w:rFonts w:cs="Arial"/>
          <w:shd w:val="clear" w:color="auto" w:fill="FFFFFF"/>
        </w:rPr>
        <w:t>We also observed that</w:t>
      </w:r>
      <w:r w:rsidR="00377099" w:rsidRPr="00667DA4">
        <w:rPr>
          <w:rFonts w:cs="Arial"/>
          <w:shd w:val="clear" w:color="auto" w:fill="FFFFFF"/>
        </w:rPr>
        <w:t xml:space="preserve"> </w:t>
      </w:r>
      <w:r w:rsidR="00B83D5E" w:rsidRPr="00667DA4">
        <w:rPr>
          <w:rFonts w:cs="Arial"/>
          <w:shd w:val="clear" w:color="auto" w:fill="FFFFFF"/>
        </w:rPr>
        <w:t xml:space="preserve">all-cause mortality </w:t>
      </w:r>
      <w:r w:rsidR="00377099" w:rsidRPr="00667DA4">
        <w:rPr>
          <w:rFonts w:cs="Arial"/>
          <w:shd w:val="clear" w:color="auto" w:fill="FFFFFF"/>
        </w:rPr>
        <w:t xml:space="preserve">risk was higher in COVID-19 </w:t>
      </w:r>
      <w:r w:rsidR="00B83D5E" w:rsidRPr="00667DA4">
        <w:rPr>
          <w:rFonts w:cs="Arial"/>
          <w:shd w:val="clear" w:color="auto" w:fill="FFFFFF"/>
        </w:rPr>
        <w:t>amongst women who were older</w:t>
      </w:r>
      <w:r w:rsidR="00E03D26" w:rsidRPr="00667DA4">
        <w:rPr>
          <w:rFonts w:cs="Arial"/>
          <w:shd w:val="clear" w:color="auto" w:fill="FFFFFF"/>
        </w:rPr>
        <w:t xml:space="preserve">, </w:t>
      </w:r>
      <w:r w:rsidR="001B54F4" w:rsidRPr="00667DA4">
        <w:rPr>
          <w:rFonts w:cs="Arial"/>
          <w:shd w:val="clear" w:color="auto" w:fill="FFFFFF"/>
        </w:rPr>
        <w:t>underweight,</w:t>
      </w:r>
      <w:r w:rsidR="00B83D5E" w:rsidRPr="00667DA4">
        <w:rPr>
          <w:rFonts w:cs="Arial"/>
          <w:shd w:val="clear" w:color="auto" w:fill="FFFFFF"/>
        </w:rPr>
        <w:t xml:space="preserve"> from larger households</w:t>
      </w:r>
      <w:r w:rsidR="001B54F4" w:rsidRPr="00667DA4">
        <w:rPr>
          <w:rFonts w:cs="Arial"/>
          <w:shd w:val="clear" w:color="auto" w:fill="FFFFFF"/>
        </w:rPr>
        <w:t>,</w:t>
      </w:r>
      <w:r w:rsidR="00B83D5E" w:rsidRPr="00667DA4">
        <w:rPr>
          <w:rFonts w:cs="Arial"/>
          <w:shd w:val="clear" w:color="auto" w:fill="FFFFFF"/>
        </w:rPr>
        <w:t xml:space="preserve"> with hypertension, or on immunosuppressants</w:t>
      </w:r>
      <w:r w:rsidR="00EE50D3" w:rsidRPr="00667DA4">
        <w:rPr>
          <w:rFonts w:cs="Arial"/>
          <w:shd w:val="clear" w:color="auto" w:fill="FFFFFF"/>
        </w:rPr>
        <w:t>.</w:t>
      </w:r>
      <w:r w:rsidR="00206C0F" w:rsidRPr="00667DA4">
        <w:rPr>
          <w:rFonts w:cs="Arial"/>
          <w:shd w:val="clear" w:color="auto" w:fill="FFFFFF"/>
        </w:rPr>
        <w:t xml:space="preserve"> For those with asthma, however, </w:t>
      </w:r>
      <w:r w:rsidR="00206C0F" w:rsidRPr="00667DA4">
        <w:rPr>
          <w:rFonts w:cs="Arial"/>
        </w:rPr>
        <w:t xml:space="preserve">we observed that being </w:t>
      </w:r>
      <w:r w:rsidR="00206C0F" w:rsidRPr="00667DA4">
        <w:rPr>
          <w:rFonts w:cs="Arial"/>
          <w:shd w:val="clear" w:color="auto" w:fill="FFFFFF"/>
        </w:rPr>
        <w:t xml:space="preserve">on HRT was associated with a significantly lower risk of mortality (OR 0.58, 95% CI 0.42 to 0.81). </w:t>
      </w:r>
      <w:r w:rsidR="00EE50D3" w:rsidRPr="00667DA4">
        <w:rPr>
          <w:rFonts w:cs="Arial"/>
          <w:shd w:val="clear" w:color="auto" w:fill="FFFFFF"/>
        </w:rPr>
        <w:t>These results are shown in table 3 below.</w:t>
      </w:r>
    </w:p>
    <w:p w14:paraId="15BA5B90" w14:textId="6CA039DE" w:rsidR="00D91830" w:rsidRPr="00667DA4" w:rsidRDefault="00C8703A" w:rsidP="00FE5251">
      <w:pPr>
        <w:spacing w:line="480" w:lineRule="auto"/>
        <w:jc w:val="both"/>
        <w:rPr>
          <w:rFonts w:cs="Arial"/>
        </w:rPr>
      </w:pPr>
      <w:r w:rsidRPr="00667DA4">
        <w:rPr>
          <w:rFonts w:cs="Arial"/>
        </w:rPr>
        <w:t>An additional</w:t>
      </w:r>
      <w:r w:rsidR="00B6297E" w:rsidRPr="00667DA4">
        <w:rPr>
          <w:rFonts w:cs="Arial"/>
        </w:rPr>
        <w:t xml:space="preserve"> sensitivity analysis </w:t>
      </w:r>
      <w:r w:rsidRPr="00667DA4">
        <w:rPr>
          <w:rFonts w:cs="Arial"/>
        </w:rPr>
        <w:t xml:space="preserve">using multiple imputation for missing </w:t>
      </w:r>
      <w:r w:rsidR="001C1C99" w:rsidRPr="00667DA4">
        <w:rPr>
          <w:rFonts w:cs="Arial"/>
        </w:rPr>
        <w:t xml:space="preserve">data found </w:t>
      </w:r>
      <w:r w:rsidR="00F726AE" w:rsidRPr="00667DA4">
        <w:rPr>
          <w:rFonts w:cs="Arial"/>
        </w:rPr>
        <w:t>a non-</w:t>
      </w:r>
      <w:r w:rsidR="00114CA1" w:rsidRPr="00667DA4">
        <w:rPr>
          <w:rFonts w:cs="Arial"/>
        </w:rPr>
        <w:t xml:space="preserve">significant </w:t>
      </w:r>
      <w:r w:rsidR="00904AF1" w:rsidRPr="00667DA4">
        <w:rPr>
          <w:rFonts w:cs="Arial"/>
        </w:rPr>
        <w:t>reduction in all-cause mortality associated with</w:t>
      </w:r>
      <w:r w:rsidR="003101C7" w:rsidRPr="00667DA4">
        <w:rPr>
          <w:rFonts w:cs="Arial"/>
        </w:rPr>
        <w:t xml:space="preserve"> HRT use </w:t>
      </w:r>
      <w:r w:rsidR="006B08DF" w:rsidRPr="00667DA4">
        <w:rPr>
          <w:rFonts w:eastAsia="Times New Roman"/>
        </w:rPr>
        <w:t>(OR 0,47; 95% CI 0.18-1.23).</w:t>
      </w:r>
    </w:p>
    <w:p w14:paraId="19042082" w14:textId="5899B18E" w:rsidR="00B6297E" w:rsidRPr="00667DA4" w:rsidRDefault="00B6297E" w:rsidP="00FE5251">
      <w:pPr>
        <w:spacing w:line="480" w:lineRule="auto"/>
        <w:jc w:val="both"/>
        <w:rPr>
          <w:rFonts w:cs="Arial"/>
        </w:rPr>
      </w:pPr>
    </w:p>
    <w:p w14:paraId="1B3D83DB" w14:textId="77777777" w:rsidR="00B6297E" w:rsidRPr="00667DA4" w:rsidRDefault="00B6297E" w:rsidP="00FE5251">
      <w:pPr>
        <w:spacing w:line="480" w:lineRule="auto"/>
        <w:jc w:val="both"/>
        <w:rPr>
          <w:rFonts w:cs="Arial"/>
        </w:rPr>
      </w:pPr>
    </w:p>
    <w:p w14:paraId="6E23217F" w14:textId="3E9A4E7B" w:rsidR="002854D7" w:rsidRPr="00667DA4" w:rsidRDefault="002854D7" w:rsidP="00FE5251">
      <w:pPr>
        <w:autoSpaceDE w:val="0"/>
        <w:autoSpaceDN w:val="0"/>
        <w:adjustRightInd w:val="0"/>
        <w:spacing w:line="480" w:lineRule="auto"/>
        <w:jc w:val="both"/>
        <w:rPr>
          <w:rFonts w:cs="Arial"/>
          <w:i/>
          <w:iCs/>
          <w:shd w:val="clear" w:color="auto" w:fill="FFFFFF"/>
        </w:rPr>
      </w:pPr>
      <w:r w:rsidRPr="00667DA4">
        <w:rPr>
          <w:rFonts w:cs="Arial"/>
          <w:i/>
          <w:iCs/>
          <w:shd w:val="clear" w:color="auto" w:fill="FFFFFF"/>
        </w:rPr>
        <w:lastRenderedPageBreak/>
        <w:t>COCP use and all-cause mortality in COV</w:t>
      </w:r>
      <w:r w:rsidR="001B54F4" w:rsidRPr="00667DA4">
        <w:rPr>
          <w:rFonts w:cs="Arial"/>
          <w:i/>
          <w:iCs/>
          <w:shd w:val="clear" w:color="auto" w:fill="FFFFFF"/>
        </w:rPr>
        <w:t>I</w:t>
      </w:r>
      <w:r w:rsidRPr="00667DA4">
        <w:rPr>
          <w:rFonts w:cs="Arial"/>
          <w:i/>
          <w:iCs/>
          <w:shd w:val="clear" w:color="auto" w:fill="FFFFFF"/>
        </w:rPr>
        <w:t xml:space="preserve">D-19 </w:t>
      </w:r>
    </w:p>
    <w:p w14:paraId="5C4A32DA" w14:textId="3630FA8D" w:rsidR="0099171E" w:rsidRPr="00667DA4" w:rsidRDefault="002854D7" w:rsidP="00FE5251">
      <w:pPr>
        <w:autoSpaceDE w:val="0"/>
        <w:autoSpaceDN w:val="0"/>
        <w:adjustRightInd w:val="0"/>
        <w:spacing w:line="480" w:lineRule="auto"/>
        <w:jc w:val="both"/>
        <w:rPr>
          <w:rFonts w:cs="Arial"/>
          <w:shd w:val="clear" w:color="auto" w:fill="FFFFFF"/>
        </w:rPr>
      </w:pPr>
      <w:r w:rsidRPr="00667DA4">
        <w:rPr>
          <w:rFonts w:cs="Arial"/>
          <w:shd w:val="clear" w:color="auto" w:fill="FFFFFF"/>
        </w:rPr>
        <w:t>We had intended to examine COCP as an exposure bu</w:t>
      </w:r>
      <w:r w:rsidR="001B54F4" w:rsidRPr="00667DA4">
        <w:rPr>
          <w:rFonts w:cs="Arial"/>
          <w:shd w:val="clear" w:color="auto" w:fill="FFFFFF"/>
        </w:rPr>
        <w:t>t</w:t>
      </w:r>
      <w:r w:rsidR="008320D9" w:rsidRPr="00667DA4">
        <w:rPr>
          <w:rFonts w:cs="Arial"/>
          <w:shd w:val="clear" w:color="auto" w:fill="FFFFFF"/>
        </w:rPr>
        <w:t xml:space="preserve"> as </w:t>
      </w:r>
      <w:bookmarkStart w:id="4" w:name="_Hlk59180108"/>
      <w:r w:rsidR="008320D9" w:rsidRPr="00667DA4">
        <w:rPr>
          <w:rFonts w:cs="Arial"/>
          <w:shd w:val="clear" w:color="auto" w:fill="FFFFFF"/>
        </w:rPr>
        <w:t xml:space="preserve">there were no reported </w:t>
      </w:r>
      <w:r w:rsidR="00591E02" w:rsidRPr="00667DA4">
        <w:rPr>
          <w:rFonts w:cs="Arial"/>
          <w:shd w:val="clear" w:color="auto" w:fill="FFFFFF"/>
        </w:rPr>
        <w:t>events for the outcome of interest (all-cause mortality)</w:t>
      </w:r>
      <w:r w:rsidR="008320D9" w:rsidRPr="00667DA4">
        <w:rPr>
          <w:rFonts w:cs="Arial"/>
          <w:shd w:val="clear" w:color="auto" w:fill="FFFFFF"/>
        </w:rPr>
        <w:t xml:space="preserve"> in women prescribed COCPs</w:t>
      </w:r>
      <w:r w:rsidR="00377099" w:rsidRPr="00667DA4">
        <w:rPr>
          <w:rFonts w:cs="Arial"/>
          <w:shd w:val="clear" w:color="auto" w:fill="FFFFFF"/>
        </w:rPr>
        <w:t>.</w:t>
      </w:r>
      <w:r w:rsidR="00845091" w:rsidRPr="00667DA4">
        <w:rPr>
          <w:rFonts w:cs="Arial"/>
          <w:shd w:val="clear" w:color="auto" w:fill="FFFFFF"/>
        </w:rPr>
        <w:t xml:space="preserve"> Accordingly, we were unable to examine </w:t>
      </w:r>
      <w:bookmarkEnd w:id="4"/>
      <w:r w:rsidR="00377099" w:rsidRPr="00667DA4">
        <w:rPr>
          <w:rFonts w:cs="Arial"/>
          <w:shd w:val="clear" w:color="auto" w:fill="FFFFFF"/>
        </w:rPr>
        <w:t>COCP use.</w:t>
      </w:r>
    </w:p>
    <w:p w14:paraId="06FA1661" w14:textId="77777777" w:rsidR="00D91830" w:rsidRPr="00667DA4" w:rsidRDefault="00D91830" w:rsidP="00FE5251">
      <w:pPr>
        <w:spacing w:line="480" w:lineRule="auto"/>
        <w:rPr>
          <w:rFonts w:eastAsia="Times New Roman" w:cs="Arial"/>
          <w:b/>
          <w:u w:val="single"/>
          <w:lang w:eastAsia="en-GB"/>
        </w:rPr>
      </w:pPr>
    </w:p>
    <w:p w14:paraId="4868CBE9" w14:textId="05BDBFA2" w:rsidR="002B5E1B" w:rsidRPr="00667DA4" w:rsidRDefault="0009093A" w:rsidP="00FE5251">
      <w:pPr>
        <w:spacing w:line="480" w:lineRule="auto"/>
        <w:rPr>
          <w:rFonts w:eastAsia="Times New Roman" w:cs="Arial"/>
          <w:b/>
          <w:u w:val="single"/>
          <w:lang w:eastAsia="en-GB"/>
        </w:rPr>
      </w:pPr>
      <w:r w:rsidRPr="00667DA4">
        <w:rPr>
          <w:rFonts w:eastAsia="Times New Roman" w:cs="Arial"/>
          <w:b/>
          <w:u w:val="single"/>
          <w:lang w:eastAsia="en-GB"/>
        </w:rPr>
        <w:br w:type="column"/>
      </w:r>
      <w:r w:rsidR="00E67147" w:rsidRPr="00667DA4">
        <w:rPr>
          <w:rFonts w:eastAsia="Times New Roman" w:cs="Arial"/>
          <w:b/>
          <w:u w:val="single"/>
          <w:lang w:eastAsia="en-GB"/>
        </w:rPr>
        <w:lastRenderedPageBreak/>
        <w:t>DISCUSSION</w:t>
      </w:r>
    </w:p>
    <w:p w14:paraId="4EE90493" w14:textId="15C6347E" w:rsidR="00E67147" w:rsidRPr="00667DA4" w:rsidRDefault="00416D6D" w:rsidP="00FE5251">
      <w:pPr>
        <w:spacing w:line="480" w:lineRule="auto"/>
        <w:rPr>
          <w:rFonts w:eastAsia="Times New Roman" w:cs="Arial"/>
          <w:b/>
          <w:lang w:eastAsia="en-GB"/>
        </w:rPr>
      </w:pPr>
      <w:r w:rsidRPr="00667DA4">
        <w:rPr>
          <w:rFonts w:eastAsia="Times New Roman" w:cs="Arial"/>
          <w:b/>
          <w:lang w:eastAsia="en-GB"/>
        </w:rPr>
        <w:t>Main</w:t>
      </w:r>
      <w:r w:rsidR="00E67147" w:rsidRPr="00667DA4">
        <w:rPr>
          <w:rFonts w:eastAsia="Times New Roman" w:cs="Arial"/>
          <w:b/>
          <w:lang w:eastAsia="en-GB"/>
        </w:rPr>
        <w:t xml:space="preserve"> findings</w:t>
      </w:r>
    </w:p>
    <w:p w14:paraId="1148D174" w14:textId="05633219" w:rsidR="00416D6D" w:rsidRPr="00667DA4" w:rsidRDefault="00E67147" w:rsidP="00FE5251">
      <w:pPr>
        <w:spacing w:line="480" w:lineRule="auto"/>
        <w:rPr>
          <w:rFonts w:cs="Arial"/>
        </w:rPr>
      </w:pPr>
      <w:r w:rsidRPr="00667DA4">
        <w:rPr>
          <w:rFonts w:cs="Arial"/>
        </w:rPr>
        <w:t xml:space="preserve">In this cohort of </w:t>
      </w:r>
      <w:r w:rsidR="00760AD6" w:rsidRPr="00667DA4">
        <w:rPr>
          <w:rFonts w:cs="Arial"/>
          <w:shd w:val="clear" w:color="auto" w:fill="FFFFFF"/>
        </w:rPr>
        <w:t>5451</w:t>
      </w:r>
      <w:r w:rsidRPr="00667DA4">
        <w:rPr>
          <w:rFonts w:cs="Arial"/>
          <w:shd w:val="clear" w:color="auto" w:fill="FFFFFF"/>
        </w:rPr>
        <w:t xml:space="preserve"> </w:t>
      </w:r>
      <w:r w:rsidR="00760AD6" w:rsidRPr="00667DA4">
        <w:rPr>
          <w:rFonts w:cs="Arial"/>
          <w:shd w:val="clear" w:color="auto" w:fill="FFFFFF"/>
        </w:rPr>
        <w:t>women with COVID-19</w:t>
      </w:r>
      <w:r w:rsidR="00202F72" w:rsidRPr="00667DA4">
        <w:rPr>
          <w:rFonts w:cs="Arial"/>
          <w:shd w:val="clear" w:color="auto" w:fill="FFFFFF"/>
        </w:rPr>
        <w:t xml:space="preserve"> who were followed up in the first six months of the pandemic</w:t>
      </w:r>
      <w:r w:rsidRPr="00667DA4">
        <w:rPr>
          <w:rFonts w:cs="Arial"/>
          <w:shd w:val="clear" w:color="auto" w:fill="FFFFFF"/>
        </w:rPr>
        <w:t>,</w:t>
      </w:r>
      <w:r w:rsidRPr="00667DA4">
        <w:rPr>
          <w:rFonts w:cs="Arial"/>
        </w:rPr>
        <w:t xml:space="preserve"> </w:t>
      </w:r>
      <w:r w:rsidR="00760AD6" w:rsidRPr="00667DA4">
        <w:rPr>
          <w:rFonts w:cs="Arial"/>
        </w:rPr>
        <w:t>HRT</w:t>
      </w:r>
      <w:r w:rsidRPr="00667DA4">
        <w:rPr>
          <w:rFonts w:cs="Arial"/>
        </w:rPr>
        <w:t xml:space="preserve"> use </w:t>
      </w:r>
      <w:r w:rsidR="00760AD6" w:rsidRPr="00667DA4">
        <w:rPr>
          <w:rFonts w:cs="Arial"/>
        </w:rPr>
        <w:t xml:space="preserve">was associated with a lower </w:t>
      </w:r>
      <w:r w:rsidR="00900225" w:rsidRPr="00667DA4">
        <w:rPr>
          <w:rFonts w:cs="Arial"/>
        </w:rPr>
        <w:t xml:space="preserve">likelihood </w:t>
      </w:r>
      <w:r w:rsidR="00760AD6" w:rsidRPr="00667DA4">
        <w:rPr>
          <w:rFonts w:cs="Arial"/>
        </w:rPr>
        <w:t>of</w:t>
      </w:r>
      <w:r w:rsidRPr="00667DA4">
        <w:rPr>
          <w:rFonts w:cs="Arial"/>
        </w:rPr>
        <w:t xml:space="preserve"> all-cause mortalit</w:t>
      </w:r>
      <w:r w:rsidR="00416D6D" w:rsidRPr="00667DA4">
        <w:rPr>
          <w:rFonts w:cs="Arial"/>
        </w:rPr>
        <w:t>y</w:t>
      </w:r>
      <w:r w:rsidR="00202F72" w:rsidRPr="00667DA4">
        <w:rPr>
          <w:rFonts w:cs="Arial"/>
        </w:rPr>
        <w:t>.</w:t>
      </w:r>
    </w:p>
    <w:p w14:paraId="21203150" w14:textId="466A2DD1" w:rsidR="00E67147" w:rsidRPr="00667DA4" w:rsidRDefault="00E67147" w:rsidP="00FE5251">
      <w:pPr>
        <w:spacing w:line="480" w:lineRule="auto"/>
        <w:rPr>
          <w:rFonts w:eastAsia="Times New Roman" w:cs="Arial"/>
          <w:b/>
          <w:lang w:eastAsia="en-GB"/>
        </w:rPr>
      </w:pPr>
      <w:r w:rsidRPr="00667DA4">
        <w:rPr>
          <w:rFonts w:eastAsia="Times New Roman" w:cs="Arial"/>
          <w:b/>
          <w:lang w:eastAsia="en-GB"/>
        </w:rPr>
        <w:t>Strengths and limitation</w:t>
      </w:r>
      <w:r w:rsidR="00AC457E" w:rsidRPr="00667DA4">
        <w:rPr>
          <w:rFonts w:eastAsia="Times New Roman" w:cs="Arial"/>
          <w:b/>
          <w:lang w:eastAsia="en-GB"/>
        </w:rPr>
        <w:t>s</w:t>
      </w:r>
    </w:p>
    <w:p w14:paraId="630762F3" w14:textId="0235E77F" w:rsidR="00EA3786" w:rsidRPr="00667DA4" w:rsidRDefault="00416D6D" w:rsidP="00FE5251">
      <w:pPr>
        <w:autoSpaceDE w:val="0"/>
        <w:autoSpaceDN w:val="0"/>
        <w:adjustRightInd w:val="0"/>
        <w:spacing w:line="480" w:lineRule="auto"/>
        <w:jc w:val="both"/>
        <w:rPr>
          <w:rFonts w:cs="Arial"/>
        </w:rPr>
      </w:pPr>
      <w:r w:rsidRPr="00667DA4">
        <w:rPr>
          <w:rFonts w:cs="Arial"/>
          <w:shd w:val="clear" w:color="auto" w:fill="FFFFFF"/>
        </w:rPr>
        <w:t>A major strength</w:t>
      </w:r>
      <w:r w:rsidR="000B4629" w:rsidRPr="00667DA4">
        <w:rPr>
          <w:rFonts w:cs="Arial"/>
          <w:shd w:val="clear" w:color="auto" w:fill="FFFFFF"/>
        </w:rPr>
        <w:t xml:space="preserve"> of this study</w:t>
      </w:r>
      <w:r w:rsidRPr="00667DA4">
        <w:rPr>
          <w:rFonts w:cs="Arial"/>
          <w:shd w:val="clear" w:color="auto" w:fill="FFFFFF"/>
        </w:rPr>
        <w:t xml:space="preserve"> is the </w:t>
      </w:r>
      <w:r w:rsidR="000B4629" w:rsidRPr="00667DA4">
        <w:rPr>
          <w:rFonts w:cs="Arial"/>
          <w:shd w:val="clear" w:color="auto" w:fill="FFFFFF"/>
        </w:rPr>
        <w:t xml:space="preserve">use of a </w:t>
      </w:r>
      <w:r w:rsidRPr="00667DA4">
        <w:rPr>
          <w:rFonts w:cs="Arial"/>
          <w:shd w:val="clear" w:color="auto" w:fill="FFFFFF"/>
        </w:rPr>
        <w:t>population</w:t>
      </w:r>
      <w:r w:rsidR="000B4629" w:rsidRPr="00667DA4">
        <w:rPr>
          <w:rFonts w:cs="Arial"/>
          <w:shd w:val="clear" w:color="auto" w:fill="FFFFFF"/>
        </w:rPr>
        <w:t>-</w:t>
      </w:r>
      <w:r w:rsidRPr="00667DA4">
        <w:rPr>
          <w:rFonts w:cs="Arial"/>
          <w:shd w:val="clear" w:color="auto" w:fill="FFFFFF"/>
        </w:rPr>
        <w:t xml:space="preserve">based cohort from </w:t>
      </w:r>
      <w:r w:rsidR="00EC53CA" w:rsidRPr="00667DA4">
        <w:rPr>
          <w:rFonts w:cs="Arial"/>
          <w:shd w:val="clear" w:color="auto" w:fill="FFFFFF"/>
        </w:rPr>
        <w:t>465</w:t>
      </w:r>
      <w:r w:rsidRPr="00667DA4">
        <w:rPr>
          <w:rFonts w:cs="Arial"/>
          <w:shd w:val="clear" w:color="auto" w:fill="FFFFFF"/>
        </w:rPr>
        <w:t xml:space="preserve"> practices across England represen</w:t>
      </w:r>
      <w:r w:rsidR="000B4629" w:rsidRPr="00667DA4">
        <w:rPr>
          <w:rFonts w:cs="Arial"/>
          <w:shd w:val="clear" w:color="auto" w:fill="FFFFFF"/>
        </w:rPr>
        <w:t>ting wide coverage with a denominator population of 3.6 million people. This included heterogeneity</w:t>
      </w:r>
      <w:r w:rsidRPr="00667DA4">
        <w:rPr>
          <w:rFonts w:cs="Arial"/>
          <w:shd w:val="clear" w:color="auto" w:fill="FFFFFF"/>
        </w:rPr>
        <w:t xml:space="preserve"> in sociodemographic and clinical variables</w:t>
      </w:r>
      <w:r w:rsidR="00E67147" w:rsidRPr="00667DA4">
        <w:rPr>
          <w:rFonts w:cs="Arial"/>
          <w:shd w:val="clear" w:color="auto" w:fill="FFFFFF"/>
        </w:rPr>
        <w:t>.</w:t>
      </w:r>
      <w:r w:rsidR="000B4629" w:rsidRPr="00667DA4">
        <w:rPr>
          <w:rFonts w:cs="Arial"/>
          <w:shd w:val="clear" w:color="auto" w:fill="FFFFFF"/>
        </w:rPr>
        <w:t xml:space="preserve"> The data used is of high quality and completeness with twice</w:t>
      </w:r>
      <w:r w:rsidR="009B7BD1" w:rsidRPr="00667DA4">
        <w:rPr>
          <w:rFonts w:cs="Arial"/>
          <w:shd w:val="clear" w:color="auto" w:fill="FFFFFF"/>
        </w:rPr>
        <w:t>-</w:t>
      </w:r>
      <w:r w:rsidR="000B4629" w:rsidRPr="00667DA4">
        <w:rPr>
          <w:rFonts w:cs="Arial"/>
          <w:shd w:val="clear" w:color="auto" w:fill="FFFFFF"/>
        </w:rPr>
        <w:t>weekly updates that are also used by Public Health England to monitor the current and previous pandemics</w:t>
      </w:r>
      <w:r w:rsidR="00E67147" w:rsidRPr="00667DA4">
        <w:rPr>
          <w:rFonts w:cs="Arial"/>
          <w:shd w:val="clear" w:color="auto" w:fill="FFFFFF"/>
        </w:rPr>
        <w:t>.</w:t>
      </w:r>
      <w:r w:rsidR="00E67147" w:rsidRPr="00667DA4">
        <w:rPr>
          <w:rFonts w:cs="Arial"/>
          <w:shd w:val="clear" w:color="auto" w:fill="FFFFFF"/>
        </w:rPr>
        <w:fldChar w:fldCharType="begin" w:fldLock="1"/>
      </w:r>
      <w:r w:rsidR="005E4FFF" w:rsidRPr="00667DA4">
        <w:rPr>
          <w:rFonts w:cs="Arial"/>
          <w:shd w:val="clear" w:color="auto" w:fill="FFFFFF"/>
        </w:rPr>
        <w:instrText>ADDIN CSL_CITATION {"citationItems":[{"id":"ITEM-1","itemData":{"DOI":"10.3399/bjgp17X692645","ISSN":"14785242","author":[{"dropping-particle":"","family":"Lusignan","given":"Simon","non-dropping-particle":"De","parse-names":false,"suffix":""},{"dropping-particle":"","family":"Correa","given":"Ana","non-dropping-particle":"","parse-names":false,"suffix":""},{"dropping-particle":"","family":"Smith","given":"Gillian E.","non-dropping-particle":"","parse-names":false,"suffix":""},{"dropping-particle":"","family":"Yonova","given":"Ivelina","non-dropping-particle":"","parse-names":false,"suffix":""},{"dropping-particle":"","family":"Pebody","given":"Richard","non-dropping-particle":"","parse-names":false,"suffix":""},{"dropping-particle":"","family":"Ferreira","given":"Filipa","non-dropping-particle":"","parse-names":false,"suffix":""},{"dropping-particle":"","family":"Elliot","given":"Alex J.","non-dropping-particle":"","parse-names":false,"suffix":""},{"dropping-particle":"","family":"Fleming","given":"Douglas","non-dropping-particle":"","parse-names":false,"suffix":""}],"container-title":"British Journal of General Practice","id":"ITEM-1","issue":"663","issued":{"date-parts":[["2017","10"]]},"page":"440-441","publisher":"Royal College of General Practitioners","title":"RCGP Research and Surveillance Centre: 50 years' surveillance of influenza, infections, and respiratory conditions","type":"article","volume":"67"},"uris":["http://www.mendeley.com/documents/?uuid=22fa63e2-d7e7-472a-904d-2e2396448b2a"]}],"mendeley":{"formattedCitation":"[10]","plainTextFormattedCitation":"[10]","previouslyFormattedCitation":"[10]"},"properties":{"noteIndex":0},"schema":"https://github.com/citation-style-language/schema/raw/master/csl-citation.json"}</w:instrText>
      </w:r>
      <w:r w:rsidR="00E67147" w:rsidRPr="00667DA4">
        <w:rPr>
          <w:rFonts w:cs="Arial"/>
          <w:shd w:val="clear" w:color="auto" w:fill="FFFFFF"/>
        </w:rPr>
        <w:fldChar w:fldCharType="separate"/>
      </w:r>
      <w:r w:rsidR="00577C0F" w:rsidRPr="00667DA4">
        <w:rPr>
          <w:rFonts w:cs="Arial"/>
          <w:noProof/>
          <w:shd w:val="clear" w:color="auto" w:fill="FFFFFF"/>
        </w:rPr>
        <w:t>[10]</w:t>
      </w:r>
      <w:r w:rsidR="00E67147" w:rsidRPr="00667DA4">
        <w:rPr>
          <w:rFonts w:cs="Arial"/>
          <w:shd w:val="clear" w:color="auto" w:fill="FFFFFF"/>
        </w:rPr>
        <w:fldChar w:fldCharType="end"/>
      </w:r>
      <w:r w:rsidR="00E67147" w:rsidRPr="00667DA4">
        <w:rPr>
          <w:rFonts w:cs="Arial"/>
          <w:shd w:val="clear" w:color="auto" w:fill="FFFFFF"/>
        </w:rPr>
        <w:t xml:space="preserve"> </w:t>
      </w:r>
      <w:r w:rsidR="000B4629" w:rsidRPr="00667DA4">
        <w:rPr>
          <w:rFonts w:cs="Arial"/>
          <w:shd w:val="clear" w:color="auto" w:fill="FFFFFF"/>
        </w:rPr>
        <w:t>The availab</w:t>
      </w:r>
      <w:r w:rsidR="00EE50D3" w:rsidRPr="00667DA4">
        <w:rPr>
          <w:rFonts w:cs="Arial"/>
          <w:shd w:val="clear" w:color="auto" w:fill="FFFFFF"/>
        </w:rPr>
        <w:t>ility</w:t>
      </w:r>
      <w:r w:rsidR="000B4629" w:rsidRPr="00667DA4">
        <w:rPr>
          <w:rFonts w:cs="Arial"/>
          <w:shd w:val="clear" w:color="auto" w:fill="FFFFFF"/>
        </w:rPr>
        <w:t xml:space="preserve"> of wide-ranging and precise data means that we were able to </w:t>
      </w:r>
      <w:r w:rsidR="008C609D" w:rsidRPr="00667DA4">
        <w:rPr>
          <w:rFonts w:cs="Arial"/>
          <w:shd w:val="clear" w:color="auto" w:fill="FFFFFF"/>
        </w:rPr>
        <w:t xml:space="preserve">adjust for </w:t>
      </w:r>
      <w:r w:rsidR="009B7BD1" w:rsidRPr="00667DA4">
        <w:rPr>
          <w:rFonts w:cs="Arial"/>
          <w:shd w:val="clear" w:color="auto" w:fill="FFFFFF"/>
        </w:rPr>
        <w:t>several</w:t>
      </w:r>
      <w:r w:rsidR="008C609D" w:rsidRPr="00667DA4">
        <w:rPr>
          <w:rFonts w:cs="Arial"/>
          <w:shd w:val="clear" w:color="auto" w:fill="FFFFFF"/>
        </w:rPr>
        <w:t xml:space="preserve"> confounders, although residual </w:t>
      </w:r>
      <w:r w:rsidR="00755C85" w:rsidRPr="00667DA4">
        <w:rPr>
          <w:rFonts w:cs="Arial"/>
          <w:shd w:val="clear" w:color="auto" w:fill="FFFFFF"/>
        </w:rPr>
        <w:t xml:space="preserve">unmeasured </w:t>
      </w:r>
      <w:r w:rsidR="008C609D" w:rsidRPr="00667DA4">
        <w:rPr>
          <w:rFonts w:cs="Arial"/>
          <w:shd w:val="clear" w:color="auto" w:fill="FFFFFF"/>
        </w:rPr>
        <w:t>confounding</w:t>
      </w:r>
      <w:r w:rsidR="003C31E7" w:rsidRPr="00667DA4">
        <w:rPr>
          <w:rFonts w:cs="Arial"/>
          <w:shd w:val="clear" w:color="auto" w:fill="FFFFFF"/>
        </w:rPr>
        <w:t xml:space="preserve"> and risk of misclassification </w:t>
      </w:r>
      <w:r w:rsidR="008C609D" w:rsidRPr="00667DA4">
        <w:rPr>
          <w:rFonts w:cs="Arial"/>
          <w:shd w:val="clear" w:color="auto" w:fill="FFFFFF"/>
        </w:rPr>
        <w:t xml:space="preserve"> is still possible</w:t>
      </w:r>
      <w:r w:rsidR="003C31E7" w:rsidRPr="00667DA4">
        <w:rPr>
          <w:rFonts w:cs="Arial"/>
          <w:shd w:val="clear" w:color="auto" w:fill="FFFFFF"/>
        </w:rPr>
        <w:t>, as an inherent limitation of the retrospective cohort design</w:t>
      </w:r>
      <w:r w:rsidR="008C609D" w:rsidRPr="00667DA4">
        <w:rPr>
          <w:rFonts w:cs="Arial"/>
          <w:shd w:val="clear" w:color="auto" w:fill="FFFFFF"/>
        </w:rPr>
        <w:t>. We considered both laboratory</w:t>
      </w:r>
      <w:r w:rsidR="009B7BD1" w:rsidRPr="00667DA4">
        <w:rPr>
          <w:rFonts w:cs="Arial"/>
          <w:shd w:val="clear" w:color="auto" w:fill="FFFFFF"/>
        </w:rPr>
        <w:t>-</w:t>
      </w:r>
      <w:r w:rsidR="00E67147" w:rsidRPr="00667DA4">
        <w:rPr>
          <w:rFonts w:cs="Arial"/>
          <w:shd w:val="clear" w:color="auto" w:fill="FFFFFF"/>
        </w:rPr>
        <w:t>confirme</w:t>
      </w:r>
      <w:r w:rsidR="008C609D" w:rsidRPr="00667DA4">
        <w:rPr>
          <w:rFonts w:cs="Arial"/>
          <w:shd w:val="clear" w:color="auto" w:fill="FFFFFF"/>
        </w:rPr>
        <w:t xml:space="preserve">d and </w:t>
      </w:r>
      <w:r w:rsidR="00E67147" w:rsidRPr="00667DA4">
        <w:rPr>
          <w:rFonts w:cs="Arial"/>
          <w:shd w:val="clear" w:color="auto" w:fill="FFFFFF"/>
        </w:rPr>
        <w:t xml:space="preserve">clinically </w:t>
      </w:r>
      <w:r w:rsidR="0044119C" w:rsidRPr="00667DA4">
        <w:rPr>
          <w:rFonts w:cs="Arial"/>
          <w:shd w:val="clear" w:color="auto" w:fill="FFFFFF"/>
        </w:rPr>
        <w:t xml:space="preserve">probable </w:t>
      </w:r>
      <w:r w:rsidR="00E67147" w:rsidRPr="00667DA4">
        <w:rPr>
          <w:rFonts w:cs="Arial"/>
          <w:shd w:val="clear" w:color="auto" w:fill="FFFFFF"/>
        </w:rPr>
        <w:t>cases</w:t>
      </w:r>
      <w:r w:rsidR="008C609D" w:rsidRPr="00667DA4">
        <w:rPr>
          <w:rFonts w:cs="Arial"/>
          <w:shd w:val="clear" w:color="auto" w:fill="FFFFFF"/>
        </w:rPr>
        <w:t xml:space="preserve"> as a single cohort due to the national inconsistency in testing availability</w:t>
      </w:r>
      <w:r w:rsidR="004235E6" w:rsidRPr="00667DA4">
        <w:rPr>
          <w:rFonts w:cs="Arial"/>
          <w:shd w:val="clear" w:color="auto" w:fill="FFFFFF"/>
        </w:rPr>
        <w:t xml:space="preserve"> at the time</w:t>
      </w:r>
      <w:r w:rsidR="008C609D" w:rsidRPr="00667DA4">
        <w:rPr>
          <w:rFonts w:cs="Arial"/>
          <w:shd w:val="clear" w:color="auto" w:fill="FFFFFF"/>
        </w:rPr>
        <w:t xml:space="preserve">. </w:t>
      </w:r>
      <w:r w:rsidR="00734902" w:rsidRPr="00667DA4">
        <w:rPr>
          <w:rFonts w:cs="Arial"/>
          <w:shd w:val="clear" w:color="auto" w:fill="FFFFFF"/>
        </w:rPr>
        <w:t xml:space="preserve">Furthermore, </w:t>
      </w:r>
      <w:r w:rsidR="00734902" w:rsidRPr="00667DA4">
        <w:rPr>
          <w:rFonts w:cs="Arial"/>
        </w:rPr>
        <w:t xml:space="preserve">data on the method of temperature measurement was not available. </w:t>
      </w:r>
      <w:r w:rsidR="008C609D" w:rsidRPr="00667DA4">
        <w:rPr>
          <w:rFonts w:cs="Arial"/>
          <w:shd w:val="clear" w:color="auto" w:fill="FFFFFF"/>
        </w:rPr>
        <w:t xml:space="preserve">It is </w:t>
      </w:r>
      <w:r w:rsidR="00734902" w:rsidRPr="00667DA4">
        <w:rPr>
          <w:rFonts w:cs="Arial"/>
          <w:shd w:val="clear" w:color="auto" w:fill="FFFFFF"/>
        </w:rPr>
        <w:t xml:space="preserve">therefore </w:t>
      </w:r>
      <w:r w:rsidR="008C609D" w:rsidRPr="00667DA4">
        <w:rPr>
          <w:rFonts w:cs="Arial"/>
          <w:shd w:val="clear" w:color="auto" w:fill="FFFFFF"/>
        </w:rPr>
        <w:t xml:space="preserve">plausible that not all those with clinically </w:t>
      </w:r>
      <w:r w:rsidR="0044119C" w:rsidRPr="00667DA4">
        <w:rPr>
          <w:rFonts w:cs="Arial"/>
          <w:shd w:val="clear" w:color="auto" w:fill="FFFFFF"/>
        </w:rPr>
        <w:t xml:space="preserve">probable </w:t>
      </w:r>
      <w:r w:rsidR="008C609D" w:rsidRPr="00667DA4">
        <w:rPr>
          <w:rFonts w:cs="Arial"/>
          <w:shd w:val="clear" w:color="auto" w:fill="FFFFFF"/>
        </w:rPr>
        <w:t xml:space="preserve">cases had </w:t>
      </w:r>
      <w:r w:rsidR="008C609D" w:rsidRPr="00667DA4">
        <w:rPr>
          <w:rFonts w:cs="Arial"/>
        </w:rPr>
        <w:t>SARS-CoV-2</w:t>
      </w:r>
      <w:r w:rsidR="00DA4CB6" w:rsidRPr="00667DA4">
        <w:rPr>
          <w:rFonts w:cs="Arial"/>
        </w:rPr>
        <w:t>.</w:t>
      </w:r>
      <w:r w:rsidR="008C609D" w:rsidRPr="00667DA4">
        <w:rPr>
          <w:rFonts w:cs="Arial"/>
        </w:rPr>
        <w:t xml:space="preserve"> </w:t>
      </w:r>
      <w:r w:rsidR="00C35CEC" w:rsidRPr="00667DA4">
        <w:rPr>
          <w:rFonts w:cs="Arial"/>
          <w:shd w:val="clear" w:color="auto" w:fill="FFFFFF"/>
        </w:rPr>
        <w:t xml:space="preserve">Recent work </w:t>
      </w:r>
      <w:r w:rsidR="0090549D" w:rsidRPr="00667DA4">
        <w:rPr>
          <w:rFonts w:cs="Arial"/>
          <w:shd w:val="clear" w:color="auto" w:fill="FFFFFF"/>
        </w:rPr>
        <w:t>from the</w:t>
      </w:r>
      <w:r w:rsidR="00C35CEC" w:rsidRPr="00667DA4">
        <w:rPr>
          <w:rFonts w:cs="Arial"/>
          <w:shd w:val="clear" w:color="auto" w:fill="FFFFFF"/>
        </w:rPr>
        <w:t xml:space="preserve"> Oxford RCGP database</w:t>
      </w:r>
      <w:r w:rsidR="0090549D" w:rsidRPr="00667DA4">
        <w:rPr>
          <w:rFonts w:cs="Arial"/>
          <w:shd w:val="clear" w:color="auto" w:fill="FFFFFF"/>
        </w:rPr>
        <w:t>, however,</w:t>
      </w:r>
      <w:r w:rsidR="00C35CEC" w:rsidRPr="00667DA4">
        <w:rPr>
          <w:rFonts w:cs="Arial"/>
          <w:shd w:val="clear" w:color="auto" w:fill="FFFFFF"/>
        </w:rPr>
        <w:t xml:space="preserve"> suggests that outcomes are similar in those with clinically </w:t>
      </w:r>
      <w:r w:rsidR="0044119C" w:rsidRPr="00667DA4">
        <w:rPr>
          <w:rFonts w:cs="Arial"/>
          <w:shd w:val="clear" w:color="auto" w:fill="FFFFFF"/>
        </w:rPr>
        <w:t xml:space="preserve">probable </w:t>
      </w:r>
      <w:r w:rsidR="00C35CEC" w:rsidRPr="00667DA4">
        <w:rPr>
          <w:rFonts w:cs="Arial"/>
          <w:shd w:val="clear" w:color="auto" w:fill="FFFFFF"/>
        </w:rPr>
        <w:t>and laboratory</w:t>
      </w:r>
      <w:r w:rsidR="00F0620C" w:rsidRPr="00667DA4">
        <w:rPr>
          <w:rFonts w:cs="Arial"/>
          <w:shd w:val="clear" w:color="auto" w:fill="FFFFFF"/>
        </w:rPr>
        <w:t>-</w:t>
      </w:r>
      <w:r w:rsidR="00C35CEC" w:rsidRPr="00667DA4">
        <w:rPr>
          <w:rFonts w:cs="Arial"/>
          <w:shd w:val="clear" w:color="auto" w:fill="FFFFFF"/>
        </w:rPr>
        <w:t>confirmed cases.</w:t>
      </w:r>
      <w:r w:rsidR="00C35CEC" w:rsidRPr="00667DA4">
        <w:rPr>
          <w:rFonts w:cs="Arial"/>
          <w:shd w:val="clear" w:color="auto" w:fill="FFFFFF"/>
        </w:rPr>
        <w:fldChar w:fldCharType="begin" w:fldLock="1"/>
      </w:r>
      <w:r w:rsidR="005E4FFF" w:rsidRPr="00667DA4">
        <w:rPr>
          <w:rFonts w:cs="Arial"/>
          <w:shd w:val="clear" w:color="auto" w:fill="FFFFFF"/>
        </w:rPr>
        <w:instrText>ADDIN CSL_CITATION {"citationItems":[{"id":"ITEM-1","itemData":{"DOI":"10.3399/bjgp20x713393","ISSN":"0960-1643","PMID":"33077508","abstract":"BACKGROUND The SARS-CoV-2 pandemic has passed its first peak in Europe. AIM To describe the mortality in England and its association with SARS-CoV-2 status and other demographic and risk factors. DESIGN AND SETTING Cross-sectional analyses of people with known SARS-CoV-2 status in the Oxford RCGP Research and Surveillance Centre (RSC) sentinel network. METHOD Pseudonymised, coded clinical data were uploaded from volunteer general practice members of this nationally representative network ( n = 4 413 734). All-cause mortality was compared with national rates for 2019, using a relative survival model, reporting relative hazard ratios (RHR), and 95% confidence intervals (CI). A multivariable adjusted odds ratios (OR) analysis was conducted for those with known SARS-CoV-2 status ( n = 56 628, 1.3%) including multiple imputation and inverse probability analysis, and a complete cases sensitivity analysis. RESULTS Mortality peaked in week 16. People living in households of ≥9 had a fivefold increase in relative mortality (RHR = 5.1, 95% CI = 4.87 to 5.31, P&lt;0.0001). The ORs of mortality were 8.9 (95% CI = 6.7 to 11.8, P&lt;0.0001) and 9.7 (95% CI = 7.1 to 13.2, P&lt;0.0001) for virologically and clinically diagnosed cases respectively, using people with negative tests as reference. The adjusted mortality for the virologically confirmed group was 18.1% (95% CI = 17.6 to 18.7). Male sex, population density, black ethnicity (compared to white), and people with long-term conditions, including learning disability (OR = 1.96, 95% CI = 1.22 to 3.18, P = 0.0056) had higher odds of mortality. CONCLUSION The first SARS-CoV-2 peak in England has been associated with excess mortality. Planning for subsequent peaks needs to better manage risk in males, those of black ethnicity, older people, people with learning disabilities, and people who live in multi-occupancy dwellings.","author":[{"dropping-particle":"","family":"Joy","given":"Mark","non-dropping-particle":"","parse-names":false,"suffix":""},{"dropping-particle":"","family":"Hobbs","given":"FD Richard","non-dropping-particle":"","parse-names":false,"suffix":""},{"dropping-particle":"","family":"Bernal","given":"Jamie Lopez","non-dropping-particle":"","parse-names":false,"suffix":""},{"dropping-particle":"","family":"Sherlock","given":"Julian","non-dropping-particle":"","parse-names":false,"suffix":""},{"dropping-particle":"","family":"Amirthalingam","given":"Gayatri","non-dropping-particle":"","parse-names":false,"suffix":""},{"dropping-particle":"","family":"McGagh","given":"Dylan","non-dropping-particle":"","parse-names":false,"suffix":""},{"dropping-particle":"","family":"Akinyemi","given":"Oluwafunmi","non-dropping-particle":"","parse-names":false,"suffix":""},{"dropping-particle":"","family":"Byford","given":"Rachel","non-dropping-particle":"","parse-names":false,"suffix":""},{"dropping-particle":"","family":"Dabrera","given":"Gavin","non-dropping-particle":"","parse-names":false,"suffix":""},{"dropping-particle":"","family":"Dorward","given":"Jienchi","non-dropping-particle":"","parse-names":false,"suffix":""},{"dropping-particle":"","family":"Ellis","given":"Joanna","non-dropping-particle":"","parse-names":false,"suffix":""},{"dropping-particle":"","family":"Ferreira","given":"Filipa","non-dropping-particle":"","parse-names":false,"suffix":""},{"dropping-particle":"","family":"Jones","given":"Nicholas","non-dropping-particle":"","parse-names":false,"suffix":""},{"dropping-particle":"","family":"Oke","given":"Jason","non-dropping-particle":"","parse-names":false,"suffix":""},{"dropping-particle":"","family":"Okusi","given":"Cecilia","non-dropping-particle":"","parse-names":false,"suffix":""},{"dropping-particle":"","family":"Nicholson","given":"Brian D","non-dropping-particle":"","parse-names":false,"suffix":""},{"dropping-particle":"","family":"Ramsay","given":"Mary","non-dropping-particle":"","parse-names":false,"suffix":""},{"dropping-particle":"","family":"Sheppard","given":"James P","non-dropping-particle":"","parse-names":false,"suffix":""},{"dropping-particle":"","family":"Sinnathamby","given":"Mary","non-dropping-particle":"","parse-names":false,"suffix":""},{"dropping-particle":"","family":"Zambon","given":"Maria","non-dropping-particle":"","parse-names":false,"suffix":""},{"dropping-particle":"","family":"Howsam","given":"Gary","non-dropping-particle":"","parse-names":false,"suffix":""},{"dropping-particle":"","family":"Williams","given":"John","non-dropping-particle":"","parse-names":false,"suffix":""},{"dropping-particle":"","family":"Lusignan","given":"Simon","non-dropping-particle":"de","parse-names":false,"suffix":""}],"container-title":"British Journal of General Practice","id":"ITEM-1","issue":"701","issued":{"date-parts":[["2020","10"]]},"page":"bjgp20X713393","publisher":"Royal College of General Practitioners","title":"Excess mortality in the first COVID pandemic peak: cross-sectional analyses of the impact of age, sex, ethnicity, household size, and long-term conditions in people of known SARS-Cov-2 status in England","type":"article-journal","volume":"70"},"uris":["http://www.mendeley.com/documents/?uuid=6c1b9518-1afd-3043-a0fe-413ec47f936a","http://www.mendeley.com/documents/?uuid=3a09e017-e9d3-465d-b80a-d5e560f9add9"]}],"mendeley":{"formattedCitation":"[18]","plainTextFormattedCitation":"[18]","previouslyFormattedCitation":"[18]"},"properties":{"noteIndex":0},"schema":"https://github.com/citation-style-language/schema/raw/master/csl-citation.json"}</w:instrText>
      </w:r>
      <w:r w:rsidR="00C35CEC" w:rsidRPr="00667DA4">
        <w:rPr>
          <w:rFonts w:cs="Arial"/>
          <w:shd w:val="clear" w:color="auto" w:fill="FFFFFF"/>
        </w:rPr>
        <w:fldChar w:fldCharType="separate"/>
      </w:r>
      <w:r w:rsidR="00577C0F" w:rsidRPr="00667DA4">
        <w:rPr>
          <w:rFonts w:cs="Arial"/>
          <w:noProof/>
          <w:shd w:val="clear" w:color="auto" w:fill="FFFFFF"/>
        </w:rPr>
        <w:t>[18]</w:t>
      </w:r>
      <w:r w:rsidR="00C35CEC" w:rsidRPr="00667DA4">
        <w:rPr>
          <w:rFonts w:cs="Arial"/>
          <w:shd w:val="clear" w:color="auto" w:fill="FFFFFF"/>
        </w:rPr>
        <w:fldChar w:fldCharType="end"/>
      </w:r>
      <w:r w:rsidR="00C35CEC" w:rsidRPr="00667DA4">
        <w:rPr>
          <w:rFonts w:cs="Arial"/>
          <w:shd w:val="clear" w:color="auto" w:fill="FFFFFF"/>
        </w:rPr>
        <w:t xml:space="preserve"> </w:t>
      </w:r>
      <w:r w:rsidR="008C609D" w:rsidRPr="00667DA4">
        <w:rPr>
          <w:rFonts w:cs="Arial"/>
        </w:rPr>
        <w:t xml:space="preserve">Our cohort </w:t>
      </w:r>
      <w:r w:rsidR="008349FC" w:rsidRPr="00667DA4">
        <w:rPr>
          <w:rFonts w:cs="Arial"/>
        </w:rPr>
        <w:t xml:space="preserve">is likely to reflect women with more severe COVID-19 symptoms who </w:t>
      </w:r>
      <w:r w:rsidR="00DA4CB6" w:rsidRPr="00667DA4">
        <w:rPr>
          <w:rFonts w:cs="Arial"/>
        </w:rPr>
        <w:t>went for</w:t>
      </w:r>
      <w:r w:rsidR="008349FC" w:rsidRPr="00667DA4">
        <w:rPr>
          <w:rFonts w:cs="Arial"/>
        </w:rPr>
        <w:t xml:space="preserve"> test</w:t>
      </w:r>
      <w:r w:rsidR="00DA4CB6" w:rsidRPr="00667DA4">
        <w:rPr>
          <w:rFonts w:cs="Arial"/>
        </w:rPr>
        <w:t>ing</w:t>
      </w:r>
      <w:r w:rsidR="002A076D" w:rsidRPr="00667DA4">
        <w:rPr>
          <w:rFonts w:cs="Arial"/>
        </w:rPr>
        <w:t>,</w:t>
      </w:r>
      <w:r w:rsidR="00DA4CB6" w:rsidRPr="00667DA4">
        <w:rPr>
          <w:rFonts w:cs="Arial"/>
        </w:rPr>
        <w:t xml:space="preserve"> </w:t>
      </w:r>
      <w:r w:rsidR="00EE50D3" w:rsidRPr="00667DA4">
        <w:rPr>
          <w:rFonts w:cs="Arial"/>
        </w:rPr>
        <w:t xml:space="preserve">or made contact with a </w:t>
      </w:r>
      <w:r w:rsidR="0090549D" w:rsidRPr="00667DA4">
        <w:rPr>
          <w:rFonts w:cs="Arial"/>
        </w:rPr>
        <w:t>GP</w:t>
      </w:r>
      <w:r w:rsidR="00EE50D3" w:rsidRPr="00667DA4">
        <w:rPr>
          <w:rFonts w:cs="Arial"/>
        </w:rPr>
        <w:t xml:space="preserve"> for</w:t>
      </w:r>
      <w:r w:rsidR="00DA4CB6" w:rsidRPr="00667DA4">
        <w:rPr>
          <w:rFonts w:cs="Arial"/>
        </w:rPr>
        <w:t xml:space="preserve"> review</w:t>
      </w:r>
      <w:r w:rsidR="008349FC" w:rsidRPr="00667DA4">
        <w:rPr>
          <w:rFonts w:cs="Arial"/>
        </w:rPr>
        <w:t xml:space="preserve">. </w:t>
      </w:r>
      <w:r w:rsidR="00EE50D3" w:rsidRPr="00667DA4">
        <w:rPr>
          <w:rFonts w:cs="Arial"/>
        </w:rPr>
        <w:t>If</w:t>
      </w:r>
      <w:r w:rsidR="00DA4CB6" w:rsidRPr="00667DA4">
        <w:rPr>
          <w:rFonts w:cs="Arial"/>
        </w:rPr>
        <w:t xml:space="preserve"> asymptomatic or with </w:t>
      </w:r>
      <w:r w:rsidR="008349FC" w:rsidRPr="00667DA4">
        <w:rPr>
          <w:rFonts w:cs="Arial"/>
        </w:rPr>
        <w:t>milder symptoms</w:t>
      </w:r>
      <w:r w:rsidR="00EE50D3" w:rsidRPr="00667DA4">
        <w:rPr>
          <w:rFonts w:cs="Arial"/>
        </w:rPr>
        <w:t xml:space="preserve">, </w:t>
      </w:r>
      <w:r w:rsidR="00DA4CB6" w:rsidRPr="00667DA4">
        <w:rPr>
          <w:rFonts w:cs="Arial"/>
        </w:rPr>
        <w:t>they</w:t>
      </w:r>
      <w:r w:rsidR="008349FC" w:rsidRPr="00667DA4">
        <w:rPr>
          <w:rFonts w:cs="Arial"/>
        </w:rPr>
        <w:t xml:space="preserve"> </w:t>
      </w:r>
      <w:r w:rsidR="00EE50D3" w:rsidRPr="00667DA4">
        <w:rPr>
          <w:rFonts w:cs="Arial"/>
        </w:rPr>
        <w:t xml:space="preserve">may not have sought health advice and </w:t>
      </w:r>
      <w:r w:rsidR="008349FC" w:rsidRPr="00667DA4">
        <w:rPr>
          <w:rFonts w:cs="Arial"/>
        </w:rPr>
        <w:t xml:space="preserve">will not be captured in this cohort. </w:t>
      </w:r>
    </w:p>
    <w:p w14:paraId="22C8962D" w14:textId="69E88209" w:rsidR="00416D6D" w:rsidRPr="00667DA4" w:rsidRDefault="008349FC" w:rsidP="00FE5251">
      <w:pPr>
        <w:spacing w:line="480" w:lineRule="auto"/>
        <w:jc w:val="both"/>
        <w:rPr>
          <w:rFonts w:cs="Arial"/>
          <w:shd w:val="clear" w:color="auto" w:fill="FFFFFF"/>
        </w:rPr>
      </w:pPr>
      <w:r w:rsidRPr="00667DA4">
        <w:rPr>
          <w:rFonts w:cs="Arial"/>
        </w:rPr>
        <w:t>In terms of the exposure, w</w:t>
      </w:r>
      <w:r w:rsidR="008C609D" w:rsidRPr="00667DA4">
        <w:rPr>
          <w:rFonts w:cs="Arial"/>
        </w:rPr>
        <w:t>e examined medications based on prescription</w:t>
      </w:r>
      <w:r w:rsidR="00DA4CB6" w:rsidRPr="00667DA4">
        <w:rPr>
          <w:rFonts w:cs="Arial"/>
        </w:rPr>
        <w:t>s</w:t>
      </w:r>
      <w:r w:rsidR="008C609D" w:rsidRPr="00667DA4">
        <w:rPr>
          <w:rFonts w:cs="Arial"/>
        </w:rPr>
        <w:t xml:space="preserve"> within the last 6 months rather than dispensed medications so there</w:t>
      </w:r>
      <w:r w:rsidR="008C609D" w:rsidRPr="00667DA4">
        <w:rPr>
          <w:rFonts w:cs="Arial"/>
          <w:shd w:val="clear" w:color="auto" w:fill="FFFFFF"/>
        </w:rPr>
        <w:t xml:space="preserve"> could be some over-ascertainment of exposure to </w:t>
      </w:r>
      <w:r w:rsidR="0066367A" w:rsidRPr="00667DA4">
        <w:rPr>
          <w:rFonts w:cs="Arial"/>
          <w:shd w:val="clear" w:color="auto" w:fill="FFFFFF"/>
        </w:rPr>
        <w:t>HRT</w:t>
      </w:r>
      <w:r w:rsidR="008C609D" w:rsidRPr="00667DA4">
        <w:rPr>
          <w:rFonts w:cs="Arial"/>
          <w:shd w:val="clear" w:color="auto" w:fill="FFFFFF"/>
        </w:rPr>
        <w:t>.</w:t>
      </w:r>
      <w:r w:rsidRPr="00667DA4">
        <w:rPr>
          <w:rFonts w:cs="Arial"/>
          <w:shd w:val="clear" w:color="auto" w:fill="FFFFFF"/>
        </w:rPr>
        <w:t xml:space="preserve"> Further</w:t>
      </w:r>
      <w:r w:rsidR="00A61D0A" w:rsidRPr="00667DA4">
        <w:rPr>
          <w:rFonts w:cs="Arial"/>
          <w:shd w:val="clear" w:color="auto" w:fill="FFFFFF"/>
        </w:rPr>
        <w:t>more</w:t>
      </w:r>
      <w:r w:rsidRPr="00667DA4">
        <w:rPr>
          <w:rFonts w:cs="Arial"/>
          <w:shd w:val="clear" w:color="auto" w:fill="FFFFFF"/>
        </w:rPr>
        <w:t>, as oestrogen was highlighted as hav</w:t>
      </w:r>
      <w:r w:rsidR="00D16120" w:rsidRPr="00667DA4">
        <w:rPr>
          <w:rFonts w:cs="Arial"/>
          <w:shd w:val="clear" w:color="auto" w:fill="FFFFFF"/>
        </w:rPr>
        <w:t>ing a</w:t>
      </w:r>
      <w:r w:rsidRPr="00667DA4">
        <w:rPr>
          <w:rFonts w:cs="Arial"/>
          <w:shd w:val="clear" w:color="auto" w:fill="FFFFFF"/>
        </w:rPr>
        <w:t xml:space="preserve"> role in COVID-19 reasonably early in the pandemic, it is possible that some women may have stopped taking the</w:t>
      </w:r>
      <w:r w:rsidR="00D16120" w:rsidRPr="00667DA4">
        <w:rPr>
          <w:rFonts w:cs="Arial"/>
          <w:shd w:val="clear" w:color="auto" w:fill="FFFFFF"/>
        </w:rPr>
        <w:t>ir medications</w:t>
      </w:r>
      <w:r w:rsidRPr="00667DA4">
        <w:rPr>
          <w:rFonts w:cs="Arial"/>
          <w:shd w:val="clear" w:color="auto" w:fill="FFFFFF"/>
        </w:rPr>
        <w:t xml:space="preserve"> </w:t>
      </w:r>
      <w:r w:rsidR="009B7BD1" w:rsidRPr="00667DA4">
        <w:rPr>
          <w:rFonts w:cs="Arial"/>
          <w:shd w:val="clear" w:color="auto" w:fill="FFFFFF"/>
        </w:rPr>
        <w:t>before</w:t>
      </w:r>
      <w:r w:rsidRPr="00667DA4">
        <w:rPr>
          <w:rFonts w:cs="Arial"/>
          <w:shd w:val="clear" w:color="auto" w:fill="FFFFFF"/>
        </w:rPr>
        <w:t xml:space="preserve"> </w:t>
      </w:r>
      <w:r w:rsidRPr="00667DA4">
        <w:rPr>
          <w:rFonts w:cs="Arial"/>
          <w:shd w:val="clear" w:color="auto" w:fill="FFFFFF"/>
        </w:rPr>
        <w:lastRenderedPageBreak/>
        <w:t>contracting the infection. Our study did not examine</w:t>
      </w:r>
      <w:r w:rsidR="00793149" w:rsidRPr="00667DA4">
        <w:rPr>
          <w:rFonts w:cs="Arial"/>
          <w:shd w:val="clear" w:color="auto" w:fill="FFFFFF"/>
        </w:rPr>
        <w:t xml:space="preserve"> </w:t>
      </w:r>
      <w:r w:rsidR="009B7BD1" w:rsidRPr="00667DA4">
        <w:rPr>
          <w:rFonts w:cs="Arial"/>
          <w:shd w:val="clear" w:color="auto" w:fill="FFFFFF"/>
        </w:rPr>
        <w:t xml:space="preserve">the </w:t>
      </w:r>
      <w:r w:rsidR="00793149" w:rsidRPr="00667DA4">
        <w:rPr>
          <w:rFonts w:cs="Arial"/>
          <w:shd w:val="clear" w:color="auto" w:fill="FFFFFF"/>
        </w:rPr>
        <w:t>type of preparation or dose of HRT</w:t>
      </w:r>
      <w:r w:rsidR="003A3D7D" w:rsidRPr="00667DA4">
        <w:rPr>
          <w:rFonts w:cs="Arial"/>
          <w:shd w:val="clear" w:color="auto" w:fill="FFFFFF"/>
        </w:rPr>
        <w:t xml:space="preserve">, as this data was not available from the database. </w:t>
      </w:r>
      <w:r w:rsidR="00793149" w:rsidRPr="00667DA4">
        <w:rPr>
          <w:rFonts w:cs="Arial"/>
          <w:shd w:val="clear" w:color="auto" w:fill="FFFFFF"/>
        </w:rPr>
        <w:t>Nor did we investigate</w:t>
      </w:r>
      <w:r w:rsidRPr="00667DA4">
        <w:rPr>
          <w:rFonts w:cs="Arial"/>
          <w:shd w:val="clear" w:color="auto" w:fill="FFFFFF"/>
        </w:rPr>
        <w:t xml:space="preserve"> </w:t>
      </w:r>
      <w:r w:rsidR="009B7BD1" w:rsidRPr="00667DA4">
        <w:rPr>
          <w:rFonts w:cs="Arial"/>
          <w:shd w:val="clear" w:color="auto" w:fill="FFFFFF"/>
        </w:rPr>
        <w:t xml:space="preserve">the </w:t>
      </w:r>
      <w:r w:rsidRPr="00667DA4">
        <w:rPr>
          <w:rFonts w:cs="Arial"/>
          <w:shd w:val="clear" w:color="auto" w:fill="FFFFFF"/>
        </w:rPr>
        <w:t>duration of medication use</w:t>
      </w:r>
      <w:r w:rsidR="003A3D7D" w:rsidRPr="00667DA4">
        <w:rPr>
          <w:rFonts w:cs="Arial"/>
          <w:shd w:val="clear" w:color="auto" w:fill="FFFFFF"/>
        </w:rPr>
        <w:t>,</w:t>
      </w:r>
      <w:r w:rsidR="00D16120" w:rsidRPr="00667DA4">
        <w:rPr>
          <w:rFonts w:cs="Arial"/>
          <w:shd w:val="clear" w:color="auto" w:fill="FFFFFF"/>
        </w:rPr>
        <w:t xml:space="preserve"> </w:t>
      </w:r>
      <w:r w:rsidR="00EE50D3" w:rsidRPr="00667DA4">
        <w:rPr>
          <w:rFonts w:cs="Arial"/>
          <w:shd w:val="clear" w:color="auto" w:fill="FFFFFF"/>
        </w:rPr>
        <w:t>and our follow-up period was short at less than six months. This might</w:t>
      </w:r>
      <w:r w:rsidR="00D16120" w:rsidRPr="00667DA4">
        <w:rPr>
          <w:rFonts w:cs="Arial"/>
          <w:shd w:val="clear" w:color="auto" w:fill="FFFFFF"/>
        </w:rPr>
        <w:t xml:space="preserve"> be important in oestrogen related immune responses</w:t>
      </w:r>
      <w:r w:rsidR="00EE50D3" w:rsidRPr="00667DA4">
        <w:rPr>
          <w:rFonts w:cs="Arial"/>
          <w:shd w:val="clear" w:color="auto" w:fill="FFFFFF"/>
        </w:rPr>
        <w:t xml:space="preserve"> where longer exposures to hormones could be significant</w:t>
      </w:r>
      <w:r w:rsidRPr="00667DA4">
        <w:rPr>
          <w:rFonts w:cs="Arial"/>
          <w:shd w:val="clear" w:color="auto" w:fill="FFFFFF"/>
        </w:rPr>
        <w:t>.</w:t>
      </w:r>
      <w:r w:rsidR="00D16120" w:rsidRPr="00667DA4">
        <w:rPr>
          <w:rFonts w:cs="Arial"/>
        </w:rPr>
        <w:fldChar w:fldCharType="begin" w:fldLock="1"/>
      </w:r>
      <w:r w:rsidR="0006312F" w:rsidRPr="00667DA4">
        <w:rPr>
          <w:rFonts w:cs="Arial"/>
        </w:rPr>
        <w:instrText>ADDIN CSL_CITATION {"citationItems":[{"id":"ITEM-1","itemData":{"DOI":"10.1038/s41577-020-0348-8","ISSN":"14741741","abstract":"A male bias in mortality has emerged in the COVID-19 pandemic, which is consistent with the pathogenesis of other viral infections. Biological sex differences may manifest themselves in susceptibility to infection, early pathogenesis, innate viral control, adaptive immune responses or the balance of inflammation and tissue repair in the resolution of infection. We discuss available sex-disaggregated epidemiological data from the COVID-19 pandemic, introduce sex-differential features of immunity and highlight potential sex differences underlying COVID-19 severity. We propose that sex differences in immunopathogenesis will inform mechanisms of COVID-19, identify points for therapeutic intervention and improve vaccine design and increase vaccine efficacy.","author":[{"dropping-particle":"","family":"Scully","given":"Eileen P.","non-dropping-particle":"","parse-names":false,"suffix":""},{"dropping-particle":"","family":"Haverfield","given":"Jenna","non-dropping-particle":"","parse-names":false,"suffix":""},{"dropping-particle":"","family":"Ursin","given":"Rebecca L.","non-dropping-particle":"","parse-names":false,"suffix":""},{"dropping-particle":"","family":"Tannenbaum","given":"Cara","non-dropping-particle":"","parse-names":false,"suffix":""},{"dropping-particle":"","family":"Klein","given":"Sabra L.","non-dropping-particle":"","parse-names":false,"suffix":""}],"container-title":"Nature Reviews Immunology","id":"ITEM-1","issue":"7","issued":{"date-parts":[["2020"]]},"title":"Considering how biological sex impacts immune responses and COVID-19 outcomes","type":"article-journal","volume":"20"},"uris":["http://www.mendeley.com/documents/?uuid=66e24aa9-8ec3-40fe-a762-9b45b590cb16","http://www.mendeley.com/documents/?uuid=5a792bb0-4ba2-3776-930f-d3ce33aef7d2"]}],"mendeley":{"formattedCitation":"[2]","plainTextFormattedCitation":"[2]","previouslyFormattedCitation":"[2]"},"properties":{"noteIndex":0},"schema":"https://github.com/citation-style-language/schema/raw/master/csl-citation.json"}</w:instrText>
      </w:r>
      <w:r w:rsidR="00D16120" w:rsidRPr="00667DA4">
        <w:rPr>
          <w:rFonts w:cs="Arial"/>
        </w:rPr>
        <w:fldChar w:fldCharType="separate"/>
      </w:r>
      <w:r w:rsidR="00D16120" w:rsidRPr="00667DA4">
        <w:rPr>
          <w:rFonts w:cs="Arial"/>
          <w:noProof/>
        </w:rPr>
        <w:t>[2]</w:t>
      </w:r>
      <w:r w:rsidR="00D16120" w:rsidRPr="00667DA4">
        <w:rPr>
          <w:rFonts w:cs="Arial"/>
        </w:rPr>
        <w:fldChar w:fldCharType="end"/>
      </w:r>
      <w:r w:rsidR="00A61D0A" w:rsidRPr="00667DA4">
        <w:rPr>
          <w:rFonts w:cs="Arial"/>
        </w:rPr>
        <w:t xml:space="preserve"> </w:t>
      </w:r>
      <w:r w:rsidR="00455A77" w:rsidRPr="00667DA4">
        <w:rPr>
          <w:rFonts w:cs="Arial"/>
        </w:rPr>
        <w:t xml:space="preserve"> </w:t>
      </w:r>
      <w:r w:rsidR="00A61D0A" w:rsidRPr="00667DA4">
        <w:rPr>
          <w:rFonts w:cs="Arial"/>
        </w:rPr>
        <w:t>Age was included in the model as a categorical variable only</w:t>
      </w:r>
      <w:r w:rsidR="00455A77" w:rsidRPr="00667DA4">
        <w:rPr>
          <w:rFonts w:cs="Arial"/>
        </w:rPr>
        <w:t>, which may have limited our adjustment.</w:t>
      </w:r>
      <w:r w:rsidR="00A61D0A" w:rsidRPr="00667DA4">
        <w:rPr>
          <w:rFonts w:cs="Arial"/>
        </w:rPr>
        <w:t xml:space="preserve"> This was </w:t>
      </w:r>
      <w:r w:rsidR="00455A77" w:rsidRPr="00667DA4">
        <w:rPr>
          <w:rFonts w:cs="Arial"/>
        </w:rPr>
        <w:t xml:space="preserve">done to reflect the much higher odds of all-cause mortality in the older age categories (compared to the &lt;40 years reference category). </w:t>
      </w:r>
      <w:r w:rsidR="00EE50D3" w:rsidRPr="00667DA4">
        <w:rPr>
          <w:rFonts w:cs="Arial"/>
        </w:rPr>
        <w:t>W</w:t>
      </w:r>
      <w:r w:rsidRPr="00667DA4">
        <w:rPr>
          <w:rFonts w:cs="Arial"/>
        </w:rPr>
        <w:t>e</w:t>
      </w:r>
      <w:r w:rsidR="00455A77" w:rsidRPr="00667DA4">
        <w:rPr>
          <w:rFonts w:cs="Arial"/>
        </w:rPr>
        <w:t xml:space="preserve"> also</w:t>
      </w:r>
      <w:r w:rsidRPr="00667DA4">
        <w:rPr>
          <w:rFonts w:cs="Arial"/>
        </w:rPr>
        <w:t xml:space="preserve"> used all-cause mortality </w:t>
      </w:r>
      <w:r w:rsidR="00EE50D3" w:rsidRPr="00667DA4">
        <w:rPr>
          <w:rFonts w:cs="Arial"/>
        </w:rPr>
        <w:t>as our outcome</w:t>
      </w:r>
      <w:r w:rsidR="00C35CEC" w:rsidRPr="00667DA4">
        <w:rPr>
          <w:rFonts w:cs="Arial"/>
        </w:rPr>
        <w:t>,</w:t>
      </w:r>
      <w:r w:rsidR="00EE50D3" w:rsidRPr="00667DA4">
        <w:rPr>
          <w:rFonts w:cs="Arial"/>
        </w:rPr>
        <w:t xml:space="preserve"> </w:t>
      </w:r>
      <w:r w:rsidRPr="00667DA4">
        <w:rPr>
          <w:rFonts w:cs="Arial"/>
        </w:rPr>
        <w:t xml:space="preserve">and some deaths may </w:t>
      </w:r>
      <w:r w:rsidR="00EE50D3" w:rsidRPr="00667DA4">
        <w:rPr>
          <w:rFonts w:cs="Arial"/>
        </w:rPr>
        <w:t>therefore be unr</w:t>
      </w:r>
      <w:r w:rsidRPr="00667DA4">
        <w:rPr>
          <w:rFonts w:cs="Arial"/>
        </w:rPr>
        <w:t>elated to COVID</w:t>
      </w:r>
      <w:r w:rsidR="00EE50D3" w:rsidRPr="00667DA4">
        <w:rPr>
          <w:rFonts w:cs="Arial"/>
        </w:rPr>
        <w:t>-19</w:t>
      </w:r>
      <w:r w:rsidRPr="00667DA4">
        <w:rPr>
          <w:rFonts w:cs="Arial"/>
        </w:rPr>
        <w:t>. There was substantial confusion about the classification of COVID-19 mortality in the early part of the pandemic including</w:t>
      </w:r>
      <w:r w:rsidR="00D16120" w:rsidRPr="00667DA4">
        <w:rPr>
          <w:rFonts w:cs="Arial"/>
        </w:rPr>
        <w:t xml:space="preserve"> </w:t>
      </w:r>
      <w:r w:rsidR="00EE50D3" w:rsidRPr="00667DA4">
        <w:rPr>
          <w:rFonts w:cs="Arial"/>
        </w:rPr>
        <w:t xml:space="preserve">changes in Government guidance </w:t>
      </w:r>
      <w:r w:rsidRPr="00667DA4">
        <w:rPr>
          <w:rFonts w:cs="Arial"/>
        </w:rPr>
        <w:t xml:space="preserve">as the pandemic progressed. </w:t>
      </w:r>
      <w:r w:rsidR="00EE50D3" w:rsidRPr="00667DA4">
        <w:rPr>
          <w:rFonts w:cs="Arial"/>
        </w:rPr>
        <w:t>COVID-19 specific mortality was variable and as a new code</w:t>
      </w:r>
      <w:r w:rsidR="00F41BE8" w:rsidRPr="00667DA4">
        <w:rPr>
          <w:rFonts w:cs="Arial"/>
        </w:rPr>
        <w:t>, it</w:t>
      </w:r>
      <w:r w:rsidR="00EE50D3" w:rsidRPr="00667DA4">
        <w:rPr>
          <w:rFonts w:cs="Arial"/>
        </w:rPr>
        <w:t xml:space="preserve"> may not have been widely used in primary care records. A</w:t>
      </w:r>
      <w:r w:rsidRPr="00667DA4">
        <w:rPr>
          <w:rFonts w:cs="Arial"/>
        </w:rPr>
        <w:t>ll-cause mortality</w:t>
      </w:r>
      <w:r w:rsidR="00D16120" w:rsidRPr="00667DA4">
        <w:rPr>
          <w:rFonts w:cs="Arial"/>
        </w:rPr>
        <w:t xml:space="preserve"> </w:t>
      </w:r>
      <w:r w:rsidR="00EE50D3" w:rsidRPr="00667DA4">
        <w:rPr>
          <w:rFonts w:cs="Arial"/>
        </w:rPr>
        <w:t xml:space="preserve">is likely to be a </w:t>
      </w:r>
      <w:r w:rsidR="00D16120" w:rsidRPr="00667DA4">
        <w:rPr>
          <w:rFonts w:cs="Arial"/>
        </w:rPr>
        <w:t>more reliable measure</w:t>
      </w:r>
      <w:r w:rsidRPr="00667DA4">
        <w:rPr>
          <w:rFonts w:cs="Arial"/>
        </w:rPr>
        <w:t xml:space="preserve"> </w:t>
      </w:r>
      <w:r w:rsidR="00EE50D3" w:rsidRPr="00667DA4">
        <w:rPr>
          <w:rFonts w:cs="Arial"/>
        </w:rPr>
        <w:t xml:space="preserve">especially in the </w:t>
      </w:r>
      <w:r w:rsidR="00D16120" w:rsidRPr="00667DA4">
        <w:rPr>
          <w:rFonts w:cs="Arial"/>
        </w:rPr>
        <w:t xml:space="preserve">early part of the pandemic </w:t>
      </w:r>
      <w:r w:rsidR="00EE50D3" w:rsidRPr="00667DA4">
        <w:rPr>
          <w:rFonts w:cs="Arial"/>
        </w:rPr>
        <w:t>in which our study is set.</w:t>
      </w:r>
    </w:p>
    <w:p w14:paraId="5C2392BC" w14:textId="2801C16B" w:rsidR="0032310E" w:rsidRPr="00667DA4" w:rsidRDefault="005E6F02" w:rsidP="00FE5251">
      <w:pPr>
        <w:spacing w:line="480" w:lineRule="auto"/>
        <w:jc w:val="both"/>
        <w:rPr>
          <w:rFonts w:cs="Arial"/>
        </w:rPr>
      </w:pPr>
      <w:r w:rsidRPr="00667DA4">
        <w:rPr>
          <w:rFonts w:cs="Arial"/>
        </w:rPr>
        <w:t>Finally, recent</w:t>
      </w:r>
      <w:r w:rsidR="00EA3786" w:rsidRPr="00667DA4">
        <w:rPr>
          <w:rFonts w:cs="Arial"/>
        </w:rPr>
        <w:t xml:space="preserve"> studies have identified a negative association between HRT prescription and </w:t>
      </w:r>
      <w:bookmarkStart w:id="5" w:name="OLE_LINK1"/>
      <w:bookmarkStart w:id="6" w:name="OLE_LINK2"/>
      <w:r w:rsidR="00EA3786" w:rsidRPr="00667DA4">
        <w:rPr>
          <w:rFonts w:cs="Arial"/>
        </w:rPr>
        <w:t xml:space="preserve">socioeconomic status </w:t>
      </w:r>
      <w:bookmarkEnd w:id="5"/>
      <w:bookmarkEnd w:id="6"/>
      <w:r w:rsidR="00301E7A" w:rsidRPr="00667DA4">
        <w:rPr>
          <w:rFonts w:cs="Arial"/>
        </w:rPr>
        <w:fldChar w:fldCharType="begin" w:fldLock="1"/>
      </w:r>
      <w:r w:rsidR="00301E7A" w:rsidRPr="00667DA4">
        <w:rPr>
          <w:rFonts w:cs="Arial"/>
        </w:rPr>
        <w:instrText>ADDIN CSL_CITATION {"citationItems":[{"id":"ITEM-1","itemData":{"DOI":"10.3399/bjgp20X713045","ISSN":"0960-1643","author":[{"dropping-particle":"","family":"Hillman","given":"Sarah","non-dropping-particle":"","parse-names":false,"suffix":""},{"dropping-particle":"","family":"Shantikumar","given":"Saran","non-dropping-particle":"","parse-names":false,"suffix":""},{"dropping-particle":"","family":"Ridha","given":"Ali","non-dropping-particle":"","parse-names":false,"suffix":""},{"dropping-particle":"","family":"Todkill","given":"Dan","non-dropping-particle":"","parse-names":false,"suffix":""},{"dropping-particle":"","family":"Dale","given":"Jeremy","non-dropping-particle":"","parse-names":false,"suffix":""}],"container-title":"British Journal of General Practice","id":"ITEM-1","issue":"700","issued":{"date-parts":[["2020","11"]]},"page":"e772-e777","title":"Socioeconomic status and HRT prescribing: a study of practice-level data in England","type":"article-journal","volume":"70"},"uris":["http://www.mendeley.com/documents/?uuid=673a9738-ddb5-4875-a14b-7fe755175b2a"]},{"id":"ITEM-2","itemData":{"DOI":"10.2105/AJPH.94.12.2149","ISSN":"0090-0036","author":[{"dropping-particle":"","family":"Lawlor","given":"Debbie A","non-dropping-particle":"","parse-names":false,"suffix":""},{"dropping-particle":"","family":"Davey Smith","given":"George","non-dropping-particle":"","parse-names":false,"suffix":""},{"dropping-particle":"","family":"Ebrahim","given":"Shah","non-dropping-particle":"","parse-names":false,"suffix":""}],"container-title":"American Journal of Public Health","id":"ITEM-2","issue":"12","issued":{"date-parts":[["2004","12"]]},"page":"2149-2154","title":"Socioeconomic Position and Hormone Replacement Therapy Use: Explaining the Discrepancy in Evidence From Observational and Randomized Controlled Trials","type":"article-journal","volume":"94"},"uris":["http://www.mendeley.com/documents/?uuid=028f1908-1dd7-4de3-b3cb-690d82f3ca50"]}],"mendeley":{"formattedCitation":"[19,20]","plainTextFormattedCitation":"[19,20]"},"properties":{"noteIndex":0},"schema":"https://github.com/citation-style-language/schema/raw/master/csl-citation.json"}</w:instrText>
      </w:r>
      <w:r w:rsidR="00301E7A" w:rsidRPr="00667DA4">
        <w:rPr>
          <w:rFonts w:cs="Arial"/>
        </w:rPr>
        <w:fldChar w:fldCharType="separate"/>
      </w:r>
      <w:r w:rsidR="00301E7A" w:rsidRPr="00667DA4">
        <w:rPr>
          <w:rFonts w:cs="Arial"/>
          <w:noProof/>
        </w:rPr>
        <w:t>[19,20]</w:t>
      </w:r>
      <w:r w:rsidR="00301E7A" w:rsidRPr="00667DA4">
        <w:rPr>
          <w:rFonts w:cs="Arial"/>
        </w:rPr>
        <w:fldChar w:fldCharType="end"/>
      </w:r>
      <w:r w:rsidR="00090F13" w:rsidRPr="00667DA4">
        <w:rPr>
          <w:rFonts w:cs="Arial"/>
        </w:rPr>
        <w:t xml:space="preserve">. </w:t>
      </w:r>
      <w:r w:rsidR="00A4147B" w:rsidRPr="00667DA4">
        <w:rPr>
          <w:rFonts w:cs="Arial"/>
        </w:rPr>
        <w:t xml:space="preserve">Whilst we </w:t>
      </w:r>
      <w:r w:rsidR="0032310E" w:rsidRPr="00667DA4">
        <w:rPr>
          <w:rFonts w:cs="Arial"/>
        </w:rPr>
        <w:t>adjusted</w:t>
      </w:r>
      <w:r w:rsidR="00A4147B" w:rsidRPr="00667DA4">
        <w:rPr>
          <w:rFonts w:cs="Arial"/>
        </w:rPr>
        <w:t xml:space="preserve"> for socioeconomic status in our model</w:t>
      </w:r>
      <w:r w:rsidR="0079600A" w:rsidRPr="00667DA4">
        <w:rPr>
          <w:rFonts w:cs="Arial"/>
        </w:rPr>
        <w:t xml:space="preserve"> (</w:t>
      </w:r>
      <w:r w:rsidR="005C161F" w:rsidRPr="00667DA4">
        <w:rPr>
          <w:rFonts w:cs="Arial"/>
        </w:rPr>
        <w:t xml:space="preserve">index of multiple deprivation), </w:t>
      </w:r>
      <w:r w:rsidR="004C05A1" w:rsidRPr="00667DA4">
        <w:rPr>
          <w:rFonts w:cs="Arial"/>
        </w:rPr>
        <w:t xml:space="preserve">we cannot rule out </w:t>
      </w:r>
      <w:r w:rsidR="005D03FE" w:rsidRPr="00667DA4">
        <w:rPr>
          <w:rFonts w:cs="Arial"/>
        </w:rPr>
        <w:t>residual confounding due to</w:t>
      </w:r>
      <w:r w:rsidR="005C161F" w:rsidRPr="00667DA4">
        <w:rPr>
          <w:rFonts w:cs="Arial"/>
        </w:rPr>
        <w:t xml:space="preserve"> </w:t>
      </w:r>
      <w:r w:rsidR="005D03FE" w:rsidRPr="00667DA4">
        <w:rPr>
          <w:rFonts w:cs="Arial"/>
        </w:rPr>
        <w:t>incomplete adjustment</w:t>
      </w:r>
      <w:r w:rsidR="00C629D0" w:rsidRPr="00667DA4">
        <w:rPr>
          <w:rFonts w:cs="Arial"/>
        </w:rPr>
        <w:t xml:space="preserve"> </w:t>
      </w:r>
      <w:r w:rsidR="00090F13" w:rsidRPr="00667DA4">
        <w:rPr>
          <w:rFonts w:cs="Arial"/>
        </w:rPr>
        <w:t>for this</w:t>
      </w:r>
      <w:r w:rsidR="0054285F" w:rsidRPr="00667DA4">
        <w:rPr>
          <w:rFonts w:cs="Arial"/>
        </w:rPr>
        <w:t xml:space="preserve"> and/</w:t>
      </w:r>
      <w:r w:rsidR="00C629D0" w:rsidRPr="00667DA4">
        <w:rPr>
          <w:rFonts w:cs="Arial"/>
        </w:rPr>
        <w:t xml:space="preserve">or </w:t>
      </w:r>
      <w:r w:rsidR="0054285F" w:rsidRPr="00667DA4">
        <w:rPr>
          <w:rFonts w:cs="Arial"/>
        </w:rPr>
        <w:t xml:space="preserve">incomplete or incorrect </w:t>
      </w:r>
      <w:r w:rsidR="00090F13" w:rsidRPr="00667DA4">
        <w:rPr>
          <w:rFonts w:cs="Arial"/>
        </w:rPr>
        <w:t>coding.</w:t>
      </w:r>
    </w:p>
    <w:p w14:paraId="355B1E00" w14:textId="77777777" w:rsidR="00755C85" w:rsidRPr="00667DA4" w:rsidRDefault="00755C85" w:rsidP="00FE5251">
      <w:pPr>
        <w:spacing w:line="480" w:lineRule="auto"/>
        <w:jc w:val="both"/>
        <w:rPr>
          <w:rFonts w:cs="Arial"/>
        </w:rPr>
      </w:pPr>
    </w:p>
    <w:p w14:paraId="6B8D657D" w14:textId="72292CC8" w:rsidR="00F03653" w:rsidRPr="00667DA4" w:rsidRDefault="00416D6D" w:rsidP="00FE5251">
      <w:pPr>
        <w:spacing w:line="480" w:lineRule="auto"/>
        <w:jc w:val="both"/>
        <w:rPr>
          <w:rFonts w:eastAsia="Times New Roman" w:cs="Arial"/>
          <w:b/>
          <w:lang w:eastAsia="en-GB"/>
        </w:rPr>
      </w:pPr>
      <w:r w:rsidRPr="00667DA4">
        <w:rPr>
          <w:rFonts w:eastAsia="Times New Roman" w:cs="Arial"/>
          <w:b/>
          <w:lang w:eastAsia="en-GB"/>
        </w:rPr>
        <w:t>Interpretation</w:t>
      </w:r>
    </w:p>
    <w:p w14:paraId="417099DA" w14:textId="45D5BA48" w:rsidR="0096618F" w:rsidRPr="00667DA4" w:rsidRDefault="001275BE" w:rsidP="00FE5251">
      <w:pPr>
        <w:spacing w:line="480" w:lineRule="auto"/>
        <w:jc w:val="both"/>
        <w:rPr>
          <w:rFonts w:eastAsia="Times New Roman" w:cs="Arial"/>
          <w:bCs/>
          <w:lang w:eastAsia="en-GB"/>
        </w:rPr>
      </w:pPr>
      <w:r w:rsidRPr="00667DA4">
        <w:rPr>
          <w:rFonts w:eastAsia="Times New Roman" w:cs="Arial"/>
          <w:bCs/>
          <w:lang w:eastAsia="en-GB"/>
        </w:rPr>
        <w:t>Previous studies report lower rates of severe COVID-19 complications amongst women compared to men</w:t>
      </w:r>
      <w:r w:rsidR="00246927" w:rsidRPr="00667DA4">
        <w:rPr>
          <w:rFonts w:eastAsia="Times New Roman" w:cs="Arial"/>
          <w:bCs/>
          <w:lang w:eastAsia="en-GB"/>
        </w:rPr>
        <w:t>,</w:t>
      </w:r>
      <w:r w:rsidRPr="00667DA4">
        <w:rPr>
          <w:rFonts w:eastAsia="Times New Roman" w:cs="Arial"/>
          <w:bCs/>
          <w:lang w:eastAsia="en-GB"/>
        </w:rPr>
        <w:t xml:space="preserve"> and </w:t>
      </w:r>
      <w:r w:rsidR="0041430F" w:rsidRPr="00667DA4">
        <w:rPr>
          <w:rFonts w:eastAsia="Times New Roman" w:cs="Arial"/>
          <w:bCs/>
          <w:lang w:eastAsia="en-GB"/>
        </w:rPr>
        <w:t>a number of published studies support the hypothesis</w:t>
      </w:r>
      <w:r w:rsidR="00655570" w:rsidRPr="00667DA4">
        <w:rPr>
          <w:rFonts w:eastAsia="Times New Roman" w:cs="Arial"/>
          <w:bCs/>
          <w:lang w:eastAsia="en-GB"/>
        </w:rPr>
        <w:t xml:space="preserve"> that </w:t>
      </w:r>
      <w:r w:rsidR="00EE50D3" w:rsidRPr="00667DA4">
        <w:rPr>
          <w:rFonts w:eastAsia="Times New Roman" w:cs="Arial"/>
          <w:bCs/>
          <w:lang w:eastAsia="en-GB"/>
        </w:rPr>
        <w:t xml:space="preserve">oestrogen </w:t>
      </w:r>
      <w:r w:rsidR="00655570" w:rsidRPr="00667DA4">
        <w:rPr>
          <w:rFonts w:eastAsia="Times New Roman" w:cs="Arial"/>
          <w:bCs/>
          <w:lang w:eastAsia="en-GB"/>
        </w:rPr>
        <w:t>may confer a protective effect against COVID-19</w:t>
      </w:r>
      <w:r w:rsidR="005E4FFF" w:rsidRPr="00667DA4">
        <w:rPr>
          <w:rFonts w:eastAsia="Times New Roman" w:cs="Arial"/>
          <w:bCs/>
          <w:lang w:eastAsia="en-GB"/>
        </w:rPr>
        <w:t xml:space="preserve"> </w:t>
      </w:r>
      <w:r w:rsidR="005E4FFF" w:rsidRPr="00667DA4">
        <w:rPr>
          <w:rFonts w:eastAsia="Times New Roman" w:cs="Arial"/>
          <w:bCs/>
          <w:lang w:eastAsia="en-GB"/>
        </w:rPr>
        <w:fldChar w:fldCharType="begin" w:fldLock="1"/>
      </w:r>
      <w:r w:rsidR="009F2CD3" w:rsidRPr="00667DA4">
        <w:rPr>
          <w:rFonts w:eastAsia="Times New Roman" w:cs="Arial"/>
          <w:bCs/>
          <w:lang w:eastAsia="en-GB"/>
        </w:rPr>
        <w:instrText>ADDIN CSL_CITATION {"citationItems":[{"id":"ITEM-1","itemData":{"DOI":"10.1016/j.mayocp.2020.05.013","ISSN":"19425546","abstract":"Given the rapid spread of the coronavirus disease 2019 (COVID-19) pandemic and its overwhelming effect on health care systems and the global economy, innovative therapeutic strategies are urgently needed. The proposed primary culprit of COVID-19 is the intense inflammatory response—an augmented immune response and cytokine storm—severely damaging the lung tissue and rendering some patients’ conditions severe enough to require assisted ventilation. Sex differences in the response to inflammation have been documented and can be attributed, at least in part, to sex steroid hormones. Moreover, age-associated decreases in sex steroid hormones, namely, estrogen and testosterone, may mediate proinflammatory increases in older adults that could increase their risk of COVID-19 adverse outcomes. Sex hormones can mitigate the inflammation response and might provide promising therapeutic potential for patients with COVID-19. In this article, we explore the possible anti-inflammatory effects of estrogen and testosterone and the anabolic effect of testosterone, with particular attention to the potential therapeutic role of hormone replacement therapy in older men and women with COVID-19.","author":[{"dropping-particle":"","family":"Al-Lami","given":"Rasha A.","non-dropping-particle":"","parse-names":false,"suffix":""},{"dropping-particle":"","family":"Urban","given":"Randall J.","non-dropping-particle":"","parse-names":false,"suffix":""},{"dropping-particle":"","family":"Volpi","given":"Elena","non-dropping-particle":"","parse-names":false,"suffix":""},{"dropping-particle":"","family":"Algburi","given":"Ammar M.A.","non-dropping-particle":"","parse-names":false,"suffix":""},{"dropping-particle":"","family":"Baillargeon","given":"Jacques","non-dropping-particle":"","parse-names":false,"suffix":""}],"container-title":"Mayo Clinic Proceedings","id":"ITEM-1","issue":"8","issued":{"date-parts":[["2020"]]},"title":"Sex Hormones and Novel Corona Virus Infectious Disease (COVID-19)","type":"article","volume":"95"},"uris":["http://www.mendeley.com/documents/?uuid=539847c4-c1b7-47e9-87bb-5d080c36be43"]},{"id":"ITEM-2","itemData":{"DOI":"10.1016/j.mehy.2020.110148","ISSN":"15322777","abstract":"Estrogen hormone acts as a potential key player in providing immunity against certain viral infection. It is found to be associated in providing immunity against acute lungs inflammation and influenza virus by modulating cytokines storm and mediating adaptive immune alterations respectively. Women are less affected by SARS-CoV-2 infection because of the possible influence of estrogen hormone as compared to men. We hypothesized that SARS-CoV-2 causes stress in endoplasmic reticulum (ER) which in turn aggravates the infection, estrogen hormone might play key role in decreasing ER stress by activating estrogen mediated signaling pathways, results in unfolded protein response (UPR). Estrogen governs degradation of phosphotidylinositol 4,5-bisphosphate (PIP2) into diacylglycerol (DAG) and inositol triphosphate (IP3) with the help of phospholipase C. IP3 start in-fluxing Ca+2 ions that helps in UPR activation. To support our hypothesis, we analyzed the data of 162,392 COVID-19 patients to determine the relation of this disease with gender. We observed that 26% of women and 74% of men were affected by SARS-CoV-2. It indicated that women are less affected because of the possible influence of estrogen hormone in women.","author":[{"dropping-particle":"","family":"Shabbir","given":"Sana","non-dropping-particle":"","parse-names":false,"suffix":""},{"dropping-particle":"","family":"Hafeez","given":"Assad","non-dropping-particle":"","parse-names":false,"suffix":""},{"dropping-particle":"","family":"Rafiq","given":"Muhammad Arshad","non-dropping-particle":"","parse-names":false,"suffix":""},{"dropping-particle":"","family":"Khan","given":"Muhammad Jawad","non-dropping-particle":"","parse-names":false,"suffix":""}],"container-title":"Medical Hypotheses","id":"ITEM-2","issued":{"date-parts":[["2020"]]},"title":"Estrogen shields women from COVID-19 complications by reducing ER stress","type":"article-journal","volume":"143"},"uris":["http://www.mendeley.com/documents/?uuid=16fb5a3e-00a9-411c-9c5e-7d7da7065c2a"]},{"id":"ITEM-3","itemData":{"DOI":"10.1371/journal.pone.0257051","ISSN":"1932-6203","abstract":"It has been widely observed that adult men of all ages are at higher risk of developing serious complications from COVID-19 when compared with women. This study aimed to investigate the association of COVID-19 positivity and severity with estrogen exposure in women, in a population based matched cohort study of female users of the COVID Symptom Study application in the UK. Analyses included 152,637 women for menopausal status, 295,689 women for exogenous estrogen intake in the form of the combined oral contraceptive pill (COCP), and 151,193 menopausal women for hormone replacement therapy (HRT). Data were collected using the COVID Symptom Study in May-June 2020. Analyses investigated associations between predicted or tested COVID-19 status and menopausal status, COCP use, and HRT use, adjusting for age, smoking and BMI, with follow-up age sensitivity analysis, and validation in a subset of participants from the TwinsUK cohort. Menopausal women had higher rates of predicted COVID-19 (P = 0.003). COCP-users had lower rates of predicted COVID-19 (P = 8.03E-05), with reduction in hospital attendance (P = 0.023). Menopausal women using HRT or hormonal therapies did not exhibit consistent associations, including increased rates of predicted COVID-19 (P = 2.22E-05) for HRT users alone. The findings support a protective effect of estrogen exposure on COVID-19, based on positive association between predicted COVID-19 with menopausal status, and negative association with COCP use. HRT use was positively associated with COVID-19, but the results should be considered with caution due to lack of data on HRT type, route of administration, duration of treatment, and potential unaccounted for confounders and comorbidities.","author":[{"dropping-particle":"","family":"Costeira","given":"Ricardo","non-dropping-particle":"","parse-names":false,"suffix":""},{"dropping-particle":"","family":"Lee","given":"Karla A.","non-dropping-particle":"","parse-names":false,"suffix":""},{"dropping-particle":"","family":"Murray","given":"Benjamin","non-dropping-particle":"","parse-names":false,"suffix":""},{"dropping-particle":"","family":"Christiansen","given":"Colette","non-dropping-particle":"","parse-names":false,"suffix":""},{"dropping-particle":"","family":"Castillo-Fernandez","given":"Juan","non-dropping-particle":"","parse-names":false,"suffix":""},{"dropping-particle":"","family":"Ni Lochlainn","given":"Mary","non-dropping-particle":"","parse-names":false,"suffix":""},{"dropping-particle":"","family":"Capdevila Pujol","given":"Joan","non-dropping-particle":"","parse-names":false,"suffix":""},{"dropping-particle":"","family":"Macfarlane","given":"Heather","non-dropping-particle":"","parse-names":false,"suffix":""},{"dropping-particle":"","family":"Kenny","given":"Louise C.","non-dropping-particle":"","parse-names":false,"suffix":""},{"dropping-particle":"","family":"Buchan","given":"Iain","non-dropping-particle":"","parse-names":false,"suffix":""},{"dropping-particle":"","family":"Wolf","given":"Jonathan","non-dropping-particle":"","parse-names":false,"suffix":""},{"dropping-particle":"","family":"Rymer","given":"Janice","non-dropping-particle":"","parse-names":false,"suffix":""},{"dropping-particle":"","family":"Ourselin","given":"Sebastien","non-dropping-particle":"","parse-names":false,"suffix":""},{"dropping-particle":"","family":"Steves","given":"Claire J.","non-dropping-particle":"","parse-names":false,"suffix":""},{"dropping-particle":"","family":"Spector","given":"Timothy D.","non-dropping-particle":"","parse-names":false,"suffix":""},{"dropping-particle":"","family":"Newson","given":"Louise R.","non-dropping-particle":"","parse-names":false,"suffix":""},{"dropping-particle":"","family":"Bell","given":"Jordana T.","non-dropping-particle":"","parse-names":false,"suffix":""}],"container-title":"PLOS ONE","editor":[{"dropping-particle":"","family":"Mullins","given":"Edward","non-dropping-particle":"","parse-names":false,"suffix":""}],"id":"ITEM-3","issue":"9","issued":{"date-parts":[["2021","9","10"]]},"page":"e0257051","title":"Estrogen and COVID-19 symptoms: Associations in women from the COVID Symptom Study","type":"article-journal","volume":"16"},"uris":["http://www.mendeley.com/documents/?uuid=1597fa8b-994c-44a5-bd12-7de21e4adf86"]},{"id":"ITEM-4","itemData":{"DOI":"10.1101/2020.05.07.20073817","author":[{"dropping-particle":"","family":"Schroeder","given":"Maria","non-dropping-particle":"","parse-names":false,"suffix":""},{"dropping-particle":"","family":"Jarczak","given":"Dominik","non-dropping-particle":"","parse-names":false,"suffix":""},{"dropping-particle":"","family":"Nierhaus","given":"Axel","non-dropping-particle":"","parse-names":false,"suffix":""},{"dropping-particle":"","family":"Bai","given":"Tian","non-dropping-particle":"","parse-names":false,"suffix":""},{"dropping-particle":"","family":"Jacobsen","given":"Henning","non-dropping-particle":"","parse-names":false,"suffix":""},{"dropping-particle":"","family":"Zickler","given":"Martin","non-dropping-particle":"","parse-names":false,"suffix":""},{"dropping-particle":"","family":"Müller","given":"Zacharias","non-dropping-particle":"","parse-names":false,"suffix":""},{"dropping-particle":"","family":"Stanelle-Bertram","given":"Stephanie","non-dropping-particle":"","parse-names":false,"suffix":""},{"dropping-particle":"","family":"Meinhardt","given":"Andreas","non-dropping-particle":"","parse-names":false,"suffix":""},{"dropping-particle":"","family":"Aberle","given":"Jens","non-dropping-particle":"","parse-names":false,"suffix":""},{"dropping-particle":"","family":"Kluge","given":"Stefan","non-dropping-particle":"","parse-names":false,"suffix":""},{"dropping-particle":"","family":"Gabriel","given":"Gülsah","non-dropping-particle":"","parse-names":false,"suffix":""}],"id":"ITEM-4","issued":{"date-parts":[["0"]]},"title":"The majority of male patients with COVID-19 present low testosterone levels on admission to Intensive Care in Hamburg, Germany: a retrospective cohort study","type":"article-journal"},"uris":["http://www.mendeley.com/documents/?uuid=cdb24285-0fd3-4add-881b-c808d768f369"]},{"id":"ITEM-5","itemData":{"DOI":"10.1186/s12916-020-01851-z","ISSN":"1741-7015","author":[{"dropping-particle":"","family":"Seeland","given":"Ute","non-dropping-particle":"","parse-names":false,"suffix":""},{"dropping-particle":"","family":"Coluzzi","given":"Flaminia","non-dropping-particle":"","parse-names":false,"suffix":""},{"dropping-particle":"","family":"Simmaco","given":"Maurizio","non-dropping-particle":"","parse-names":false,"suffix":""},{"dropping-particle":"","family":"Mura","given":"Cameron","non-dropping-particle":"","parse-names":false,"suffix":""},{"dropping-particle":"","family":"Bourne","given":"Philip E.","non-dropping-particle":"","parse-names":false,"suffix":""},{"dropping-particle":"","family":"Heiland","given":"Max","non-dropping-particle":"","parse-names":false,"suffix":""},{"dropping-particle":"","family":"Preissner","given":"Robert","non-dropping-particle":"","parse-names":false,"suffix":""},{"dropping-particle":"","family":"Preissner","given":"Saskia","non-dropping-particle":"","parse-names":false,"suffix":""}],"container-title":"BMC Medicine","id":"ITEM-5","issue":"1","issued":{"date-parts":[["2020","12","25"]]},"page":"369","title":"Evidence for treatment with estradiol for women with SARS-CoV-2 infection","type":"article-journal","volume":"18"},"uris":["http://www.mendeley.com/documents/?uuid=67d316a8-aaf7-4192-98f8-ad71da7dfd22"]}],"mendeley":{"formattedCitation":"[4,5,7–9]","plainTextFormattedCitation":"[4,5,7–9]","previouslyFormattedCitation":"[4,5,7–9]"},"properties":{"noteIndex":0},"schema":"https://github.com/citation-style-language/schema/raw/master/csl-citation.json"}</w:instrText>
      </w:r>
      <w:r w:rsidR="005E4FFF" w:rsidRPr="00667DA4">
        <w:rPr>
          <w:rFonts w:eastAsia="Times New Roman" w:cs="Arial"/>
          <w:bCs/>
          <w:lang w:eastAsia="en-GB"/>
        </w:rPr>
        <w:fldChar w:fldCharType="separate"/>
      </w:r>
      <w:r w:rsidR="005E4FFF" w:rsidRPr="00667DA4">
        <w:rPr>
          <w:rFonts w:eastAsia="Times New Roman" w:cs="Arial"/>
          <w:bCs/>
          <w:noProof/>
          <w:lang w:eastAsia="en-GB"/>
        </w:rPr>
        <w:t>[4,5,7–9]</w:t>
      </w:r>
      <w:r w:rsidR="005E4FFF" w:rsidRPr="00667DA4">
        <w:rPr>
          <w:rFonts w:eastAsia="Times New Roman" w:cs="Arial"/>
          <w:bCs/>
          <w:lang w:eastAsia="en-GB"/>
        </w:rPr>
        <w:fldChar w:fldCharType="end"/>
      </w:r>
      <w:r w:rsidR="001A4F21" w:rsidRPr="00667DA4">
        <w:rPr>
          <w:rFonts w:cs="Arial"/>
          <w:shd w:val="clear" w:color="auto" w:fill="FFFFFF"/>
        </w:rPr>
        <w:t xml:space="preserve">. </w:t>
      </w:r>
      <w:r w:rsidR="00246927" w:rsidRPr="00667DA4">
        <w:rPr>
          <w:rFonts w:cs="Arial"/>
          <w:shd w:val="clear" w:color="auto" w:fill="FFFFFF"/>
        </w:rPr>
        <w:t>Th</w:t>
      </w:r>
      <w:r w:rsidR="00A11991" w:rsidRPr="00667DA4">
        <w:rPr>
          <w:rFonts w:cs="Arial"/>
          <w:shd w:val="clear" w:color="auto" w:fill="FFFFFF"/>
        </w:rPr>
        <w:t>is is consistent with the findings of the</w:t>
      </w:r>
      <w:r w:rsidR="00246927" w:rsidRPr="00667DA4">
        <w:rPr>
          <w:rFonts w:cs="Arial"/>
          <w:shd w:val="clear" w:color="auto" w:fill="FFFFFF"/>
        </w:rPr>
        <w:t xml:space="preserve"> COVID Symptom Study</w:t>
      </w:r>
      <w:r w:rsidR="0010489B" w:rsidRPr="00667DA4">
        <w:rPr>
          <w:rFonts w:cs="Arial"/>
          <w:shd w:val="clear" w:color="auto" w:fill="FFFFFF"/>
        </w:rPr>
        <w:t>,</w:t>
      </w:r>
      <w:r w:rsidR="00246927" w:rsidRPr="00667DA4">
        <w:rPr>
          <w:rFonts w:cs="Arial"/>
          <w:shd w:val="clear" w:color="auto" w:fill="FFFFFF"/>
        </w:rPr>
        <w:t xml:space="preserve"> which </w:t>
      </w:r>
      <w:r w:rsidR="0010489B" w:rsidRPr="00667DA4">
        <w:rPr>
          <w:rFonts w:cs="Arial"/>
          <w:shd w:val="clear" w:color="auto" w:fill="FFFFFF"/>
        </w:rPr>
        <w:t xml:space="preserve">(to our knowledge) </w:t>
      </w:r>
      <w:r w:rsidR="00246927" w:rsidRPr="00667DA4">
        <w:rPr>
          <w:rFonts w:cs="Arial"/>
          <w:shd w:val="clear" w:color="auto" w:fill="FFFFFF"/>
        </w:rPr>
        <w:t xml:space="preserve">is the largest </w:t>
      </w:r>
      <w:r w:rsidR="00793149" w:rsidRPr="00667DA4">
        <w:rPr>
          <w:rFonts w:cs="Arial"/>
          <w:shd w:val="clear" w:color="auto" w:fill="FFFFFF"/>
        </w:rPr>
        <w:t xml:space="preserve">observational study </w:t>
      </w:r>
      <w:r w:rsidR="0010489B" w:rsidRPr="00667DA4">
        <w:rPr>
          <w:rFonts w:cs="Arial"/>
          <w:shd w:val="clear" w:color="auto" w:fill="FFFFFF"/>
        </w:rPr>
        <w:t xml:space="preserve">on this topic </w:t>
      </w:r>
      <w:r w:rsidR="00793149" w:rsidRPr="00667DA4">
        <w:rPr>
          <w:rFonts w:cs="Arial"/>
          <w:shd w:val="clear" w:color="auto" w:fill="FFFFFF"/>
        </w:rPr>
        <w:t>to date</w:t>
      </w:r>
      <w:r w:rsidR="0010489B" w:rsidRPr="00667DA4">
        <w:rPr>
          <w:rFonts w:cs="Arial"/>
          <w:shd w:val="clear" w:color="auto" w:fill="FFFFFF"/>
        </w:rPr>
        <w:t>,</w:t>
      </w:r>
      <w:r w:rsidR="00A11991" w:rsidRPr="00667DA4">
        <w:rPr>
          <w:rFonts w:cs="Arial"/>
          <w:shd w:val="clear" w:color="auto" w:fill="FFFFFF"/>
        </w:rPr>
        <w:t xml:space="preserve"> including </w:t>
      </w:r>
      <w:r w:rsidR="00A11991" w:rsidRPr="00667DA4">
        <w:rPr>
          <w:rFonts w:cs="Arial"/>
        </w:rPr>
        <w:t>152,637 women for menopause status.</w:t>
      </w:r>
      <w:r w:rsidR="0096618F" w:rsidRPr="00667DA4">
        <w:rPr>
          <w:rFonts w:cs="Arial"/>
        </w:rPr>
        <w:t xml:space="preserve"> </w:t>
      </w:r>
      <w:r w:rsidR="0096618F" w:rsidRPr="00667DA4">
        <w:rPr>
          <w:rFonts w:cs="Arial"/>
        </w:rPr>
        <w:fldChar w:fldCharType="begin" w:fldLock="1"/>
      </w:r>
      <w:r w:rsidR="00301E7A" w:rsidRPr="00667DA4">
        <w:rPr>
          <w:rFonts w:cs="Arial"/>
        </w:rPr>
        <w:instrText>ADDIN CSL_CITATION {"citationItems":[{"id":"ITEM-1","itemData":{"DOI":"10.1371/journal.pone.0257051","ISSN":"1932-6203","abstract":"It has been widely observed that adult men of all ages are at higher risk of developing serious complications from COVID-19 when compared with women. This study aimed to investigate the association of COVID-19 positivity and severity with estrogen exposure in women, in a population based matched cohort study of female users of the COVID Symptom Study application in the UK. Analyses included 152,637 women for menopausal status, 295,689 women for exogenous estrogen intake in the form of the combined oral contraceptive pill (COCP), and 151,193 menopausal women for hormone replacement therapy (HRT). Data were collected using the COVID Symptom Study in May-June 2020. Analyses investigated associations between predicted or tested COVID-19 status and menopausal status, COCP use, and HRT use, adjusting for age, smoking and BMI, with follow-up age sensitivity analysis, and validation in a subset of participants from the TwinsUK cohort. Menopausal women had higher rates of predicted COVID-19 (P = 0.003). COCP-users had lower rates of predicted COVID-19 (P = 8.03E-05), with reduction in hospital attendance (P = 0.023). Menopausal women using HRT or hormonal therapies did not exhibit consistent associations, including increased rates of predicted COVID-19 (P = 2.22E-05) for HRT users alone. The findings support a protective effect of estrogen exposure on COVID-19, based on positive association between predicted COVID-19 with menopausal status, and negative association with COCP use. HRT use was positively associated with COVID-19, but the results should be considered with caution due to lack of data on HRT type, route of administration, duration of treatment, and potential unaccounted for confounders and comorbidities.","author":[{"dropping-particle":"","family":"Costeira","given":"Ricardo","non-dropping-particle":"","parse-names":false,"suffix":""},{"dropping-particle":"","family":"Lee","given":"Karla A.","non-dropping-particle":"","parse-names":false,"suffix":""},{"dropping-particle":"","family":"Murray","given":"Benjamin","non-dropping-particle":"","parse-names":false,"suffix":""},{"dropping-particle":"","family":"Christiansen","given":"Colette","non-dropping-particle":"","parse-names":false,"suffix":""},{"dropping-particle":"","family":"Castillo-Fernandez","given":"Juan","non-dropping-particle":"","parse-names":false,"suffix":""},{"dropping-particle":"","family":"Ni Lochlainn","given":"Mary","non-dropping-particle":"","parse-names":false,"suffix":""},{"dropping-particle":"","family":"Capdevila Pujol","given":"Joan","non-dropping-particle":"","parse-names":false,"suffix":""},{"dropping-particle":"","family":"Macfarlane","given":"Heather","non-dropping-particle":"","parse-names":false,"suffix":""},{"dropping-particle":"","family":"Kenny","given":"Louise C.","non-dropping-particle":"","parse-names":false,"suffix":""},{"dropping-particle":"","family":"Buchan","given":"Iain","non-dropping-particle":"","parse-names":false,"suffix":""},{"dropping-particle":"","family":"Wolf","given":"Jonathan","non-dropping-particle":"","parse-names":false,"suffix":""},{"dropping-particle":"","family":"Rymer","given":"Janice","non-dropping-particle":"","parse-names":false,"suffix":""},{"dropping-particle":"","family":"Ourselin","given":"Sebastien","non-dropping-particle":"","parse-names":false,"suffix":""},{"dropping-particle":"","family":"Steves","given":"Claire J.","non-dropping-particle":"","parse-names":false,"suffix":""},{"dropping-particle":"","family":"Spector","given":"Timothy D.","non-dropping-particle":"","parse-names":false,"suffix":""},{"dropping-particle":"","family":"Newson","given":"Louise R.","non-dropping-particle":"","parse-names":false,"suffix":""},{"dropping-particle":"","family":"Bell","given":"Jordana T.","non-dropping-particle":"","parse-names":false,"suffix":""}],"container-title":"PLOS ONE","editor":[{"dropping-particle":"","family":"Mullins","given":"Edward","non-dropping-particle":"","parse-names":false,"suffix":""}],"id":"ITEM-1","issue":"9","issued":{"date-parts":[["2021","9","10"]]},"page":"e0257051","title":"Estrogen and COVID-19 symptoms: Associations in women from the COVID Symptom Study","type":"article-journal","volume":"16"},"uris":["http://www.mendeley.com/documents/?uuid=1597fa8b-994c-44a5-bd12-7de21e4adf86"]}],"mendeley":{"formattedCitation":"[7]","plainTextFormattedCitation":"[7]","previouslyFormattedCitation":"[7]"},"properties":{"noteIndex":0},"schema":"https://github.com/citation-style-language/schema/raw/master/csl-citation.json"}</w:instrText>
      </w:r>
      <w:r w:rsidR="0096618F" w:rsidRPr="00667DA4">
        <w:rPr>
          <w:rFonts w:cs="Arial"/>
        </w:rPr>
        <w:fldChar w:fldCharType="separate"/>
      </w:r>
      <w:r w:rsidR="0096618F" w:rsidRPr="00667DA4">
        <w:rPr>
          <w:rFonts w:cs="Arial"/>
          <w:noProof/>
        </w:rPr>
        <w:t>[7]</w:t>
      </w:r>
      <w:r w:rsidR="0096618F" w:rsidRPr="00667DA4">
        <w:rPr>
          <w:rFonts w:cs="Arial"/>
        </w:rPr>
        <w:fldChar w:fldCharType="end"/>
      </w:r>
      <w:r w:rsidR="0096618F" w:rsidRPr="00667DA4">
        <w:rPr>
          <w:rFonts w:cs="Arial"/>
        </w:rPr>
        <w:t xml:space="preserve"> </w:t>
      </w:r>
      <w:r w:rsidR="00A11991" w:rsidRPr="00667DA4">
        <w:rPr>
          <w:rFonts w:cs="Arial"/>
        </w:rPr>
        <w:t xml:space="preserve">Their findings across the cohort suggests that higher oestrogen levels </w:t>
      </w:r>
      <w:r w:rsidR="004F0448" w:rsidRPr="00667DA4">
        <w:rPr>
          <w:rFonts w:cs="Arial"/>
        </w:rPr>
        <w:t>may protect again</w:t>
      </w:r>
      <w:r w:rsidR="0044119C" w:rsidRPr="00667DA4">
        <w:rPr>
          <w:rFonts w:cs="Arial"/>
        </w:rPr>
        <w:t>st</w:t>
      </w:r>
      <w:r w:rsidR="004F0448" w:rsidRPr="00667DA4">
        <w:rPr>
          <w:rFonts w:cs="Arial"/>
        </w:rPr>
        <w:t xml:space="preserve"> COVID-19</w:t>
      </w:r>
      <w:r w:rsidR="00A11991" w:rsidRPr="00667DA4">
        <w:rPr>
          <w:rFonts w:cs="Arial"/>
        </w:rPr>
        <w:t>.</w:t>
      </w:r>
      <w:r w:rsidR="002B5E1B" w:rsidRPr="00667DA4">
        <w:rPr>
          <w:rFonts w:cs="Arial"/>
        </w:rPr>
        <w:t xml:space="preserve"> The mechanism to explain this may</w:t>
      </w:r>
      <w:r w:rsidR="000D7793" w:rsidRPr="00667DA4">
        <w:rPr>
          <w:rFonts w:cs="Arial"/>
        </w:rPr>
        <w:t xml:space="preserve"> be through</w:t>
      </w:r>
      <w:r w:rsidR="002B5E1B" w:rsidRPr="00667DA4">
        <w:rPr>
          <w:rFonts w:cs="Arial"/>
        </w:rPr>
        <w:t xml:space="preserve"> increased cellular and humoral immune responses in females with higher oestrogen level</w:t>
      </w:r>
      <w:r w:rsidR="004F0448" w:rsidRPr="00667DA4">
        <w:rPr>
          <w:rFonts w:cs="Arial"/>
        </w:rPr>
        <w:t>s</w:t>
      </w:r>
      <w:r w:rsidR="002B5E1B" w:rsidRPr="00667DA4">
        <w:rPr>
          <w:rFonts w:cs="Arial"/>
        </w:rPr>
        <w:t>.</w:t>
      </w:r>
      <w:r w:rsidR="000D7793" w:rsidRPr="00667DA4">
        <w:rPr>
          <w:rFonts w:cs="Arial"/>
        </w:rPr>
        <w:t xml:space="preserve"> Recent </w:t>
      </w:r>
      <w:r w:rsidR="000D7793" w:rsidRPr="00667DA4">
        <w:rPr>
          <w:rFonts w:cs="Arial"/>
        </w:rPr>
        <w:lastRenderedPageBreak/>
        <w:t xml:space="preserve">evidence suggests that females have </w:t>
      </w:r>
      <w:r w:rsidR="009B7BD1" w:rsidRPr="00667DA4">
        <w:rPr>
          <w:rFonts w:cs="Arial"/>
        </w:rPr>
        <w:t>a</w:t>
      </w:r>
      <w:r w:rsidR="00F41BE8" w:rsidRPr="00667DA4">
        <w:rPr>
          <w:rFonts w:cs="Arial"/>
        </w:rPr>
        <w:t xml:space="preserve"> higher level and</w:t>
      </w:r>
      <w:r w:rsidR="009B7BD1" w:rsidRPr="00667DA4">
        <w:rPr>
          <w:rFonts w:cs="Arial"/>
        </w:rPr>
        <w:t xml:space="preserve"> </w:t>
      </w:r>
      <w:r w:rsidR="000D7793" w:rsidRPr="00667DA4">
        <w:rPr>
          <w:rFonts w:cs="Arial"/>
        </w:rPr>
        <w:t xml:space="preserve">faster generation of </w:t>
      </w:r>
      <w:r w:rsidR="000D7793" w:rsidRPr="00667DA4">
        <w:rPr>
          <w:rFonts w:cs="Arial"/>
          <w:shd w:val="clear" w:color="auto" w:fill="FFFFFF"/>
        </w:rPr>
        <w:t xml:space="preserve">serum SARS-CoV-2 IgG antibody compared </w:t>
      </w:r>
      <w:r w:rsidR="00F41BE8" w:rsidRPr="00667DA4">
        <w:rPr>
          <w:rFonts w:cs="Arial"/>
          <w:shd w:val="clear" w:color="auto" w:fill="FFFFFF"/>
        </w:rPr>
        <w:t>to</w:t>
      </w:r>
      <w:r w:rsidR="000D7793" w:rsidRPr="00667DA4">
        <w:rPr>
          <w:rFonts w:cs="Arial"/>
          <w:shd w:val="clear" w:color="auto" w:fill="FFFFFF"/>
        </w:rPr>
        <w:t xml:space="preserve"> m</w:t>
      </w:r>
      <w:r w:rsidR="00F41BE8" w:rsidRPr="00667DA4">
        <w:rPr>
          <w:rFonts w:cs="Arial"/>
          <w:shd w:val="clear" w:color="auto" w:fill="FFFFFF"/>
        </w:rPr>
        <w:t>ales</w:t>
      </w:r>
      <w:r w:rsidR="000D7793" w:rsidRPr="00667DA4">
        <w:rPr>
          <w:rFonts w:cs="Arial"/>
          <w:shd w:val="clear" w:color="auto" w:fill="FFFFFF"/>
        </w:rPr>
        <w:t>.</w:t>
      </w:r>
      <w:r w:rsidR="000D7793" w:rsidRPr="00667DA4">
        <w:rPr>
          <w:rFonts w:cs="Arial"/>
          <w:shd w:val="clear" w:color="auto" w:fill="FFFFFF"/>
        </w:rPr>
        <w:fldChar w:fldCharType="begin" w:fldLock="1"/>
      </w:r>
      <w:r w:rsidR="00301E7A" w:rsidRPr="00667DA4">
        <w:rPr>
          <w:rFonts w:cs="Arial"/>
          <w:shd w:val="clear" w:color="auto" w:fill="FFFFFF"/>
        </w:rPr>
        <w:instrText>ADDIN CSL_CITATION {"citationItems":[{"id":"ITEM-1","itemData":{"DOI":"10.1002/jmv.25989","ISSN":"10969071","abstract":"The emergence of severe acute respiratory syndrome coronavirus 2 (SARS-CoV-2) in China at the end of 2019 has spread throughout the world and caused many thousands of deaths. The previous study reported a higher severe status rate and mortality rate in male patients in China. However, the reason underlying this difference has not been reported. The convalescent plasma containing a high level of SARS-CoV-2 immunoglobulin G (IgG) antibody has been used in clinical therapy and achieved good effects in China. In this study, to compare the differences of the SARS-CoV-2 IgG antibody between male and female patients, a total number of 331 patients confirmed SARS-CoV-2 infection were enrolled. The serum of these patients was collected during hospitalization and detected for the SARS-CoV-2 IgG antibody. Our data showed that the concentration of IgG antibody in mild, general, and recovering patients showed no difference between male and female patients. In severe status, compared with male patients, there were more female patients having a relatively high concentration of serum SARS-CoV-2 IgG antibody. In addition, the generation of IgG antibody in female patients was stronger than male patients in disease early phase. Our study identified a discrepancy in the SARS-CoV-2 IgG antibody level in male and female patients, which may be a potential cause leading to a different outcome of Coronavirus Disease 2019 between sex.","author":[{"dropping-particle":"","family":"Zeng","given":"Fanfan","non-dropping-particle":"","parse-names":false,"suffix":""},{"dropping-particle":"","family":"Dai","given":"Chan","non-dropping-particle":"","parse-names":false,"suffix":""},{"dropping-particle":"","family":"Cai","given":"Pengcheng","non-dropping-particle":"","parse-names":false,"suffix":""},{"dropping-particle":"","family":"Wang","given":"Jinbiao","non-dropping-particle":"","parse-names":false,"suffix":""},{"dropping-particle":"","family":"Xu","given":"Lei","non-dropping-particle":"","parse-names":false,"suffix":""},{"dropping-particle":"","family":"Li","given":"Jianyu","non-dropping-particle":"","parse-names":false,"suffix":""},{"dropping-particle":"","family":"Hu","given":"Guoyun","non-dropping-particle":"","parse-names":false,"suffix":""},{"dropping-particle":"","family":"Wang","given":"Zheng","non-dropping-particle":"","parse-names":false,"suffix":""},{"dropping-particle":"","family":"Zheng","given":"Fang","non-dropping-particle":"","parse-names":false,"suffix":""},{"dropping-particle":"","family":"Wang","given":"Lin","non-dropping-particle":"","parse-names":false,"suffix":""}],"container-title":"Journal of Medical Virology","id":"ITEM-1","issue":"10","issued":{"date-parts":[["2020"]]},"title":"A comparison study of SARS-CoV-2 IgG antibody between male and female COVID-19 patients: A possible reason underlying different outcome between sex","type":"article-journal","volume":"92"},"uris":["http://www.mendeley.com/documents/?uuid=8a8c9230-2ef4-37a2-ad6a-30fbbf5aba8c","http://www.mendeley.com/documents/?uuid=babe01e5-e591-4af6-8337-c5429940fe70"]}],"mendeley":{"formattedCitation":"[21]","plainTextFormattedCitation":"[21]","previouslyFormattedCitation":"[19]"},"properties":{"noteIndex":0},"schema":"https://github.com/citation-style-language/schema/raw/master/csl-citation.json"}</w:instrText>
      </w:r>
      <w:r w:rsidR="000D7793" w:rsidRPr="00667DA4">
        <w:rPr>
          <w:rFonts w:cs="Arial"/>
          <w:shd w:val="clear" w:color="auto" w:fill="FFFFFF"/>
        </w:rPr>
        <w:fldChar w:fldCharType="separate"/>
      </w:r>
      <w:r w:rsidR="00301E7A" w:rsidRPr="00667DA4">
        <w:rPr>
          <w:rFonts w:cs="Arial"/>
          <w:noProof/>
          <w:shd w:val="clear" w:color="auto" w:fill="FFFFFF"/>
        </w:rPr>
        <w:t>[21]</w:t>
      </w:r>
      <w:r w:rsidR="000D7793" w:rsidRPr="00667DA4">
        <w:rPr>
          <w:rFonts w:cs="Arial"/>
          <w:shd w:val="clear" w:color="auto" w:fill="FFFFFF"/>
        </w:rPr>
        <w:fldChar w:fldCharType="end"/>
      </w:r>
      <w:r w:rsidR="000D7793" w:rsidRPr="00667DA4">
        <w:rPr>
          <w:rFonts w:cs="Arial"/>
        </w:rPr>
        <w:t xml:space="preserve"> </w:t>
      </w:r>
      <w:r w:rsidR="002B5E1B" w:rsidRPr="00667DA4">
        <w:rPr>
          <w:rFonts w:cs="Arial"/>
        </w:rPr>
        <w:t xml:space="preserve">Higher oestrogen levels may also be able to better </w:t>
      </w:r>
      <w:r w:rsidR="000D7793" w:rsidRPr="00667DA4">
        <w:rPr>
          <w:rFonts w:cs="Arial"/>
        </w:rPr>
        <w:t xml:space="preserve">promote direct anti-viral activity of T-cells and </w:t>
      </w:r>
      <w:r w:rsidR="002B5E1B" w:rsidRPr="00667DA4">
        <w:rPr>
          <w:rFonts w:cs="Arial"/>
        </w:rPr>
        <w:t xml:space="preserve">modulate the uncontrolled immune response (cytokine storm) that has been observed in those with respiratory failure due to COVID-19. </w:t>
      </w:r>
      <w:r w:rsidR="002B5E1B" w:rsidRPr="00667DA4">
        <w:rPr>
          <w:rFonts w:cs="Arial"/>
        </w:rPr>
        <w:fldChar w:fldCharType="begin" w:fldLock="1"/>
      </w:r>
      <w:r w:rsidR="0006312F" w:rsidRPr="00667DA4">
        <w:rPr>
          <w:rFonts w:cs="Arial"/>
        </w:rPr>
        <w:instrText>ADDIN CSL_CITATION {"citationItems":[{"id":"ITEM-1","itemData":{"DOI":"10.1016/j.mayocp.2020.05.013","ISSN":"19425546","abstract":"Given the rapid spread of the coronavirus disease 2019 (COVID-19) pandemic and its overwhelming effect on health care systems and the global economy, innovative therapeutic strategies are urgently needed. The proposed primary culprit of COVID-19 is the intense inflammatory response—an augmented immune response and cytokine storm—severely damaging the lung tissue and rendering some patients’ conditions severe enough to require assisted ventilation. Sex differences in the response to inflammation have been documented and can be attributed, at least in part, to sex steroid hormones. Moreover, age-associated decreases in sex steroid hormones, namely, estrogen and testosterone, may mediate proinflammatory increases in older adults that could increase their risk of COVID-19 adverse outcomes. Sex hormones can mitigate the inflammation response and might provide promising therapeutic potential for patients with COVID-19. In this article, we explore the possible anti-inflammatory effects of estrogen and testosterone and the anabolic effect of testosterone, with particular attention to the potential therapeutic role of hormone replacement therapy in older men and women with COVID-19.","author":[{"dropping-particle":"","family":"Al-Lami","given":"Rasha A.","non-dropping-particle":"","parse-names":false,"suffix":""},{"dropping-particle":"","family":"Urban","given":"Randall J.","non-dropping-particle":"","parse-names":false,"suffix":""},{"dropping-particle":"","family":"Volpi","given":"Elena","non-dropping-particle":"","parse-names":false,"suffix":""},{"dropping-particle":"","family":"Algburi","given":"Ammar M.A.","non-dropping-particle":"","parse-names":false,"suffix":""},{"dropping-particle":"","family":"Baillargeon","given":"Jacques","non-dropping-particle":"","parse-names":false,"suffix":""}],"container-title":"Mayo Clinic Proceedings","id":"ITEM-1","issue":"8","issued":{"date-parts":[["2020"]]},"title":"Sex Hormones and Novel Corona Virus Infectious Disease (COVID-19)","type":"article","volume":"95"},"uris":["http://www.mendeley.com/documents/?uuid=539847c4-c1b7-47e9-87bb-5d080c36be43","http://www.mendeley.com/documents/?uuid=5ed8d339-5778-37d9-808e-9f6cd9d342ba"]},{"id":"ITEM-2","itemData":{"DOI":"10.1016/j.mehy.2020.110148","ISSN":"15322777","abstract":"Estrogen hormone acts as a potential key player in providing immunity against certain viral infection. It is found to be associated in providing immunity against acute lungs inflammation and influenza virus by modulating cytokines storm and mediating adaptive immune alterations respectively. Women are less affected by SARS-CoV-2 infection because of the possible influence of estrogen hormone as compared to men. We hypothesized that SARS-CoV-2 causes stress in endoplasmic reticulum (ER) which in turn aggravates the infection, estrogen hormone might play key role in decreasing ER stress by activating estrogen mediated signaling pathways, results in unfolded protein response (UPR). Estrogen governs degradation of phosphotidylinositol 4,5-bisphosphate (PIP2) into diacylglycerol (DAG) and inositol triphosphate (IP3) with the help of phospholipase C. IP3 start in-fluxing Ca+2 ions that helps in UPR activation. To support our hypothesis, we analyzed the data of 162,392 COVID-19 patients to determine the relation of this disease with gender. We observed that 26% of women and 74% of men were affected by SARS-CoV-2. It indicated that women are less affected because of the possible influence of estrogen hormone in women.","author":[{"dropping-particle":"","family":"Shabbir","given":"Sana","non-dropping-particle":"","parse-names":false,"suffix":""},{"dropping-particle":"","family":"Hafeez","given":"Assad","non-dropping-particle":"","parse-names":false,"suffix":""},{"dropping-particle":"","family":"Rafiq","given":"Muhammad Arshad","non-dropping-particle":"","parse-names":false,"suffix":""},{"dropping-particle":"","family":"Khan","given":"Muhammad Jawad","non-dropping-particle":"","parse-names":false,"suffix":""}],"container-title":"Medical Hypotheses","id":"ITEM-2","issued":{"date-parts":[["2020"]]},"title":"Estrogen shields women from COVID-19 complications by reducing ER stress","type":"article-journal","volume":"143"},"uris":["http://www.mendeley.com/documents/?uuid=16fb5a3e-00a9-411c-9c5e-7d7da7065c2a","http://www.mendeley.com/documents/?uuid=c56b18ec-11f6-3e6a-9eb7-c0d98b2000f9","http://www.mendeley.com/documents/?uuid=521cdf0d-e847-4043-a33f-f05e480911cd"]}],"mendeley":{"formattedCitation":"[4,5]","plainTextFormattedCitation":"[4,5]","previouslyFormattedCitation":"[4,5]"},"properties":{"noteIndex":0},"schema":"https://github.com/citation-style-language/schema/raw/master/csl-citation.json"}</w:instrText>
      </w:r>
      <w:r w:rsidR="002B5E1B" w:rsidRPr="00667DA4">
        <w:rPr>
          <w:rFonts w:cs="Arial"/>
        </w:rPr>
        <w:fldChar w:fldCharType="separate"/>
      </w:r>
      <w:r w:rsidR="002B5E1B" w:rsidRPr="00667DA4">
        <w:rPr>
          <w:rFonts w:cs="Arial"/>
          <w:noProof/>
        </w:rPr>
        <w:t>[4,5]</w:t>
      </w:r>
      <w:r w:rsidR="002B5E1B" w:rsidRPr="00667DA4">
        <w:rPr>
          <w:rFonts w:cs="Arial"/>
        </w:rPr>
        <w:fldChar w:fldCharType="end"/>
      </w:r>
      <w:r w:rsidR="002B5E1B" w:rsidRPr="00667DA4">
        <w:rPr>
          <w:rFonts w:cs="Arial"/>
        </w:rPr>
        <w:t xml:space="preserve"> </w:t>
      </w:r>
      <w:r w:rsidR="004F0448" w:rsidRPr="00667DA4">
        <w:rPr>
          <w:rFonts w:cs="Arial"/>
        </w:rPr>
        <w:t>Immune responses</w:t>
      </w:r>
      <w:r w:rsidR="00F41BE8" w:rsidRPr="00667DA4">
        <w:rPr>
          <w:rFonts w:cs="Arial"/>
        </w:rPr>
        <w:t xml:space="preserve"> and oestrogen level</w:t>
      </w:r>
      <w:r w:rsidR="004F0448" w:rsidRPr="00667DA4">
        <w:rPr>
          <w:rFonts w:cs="Arial"/>
        </w:rPr>
        <w:t xml:space="preserve"> decrease </w:t>
      </w:r>
      <w:r w:rsidR="00F41BE8" w:rsidRPr="00667DA4">
        <w:rPr>
          <w:rFonts w:cs="Arial"/>
        </w:rPr>
        <w:t xml:space="preserve">with age which might </w:t>
      </w:r>
      <w:r w:rsidR="004F0448" w:rsidRPr="00667DA4">
        <w:rPr>
          <w:rFonts w:cs="Arial"/>
        </w:rPr>
        <w:t xml:space="preserve">explain why previous studies and our results show a </w:t>
      </w:r>
      <w:r w:rsidR="00F41BE8" w:rsidRPr="00667DA4">
        <w:rPr>
          <w:rFonts w:cs="Arial"/>
        </w:rPr>
        <w:t>greater</w:t>
      </w:r>
      <w:r w:rsidR="004F0448" w:rsidRPr="00667DA4">
        <w:rPr>
          <w:rFonts w:cs="Arial"/>
        </w:rPr>
        <w:t xml:space="preserve"> </w:t>
      </w:r>
      <w:r w:rsidR="004C70FE" w:rsidRPr="00667DA4">
        <w:rPr>
          <w:rFonts w:cs="Arial"/>
        </w:rPr>
        <w:t>likelihood</w:t>
      </w:r>
      <w:r w:rsidR="004F0448" w:rsidRPr="00667DA4">
        <w:rPr>
          <w:rFonts w:cs="Arial"/>
        </w:rPr>
        <w:t xml:space="preserve"> of worse outcomes </w:t>
      </w:r>
      <w:r w:rsidR="00F41BE8" w:rsidRPr="00667DA4">
        <w:rPr>
          <w:rFonts w:cs="Arial"/>
        </w:rPr>
        <w:t>in females with</w:t>
      </w:r>
      <w:r w:rsidR="004F0448" w:rsidRPr="00667DA4">
        <w:rPr>
          <w:rFonts w:cs="Arial"/>
        </w:rPr>
        <w:t xml:space="preserve"> increas</w:t>
      </w:r>
      <w:r w:rsidR="009B7BD1" w:rsidRPr="00667DA4">
        <w:rPr>
          <w:rFonts w:cs="Arial"/>
        </w:rPr>
        <w:t>ing</w:t>
      </w:r>
      <w:r w:rsidR="004F0448" w:rsidRPr="00667DA4">
        <w:rPr>
          <w:rFonts w:cs="Arial"/>
        </w:rPr>
        <w:t xml:space="preserve"> age.</w:t>
      </w:r>
      <w:r w:rsidR="009F2CD3" w:rsidRPr="00667DA4">
        <w:rPr>
          <w:rFonts w:cs="Arial"/>
        </w:rPr>
        <w:fldChar w:fldCharType="begin" w:fldLock="1"/>
      </w:r>
      <w:r w:rsidR="009F2CD3" w:rsidRPr="00667DA4">
        <w:rPr>
          <w:rFonts w:cs="Arial"/>
        </w:rPr>
        <w:instrText>ADDIN CSL_CITATION {"citationItems":[{"id":"ITEM-1","itemData":{"DOI":"10.1038/s41586-020-2521-4","ISSN":"14764687","abstract":"Coronavirus disease 2019 (COVID-19) has rapidly affected mortality worldwide1. There is unprecedented urgency to understand who is most at risk of severe outcomes, and this requires new approaches for the timely analysis of large datasets. Working on behalf of NHS England, we created OpenSAFELY—a secure health analytics platform that covers 40% of all patients in England and holds patient data within the existing data centre of a major vendor of primary care electronic health records. Here we used OpenSAFELY to examine factors associated with COVID-19-related death. Primary care records of 17,278,392 adults were pseudonymously linked to 10,926 COVID-19-related deaths. COVID-19-related death was associated with: being male (hazard ratio (HR) 1.59 (95% confidence interval 1.53–1.65)); greater age and deprivation (both with a strong gradient); diabetes; severe asthma; and various other medical conditions. Compared with people of white ethnicity, Black and South Asian people were at higher risk, even after adjustment for other factors (HR 1.48 (1.29–1.69) and 1.45 (1.32–1.58), respectively). We have quantified a range of clinical factors associated with COVID-19-related death in one of the largest cohort studies on this topic so far. More patient records are rapidly being added to OpenSAFELY, we will update and extend our results regularly.","author":[{"dropping-particle":"","family":"Williamson","given":"Elizabeth J.","non-dropping-particle":"","parse-names":false,"suffix":""},{"dropping-particle":"","family":"Walker","given":"Alex J.","non-dropping-particle":"","parse-names":false,"suffix":""},{"dropping-particle":"","family":"Bhaskaran","given":"Krishnan","non-dropping-particle":"","parse-names":false,"suffix":""},{"dropping-particle":"","family":"Bacon","given":"Seb","non-dropping-particle":"","parse-names":false,"suffix":""},{"dropping-particle":"","family":"Bates","given":"Chris","non-dropping-particle":"","parse-names":false,"suffix":""},{"dropping-particle":"","family":"Morton","given":"Caroline E.","non-dropping-particle":"","parse-names":false,"suffix":""},{"dropping-particle":"","family":"Curtis","given":"Helen J.","non-dropping-particle":"","parse-names":false,"suffix":""},{"dropping-particle":"","family":"Mehrkar","given":"Amir","non-dropping-particle":"","parse-names":false,"suffix":""},{"dropping-particle":"","family":"Evans","given":"David","non-dropping-particle":"","parse-names":false,"suffix":""},{"dropping-particle":"","family":"Inglesby","given":"Peter","non-dropping-particle":"","parse-names":false,"suffix":""},{"dropping-particle":"","family":"Cockburn","given":"Jonathan","non-dropping-particle":"","parse-names":false,"suffix":""},{"dropping-particle":"","family":"McDonald","given":"Helen I.","non-dropping-particle":"","parse-names":false,"suffix":""},{"dropping-particle":"","family":"MacKenna","given":"Brian","non-dropping-particle":"","parse-names":false,"suffix":""},{"dropping-particle":"","family":"Tomlinson","given":"Laurie","non-dropping-particle":"","parse-names":false,"suffix":""},{"dropping-particle":"","family":"Douglas","given":"Ian J.","non-dropping-particle":"","parse-names":false,"suffix":""},{"dropping-particle":"","family":"Rentsch","given":"Christopher T.","non-dropping-particle":"","parse-names":false,"suffix":""},{"dropping-particle":"","family":"Mathur","given":"Rohini","non-dropping-particle":"","parse-names":false,"suffix":""},{"dropping-particle":"","family":"Wong","given":"Angel Y.S.","non-dropping-particle":"","parse-names":false,"suffix":""},{"dropping-particle":"","family":"Grieve","given":"Richard","non-dropping-particle":"","parse-names":false,"suffix":""},{"dropping-particle":"","family":"Harrison","given":"David","non-dropping-particle":"","parse-names":false,"suffix":""},{"dropping-particle":"","family":"Forbes","given":"Harriet","non-dropping-particle":"","parse-names":false,"suffix":""},{"dropping-particle":"","family":"Schultze","given":"Anna","non-dropping-particle":"","parse-names":false,"suffix":""},{"dropping-particle":"","family":"Croker","given":"Richard","non-dropping-particle":"","parse-names":false,"suffix":""},{"dropping-particle":"","family":"Parry","given":"John","non-dropping-particle":"","parse-names":false,"suffix":""},{"dropping-particle":"","family":"Hester","given":"Frank","non-dropping-particle":"","parse-names":false,"suffix":""},{"dropping-particle":"","family":"Harper","given":"Sam","non-dropping-particle":"","parse-names":false,"suffix":""},{"dropping-particle":"","family":"Perera","given":"Rafael","non-dropping-particle":"","parse-names":false,"suffix":""},{"dropping-particle":"","family":"Evans","given":"Stephen J.W.","non-dropping-particle":"","parse-names":false,"suffix":""},{"dropping-particle":"","family":"Smeeth","given":"Liam","non-dropping-particle":"","parse-names":false,"suffix":""},{"dropping-particle":"","family":"Goldacre","given":"Ben","non-dropping-particle":"","parse-names":false,"suffix":""}],"container-title":"Nature","id":"ITEM-1","issue":"7821","issued":{"date-parts":[["2020"]]},"title":"Factors associated with COVID-19-related death using OpenSAFELY","type":"article-journal","volume":"584"},"uris":["http://www.mendeley.com/documents/?uuid=d34af56b-0cfb-4af0-be4b-bca905f499b3"]},{"id":"ITEM-2","itemData":{"DOI":"10.1371/journal.pone.0257051","ISSN":"1932-6203","abstract":"It has been widely observed that adult men of all ages are at higher risk of developing serious complications from COVID-19 when compared with women. This study aimed to investigate the association of COVID-19 positivity and severity with estrogen exposure in women, in a population based matched cohort study of female users of the COVID Symptom Study application in the UK. Analyses included 152,637 women for menopausal status, 295,689 women for exogenous estrogen intake in the form of the combined oral contraceptive pill (COCP), and 151,193 menopausal women for hormone replacement therapy (HRT). Data were collected using the COVID Symptom Study in May-June 2020. Analyses investigated associations between predicted or tested COVID-19 status and menopausal status, COCP use, and HRT use, adjusting for age, smoking and BMI, with follow-up age sensitivity analysis, and validation in a subset of participants from the TwinsUK cohort. Menopausal women had higher rates of predicted COVID-19 (P = 0.003). COCP-users had lower rates of predicted COVID-19 (P = 8.03E-05), with reduction in hospital attendance (P = 0.023). Menopausal women using HRT or hormonal therapies did not exhibit consistent associations, including increased rates of predicted COVID-19 (P = 2.22E-05) for HRT users alone. The findings support a protective effect of estrogen exposure on COVID-19, based on positive association between predicted COVID-19 with menopausal status, and negative association with COCP use. HRT use was positively associated with COVID-19, but the results should be considered with caution due to lack of data on HRT type, route of administration, duration of treatment, and potential unaccounted for confounders and comorbidities.","author":[{"dropping-particle":"","family":"Costeira","given":"Ricardo","non-dropping-particle":"","parse-names":false,"suffix":""},{"dropping-particle":"","family":"Lee","given":"Karla A.","non-dropping-particle":"","parse-names":false,"suffix":""},{"dropping-particle":"","family":"Murray","given":"Benjamin","non-dropping-particle":"","parse-names":false,"suffix":""},{"dropping-particle":"","family":"Christiansen","given":"Colette","non-dropping-particle":"","parse-names":false,"suffix":""},{"dropping-particle":"","family":"Castillo-Fernandez","given":"Juan","non-dropping-particle":"","parse-names":false,"suffix":""},{"dropping-particle":"","family":"Ni Lochlainn","given":"Mary","non-dropping-particle":"","parse-names":false,"suffix":""},{"dropping-particle":"","family":"Capdevila Pujol","given":"Joan","non-dropping-particle":"","parse-names":false,"suffix":""},{"dropping-particle":"","family":"Macfarlane","given":"Heather","non-dropping-particle":"","parse-names":false,"suffix":""},{"dropping-particle":"","family":"Kenny","given":"Louise C.","non-dropping-particle":"","parse-names":false,"suffix":""},{"dropping-particle":"","family":"Buchan","given":"Iain","non-dropping-particle":"","parse-names":false,"suffix":""},{"dropping-particle":"","family":"Wolf","given":"Jonathan","non-dropping-particle":"","parse-names":false,"suffix":""},{"dropping-particle":"","family":"Rymer","given":"Janice","non-dropping-particle":"","parse-names":false,"suffix":""},{"dropping-particle":"","family":"Ourselin","given":"Sebastien","non-dropping-particle":"","parse-names":false,"suffix":""},{"dropping-particle":"","family":"Steves","given":"Claire J.","non-dropping-particle":"","parse-names":false,"suffix":""},{"dropping-particle":"","family":"Spector","given":"Timothy D.","non-dropping-particle":"","parse-names":false,"suffix":""},{"dropping-particle":"","family":"Newson","given":"Louise R.","non-dropping-particle":"","parse-names":false,"suffix":""},{"dropping-particle":"","family":"Bell","given":"Jordana T.","non-dropping-particle":"","parse-names":false,"suffix":""}],"container-title":"PLOS ONE","editor":[{"dropping-particle":"","family":"Mullins","given":"Edward","non-dropping-particle":"","parse-names":false,"suffix":""}],"id":"ITEM-2","issue":"9","issued":{"date-parts":[["2021","9","10"]]},"page":"e0257051","title":"Estrogen and COVID-19 symptoms: Associations in women from the COVID Symptom Study","type":"article-journal","volume":"16"},"uris":["http://www.mendeley.com/documents/?uuid=1597fa8b-994c-44a5-bd12-7de21e4adf86"]}],"mendeley":{"formattedCitation":"[1,7]","plainTextFormattedCitation":"[1,7]","previouslyFormattedCitation":"[1,7]"},"properties":{"noteIndex":0},"schema":"https://github.com/citation-style-language/schema/raw/master/csl-citation.json"}</w:instrText>
      </w:r>
      <w:r w:rsidR="009F2CD3" w:rsidRPr="00667DA4">
        <w:rPr>
          <w:rFonts w:cs="Arial"/>
        </w:rPr>
        <w:fldChar w:fldCharType="separate"/>
      </w:r>
      <w:r w:rsidR="009F2CD3" w:rsidRPr="00667DA4">
        <w:rPr>
          <w:rFonts w:cs="Arial"/>
          <w:noProof/>
        </w:rPr>
        <w:t>[1,7]</w:t>
      </w:r>
      <w:r w:rsidR="009F2CD3" w:rsidRPr="00667DA4">
        <w:rPr>
          <w:rFonts w:cs="Arial"/>
        </w:rPr>
        <w:fldChar w:fldCharType="end"/>
      </w:r>
      <w:r w:rsidR="004F0448" w:rsidRPr="00667DA4">
        <w:rPr>
          <w:rFonts w:cs="Arial"/>
        </w:rPr>
        <w:t xml:space="preserve"> However, amongst women on HRT with exogenous oestrogen the </w:t>
      </w:r>
      <w:r w:rsidR="004C70FE" w:rsidRPr="00667DA4">
        <w:rPr>
          <w:rFonts w:cs="Arial"/>
        </w:rPr>
        <w:t>risk</w:t>
      </w:r>
      <w:r w:rsidR="004F0448" w:rsidRPr="00667DA4">
        <w:rPr>
          <w:rFonts w:cs="Arial"/>
        </w:rPr>
        <w:t xml:space="preserve"> </w:t>
      </w:r>
      <w:r w:rsidR="007E6CFF" w:rsidRPr="00667DA4">
        <w:rPr>
          <w:rFonts w:cs="Arial"/>
        </w:rPr>
        <w:t>of all-cause mortality are</w:t>
      </w:r>
      <w:r w:rsidR="004F0448" w:rsidRPr="00667DA4">
        <w:rPr>
          <w:rFonts w:cs="Arial"/>
        </w:rPr>
        <w:t xml:space="preserve"> reduced but still do</w:t>
      </w:r>
      <w:r w:rsidR="007E6CFF" w:rsidRPr="00667DA4">
        <w:rPr>
          <w:rFonts w:cs="Arial"/>
        </w:rPr>
        <w:t xml:space="preserve"> </w:t>
      </w:r>
      <w:r w:rsidR="004F0448" w:rsidRPr="00667DA4">
        <w:rPr>
          <w:rFonts w:cs="Arial"/>
        </w:rPr>
        <w:t>not</w:t>
      </w:r>
      <w:r w:rsidR="00F41BE8" w:rsidRPr="00667DA4">
        <w:rPr>
          <w:rFonts w:cs="Arial"/>
        </w:rPr>
        <w:t xml:space="preserve"> reach</w:t>
      </w:r>
      <w:r w:rsidR="004F0448" w:rsidRPr="00667DA4">
        <w:rPr>
          <w:rFonts w:cs="Arial"/>
        </w:rPr>
        <w:t xml:space="preserve"> </w:t>
      </w:r>
      <w:r w:rsidR="007E6CFF" w:rsidRPr="00667DA4">
        <w:rPr>
          <w:rFonts w:cs="Arial"/>
        </w:rPr>
        <w:t xml:space="preserve">that of </w:t>
      </w:r>
      <w:r w:rsidR="004F0448" w:rsidRPr="00667DA4">
        <w:rPr>
          <w:rFonts w:cs="Arial"/>
        </w:rPr>
        <w:t>younger females presumably related to the direct effect of ageing on the immune system</w:t>
      </w:r>
      <w:r w:rsidR="007E6CFF" w:rsidRPr="00667DA4">
        <w:rPr>
          <w:rFonts w:cs="Arial"/>
        </w:rPr>
        <w:t>, and the increased number of morbidities acquired with age.</w:t>
      </w:r>
      <w:r w:rsidR="007E6CFF" w:rsidRPr="00667DA4">
        <w:rPr>
          <w:rFonts w:cs="Arial"/>
        </w:rPr>
        <w:fldChar w:fldCharType="begin" w:fldLock="1"/>
      </w:r>
      <w:r w:rsidR="00301E7A" w:rsidRPr="00667DA4">
        <w:rPr>
          <w:rFonts w:cs="Arial"/>
        </w:rPr>
        <w:instrText>ADDIN CSL_CITATION {"citationItems":[{"id":"ITEM-1","itemData":{"DOI":"10.1056/nejmp2006761","ISSN":"0028-4793","PMID":"32302079","abstract":"Version 1.5 This briefing note summarizes key mental health and psychosocial support (MHPSS) considerations in relation to the 2019 novel coronavirus (COVID-19) outbreak. The brief was last updated February 2020","author":[{"dropping-particle":"","family":"Koff","given":"Wayne C.","non-dropping-particle":"","parse-names":false,"suffix":""},{"dropping-particle":"","family":"Williams","given":"Michelle A.","non-dropping-particle":"","parse-names":false,"suffix":""}],"container-title":"New England Journal of Medicine","id":"ITEM-1","issue":"9","issued":{"date-parts":[["2020","8"]]},"page":"804-805","publisher":"Massachusetts Medical Society","title":"Covid-19 and Immunity in Aging Populations — A New Research Agenda","type":"article-journal","volume":"383"},"uris":["http://www.mendeley.com/documents/?uuid=d1b95bfc-1a74-3157-b3f2-916a16dcdabc","http://www.mendeley.com/documents/?uuid=16571933-5755-4db4-b868-931bf7759b18"]}],"mendeley":{"formattedCitation":"[22]","plainTextFormattedCitation":"[22]","previouslyFormattedCitation":"[20]"},"properties":{"noteIndex":0},"schema":"https://github.com/citation-style-language/schema/raw/master/csl-citation.json"}</w:instrText>
      </w:r>
      <w:r w:rsidR="007E6CFF" w:rsidRPr="00667DA4">
        <w:rPr>
          <w:rFonts w:cs="Arial"/>
        </w:rPr>
        <w:fldChar w:fldCharType="separate"/>
      </w:r>
      <w:r w:rsidR="00301E7A" w:rsidRPr="00667DA4">
        <w:rPr>
          <w:rFonts w:cs="Arial"/>
          <w:noProof/>
        </w:rPr>
        <w:t>[22]</w:t>
      </w:r>
      <w:r w:rsidR="007E6CFF" w:rsidRPr="00667DA4">
        <w:rPr>
          <w:rFonts w:cs="Arial"/>
        </w:rPr>
        <w:fldChar w:fldCharType="end"/>
      </w:r>
      <w:r w:rsidR="007E6CFF" w:rsidRPr="00667DA4">
        <w:rPr>
          <w:rFonts w:cs="Arial"/>
        </w:rPr>
        <w:t xml:space="preserve"> In the</w:t>
      </w:r>
      <w:r w:rsidR="007E6CFF" w:rsidRPr="00667DA4">
        <w:rPr>
          <w:rFonts w:cs="Arial"/>
          <w:shd w:val="clear" w:color="auto" w:fill="FFFFFF"/>
        </w:rPr>
        <w:t xml:space="preserve"> COVID Symptom Study described earlier, the </w:t>
      </w:r>
      <w:r w:rsidR="00793149" w:rsidRPr="00667DA4">
        <w:rPr>
          <w:rFonts w:cs="Arial"/>
          <w:shd w:val="clear" w:color="auto" w:fill="FFFFFF"/>
        </w:rPr>
        <w:t>association</w:t>
      </w:r>
      <w:r w:rsidR="00F32373" w:rsidRPr="00667DA4">
        <w:rPr>
          <w:rFonts w:cs="Arial"/>
          <w:shd w:val="clear" w:color="auto" w:fill="FFFFFF"/>
        </w:rPr>
        <w:t>s</w:t>
      </w:r>
      <w:r w:rsidR="00793149" w:rsidRPr="00667DA4">
        <w:rPr>
          <w:rFonts w:cs="Arial"/>
          <w:shd w:val="clear" w:color="auto" w:fill="FFFFFF"/>
        </w:rPr>
        <w:t xml:space="preserve"> between </w:t>
      </w:r>
      <w:r w:rsidR="00A11991" w:rsidRPr="00667DA4">
        <w:rPr>
          <w:rFonts w:cs="Arial"/>
          <w:shd w:val="clear" w:color="auto" w:fill="FFFFFF"/>
        </w:rPr>
        <w:t>HRT and COVID-19</w:t>
      </w:r>
      <w:r w:rsidR="009F2CD3" w:rsidRPr="00667DA4">
        <w:rPr>
          <w:rFonts w:cs="Arial"/>
          <w:shd w:val="clear" w:color="auto" w:fill="FFFFFF"/>
        </w:rPr>
        <w:t xml:space="preserve"> </w:t>
      </w:r>
      <w:r w:rsidR="007E6CFF" w:rsidRPr="00667DA4">
        <w:rPr>
          <w:rFonts w:cs="Arial"/>
          <w:shd w:val="clear" w:color="auto" w:fill="FFFFFF"/>
        </w:rPr>
        <w:t>in 17</w:t>
      </w:r>
      <w:r w:rsidR="00216399" w:rsidRPr="00667DA4">
        <w:rPr>
          <w:rFonts w:cs="Arial"/>
          <w:shd w:val="clear" w:color="auto" w:fill="FFFFFF"/>
        </w:rPr>
        <w:t>,</w:t>
      </w:r>
      <w:r w:rsidR="007E6CFF" w:rsidRPr="00667DA4">
        <w:rPr>
          <w:rFonts w:cs="Arial"/>
          <w:shd w:val="clear" w:color="auto" w:fill="FFFFFF"/>
        </w:rPr>
        <w:t xml:space="preserve">798 women </w:t>
      </w:r>
      <w:r w:rsidR="00A11991" w:rsidRPr="00667DA4">
        <w:rPr>
          <w:rFonts w:cs="Arial"/>
          <w:shd w:val="clear" w:color="auto" w:fill="FFFFFF"/>
        </w:rPr>
        <w:t xml:space="preserve">were </w:t>
      </w:r>
      <w:r w:rsidR="009F2CD3" w:rsidRPr="00667DA4">
        <w:rPr>
          <w:rFonts w:cs="Arial"/>
          <w:shd w:val="clear" w:color="auto" w:fill="FFFFFF"/>
        </w:rPr>
        <w:t xml:space="preserve">not consistent. </w:t>
      </w:r>
      <w:r w:rsidR="008E1EDD" w:rsidRPr="00667DA4">
        <w:rPr>
          <w:rFonts w:cs="Arial"/>
        </w:rPr>
        <w:fldChar w:fldCharType="begin" w:fldLock="1"/>
      </w:r>
      <w:r w:rsidR="0096618F" w:rsidRPr="00667DA4">
        <w:rPr>
          <w:rFonts w:cs="Arial"/>
        </w:rPr>
        <w:instrText>ADDIN CSL_CITATION {"citationItems":[{"id":"ITEM-1","itemData":{"DOI":"10.1371/journal.pone.0257051","ISSN":"1932-6203","abstract":"It has been widely observed that adult men of all ages are at higher risk of developing serious complications from COVID-19 when compared with women. This study aimed to investigate the association of COVID-19 positivity and severity with estrogen exposure in women, in a population based matched cohort study of female users of the COVID Symptom Study application in the UK. Analyses included 152,637 women for menopausal status, 295,689 women for exogenous estrogen intake in the form of the combined oral contraceptive pill (COCP), and 151,193 menopausal women for hormone replacement therapy (HRT). Data were collected using the COVID Symptom Study in May-June 2020. Analyses investigated associations between predicted or tested COVID-19 status and menopausal status, COCP use, and HRT use, adjusting for age, smoking and BMI, with follow-up age sensitivity analysis, and validation in a subset of participants from the TwinsUK cohort. Menopausal women had higher rates of predicted COVID-19 (P = 0.003). COCP-users had lower rates of predicted COVID-19 (P = 8.03E-05), with reduction in hospital attendance (P = 0.023). Menopausal women using HRT or hormonal therapies did not exhibit consistent associations, including increased rates of predicted COVID-19 (P = 2.22E-05) for HRT users alone. The findings support a protective effect of estrogen exposure on COVID-19, based on positive association between predicted COVID-19 with menopausal status, and negative association with COCP use. HRT use was positively associated with COVID-19, but the results should be considered with caution due to lack of data on HRT type, route of administration, duration of treatment, and potential unaccounted for confounders and comorbidities.","author":[{"dropping-particle":"","family":"Costeira","given":"Ricardo","non-dropping-particle":"","parse-names":false,"suffix":""},{"dropping-particle":"","family":"Lee","given":"Karla A.","non-dropping-particle":"","parse-names":false,"suffix":""},{"dropping-particle":"","family":"Murray","given":"Benjamin","non-dropping-particle":"","parse-names":false,"suffix":""},{"dropping-particle":"","family":"Christiansen","given":"Colette","non-dropping-particle":"","parse-names":false,"suffix":""},{"dropping-particle":"","family":"Castillo-Fernandez","given":"Juan","non-dropping-particle":"","parse-names":false,"suffix":""},{"dropping-particle":"","family":"Ni Lochlainn","given":"Mary","non-dropping-particle":"","parse-names":false,"suffix":""},{"dropping-particle":"","family":"Capdevila Pujol","given":"Joan","non-dropping-particle":"","parse-names":false,"suffix":""},{"dropping-particle":"","family":"Macfarlane","given":"Heather","non-dropping-particle":"","parse-names":false,"suffix":""},{"dropping-particle":"","family":"Kenny","given":"Louise C.","non-dropping-particle":"","parse-names":false,"suffix":""},{"dropping-particle":"","family":"Buchan","given":"Iain","non-dropping-particle":"","parse-names":false,"suffix":""},{"dropping-particle":"","family":"Wolf","given":"Jonathan","non-dropping-particle":"","parse-names":false,"suffix":""},{"dropping-particle":"","family":"Rymer","given":"Janice","non-dropping-particle":"","parse-names":false,"suffix":""},{"dropping-particle":"","family":"Ourselin","given":"Sebastien","non-dropping-particle":"","parse-names":false,"suffix":""},{"dropping-particle":"","family":"Steves","given":"Claire J.","non-dropping-particle":"","parse-names":false,"suffix":""},{"dropping-particle":"","family":"Spector","given":"Timothy D.","non-dropping-particle":"","parse-names":false,"suffix":""},{"dropping-particle":"","family":"Newson","given":"Louise R.","non-dropping-particle":"","parse-names":false,"suffix":""},{"dropping-particle":"","family":"Bell","given":"Jordana T.","non-dropping-particle":"","parse-names":false,"suffix":""}],"container-title":"PLOS ONE","editor":[{"dropping-particle":"","family":"Mullins","given":"Edward","non-dropping-particle":"","parse-names":false,"suffix":""}],"id":"ITEM-1","issue":"9","issued":{"date-parts":[["2021","9","10"]]},"page":"e0257051","title":"Estrogen and COVID-19 symptoms: Associations in women from the COVID Symptom Study","type":"article-journal","volume":"16"},"uris":["http://www.mendeley.com/documents/?uuid=1597fa8b-994c-44a5-bd12-7de21e4adf86"]}],"mendeley":{"formattedCitation":"[7]","plainTextFormattedCitation":"[7]","previouslyFormattedCitation":"[7]"},"properties":{"noteIndex":0},"schema":"https://github.com/citation-style-language/schema/raw/master/csl-citation.json"}</w:instrText>
      </w:r>
      <w:r w:rsidR="008E1EDD" w:rsidRPr="00667DA4">
        <w:rPr>
          <w:rFonts w:cs="Arial"/>
        </w:rPr>
        <w:fldChar w:fldCharType="separate"/>
      </w:r>
      <w:r w:rsidR="008E1EDD" w:rsidRPr="00667DA4">
        <w:rPr>
          <w:rFonts w:cs="Arial"/>
          <w:noProof/>
        </w:rPr>
        <w:t>[7]</w:t>
      </w:r>
      <w:r w:rsidR="008E1EDD" w:rsidRPr="00667DA4">
        <w:rPr>
          <w:rFonts w:cs="Arial"/>
        </w:rPr>
        <w:fldChar w:fldCharType="end"/>
      </w:r>
      <w:r w:rsidR="001F181B" w:rsidRPr="00667DA4">
        <w:rPr>
          <w:rFonts w:cs="Arial"/>
          <w:shd w:val="clear" w:color="auto" w:fill="FFFFFF"/>
        </w:rPr>
        <w:t xml:space="preserve"> </w:t>
      </w:r>
      <w:r w:rsidR="008E1EDD" w:rsidRPr="00667DA4">
        <w:rPr>
          <w:rFonts w:cs="Arial"/>
          <w:shd w:val="clear" w:color="auto" w:fill="FFFFFF"/>
        </w:rPr>
        <w:t>Increased rates of predicted (but not confirmed) COVID-19 were seen amongst HRT users</w:t>
      </w:r>
      <w:r w:rsidR="00B04A36" w:rsidRPr="00667DA4">
        <w:rPr>
          <w:rFonts w:cs="Arial"/>
          <w:shd w:val="clear" w:color="auto" w:fill="FFFFFF"/>
        </w:rPr>
        <w:t xml:space="preserve">, </w:t>
      </w:r>
      <w:r w:rsidR="00B9490A" w:rsidRPr="00667DA4">
        <w:rPr>
          <w:rFonts w:cs="Arial"/>
          <w:shd w:val="clear" w:color="auto" w:fill="FFFFFF"/>
        </w:rPr>
        <w:t xml:space="preserve">however there was no significant association between HRT and </w:t>
      </w:r>
      <w:r w:rsidR="007E6CFF" w:rsidRPr="00667DA4">
        <w:rPr>
          <w:rFonts w:cs="Arial"/>
          <w:shd w:val="clear" w:color="auto" w:fill="FFFFFF"/>
        </w:rPr>
        <w:t>risk of hospitalisation</w:t>
      </w:r>
      <w:r w:rsidR="00216399" w:rsidRPr="00667DA4">
        <w:rPr>
          <w:rFonts w:cs="Arial"/>
          <w:shd w:val="clear" w:color="auto" w:fill="FFFFFF"/>
        </w:rPr>
        <w:t>,</w:t>
      </w:r>
      <w:r w:rsidR="00162DE8" w:rsidRPr="00667DA4">
        <w:rPr>
          <w:rFonts w:cs="Arial"/>
          <w:shd w:val="clear" w:color="auto" w:fill="FFFFFF"/>
        </w:rPr>
        <w:t xml:space="preserve"> </w:t>
      </w:r>
      <w:r w:rsidR="00725D46" w:rsidRPr="00667DA4">
        <w:rPr>
          <w:rFonts w:cs="Arial"/>
          <w:shd w:val="clear" w:color="auto" w:fill="FFFFFF"/>
        </w:rPr>
        <w:t xml:space="preserve">and </w:t>
      </w:r>
      <w:r w:rsidR="00162DE8" w:rsidRPr="00667DA4">
        <w:rPr>
          <w:rFonts w:cs="Arial"/>
          <w:shd w:val="clear" w:color="auto" w:fill="FFFFFF"/>
        </w:rPr>
        <w:t>the</w:t>
      </w:r>
      <w:r w:rsidR="00725D46" w:rsidRPr="00667DA4">
        <w:rPr>
          <w:rFonts w:cs="Arial"/>
          <w:shd w:val="clear" w:color="auto" w:fill="FFFFFF"/>
        </w:rPr>
        <w:t xml:space="preserve"> authors</w:t>
      </w:r>
      <w:r w:rsidR="00162DE8" w:rsidRPr="00667DA4">
        <w:rPr>
          <w:rFonts w:cs="Arial"/>
          <w:shd w:val="clear" w:color="auto" w:fill="FFFFFF"/>
        </w:rPr>
        <w:t xml:space="preserve"> </w:t>
      </w:r>
      <w:r w:rsidR="00725D46" w:rsidRPr="00667DA4">
        <w:rPr>
          <w:rFonts w:cs="Arial"/>
          <w:shd w:val="clear" w:color="auto" w:fill="FFFFFF"/>
        </w:rPr>
        <w:t>did</w:t>
      </w:r>
      <w:r w:rsidR="00162DE8" w:rsidRPr="00667DA4">
        <w:rPr>
          <w:rFonts w:cs="Arial"/>
          <w:shd w:val="clear" w:color="auto" w:fill="FFFFFF"/>
        </w:rPr>
        <w:t xml:space="preserve"> not report on mortality</w:t>
      </w:r>
      <w:r w:rsidR="007E6CFF" w:rsidRPr="00667DA4">
        <w:rPr>
          <w:rFonts w:cs="Arial"/>
          <w:shd w:val="clear" w:color="auto" w:fill="FFFFFF"/>
        </w:rPr>
        <w:t>.</w:t>
      </w:r>
      <w:r w:rsidR="007E6CFF" w:rsidRPr="00667DA4">
        <w:rPr>
          <w:rFonts w:cs="Arial"/>
        </w:rPr>
        <w:t xml:space="preserve"> </w:t>
      </w:r>
      <w:r w:rsidR="001F181B" w:rsidRPr="00667DA4">
        <w:rPr>
          <w:rFonts w:cs="Arial"/>
        </w:rPr>
        <w:fldChar w:fldCharType="begin" w:fldLock="1"/>
      </w:r>
      <w:r w:rsidR="0096618F" w:rsidRPr="00667DA4">
        <w:rPr>
          <w:rFonts w:cs="Arial"/>
        </w:rPr>
        <w:instrText>ADDIN CSL_CITATION {"citationItems":[{"id":"ITEM-1","itemData":{"DOI":"10.1371/journal.pone.0257051","ISSN":"1932-6203","abstract":"It has been widely observed that adult men of all ages are at higher risk of developing serious complications from COVID-19 when compared with women. This study aimed to investigate the association of COVID-19 positivity and severity with estrogen exposure in women, in a population based matched cohort study of female users of the COVID Symptom Study application in the UK. Analyses included 152,637 women for menopausal status, 295,689 women for exogenous estrogen intake in the form of the combined oral contraceptive pill (COCP), and 151,193 menopausal women for hormone replacement therapy (HRT). Data were collected using the COVID Symptom Study in May-June 2020. Analyses investigated associations between predicted or tested COVID-19 status and menopausal status, COCP use, and HRT use, adjusting for age, smoking and BMI, with follow-up age sensitivity analysis, and validation in a subset of participants from the TwinsUK cohort. Menopausal women had higher rates of predicted COVID-19 (P = 0.003). COCP-users had lower rates of predicted COVID-19 (P = 8.03E-05), with reduction in hospital attendance (P = 0.023). Menopausal women using HRT or hormonal therapies did not exhibit consistent associations, including increased rates of predicted COVID-19 (P = 2.22E-05) for HRT users alone. The findings support a protective effect of estrogen exposure on COVID-19, based on positive association between predicted COVID-19 with menopausal status, and negative association with COCP use. HRT use was positively associated with COVID-19, but the results should be considered with caution due to lack of data on HRT type, route of administration, duration of treatment, and potential unaccounted for confounders and comorbidities.","author":[{"dropping-particle":"","family":"Costeira","given":"Ricardo","non-dropping-particle":"","parse-names":false,"suffix":""},{"dropping-particle":"","family":"Lee","given":"Karla A.","non-dropping-particle":"","parse-names":false,"suffix":""},{"dropping-particle":"","family":"Murray","given":"Benjamin","non-dropping-particle":"","parse-names":false,"suffix":""},{"dropping-particle":"","family":"Christiansen","given":"Colette","non-dropping-particle":"","parse-names":false,"suffix":""},{"dropping-particle":"","family":"Castillo-Fernandez","given":"Juan","non-dropping-particle":"","parse-names":false,"suffix":""},{"dropping-particle":"","family":"Ni Lochlainn","given":"Mary","non-dropping-particle":"","parse-names":false,"suffix":""},{"dropping-particle":"","family":"Capdevila Pujol","given":"Joan","non-dropping-particle":"","parse-names":false,"suffix":""},{"dropping-particle":"","family":"Macfarlane","given":"Heather","non-dropping-particle":"","parse-names":false,"suffix":""},{"dropping-particle":"","family":"Kenny","given":"Louise C.","non-dropping-particle":"","parse-names":false,"suffix":""},{"dropping-particle":"","family":"Buchan","given":"Iain","non-dropping-particle":"","parse-names":false,"suffix":""},{"dropping-particle":"","family":"Wolf","given":"Jonathan","non-dropping-particle":"","parse-names":false,"suffix":""},{"dropping-particle":"","family":"Rymer","given":"Janice","non-dropping-particle":"","parse-names":false,"suffix":""},{"dropping-particle":"","family":"Ourselin","given":"Sebastien","non-dropping-particle":"","parse-names":false,"suffix":""},{"dropping-particle":"","family":"Steves","given":"Claire J.","non-dropping-particle":"","parse-names":false,"suffix":""},{"dropping-particle":"","family":"Spector","given":"Timothy D.","non-dropping-particle":"","parse-names":false,"suffix":""},{"dropping-particle":"","family":"Newson","given":"Louise R.","non-dropping-particle":"","parse-names":false,"suffix":""},{"dropping-particle":"","family":"Bell","given":"Jordana T.","non-dropping-particle":"","parse-names":false,"suffix":""}],"container-title":"PLOS ONE","editor":[{"dropping-particle":"","family":"Mullins","given":"Edward","non-dropping-particle":"","parse-names":false,"suffix":""}],"id":"ITEM-1","issue":"9","issued":{"date-parts":[["2021","9","10"]]},"page":"e0257051","title":"Estrogen and COVID-19 symptoms: Associations in women from the COVID Symptom Study","type":"article-journal","volume":"16"},"uris":["http://www.mendeley.com/documents/?uuid=1597fa8b-994c-44a5-bd12-7de21e4adf86"]}],"mendeley":{"formattedCitation":"[7]","plainTextFormattedCitation":"[7]","previouslyFormattedCitation":"[7]"},"properties":{"noteIndex":0},"schema":"https://github.com/citation-style-language/schema/raw/master/csl-citation.json"}</w:instrText>
      </w:r>
      <w:r w:rsidR="001F181B" w:rsidRPr="00667DA4">
        <w:rPr>
          <w:rFonts w:cs="Arial"/>
        </w:rPr>
        <w:fldChar w:fldCharType="separate"/>
      </w:r>
      <w:r w:rsidR="001F181B" w:rsidRPr="00667DA4">
        <w:rPr>
          <w:rFonts w:cs="Arial"/>
          <w:noProof/>
        </w:rPr>
        <w:t>[7]</w:t>
      </w:r>
      <w:r w:rsidR="001F181B" w:rsidRPr="00667DA4">
        <w:rPr>
          <w:rFonts w:cs="Arial"/>
        </w:rPr>
        <w:fldChar w:fldCharType="end"/>
      </w:r>
      <w:r w:rsidR="001F181B" w:rsidRPr="00667DA4">
        <w:rPr>
          <w:rFonts w:cs="Arial"/>
          <w:shd w:val="clear" w:color="auto" w:fill="FFFFFF"/>
        </w:rPr>
        <w:t xml:space="preserve"> </w:t>
      </w:r>
      <w:r w:rsidR="007E6CFF" w:rsidRPr="00667DA4">
        <w:rPr>
          <w:rFonts w:cs="Arial"/>
        </w:rPr>
        <w:t>Th</w:t>
      </w:r>
      <w:r w:rsidR="00162DE8" w:rsidRPr="00667DA4">
        <w:rPr>
          <w:rFonts w:cs="Arial"/>
        </w:rPr>
        <w:t>ese</w:t>
      </w:r>
      <w:r w:rsidR="007E6CFF" w:rsidRPr="00667DA4">
        <w:rPr>
          <w:rFonts w:cs="Arial"/>
        </w:rPr>
        <w:t xml:space="preserve"> differences</w:t>
      </w:r>
      <w:r w:rsidR="00162DE8" w:rsidRPr="00667DA4">
        <w:rPr>
          <w:rFonts w:cs="Arial"/>
        </w:rPr>
        <w:t xml:space="preserve"> might be explained by variations in </w:t>
      </w:r>
      <w:r w:rsidR="007E6CFF" w:rsidRPr="00667DA4">
        <w:rPr>
          <w:rFonts w:cs="Arial"/>
        </w:rPr>
        <w:t xml:space="preserve">HRT preparations, doses and duration which were not examined and </w:t>
      </w:r>
      <w:r w:rsidR="005623AA" w:rsidRPr="00667DA4">
        <w:rPr>
          <w:rFonts w:cs="Arial"/>
        </w:rPr>
        <w:t>(</w:t>
      </w:r>
      <w:r w:rsidR="007E6CFF" w:rsidRPr="00667DA4">
        <w:rPr>
          <w:rFonts w:cs="Arial"/>
        </w:rPr>
        <w:t>as described above</w:t>
      </w:r>
      <w:r w:rsidR="005623AA" w:rsidRPr="00667DA4">
        <w:rPr>
          <w:rFonts w:cs="Arial"/>
        </w:rPr>
        <w:t>)</w:t>
      </w:r>
      <w:r w:rsidR="007E6CFF" w:rsidRPr="00667DA4">
        <w:rPr>
          <w:rFonts w:cs="Arial"/>
        </w:rPr>
        <w:t xml:space="preserve"> m</w:t>
      </w:r>
      <w:r w:rsidR="005623AA" w:rsidRPr="00667DA4">
        <w:rPr>
          <w:rFonts w:cs="Arial"/>
        </w:rPr>
        <w:t>ay</w:t>
      </w:r>
      <w:r w:rsidR="007E6CFF" w:rsidRPr="00667DA4">
        <w:rPr>
          <w:rFonts w:cs="Arial"/>
        </w:rPr>
        <w:t xml:space="preserve"> be important in oestrogen led immune responses</w:t>
      </w:r>
      <w:r w:rsidR="007E6CFF" w:rsidRPr="00667DA4">
        <w:rPr>
          <w:rFonts w:cs="Arial"/>
          <w:shd w:val="clear" w:color="auto" w:fill="FFFFFF"/>
        </w:rPr>
        <w:t>.</w:t>
      </w:r>
      <w:r w:rsidR="007E6CFF" w:rsidRPr="00667DA4">
        <w:rPr>
          <w:rFonts w:cs="Arial"/>
        </w:rPr>
        <w:fldChar w:fldCharType="begin" w:fldLock="1"/>
      </w:r>
      <w:r w:rsidR="0006312F" w:rsidRPr="00667DA4">
        <w:rPr>
          <w:rFonts w:cs="Arial"/>
        </w:rPr>
        <w:instrText>ADDIN CSL_CITATION {"citationItems":[{"id":"ITEM-1","itemData":{"DOI":"10.1038/s41577-020-0348-8","ISSN":"14741741","abstract":"A male bias in mortality has emerged in the COVID-19 pandemic, which is consistent with the pathogenesis of other viral infections. Biological sex differences may manifest themselves in susceptibility to infection, early pathogenesis, innate viral control, adaptive immune responses or the balance of inflammation and tissue repair in the resolution of infection. We discuss available sex-disaggregated epidemiological data from the COVID-19 pandemic, introduce sex-differential features of immunity and highlight potential sex differences underlying COVID-19 severity. We propose that sex differences in immunopathogenesis will inform mechanisms of COVID-19, identify points for therapeutic intervention and improve vaccine design and increase vaccine efficacy.","author":[{"dropping-particle":"","family":"Scully","given":"Eileen P.","non-dropping-particle":"","parse-names":false,"suffix":""},{"dropping-particle":"","family":"Haverfield","given":"Jenna","non-dropping-particle":"","parse-names":false,"suffix":""},{"dropping-particle":"","family":"Ursin","given":"Rebecca L.","non-dropping-particle":"","parse-names":false,"suffix":""},{"dropping-particle":"","family":"Tannenbaum","given":"Cara","non-dropping-particle":"","parse-names":false,"suffix":""},{"dropping-particle":"","family":"Klein","given":"Sabra L.","non-dropping-particle":"","parse-names":false,"suffix":""}],"container-title":"Nature Reviews Immunology","id":"ITEM-1","issue":"7","issued":{"date-parts":[["2020"]]},"title":"Considering how biological sex impacts immune responses and COVID-19 outcomes","type":"article-journal","volume":"20"},"uris":["http://www.mendeley.com/documents/?uuid=66e24aa9-8ec3-40fe-a762-9b45b590cb16","http://www.mendeley.com/documents/?uuid=5a792bb0-4ba2-3776-930f-d3ce33aef7d2"]}],"mendeley":{"formattedCitation":"[2]","plainTextFormattedCitation":"[2]","previouslyFormattedCitation":"[2]"},"properties":{"noteIndex":0},"schema":"https://github.com/citation-style-language/schema/raw/master/csl-citation.json"}</w:instrText>
      </w:r>
      <w:r w:rsidR="007E6CFF" w:rsidRPr="00667DA4">
        <w:rPr>
          <w:rFonts w:cs="Arial"/>
        </w:rPr>
        <w:fldChar w:fldCharType="separate"/>
      </w:r>
      <w:r w:rsidR="007E6CFF" w:rsidRPr="00667DA4">
        <w:rPr>
          <w:rFonts w:cs="Arial"/>
          <w:noProof/>
        </w:rPr>
        <w:t>[2]</w:t>
      </w:r>
      <w:r w:rsidR="007E6CFF" w:rsidRPr="00667DA4">
        <w:rPr>
          <w:rFonts w:cs="Arial"/>
        </w:rPr>
        <w:fldChar w:fldCharType="end"/>
      </w:r>
      <w:r w:rsidR="007E6CFF" w:rsidRPr="00667DA4">
        <w:rPr>
          <w:rFonts w:cs="Arial"/>
        </w:rPr>
        <w:t xml:space="preserve"> Other explanations </w:t>
      </w:r>
      <w:r w:rsidR="00A11991" w:rsidRPr="00667DA4">
        <w:rPr>
          <w:rFonts w:cs="Arial"/>
        </w:rPr>
        <w:t>may relate to differences in adjusted</w:t>
      </w:r>
      <w:r w:rsidR="00793149" w:rsidRPr="00667DA4">
        <w:rPr>
          <w:rFonts w:cs="Arial"/>
        </w:rPr>
        <w:t xml:space="preserve"> cov</w:t>
      </w:r>
      <w:r w:rsidR="007E6CFF" w:rsidRPr="00667DA4">
        <w:rPr>
          <w:rFonts w:cs="Arial"/>
        </w:rPr>
        <w:t xml:space="preserve">ariates </w:t>
      </w:r>
      <w:r w:rsidR="00A11991" w:rsidRPr="00667DA4">
        <w:rPr>
          <w:rFonts w:cs="Arial"/>
        </w:rPr>
        <w:t>which were limited to age, smoking</w:t>
      </w:r>
      <w:r w:rsidR="00C63082" w:rsidRPr="00667DA4">
        <w:rPr>
          <w:rFonts w:cs="Arial"/>
        </w:rPr>
        <w:t>,</w:t>
      </w:r>
      <w:r w:rsidR="00A11991" w:rsidRPr="00667DA4">
        <w:rPr>
          <w:rFonts w:cs="Arial"/>
        </w:rPr>
        <w:t xml:space="preserve"> and BMI in their study. </w:t>
      </w:r>
      <w:r w:rsidR="00632AB6" w:rsidRPr="00667DA4">
        <w:rPr>
          <w:rFonts w:cs="Arial"/>
          <w:shd w:val="clear" w:color="auto" w:fill="FFFFFF"/>
        </w:rPr>
        <w:t xml:space="preserve">On the other hand, a </w:t>
      </w:r>
      <w:r w:rsidR="00EA0B54" w:rsidRPr="00667DA4">
        <w:rPr>
          <w:rFonts w:cs="Arial"/>
          <w:shd w:val="clear" w:color="auto" w:fill="FFFFFF"/>
        </w:rPr>
        <w:t>recent</w:t>
      </w:r>
      <w:r w:rsidR="00632AB6" w:rsidRPr="00667DA4">
        <w:rPr>
          <w:rFonts w:cs="Arial"/>
          <w:shd w:val="clear" w:color="auto" w:fill="FFFFFF"/>
        </w:rPr>
        <w:t xml:space="preserve"> large </w:t>
      </w:r>
      <w:r w:rsidR="00F9094F" w:rsidRPr="00667DA4">
        <w:rPr>
          <w:rFonts w:cs="Arial"/>
          <w:shd w:val="clear" w:color="auto" w:fill="FFFFFF"/>
        </w:rPr>
        <w:t xml:space="preserve">64,466-case </w:t>
      </w:r>
      <w:r w:rsidR="00632AB6" w:rsidRPr="00667DA4">
        <w:rPr>
          <w:rFonts w:cs="Arial"/>
          <w:shd w:val="clear" w:color="auto" w:fill="FFFFFF"/>
        </w:rPr>
        <w:t xml:space="preserve">international </w:t>
      </w:r>
      <w:r w:rsidR="00B52820" w:rsidRPr="00667DA4">
        <w:rPr>
          <w:rFonts w:cs="Arial"/>
          <w:shd w:val="clear" w:color="auto" w:fill="FFFFFF"/>
        </w:rPr>
        <w:t xml:space="preserve">retrospective </w:t>
      </w:r>
      <w:r w:rsidR="00632AB6" w:rsidRPr="00667DA4">
        <w:rPr>
          <w:rFonts w:cs="Arial"/>
          <w:shd w:val="clear" w:color="auto" w:fill="FFFFFF"/>
        </w:rPr>
        <w:t xml:space="preserve">cohort study </w:t>
      </w:r>
      <w:r w:rsidR="002F0EF4" w:rsidRPr="00667DA4">
        <w:rPr>
          <w:rFonts w:cs="Arial"/>
          <w:shd w:val="clear" w:color="auto" w:fill="FFFFFF"/>
        </w:rPr>
        <w:t xml:space="preserve">did </w:t>
      </w:r>
      <w:r w:rsidR="00632AB6" w:rsidRPr="00667DA4">
        <w:rPr>
          <w:rFonts w:cs="Arial"/>
          <w:shd w:val="clear" w:color="auto" w:fill="FFFFFF"/>
        </w:rPr>
        <w:t xml:space="preserve">demonstrate a significant reduction in mortality amongst women &gt;50 years-of-age receiving estradiol therapy  (OR 0.33, 95% CI 0.18-0.62) </w:t>
      </w:r>
      <w:r w:rsidR="00632AB6" w:rsidRPr="00667DA4">
        <w:rPr>
          <w:rFonts w:cs="Arial"/>
          <w:shd w:val="clear" w:color="auto" w:fill="FFFFFF"/>
        </w:rPr>
        <w:fldChar w:fldCharType="begin" w:fldLock="1"/>
      </w:r>
      <w:r w:rsidR="00632AB6" w:rsidRPr="00667DA4">
        <w:rPr>
          <w:rFonts w:cs="Arial"/>
          <w:shd w:val="clear" w:color="auto" w:fill="FFFFFF"/>
        </w:rPr>
        <w:instrText>ADDIN CSL_CITATION {"citationItems":[{"id":"ITEM-1","itemData":{"DOI":"10.1186/s12916-020-01851-z","ISSN":"1741-7015","author":[{"dropping-particle":"","family":"Seeland","given":"Ute","non-dropping-particle":"","parse-names":false,"suffix":""},{"dropping-particle":"","family":"Coluzzi","given":"Flaminia","non-dropping-particle":"","parse-names":false,"suffix":""},{"dropping-particle":"","family":"Simmaco","given":"Maurizio","non-dropping-particle":"","parse-names":false,"suffix":""},{"dropping-particle":"","family":"Mura","given":"Cameron","non-dropping-particle":"","parse-names":false,"suffix":""},{"dropping-particle":"","family":"Bourne","given":"Philip E.","non-dropping-particle":"","parse-names":false,"suffix":""},{"dropping-particle":"","family":"Heiland","given":"Max","non-dropping-particle":"","parse-names":false,"suffix":""},{"dropping-particle":"","family":"Preissner","given":"Robert","non-dropping-particle":"","parse-names":false,"suffix":""},{"dropping-particle":"","family":"Preissner","given":"Saskia","non-dropping-particle":"","parse-names":false,"suffix":""}],"container-title":"BMC Medicine","id":"ITEM-1","issue":"1","issued":{"date-parts":[["2020","12","25"]]},"page":"369","title":"Evidence for treatment with estradiol for women with SARS-CoV-2 infection","type":"article-journal","volume":"18"},"uris":["http://www.mendeley.com/documents/?uuid=67d316a8-aaf7-4192-98f8-ad71da7dfd22"]}],"mendeley":{"formattedCitation":"[9]","plainTextFormattedCitation":"[9]","previouslyFormattedCitation":"[9]"},"properties":{"noteIndex":0},"schema":"https://github.com/citation-style-language/schema/raw/master/csl-citation.json"}</w:instrText>
      </w:r>
      <w:r w:rsidR="00632AB6" w:rsidRPr="00667DA4">
        <w:rPr>
          <w:rFonts w:cs="Arial"/>
          <w:shd w:val="clear" w:color="auto" w:fill="FFFFFF"/>
        </w:rPr>
        <w:fldChar w:fldCharType="separate"/>
      </w:r>
      <w:r w:rsidR="00632AB6" w:rsidRPr="00667DA4">
        <w:rPr>
          <w:rFonts w:cs="Arial"/>
          <w:noProof/>
          <w:shd w:val="clear" w:color="auto" w:fill="FFFFFF"/>
        </w:rPr>
        <w:t>[9]</w:t>
      </w:r>
      <w:r w:rsidR="00632AB6" w:rsidRPr="00667DA4">
        <w:rPr>
          <w:rFonts w:cs="Arial"/>
          <w:shd w:val="clear" w:color="auto" w:fill="FFFFFF"/>
        </w:rPr>
        <w:fldChar w:fldCharType="end"/>
      </w:r>
      <w:r w:rsidR="009E781D" w:rsidRPr="00667DA4">
        <w:rPr>
          <w:rFonts w:cs="Arial"/>
          <w:shd w:val="clear" w:color="auto" w:fill="FFFFFF"/>
        </w:rPr>
        <w:t>, consistent with the findings of our study.</w:t>
      </w:r>
    </w:p>
    <w:p w14:paraId="5F20F34A" w14:textId="49BE728C" w:rsidR="00577ABC" w:rsidRPr="00667DA4" w:rsidRDefault="00A11991" w:rsidP="00FE5251">
      <w:pPr>
        <w:spacing w:line="480" w:lineRule="auto"/>
        <w:jc w:val="both"/>
        <w:rPr>
          <w:rFonts w:cs="Arial"/>
          <w:shd w:val="clear" w:color="auto" w:fill="FFFFFF"/>
        </w:rPr>
      </w:pPr>
      <w:r w:rsidRPr="00667DA4">
        <w:rPr>
          <w:rFonts w:cs="Arial"/>
        </w:rPr>
        <w:t xml:space="preserve">As the pandemic progresses and </w:t>
      </w:r>
      <w:r w:rsidR="009B7BD1" w:rsidRPr="00667DA4">
        <w:rPr>
          <w:rFonts w:cs="Arial"/>
        </w:rPr>
        <w:t xml:space="preserve">a </w:t>
      </w:r>
      <w:r w:rsidRPr="00667DA4">
        <w:rPr>
          <w:rFonts w:cs="Arial"/>
        </w:rPr>
        <w:t xml:space="preserve">greater understanding of the virus emerges, </w:t>
      </w:r>
      <w:r w:rsidR="007E6CFF" w:rsidRPr="00667DA4">
        <w:rPr>
          <w:rFonts w:cs="Arial"/>
        </w:rPr>
        <w:t xml:space="preserve">it is necessary to consider additional </w:t>
      </w:r>
      <w:r w:rsidR="002B5E1B" w:rsidRPr="00667DA4">
        <w:rPr>
          <w:rFonts w:cs="Arial"/>
        </w:rPr>
        <w:t>covariates such as household size and co-morbidities</w:t>
      </w:r>
      <w:r w:rsidR="007E6CFF" w:rsidRPr="00667DA4">
        <w:rPr>
          <w:rFonts w:cs="Arial"/>
        </w:rPr>
        <w:t xml:space="preserve"> which we included</w:t>
      </w:r>
      <w:r w:rsidR="002B5E1B" w:rsidRPr="00667DA4">
        <w:rPr>
          <w:rFonts w:cs="Arial"/>
        </w:rPr>
        <w:t>.</w:t>
      </w:r>
      <w:r w:rsidR="002B5E1B" w:rsidRPr="00667DA4">
        <w:rPr>
          <w:rFonts w:cs="Arial"/>
        </w:rPr>
        <w:fldChar w:fldCharType="begin" w:fldLock="1"/>
      </w:r>
      <w:r w:rsidR="0006312F" w:rsidRPr="00667DA4">
        <w:rPr>
          <w:rFonts w:cs="Arial"/>
        </w:rPr>
        <w:instrText>ADDIN CSL_CITATION {"citationItems":[{"id":"ITEM-1","itemData":{"DOI":"10.1038/s41586-020-2521-4","ISSN":"14764687","abstract":"Coronavirus disease 2019 (COVID-19) has rapidly affected mortality worldwide1. There is unprecedented urgency to understand who is most at risk of severe outcomes, and this requires new approaches for the timely analysis of large datasets. Working on behalf of NHS England, we created OpenSAFELY—a secure health analytics platform that covers 40% of all patients in England and holds patient data within the existing data centre of a major vendor of primary care electronic health records. Here we used OpenSAFELY to examine factors associated with COVID-19-related death. Primary care records of 17,278,392 adults were pseudonymously linked to 10,926 COVID-19-related deaths. COVID-19-related death was associated with: being male (hazard ratio (HR) 1.59 (95% confidence interval 1.53–1.65)); greater age and deprivation (both with a strong gradient); diabetes; severe asthma; and various other medical conditions. Compared with people of white ethnicity, Black and South Asian people were at higher risk, even after adjustment for other factors (HR 1.48 (1.29–1.69) and 1.45 (1.32–1.58), respectively). We have quantified a range of clinical factors associated with COVID-19-related death in one of the largest cohort studies on this topic so far. More patient records are rapidly being added to OpenSAFELY, we will update and extend our results regularly.","author":[{"dropping-particle":"","family":"Williamson","given":"Elizabeth J.","non-dropping-particle":"","parse-names":false,"suffix":""},{"dropping-particle":"","family":"Walker","given":"Alex J.","non-dropping-particle":"","parse-names":false,"suffix":""},{"dropping-particle":"","family":"Bhaskaran","given":"Krishnan","non-dropping-particle":"","parse-names":false,"suffix":""},{"dropping-particle":"","family":"Bacon","given":"Seb","non-dropping-particle":"","parse-names":false,"suffix":""},{"dropping-particle":"","family":"Bates","given":"Chris","non-dropping-particle":"","parse-names":false,"suffix":""},{"dropping-particle":"","family":"Morton","given":"Caroline E.","non-dropping-particle":"","parse-names":false,"suffix":""},{"dropping-particle":"","family":"Curtis","given":"Helen J.","non-dropping-particle":"","parse-names":false,"suffix":""},{"dropping-particle":"","family":"Mehrkar","given":"Amir","non-dropping-particle":"","parse-names":false,"suffix":""},{"dropping-particle":"","family":"Evans","given":"David","non-dropping-particle":"","parse-names":false,"suffix":""},{"dropping-particle":"","family":"Inglesby","given":"Peter","non-dropping-particle":"","parse-names":false,"suffix":""},{"dropping-particle":"","family":"Cockburn","given":"Jonathan","non-dropping-particle":"","parse-names":false,"suffix":""},{"dropping-particle":"","family":"McDonald","given":"Helen I.","non-dropping-particle":"","parse-names":false,"suffix":""},{"dropping-particle":"","family":"MacKenna","given":"Brian","non-dropping-particle":"","parse-names":false,"suffix":""},{"dropping-particle":"","family":"Tomlinson","given":"Laurie","non-dropping-particle":"","parse-names":false,"suffix":""},{"dropping-particle":"","family":"Douglas","given":"Ian J.","non-dropping-particle":"","parse-names":false,"suffix":""},{"dropping-particle":"","family":"Rentsch","given":"Christopher T.","non-dropping-particle":"","parse-names":false,"suffix":""},{"dropping-particle":"","family":"Mathur","given":"Rohini","non-dropping-particle":"","parse-names":false,"suffix":""},{"dropping-particle":"","family":"Wong","given":"Angel Y.S.","non-dropping-particle":"","parse-names":false,"suffix":""},{"dropping-particle":"","family":"Grieve","given":"Richard","non-dropping-particle":"","parse-names":false,"suffix":""},{"dropping-particle":"","family":"Harrison","given":"David","non-dropping-particle":"","parse-names":false,"suffix":""},{"dropping-particle":"","family":"Forbes","given":"Harriet","non-dropping-particle":"","parse-names":false,"suffix":""},{"dropping-particle":"","family":"Schultze","given":"Anna","non-dropping-particle":"","parse-names":false,"suffix":""},{"dropping-particle":"","family":"Croker","given":"Richard","non-dropping-particle":"","parse-names":false,"suffix":""},{"dropping-particle":"","family":"Parry","given":"John","non-dropping-particle":"","parse-names":false,"suffix":""},{"dropping-particle":"","family":"Hester","given":"Frank","non-dropping-particle":"","parse-names":false,"suffix":""},{"dropping-particle":"","family":"Harper","given":"Sam","non-dropping-particle":"","parse-names":false,"suffix":""},{"dropping-particle":"","family":"Perera","given":"Rafael","non-dropping-particle":"","parse-names":false,"suffix":""},{"dropping-particle":"","family":"Evans","given":"Stephen J.W.","non-dropping-particle":"","parse-names":false,"suffix":""},{"dropping-particle":"","family":"Smeeth","given":"Liam","non-dropping-particle":"","parse-names":false,"suffix":""},{"dropping-particle":"","family":"Goldacre","given":"Ben","non-dropping-particle":"","parse-names":false,"suffix":""}],"container-title":"Nature","id":"ITEM-1","issue":"7821","issued":{"date-parts":[["2020"]]},"title":"Factors associated with COVID-19-related death using OpenSAFELY","type":"article-journal","volume":"584"},"uris":["http://www.mendeley.com/documents/?uuid=d34af56b-0cfb-4af0-be4b-bca905f499b3","http://www.mendeley.com/documents/?uuid=551df50a-e255-3b0b-8512-ee021ae6d172"]}],"mendeley":{"formattedCitation":"[1]","plainTextFormattedCitation":"[1]","previouslyFormattedCitation":"[1]"},"properties":{"noteIndex":0},"schema":"https://github.com/citation-style-language/schema/raw/master/csl-citation.json"}</w:instrText>
      </w:r>
      <w:r w:rsidR="002B5E1B" w:rsidRPr="00667DA4">
        <w:rPr>
          <w:rFonts w:cs="Arial"/>
        </w:rPr>
        <w:fldChar w:fldCharType="separate"/>
      </w:r>
      <w:r w:rsidR="002B5E1B" w:rsidRPr="00667DA4">
        <w:rPr>
          <w:rFonts w:cs="Arial"/>
          <w:noProof/>
        </w:rPr>
        <w:t>[1]</w:t>
      </w:r>
      <w:r w:rsidR="002B5E1B" w:rsidRPr="00667DA4">
        <w:rPr>
          <w:rFonts w:cs="Arial"/>
        </w:rPr>
        <w:fldChar w:fldCharType="end"/>
      </w:r>
      <w:r w:rsidR="002B5E1B" w:rsidRPr="00667DA4">
        <w:rPr>
          <w:rFonts w:cs="Arial"/>
        </w:rPr>
        <w:t xml:space="preserve"> Our </w:t>
      </w:r>
      <w:r w:rsidR="007E6CFF" w:rsidRPr="00667DA4">
        <w:rPr>
          <w:rFonts w:cs="Arial"/>
        </w:rPr>
        <w:t xml:space="preserve">results </w:t>
      </w:r>
      <w:r w:rsidR="002B5E1B" w:rsidRPr="00667DA4">
        <w:rPr>
          <w:rFonts w:cs="Arial"/>
        </w:rPr>
        <w:t xml:space="preserve">show that increased age, co-morbidities, extreme BMI and immunosuppressants </w:t>
      </w:r>
      <w:r w:rsidR="007E6CFF" w:rsidRPr="00667DA4">
        <w:rPr>
          <w:rFonts w:cs="Arial"/>
        </w:rPr>
        <w:t xml:space="preserve">were all </w:t>
      </w:r>
      <w:r w:rsidR="002B5E1B" w:rsidRPr="00667DA4">
        <w:rPr>
          <w:rFonts w:cs="Arial"/>
        </w:rPr>
        <w:t xml:space="preserve">significantly associated with </w:t>
      </w:r>
      <w:r w:rsidR="007E6CFF" w:rsidRPr="00667DA4">
        <w:rPr>
          <w:rFonts w:cs="Arial"/>
        </w:rPr>
        <w:t xml:space="preserve">an increased </w:t>
      </w:r>
      <w:r w:rsidR="004C70FE" w:rsidRPr="00667DA4">
        <w:rPr>
          <w:rFonts w:cs="Arial"/>
        </w:rPr>
        <w:t>likelihood</w:t>
      </w:r>
      <w:r w:rsidR="007E6CFF" w:rsidRPr="00667DA4">
        <w:rPr>
          <w:rFonts w:cs="Arial"/>
        </w:rPr>
        <w:t xml:space="preserve"> of </w:t>
      </w:r>
      <w:r w:rsidR="002B5E1B" w:rsidRPr="00667DA4">
        <w:rPr>
          <w:rFonts w:cs="Arial"/>
        </w:rPr>
        <w:t xml:space="preserve">death </w:t>
      </w:r>
      <w:r w:rsidR="007E6CFF" w:rsidRPr="00667DA4">
        <w:rPr>
          <w:rFonts w:cs="Arial"/>
        </w:rPr>
        <w:t>amongst</w:t>
      </w:r>
      <w:r w:rsidR="00162DE8" w:rsidRPr="00667DA4">
        <w:rPr>
          <w:rFonts w:cs="Arial"/>
        </w:rPr>
        <w:t xml:space="preserve"> women with</w:t>
      </w:r>
      <w:r w:rsidR="007E6CFF" w:rsidRPr="00667DA4">
        <w:rPr>
          <w:rFonts w:cs="Arial"/>
        </w:rPr>
        <w:t xml:space="preserve"> </w:t>
      </w:r>
      <w:r w:rsidR="002B5E1B" w:rsidRPr="00667DA4">
        <w:rPr>
          <w:rFonts w:cs="Arial"/>
        </w:rPr>
        <w:t>COVID-19</w:t>
      </w:r>
      <w:r w:rsidR="007E6CFF" w:rsidRPr="00667DA4">
        <w:rPr>
          <w:rFonts w:cs="Arial"/>
        </w:rPr>
        <w:t>; this is consistent</w:t>
      </w:r>
      <w:r w:rsidR="002B5E1B" w:rsidRPr="00667DA4">
        <w:rPr>
          <w:rFonts w:cs="Arial"/>
        </w:rPr>
        <w:t xml:space="preserve"> </w:t>
      </w:r>
      <w:r w:rsidR="007E6CFF" w:rsidRPr="00667DA4">
        <w:rPr>
          <w:rFonts w:cs="Arial"/>
        </w:rPr>
        <w:t xml:space="preserve">with several </w:t>
      </w:r>
      <w:r w:rsidR="004C70FE" w:rsidRPr="00667DA4">
        <w:rPr>
          <w:rFonts w:cs="Arial"/>
        </w:rPr>
        <w:t>recent</w:t>
      </w:r>
      <w:r w:rsidR="007E6CFF" w:rsidRPr="00667DA4">
        <w:rPr>
          <w:rFonts w:cs="Arial"/>
        </w:rPr>
        <w:t xml:space="preserve"> </w:t>
      </w:r>
      <w:r w:rsidR="002B5E1B" w:rsidRPr="00667DA4">
        <w:rPr>
          <w:rFonts w:cs="Arial"/>
        </w:rPr>
        <w:t>report</w:t>
      </w:r>
      <w:r w:rsidR="007E6CFF" w:rsidRPr="00667DA4">
        <w:rPr>
          <w:rFonts w:cs="Arial"/>
        </w:rPr>
        <w:t>s</w:t>
      </w:r>
      <w:r w:rsidR="002B5E1B" w:rsidRPr="00667DA4">
        <w:rPr>
          <w:rFonts w:cs="Arial"/>
        </w:rPr>
        <w:t>.</w:t>
      </w:r>
      <w:r w:rsidR="002B5E1B" w:rsidRPr="00667DA4">
        <w:rPr>
          <w:rFonts w:cs="Arial"/>
        </w:rPr>
        <w:fldChar w:fldCharType="begin" w:fldLock="1"/>
      </w:r>
      <w:r w:rsidR="00301E7A" w:rsidRPr="00667DA4">
        <w:rPr>
          <w:rFonts w:cs="Arial"/>
        </w:rPr>
        <w:instrText>ADDIN CSL_CITATION {"citationItems":[{"id":"ITEM-1","itemData":{"DOI":"10.1101/2020.05.06.20092999","abstract":"Background: Establishing who is at risk from a novel rapidly arising cause of death, and why, requires a new approach to epidemiological research with very large datasets and timely data. Working on behalf of NHS England we therefore set out to deliver a secure and pseudonymised analytics platform inside the data centre of a major primary care electronic health records vendor establishing coverage across detailed primary care records for a substantial proportion of all patients in England. The following results are preliminary.","author":[{"dropping-particle":"","family":"OpenSAFELY Collaborative","given":"The","non-dropping-particle":"","parse-names":false,"suffix":""},{"dropping-particle":"","family":"Williamson","given":"Elizabeth","non-dropping-particle":"","parse-names":false,"suffix":""},{"dropping-particle":"","family":"Walker","given":"Alex J","non-dropping-particle":"","parse-names":false,"suffix":""},{"dropping-particle":"","family":"Bhaskaran","given":"Krishnan","non-dropping-particle":"","parse-names":false,"suffix":""},{"dropping-particle":"","family":"Bacon","given":"Seb","non-dropping-particle":"","parse-names":false,"suffix":""},{"dropping-particle":"","family":"Bates","given":"Chris","non-dropping-particle":"","parse-names":false,"suffix":""},{"dropping-particle":"","family":"Morton","given":"Caroline E","non-dropping-particle":"","parse-names":false,"suffix":""},{"dropping-particle":"","family":"Curtis","given":"Helen J","non-dropping-particle":"","parse-names":false,"suffix":""},{"dropping-particle":"","family":"Mehrkar","given":"Amir","non-dropping-particle":"","parse-names":false,"suffix":""},{"dropping-particle":"","family":"Evans","given":"David","non-dropping-particle":"","parse-names":false,"suffix":""},{"dropping-particle":"","family":"Inglesby","given":"Peter","non-dropping-particle":"","parse-names":false,"suffix":""},{"dropping-particle":"","family":"Cockburn","given":"Jonathan","non-dropping-particle":"","parse-names":false,"suffix":""},{"dropping-particle":"","family":"McDonald","given":"Helen I","non-dropping-particle":"","parse-names":false,"suffix":""},{"dropping-particle":"","family":"MacKenna","given":"Brian","non-dropping-particle":"","parse-names":false,"suffix":""},{"dropping-particle":"","family":"Tomlinson","given":"Laurie","non-dropping-particle":"","parse-names":false,"suffix":""},{"dropping-particle":"","family":"Douglas","given":"Ian J","non-dropping-particle":"","parse-names":false,"suffix":""},{"dropping-particle":"","family":"Rentsch","given":"Christopher T","non-dropping-particle":"","parse-names":false,"suffix":""},{"dropping-particle":"","family":"Mathur","given":"Rohini","non-dropping-particle":"","parse-names":false,"suffix":""},{"dropping-particle":"","family":"Wong","given":"Angel","non-dropping-particle":"","parse-names":false,"suffix":""},{"dropping-particle":"","family":"Grieve","given":"Richard","non-dropping-particle":"","parse-names":false,"suffix":""},{"dropping-particle":"","family":"Harrison","given":"David","non-dropping-particle":"","parse-names":false,"suffix":""},{"dropping-particle":"","family":"Forbes","given":"Harriet","non-dropping-particle":"","parse-names":false,"suffix":""},{"dropping-particle":"","family":"Schultze","given":"Anna","non-dropping-particle":"","parse-names":false,"suffix":""},{"dropping-particle":"","family":"Croker","given":"Richard","non-dropping-particle":"","parse-names":false,"suffix":""},{"dropping-particle":"","family":"Parry","given":"John","non-dropping-particle":"","parse-names":false,"suffix":""},{"dropping-particle":"","family":"Hester","given":"Frank","non-dropping-particle":"","parse-names":false,"suffix":""},{"dropping-particle":"","family":"Harper","given":"Sam","non-dropping-particle":"","parse-names":false,"suffix":""},{"dropping-particle":"","family":"Perera","given":"Raf","non-dropping-particle":"","parse-names":false,"suffix":""},{"dropping-particle":"","family":"Evans","given":"Stephen","non-dropping-particle":"","parse-names":false,"suffix":""},{"dropping-particle":"","family":"Smeeth","given":"Liam","non-dropping-particle":"","parse-names":false,"suffix":""},{"dropping-particle":"","family":"Goldacre","given":"Ben","non-dropping-particle":"","parse-names":false,"suffix":""}],"id":"ITEM-1","issued":{"date-parts":[["0"]]},"title":"OpenSAFELY: factors associated with COVID-19-related hospital death in the linked electronic health records of 17 million adult NHS patients.","type":"article-journal"},"uris":["http://www.mendeley.com/documents/?uuid=a1907536-d538-37f9-817b-93c86d504852","http://www.mendeley.com/documents/?uuid=f4c4d062-d516-4508-ae0a-2b0ac06912cd"]},{"id":"ITEM-2","itemData":{"DOI":"10.1016/S2213-8587(20)30271-0","ISSN":"22138595","PMID":"32798471","abstract":"Background: Diabetes has been associated with increased COVID-19-related mortality, but the association between modifiable risk factors, including hyperglycaemia and obesity, and COVID-19-related mortality among people with diabetes is unclear. We assessed associations between risk factors and COVID-19-related mortality in people with type 1 and type 2 diabetes. Methods: We did a population-based cohort study of people with diagnosed diabetes who were registered with a general practice in England. National population data on people with type 1 and type 2 diabetes collated by the National Diabetes Audit were linked to mortality records collated by the Office for National Statistics from Jan 2, 2017, to May 11, 2020. We identified the weekly number of deaths in people with type 1 and type 2 diabetes during the first 19 weeks of 2020 and calculated the percentage change from the mean number of deaths for the corresponding weeks in 2017, 2018, and 2019. The associations between risk factors (including sex, age, ethnicity, socioeconomic deprivation, HbA1c, renal impairment [from estimated glomerular filtration rate (eGFR)], BMI, tobacco smoking status, and cardiovascular comorbidities) and COVID-19-related mortality (defined as International Classification of Diseases, version 10, code U07.1 or U07.2 as a primary or secondary cause of death) between Feb 16 and May 11, 2020, were investigated by use of Cox proportional hazards models. Findings: Weekly death registrations in the first 19 weeks of 2020 exceeded the corresponding 3-year weekly averages for 2017–19 by 672 (50·9%) in people with type 1 diabetes and 16 071 (64·3%) in people with type 2 diabetes. Between Feb 16 and May 11, 2020, among 264 390 people with type 1 diabetes and 2 874 020 people with type 2 diabetes, 1604 people with type 1 diabetes and 36 291 people with type 2 diabetes died from all causes. Of these total deaths, 464 in people with type 1 diabetes and 10 525 in people with type 2 diabetes were defined as COVID-19 related, of which 289 (62·3%) and 5833 (55·4%), respectively, occurred in people with a history of cardiovascular disease or with renal impairment (eGFR &lt;60 mL/min per 1·73 m2). Male sex, older age, renal impairment, non-white ethnicity, socioeconomic deprivation, and previous stroke and heart failure were associated with increased COVID-19-related mortality in both type 1 and type 2 diabetes. Compared with people with an HbA1c of 48–53 mmol/mol (6·5–7·0%), people with an HbA1…","author":[{"dropping-particle":"","family":"Holman","given":"Naomi","non-dropping-particle":"","parse-names":false,"suffix":""},{"dropping-particle":"","family":"Knighton","given":"Peter","non-dropping-particle":"","parse-names":false,"suffix":""},{"dropping-particle":"","family":"Kar","given":"Partha","non-dropping-particle":"","parse-names":false,"suffix":""},{"dropping-particle":"","family":"O'Keefe","given":"Jackie","non-dropping-particle":"","parse-names":false,"suffix":""},{"dropping-particle":"","family":"Curley","given":"Matt","non-dropping-particle":"","parse-names":false,"suffix":""},{"dropping-particle":"","family":"Weaver","given":"Andy","non-dropping-particle":"","parse-names":false,"suffix":""},{"dropping-particle":"","family":"Barron","given":"Emma","non-dropping-particle":"","parse-names":false,"suffix":""},{"dropping-particle":"","family":"Bakhai","given":"Chirag","non-dropping-particle":"","parse-names":false,"suffix":""},{"dropping-particle":"","family":"Khunti","given":"Kamlesh","non-dropping-particle":"","parse-names":false,"suffix":""},{"dropping-particle":"","family":"Wareham","given":"Nicholas J.","non-dropping-particle":"","parse-names":false,"suffix":""},{"dropping-particle":"","family":"Sattar","given":"Naveed","non-dropping-particle":"","parse-names":false,"suffix":""},{"dropping-particle":"","family":"Young","given":"Bob","non-dropping-particle":"","parse-names":false,"suffix":""},{"dropping-particle":"","family":"Valabhji","given":"Jonathan","non-dropping-particle":"","parse-names":false,"suffix":""}],"container-title":"The Lancet Diabetes and Endocrinology","id":"ITEM-2","issue":"10","issued":{"date-parts":[["2020","10"]]},"page":"823-833","publisher":"Lancet Publishing Group","title":"Risk factors for COVID-19-related mortality in people with type 1 and type 2 diabetes in England: a population-based cohort study","type":"article-journal","volume":"8"},"uris":["http://www.mendeley.com/documents/?uuid=2a93929f-1cb0-33b3-ad63-f38a94739d8e","http://www.mendeley.com/documents/?uuid=05c5183d-abbb-4e75-aacd-2a8f1fd6057b"]}],"mendeley":{"formattedCitation":"[23,24]","plainTextFormattedCitation":"[23,24]","previouslyFormattedCitation":"[21,22]"},"properties":{"noteIndex":0},"schema":"https://github.com/citation-style-language/schema/raw/master/csl-citation.json"}</w:instrText>
      </w:r>
      <w:r w:rsidR="002B5E1B" w:rsidRPr="00667DA4">
        <w:rPr>
          <w:rFonts w:cs="Arial"/>
        </w:rPr>
        <w:fldChar w:fldCharType="separate"/>
      </w:r>
      <w:r w:rsidR="00301E7A" w:rsidRPr="00667DA4">
        <w:rPr>
          <w:rFonts w:cs="Arial"/>
          <w:noProof/>
        </w:rPr>
        <w:t>[23,24]</w:t>
      </w:r>
      <w:r w:rsidR="002B5E1B" w:rsidRPr="00667DA4">
        <w:rPr>
          <w:rFonts w:cs="Arial"/>
        </w:rPr>
        <w:fldChar w:fldCharType="end"/>
      </w:r>
      <w:r w:rsidR="00577ABC" w:rsidRPr="00667DA4">
        <w:rPr>
          <w:rFonts w:cs="Arial"/>
        </w:rPr>
        <w:t xml:space="preserve"> </w:t>
      </w:r>
      <w:r w:rsidR="0082257D" w:rsidRPr="00667DA4">
        <w:rPr>
          <w:rFonts w:cs="Arial"/>
        </w:rPr>
        <w:t>There is some uncertainty in the literature about the role of a</w:t>
      </w:r>
      <w:r w:rsidR="00577ABC" w:rsidRPr="00667DA4">
        <w:rPr>
          <w:rFonts w:cs="Arial"/>
        </w:rPr>
        <w:t xml:space="preserve">sthma </w:t>
      </w:r>
      <w:r w:rsidR="0082257D" w:rsidRPr="00667DA4">
        <w:rPr>
          <w:rFonts w:cs="Arial"/>
        </w:rPr>
        <w:t>in the severity of COVID-19 outcome</w:t>
      </w:r>
      <w:r w:rsidR="00281254" w:rsidRPr="00667DA4">
        <w:rPr>
          <w:rFonts w:cs="Arial"/>
        </w:rPr>
        <w:t>,</w:t>
      </w:r>
      <w:r w:rsidR="0082257D" w:rsidRPr="00667DA4">
        <w:rPr>
          <w:rFonts w:cs="Arial"/>
        </w:rPr>
        <w:t xml:space="preserve"> but we observed that being </w:t>
      </w:r>
      <w:r w:rsidR="00577ABC" w:rsidRPr="00667DA4">
        <w:rPr>
          <w:rFonts w:cs="Arial"/>
          <w:shd w:val="clear" w:color="auto" w:fill="FFFFFF"/>
        </w:rPr>
        <w:t>on HRT was associated with a significantly lower risk of mortality (OR 0.58, 95% CI 0.42 to 0.81)</w:t>
      </w:r>
      <w:r w:rsidR="004D098D" w:rsidRPr="00667DA4">
        <w:rPr>
          <w:rFonts w:cs="Arial"/>
          <w:shd w:val="clear" w:color="auto" w:fill="FFFFFF"/>
        </w:rPr>
        <w:t>,</w:t>
      </w:r>
      <w:r w:rsidR="0082257D" w:rsidRPr="00667DA4">
        <w:rPr>
          <w:rFonts w:cs="Arial"/>
          <w:shd w:val="clear" w:color="auto" w:fill="FFFFFF"/>
        </w:rPr>
        <w:t xml:space="preserve"> suggesting that </w:t>
      </w:r>
      <w:r w:rsidR="0082257D" w:rsidRPr="00667DA4">
        <w:rPr>
          <w:rFonts w:cs="Arial"/>
          <w:shd w:val="clear" w:color="auto" w:fill="FFFFFF"/>
        </w:rPr>
        <w:lastRenderedPageBreak/>
        <w:t xml:space="preserve">perhaps </w:t>
      </w:r>
      <w:r w:rsidR="006C7D88" w:rsidRPr="00667DA4">
        <w:rPr>
          <w:rFonts w:cs="Arial"/>
          <w:shd w:val="clear" w:color="auto" w:fill="FFFFFF"/>
        </w:rPr>
        <w:t>oestrogen</w:t>
      </w:r>
      <w:r w:rsidR="0082257D" w:rsidRPr="00667DA4">
        <w:rPr>
          <w:rFonts w:cs="Arial"/>
          <w:shd w:val="clear" w:color="auto" w:fill="FFFFFF"/>
        </w:rPr>
        <w:t xml:space="preserve"> is protective. However, these women with asthma are likely to</w:t>
      </w:r>
      <w:r w:rsidR="00A15A25" w:rsidRPr="00667DA4">
        <w:rPr>
          <w:rFonts w:cs="Arial"/>
          <w:shd w:val="clear" w:color="auto" w:fill="FFFFFF"/>
        </w:rPr>
        <w:t xml:space="preserve"> </w:t>
      </w:r>
      <w:r w:rsidR="0082257D" w:rsidRPr="00667DA4">
        <w:rPr>
          <w:rFonts w:cs="Arial"/>
          <w:shd w:val="clear" w:color="auto" w:fill="FFFFFF"/>
        </w:rPr>
        <w:t xml:space="preserve">also have been on asthma medication such as steroids which could contribute to some of the observed associations. </w:t>
      </w:r>
      <w:r w:rsidR="0082257D" w:rsidRPr="00667DA4">
        <w:rPr>
          <w:rFonts w:cs="Arial"/>
          <w:shd w:val="clear" w:color="auto" w:fill="FFFFFF"/>
        </w:rPr>
        <w:fldChar w:fldCharType="begin" w:fldLock="1"/>
      </w:r>
      <w:r w:rsidR="00301E7A" w:rsidRPr="00667DA4">
        <w:rPr>
          <w:rFonts w:cs="Arial"/>
          <w:shd w:val="clear" w:color="auto" w:fill="FFFFFF"/>
        </w:rPr>
        <w:instrText>ADDIN CSL_CITATION {"citationItems":[{"id":"ITEM-1","itemData":{"DOI":"10.1016/S2213-2600(20)30415-X","ISSN":"22132619","PMID":"32979987","abstract":"Background: Early descriptions of patients admitted to hospital during the COVID-19 pandemic showed a lower prevalence of asthma and chronic obstructive pulmonary disease (COPD) than would be expected for an acute respiratory disease like COVID-19, leading to speculation that inhaled corticosteroids (ICSs) might protect against infection with severe acute respiratory syndrome coronavirus 2 or the development of serious sequelae. We assessed the association between ICS and COVID-19-related death among people with COPD or asthma using linked electronic health records (EHRs) in England, UK. Methods: In this observational study, we analysed patient-level data for people with COPD or asthma from primary care EHRs linked with death data from the Office of National Statistics using the OpenSAFELY platform. The index date (start of follow-up) for both cohorts was March 1, 2020; follow-up lasted until May 6, 2020. For the COPD cohort, individuals were eligible if they were aged 35 years or older, had COPD, were a current or former smoker, and were prescribed an ICS or long-acting β agonist plus long-acting muscarinic antagonist (LABA–LAMA) as combination therapy within the 4 months before the index date. For the asthma cohort, individuals were eligible if they were aged 18 years or older, had been diagnosed with asthma within 3 years of the index date, and were prescribed an ICS or short-acting β agonist (SABA) only within the 4 months before the index date. We compared the outcome of COVID-19-related death between people prescribed an ICS and those prescribed alternative respiratory medications: ICSs versus LABA–LAMA for the COPD cohort, and low-dose or medium-dose and high-dose ICSs versus SABAs only in the asthma cohort. We used Cox regression models to estimate hazard ratios (HRs) and 95% CIs for the association between exposure categories and the outcome in each population, adjusted for age, sex, and all other prespecified covariates. We calculated e-values to quantify the effect of unmeasured confounding on our results. Findings: We identified 148 557 people with COPD and 818 490 people with asthma who were given relevant respiratory medications in the 4 months before the index date. People with COPD who were prescribed ICSs were at increased risk of COVID-19-related death compared with those prescribed LABA–LAMA combinations (adjusted HR 1·39 [95% CI 1·10–1·76]). Compared with those prescribed SABAs only, people with asthma who were prescribed high-dose I…","author":[{"dropping-particle":"","family":"Schultze","given":"Anna","non-dropping-particle":"","parse-names":false,"suffix":""},{"dropping-particle":"","family":"Walker","given":"Alex J.","non-dropping-particle":"","parse-names":false,"suffix":""},{"dropping-particle":"","family":"MacKenna","given":"Brian","non-dropping-particle":"","parse-names":false,"suffix":""},{"dropping-particle":"","family":"Morton","given":"Caroline E.","non-dropping-particle":"","parse-names":false,"suffix":""},{"dropping-particle":"","family":"Bhaskaran","given":"Krishnan","non-dropping-particle":"","parse-names":false,"suffix":""},{"dropping-particle":"","family":"Brown","given":"Jeremy P.","non-dropping-particle":"","parse-names":false,"suffix":""},{"dropping-particle":"","family":"Rentsch","given":"Christopher T.","non-dropping-particle":"","parse-names":false,"suffix":""},{"dropping-particle":"","family":"Williamson","given":"Elizabeth","non-dropping-particle":"","parse-names":false,"suffix":""},{"dropping-particle":"","family":"Drysdale","given":"Henry","non-dropping-particle":"","parse-names":false,"suffix":""},{"dropping-particle":"","family":"Croker","given":"Richard","non-dropping-particle":"","parse-names":false,"suffix":""},{"dropping-particle":"","family":"Bacon","given":"Seb","non-dropping-particle":"","parse-names":false,"suffix":""},{"dropping-particle":"","family":"Hulme","given":"William","non-dropping-particle":"","parse-names":false,"suffix":""},{"dropping-particle":"","family":"Bates","given":"Chris","non-dropping-particle":"","parse-names":false,"suffix":""},{"dropping-particle":"","family":"Curtis","given":"Helen J.","non-dropping-particle":"","parse-names":false,"suffix":""},{"dropping-particle":"","family":"Mehrkar","given":"Amir","non-dropping-particle":"","parse-names":false,"suffix":""},{"dropping-particle":"","family":"Evans","given":"David","non-dropping-particle":"","parse-names":false,"suffix":""},{"dropping-particle":"","family":"Inglesby","given":"Peter","non-dropping-particle":"","parse-names":false,"suffix":""},{"dropping-particle":"","family":"Cockburn","given":"Jonathan","non-dropping-particle":"","parse-names":false,"suffix":""},{"dropping-particle":"","family":"McDonald","given":"Helen I.","non-dropping-particle":"","parse-names":false,"suffix":""},{"dropping-particle":"","family":"Tomlinson","given":"Laurie","non-dropping-particle":"","parse-names":false,"suffix":""},{"dropping-particle":"","family":"Mathur","given":"Rohini","non-dropping-particle":"","parse-names":false,"suffix":""},{"dropping-particle":"","family":"Wing","given":"Kevin","non-dropping-particle":"","parse-names":false,"suffix":""},{"dropping-particle":"","family":"Wong","given":"Angel Y.S.","non-dropping-particle":"","parse-names":false,"suffix":""},{"dropping-particle":"","family":"Forbes","given":"Harriet","non-dropping-particle":"","parse-names":false,"suffix":""},{"dropping-particle":"","family":"Parry","given":"John","non-dropping-particle":"","parse-names":false,"suffix":""},{"dropping-particle":"","family":"Hester","given":"Frank","non-dropping-particle":"","parse-names":false,"suffix":""},{"dropping-particle":"","family":"Harper","given":"Sam","non-dropping-particle":"","parse-names":false,"suffix":""},{"dropping-particle":"","family":"Evans","given":"Stephen J.W.","non-dropping-particle":"","parse-names":false,"suffix":""},{"dropping-particle":"","family":"Quint","given":"Jennifer","non-dropping-particle":"","parse-names":false,"suffix":""},{"dropping-particle":"","family":"Smeeth","given":"Liam","non-dropping-particle":"","parse-names":false,"suffix":""},{"dropping-particle":"","family":"Douglas","given":"Ian J.","non-dropping-particle":"","parse-names":false,"suffix":""},{"dropping-particle":"","family":"Goldacre","given":"Ben","non-dropping-particle":"","parse-names":false,"suffix":""}],"container-title":"The Lancet Respiratory Medicine","id":"ITEM-1","issue":"11","issued":{"date-parts":[["2020","11"]]},"page":"1106-1120","publisher":"Lancet Publishing Group","title":"Risk of COVID-19-related death among patients with chronic obstructive pulmonary disease or asthma prescribed inhaled corticosteroids: an observational cohort study using the OpenSAFELY platform","type":"article-journal","volume":"8"},"uris":["http://www.mendeley.com/documents/?uuid=f51cfe04-6ce0-37ff-ad58-d5fc6c224625","http://www.mendeley.com/documents/?uuid=67e57409-848a-4eb8-9ced-5f25306102b4"]}],"mendeley":{"formattedCitation":"[25]","plainTextFormattedCitation":"[25]","previouslyFormattedCitation":"[23]"},"properties":{"noteIndex":0},"schema":"https://github.com/citation-style-language/schema/raw/master/csl-citation.json"}</w:instrText>
      </w:r>
      <w:r w:rsidR="0082257D" w:rsidRPr="00667DA4">
        <w:rPr>
          <w:rFonts w:cs="Arial"/>
          <w:shd w:val="clear" w:color="auto" w:fill="FFFFFF"/>
        </w:rPr>
        <w:fldChar w:fldCharType="separate"/>
      </w:r>
      <w:r w:rsidR="00301E7A" w:rsidRPr="00667DA4">
        <w:rPr>
          <w:rFonts w:cs="Arial"/>
          <w:noProof/>
          <w:shd w:val="clear" w:color="auto" w:fill="FFFFFF"/>
        </w:rPr>
        <w:t>[25]</w:t>
      </w:r>
      <w:r w:rsidR="0082257D" w:rsidRPr="00667DA4">
        <w:rPr>
          <w:rFonts w:cs="Arial"/>
          <w:shd w:val="clear" w:color="auto" w:fill="FFFFFF"/>
        </w:rPr>
        <w:fldChar w:fldCharType="end"/>
      </w:r>
    </w:p>
    <w:p w14:paraId="0D23AA9E" w14:textId="2C5527E5" w:rsidR="004A2A55" w:rsidRPr="00667DA4" w:rsidRDefault="004A2A55" w:rsidP="00FE5251">
      <w:pPr>
        <w:spacing w:line="480" w:lineRule="auto"/>
        <w:jc w:val="both"/>
        <w:rPr>
          <w:rFonts w:cs="Arial"/>
          <w:shd w:val="clear" w:color="auto" w:fill="FFFFFF"/>
        </w:rPr>
      </w:pPr>
    </w:p>
    <w:p w14:paraId="50EBBA90" w14:textId="77777777" w:rsidR="00E67147" w:rsidRPr="00667DA4" w:rsidRDefault="00E67147" w:rsidP="00FE5251">
      <w:pPr>
        <w:spacing w:line="480" w:lineRule="auto"/>
        <w:rPr>
          <w:rFonts w:eastAsia="Times New Roman" w:cs="Arial"/>
          <w:b/>
          <w:lang w:eastAsia="en-GB"/>
        </w:rPr>
      </w:pPr>
      <w:r w:rsidRPr="00667DA4">
        <w:rPr>
          <w:rFonts w:eastAsia="Times New Roman" w:cs="Arial"/>
          <w:b/>
          <w:lang w:eastAsia="en-GB"/>
        </w:rPr>
        <w:t>Conclusions</w:t>
      </w:r>
    </w:p>
    <w:p w14:paraId="4D495677" w14:textId="082525BE" w:rsidR="002D5051" w:rsidRPr="00667DA4" w:rsidRDefault="00FE4386" w:rsidP="00FE5251">
      <w:pPr>
        <w:spacing w:line="480" w:lineRule="auto"/>
        <w:jc w:val="both"/>
        <w:rPr>
          <w:rFonts w:cs="Arial"/>
        </w:rPr>
      </w:pPr>
      <w:r w:rsidRPr="00667DA4">
        <w:rPr>
          <w:rFonts w:cs="Arial"/>
        </w:rPr>
        <w:t xml:space="preserve">We found that HRT </w:t>
      </w:r>
      <w:r w:rsidR="00490282" w:rsidRPr="00667DA4">
        <w:rPr>
          <w:rFonts w:cs="Arial"/>
        </w:rPr>
        <w:t xml:space="preserve">prescription within six months of a recorded diagnosis of COVID-19 infection was associated with a </w:t>
      </w:r>
      <w:r w:rsidR="009539EB" w:rsidRPr="00667DA4">
        <w:rPr>
          <w:rFonts w:cs="Arial"/>
        </w:rPr>
        <w:t>reduction in all-cause mortality</w:t>
      </w:r>
      <w:r w:rsidRPr="00667DA4">
        <w:rPr>
          <w:rFonts w:cs="Arial"/>
        </w:rPr>
        <w:t xml:space="preserve">. </w:t>
      </w:r>
      <w:r w:rsidR="00E67868" w:rsidRPr="00667DA4">
        <w:rPr>
          <w:rFonts w:cs="Arial"/>
        </w:rPr>
        <w:t xml:space="preserve">From these results, women should be reassured that there is no indication to discontinue HRT use </w:t>
      </w:r>
      <w:r w:rsidR="003A0B93" w:rsidRPr="00667DA4">
        <w:rPr>
          <w:rFonts w:cs="Arial"/>
        </w:rPr>
        <w:t>because of</w:t>
      </w:r>
      <w:r w:rsidR="005A66A8" w:rsidRPr="00667DA4">
        <w:rPr>
          <w:rFonts w:cs="Arial"/>
        </w:rPr>
        <w:t xml:space="preserve"> the pandemic</w:t>
      </w:r>
      <w:r w:rsidR="00E67868" w:rsidRPr="00667DA4">
        <w:rPr>
          <w:rFonts w:cs="Arial"/>
        </w:rPr>
        <w:t xml:space="preserve">. </w:t>
      </w:r>
      <w:r w:rsidRPr="00667DA4">
        <w:rPr>
          <w:rFonts w:cs="Arial"/>
        </w:rPr>
        <w:t xml:space="preserve">Further work is needed </w:t>
      </w:r>
      <w:r w:rsidR="00162DE8" w:rsidRPr="00667DA4">
        <w:rPr>
          <w:rFonts w:cs="Arial"/>
        </w:rPr>
        <w:t>to</w:t>
      </w:r>
      <w:r w:rsidRPr="00667DA4">
        <w:rPr>
          <w:rFonts w:cs="Arial"/>
        </w:rPr>
        <w:t xml:space="preserve"> e</w:t>
      </w:r>
      <w:r w:rsidR="00162DE8" w:rsidRPr="00667DA4">
        <w:rPr>
          <w:rFonts w:cs="Arial"/>
        </w:rPr>
        <w:t xml:space="preserve">xplore </w:t>
      </w:r>
      <w:r w:rsidR="00F41BE8" w:rsidRPr="00667DA4">
        <w:rPr>
          <w:rFonts w:cs="Arial"/>
        </w:rPr>
        <w:t xml:space="preserve">the effect of </w:t>
      </w:r>
      <w:r w:rsidR="00162DE8" w:rsidRPr="00667DA4">
        <w:rPr>
          <w:rFonts w:cs="Arial"/>
        </w:rPr>
        <w:t xml:space="preserve">variations in HRT doses, preparations and duration </w:t>
      </w:r>
      <w:r w:rsidR="00F41BE8" w:rsidRPr="00667DA4">
        <w:rPr>
          <w:rFonts w:cs="Arial"/>
        </w:rPr>
        <w:t>on</w:t>
      </w:r>
      <w:r w:rsidR="00162DE8" w:rsidRPr="00667DA4">
        <w:rPr>
          <w:rFonts w:cs="Arial"/>
        </w:rPr>
        <w:t xml:space="preserve"> COVID-19 complication</w:t>
      </w:r>
      <w:r w:rsidR="00F41BE8" w:rsidRPr="00667DA4">
        <w:rPr>
          <w:rFonts w:cs="Arial"/>
        </w:rPr>
        <w:t>s</w:t>
      </w:r>
      <w:r w:rsidR="00162DE8" w:rsidRPr="00667DA4">
        <w:rPr>
          <w:rFonts w:cs="Arial"/>
        </w:rPr>
        <w:t xml:space="preserve">. Additional research is also required in larger cohorts to examine the </w:t>
      </w:r>
      <w:r w:rsidRPr="00667DA4">
        <w:rPr>
          <w:rFonts w:cs="Arial"/>
        </w:rPr>
        <w:t>association been COCP and mortality in COVID-19.</w:t>
      </w:r>
    </w:p>
    <w:p w14:paraId="2688DD58" w14:textId="77777777" w:rsidR="00412184" w:rsidRPr="00667DA4" w:rsidRDefault="00412184" w:rsidP="00FE09BC">
      <w:pPr>
        <w:spacing w:line="240" w:lineRule="auto"/>
        <w:jc w:val="both"/>
        <w:rPr>
          <w:rFonts w:cs="Arial"/>
        </w:rPr>
      </w:pPr>
    </w:p>
    <w:p w14:paraId="0BB3C76F" w14:textId="77777777" w:rsidR="0009093A" w:rsidRPr="00667DA4" w:rsidRDefault="0009093A" w:rsidP="00FE09BC">
      <w:pPr>
        <w:spacing w:line="240" w:lineRule="auto"/>
        <w:jc w:val="both"/>
        <w:rPr>
          <w:rFonts w:cs="Arial"/>
          <w:b/>
          <w:bCs/>
          <w:u w:val="single"/>
          <w:shd w:val="clear" w:color="auto" w:fill="FFFFFF"/>
        </w:rPr>
      </w:pPr>
    </w:p>
    <w:p w14:paraId="352FCB5E" w14:textId="77777777" w:rsidR="0009093A" w:rsidRPr="00667DA4" w:rsidRDefault="0009093A" w:rsidP="00FE09BC">
      <w:pPr>
        <w:spacing w:line="240" w:lineRule="auto"/>
        <w:jc w:val="both"/>
        <w:rPr>
          <w:rFonts w:cs="Arial"/>
          <w:b/>
          <w:bCs/>
          <w:u w:val="single"/>
          <w:shd w:val="clear" w:color="auto" w:fill="FFFFFF"/>
        </w:rPr>
      </w:pPr>
    </w:p>
    <w:p w14:paraId="16B8117F" w14:textId="0AF6B2A3" w:rsidR="00FE4386" w:rsidRPr="00667DA4" w:rsidRDefault="00FE4386" w:rsidP="00E37B42">
      <w:pPr>
        <w:spacing w:line="480" w:lineRule="auto"/>
        <w:jc w:val="both"/>
        <w:rPr>
          <w:rFonts w:cs="Arial"/>
          <w:b/>
          <w:bCs/>
          <w:u w:val="single"/>
          <w:shd w:val="clear" w:color="auto" w:fill="FFFFFF"/>
        </w:rPr>
      </w:pPr>
      <w:r w:rsidRPr="00667DA4">
        <w:rPr>
          <w:rFonts w:cs="Arial"/>
          <w:b/>
          <w:bCs/>
          <w:u w:val="single"/>
          <w:shd w:val="clear" w:color="auto" w:fill="FFFFFF"/>
        </w:rPr>
        <w:t>FUNDING:</w:t>
      </w:r>
    </w:p>
    <w:p w14:paraId="7BC02E2B" w14:textId="532C0400" w:rsidR="00FE4386" w:rsidRPr="00667DA4" w:rsidRDefault="00FE4386" w:rsidP="00E37B42">
      <w:pPr>
        <w:pStyle w:val="NormalWeb"/>
        <w:shd w:val="clear" w:color="auto" w:fill="FFFFFF"/>
        <w:spacing w:before="0" w:beforeAutospacing="0" w:after="150" w:afterAutospacing="0" w:line="480" w:lineRule="auto"/>
        <w:jc w:val="both"/>
        <w:rPr>
          <w:rFonts w:asciiTheme="minorHAnsi" w:hAnsiTheme="minorHAnsi" w:cs="Arial"/>
          <w:sz w:val="22"/>
          <w:szCs w:val="22"/>
        </w:rPr>
      </w:pPr>
      <w:r w:rsidRPr="00667DA4">
        <w:rPr>
          <w:rFonts w:asciiTheme="minorHAnsi" w:hAnsiTheme="minorHAnsi" w:cs="Arial"/>
          <w:sz w:val="22"/>
          <w:szCs w:val="22"/>
        </w:rPr>
        <w:t>HDM is a National Institute for Health Research</w:t>
      </w:r>
      <w:r w:rsidR="008E49EA" w:rsidRPr="00667DA4">
        <w:rPr>
          <w:rFonts w:asciiTheme="minorHAnsi" w:hAnsiTheme="minorHAnsi" w:cs="Arial"/>
          <w:sz w:val="22"/>
          <w:szCs w:val="22"/>
        </w:rPr>
        <w:t xml:space="preserve"> (NIHR)</w:t>
      </w:r>
      <w:r w:rsidRPr="00667DA4">
        <w:rPr>
          <w:rFonts w:asciiTheme="minorHAnsi" w:hAnsiTheme="minorHAnsi" w:cs="Arial"/>
          <w:sz w:val="22"/>
          <w:szCs w:val="22"/>
        </w:rPr>
        <w:t xml:space="preserve"> funded Academic Clinical Lecturer and has received NIHR SPCR funding for this project (</w:t>
      </w:r>
      <w:r w:rsidRPr="00667DA4">
        <w:rPr>
          <w:rFonts w:asciiTheme="minorHAnsi" w:hAnsiTheme="minorHAnsi" w:cs="Arial"/>
          <w:sz w:val="22"/>
          <w:szCs w:val="22"/>
          <w:shd w:val="clear" w:color="auto" w:fill="FFFFFF"/>
        </w:rPr>
        <w:t>SPCR2014-10043)</w:t>
      </w:r>
      <w:r w:rsidR="00412184" w:rsidRPr="00667DA4">
        <w:rPr>
          <w:rFonts w:asciiTheme="minorHAnsi" w:hAnsiTheme="minorHAnsi" w:cs="Arial"/>
          <w:sz w:val="22"/>
          <w:szCs w:val="22"/>
          <w:shd w:val="clear" w:color="auto" w:fill="FFFFFF"/>
        </w:rPr>
        <w:t xml:space="preserve">, and also acknowledges receipt of MRC funding for </w:t>
      </w:r>
      <w:r w:rsidR="00A15A25" w:rsidRPr="00667DA4">
        <w:rPr>
          <w:rFonts w:asciiTheme="minorHAnsi" w:hAnsiTheme="minorHAnsi" w:cs="Arial"/>
          <w:sz w:val="22"/>
          <w:szCs w:val="22"/>
          <w:shd w:val="clear" w:color="auto" w:fill="FFFFFF"/>
        </w:rPr>
        <w:t xml:space="preserve">her </w:t>
      </w:r>
      <w:r w:rsidR="00412184" w:rsidRPr="00667DA4">
        <w:rPr>
          <w:rFonts w:asciiTheme="minorHAnsi" w:hAnsiTheme="minorHAnsi" w:cs="Arial"/>
          <w:sz w:val="22"/>
          <w:szCs w:val="22"/>
          <w:shd w:val="clear" w:color="auto" w:fill="FFFFFF"/>
        </w:rPr>
        <w:t>COVID</w:t>
      </w:r>
      <w:r w:rsidR="00412184" w:rsidRPr="00667DA4">
        <w:rPr>
          <w:rFonts w:asciiTheme="minorHAnsi" w:hAnsiTheme="minorHAnsi" w:cs="Arial"/>
          <w:sz w:val="22"/>
          <w:szCs w:val="22"/>
        </w:rPr>
        <w:t xml:space="preserve"> research</w:t>
      </w:r>
      <w:r w:rsidR="00A15A25" w:rsidRPr="00667DA4">
        <w:rPr>
          <w:rFonts w:asciiTheme="minorHAnsi" w:hAnsiTheme="minorHAnsi" w:cs="Arial"/>
          <w:sz w:val="22"/>
          <w:szCs w:val="22"/>
        </w:rPr>
        <w:t xml:space="preserve"> (</w:t>
      </w:r>
      <w:r w:rsidR="00A15A25" w:rsidRPr="00667DA4">
        <w:rPr>
          <w:rFonts w:asciiTheme="minorHAnsi" w:hAnsiTheme="minorHAnsi" w:cs="Arial"/>
          <w:sz w:val="22"/>
          <w:szCs w:val="22"/>
          <w:shd w:val="clear" w:color="auto" w:fill="FFFFFF"/>
        </w:rPr>
        <w:t>MR/V027778/1).</w:t>
      </w:r>
      <w:r w:rsidR="00412184" w:rsidRPr="00667DA4">
        <w:rPr>
          <w:rFonts w:asciiTheme="minorHAnsi" w:hAnsiTheme="minorHAnsi" w:cs="Arial"/>
          <w:sz w:val="22"/>
          <w:szCs w:val="22"/>
        </w:rPr>
        <w:t xml:space="preserve"> </w:t>
      </w:r>
      <w:r w:rsidR="008E49EA" w:rsidRPr="00667DA4">
        <w:rPr>
          <w:rFonts w:asciiTheme="minorHAnsi" w:hAnsiTheme="minorHAnsi" w:cs="Arial"/>
          <w:sz w:val="22"/>
          <w:szCs w:val="22"/>
        </w:rPr>
        <w:t xml:space="preserve"> CW is a NIHR-funded Academic Clinical Fellow. </w:t>
      </w:r>
      <w:r w:rsidRPr="00667DA4">
        <w:rPr>
          <w:rFonts w:asciiTheme="minorHAnsi" w:hAnsiTheme="minorHAnsi" w:cs="Arial"/>
          <w:sz w:val="22"/>
          <w:szCs w:val="22"/>
        </w:rPr>
        <w:t>The views and opinions expressed by authors in this publication are those of the authors and do not necessarily reflect those of the UK National Institute for Health Research (NIHR) or the Department of Health and Social Care</w:t>
      </w:r>
      <w:r w:rsidR="008E49EA" w:rsidRPr="00667DA4">
        <w:rPr>
          <w:rFonts w:asciiTheme="minorHAnsi" w:hAnsiTheme="minorHAnsi" w:cs="Arial"/>
          <w:sz w:val="22"/>
          <w:szCs w:val="22"/>
        </w:rPr>
        <w:t>.</w:t>
      </w:r>
    </w:p>
    <w:p w14:paraId="09103269" w14:textId="77777777" w:rsidR="009E2DFF" w:rsidRPr="00667DA4" w:rsidRDefault="009E2DFF" w:rsidP="00E37B42">
      <w:pPr>
        <w:pStyle w:val="NormalWeb"/>
        <w:shd w:val="clear" w:color="auto" w:fill="FFFFFF"/>
        <w:spacing w:before="0" w:beforeAutospacing="0" w:after="150" w:afterAutospacing="0" w:line="480" w:lineRule="auto"/>
        <w:jc w:val="both"/>
        <w:rPr>
          <w:rFonts w:asciiTheme="minorHAnsi" w:hAnsiTheme="minorHAnsi" w:cs="Arial"/>
          <w:b/>
          <w:bCs/>
          <w:sz w:val="22"/>
          <w:szCs w:val="22"/>
          <w:u w:val="single"/>
        </w:rPr>
      </w:pPr>
    </w:p>
    <w:p w14:paraId="1A13D0A6" w14:textId="77777777" w:rsidR="00E67147" w:rsidRPr="00667DA4" w:rsidRDefault="00E67147" w:rsidP="00E37B42">
      <w:pPr>
        <w:spacing w:after="0" w:afterAutospacing="1" w:line="480" w:lineRule="auto"/>
        <w:jc w:val="both"/>
        <w:textAlignment w:val="baseline"/>
        <w:rPr>
          <w:rFonts w:eastAsia="Times New Roman" w:cs="Arial"/>
          <w:b/>
          <w:bCs/>
          <w:u w:val="single"/>
          <w:bdr w:val="none" w:sz="0" w:space="0" w:color="auto" w:frame="1"/>
          <w:lang w:eastAsia="en-GB"/>
        </w:rPr>
      </w:pPr>
      <w:r w:rsidRPr="00667DA4">
        <w:rPr>
          <w:rFonts w:eastAsia="Times New Roman" w:cs="Arial"/>
          <w:b/>
          <w:bCs/>
          <w:u w:val="single"/>
          <w:bdr w:val="none" w:sz="0" w:space="0" w:color="auto" w:frame="1"/>
          <w:lang w:eastAsia="en-GB"/>
        </w:rPr>
        <w:t>AUTHOR CONTRIBUTION:</w:t>
      </w:r>
    </w:p>
    <w:p w14:paraId="7979F197" w14:textId="56361CE6" w:rsidR="001E07EF" w:rsidRPr="00667DA4" w:rsidRDefault="00E67147" w:rsidP="00E37B42">
      <w:pPr>
        <w:spacing w:after="0" w:afterAutospacing="1" w:line="480" w:lineRule="auto"/>
        <w:jc w:val="both"/>
        <w:textAlignment w:val="baseline"/>
        <w:rPr>
          <w:rFonts w:cs="Arial"/>
          <w:shd w:val="clear" w:color="auto" w:fill="FFFFFF"/>
        </w:rPr>
      </w:pPr>
      <w:r w:rsidRPr="00667DA4">
        <w:rPr>
          <w:rFonts w:cs="Arial"/>
          <w:shd w:val="clear" w:color="auto" w:fill="FFFFFF"/>
        </w:rPr>
        <w:t>HDM design</w:t>
      </w:r>
      <w:r w:rsidR="00811175" w:rsidRPr="00667DA4">
        <w:rPr>
          <w:rFonts w:cs="Arial"/>
          <w:shd w:val="clear" w:color="auto" w:fill="FFFFFF"/>
        </w:rPr>
        <w:t>ed the study,</w:t>
      </w:r>
      <w:r w:rsidRPr="00667DA4">
        <w:rPr>
          <w:rFonts w:cs="Arial"/>
          <w:shd w:val="clear" w:color="auto" w:fill="FFFFFF"/>
        </w:rPr>
        <w:t xml:space="preserve"> wrote the first draft</w:t>
      </w:r>
      <w:r w:rsidR="00306998" w:rsidRPr="00667DA4">
        <w:rPr>
          <w:rFonts w:cs="Arial"/>
          <w:shd w:val="clear" w:color="auto" w:fill="FFFFFF"/>
        </w:rPr>
        <w:t xml:space="preserve"> and</w:t>
      </w:r>
      <w:r w:rsidRPr="00667DA4">
        <w:rPr>
          <w:rFonts w:cs="Arial"/>
          <w:shd w:val="clear" w:color="auto" w:fill="FFFFFF"/>
        </w:rPr>
        <w:t xml:space="preserve"> edited subsequent versions of the manuscript. WH contributed to study design, led the data analysis and revised the manuscript. MJ provided advice on </w:t>
      </w:r>
      <w:r w:rsidRPr="00667DA4">
        <w:rPr>
          <w:rFonts w:cs="Arial"/>
          <w:shd w:val="clear" w:color="auto" w:fill="FFFFFF"/>
        </w:rPr>
        <w:lastRenderedPageBreak/>
        <w:t>statistical methods</w:t>
      </w:r>
      <w:r w:rsidR="00695070" w:rsidRPr="00667DA4">
        <w:rPr>
          <w:rFonts w:cs="Arial"/>
          <w:shd w:val="clear" w:color="auto" w:fill="FFFFFF"/>
        </w:rPr>
        <w:t>.</w:t>
      </w:r>
      <w:r w:rsidR="00BF7833" w:rsidRPr="00667DA4">
        <w:rPr>
          <w:rFonts w:cs="Arial"/>
          <w:shd w:val="clear" w:color="auto" w:fill="FFFFFF"/>
        </w:rPr>
        <w:t xml:space="preserve"> MF</w:t>
      </w:r>
      <w:r w:rsidR="00ED6B5E" w:rsidRPr="00667DA4">
        <w:rPr>
          <w:rFonts w:cs="Arial"/>
          <w:shd w:val="clear" w:color="auto" w:fill="FFFFFF"/>
        </w:rPr>
        <w:t>, CW,</w:t>
      </w:r>
      <w:r w:rsidR="00307487" w:rsidRPr="00667DA4">
        <w:rPr>
          <w:rFonts w:cs="Arial"/>
          <w:shd w:val="clear" w:color="auto" w:fill="FFFFFF"/>
        </w:rPr>
        <w:t xml:space="preserve"> </w:t>
      </w:r>
      <w:r w:rsidR="00760D23" w:rsidRPr="00667DA4">
        <w:rPr>
          <w:rFonts w:cs="Arial"/>
          <w:shd w:val="clear" w:color="auto" w:fill="FFFFFF"/>
        </w:rPr>
        <w:t xml:space="preserve">and </w:t>
      </w:r>
      <w:r w:rsidR="00BF7833" w:rsidRPr="00667DA4">
        <w:rPr>
          <w:rFonts w:cs="Arial"/>
          <w:shd w:val="clear" w:color="auto" w:fill="FFFFFF"/>
        </w:rPr>
        <w:t>Sdel</w:t>
      </w:r>
      <w:r w:rsidR="00695070" w:rsidRPr="00667DA4">
        <w:rPr>
          <w:rFonts w:cs="Arial"/>
          <w:shd w:val="clear" w:color="auto" w:fill="FFFFFF"/>
        </w:rPr>
        <w:t xml:space="preserve"> </w:t>
      </w:r>
      <w:r w:rsidR="00871247" w:rsidRPr="00667DA4">
        <w:rPr>
          <w:rFonts w:cs="Arial"/>
          <w:shd w:val="clear" w:color="auto" w:fill="FFFFFF"/>
        </w:rPr>
        <w:t xml:space="preserve">contributed to the study design and </w:t>
      </w:r>
      <w:r w:rsidRPr="00667DA4">
        <w:rPr>
          <w:rFonts w:cs="Arial"/>
          <w:shd w:val="clear" w:color="auto" w:fill="FFFFFF"/>
        </w:rPr>
        <w:t xml:space="preserve">revised the </w:t>
      </w:r>
      <w:r w:rsidR="00811175" w:rsidRPr="00667DA4">
        <w:rPr>
          <w:rFonts w:cs="Arial"/>
          <w:shd w:val="clear" w:color="auto" w:fill="FFFFFF"/>
        </w:rPr>
        <w:t>paper</w:t>
      </w:r>
      <w:r w:rsidR="00E729DF" w:rsidRPr="00667DA4">
        <w:rPr>
          <w:rFonts w:cs="Arial"/>
          <w:shd w:val="clear" w:color="auto" w:fill="FFFFFF"/>
        </w:rPr>
        <w:t xml:space="preserve">. </w:t>
      </w:r>
      <w:r w:rsidR="00306998" w:rsidRPr="00667DA4">
        <w:rPr>
          <w:rFonts w:cs="Arial"/>
          <w:shd w:val="clear" w:color="auto" w:fill="FFFFFF"/>
        </w:rPr>
        <w:t xml:space="preserve">Sdel </w:t>
      </w:r>
      <w:r w:rsidR="00BF7833" w:rsidRPr="00667DA4">
        <w:rPr>
          <w:rFonts w:cs="Arial"/>
          <w:shd w:val="clear" w:color="auto" w:fill="FFFFFF"/>
        </w:rPr>
        <w:t>also</w:t>
      </w:r>
      <w:r w:rsidR="00695070" w:rsidRPr="00667DA4">
        <w:rPr>
          <w:rFonts w:cs="Arial"/>
          <w:shd w:val="clear" w:color="auto" w:fill="FFFFFF"/>
        </w:rPr>
        <w:t xml:space="preserve"> </w:t>
      </w:r>
      <w:r w:rsidR="00306998" w:rsidRPr="00667DA4">
        <w:rPr>
          <w:rFonts w:cs="Arial"/>
          <w:shd w:val="clear" w:color="auto" w:fill="FFFFFF"/>
        </w:rPr>
        <w:t>provided expertise on the RCGP</w:t>
      </w:r>
      <w:r w:rsidR="001C1135" w:rsidRPr="00667DA4">
        <w:rPr>
          <w:rFonts w:cs="Arial"/>
          <w:shd w:val="clear" w:color="auto" w:fill="FFFFFF"/>
        </w:rPr>
        <w:t xml:space="preserve"> </w:t>
      </w:r>
      <w:r w:rsidR="00306998" w:rsidRPr="00667DA4">
        <w:rPr>
          <w:rFonts w:cs="Arial"/>
          <w:shd w:val="clear" w:color="auto" w:fill="FFFFFF"/>
        </w:rPr>
        <w:t>RSC database.</w:t>
      </w:r>
    </w:p>
    <w:p w14:paraId="60155B54" w14:textId="7E22F672" w:rsidR="00FE4386" w:rsidRPr="00667DA4" w:rsidRDefault="004517D8" w:rsidP="00E37B42">
      <w:pPr>
        <w:spacing w:line="480" w:lineRule="auto"/>
        <w:jc w:val="both"/>
        <w:rPr>
          <w:rFonts w:eastAsia="Times New Roman" w:cs="Arial"/>
          <w:b/>
          <w:bCs/>
          <w:u w:val="single"/>
          <w:bdr w:val="none" w:sz="0" w:space="0" w:color="auto" w:frame="1"/>
          <w:lang w:eastAsia="en-GB"/>
        </w:rPr>
      </w:pPr>
      <w:r w:rsidRPr="00667DA4">
        <w:rPr>
          <w:rFonts w:eastAsia="Times New Roman" w:cs="Arial"/>
          <w:b/>
          <w:bCs/>
          <w:u w:val="single"/>
          <w:bdr w:val="none" w:sz="0" w:space="0" w:color="auto" w:frame="1"/>
          <w:lang w:eastAsia="en-GB"/>
        </w:rPr>
        <w:t>CONFLICT OF INTEREST</w:t>
      </w:r>
      <w:r w:rsidR="00FE4386" w:rsidRPr="00667DA4">
        <w:rPr>
          <w:rFonts w:eastAsia="Times New Roman" w:cs="Arial"/>
          <w:b/>
          <w:bCs/>
          <w:u w:val="single"/>
          <w:bdr w:val="none" w:sz="0" w:space="0" w:color="auto" w:frame="1"/>
          <w:lang w:eastAsia="en-GB"/>
        </w:rPr>
        <w:t xml:space="preserve"> STATEMENT: </w:t>
      </w:r>
    </w:p>
    <w:p w14:paraId="012B0524" w14:textId="30BB19E0" w:rsidR="00412184" w:rsidRPr="00667DA4" w:rsidRDefault="00E67147" w:rsidP="00E37B42">
      <w:pPr>
        <w:spacing w:line="480" w:lineRule="auto"/>
        <w:jc w:val="both"/>
        <w:rPr>
          <w:rFonts w:cs="Arial"/>
          <w:shd w:val="clear" w:color="auto" w:fill="FFFFFF"/>
        </w:rPr>
      </w:pPr>
      <w:r w:rsidRPr="00667DA4">
        <w:rPr>
          <w:rFonts w:cs="Arial"/>
        </w:rPr>
        <w:t>The authors</w:t>
      </w:r>
      <w:r w:rsidRPr="00667DA4">
        <w:rPr>
          <w:rStyle w:val="Emphasis"/>
          <w:rFonts w:cs="Arial"/>
          <w:i w:val="0"/>
          <w:iCs w:val="0"/>
          <w:shd w:val="clear" w:color="auto" w:fill="FFFFFF"/>
        </w:rPr>
        <w:t xml:space="preserve"> declare that no support from any organisation and no financial relationships have influenced the submitted work</w:t>
      </w:r>
      <w:r w:rsidRPr="00667DA4">
        <w:rPr>
          <w:rStyle w:val="Emphasis"/>
          <w:rFonts w:cs="Arial"/>
          <w:shd w:val="clear" w:color="auto" w:fill="FFFFFF"/>
        </w:rPr>
        <w:t>.</w:t>
      </w:r>
      <w:r w:rsidR="00412184" w:rsidRPr="00667DA4">
        <w:rPr>
          <w:rFonts w:cs="Arial"/>
          <w:shd w:val="clear" w:color="auto" w:fill="FFFFFF"/>
        </w:rPr>
        <w:t xml:space="preserve"> </w:t>
      </w:r>
      <w:r w:rsidR="001C1135" w:rsidRPr="00667DA4">
        <w:rPr>
          <w:rFonts w:cs="Arial"/>
          <w:shd w:val="clear" w:color="auto" w:fill="FFFFFF"/>
        </w:rPr>
        <w:t>SdeL has had investigator</w:t>
      </w:r>
      <w:r w:rsidR="00BF6563" w:rsidRPr="00667DA4">
        <w:rPr>
          <w:rFonts w:cs="Arial"/>
          <w:shd w:val="clear" w:color="auto" w:fill="FFFFFF"/>
        </w:rPr>
        <w:t>-</w:t>
      </w:r>
      <w:r w:rsidR="001C1135" w:rsidRPr="00667DA4">
        <w:rPr>
          <w:rFonts w:cs="Arial"/>
          <w:shd w:val="clear" w:color="auto" w:fill="FFFFFF"/>
        </w:rPr>
        <w:t xml:space="preserve">led funding from industry, and is member of two advisory boards, all funding are via his University. </w:t>
      </w:r>
      <w:r w:rsidR="00412184" w:rsidRPr="00667DA4">
        <w:rPr>
          <w:rFonts w:cs="Arial"/>
          <w:shd w:val="clear" w:color="auto" w:fill="FFFFFF"/>
        </w:rPr>
        <w:t xml:space="preserve">No other authors have any competing interests to declare.  </w:t>
      </w:r>
    </w:p>
    <w:p w14:paraId="14DC7667" w14:textId="77777777" w:rsidR="00495A58" w:rsidRPr="00667DA4" w:rsidRDefault="00495A58" w:rsidP="00E37B42">
      <w:pPr>
        <w:spacing w:line="480" w:lineRule="auto"/>
        <w:jc w:val="both"/>
        <w:rPr>
          <w:rFonts w:cs="Arial"/>
          <w:shd w:val="clear" w:color="auto" w:fill="FFFFFF"/>
        </w:rPr>
      </w:pPr>
    </w:p>
    <w:p w14:paraId="36E1AB4C" w14:textId="07954B07" w:rsidR="004517D8" w:rsidRPr="00667DA4" w:rsidRDefault="004517D8" w:rsidP="00E37B42">
      <w:pPr>
        <w:pStyle w:val="NormalWeb"/>
        <w:shd w:val="clear" w:color="auto" w:fill="FFFFFF"/>
        <w:spacing w:before="0" w:beforeAutospacing="0" w:after="150" w:afterAutospacing="0" w:line="480" w:lineRule="auto"/>
        <w:jc w:val="both"/>
        <w:rPr>
          <w:rFonts w:asciiTheme="minorHAnsi" w:hAnsiTheme="minorHAnsi" w:cs="Arial"/>
          <w:b/>
          <w:bCs/>
          <w:sz w:val="22"/>
          <w:szCs w:val="22"/>
          <w:u w:val="single"/>
        </w:rPr>
      </w:pPr>
      <w:r w:rsidRPr="00667DA4">
        <w:rPr>
          <w:rFonts w:asciiTheme="minorHAnsi" w:hAnsiTheme="minorHAnsi" w:cs="Arial"/>
          <w:b/>
          <w:bCs/>
          <w:sz w:val="22"/>
          <w:szCs w:val="22"/>
          <w:u w:val="single"/>
        </w:rPr>
        <w:t>ETHICAL APPROVAL:</w:t>
      </w:r>
    </w:p>
    <w:p w14:paraId="7F37FCA0" w14:textId="3790582F" w:rsidR="00034C5A" w:rsidRPr="00667DA4" w:rsidRDefault="004517D8" w:rsidP="00E37B42">
      <w:pPr>
        <w:pStyle w:val="NormalWeb"/>
        <w:shd w:val="clear" w:color="auto" w:fill="FFFFFF"/>
        <w:spacing w:before="0" w:beforeAutospacing="0" w:after="150" w:afterAutospacing="0" w:line="480" w:lineRule="auto"/>
        <w:rPr>
          <w:rFonts w:asciiTheme="minorHAnsi" w:hAnsiTheme="minorHAnsi" w:cs="Arial"/>
          <w:spacing w:val="-2"/>
          <w:sz w:val="22"/>
          <w:szCs w:val="22"/>
        </w:rPr>
      </w:pPr>
      <w:r w:rsidRPr="00667DA4">
        <w:rPr>
          <w:rStyle w:val="Strong"/>
          <w:rFonts w:asciiTheme="minorHAnsi" w:hAnsiTheme="minorHAnsi" w:cs="Arial"/>
          <w:b w:val="0"/>
          <w:bCs w:val="0"/>
          <w:sz w:val="22"/>
          <w:szCs w:val="22"/>
          <w:shd w:val="clear" w:color="auto" w:fill="FFFFFF"/>
        </w:rPr>
        <w:t xml:space="preserve">This study received approval from </w:t>
      </w:r>
      <w:r w:rsidRPr="00667DA4">
        <w:rPr>
          <w:rFonts w:asciiTheme="minorHAnsi" w:hAnsiTheme="minorHAnsi" w:cs="Arial"/>
          <w:sz w:val="22"/>
          <w:szCs w:val="22"/>
          <w:shd w:val="clear" w:color="auto" w:fill="FFFFFF"/>
        </w:rPr>
        <w:t xml:space="preserve">the Oxford- RCGP RSC study approval committee (RSC_0920) and the </w:t>
      </w:r>
      <w:r w:rsidRPr="00667DA4">
        <w:rPr>
          <w:rStyle w:val="Strong"/>
          <w:rFonts w:asciiTheme="minorHAnsi" w:hAnsiTheme="minorHAnsi" w:cs="Arial"/>
          <w:b w:val="0"/>
          <w:bCs w:val="0"/>
          <w:sz w:val="22"/>
          <w:szCs w:val="22"/>
          <w:shd w:val="clear" w:color="auto" w:fill="FFFFFF"/>
        </w:rPr>
        <w:t>University of Southampton Research Ethics committee (</w:t>
      </w:r>
      <w:r w:rsidRPr="00667DA4">
        <w:rPr>
          <w:rFonts w:asciiTheme="minorHAnsi" w:hAnsiTheme="minorHAnsi" w:cs="Arial"/>
          <w:spacing w:val="-2"/>
          <w:sz w:val="22"/>
          <w:szCs w:val="22"/>
        </w:rPr>
        <w:t xml:space="preserve">56309) </w:t>
      </w:r>
      <w:r w:rsidR="004815BC" w:rsidRPr="00667DA4">
        <w:rPr>
          <w:rFonts w:asciiTheme="minorHAnsi" w:hAnsiTheme="minorHAnsi" w:cs="Arial"/>
          <w:spacing w:val="-2"/>
          <w:sz w:val="22"/>
          <w:szCs w:val="22"/>
        </w:rPr>
        <w:t>on the 6</w:t>
      </w:r>
      <w:r w:rsidR="004815BC" w:rsidRPr="00667DA4">
        <w:rPr>
          <w:rFonts w:asciiTheme="minorHAnsi" w:hAnsiTheme="minorHAnsi" w:cs="Arial"/>
          <w:spacing w:val="-2"/>
          <w:sz w:val="22"/>
          <w:szCs w:val="22"/>
          <w:vertAlign w:val="superscript"/>
        </w:rPr>
        <w:t>th</w:t>
      </w:r>
      <w:r w:rsidR="004815BC" w:rsidRPr="00667DA4">
        <w:rPr>
          <w:rFonts w:asciiTheme="minorHAnsi" w:hAnsiTheme="minorHAnsi" w:cs="Arial"/>
          <w:spacing w:val="-2"/>
          <w:sz w:val="22"/>
          <w:szCs w:val="22"/>
        </w:rPr>
        <w:t xml:space="preserve"> May 2020.</w:t>
      </w:r>
    </w:p>
    <w:p w14:paraId="3793D26D" w14:textId="1756192F" w:rsidR="00E37B42" w:rsidRPr="00667DA4" w:rsidRDefault="00E37B42" w:rsidP="00E37B42">
      <w:pPr>
        <w:pStyle w:val="NormalWeb"/>
        <w:shd w:val="clear" w:color="auto" w:fill="FFFFFF"/>
        <w:spacing w:before="0" w:beforeAutospacing="0" w:after="150" w:afterAutospacing="0" w:line="480" w:lineRule="auto"/>
        <w:rPr>
          <w:rFonts w:asciiTheme="minorHAnsi" w:hAnsiTheme="minorHAnsi" w:cs="Arial"/>
          <w:spacing w:val="-2"/>
          <w:sz w:val="22"/>
          <w:szCs w:val="22"/>
        </w:rPr>
      </w:pPr>
    </w:p>
    <w:p w14:paraId="5188E674" w14:textId="7E5D46F5" w:rsidR="00E37B42" w:rsidRPr="00667DA4" w:rsidRDefault="00E37B42" w:rsidP="00E37B42">
      <w:pPr>
        <w:pStyle w:val="NormalWeb"/>
        <w:shd w:val="clear" w:color="auto" w:fill="FFFFFF"/>
        <w:spacing w:before="0" w:beforeAutospacing="0" w:after="150" w:afterAutospacing="0" w:line="480" w:lineRule="auto"/>
        <w:jc w:val="both"/>
        <w:rPr>
          <w:rFonts w:asciiTheme="minorHAnsi" w:hAnsiTheme="minorHAnsi" w:cs="Arial"/>
          <w:b/>
          <w:bCs/>
          <w:sz w:val="22"/>
          <w:szCs w:val="22"/>
          <w:u w:val="single"/>
        </w:rPr>
      </w:pPr>
      <w:r w:rsidRPr="00667DA4">
        <w:rPr>
          <w:rFonts w:asciiTheme="minorHAnsi" w:hAnsiTheme="minorHAnsi" w:cs="Arial"/>
          <w:b/>
          <w:bCs/>
          <w:sz w:val="22"/>
          <w:szCs w:val="22"/>
          <w:u w:val="single"/>
        </w:rPr>
        <w:t xml:space="preserve">DATA AVAILABILITY: </w:t>
      </w:r>
    </w:p>
    <w:p w14:paraId="50AF9141" w14:textId="77777777" w:rsidR="00A76A24" w:rsidRPr="00667DA4" w:rsidRDefault="00A76A24" w:rsidP="00E37B42">
      <w:pPr>
        <w:pStyle w:val="NormalWeb"/>
        <w:shd w:val="clear" w:color="auto" w:fill="FFFFFF"/>
        <w:spacing w:before="0" w:beforeAutospacing="0" w:after="150" w:afterAutospacing="0" w:line="480" w:lineRule="auto"/>
        <w:jc w:val="both"/>
        <w:rPr>
          <w:rFonts w:asciiTheme="minorHAnsi" w:hAnsiTheme="minorHAnsi" w:cs="Arial"/>
          <w:bCs/>
          <w:sz w:val="22"/>
          <w:szCs w:val="22"/>
        </w:rPr>
      </w:pPr>
      <w:r w:rsidRPr="00667DA4">
        <w:rPr>
          <w:rFonts w:asciiTheme="minorHAnsi" w:hAnsiTheme="minorHAnsi" w:cs="Arial"/>
          <w:bCs/>
          <w:sz w:val="22"/>
          <w:szCs w:val="22"/>
        </w:rPr>
        <w:t xml:space="preserve">Data from the </w:t>
      </w:r>
      <w:r w:rsidRPr="00667DA4">
        <w:rPr>
          <w:rFonts w:asciiTheme="minorHAnsi" w:hAnsiTheme="minorHAnsi" w:cs="Arial"/>
          <w:sz w:val="22"/>
          <w:szCs w:val="22"/>
        </w:rPr>
        <w:t xml:space="preserve">Oxford- RCGP </w:t>
      </w:r>
      <w:r w:rsidRPr="00667DA4">
        <w:rPr>
          <w:rFonts w:asciiTheme="minorHAnsi" w:hAnsiTheme="minorHAnsi" w:cs="Arial"/>
          <w:sz w:val="22"/>
          <w:szCs w:val="22"/>
          <w:shd w:val="clear" w:color="auto" w:fill="FFFFFF"/>
        </w:rPr>
        <w:t xml:space="preserve">RSC </w:t>
      </w:r>
      <w:r w:rsidRPr="00667DA4">
        <w:rPr>
          <w:rFonts w:asciiTheme="minorHAnsi" w:hAnsiTheme="minorHAnsi" w:cs="Arial"/>
          <w:sz w:val="22"/>
          <w:szCs w:val="22"/>
        </w:rPr>
        <w:t>database can requested directly from:</w:t>
      </w:r>
    </w:p>
    <w:p w14:paraId="5D10D0ED" w14:textId="2776E0C0" w:rsidR="00E37B42" w:rsidRPr="00667DA4" w:rsidRDefault="00A62E3A" w:rsidP="00A76A24">
      <w:pPr>
        <w:pStyle w:val="NormalWeb"/>
        <w:shd w:val="clear" w:color="auto" w:fill="FFFFFF"/>
        <w:spacing w:before="0" w:beforeAutospacing="0" w:after="150" w:afterAutospacing="0" w:line="480" w:lineRule="auto"/>
        <w:jc w:val="both"/>
        <w:rPr>
          <w:rFonts w:asciiTheme="minorHAnsi" w:hAnsiTheme="minorHAnsi" w:cs="Arial"/>
          <w:bCs/>
          <w:sz w:val="22"/>
          <w:szCs w:val="22"/>
        </w:rPr>
      </w:pPr>
      <w:hyperlink r:id="rId8" w:history="1">
        <w:r w:rsidR="00A76A24" w:rsidRPr="00667DA4">
          <w:rPr>
            <w:rStyle w:val="Hyperlink"/>
            <w:rFonts w:asciiTheme="minorHAnsi" w:hAnsiTheme="minorHAnsi" w:cs="Arial"/>
            <w:bCs/>
            <w:color w:val="auto"/>
            <w:sz w:val="22"/>
            <w:szCs w:val="22"/>
          </w:rPr>
          <w:t>https://www.rcgp.org.uk/clinical-and-research/our-programmes/research-and-surveillance-centre/supporting-research-teams/submit-a-data-request-online-form.aspx</w:t>
        </w:r>
      </w:hyperlink>
    </w:p>
    <w:p w14:paraId="2B99C24C" w14:textId="77777777" w:rsidR="009E2DFF" w:rsidRPr="00667DA4" w:rsidRDefault="009E2DFF" w:rsidP="00E37B42">
      <w:pPr>
        <w:pStyle w:val="NormalWeb"/>
        <w:shd w:val="clear" w:color="auto" w:fill="FFFFFF"/>
        <w:spacing w:before="0" w:beforeAutospacing="0" w:after="150" w:afterAutospacing="0" w:line="480" w:lineRule="auto"/>
        <w:rPr>
          <w:rFonts w:asciiTheme="minorHAnsi" w:hAnsiTheme="minorHAnsi" w:cs="Arial"/>
          <w:spacing w:val="-2"/>
          <w:sz w:val="22"/>
          <w:szCs w:val="22"/>
        </w:rPr>
      </w:pPr>
    </w:p>
    <w:p w14:paraId="4CA3CFD6" w14:textId="29E618E4" w:rsidR="00034C5A" w:rsidRPr="00667DA4" w:rsidRDefault="00034C5A" w:rsidP="00E37B42">
      <w:pPr>
        <w:pStyle w:val="NormalWeb"/>
        <w:shd w:val="clear" w:color="auto" w:fill="FFFFFF"/>
        <w:spacing w:before="0" w:beforeAutospacing="0" w:after="150" w:afterAutospacing="0" w:line="480" w:lineRule="auto"/>
        <w:rPr>
          <w:rFonts w:asciiTheme="minorHAnsi" w:hAnsiTheme="minorHAnsi" w:cs="Arial"/>
          <w:b/>
          <w:bCs/>
          <w:spacing w:val="-2"/>
          <w:sz w:val="22"/>
          <w:szCs w:val="22"/>
          <w:u w:val="single"/>
        </w:rPr>
      </w:pPr>
      <w:r w:rsidRPr="00667DA4">
        <w:rPr>
          <w:rFonts w:asciiTheme="minorHAnsi" w:hAnsiTheme="minorHAnsi" w:cs="Arial"/>
          <w:b/>
          <w:bCs/>
          <w:spacing w:val="-2"/>
          <w:sz w:val="22"/>
          <w:szCs w:val="22"/>
          <w:u w:val="single"/>
        </w:rPr>
        <w:t>LIST OF TABLE LEGENDS:</w:t>
      </w:r>
    </w:p>
    <w:p w14:paraId="64A24D9D" w14:textId="27DB4D51" w:rsidR="00034C5A" w:rsidRPr="00667DA4" w:rsidRDefault="00034C5A" w:rsidP="00E37B42">
      <w:pPr>
        <w:spacing w:line="480" w:lineRule="auto"/>
        <w:rPr>
          <w:rFonts w:eastAsia="Times New Roman" w:cs="Arial"/>
          <w:bCs/>
          <w:lang w:eastAsia="en-GB"/>
        </w:rPr>
      </w:pPr>
      <w:r w:rsidRPr="00667DA4">
        <w:rPr>
          <w:rFonts w:eastAsia="Times New Roman" w:cs="Arial"/>
          <w:bCs/>
          <w:lang w:eastAsia="en-GB"/>
        </w:rPr>
        <w:t>Table 1: Baseline characteristics of women with COVID-19 in the RCGP RSC database presented by those on HRT, COCP or neither drug</w:t>
      </w:r>
    </w:p>
    <w:p w14:paraId="41886018" w14:textId="77777777" w:rsidR="00034C5A" w:rsidRPr="00667DA4" w:rsidRDefault="00034C5A" w:rsidP="00E37B42">
      <w:pPr>
        <w:spacing w:line="480" w:lineRule="auto"/>
        <w:rPr>
          <w:rFonts w:eastAsia="Times New Roman" w:cs="Arial"/>
          <w:bCs/>
          <w:lang w:eastAsia="en-GB"/>
        </w:rPr>
      </w:pPr>
      <w:r w:rsidRPr="00667DA4">
        <w:rPr>
          <w:rFonts w:eastAsia="Times New Roman" w:cs="Arial"/>
          <w:bCs/>
          <w:lang w:eastAsia="en-GB"/>
        </w:rPr>
        <w:t xml:space="preserve">Table 2: Baseline characteristics of women with COVID-19 who died during the follow-up period in the Oxford-RCGP RSC database </w:t>
      </w:r>
    </w:p>
    <w:p w14:paraId="496BFDCE" w14:textId="4BCEED0F" w:rsidR="00034C5A" w:rsidRPr="00667DA4" w:rsidRDefault="00034C5A" w:rsidP="00E37B42">
      <w:pPr>
        <w:spacing w:line="480" w:lineRule="auto"/>
        <w:jc w:val="both"/>
        <w:rPr>
          <w:rStyle w:val="None"/>
          <w:rFonts w:cs="Arial"/>
          <w:bCs/>
        </w:rPr>
      </w:pPr>
      <w:r w:rsidRPr="00667DA4">
        <w:rPr>
          <w:rFonts w:eastAsia="Times New Roman" w:cs="Arial"/>
          <w:bCs/>
          <w:lang w:eastAsia="en-GB"/>
        </w:rPr>
        <w:lastRenderedPageBreak/>
        <w:t xml:space="preserve">Table 3: </w:t>
      </w:r>
      <w:r w:rsidRPr="00667DA4">
        <w:rPr>
          <w:rStyle w:val="None"/>
          <w:rFonts w:cs="Arial"/>
          <w:bCs/>
        </w:rPr>
        <w:t>Association between HRT use and the likelihood of death in women with COVID-19 (n= 5451)</w:t>
      </w:r>
    </w:p>
    <w:p w14:paraId="0376B890" w14:textId="5C692806" w:rsidR="001C1135" w:rsidRPr="00667DA4" w:rsidRDefault="00034C5A" w:rsidP="00FE09BC">
      <w:pPr>
        <w:spacing w:line="240" w:lineRule="auto"/>
        <w:rPr>
          <w:rFonts w:eastAsia="Times New Roman" w:cs="Arial"/>
          <w:b/>
          <w:lang w:eastAsia="en-GB"/>
        </w:rPr>
      </w:pPr>
      <w:r w:rsidRPr="00667DA4">
        <w:rPr>
          <w:rFonts w:eastAsia="Times New Roman" w:cs="Courier New"/>
          <w:bdr w:val="none" w:sz="0" w:space="0" w:color="auto" w:frame="1"/>
          <w:lang w:eastAsia="en-GB"/>
        </w:rPr>
        <w:t xml:space="preserve">                       </w:t>
      </w:r>
    </w:p>
    <w:p w14:paraId="1C761E5B" w14:textId="41B9EF49" w:rsidR="00306998" w:rsidRPr="00667DA4" w:rsidRDefault="00306998" w:rsidP="00FE09BC">
      <w:pPr>
        <w:spacing w:line="240" w:lineRule="auto"/>
        <w:jc w:val="both"/>
        <w:rPr>
          <w:rFonts w:cs="Arial"/>
          <w:b/>
          <w:bCs/>
          <w:u w:val="single"/>
        </w:rPr>
      </w:pPr>
      <w:r w:rsidRPr="00667DA4">
        <w:rPr>
          <w:rFonts w:cs="Arial"/>
          <w:b/>
          <w:bCs/>
          <w:u w:val="single"/>
        </w:rPr>
        <w:t>REFERENCES:</w:t>
      </w:r>
    </w:p>
    <w:p w14:paraId="151D9FE9" w14:textId="2C8C5FB3" w:rsidR="00306998" w:rsidRPr="00667DA4" w:rsidRDefault="00306998" w:rsidP="00FE09BC">
      <w:pPr>
        <w:spacing w:line="240" w:lineRule="auto"/>
        <w:jc w:val="both"/>
        <w:rPr>
          <w:rFonts w:cs="Arial"/>
          <w:b/>
          <w:bCs/>
          <w:u w:val="single"/>
        </w:rPr>
      </w:pPr>
    </w:p>
    <w:p w14:paraId="0A73D3D5" w14:textId="713545E0" w:rsidR="00301E7A" w:rsidRPr="00667DA4" w:rsidRDefault="00306998" w:rsidP="00301E7A">
      <w:pPr>
        <w:widowControl w:val="0"/>
        <w:autoSpaceDE w:val="0"/>
        <w:autoSpaceDN w:val="0"/>
        <w:adjustRightInd w:val="0"/>
        <w:spacing w:line="240" w:lineRule="auto"/>
        <w:ind w:left="640" w:hanging="640"/>
        <w:rPr>
          <w:rFonts w:cs="Calibri"/>
          <w:noProof/>
          <w:lang w:val="en-US"/>
        </w:rPr>
      </w:pPr>
      <w:r w:rsidRPr="00667DA4">
        <w:rPr>
          <w:rFonts w:cs="Arial"/>
          <w:b/>
          <w:bCs/>
          <w:u w:val="single"/>
        </w:rPr>
        <w:fldChar w:fldCharType="begin" w:fldLock="1"/>
      </w:r>
      <w:r w:rsidRPr="00667DA4">
        <w:rPr>
          <w:rFonts w:cs="Arial"/>
          <w:b/>
          <w:bCs/>
          <w:u w:val="single"/>
        </w:rPr>
        <w:instrText xml:space="preserve">ADDIN Mendeley Bibliography CSL_BIBLIOGRAPHY </w:instrText>
      </w:r>
      <w:r w:rsidRPr="00667DA4">
        <w:rPr>
          <w:rFonts w:cs="Arial"/>
          <w:b/>
          <w:bCs/>
          <w:u w:val="single"/>
        </w:rPr>
        <w:fldChar w:fldCharType="separate"/>
      </w:r>
      <w:r w:rsidR="00301E7A" w:rsidRPr="00667DA4">
        <w:rPr>
          <w:rFonts w:cs="Calibri"/>
          <w:noProof/>
          <w:lang w:val="en-US"/>
        </w:rPr>
        <w:t xml:space="preserve">1 </w:t>
      </w:r>
      <w:r w:rsidR="00301E7A" w:rsidRPr="00667DA4">
        <w:rPr>
          <w:rFonts w:cs="Calibri"/>
          <w:noProof/>
          <w:lang w:val="en-US"/>
        </w:rPr>
        <w:tab/>
        <w:t xml:space="preserve">Williamson EJ, Walker AJ, Bhaskaran K, </w:t>
      </w:r>
      <w:r w:rsidR="00301E7A" w:rsidRPr="00667DA4">
        <w:rPr>
          <w:rFonts w:cs="Calibri"/>
          <w:i/>
          <w:iCs/>
          <w:noProof/>
          <w:lang w:val="en-US"/>
        </w:rPr>
        <w:t>et al.</w:t>
      </w:r>
      <w:r w:rsidR="00301E7A" w:rsidRPr="00667DA4">
        <w:rPr>
          <w:rFonts w:cs="Calibri"/>
          <w:noProof/>
          <w:lang w:val="en-US"/>
        </w:rPr>
        <w:t xml:space="preserve"> Factors associated with COVID-19-related death using OpenSAFELY. </w:t>
      </w:r>
      <w:r w:rsidR="00301E7A" w:rsidRPr="00667DA4">
        <w:rPr>
          <w:rFonts w:cs="Calibri"/>
          <w:i/>
          <w:iCs/>
          <w:noProof/>
          <w:lang w:val="en-US"/>
        </w:rPr>
        <w:t>Nature</w:t>
      </w:r>
      <w:r w:rsidR="00301E7A" w:rsidRPr="00667DA4">
        <w:rPr>
          <w:rFonts w:cs="Calibri"/>
          <w:noProof/>
          <w:lang w:val="en-US"/>
        </w:rPr>
        <w:t xml:space="preserve"> 2020;</w:t>
      </w:r>
      <w:r w:rsidR="00301E7A" w:rsidRPr="00667DA4">
        <w:rPr>
          <w:rFonts w:cs="Calibri"/>
          <w:b/>
          <w:bCs/>
          <w:noProof/>
          <w:lang w:val="en-US"/>
        </w:rPr>
        <w:t>584</w:t>
      </w:r>
      <w:r w:rsidR="00301E7A" w:rsidRPr="00667DA4">
        <w:rPr>
          <w:rFonts w:cs="Calibri"/>
          <w:noProof/>
          <w:lang w:val="en-US"/>
        </w:rPr>
        <w:t>. doi:10.1038/s41586-020-2521-4</w:t>
      </w:r>
    </w:p>
    <w:p w14:paraId="1892525F"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2 </w:t>
      </w:r>
      <w:r w:rsidRPr="00667DA4">
        <w:rPr>
          <w:rFonts w:cs="Calibri"/>
          <w:noProof/>
          <w:lang w:val="en-US"/>
        </w:rPr>
        <w:tab/>
        <w:t xml:space="preserve">Scully EP, Haverfield J, Ursin RL, </w:t>
      </w:r>
      <w:r w:rsidRPr="00667DA4">
        <w:rPr>
          <w:rFonts w:cs="Calibri"/>
          <w:i/>
          <w:iCs/>
          <w:noProof/>
          <w:lang w:val="en-US"/>
        </w:rPr>
        <w:t>et al.</w:t>
      </w:r>
      <w:r w:rsidRPr="00667DA4">
        <w:rPr>
          <w:rFonts w:cs="Calibri"/>
          <w:noProof/>
          <w:lang w:val="en-US"/>
        </w:rPr>
        <w:t xml:space="preserve"> Considering how biological sex impacts immune responses and COVID-19 outcomes. </w:t>
      </w:r>
      <w:r w:rsidRPr="00667DA4">
        <w:rPr>
          <w:rFonts w:cs="Calibri"/>
          <w:i/>
          <w:iCs/>
          <w:noProof/>
          <w:lang w:val="en-US"/>
        </w:rPr>
        <w:t>Nat Rev Immunol</w:t>
      </w:r>
      <w:r w:rsidRPr="00667DA4">
        <w:rPr>
          <w:rFonts w:cs="Calibri"/>
          <w:noProof/>
          <w:lang w:val="en-US"/>
        </w:rPr>
        <w:t xml:space="preserve"> 2020;</w:t>
      </w:r>
      <w:r w:rsidRPr="00667DA4">
        <w:rPr>
          <w:rFonts w:cs="Calibri"/>
          <w:b/>
          <w:bCs/>
          <w:noProof/>
          <w:lang w:val="en-US"/>
        </w:rPr>
        <w:t>20</w:t>
      </w:r>
      <w:r w:rsidRPr="00667DA4">
        <w:rPr>
          <w:rFonts w:cs="Calibri"/>
          <w:noProof/>
          <w:lang w:val="en-US"/>
        </w:rPr>
        <w:t>. doi:10.1038/s41577-020-0348-8</w:t>
      </w:r>
    </w:p>
    <w:p w14:paraId="406EBEA2"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3 </w:t>
      </w:r>
      <w:r w:rsidRPr="00667DA4">
        <w:rPr>
          <w:rFonts w:cs="Calibri"/>
          <w:noProof/>
          <w:lang w:val="en-US"/>
        </w:rPr>
        <w:tab/>
        <w:t xml:space="preserve">Karlberg J, Chong DSY, Lai WYY. Do Men Have a Higher Case Fatality Rate of Severe Acute Respiratory Syndrome than Women Do? </w:t>
      </w:r>
      <w:r w:rsidRPr="00667DA4">
        <w:rPr>
          <w:rFonts w:cs="Calibri"/>
          <w:i/>
          <w:iCs/>
          <w:noProof/>
          <w:lang w:val="en-US"/>
        </w:rPr>
        <w:t>Am J Epidemiol</w:t>
      </w:r>
      <w:r w:rsidRPr="00667DA4">
        <w:rPr>
          <w:rFonts w:cs="Calibri"/>
          <w:noProof/>
          <w:lang w:val="en-US"/>
        </w:rPr>
        <w:t xml:space="preserve"> 2004;</w:t>
      </w:r>
      <w:r w:rsidRPr="00667DA4">
        <w:rPr>
          <w:rFonts w:cs="Calibri"/>
          <w:b/>
          <w:bCs/>
          <w:noProof/>
          <w:lang w:val="en-US"/>
        </w:rPr>
        <w:t>159</w:t>
      </w:r>
      <w:r w:rsidRPr="00667DA4">
        <w:rPr>
          <w:rFonts w:cs="Calibri"/>
          <w:noProof/>
          <w:lang w:val="en-US"/>
        </w:rPr>
        <w:t>:229–31. doi:10.1093/aje/kwh056</w:t>
      </w:r>
    </w:p>
    <w:p w14:paraId="73942890"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4 </w:t>
      </w:r>
      <w:r w:rsidRPr="00667DA4">
        <w:rPr>
          <w:rFonts w:cs="Calibri"/>
          <w:noProof/>
          <w:lang w:val="en-US"/>
        </w:rPr>
        <w:tab/>
        <w:t xml:space="preserve">Al-Lami RA, Urban RJ, Volpi E, </w:t>
      </w:r>
      <w:r w:rsidRPr="00667DA4">
        <w:rPr>
          <w:rFonts w:cs="Calibri"/>
          <w:i/>
          <w:iCs/>
          <w:noProof/>
          <w:lang w:val="en-US"/>
        </w:rPr>
        <w:t>et al.</w:t>
      </w:r>
      <w:r w:rsidRPr="00667DA4">
        <w:rPr>
          <w:rFonts w:cs="Calibri"/>
          <w:noProof/>
          <w:lang w:val="en-US"/>
        </w:rPr>
        <w:t xml:space="preserve"> Sex Hormones and Novel Corona Virus Infectious Disease (COVID-19). Mayo Clin. Proc. 2020;</w:t>
      </w:r>
      <w:r w:rsidRPr="00667DA4">
        <w:rPr>
          <w:rFonts w:cs="Calibri"/>
          <w:b/>
          <w:bCs/>
          <w:noProof/>
          <w:lang w:val="en-US"/>
        </w:rPr>
        <w:t>95</w:t>
      </w:r>
      <w:r w:rsidRPr="00667DA4">
        <w:rPr>
          <w:rFonts w:cs="Calibri"/>
          <w:noProof/>
          <w:lang w:val="en-US"/>
        </w:rPr>
        <w:t>. doi:10.1016/j.mayocp.2020.05.013</w:t>
      </w:r>
    </w:p>
    <w:p w14:paraId="15E502BE"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5 </w:t>
      </w:r>
      <w:r w:rsidRPr="00667DA4">
        <w:rPr>
          <w:rFonts w:cs="Calibri"/>
          <w:noProof/>
          <w:lang w:val="en-US"/>
        </w:rPr>
        <w:tab/>
        <w:t xml:space="preserve">Shabbir S, Hafeez A, Rafiq MA, </w:t>
      </w:r>
      <w:r w:rsidRPr="00667DA4">
        <w:rPr>
          <w:rFonts w:cs="Calibri"/>
          <w:i/>
          <w:iCs/>
          <w:noProof/>
          <w:lang w:val="en-US"/>
        </w:rPr>
        <w:t>et al.</w:t>
      </w:r>
      <w:r w:rsidRPr="00667DA4">
        <w:rPr>
          <w:rFonts w:cs="Calibri"/>
          <w:noProof/>
          <w:lang w:val="en-US"/>
        </w:rPr>
        <w:t xml:space="preserve"> Estrogen shields women from COVID-19 complications by reducing ER stress. </w:t>
      </w:r>
      <w:r w:rsidRPr="00667DA4">
        <w:rPr>
          <w:rFonts w:cs="Calibri"/>
          <w:i/>
          <w:iCs/>
          <w:noProof/>
          <w:lang w:val="en-US"/>
        </w:rPr>
        <w:t>Med Hypotheses</w:t>
      </w:r>
      <w:r w:rsidRPr="00667DA4">
        <w:rPr>
          <w:rFonts w:cs="Calibri"/>
          <w:noProof/>
          <w:lang w:val="en-US"/>
        </w:rPr>
        <w:t xml:space="preserve"> 2020;</w:t>
      </w:r>
      <w:r w:rsidRPr="00667DA4">
        <w:rPr>
          <w:rFonts w:cs="Calibri"/>
          <w:b/>
          <w:bCs/>
          <w:noProof/>
          <w:lang w:val="en-US"/>
        </w:rPr>
        <w:t>143</w:t>
      </w:r>
      <w:r w:rsidRPr="00667DA4">
        <w:rPr>
          <w:rFonts w:cs="Calibri"/>
          <w:noProof/>
          <w:lang w:val="en-US"/>
        </w:rPr>
        <w:t>. doi:10.1016/j.mehy.2020.110148</w:t>
      </w:r>
    </w:p>
    <w:p w14:paraId="0DA6F231"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6 </w:t>
      </w:r>
      <w:r w:rsidRPr="00667DA4">
        <w:rPr>
          <w:rFonts w:cs="Calibri"/>
          <w:noProof/>
          <w:lang w:val="en-US"/>
        </w:rPr>
        <w:tab/>
        <w:t xml:space="preserve">Vaninov N. In the eye of the COVID-19 cytokine storm. </w:t>
      </w:r>
      <w:r w:rsidRPr="00667DA4">
        <w:rPr>
          <w:rFonts w:cs="Calibri"/>
          <w:i/>
          <w:iCs/>
          <w:noProof/>
          <w:lang w:val="en-US"/>
        </w:rPr>
        <w:t>Nat Rev Immunol</w:t>
      </w:r>
      <w:r w:rsidRPr="00667DA4">
        <w:rPr>
          <w:rFonts w:cs="Calibri"/>
          <w:noProof/>
          <w:lang w:val="en-US"/>
        </w:rPr>
        <w:t xml:space="preserve"> 2020;</w:t>
      </w:r>
      <w:r w:rsidRPr="00667DA4">
        <w:rPr>
          <w:rFonts w:cs="Calibri"/>
          <w:b/>
          <w:bCs/>
          <w:noProof/>
          <w:lang w:val="en-US"/>
        </w:rPr>
        <w:t>20</w:t>
      </w:r>
      <w:r w:rsidRPr="00667DA4">
        <w:rPr>
          <w:rFonts w:cs="Calibri"/>
          <w:noProof/>
          <w:lang w:val="en-US"/>
        </w:rPr>
        <w:t>. doi:10.1038/s41577-020-0305-6</w:t>
      </w:r>
    </w:p>
    <w:p w14:paraId="58A5F9FF"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7 </w:t>
      </w:r>
      <w:r w:rsidRPr="00667DA4">
        <w:rPr>
          <w:rFonts w:cs="Calibri"/>
          <w:noProof/>
          <w:lang w:val="en-US"/>
        </w:rPr>
        <w:tab/>
        <w:t xml:space="preserve">Costeira R, Lee KA, Murray B, </w:t>
      </w:r>
      <w:r w:rsidRPr="00667DA4">
        <w:rPr>
          <w:rFonts w:cs="Calibri"/>
          <w:i/>
          <w:iCs/>
          <w:noProof/>
          <w:lang w:val="en-US"/>
        </w:rPr>
        <w:t>et al.</w:t>
      </w:r>
      <w:r w:rsidRPr="00667DA4">
        <w:rPr>
          <w:rFonts w:cs="Calibri"/>
          <w:noProof/>
          <w:lang w:val="en-US"/>
        </w:rPr>
        <w:t xml:space="preserve"> Estrogen and COVID-19 symptoms: Associations in women from the COVID Symptom Study. </w:t>
      </w:r>
      <w:r w:rsidRPr="00667DA4">
        <w:rPr>
          <w:rFonts w:cs="Calibri"/>
          <w:i/>
          <w:iCs/>
          <w:noProof/>
          <w:lang w:val="en-US"/>
        </w:rPr>
        <w:t>PLoS One</w:t>
      </w:r>
      <w:r w:rsidRPr="00667DA4">
        <w:rPr>
          <w:rFonts w:cs="Calibri"/>
          <w:noProof/>
          <w:lang w:val="en-US"/>
        </w:rPr>
        <w:t xml:space="preserve"> 2021;</w:t>
      </w:r>
      <w:r w:rsidRPr="00667DA4">
        <w:rPr>
          <w:rFonts w:cs="Calibri"/>
          <w:b/>
          <w:bCs/>
          <w:noProof/>
          <w:lang w:val="en-US"/>
        </w:rPr>
        <w:t>16</w:t>
      </w:r>
      <w:r w:rsidRPr="00667DA4">
        <w:rPr>
          <w:rFonts w:cs="Calibri"/>
          <w:noProof/>
          <w:lang w:val="en-US"/>
        </w:rPr>
        <w:t>:e0257051. doi:10.1371/journal.pone.0257051</w:t>
      </w:r>
    </w:p>
    <w:p w14:paraId="72748E51"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8 </w:t>
      </w:r>
      <w:r w:rsidRPr="00667DA4">
        <w:rPr>
          <w:rFonts w:cs="Calibri"/>
          <w:noProof/>
          <w:lang w:val="en-US"/>
        </w:rPr>
        <w:tab/>
        <w:t xml:space="preserve">Schroeder M, Jarczak D, Nierhaus A, </w:t>
      </w:r>
      <w:r w:rsidRPr="00667DA4">
        <w:rPr>
          <w:rFonts w:cs="Calibri"/>
          <w:i/>
          <w:iCs/>
          <w:noProof/>
          <w:lang w:val="en-US"/>
        </w:rPr>
        <w:t>et al.</w:t>
      </w:r>
      <w:r w:rsidRPr="00667DA4">
        <w:rPr>
          <w:rFonts w:cs="Calibri"/>
          <w:noProof/>
          <w:lang w:val="en-US"/>
        </w:rPr>
        <w:t xml:space="preserve"> The majority of male patients with COVID-19 present low testosterone levels on admission to Intensive Care in Hamburg, Germany: a retrospective cohort study. doi:10.1101/2020.05.07.20073817</w:t>
      </w:r>
    </w:p>
    <w:p w14:paraId="7C849BBA"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9 </w:t>
      </w:r>
      <w:r w:rsidRPr="00667DA4">
        <w:rPr>
          <w:rFonts w:cs="Calibri"/>
          <w:noProof/>
          <w:lang w:val="en-US"/>
        </w:rPr>
        <w:tab/>
        <w:t xml:space="preserve">Seeland U, Coluzzi F, Simmaco M, </w:t>
      </w:r>
      <w:r w:rsidRPr="00667DA4">
        <w:rPr>
          <w:rFonts w:cs="Calibri"/>
          <w:i/>
          <w:iCs/>
          <w:noProof/>
          <w:lang w:val="en-US"/>
        </w:rPr>
        <w:t>et al.</w:t>
      </w:r>
      <w:r w:rsidRPr="00667DA4">
        <w:rPr>
          <w:rFonts w:cs="Calibri"/>
          <w:noProof/>
          <w:lang w:val="en-US"/>
        </w:rPr>
        <w:t xml:space="preserve"> Evidence for treatment with estradiol for women with SARS-CoV-2 infection. </w:t>
      </w:r>
      <w:r w:rsidRPr="00667DA4">
        <w:rPr>
          <w:rFonts w:cs="Calibri"/>
          <w:i/>
          <w:iCs/>
          <w:noProof/>
          <w:lang w:val="en-US"/>
        </w:rPr>
        <w:t>BMC Med</w:t>
      </w:r>
      <w:r w:rsidRPr="00667DA4">
        <w:rPr>
          <w:rFonts w:cs="Calibri"/>
          <w:noProof/>
          <w:lang w:val="en-US"/>
        </w:rPr>
        <w:t xml:space="preserve"> 2020;</w:t>
      </w:r>
      <w:r w:rsidRPr="00667DA4">
        <w:rPr>
          <w:rFonts w:cs="Calibri"/>
          <w:b/>
          <w:bCs/>
          <w:noProof/>
          <w:lang w:val="en-US"/>
        </w:rPr>
        <w:t>18</w:t>
      </w:r>
      <w:r w:rsidRPr="00667DA4">
        <w:rPr>
          <w:rFonts w:cs="Calibri"/>
          <w:noProof/>
          <w:lang w:val="en-US"/>
        </w:rPr>
        <w:t>:369. doi:10.1186/s12916-020-01851-z</w:t>
      </w:r>
    </w:p>
    <w:p w14:paraId="06573AC4"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10 </w:t>
      </w:r>
      <w:r w:rsidRPr="00667DA4">
        <w:rPr>
          <w:rFonts w:cs="Calibri"/>
          <w:noProof/>
          <w:lang w:val="en-US"/>
        </w:rPr>
        <w:tab/>
        <w:t xml:space="preserve">De Lusignan S, Correa A, Smith GE, </w:t>
      </w:r>
      <w:r w:rsidRPr="00667DA4">
        <w:rPr>
          <w:rFonts w:cs="Calibri"/>
          <w:i/>
          <w:iCs/>
          <w:noProof/>
          <w:lang w:val="en-US"/>
        </w:rPr>
        <w:t>et al.</w:t>
      </w:r>
      <w:r w:rsidRPr="00667DA4">
        <w:rPr>
          <w:rFonts w:cs="Calibri"/>
          <w:noProof/>
          <w:lang w:val="en-US"/>
        </w:rPr>
        <w:t xml:space="preserve"> RCGP Research and Surveillance Centre: 50 years’ surveillance of influenza, infections, and respiratory conditions. Br. J. Gen. Pract. 2017;</w:t>
      </w:r>
      <w:r w:rsidRPr="00667DA4">
        <w:rPr>
          <w:rFonts w:cs="Calibri"/>
          <w:b/>
          <w:bCs/>
          <w:noProof/>
          <w:lang w:val="en-US"/>
        </w:rPr>
        <w:t>67</w:t>
      </w:r>
      <w:r w:rsidRPr="00667DA4">
        <w:rPr>
          <w:rFonts w:cs="Calibri"/>
          <w:noProof/>
          <w:lang w:val="en-US"/>
        </w:rPr>
        <w:t>:440–1. doi:10.3399/bjgp17X692645</w:t>
      </w:r>
    </w:p>
    <w:p w14:paraId="5B761EFC"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11 </w:t>
      </w:r>
      <w:r w:rsidRPr="00667DA4">
        <w:rPr>
          <w:rFonts w:cs="Calibri"/>
          <w:noProof/>
          <w:lang w:val="en-US"/>
        </w:rPr>
        <w:tab/>
        <w:t xml:space="preserve">Dambha-Miller H, Griffin SJ, Young D, </w:t>
      </w:r>
      <w:r w:rsidRPr="00667DA4">
        <w:rPr>
          <w:rFonts w:cs="Calibri"/>
          <w:i/>
          <w:iCs/>
          <w:noProof/>
          <w:lang w:val="en-US"/>
        </w:rPr>
        <w:t>et al.</w:t>
      </w:r>
      <w:r w:rsidRPr="00667DA4">
        <w:rPr>
          <w:rFonts w:cs="Calibri"/>
          <w:noProof/>
          <w:lang w:val="en-US"/>
        </w:rPr>
        <w:t xml:space="preserve"> Posted on Annals of Family Medicine COVID-19 Collection, courtesy of Hajira Dambha-Miller. 2020. </w:t>
      </w:r>
    </w:p>
    <w:p w14:paraId="5D8F82B6"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12 </w:t>
      </w:r>
      <w:r w:rsidRPr="00667DA4">
        <w:rPr>
          <w:rFonts w:cs="Calibri"/>
          <w:noProof/>
          <w:lang w:val="en-US"/>
        </w:rPr>
        <w:tab/>
        <w:t xml:space="preserve">de Lusignan S, Lopez Bernal J, Zambon M, </w:t>
      </w:r>
      <w:r w:rsidRPr="00667DA4">
        <w:rPr>
          <w:rFonts w:cs="Calibri"/>
          <w:i/>
          <w:iCs/>
          <w:noProof/>
          <w:lang w:val="en-US"/>
        </w:rPr>
        <w:t>et al.</w:t>
      </w:r>
      <w:r w:rsidRPr="00667DA4">
        <w:rPr>
          <w:rFonts w:cs="Calibri"/>
          <w:noProof/>
          <w:lang w:val="en-US"/>
        </w:rPr>
        <w:t xml:space="preserve"> Emergence of a Novel Coronavirus (COVID-19): A Protocol for Extending Surveillance Used by the Royal College of General Practitioners (RCGP) Research and Surveillance Centre (RSC) and Public Health England (PHE) (Preprint). </w:t>
      </w:r>
      <w:r w:rsidRPr="00667DA4">
        <w:rPr>
          <w:rFonts w:cs="Calibri"/>
          <w:i/>
          <w:iCs/>
          <w:noProof/>
          <w:lang w:val="en-US"/>
        </w:rPr>
        <w:t>JMIR Public Heal Surveill</w:t>
      </w:r>
      <w:r w:rsidRPr="00667DA4">
        <w:rPr>
          <w:rFonts w:cs="Calibri"/>
          <w:noProof/>
          <w:lang w:val="en-US"/>
        </w:rPr>
        <w:t xml:space="preserve"> 2020;</w:t>
      </w:r>
      <w:r w:rsidRPr="00667DA4">
        <w:rPr>
          <w:rFonts w:cs="Calibri"/>
          <w:b/>
          <w:bCs/>
          <w:noProof/>
          <w:lang w:val="en-US"/>
        </w:rPr>
        <w:t>6</w:t>
      </w:r>
      <w:r w:rsidRPr="00667DA4">
        <w:rPr>
          <w:rFonts w:cs="Calibri"/>
          <w:noProof/>
          <w:lang w:val="en-US"/>
        </w:rPr>
        <w:t>:e18606. doi:10.2196/18606</w:t>
      </w:r>
    </w:p>
    <w:p w14:paraId="65965FCC"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13 </w:t>
      </w:r>
      <w:r w:rsidRPr="00667DA4">
        <w:rPr>
          <w:rFonts w:cs="Calibri"/>
          <w:noProof/>
          <w:lang w:val="en-US"/>
        </w:rPr>
        <w:tab/>
        <w:t xml:space="preserve">Joy M, Hobbs FR, Bernal JL, </w:t>
      </w:r>
      <w:r w:rsidRPr="00667DA4">
        <w:rPr>
          <w:rFonts w:cs="Calibri"/>
          <w:i/>
          <w:iCs/>
          <w:noProof/>
          <w:lang w:val="en-US"/>
        </w:rPr>
        <w:t>et al.</w:t>
      </w:r>
      <w:r w:rsidRPr="00667DA4">
        <w:rPr>
          <w:rFonts w:cs="Calibri"/>
          <w:noProof/>
          <w:lang w:val="en-US"/>
        </w:rPr>
        <w:t xml:space="preserve"> Excess mortality in the first COVID pandemic peak: cross-sectional analyses of the impact of age, sex, ethnicity, household size, and long-term conditions in people of known SARS-Cov-2 status in England. </w:t>
      </w:r>
      <w:r w:rsidRPr="00667DA4">
        <w:rPr>
          <w:rFonts w:cs="Calibri"/>
          <w:i/>
          <w:iCs/>
          <w:noProof/>
          <w:lang w:val="en-US"/>
        </w:rPr>
        <w:t>Br J Gen Pract</w:t>
      </w:r>
      <w:r w:rsidRPr="00667DA4">
        <w:rPr>
          <w:rFonts w:cs="Calibri"/>
          <w:noProof/>
          <w:lang w:val="en-US"/>
        </w:rPr>
        <w:t xml:space="preserve"> Published Online First: October 2020. doi:10.3399/bjgp20X713393</w:t>
      </w:r>
    </w:p>
    <w:p w14:paraId="54E61396"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14 </w:t>
      </w:r>
      <w:r w:rsidRPr="00667DA4">
        <w:rPr>
          <w:rFonts w:cs="Calibri"/>
          <w:noProof/>
          <w:lang w:val="en-US"/>
        </w:rPr>
        <w:tab/>
        <w:t xml:space="preserve">Hippisley-Cox J, Coupland C, Vinogradova Y, </w:t>
      </w:r>
      <w:r w:rsidRPr="00667DA4">
        <w:rPr>
          <w:rFonts w:cs="Calibri"/>
          <w:i/>
          <w:iCs/>
          <w:noProof/>
          <w:lang w:val="en-US"/>
        </w:rPr>
        <w:t>et al.</w:t>
      </w:r>
      <w:r w:rsidRPr="00667DA4">
        <w:rPr>
          <w:rFonts w:cs="Calibri"/>
          <w:noProof/>
          <w:lang w:val="en-US"/>
        </w:rPr>
        <w:t xml:space="preserve"> Predicting cardiovascular risk in England </w:t>
      </w:r>
      <w:r w:rsidRPr="00667DA4">
        <w:rPr>
          <w:rFonts w:cs="Calibri"/>
          <w:noProof/>
          <w:lang w:val="en-US"/>
        </w:rPr>
        <w:lastRenderedPageBreak/>
        <w:t xml:space="preserve">and Wales: Prospective derivation and validation of QRISK2. </w:t>
      </w:r>
      <w:r w:rsidRPr="00667DA4">
        <w:rPr>
          <w:rFonts w:cs="Calibri"/>
          <w:i/>
          <w:iCs/>
          <w:noProof/>
          <w:lang w:val="en-US"/>
        </w:rPr>
        <w:t>BMJ</w:t>
      </w:r>
      <w:r w:rsidRPr="00667DA4">
        <w:rPr>
          <w:rFonts w:cs="Calibri"/>
          <w:noProof/>
          <w:lang w:val="en-US"/>
        </w:rPr>
        <w:t xml:space="preserve"> 2008;</w:t>
      </w:r>
      <w:r w:rsidRPr="00667DA4">
        <w:rPr>
          <w:rFonts w:cs="Calibri"/>
          <w:b/>
          <w:bCs/>
          <w:noProof/>
          <w:lang w:val="en-US"/>
        </w:rPr>
        <w:t>336</w:t>
      </w:r>
      <w:r w:rsidRPr="00667DA4">
        <w:rPr>
          <w:rFonts w:cs="Calibri"/>
          <w:noProof/>
          <w:lang w:val="en-US"/>
        </w:rPr>
        <w:t>:1475–82. doi:10.1136/bmj.39609.449676.25</w:t>
      </w:r>
    </w:p>
    <w:p w14:paraId="198A52B6"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15 </w:t>
      </w:r>
      <w:r w:rsidRPr="00667DA4">
        <w:rPr>
          <w:rFonts w:cs="Calibri"/>
          <w:noProof/>
          <w:lang w:val="en-US"/>
        </w:rPr>
        <w:tab/>
        <w:t xml:space="preserve">Government D for C and L. The English Index of Multiple Deprivation (IMD) 2015—Guidance. </w:t>
      </w:r>
    </w:p>
    <w:p w14:paraId="6A93D533"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16 </w:t>
      </w:r>
      <w:r w:rsidRPr="00667DA4">
        <w:rPr>
          <w:rFonts w:cs="Calibri"/>
          <w:noProof/>
          <w:lang w:val="en-US"/>
        </w:rPr>
        <w:tab/>
        <w:t xml:space="preserve">Tippu Z, Correa A, Liyanage H, </w:t>
      </w:r>
      <w:r w:rsidRPr="00667DA4">
        <w:rPr>
          <w:rFonts w:cs="Calibri"/>
          <w:i/>
          <w:iCs/>
          <w:noProof/>
          <w:lang w:val="en-US"/>
        </w:rPr>
        <w:t>et al.</w:t>
      </w:r>
      <w:r w:rsidRPr="00667DA4">
        <w:rPr>
          <w:rFonts w:cs="Calibri"/>
          <w:noProof/>
          <w:lang w:val="en-US"/>
        </w:rPr>
        <w:t xml:space="preserve"> Ethnicity recording in primary care computerised medical record systems: an ontological approach. </w:t>
      </w:r>
      <w:r w:rsidRPr="00667DA4">
        <w:rPr>
          <w:rFonts w:cs="Calibri"/>
          <w:i/>
          <w:iCs/>
          <w:noProof/>
          <w:lang w:val="en-US"/>
        </w:rPr>
        <w:t>J Innov Heal Informatics</w:t>
      </w:r>
      <w:r w:rsidRPr="00667DA4">
        <w:rPr>
          <w:rFonts w:cs="Calibri"/>
          <w:noProof/>
          <w:lang w:val="en-US"/>
        </w:rPr>
        <w:t xml:space="preserve"> 2017;</w:t>
      </w:r>
      <w:r w:rsidRPr="00667DA4">
        <w:rPr>
          <w:rFonts w:cs="Calibri"/>
          <w:b/>
          <w:bCs/>
          <w:noProof/>
          <w:lang w:val="en-US"/>
        </w:rPr>
        <w:t>23</w:t>
      </w:r>
      <w:r w:rsidRPr="00667DA4">
        <w:rPr>
          <w:rFonts w:cs="Calibri"/>
          <w:noProof/>
          <w:lang w:val="en-US"/>
        </w:rPr>
        <w:t>. doi:10.14236/jhi.v23i4.920</w:t>
      </w:r>
    </w:p>
    <w:p w14:paraId="4466F180"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17 </w:t>
      </w:r>
      <w:r w:rsidRPr="00667DA4">
        <w:rPr>
          <w:rFonts w:cs="Calibri"/>
          <w:noProof/>
          <w:lang w:val="en-US"/>
        </w:rPr>
        <w:tab/>
        <w:t xml:space="preserve">Martin CA, Jenkins DR, Minhas JS, </w:t>
      </w:r>
      <w:r w:rsidRPr="00667DA4">
        <w:rPr>
          <w:rFonts w:cs="Calibri"/>
          <w:i/>
          <w:iCs/>
          <w:noProof/>
          <w:lang w:val="en-US"/>
        </w:rPr>
        <w:t>et al.</w:t>
      </w:r>
      <w:r w:rsidRPr="00667DA4">
        <w:rPr>
          <w:rFonts w:cs="Calibri"/>
          <w:noProof/>
          <w:lang w:val="en-US"/>
        </w:rPr>
        <w:t xml:space="preserve"> Socio-demographic heterogeneity in the prevalence of COVID-19 during lockdown is associated with ethnicity and household size: Results from an observational cohort study. </w:t>
      </w:r>
      <w:r w:rsidRPr="00667DA4">
        <w:rPr>
          <w:rFonts w:cs="Calibri"/>
          <w:i/>
          <w:iCs/>
          <w:noProof/>
          <w:lang w:val="en-US"/>
        </w:rPr>
        <w:t>EClinicalMedicine</w:t>
      </w:r>
      <w:r w:rsidRPr="00667DA4">
        <w:rPr>
          <w:rFonts w:cs="Calibri"/>
          <w:noProof/>
          <w:lang w:val="en-US"/>
        </w:rPr>
        <w:t xml:space="preserve"> 2020;</w:t>
      </w:r>
      <w:r w:rsidRPr="00667DA4">
        <w:rPr>
          <w:rFonts w:cs="Calibri"/>
          <w:b/>
          <w:bCs/>
          <w:noProof/>
          <w:lang w:val="en-US"/>
        </w:rPr>
        <w:t>25</w:t>
      </w:r>
      <w:r w:rsidRPr="00667DA4">
        <w:rPr>
          <w:rFonts w:cs="Calibri"/>
          <w:noProof/>
          <w:lang w:val="en-US"/>
        </w:rPr>
        <w:t>. doi:10.1016/j.eclinm.2020.100466</w:t>
      </w:r>
    </w:p>
    <w:p w14:paraId="3C4B8B86"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18 </w:t>
      </w:r>
      <w:r w:rsidRPr="00667DA4">
        <w:rPr>
          <w:rFonts w:cs="Calibri"/>
          <w:noProof/>
          <w:lang w:val="en-US"/>
        </w:rPr>
        <w:tab/>
        <w:t xml:space="preserve">Joy M, Hobbs FR, Bernal JL, </w:t>
      </w:r>
      <w:r w:rsidRPr="00667DA4">
        <w:rPr>
          <w:rFonts w:cs="Calibri"/>
          <w:i/>
          <w:iCs/>
          <w:noProof/>
          <w:lang w:val="en-US"/>
        </w:rPr>
        <w:t>et al.</w:t>
      </w:r>
      <w:r w:rsidRPr="00667DA4">
        <w:rPr>
          <w:rFonts w:cs="Calibri"/>
          <w:noProof/>
          <w:lang w:val="en-US"/>
        </w:rPr>
        <w:t xml:space="preserve"> Excess mortality in the first COVID pandemic peak: cross-sectional analyses of the impact of age, sex, ethnicity, household size, and long-term conditions in people of known SARS-Cov-2 status in England. </w:t>
      </w:r>
      <w:r w:rsidRPr="00667DA4">
        <w:rPr>
          <w:rFonts w:cs="Calibri"/>
          <w:i/>
          <w:iCs/>
          <w:noProof/>
          <w:lang w:val="en-US"/>
        </w:rPr>
        <w:t>Br J Gen Pract</w:t>
      </w:r>
      <w:r w:rsidRPr="00667DA4">
        <w:rPr>
          <w:rFonts w:cs="Calibri"/>
          <w:noProof/>
          <w:lang w:val="en-US"/>
        </w:rPr>
        <w:t xml:space="preserve"> 2020;</w:t>
      </w:r>
      <w:r w:rsidRPr="00667DA4">
        <w:rPr>
          <w:rFonts w:cs="Calibri"/>
          <w:b/>
          <w:bCs/>
          <w:noProof/>
          <w:lang w:val="en-US"/>
        </w:rPr>
        <w:t>70</w:t>
      </w:r>
      <w:r w:rsidRPr="00667DA4">
        <w:rPr>
          <w:rFonts w:cs="Calibri"/>
          <w:noProof/>
          <w:lang w:val="en-US"/>
        </w:rPr>
        <w:t>:bjgp20X713393. doi:10.3399/bjgp20x713393</w:t>
      </w:r>
    </w:p>
    <w:p w14:paraId="39346D38"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19 </w:t>
      </w:r>
      <w:r w:rsidRPr="00667DA4">
        <w:rPr>
          <w:rFonts w:cs="Calibri"/>
          <w:noProof/>
          <w:lang w:val="en-US"/>
        </w:rPr>
        <w:tab/>
        <w:t xml:space="preserve">Hillman S, Shantikumar S, Ridha A, </w:t>
      </w:r>
      <w:r w:rsidRPr="00667DA4">
        <w:rPr>
          <w:rFonts w:cs="Calibri"/>
          <w:i/>
          <w:iCs/>
          <w:noProof/>
          <w:lang w:val="en-US"/>
        </w:rPr>
        <w:t>et al.</w:t>
      </w:r>
      <w:r w:rsidRPr="00667DA4">
        <w:rPr>
          <w:rFonts w:cs="Calibri"/>
          <w:noProof/>
          <w:lang w:val="en-US"/>
        </w:rPr>
        <w:t xml:space="preserve"> Socioeconomic status and HRT prescribing: a study of practice-level data in England. </w:t>
      </w:r>
      <w:r w:rsidRPr="00667DA4">
        <w:rPr>
          <w:rFonts w:cs="Calibri"/>
          <w:i/>
          <w:iCs/>
          <w:noProof/>
          <w:lang w:val="en-US"/>
        </w:rPr>
        <w:t>Br J Gen Pract</w:t>
      </w:r>
      <w:r w:rsidRPr="00667DA4">
        <w:rPr>
          <w:rFonts w:cs="Calibri"/>
          <w:noProof/>
          <w:lang w:val="en-US"/>
        </w:rPr>
        <w:t xml:space="preserve"> 2020;</w:t>
      </w:r>
      <w:r w:rsidRPr="00667DA4">
        <w:rPr>
          <w:rFonts w:cs="Calibri"/>
          <w:b/>
          <w:bCs/>
          <w:noProof/>
          <w:lang w:val="en-US"/>
        </w:rPr>
        <w:t>70</w:t>
      </w:r>
      <w:r w:rsidRPr="00667DA4">
        <w:rPr>
          <w:rFonts w:cs="Calibri"/>
          <w:noProof/>
          <w:lang w:val="en-US"/>
        </w:rPr>
        <w:t>:e772–7. doi:10.3399/bjgp20X713045</w:t>
      </w:r>
    </w:p>
    <w:p w14:paraId="2B4ED982"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20 </w:t>
      </w:r>
      <w:r w:rsidRPr="00667DA4">
        <w:rPr>
          <w:rFonts w:cs="Calibri"/>
          <w:noProof/>
          <w:lang w:val="en-US"/>
        </w:rPr>
        <w:tab/>
        <w:t xml:space="preserve">Lawlor DA, Davey Smith G, Ebrahim S. Socioeconomic Position and Hormone Replacement Therapy Use: Explaining the Discrepancy in Evidence From Observational and Randomized Controlled Trials. </w:t>
      </w:r>
      <w:r w:rsidRPr="00667DA4">
        <w:rPr>
          <w:rFonts w:cs="Calibri"/>
          <w:i/>
          <w:iCs/>
          <w:noProof/>
          <w:lang w:val="en-US"/>
        </w:rPr>
        <w:t>Am J Public Health</w:t>
      </w:r>
      <w:r w:rsidRPr="00667DA4">
        <w:rPr>
          <w:rFonts w:cs="Calibri"/>
          <w:noProof/>
          <w:lang w:val="en-US"/>
        </w:rPr>
        <w:t xml:space="preserve"> 2004;</w:t>
      </w:r>
      <w:r w:rsidRPr="00667DA4">
        <w:rPr>
          <w:rFonts w:cs="Calibri"/>
          <w:b/>
          <w:bCs/>
          <w:noProof/>
          <w:lang w:val="en-US"/>
        </w:rPr>
        <w:t>94</w:t>
      </w:r>
      <w:r w:rsidRPr="00667DA4">
        <w:rPr>
          <w:rFonts w:cs="Calibri"/>
          <w:noProof/>
          <w:lang w:val="en-US"/>
        </w:rPr>
        <w:t>:2149–54. doi:10.2105/AJPH.94.12.2149</w:t>
      </w:r>
    </w:p>
    <w:p w14:paraId="0AFB13BE"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21 </w:t>
      </w:r>
      <w:r w:rsidRPr="00667DA4">
        <w:rPr>
          <w:rFonts w:cs="Calibri"/>
          <w:noProof/>
          <w:lang w:val="en-US"/>
        </w:rPr>
        <w:tab/>
        <w:t xml:space="preserve">Zeng F, Dai C, Cai P, </w:t>
      </w:r>
      <w:r w:rsidRPr="00667DA4">
        <w:rPr>
          <w:rFonts w:cs="Calibri"/>
          <w:i/>
          <w:iCs/>
          <w:noProof/>
          <w:lang w:val="en-US"/>
        </w:rPr>
        <w:t>et al.</w:t>
      </w:r>
      <w:r w:rsidRPr="00667DA4">
        <w:rPr>
          <w:rFonts w:cs="Calibri"/>
          <w:noProof/>
          <w:lang w:val="en-US"/>
        </w:rPr>
        <w:t xml:space="preserve"> A comparison study of SARS-CoV-2 IgG antibody between male and female COVID-19 patients: A possible reason underlying different outcome between sex. </w:t>
      </w:r>
      <w:r w:rsidRPr="00667DA4">
        <w:rPr>
          <w:rFonts w:cs="Calibri"/>
          <w:i/>
          <w:iCs/>
          <w:noProof/>
          <w:lang w:val="en-US"/>
        </w:rPr>
        <w:t>J Med Virol</w:t>
      </w:r>
      <w:r w:rsidRPr="00667DA4">
        <w:rPr>
          <w:rFonts w:cs="Calibri"/>
          <w:noProof/>
          <w:lang w:val="en-US"/>
        </w:rPr>
        <w:t xml:space="preserve"> 2020;</w:t>
      </w:r>
      <w:r w:rsidRPr="00667DA4">
        <w:rPr>
          <w:rFonts w:cs="Calibri"/>
          <w:b/>
          <w:bCs/>
          <w:noProof/>
          <w:lang w:val="en-US"/>
        </w:rPr>
        <w:t>92</w:t>
      </w:r>
      <w:r w:rsidRPr="00667DA4">
        <w:rPr>
          <w:rFonts w:cs="Calibri"/>
          <w:noProof/>
          <w:lang w:val="en-US"/>
        </w:rPr>
        <w:t>. doi:10.1002/jmv.25989</w:t>
      </w:r>
    </w:p>
    <w:p w14:paraId="5D310663"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22 </w:t>
      </w:r>
      <w:r w:rsidRPr="00667DA4">
        <w:rPr>
          <w:rFonts w:cs="Calibri"/>
          <w:noProof/>
          <w:lang w:val="en-US"/>
        </w:rPr>
        <w:tab/>
        <w:t xml:space="preserve">Koff WC, Williams MA. Covid-19 and Immunity in Aging Populations — A New Research Agenda. </w:t>
      </w:r>
      <w:r w:rsidRPr="00667DA4">
        <w:rPr>
          <w:rFonts w:cs="Calibri"/>
          <w:i/>
          <w:iCs/>
          <w:noProof/>
          <w:lang w:val="en-US"/>
        </w:rPr>
        <w:t>N Engl J Med</w:t>
      </w:r>
      <w:r w:rsidRPr="00667DA4">
        <w:rPr>
          <w:rFonts w:cs="Calibri"/>
          <w:noProof/>
          <w:lang w:val="en-US"/>
        </w:rPr>
        <w:t xml:space="preserve"> 2020;</w:t>
      </w:r>
      <w:r w:rsidRPr="00667DA4">
        <w:rPr>
          <w:rFonts w:cs="Calibri"/>
          <w:b/>
          <w:bCs/>
          <w:noProof/>
          <w:lang w:val="en-US"/>
        </w:rPr>
        <w:t>383</w:t>
      </w:r>
      <w:r w:rsidRPr="00667DA4">
        <w:rPr>
          <w:rFonts w:cs="Calibri"/>
          <w:noProof/>
          <w:lang w:val="en-US"/>
        </w:rPr>
        <w:t>:804–5. doi:10.1056/nejmp2006761</w:t>
      </w:r>
    </w:p>
    <w:p w14:paraId="3CCEDDCE"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23 </w:t>
      </w:r>
      <w:r w:rsidRPr="00667DA4">
        <w:rPr>
          <w:rFonts w:cs="Calibri"/>
          <w:noProof/>
          <w:lang w:val="en-US"/>
        </w:rPr>
        <w:tab/>
        <w:t xml:space="preserve">OpenSAFELY Collaborative T, Williamson E, Walker AJ, </w:t>
      </w:r>
      <w:r w:rsidRPr="00667DA4">
        <w:rPr>
          <w:rFonts w:cs="Calibri"/>
          <w:i/>
          <w:iCs/>
          <w:noProof/>
          <w:lang w:val="en-US"/>
        </w:rPr>
        <w:t>et al.</w:t>
      </w:r>
      <w:r w:rsidRPr="00667DA4">
        <w:rPr>
          <w:rFonts w:cs="Calibri"/>
          <w:noProof/>
          <w:lang w:val="en-US"/>
        </w:rPr>
        <w:t xml:space="preserve"> OpenSAFELY: factors associated with COVID-19-related hospital death in the linked electronic health records of 17 million adult NHS patients. doi:10.1101/2020.05.06.20092999</w:t>
      </w:r>
    </w:p>
    <w:p w14:paraId="671FF981" w14:textId="77777777" w:rsidR="00301E7A" w:rsidRPr="00667DA4" w:rsidRDefault="00301E7A" w:rsidP="00301E7A">
      <w:pPr>
        <w:widowControl w:val="0"/>
        <w:autoSpaceDE w:val="0"/>
        <w:autoSpaceDN w:val="0"/>
        <w:adjustRightInd w:val="0"/>
        <w:spacing w:line="240" w:lineRule="auto"/>
        <w:ind w:left="640" w:hanging="640"/>
        <w:rPr>
          <w:rFonts w:cs="Calibri"/>
          <w:noProof/>
          <w:lang w:val="en-US"/>
        </w:rPr>
      </w:pPr>
      <w:r w:rsidRPr="00667DA4">
        <w:rPr>
          <w:rFonts w:cs="Calibri"/>
          <w:noProof/>
          <w:lang w:val="en-US"/>
        </w:rPr>
        <w:t xml:space="preserve">24 </w:t>
      </w:r>
      <w:r w:rsidRPr="00667DA4">
        <w:rPr>
          <w:rFonts w:cs="Calibri"/>
          <w:noProof/>
          <w:lang w:val="en-US"/>
        </w:rPr>
        <w:tab/>
        <w:t xml:space="preserve">Holman N, Knighton P, Kar P, </w:t>
      </w:r>
      <w:r w:rsidRPr="00667DA4">
        <w:rPr>
          <w:rFonts w:cs="Calibri"/>
          <w:i/>
          <w:iCs/>
          <w:noProof/>
          <w:lang w:val="en-US"/>
        </w:rPr>
        <w:t>et al.</w:t>
      </w:r>
      <w:r w:rsidRPr="00667DA4">
        <w:rPr>
          <w:rFonts w:cs="Calibri"/>
          <w:noProof/>
          <w:lang w:val="en-US"/>
        </w:rPr>
        <w:t xml:space="preserve"> Risk factors for COVID-19-related mortality in people with type 1 and type 2 diabetes in England: a population-based cohort study. </w:t>
      </w:r>
      <w:r w:rsidRPr="00667DA4">
        <w:rPr>
          <w:rFonts w:cs="Calibri"/>
          <w:i/>
          <w:iCs/>
          <w:noProof/>
          <w:lang w:val="en-US"/>
        </w:rPr>
        <w:t>Lancet Diabetes Endocrinol</w:t>
      </w:r>
      <w:r w:rsidRPr="00667DA4">
        <w:rPr>
          <w:rFonts w:cs="Calibri"/>
          <w:noProof/>
          <w:lang w:val="en-US"/>
        </w:rPr>
        <w:t xml:space="preserve"> 2020;</w:t>
      </w:r>
      <w:r w:rsidRPr="00667DA4">
        <w:rPr>
          <w:rFonts w:cs="Calibri"/>
          <w:b/>
          <w:bCs/>
          <w:noProof/>
          <w:lang w:val="en-US"/>
        </w:rPr>
        <w:t>8</w:t>
      </w:r>
      <w:r w:rsidRPr="00667DA4">
        <w:rPr>
          <w:rFonts w:cs="Calibri"/>
          <w:noProof/>
          <w:lang w:val="en-US"/>
        </w:rPr>
        <w:t>:823–33. doi:10.1016/S2213-8587(20)30271-0</w:t>
      </w:r>
    </w:p>
    <w:p w14:paraId="50B3C99E" w14:textId="77777777" w:rsidR="00301E7A" w:rsidRPr="00667DA4" w:rsidRDefault="00301E7A" w:rsidP="00301E7A">
      <w:pPr>
        <w:widowControl w:val="0"/>
        <w:autoSpaceDE w:val="0"/>
        <w:autoSpaceDN w:val="0"/>
        <w:adjustRightInd w:val="0"/>
        <w:spacing w:line="240" w:lineRule="auto"/>
        <w:ind w:left="640" w:hanging="640"/>
        <w:rPr>
          <w:rFonts w:cs="Calibri"/>
          <w:noProof/>
        </w:rPr>
      </w:pPr>
      <w:r w:rsidRPr="00667DA4">
        <w:rPr>
          <w:rFonts w:cs="Calibri"/>
          <w:noProof/>
          <w:lang w:val="en-US"/>
        </w:rPr>
        <w:t xml:space="preserve">25 </w:t>
      </w:r>
      <w:r w:rsidRPr="00667DA4">
        <w:rPr>
          <w:rFonts w:cs="Calibri"/>
          <w:noProof/>
          <w:lang w:val="en-US"/>
        </w:rPr>
        <w:tab/>
        <w:t xml:space="preserve">Schultze A, Walker AJ, MacKenna B, </w:t>
      </w:r>
      <w:r w:rsidRPr="00667DA4">
        <w:rPr>
          <w:rFonts w:cs="Calibri"/>
          <w:i/>
          <w:iCs/>
          <w:noProof/>
          <w:lang w:val="en-US"/>
        </w:rPr>
        <w:t>et al.</w:t>
      </w:r>
      <w:r w:rsidRPr="00667DA4">
        <w:rPr>
          <w:rFonts w:cs="Calibri"/>
          <w:noProof/>
          <w:lang w:val="en-US"/>
        </w:rPr>
        <w:t xml:space="preserve"> Risk of COVID-19-related death among patients with chronic obstructive pulmonary disease or asthma prescribed inhaled corticosteroids: an observational cohort study using the OpenSAFELY platform. </w:t>
      </w:r>
      <w:r w:rsidRPr="00667DA4">
        <w:rPr>
          <w:rFonts w:cs="Calibri"/>
          <w:i/>
          <w:iCs/>
          <w:noProof/>
          <w:lang w:val="en-US"/>
        </w:rPr>
        <w:t>Lancet Respir Med</w:t>
      </w:r>
      <w:r w:rsidRPr="00667DA4">
        <w:rPr>
          <w:rFonts w:cs="Calibri"/>
          <w:noProof/>
          <w:lang w:val="en-US"/>
        </w:rPr>
        <w:t xml:space="preserve"> 2020;</w:t>
      </w:r>
      <w:r w:rsidRPr="00667DA4">
        <w:rPr>
          <w:rFonts w:cs="Calibri"/>
          <w:b/>
          <w:bCs/>
          <w:noProof/>
          <w:lang w:val="en-US"/>
        </w:rPr>
        <w:t>8</w:t>
      </w:r>
      <w:r w:rsidRPr="00667DA4">
        <w:rPr>
          <w:rFonts w:cs="Calibri"/>
          <w:noProof/>
          <w:lang w:val="en-US"/>
        </w:rPr>
        <w:t>:1106–20. doi:10.1016/S2213-2600(20)30415-X</w:t>
      </w:r>
    </w:p>
    <w:p w14:paraId="155051B5" w14:textId="2A3D3423" w:rsidR="007B469B" w:rsidRPr="00667DA4" w:rsidRDefault="00306998" w:rsidP="00301E7A">
      <w:pPr>
        <w:widowControl w:val="0"/>
        <w:autoSpaceDE w:val="0"/>
        <w:autoSpaceDN w:val="0"/>
        <w:adjustRightInd w:val="0"/>
        <w:spacing w:line="240" w:lineRule="auto"/>
        <w:ind w:left="640" w:hanging="640"/>
        <w:rPr>
          <w:rFonts w:cs="Arial"/>
          <w:b/>
          <w:bCs/>
          <w:sz w:val="20"/>
          <w:szCs w:val="20"/>
          <w:u w:val="single"/>
        </w:rPr>
      </w:pPr>
      <w:r w:rsidRPr="00667DA4">
        <w:rPr>
          <w:rFonts w:cs="Arial"/>
          <w:b/>
          <w:bCs/>
          <w:u w:val="single"/>
        </w:rPr>
        <w:fldChar w:fldCharType="end"/>
      </w:r>
    </w:p>
    <w:p w14:paraId="32296E0D" w14:textId="77777777" w:rsidR="00F0620C" w:rsidRPr="00667DA4" w:rsidRDefault="00F0620C" w:rsidP="00FE09BC">
      <w:pPr>
        <w:spacing w:line="240" w:lineRule="auto"/>
        <w:rPr>
          <w:rFonts w:cs="Arial"/>
          <w:sz w:val="20"/>
          <w:szCs w:val="20"/>
          <w:shd w:val="clear" w:color="auto" w:fill="FFFFFF"/>
        </w:rPr>
      </w:pPr>
    </w:p>
    <w:p w14:paraId="713732B8" w14:textId="493E30F7" w:rsidR="007B469B" w:rsidRPr="00667DA4" w:rsidRDefault="007B469B" w:rsidP="00FE09BC">
      <w:pPr>
        <w:spacing w:line="240" w:lineRule="auto"/>
        <w:rPr>
          <w:rFonts w:eastAsia="Times New Roman" w:cs="Arial"/>
          <w:b/>
          <w:sz w:val="20"/>
          <w:szCs w:val="20"/>
          <w:lang w:eastAsia="en-GB"/>
        </w:rPr>
      </w:pPr>
      <w:r w:rsidRPr="00667DA4">
        <w:rPr>
          <w:rFonts w:eastAsia="Times New Roman" w:cs="Arial"/>
          <w:b/>
          <w:sz w:val="20"/>
          <w:szCs w:val="20"/>
          <w:lang w:eastAsia="en-GB"/>
        </w:rPr>
        <w:t xml:space="preserve">Table 1: Baseline characteristics of women </w:t>
      </w:r>
      <w:r w:rsidR="0048370B" w:rsidRPr="00667DA4">
        <w:rPr>
          <w:rFonts w:eastAsia="Times New Roman" w:cs="Arial"/>
          <w:b/>
          <w:sz w:val="20"/>
          <w:szCs w:val="20"/>
          <w:lang w:eastAsia="en-GB"/>
        </w:rPr>
        <w:t xml:space="preserve">diagnosed </w:t>
      </w:r>
      <w:r w:rsidRPr="00667DA4">
        <w:rPr>
          <w:rFonts w:eastAsia="Times New Roman" w:cs="Arial"/>
          <w:b/>
          <w:sz w:val="20"/>
          <w:szCs w:val="20"/>
          <w:lang w:eastAsia="en-GB"/>
        </w:rPr>
        <w:t xml:space="preserve">with COVID-19 in the RCGP RSC database </w:t>
      </w:r>
      <w:r w:rsidR="0048370B" w:rsidRPr="00667DA4">
        <w:rPr>
          <w:rFonts w:cs="Arial"/>
          <w:b/>
          <w:shd w:val="clear" w:color="auto" w:fill="FFFFFF"/>
        </w:rPr>
        <w:t>(from 1</w:t>
      </w:r>
      <w:r w:rsidR="0048370B" w:rsidRPr="00667DA4">
        <w:rPr>
          <w:rFonts w:cs="Arial"/>
          <w:b/>
          <w:shd w:val="clear" w:color="auto" w:fill="FFFFFF"/>
          <w:vertAlign w:val="superscript"/>
        </w:rPr>
        <w:t>st</w:t>
      </w:r>
      <w:r w:rsidR="0048370B" w:rsidRPr="00667DA4">
        <w:rPr>
          <w:rFonts w:cs="Arial"/>
          <w:b/>
          <w:shd w:val="clear" w:color="auto" w:fill="FFFFFF"/>
        </w:rPr>
        <w:t xml:space="preserve"> January to 21</w:t>
      </w:r>
      <w:r w:rsidR="0048370B" w:rsidRPr="00667DA4">
        <w:rPr>
          <w:rFonts w:cs="Arial"/>
          <w:b/>
          <w:shd w:val="clear" w:color="auto" w:fill="FFFFFF"/>
          <w:vertAlign w:val="superscript"/>
        </w:rPr>
        <w:t>st</w:t>
      </w:r>
      <w:r w:rsidR="0048370B" w:rsidRPr="00667DA4">
        <w:rPr>
          <w:rFonts w:cs="Arial"/>
          <w:b/>
          <w:shd w:val="clear" w:color="auto" w:fill="FFFFFF"/>
        </w:rPr>
        <w:t xml:space="preserve"> June 2020) </w:t>
      </w:r>
      <w:r w:rsidRPr="00667DA4">
        <w:rPr>
          <w:rFonts w:eastAsia="Times New Roman" w:cs="Arial"/>
          <w:b/>
          <w:sz w:val="20"/>
          <w:szCs w:val="20"/>
          <w:lang w:eastAsia="en-GB"/>
        </w:rPr>
        <w:t>presented by those on HRT, COCP or neither drug</w:t>
      </w:r>
      <w:r w:rsidRPr="00667DA4">
        <w:rPr>
          <w:rFonts w:eastAsia="Times New Roman" w:cs="Courier New"/>
          <w:sz w:val="21"/>
          <w:szCs w:val="21"/>
          <w:bdr w:val="none" w:sz="0" w:space="0" w:color="auto" w:frame="1"/>
          <w:lang w:eastAsia="en-GB"/>
        </w:rPr>
        <w:t xml:space="preserve">                             </w:t>
      </w:r>
    </w:p>
    <w:p w14:paraId="6DA1BAB9" w14:textId="77777777" w:rsidR="007B469B" w:rsidRPr="00667DA4" w:rsidRDefault="007B469B" w:rsidP="00FE0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Courier New"/>
          <w:sz w:val="21"/>
          <w:szCs w:val="21"/>
          <w:bdr w:val="none" w:sz="0" w:space="0" w:color="auto" w:frame="1"/>
          <w:lang w:eastAsia="en-GB"/>
        </w:rPr>
      </w:pPr>
      <w:r w:rsidRPr="00667DA4">
        <w:rPr>
          <w:rFonts w:eastAsia="Times New Roman" w:cs="Courier New"/>
          <w:sz w:val="21"/>
          <w:szCs w:val="21"/>
          <w:bdr w:val="none" w:sz="0" w:space="0" w:color="auto" w:frame="1"/>
          <w:lang w:eastAsia="en-GB"/>
        </w:rPr>
        <w:t xml:space="preserve">    </w:t>
      </w:r>
    </w:p>
    <w:tbl>
      <w:tblPr>
        <w:tblW w:w="8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456"/>
        <w:gridCol w:w="1701"/>
        <w:gridCol w:w="1560"/>
        <w:gridCol w:w="1417"/>
      </w:tblGrid>
      <w:tr w:rsidR="00667DA4" w:rsidRPr="00667DA4" w14:paraId="3365815B" w14:textId="77777777" w:rsidTr="00377099">
        <w:trPr>
          <w:trHeight w:val="290"/>
        </w:trPr>
        <w:tc>
          <w:tcPr>
            <w:tcW w:w="1898" w:type="dxa"/>
            <w:shd w:val="clear" w:color="auto" w:fill="auto"/>
            <w:vAlign w:val="center"/>
            <w:hideMark/>
          </w:tcPr>
          <w:p w14:paraId="70852B0A"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w:t>
            </w:r>
          </w:p>
        </w:tc>
        <w:tc>
          <w:tcPr>
            <w:tcW w:w="1456" w:type="dxa"/>
          </w:tcPr>
          <w:p w14:paraId="3FD104C3" w14:textId="77777777" w:rsidR="007B469B" w:rsidRPr="00667DA4" w:rsidRDefault="007B469B" w:rsidP="00FE09BC">
            <w:pPr>
              <w:spacing w:after="0" w:line="240" w:lineRule="auto"/>
              <w:jc w:val="center"/>
              <w:rPr>
                <w:rFonts w:eastAsia="Times New Roman" w:cs="Arial"/>
                <w:b/>
                <w:sz w:val="17"/>
                <w:szCs w:val="17"/>
                <w:lang w:eastAsia="en-GB"/>
              </w:rPr>
            </w:pPr>
          </w:p>
          <w:p w14:paraId="50B0767E" w14:textId="77777777" w:rsidR="007B469B" w:rsidRPr="00667DA4" w:rsidRDefault="007B469B" w:rsidP="00FE09BC">
            <w:pPr>
              <w:spacing w:after="0" w:line="240" w:lineRule="auto"/>
              <w:jc w:val="center"/>
              <w:rPr>
                <w:rFonts w:eastAsia="Times New Roman" w:cs="Arial"/>
                <w:b/>
                <w:sz w:val="17"/>
                <w:szCs w:val="17"/>
                <w:lang w:eastAsia="en-GB"/>
              </w:rPr>
            </w:pPr>
          </w:p>
          <w:p w14:paraId="1CBEAED2" w14:textId="77777777" w:rsidR="007B469B" w:rsidRPr="00667DA4" w:rsidRDefault="007B469B" w:rsidP="00FE09BC">
            <w:pPr>
              <w:spacing w:after="0" w:line="240" w:lineRule="auto"/>
              <w:jc w:val="center"/>
              <w:rPr>
                <w:rFonts w:eastAsia="Times New Roman" w:cs="Arial"/>
                <w:b/>
                <w:sz w:val="17"/>
                <w:szCs w:val="17"/>
                <w:lang w:eastAsia="en-GB"/>
              </w:rPr>
            </w:pPr>
            <w:r w:rsidRPr="00667DA4">
              <w:rPr>
                <w:rFonts w:eastAsia="Times New Roman" w:cs="Arial"/>
                <w:b/>
                <w:sz w:val="17"/>
                <w:szCs w:val="17"/>
                <w:lang w:eastAsia="en-GB"/>
              </w:rPr>
              <w:t>Total</w:t>
            </w:r>
          </w:p>
          <w:p w14:paraId="5A45691B" w14:textId="77777777" w:rsidR="007B469B" w:rsidRPr="00667DA4" w:rsidRDefault="007B469B" w:rsidP="00FE09BC">
            <w:pPr>
              <w:spacing w:after="0" w:line="240" w:lineRule="auto"/>
              <w:jc w:val="center"/>
              <w:rPr>
                <w:rFonts w:eastAsia="Times New Roman" w:cs="Arial"/>
                <w:bCs/>
                <w:sz w:val="17"/>
                <w:szCs w:val="17"/>
                <w:lang w:eastAsia="en-GB"/>
              </w:rPr>
            </w:pPr>
            <w:r w:rsidRPr="00667DA4">
              <w:rPr>
                <w:rFonts w:eastAsia="Times New Roman" w:cs="Arial"/>
                <w:bCs/>
                <w:sz w:val="17"/>
                <w:szCs w:val="17"/>
                <w:lang w:eastAsia="en-GB"/>
              </w:rPr>
              <w:t>(N= 5451)</w:t>
            </w:r>
          </w:p>
        </w:tc>
        <w:tc>
          <w:tcPr>
            <w:tcW w:w="1701" w:type="dxa"/>
            <w:shd w:val="clear" w:color="auto" w:fill="auto"/>
            <w:noWrap/>
            <w:vAlign w:val="bottom"/>
            <w:hideMark/>
          </w:tcPr>
          <w:p w14:paraId="33DE2134" w14:textId="77777777" w:rsidR="007B469B" w:rsidRPr="00667DA4" w:rsidRDefault="007B469B" w:rsidP="00FE09BC">
            <w:pPr>
              <w:spacing w:after="0" w:line="240" w:lineRule="auto"/>
              <w:jc w:val="center"/>
              <w:rPr>
                <w:rFonts w:eastAsia="Times New Roman" w:cs="Arial"/>
                <w:b/>
                <w:sz w:val="17"/>
                <w:szCs w:val="17"/>
                <w:lang w:eastAsia="en-GB"/>
              </w:rPr>
            </w:pPr>
            <w:r w:rsidRPr="00667DA4">
              <w:rPr>
                <w:rFonts w:eastAsia="Times New Roman" w:cs="Arial"/>
                <w:b/>
                <w:sz w:val="17"/>
                <w:szCs w:val="17"/>
                <w:lang w:eastAsia="en-GB"/>
              </w:rPr>
              <w:t>Neither drug</w:t>
            </w:r>
          </w:p>
          <w:p w14:paraId="6BAC8D0C"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(N = 5045)</w:t>
            </w:r>
          </w:p>
        </w:tc>
        <w:tc>
          <w:tcPr>
            <w:tcW w:w="1560" w:type="dxa"/>
            <w:shd w:val="clear" w:color="auto" w:fill="auto"/>
            <w:noWrap/>
            <w:vAlign w:val="bottom"/>
            <w:hideMark/>
          </w:tcPr>
          <w:p w14:paraId="55ABF84C" w14:textId="77777777" w:rsidR="007B469B" w:rsidRPr="00667DA4" w:rsidRDefault="007B469B" w:rsidP="00FE09BC">
            <w:pPr>
              <w:spacing w:after="0" w:line="240" w:lineRule="auto"/>
              <w:jc w:val="center"/>
              <w:rPr>
                <w:rFonts w:eastAsia="Times New Roman" w:cs="Arial"/>
                <w:b/>
                <w:sz w:val="17"/>
                <w:szCs w:val="17"/>
                <w:lang w:eastAsia="en-GB"/>
              </w:rPr>
            </w:pPr>
            <w:r w:rsidRPr="00667DA4">
              <w:rPr>
                <w:rFonts w:eastAsia="Times New Roman" w:cs="Arial"/>
                <w:b/>
                <w:sz w:val="17"/>
                <w:szCs w:val="17"/>
                <w:lang w:eastAsia="en-GB"/>
              </w:rPr>
              <w:t>HRT</w:t>
            </w:r>
          </w:p>
          <w:p w14:paraId="41616E06"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(N = 235)</w:t>
            </w:r>
          </w:p>
        </w:tc>
        <w:tc>
          <w:tcPr>
            <w:tcW w:w="1417" w:type="dxa"/>
            <w:shd w:val="clear" w:color="auto" w:fill="auto"/>
            <w:noWrap/>
            <w:vAlign w:val="bottom"/>
            <w:hideMark/>
          </w:tcPr>
          <w:p w14:paraId="51C6C408" w14:textId="77777777" w:rsidR="007B469B" w:rsidRPr="00667DA4" w:rsidRDefault="007B469B" w:rsidP="00FE09BC">
            <w:pPr>
              <w:spacing w:after="0" w:line="240" w:lineRule="auto"/>
              <w:jc w:val="center"/>
              <w:rPr>
                <w:rFonts w:eastAsia="Times New Roman" w:cs="Arial"/>
                <w:b/>
                <w:sz w:val="17"/>
                <w:szCs w:val="17"/>
                <w:lang w:eastAsia="en-GB"/>
              </w:rPr>
            </w:pPr>
            <w:r w:rsidRPr="00667DA4">
              <w:rPr>
                <w:rFonts w:eastAsia="Times New Roman" w:cs="Arial"/>
                <w:b/>
                <w:sz w:val="17"/>
                <w:szCs w:val="17"/>
                <w:lang w:eastAsia="en-GB"/>
              </w:rPr>
              <w:t xml:space="preserve">COCP </w:t>
            </w:r>
          </w:p>
          <w:p w14:paraId="515B374E"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(N = 171)</w:t>
            </w:r>
          </w:p>
        </w:tc>
      </w:tr>
      <w:tr w:rsidR="00667DA4" w:rsidRPr="00667DA4" w14:paraId="69683DC8" w14:textId="77777777" w:rsidTr="00377099">
        <w:trPr>
          <w:trHeight w:val="290"/>
        </w:trPr>
        <w:tc>
          <w:tcPr>
            <w:tcW w:w="8032" w:type="dxa"/>
            <w:gridSpan w:val="5"/>
          </w:tcPr>
          <w:p w14:paraId="5820479D"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b/>
                <w:bCs/>
                <w:i/>
                <w:iCs/>
                <w:sz w:val="17"/>
                <w:szCs w:val="17"/>
                <w:lang w:eastAsia="en-GB"/>
              </w:rPr>
              <w:t>Sociodemographic</w:t>
            </w:r>
          </w:p>
        </w:tc>
      </w:tr>
      <w:tr w:rsidR="00667DA4" w:rsidRPr="00667DA4" w14:paraId="08A85768" w14:textId="77777777" w:rsidTr="00377099">
        <w:trPr>
          <w:trHeight w:val="290"/>
        </w:trPr>
        <w:tc>
          <w:tcPr>
            <w:tcW w:w="1898" w:type="dxa"/>
            <w:shd w:val="clear" w:color="auto" w:fill="auto"/>
            <w:vAlign w:val="center"/>
            <w:hideMark/>
          </w:tcPr>
          <w:p w14:paraId="5F170323"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lastRenderedPageBreak/>
              <w:t>Age (years) *</w:t>
            </w:r>
          </w:p>
        </w:tc>
        <w:tc>
          <w:tcPr>
            <w:tcW w:w="1456" w:type="dxa"/>
            <w:vAlign w:val="bottom"/>
          </w:tcPr>
          <w:p w14:paraId="10E03B9F"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59.0 (21.7)</w:t>
            </w:r>
          </w:p>
        </w:tc>
        <w:tc>
          <w:tcPr>
            <w:tcW w:w="1701" w:type="dxa"/>
            <w:shd w:val="clear" w:color="auto" w:fill="auto"/>
            <w:noWrap/>
            <w:vAlign w:val="bottom"/>
            <w:hideMark/>
          </w:tcPr>
          <w:p w14:paraId="055BF771" w14:textId="77777777" w:rsidR="007B469B" w:rsidRPr="00667DA4" w:rsidRDefault="007B469B" w:rsidP="00FE09BC">
            <w:pPr>
              <w:spacing w:after="0" w:line="240" w:lineRule="auto"/>
              <w:jc w:val="center"/>
              <w:rPr>
                <w:rFonts w:eastAsia="Times New Roman" w:cs="Arial"/>
                <w:sz w:val="17"/>
                <w:szCs w:val="17"/>
                <w:lang w:eastAsia="en-GB"/>
              </w:rPr>
            </w:pPr>
          </w:p>
          <w:p w14:paraId="343051C4"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60.2 (21.7)</w:t>
            </w:r>
          </w:p>
        </w:tc>
        <w:tc>
          <w:tcPr>
            <w:tcW w:w="1560" w:type="dxa"/>
            <w:shd w:val="clear" w:color="auto" w:fill="auto"/>
            <w:noWrap/>
            <w:vAlign w:val="bottom"/>
            <w:hideMark/>
          </w:tcPr>
          <w:p w14:paraId="3CBD8A0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54.6 (9.4)</w:t>
            </w:r>
          </w:p>
        </w:tc>
        <w:tc>
          <w:tcPr>
            <w:tcW w:w="1417" w:type="dxa"/>
            <w:shd w:val="clear" w:color="auto" w:fill="auto"/>
            <w:noWrap/>
            <w:vAlign w:val="bottom"/>
          </w:tcPr>
          <w:p w14:paraId="4E64B609"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29.3 (7.4)</w:t>
            </w:r>
          </w:p>
        </w:tc>
      </w:tr>
      <w:tr w:rsidR="00667DA4" w:rsidRPr="00667DA4" w14:paraId="1C84C0F5" w14:textId="77777777" w:rsidTr="00377099">
        <w:trPr>
          <w:trHeight w:val="290"/>
        </w:trPr>
        <w:tc>
          <w:tcPr>
            <w:tcW w:w="1898" w:type="dxa"/>
            <w:shd w:val="clear" w:color="auto" w:fill="auto"/>
            <w:vAlign w:val="center"/>
            <w:hideMark/>
          </w:tcPr>
          <w:p w14:paraId="3D2DE5FB"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Ethnicity recorded</w:t>
            </w:r>
          </w:p>
        </w:tc>
        <w:tc>
          <w:tcPr>
            <w:tcW w:w="1456" w:type="dxa"/>
            <w:vAlign w:val="bottom"/>
          </w:tcPr>
          <w:p w14:paraId="24DCA6AD"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4356 (79.9)</w:t>
            </w:r>
          </w:p>
        </w:tc>
        <w:tc>
          <w:tcPr>
            <w:tcW w:w="1701" w:type="dxa"/>
            <w:shd w:val="clear" w:color="auto" w:fill="auto"/>
            <w:noWrap/>
            <w:vAlign w:val="bottom"/>
          </w:tcPr>
          <w:p w14:paraId="3FF3022E"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4024 (79.8)</w:t>
            </w:r>
          </w:p>
        </w:tc>
        <w:tc>
          <w:tcPr>
            <w:tcW w:w="1560" w:type="dxa"/>
            <w:shd w:val="clear" w:color="auto" w:fill="auto"/>
            <w:noWrap/>
            <w:vAlign w:val="bottom"/>
          </w:tcPr>
          <w:p w14:paraId="68A7758D"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193 (82.1)</w:t>
            </w:r>
          </w:p>
        </w:tc>
        <w:tc>
          <w:tcPr>
            <w:tcW w:w="1417" w:type="dxa"/>
            <w:shd w:val="clear" w:color="auto" w:fill="auto"/>
            <w:noWrap/>
            <w:vAlign w:val="bottom"/>
          </w:tcPr>
          <w:p w14:paraId="7B559010"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139 (81.3)</w:t>
            </w:r>
          </w:p>
        </w:tc>
      </w:tr>
      <w:tr w:rsidR="00667DA4" w:rsidRPr="00667DA4" w14:paraId="714251FB" w14:textId="77777777" w:rsidTr="00377099">
        <w:trPr>
          <w:trHeight w:val="290"/>
        </w:trPr>
        <w:tc>
          <w:tcPr>
            <w:tcW w:w="1898" w:type="dxa"/>
            <w:shd w:val="clear" w:color="auto" w:fill="auto"/>
            <w:vAlign w:val="center"/>
          </w:tcPr>
          <w:p w14:paraId="2BEB3652"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White</w:t>
            </w:r>
          </w:p>
        </w:tc>
        <w:tc>
          <w:tcPr>
            <w:tcW w:w="1456" w:type="dxa"/>
            <w:vAlign w:val="bottom"/>
          </w:tcPr>
          <w:p w14:paraId="798FADEB"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3534 (64.8)</w:t>
            </w:r>
          </w:p>
        </w:tc>
        <w:tc>
          <w:tcPr>
            <w:tcW w:w="1701" w:type="dxa"/>
            <w:shd w:val="clear" w:color="auto" w:fill="auto"/>
            <w:noWrap/>
            <w:vAlign w:val="bottom"/>
          </w:tcPr>
          <w:p w14:paraId="1810112D"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3231 (64.0)</w:t>
            </w:r>
          </w:p>
        </w:tc>
        <w:tc>
          <w:tcPr>
            <w:tcW w:w="1560" w:type="dxa"/>
            <w:shd w:val="clear" w:color="auto" w:fill="auto"/>
            <w:noWrap/>
            <w:vAlign w:val="bottom"/>
          </w:tcPr>
          <w:p w14:paraId="3B6FA81D"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179 (76.2)</w:t>
            </w:r>
          </w:p>
        </w:tc>
        <w:tc>
          <w:tcPr>
            <w:tcW w:w="1417" w:type="dxa"/>
            <w:shd w:val="clear" w:color="auto" w:fill="auto"/>
            <w:noWrap/>
            <w:vAlign w:val="bottom"/>
          </w:tcPr>
          <w:p w14:paraId="4591464A"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124(72.5)</w:t>
            </w:r>
          </w:p>
        </w:tc>
      </w:tr>
      <w:tr w:rsidR="00667DA4" w:rsidRPr="00667DA4" w14:paraId="0E9CDE01" w14:textId="77777777" w:rsidTr="00377099">
        <w:trPr>
          <w:trHeight w:val="290"/>
        </w:trPr>
        <w:tc>
          <w:tcPr>
            <w:tcW w:w="1898" w:type="dxa"/>
            <w:shd w:val="clear" w:color="auto" w:fill="auto"/>
            <w:vAlign w:val="center"/>
          </w:tcPr>
          <w:p w14:paraId="185006DE"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Asian</w:t>
            </w:r>
          </w:p>
        </w:tc>
        <w:tc>
          <w:tcPr>
            <w:tcW w:w="1456" w:type="dxa"/>
            <w:vAlign w:val="bottom"/>
          </w:tcPr>
          <w:p w14:paraId="51242FB7"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510 (9.4)</w:t>
            </w:r>
          </w:p>
        </w:tc>
        <w:tc>
          <w:tcPr>
            <w:tcW w:w="1701" w:type="dxa"/>
            <w:shd w:val="clear" w:color="auto" w:fill="auto"/>
            <w:noWrap/>
            <w:vAlign w:val="bottom"/>
          </w:tcPr>
          <w:p w14:paraId="74475ABE"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497 (9.9)</w:t>
            </w:r>
          </w:p>
        </w:tc>
        <w:tc>
          <w:tcPr>
            <w:tcW w:w="1560" w:type="dxa"/>
            <w:shd w:val="clear" w:color="auto" w:fill="auto"/>
            <w:noWrap/>
            <w:vAlign w:val="bottom"/>
          </w:tcPr>
          <w:p w14:paraId="70710E00"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6 (2.6)</w:t>
            </w:r>
          </w:p>
        </w:tc>
        <w:tc>
          <w:tcPr>
            <w:tcW w:w="1417" w:type="dxa"/>
            <w:shd w:val="clear" w:color="auto" w:fill="auto"/>
            <w:noWrap/>
            <w:vAlign w:val="bottom"/>
          </w:tcPr>
          <w:p w14:paraId="3C331441"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7 (4.1)</w:t>
            </w:r>
          </w:p>
        </w:tc>
      </w:tr>
      <w:tr w:rsidR="00667DA4" w:rsidRPr="00667DA4" w14:paraId="577B1BB2" w14:textId="77777777" w:rsidTr="00377099">
        <w:trPr>
          <w:trHeight w:val="290"/>
        </w:trPr>
        <w:tc>
          <w:tcPr>
            <w:tcW w:w="1898" w:type="dxa"/>
            <w:shd w:val="clear" w:color="auto" w:fill="auto"/>
            <w:vAlign w:val="center"/>
          </w:tcPr>
          <w:p w14:paraId="32FD7E6B"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Black</w:t>
            </w:r>
          </w:p>
        </w:tc>
        <w:tc>
          <w:tcPr>
            <w:tcW w:w="1456" w:type="dxa"/>
            <w:vAlign w:val="bottom"/>
          </w:tcPr>
          <w:p w14:paraId="41E78F3C"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211 (3.9)</w:t>
            </w:r>
          </w:p>
        </w:tc>
        <w:tc>
          <w:tcPr>
            <w:tcW w:w="1701" w:type="dxa"/>
            <w:shd w:val="clear" w:color="auto" w:fill="auto"/>
            <w:noWrap/>
            <w:vAlign w:val="bottom"/>
          </w:tcPr>
          <w:p w14:paraId="6B6ECBC2"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203 (4.0)</w:t>
            </w:r>
          </w:p>
        </w:tc>
        <w:tc>
          <w:tcPr>
            <w:tcW w:w="1560" w:type="dxa"/>
            <w:shd w:val="clear" w:color="auto" w:fill="auto"/>
            <w:noWrap/>
            <w:vAlign w:val="bottom"/>
          </w:tcPr>
          <w:p w14:paraId="148BBEF3"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 (1.7)</w:t>
            </w:r>
          </w:p>
        </w:tc>
        <w:tc>
          <w:tcPr>
            <w:tcW w:w="1417" w:type="dxa"/>
            <w:shd w:val="clear" w:color="auto" w:fill="auto"/>
            <w:noWrap/>
            <w:vAlign w:val="bottom"/>
          </w:tcPr>
          <w:p w14:paraId="5029324A"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 (2.3)</w:t>
            </w:r>
          </w:p>
        </w:tc>
      </w:tr>
      <w:tr w:rsidR="00667DA4" w:rsidRPr="00667DA4" w14:paraId="4AB9B665" w14:textId="77777777" w:rsidTr="00377099">
        <w:trPr>
          <w:trHeight w:val="290"/>
        </w:trPr>
        <w:tc>
          <w:tcPr>
            <w:tcW w:w="1898" w:type="dxa"/>
            <w:shd w:val="clear" w:color="auto" w:fill="auto"/>
            <w:vAlign w:val="center"/>
          </w:tcPr>
          <w:p w14:paraId="28E25B33"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Mixed &amp; other</w:t>
            </w:r>
          </w:p>
        </w:tc>
        <w:tc>
          <w:tcPr>
            <w:tcW w:w="1456" w:type="dxa"/>
            <w:vAlign w:val="bottom"/>
          </w:tcPr>
          <w:p w14:paraId="0ED17DB6"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101 (1.9)</w:t>
            </w:r>
          </w:p>
        </w:tc>
        <w:tc>
          <w:tcPr>
            <w:tcW w:w="1701" w:type="dxa"/>
            <w:shd w:val="clear" w:color="auto" w:fill="auto"/>
            <w:noWrap/>
            <w:vAlign w:val="bottom"/>
          </w:tcPr>
          <w:p w14:paraId="15D05BDA"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93 (1.8)</w:t>
            </w:r>
          </w:p>
        </w:tc>
        <w:tc>
          <w:tcPr>
            <w:tcW w:w="1560" w:type="dxa"/>
            <w:shd w:val="clear" w:color="auto" w:fill="auto"/>
            <w:noWrap/>
            <w:vAlign w:val="bottom"/>
          </w:tcPr>
          <w:p w14:paraId="75607E87"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 (1.7)</w:t>
            </w:r>
          </w:p>
        </w:tc>
        <w:tc>
          <w:tcPr>
            <w:tcW w:w="1417" w:type="dxa"/>
            <w:shd w:val="clear" w:color="auto" w:fill="auto"/>
            <w:noWrap/>
            <w:vAlign w:val="bottom"/>
          </w:tcPr>
          <w:p w14:paraId="11E2F410"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 (2.3)</w:t>
            </w:r>
          </w:p>
        </w:tc>
      </w:tr>
      <w:tr w:rsidR="00667DA4" w:rsidRPr="00667DA4" w14:paraId="75BF9642" w14:textId="77777777" w:rsidTr="00377099">
        <w:trPr>
          <w:trHeight w:val="290"/>
        </w:trPr>
        <w:tc>
          <w:tcPr>
            <w:tcW w:w="1898" w:type="dxa"/>
            <w:shd w:val="clear" w:color="auto" w:fill="auto"/>
            <w:vAlign w:val="center"/>
          </w:tcPr>
          <w:p w14:paraId="51971D74"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IMD Quintile recorded</w:t>
            </w:r>
          </w:p>
        </w:tc>
        <w:tc>
          <w:tcPr>
            <w:tcW w:w="1456" w:type="dxa"/>
            <w:vAlign w:val="bottom"/>
          </w:tcPr>
          <w:p w14:paraId="2D51C009"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5326 (97.7)</w:t>
            </w:r>
          </w:p>
        </w:tc>
        <w:tc>
          <w:tcPr>
            <w:tcW w:w="1701" w:type="dxa"/>
            <w:shd w:val="clear" w:color="auto" w:fill="auto"/>
            <w:noWrap/>
            <w:vAlign w:val="bottom"/>
          </w:tcPr>
          <w:p w14:paraId="3440EB64"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4931 (97.7)</w:t>
            </w:r>
          </w:p>
        </w:tc>
        <w:tc>
          <w:tcPr>
            <w:tcW w:w="1560" w:type="dxa"/>
            <w:shd w:val="clear" w:color="auto" w:fill="auto"/>
            <w:noWrap/>
            <w:vAlign w:val="bottom"/>
          </w:tcPr>
          <w:p w14:paraId="3993382A"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232 (98.7)</w:t>
            </w:r>
          </w:p>
        </w:tc>
        <w:tc>
          <w:tcPr>
            <w:tcW w:w="1417" w:type="dxa"/>
            <w:shd w:val="clear" w:color="auto" w:fill="auto"/>
            <w:noWrap/>
            <w:vAlign w:val="bottom"/>
          </w:tcPr>
          <w:p w14:paraId="5FDE7F1E"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163 (95.3)</w:t>
            </w:r>
          </w:p>
        </w:tc>
      </w:tr>
      <w:tr w:rsidR="00667DA4" w:rsidRPr="00667DA4" w14:paraId="57F26461" w14:textId="77777777" w:rsidTr="00377099">
        <w:trPr>
          <w:trHeight w:val="290"/>
        </w:trPr>
        <w:tc>
          <w:tcPr>
            <w:tcW w:w="1898" w:type="dxa"/>
            <w:shd w:val="clear" w:color="auto" w:fill="auto"/>
            <w:vAlign w:val="center"/>
          </w:tcPr>
          <w:p w14:paraId="51F4658D"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5 (Least deprived)</w:t>
            </w:r>
          </w:p>
        </w:tc>
        <w:tc>
          <w:tcPr>
            <w:tcW w:w="1456" w:type="dxa"/>
            <w:vAlign w:val="bottom"/>
          </w:tcPr>
          <w:p w14:paraId="27E8AA91"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1136 (20.8)</w:t>
            </w:r>
          </w:p>
        </w:tc>
        <w:tc>
          <w:tcPr>
            <w:tcW w:w="1701" w:type="dxa"/>
            <w:shd w:val="clear" w:color="auto" w:fill="auto"/>
            <w:noWrap/>
            <w:vAlign w:val="bottom"/>
          </w:tcPr>
          <w:p w14:paraId="23E43613"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1018 (20.2)</w:t>
            </w:r>
          </w:p>
        </w:tc>
        <w:tc>
          <w:tcPr>
            <w:tcW w:w="1560" w:type="dxa"/>
            <w:shd w:val="clear" w:color="auto" w:fill="auto"/>
            <w:noWrap/>
            <w:vAlign w:val="bottom"/>
          </w:tcPr>
          <w:p w14:paraId="04FB2FA1"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74 (31.5)</w:t>
            </w:r>
          </w:p>
        </w:tc>
        <w:tc>
          <w:tcPr>
            <w:tcW w:w="1417" w:type="dxa"/>
            <w:shd w:val="clear" w:color="auto" w:fill="auto"/>
            <w:noWrap/>
            <w:vAlign w:val="bottom"/>
          </w:tcPr>
          <w:p w14:paraId="335ED3DC"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44 (25.7)</w:t>
            </w:r>
          </w:p>
        </w:tc>
      </w:tr>
      <w:tr w:rsidR="00667DA4" w:rsidRPr="00667DA4" w14:paraId="1FE21947" w14:textId="77777777" w:rsidTr="00377099">
        <w:trPr>
          <w:trHeight w:val="290"/>
        </w:trPr>
        <w:tc>
          <w:tcPr>
            <w:tcW w:w="1898" w:type="dxa"/>
            <w:shd w:val="clear" w:color="auto" w:fill="auto"/>
            <w:vAlign w:val="center"/>
          </w:tcPr>
          <w:p w14:paraId="0901C5B1"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4</w:t>
            </w:r>
          </w:p>
        </w:tc>
        <w:tc>
          <w:tcPr>
            <w:tcW w:w="1456" w:type="dxa"/>
            <w:vAlign w:val="bottom"/>
          </w:tcPr>
          <w:p w14:paraId="2409D2B9"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1088 (20.0)</w:t>
            </w:r>
          </w:p>
        </w:tc>
        <w:tc>
          <w:tcPr>
            <w:tcW w:w="1701" w:type="dxa"/>
            <w:shd w:val="clear" w:color="auto" w:fill="auto"/>
            <w:noWrap/>
            <w:vAlign w:val="bottom"/>
          </w:tcPr>
          <w:p w14:paraId="27E5B842"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999 (19.8)</w:t>
            </w:r>
          </w:p>
        </w:tc>
        <w:tc>
          <w:tcPr>
            <w:tcW w:w="1560" w:type="dxa"/>
            <w:shd w:val="clear" w:color="auto" w:fill="auto"/>
            <w:noWrap/>
            <w:vAlign w:val="bottom"/>
          </w:tcPr>
          <w:p w14:paraId="32DA8688"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58 (24.7)</w:t>
            </w:r>
          </w:p>
        </w:tc>
        <w:tc>
          <w:tcPr>
            <w:tcW w:w="1417" w:type="dxa"/>
            <w:shd w:val="clear" w:color="auto" w:fill="auto"/>
            <w:noWrap/>
            <w:vAlign w:val="bottom"/>
          </w:tcPr>
          <w:p w14:paraId="0467DEFC"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31 (18.1)</w:t>
            </w:r>
          </w:p>
        </w:tc>
      </w:tr>
      <w:tr w:rsidR="00667DA4" w:rsidRPr="00667DA4" w14:paraId="528D361C" w14:textId="77777777" w:rsidTr="00377099">
        <w:trPr>
          <w:trHeight w:val="290"/>
        </w:trPr>
        <w:tc>
          <w:tcPr>
            <w:tcW w:w="1898" w:type="dxa"/>
            <w:shd w:val="clear" w:color="auto" w:fill="auto"/>
            <w:vAlign w:val="center"/>
          </w:tcPr>
          <w:p w14:paraId="3FF08751"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3</w:t>
            </w:r>
          </w:p>
        </w:tc>
        <w:tc>
          <w:tcPr>
            <w:tcW w:w="1456" w:type="dxa"/>
            <w:vAlign w:val="bottom"/>
          </w:tcPr>
          <w:p w14:paraId="0984160E"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1054 (19.3)</w:t>
            </w:r>
          </w:p>
        </w:tc>
        <w:tc>
          <w:tcPr>
            <w:tcW w:w="1701" w:type="dxa"/>
            <w:shd w:val="clear" w:color="auto" w:fill="auto"/>
            <w:noWrap/>
            <w:vAlign w:val="bottom"/>
          </w:tcPr>
          <w:p w14:paraId="2B4ED29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986 (19.5)</w:t>
            </w:r>
          </w:p>
        </w:tc>
        <w:tc>
          <w:tcPr>
            <w:tcW w:w="1560" w:type="dxa"/>
            <w:shd w:val="clear" w:color="auto" w:fill="auto"/>
            <w:noWrap/>
            <w:vAlign w:val="bottom"/>
          </w:tcPr>
          <w:p w14:paraId="09F15A26"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36 (15.3)</w:t>
            </w:r>
          </w:p>
        </w:tc>
        <w:tc>
          <w:tcPr>
            <w:tcW w:w="1417" w:type="dxa"/>
            <w:shd w:val="clear" w:color="auto" w:fill="auto"/>
            <w:noWrap/>
            <w:vAlign w:val="bottom"/>
          </w:tcPr>
          <w:p w14:paraId="0B1C2A3E"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32 (18.7)</w:t>
            </w:r>
          </w:p>
        </w:tc>
      </w:tr>
      <w:tr w:rsidR="00667DA4" w:rsidRPr="00667DA4" w14:paraId="48EB3402" w14:textId="77777777" w:rsidTr="00377099">
        <w:trPr>
          <w:trHeight w:val="290"/>
        </w:trPr>
        <w:tc>
          <w:tcPr>
            <w:tcW w:w="1898" w:type="dxa"/>
            <w:shd w:val="clear" w:color="auto" w:fill="auto"/>
            <w:vAlign w:val="center"/>
          </w:tcPr>
          <w:p w14:paraId="0E61A2BF"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1&amp;2 (Most deprived)</w:t>
            </w:r>
          </w:p>
        </w:tc>
        <w:tc>
          <w:tcPr>
            <w:tcW w:w="1456" w:type="dxa"/>
            <w:vAlign w:val="bottom"/>
          </w:tcPr>
          <w:p w14:paraId="52AD334E"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2048 (37.6)</w:t>
            </w:r>
          </w:p>
        </w:tc>
        <w:tc>
          <w:tcPr>
            <w:tcW w:w="1701" w:type="dxa"/>
            <w:shd w:val="clear" w:color="auto" w:fill="auto"/>
            <w:noWrap/>
            <w:vAlign w:val="bottom"/>
          </w:tcPr>
          <w:p w14:paraId="599620D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1928 (38.2)</w:t>
            </w:r>
          </w:p>
        </w:tc>
        <w:tc>
          <w:tcPr>
            <w:tcW w:w="1560" w:type="dxa"/>
            <w:shd w:val="clear" w:color="auto" w:fill="auto"/>
            <w:noWrap/>
            <w:vAlign w:val="bottom"/>
          </w:tcPr>
          <w:p w14:paraId="6F7681FD"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64 (27.2)</w:t>
            </w:r>
          </w:p>
        </w:tc>
        <w:tc>
          <w:tcPr>
            <w:tcW w:w="1417" w:type="dxa"/>
            <w:shd w:val="clear" w:color="auto" w:fill="auto"/>
            <w:noWrap/>
            <w:vAlign w:val="bottom"/>
          </w:tcPr>
          <w:p w14:paraId="3065B55B"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56 (32.7)</w:t>
            </w:r>
          </w:p>
        </w:tc>
      </w:tr>
      <w:tr w:rsidR="00667DA4" w:rsidRPr="00667DA4" w14:paraId="2552DBC1" w14:textId="77777777" w:rsidTr="00377099">
        <w:trPr>
          <w:trHeight w:val="290"/>
        </w:trPr>
        <w:tc>
          <w:tcPr>
            <w:tcW w:w="1898" w:type="dxa"/>
            <w:shd w:val="clear" w:color="auto" w:fill="auto"/>
            <w:vAlign w:val="center"/>
          </w:tcPr>
          <w:p w14:paraId="0237034D"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Settlement or population density</w:t>
            </w:r>
          </w:p>
        </w:tc>
        <w:tc>
          <w:tcPr>
            <w:tcW w:w="1456" w:type="dxa"/>
            <w:vAlign w:val="bottom"/>
          </w:tcPr>
          <w:p w14:paraId="13865AE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5328 (97.7)</w:t>
            </w:r>
          </w:p>
        </w:tc>
        <w:tc>
          <w:tcPr>
            <w:tcW w:w="1701" w:type="dxa"/>
            <w:shd w:val="clear" w:color="auto" w:fill="auto"/>
            <w:noWrap/>
            <w:vAlign w:val="bottom"/>
          </w:tcPr>
          <w:p w14:paraId="2459C65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4933 (97.8)</w:t>
            </w:r>
          </w:p>
        </w:tc>
        <w:tc>
          <w:tcPr>
            <w:tcW w:w="1560" w:type="dxa"/>
            <w:shd w:val="clear" w:color="auto" w:fill="auto"/>
            <w:noWrap/>
            <w:vAlign w:val="bottom"/>
          </w:tcPr>
          <w:p w14:paraId="231A6BC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232 (98.7)</w:t>
            </w:r>
          </w:p>
        </w:tc>
        <w:tc>
          <w:tcPr>
            <w:tcW w:w="1417" w:type="dxa"/>
            <w:shd w:val="clear" w:color="auto" w:fill="auto"/>
            <w:noWrap/>
            <w:vAlign w:val="bottom"/>
          </w:tcPr>
          <w:p w14:paraId="47A5239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163 (95.3)</w:t>
            </w:r>
          </w:p>
        </w:tc>
      </w:tr>
      <w:tr w:rsidR="00667DA4" w:rsidRPr="00667DA4" w14:paraId="236D31E0" w14:textId="77777777" w:rsidTr="00377099">
        <w:trPr>
          <w:trHeight w:val="290"/>
        </w:trPr>
        <w:tc>
          <w:tcPr>
            <w:tcW w:w="1898" w:type="dxa"/>
            <w:shd w:val="clear" w:color="auto" w:fill="auto"/>
            <w:vAlign w:val="center"/>
          </w:tcPr>
          <w:p w14:paraId="76C53FAB"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Rural</w:t>
            </w:r>
          </w:p>
        </w:tc>
        <w:tc>
          <w:tcPr>
            <w:tcW w:w="1456" w:type="dxa"/>
            <w:vAlign w:val="bottom"/>
          </w:tcPr>
          <w:p w14:paraId="08288B0B"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933 (17.1)</w:t>
            </w:r>
          </w:p>
        </w:tc>
        <w:tc>
          <w:tcPr>
            <w:tcW w:w="1701" w:type="dxa"/>
            <w:shd w:val="clear" w:color="auto" w:fill="auto"/>
            <w:noWrap/>
            <w:vAlign w:val="bottom"/>
          </w:tcPr>
          <w:p w14:paraId="166AEBA8"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833 (16.5)</w:t>
            </w:r>
          </w:p>
        </w:tc>
        <w:tc>
          <w:tcPr>
            <w:tcW w:w="1560" w:type="dxa"/>
            <w:shd w:val="clear" w:color="auto" w:fill="auto"/>
            <w:noWrap/>
            <w:vAlign w:val="bottom"/>
          </w:tcPr>
          <w:p w14:paraId="1EDF4A86"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65 (27.7)</w:t>
            </w:r>
          </w:p>
        </w:tc>
        <w:tc>
          <w:tcPr>
            <w:tcW w:w="1417" w:type="dxa"/>
            <w:shd w:val="clear" w:color="auto" w:fill="auto"/>
            <w:noWrap/>
            <w:vAlign w:val="bottom"/>
          </w:tcPr>
          <w:p w14:paraId="773ABCE2"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35 (20.5)</w:t>
            </w:r>
          </w:p>
        </w:tc>
      </w:tr>
      <w:tr w:rsidR="00667DA4" w:rsidRPr="00667DA4" w14:paraId="05915978" w14:textId="77777777" w:rsidTr="00377099">
        <w:trPr>
          <w:trHeight w:val="290"/>
        </w:trPr>
        <w:tc>
          <w:tcPr>
            <w:tcW w:w="1898" w:type="dxa"/>
            <w:shd w:val="clear" w:color="auto" w:fill="auto"/>
            <w:vAlign w:val="center"/>
          </w:tcPr>
          <w:p w14:paraId="2F1F16F2"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Urban</w:t>
            </w:r>
          </w:p>
        </w:tc>
        <w:tc>
          <w:tcPr>
            <w:tcW w:w="1456" w:type="dxa"/>
            <w:vAlign w:val="bottom"/>
          </w:tcPr>
          <w:p w14:paraId="56C02112"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4395 (80.6)</w:t>
            </w:r>
          </w:p>
        </w:tc>
        <w:tc>
          <w:tcPr>
            <w:tcW w:w="1701" w:type="dxa"/>
            <w:shd w:val="clear" w:color="auto" w:fill="auto"/>
            <w:noWrap/>
            <w:vAlign w:val="bottom"/>
          </w:tcPr>
          <w:p w14:paraId="23C1A39B"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4100 (81.3)</w:t>
            </w:r>
          </w:p>
        </w:tc>
        <w:tc>
          <w:tcPr>
            <w:tcW w:w="1560" w:type="dxa"/>
            <w:shd w:val="clear" w:color="auto" w:fill="auto"/>
            <w:noWrap/>
            <w:vAlign w:val="bottom"/>
          </w:tcPr>
          <w:p w14:paraId="56AE32A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167 (71.1)</w:t>
            </w:r>
          </w:p>
        </w:tc>
        <w:tc>
          <w:tcPr>
            <w:tcW w:w="1417" w:type="dxa"/>
            <w:shd w:val="clear" w:color="auto" w:fill="auto"/>
            <w:noWrap/>
            <w:vAlign w:val="bottom"/>
          </w:tcPr>
          <w:p w14:paraId="73D9CCC3"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128 (74.9)</w:t>
            </w:r>
          </w:p>
        </w:tc>
      </w:tr>
      <w:tr w:rsidR="00667DA4" w:rsidRPr="00667DA4" w14:paraId="152E98CE" w14:textId="77777777" w:rsidTr="00377099">
        <w:trPr>
          <w:trHeight w:val="290"/>
        </w:trPr>
        <w:tc>
          <w:tcPr>
            <w:tcW w:w="8032" w:type="dxa"/>
            <w:gridSpan w:val="5"/>
          </w:tcPr>
          <w:p w14:paraId="3421F130"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b/>
                <w:bCs/>
                <w:i/>
                <w:iCs/>
                <w:sz w:val="17"/>
                <w:szCs w:val="17"/>
                <w:lang w:eastAsia="en-GB"/>
              </w:rPr>
              <w:t xml:space="preserve">Clinical  </w:t>
            </w:r>
          </w:p>
        </w:tc>
      </w:tr>
      <w:tr w:rsidR="00667DA4" w:rsidRPr="00667DA4" w14:paraId="278DD843" w14:textId="77777777" w:rsidTr="00377099">
        <w:trPr>
          <w:trHeight w:val="290"/>
        </w:trPr>
        <w:tc>
          <w:tcPr>
            <w:tcW w:w="1898" w:type="dxa"/>
            <w:shd w:val="clear" w:color="auto" w:fill="auto"/>
            <w:vAlign w:val="center"/>
          </w:tcPr>
          <w:p w14:paraId="37A8CC8F"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BMI recorded</w:t>
            </w:r>
          </w:p>
        </w:tc>
        <w:tc>
          <w:tcPr>
            <w:tcW w:w="1456" w:type="dxa"/>
            <w:vAlign w:val="bottom"/>
          </w:tcPr>
          <w:p w14:paraId="61BC6CDA"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5122 (94.0)</w:t>
            </w:r>
          </w:p>
        </w:tc>
        <w:tc>
          <w:tcPr>
            <w:tcW w:w="1701" w:type="dxa"/>
            <w:shd w:val="clear" w:color="auto" w:fill="auto"/>
            <w:noWrap/>
            <w:vAlign w:val="bottom"/>
          </w:tcPr>
          <w:p w14:paraId="14A8DE69"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4724 (93.6)</w:t>
            </w:r>
          </w:p>
        </w:tc>
        <w:tc>
          <w:tcPr>
            <w:tcW w:w="1560" w:type="dxa"/>
            <w:shd w:val="clear" w:color="auto" w:fill="auto"/>
            <w:noWrap/>
            <w:vAlign w:val="bottom"/>
          </w:tcPr>
          <w:p w14:paraId="2D69153F"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231 (98.3)</w:t>
            </w:r>
          </w:p>
        </w:tc>
        <w:tc>
          <w:tcPr>
            <w:tcW w:w="1417" w:type="dxa"/>
            <w:shd w:val="clear" w:color="auto" w:fill="auto"/>
            <w:noWrap/>
            <w:vAlign w:val="bottom"/>
          </w:tcPr>
          <w:p w14:paraId="3360E71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167 (97.7)</w:t>
            </w:r>
          </w:p>
        </w:tc>
      </w:tr>
      <w:tr w:rsidR="00667DA4" w:rsidRPr="00667DA4" w14:paraId="72D6086E" w14:textId="77777777" w:rsidTr="00377099">
        <w:trPr>
          <w:trHeight w:val="290"/>
        </w:trPr>
        <w:tc>
          <w:tcPr>
            <w:tcW w:w="1898" w:type="dxa"/>
            <w:shd w:val="clear" w:color="auto" w:fill="auto"/>
            <w:vAlign w:val="center"/>
            <w:hideMark/>
          </w:tcPr>
          <w:p w14:paraId="07AE4EB2"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BMI (kg/m</w:t>
            </w:r>
            <w:r w:rsidRPr="00667DA4">
              <w:rPr>
                <w:rFonts w:eastAsia="Times New Roman" w:cs="Arial"/>
                <w:sz w:val="17"/>
                <w:szCs w:val="17"/>
                <w:vertAlign w:val="superscript"/>
                <w:lang w:eastAsia="en-GB"/>
              </w:rPr>
              <w:t>2</w:t>
            </w:r>
            <w:r w:rsidRPr="00667DA4">
              <w:rPr>
                <w:rFonts w:eastAsia="Times New Roman" w:cs="Arial"/>
                <w:sz w:val="17"/>
                <w:szCs w:val="17"/>
                <w:lang w:eastAsia="en-GB"/>
              </w:rPr>
              <w:t xml:space="preserve">) </w:t>
            </w:r>
          </w:p>
        </w:tc>
        <w:tc>
          <w:tcPr>
            <w:tcW w:w="1456" w:type="dxa"/>
            <w:vAlign w:val="bottom"/>
          </w:tcPr>
          <w:p w14:paraId="450DB9A9"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28.2 (7.3)</w:t>
            </w:r>
          </w:p>
        </w:tc>
        <w:tc>
          <w:tcPr>
            <w:tcW w:w="1701" w:type="dxa"/>
            <w:shd w:val="clear" w:color="auto" w:fill="auto"/>
            <w:noWrap/>
            <w:vAlign w:val="bottom"/>
          </w:tcPr>
          <w:p w14:paraId="3A986EAC"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28.3 (7.3)</w:t>
            </w:r>
          </w:p>
        </w:tc>
        <w:tc>
          <w:tcPr>
            <w:tcW w:w="1560" w:type="dxa"/>
            <w:shd w:val="clear" w:color="auto" w:fill="auto"/>
            <w:noWrap/>
            <w:vAlign w:val="bottom"/>
          </w:tcPr>
          <w:p w14:paraId="04DA9401"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29.3 (6.4)</w:t>
            </w:r>
          </w:p>
        </w:tc>
        <w:tc>
          <w:tcPr>
            <w:tcW w:w="1417" w:type="dxa"/>
            <w:shd w:val="clear" w:color="auto" w:fill="auto"/>
            <w:noWrap/>
            <w:vAlign w:val="bottom"/>
          </w:tcPr>
          <w:p w14:paraId="506CA3D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24.55 (4.5)</w:t>
            </w:r>
          </w:p>
        </w:tc>
      </w:tr>
      <w:tr w:rsidR="00667DA4" w:rsidRPr="00667DA4" w14:paraId="4D955A43" w14:textId="77777777" w:rsidTr="00377099">
        <w:trPr>
          <w:trHeight w:val="290"/>
        </w:trPr>
        <w:tc>
          <w:tcPr>
            <w:tcW w:w="1898" w:type="dxa"/>
            <w:shd w:val="clear" w:color="auto" w:fill="auto"/>
            <w:vAlign w:val="center"/>
            <w:hideMark/>
          </w:tcPr>
          <w:p w14:paraId="180E4CF0"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Smoking status recorded</w:t>
            </w:r>
          </w:p>
        </w:tc>
        <w:tc>
          <w:tcPr>
            <w:tcW w:w="1456" w:type="dxa"/>
            <w:vAlign w:val="bottom"/>
          </w:tcPr>
          <w:p w14:paraId="77AA5918"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5328 (97.7)</w:t>
            </w:r>
          </w:p>
        </w:tc>
        <w:tc>
          <w:tcPr>
            <w:tcW w:w="1701" w:type="dxa"/>
            <w:shd w:val="clear" w:color="auto" w:fill="auto"/>
            <w:noWrap/>
            <w:vAlign w:val="bottom"/>
          </w:tcPr>
          <w:p w14:paraId="5D28D99D"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4928 (97.7)</w:t>
            </w:r>
          </w:p>
        </w:tc>
        <w:tc>
          <w:tcPr>
            <w:tcW w:w="1560" w:type="dxa"/>
            <w:shd w:val="clear" w:color="auto" w:fill="auto"/>
            <w:noWrap/>
            <w:vAlign w:val="bottom"/>
          </w:tcPr>
          <w:p w14:paraId="03314B7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233 (99.1)</w:t>
            </w:r>
          </w:p>
        </w:tc>
        <w:tc>
          <w:tcPr>
            <w:tcW w:w="1417" w:type="dxa"/>
            <w:shd w:val="clear" w:color="auto" w:fill="auto"/>
            <w:noWrap/>
            <w:vAlign w:val="bottom"/>
          </w:tcPr>
          <w:p w14:paraId="15287ECE"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167 (97.7)</w:t>
            </w:r>
          </w:p>
        </w:tc>
      </w:tr>
      <w:tr w:rsidR="00667DA4" w:rsidRPr="00667DA4" w14:paraId="121008C3" w14:textId="77777777" w:rsidTr="00377099">
        <w:trPr>
          <w:trHeight w:val="290"/>
        </w:trPr>
        <w:tc>
          <w:tcPr>
            <w:tcW w:w="1898" w:type="dxa"/>
            <w:shd w:val="clear" w:color="auto" w:fill="auto"/>
            <w:vAlign w:val="center"/>
          </w:tcPr>
          <w:p w14:paraId="75B49A5F"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Non-smoker</w:t>
            </w:r>
          </w:p>
        </w:tc>
        <w:tc>
          <w:tcPr>
            <w:tcW w:w="1456" w:type="dxa"/>
            <w:vAlign w:val="bottom"/>
          </w:tcPr>
          <w:p w14:paraId="2C932D24"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2128 (39.0)</w:t>
            </w:r>
          </w:p>
        </w:tc>
        <w:tc>
          <w:tcPr>
            <w:tcW w:w="1701" w:type="dxa"/>
            <w:shd w:val="clear" w:color="auto" w:fill="auto"/>
            <w:noWrap/>
            <w:vAlign w:val="bottom"/>
          </w:tcPr>
          <w:p w14:paraId="2537970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bdr w:val="none" w:sz="0" w:space="0" w:color="auto" w:frame="1"/>
                <w:lang w:eastAsia="en-GB"/>
              </w:rPr>
              <w:t xml:space="preserve">1969 (39.0)             </w:t>
            </w:r>
          </w:p>
        </w:tc>
        <w:tc>
          <w:tcPr>
            <w:tcW w:w="1560" w:type="dxa"/>
            <w:shd w:val="clear" w:color="auto" w:fill="auto"/>
            <w:noWrap/>
            <w:vAlign w:val="bottom"/>
          </w:tcPr>
          <w:p w14:paraId="60A96598"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bdr w:val="none" w:sz="0" w:space="0" w:color="auto" w:frame="1"/>
                <w:lang w:eastAsia="en-GB"/>
              </w:rPr>
              <w:t xml:space="preserve">67 (28.5)   </w:t>
            </w:r>
          </w:p>
        </w:tc>
        <w:tc>
          <w:tcPr>
            <w:tcW w:w="1417" w:type="dxa"/>
            <w:shd w:val="clear" w:color="auto" w:fill="auto"/>
            <w:noWrap/>
            <w:vAlign w:val="bottom"/>
          </w:tcPr>
          <w:p w14:paraId="5DAB5CB2"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92 (53.8)</w:t>
            </w:r>
          </w:p>
        </w:tc>
      </w:tr>
      <w:tr w:rsidR="00667DA4" w:rsidRPr="00667DA4" w14:paraId="788274B7" w14:textId="77777777" w:rsidTr="00377099">
        <w:trPr>
          <w:trHeight w:val="290"/>
        </w:trPr>
        <w:tc>
          <w:tcPr>
            <w:tcW w:w="1898" w:type="dxa"/>
            <w:shd w:val="clear" w:color="auto" w:fill="auto"/>
            <w:vAlign w:val="center"/>
          </w:tcPr>
          <w:p w14:paraId="0C2CCA21"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Active-smoker</w:t>
            </w:r>
          </w:p>
        </w:tc>
        <w:tc>
          <w:tcPr>
            <w:tcW w:w="1456" w:type="dxa"/>
            <w:vAlign w:val="bottom"/>
          </w:tcPr>
          <w:p w14:paraId="2D530AB0"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486 (8.9)</w:t>
            </w:r>
          </w:p>
        </w:tc>
        <w:tc>
          <w:tcPr>
            <w:tcW w:w="1701" w:type="dxa"/>
            <w:shd w:val="clear" w:color="auto" w:fill="auto"/>
            <w:noWrap/>
            <w:vAlign w:val="bottom"/>
          </w:tcPr>
          <w:p w14:paraId="65CDCC57"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bdr w:val="none" w:sz="0" w:space="0" w:color="auto" w:frame="1"/>
                <w:lang w:eastAsia="en-GB"/>
              </w:rPr>
              <w:t xml:space="preserve">447 (8.9)             </w:t>
            </w:r>
          </w:p>
        </w:tc>
        <w:tc>
          <w:tcPr>
            <w:tcW w:w="1560" w:type="dxa"/>
            <w:shd w:val="clear" w:color="auto" w:fill="auto"/>
            <w:noWrap/>
            <w:vAlign w:val="bottom"/>
          </w:tcPr>
          <w:p w14:paraId="23250D9C"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bdr w:val="none" w:sz="0" w:space="0" w:color="auto" w:frame="1"/>
                <w:lang w:eastAsia="en-GB"/>
              </w:rPr>
              <w:t>28 (11.9)</w:t>
            </w:r>
          </w:p>
        </w:tc>
        <w:tc>
          <w:tcPr>
            <w:tcW w:w="1417" w:type="dxa"/>
            <w:shd w:val="clear" w:color="auto" w:fill="auto"/>
            <w:noWrap/>
            <w:vAlign w:val="bottom"/>
          </w:tcPr>
          <w:p w14:paraId="5F87D1A4"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bdr w:val="none" w:sz="0" w:space="0" w:color="auto" w:frame="1"/>
                <w:lang w:eastAsia="en-GB"/>
              </w:rPr>
              <w:t xml:space="preserve">11 (6.4)     </w:t>
            </w:r>
          </w:p>
        </w:tc>
      </w:tr>
      <w:tr w:rsidR="00667DA4" w:rsidRPr="00667DA4" w14:paraId="5FB01A47" w14:textId="77777777" w:rsidTr="00377099">
        <w:trPr>
          <w:trHeight w:val="290"/>
        </w:trPr>
        <w:tc>
          <w:tcPr>
            <w:tcW w:w="1898" w:type="dxa"/>
            <w:shd w:val="clear" w:color="auto" w:fill="auto"/>
            <w:vAlign w:val="center"/>
          </w:tcPr>
          <w:p w14:paraId="3FC47F26"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Ex-smoker</w:t>
            </w:r>
          </w:p>
        </w:tc>
        <w:tc>
          <w:tcPr>
            <w:tcW w:w="1456" w:type="dxa"/>
            <w:vAlign w:val="bottom"/>
          </w:tcPr>
          <w:p w14:paraId="704EB99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2714 (49.8)</w:t>
            </w:r>
          </w:p>
        </w:tc>
        <w:tc>
          <w:tcPr>
            <w:tcW w:w="1701" w:type="dxa"/>
            <w:shd w:val="clear" w:color="auto" w:fill="auto"/>
            <w:noWrap/>
            <w:vAlign w:val="bottom"/>
          </w:tcPr>
          <w:p w14:paraId="17326EBC"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bdr w:val="none" w:sz="0" w:space="0" w:color="auto" w:frame="1"/>
                <w:lang w:eastAsia="en-GB"/>
              </w:rPr>
              <w:t xml:space="preserve">2512 (49.8)             </w:t>
            </w:r>
          </w:p>
        </w:tc>
        <w:tc>
          <w:tcPr>
            <w:tcW w:w="1560" w:type="dxa"/>
            <w:shd w:val="clear" w:color="auto" w:fill="auto"/>
            <w:noWrap/>
            <w:vAlign w:val="bottom"/>
          </w:tcPr>
          <w:p w14:paraId="04CEE177"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bdr w:val="none" w:sz="0" w:space="0" w:color="auto" w:frame="1"/>
                <w:lang w:eastAsia="en-GB"/>
              </w:rPr>
              <w:t xml:space="preserve">138 (58.7)   </w:t>
            </w:r>
          </w:p>
        </w:tc>
        <w:tc>
          <w:tcPr>
            <w:tcW w:w="1417" w:type="dxa"/>
            <w:shd w:val="clear" w:color="auto" w:fill="auto"/>
            <w:noWrap/>
            <w:vAlign w:val="bottom"/>
          </w:tcPr>
          <w:p w14:paraId="0FAC4A6E"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bdr w:val="none" w:sz="0" w:space="0" w:color="auto" w:frame="1"/>
                <w:lang w:eastAsia="en-GB"/>
              </w:rPr>
              <w:t xml:space="preserve">64 (37.4)    </w:t>
            </w:r>
          </w:p>
        </w:tc>
      </w:tr>
      <w:tr w:rsidR="00667DA4" w:rsidRPr="00667DA4" w14:paraId="49A7B4BC" w14:textId="77777777" w:rsidTr="00377099">
        <w:trPr>
          <w:trHeight w:val="290"/>
        </w:trPr>
        <w:tc>
          <w:tcPr>
            <w:tcW w:w="1898" w:type="dxa"/>
            <w:shd w:val="clear" w:color="auto" w:fill="auto"/>
            <w:vAlign w:val="center"/>
          </w:tcPr>
          <w:p w14:paraId="01ECF81A"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Co-morbidity*</w:t>
            </w:r>
          </w:p>
        </w:tc>
        <w:tc>
          <w:tcPr>
            <w:tcW w:w="1456" w:type="dxa"/>
            <w:vAlign w:val="bottom"/>
          </w:tcPr>
          <w:p w14:paraId="7AF6BCE8"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3001 (55.1)</w:t>
            </w:r>
          </w:p>
        </w:tc>
        <w:tc>
          <w:tcPr>
            <w:tcW w:w="1701" w:type="dxa"/>
            <w:shd w:val="clear" w:color="auto" w:fill="auto"/>
            <w:noWrap/>
            <w:vAlign w:val="bottom"/>
          </w:tcPr>
          <w:p w14:paraId="66BA0AB7"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bdr w:val="none" w:sz="0" w:space="0" w:color="auto" w:frame="1"/>
                <w:lang w:eastAsia="en-GB"/>
              </w:rPr>
              <w:t xml:space="preserve">2859 (56.7)  </w:t>
            </w:r>
          </w:p>
        </w:tc>
        <w:tc>
          <w:tcPr>
            <w:tcW w:w="1560" w:type="dxa"/>
            <w:shd w:val="clear" w:color="auto" w:fill="auto"/>
            <w:noWrap/>
            <w:vAlign w:val="bottom"/>
          </w:tcPr>
          <w:p w14:paraId="0A39F7C2"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bdr w:val="none" w:sz="0" w:space="0" w:color="auto" w:frame="1"/>
                <w:lang w:eastAsia="en-GB"/>
              </w:rPr>
              <w:t xml:space="preserve">116 (49.4)   </w:t>
            </w:r>
          </w:p>
        </w:tc>
        <w:tc>
          <w:tcPr>
            <w:tcW w:w="1417" w:type="dxa"/>
            <w:shd w:val="clear" w:color="auto" w:fill="auto"/>
            <w:noWrap/>
            <w:vAlign w:val="bottom"/>
          </w:tcPr>
          <w:p w14:paraId="6CE288D1"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bdr w:val="none" w:sz="0" w:space="0" w:color="auto" w:frame="1"/>
                <w:lang w:eastAsia="en-GB"/>
              </w:rPr>
              <w:t xml:space="preserve">26 (15.2)    </w:t>
            </w:r>
          </w:p>
        </w:tc>
      </w:tr>
      <w:tr w:rsidR="007B469B" w:rsidRPr="00667DA4" w14:paraId="3C6AA725" w14:textId="77777777" w:rsidTr="00377099">
        <w:trPr>
          <w:trHeight w:val="290"/>
        </w:trPr>
        <w:tc>
          <w:tcPr>
            <w:tcW w:w="1898" w:type="dxa"/>
            <w:shd w:val="clear" w:color="auto" w:fill="auto"/>
            <w:vAlign w:val="center"/>
          </w:tcPr>
          <w:p w14:paraId="41CD5F0C"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All medications**</w:t>
            </w:r>
          </w:p>
        </w:tc>
        <w:tc>
          <w:tcPr>
            <w:tcW w:w="1456" w:type="dxa"/>
            <w:vAlign w:val="bottom"/>
          </w:tcPr>
          <w:p w14:paraId="7EC42586"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2452 (45.0)</w:t>
            </w:r>
          </w:p>
        </w:tc>
        <w:tc>
          <w:tcPr>
            <w:tcW w:w="1701" w:type="dxa"/>
            <w:shd w:val="clear" w:color="auto" w:fill="auto"/>
            <w:noWrap/>
            <w:vAlign w:val="bottom"/>
          </w:tcPr>
          <w:p w14:paraId="45E08189"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bdr w:val="none" w:sz="0" w:space="0" w:color="auto" w:frame="1"/>
                <w:lang w:eastAsia="en-GB"/>
              </w:rPr>
              <w:t>2333 (46.2)</w:t>
            </w:r>
          </w:p>
        </w:tc>
        <w:tc>
          <w:tcPr>
            <w:tcW w:w="1560" w:type="dxa"/>
            <w:shd w:val="clear" w:color="auto" w:fill="auto"/>
            <w:noWrap/>
            <w:vAlign w:val="bottom"/>
          </w:tcPr>
          <w:p w14:paraId="50D64859"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bdr w:val="none" w:sz="0" w:space="0" w:color="auto" w:frame="1"/>
                <w:lang w:eastAsia="en-GB"/>
              </w:rPr>
              <w:t xml:space="preserve">100 (42.6)   </w:t>
            </w:r>
          </w:p>
        </w:tc>
        <w:tc>
          <w:tcPr>
            <w:tcW w:w="1417" w:type="dxa"/>
            <w:shd w:val="clear" w:color="auto" w:fill="auto"/>
            <w:noWrap/>
            <w:vAlign w:val="bottom"/>
          </w:tcPr>
          <w:p w14:paraId="47A26788"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bdr w:val="none" w:sz="0" w:space="0" w:color="auto" w:frame="1"/>
                <w:lang w:eastAsia="en-GB"/>
              </w:rPr>
              <w:t xml:space="preserve">19 (11.1)    </w:t>
            </w:r>
          </w:p>
        </w:tc>
      </w:tr>
    </w:tbl>
    <w:p w14:paraId="629B0F01" w14:textId="77777777" w:rsidR="007B469B" w:rsidRPr="00667DA4" w:rsidRDefault="007B469B" w:rsidP="00FE09BC">
      <w:pPr>
        <w:spacing w:line="240" w:lineRule="auto"/>
        <w:rPr>
          <w:rFonts w:cs="Arial"/>
          <w:sz w:val="17"/>
          <w:szCs w:val="17"/>
        </w:rPr>
      </w:pPr>
    </w:p>
    <w:p w14:paraId="719B8E06" w14:textId="77777777" w:rsidR="007B469B" w:rsidRPr="00667DA4" w:rsidRDefault="007B469B" w:rsidP="00FE09BC">
      <w:pPr>
        <w:spacing w:line="240" w:lineRule="auto"/>
        <w:rPr>
          <w:rFonts w:cs="Arial"/>
          <w:sz w:val="20"/>
          <w:szCs w:val="20"/>
        </w:rPr>
      </w:pPr>
      <w:r w:rsidRPr="00667DA4">
        <w:rPr>
          <w:rFonts w:cs="Arial"/>
          <w:sz w:val="20"/>
          <w:szCs w:val="20"/>
        </w:rPr>
        <w:t>* Includes hypertension, coronary heart disease, diabetes (type 1 or type 2), chronic kidney disease stage 3-5, asthma, COPD, immunocompromised</w:t>
      </w:r>
    </w:p>
    <w:p w14:paraId="77A47543" w14:textId="77777777" w:rsidR="007B469B" w:rsidRPr="00667DA4" w:rsidRDefault="007B469B" w:rsidP="00FE09BC">
      <w:pPr>
        <w:spacing w:line="240" w:lineRule="auto"/>
        <w:rPr>
          <w:rFonts w:cs="Arial"/>
          <w:sz w:val="20"/>
          <w:szCs w:val="20"/>
        </w:rPr>
      </w:pPr>
      <w:r w:rsidRPr="00667DA4">
        <w:rPr>
          <w:rFonts w:cs="Arial"/>
          <w:sz w:val="20"/>
          <w:szCs w:val="20"/>
        </w:rPr>
        <w:t xml:space="preserve">** Includes antihypertensive medication, lipid-lowering medication, hypoglycaemic medication, inhalers, immunosuppressants  </w:t>
      </w:r>
    </w:p>
    <w:p w14:paraId="7B33798E" w14:textId="0BE35D51" w:rsidR="007B469B" w:rsidRPr="00667DA4" w:rsidRDefault="007B469B" w:rsidP="00FE09BC">
      <w:pPr>
        <w:spacing w:line="240" w:lineRule="auto"/>
        <w:rPr>
          <w:rFonts w:eastAsia="Times New Roman" w:cs="Arial"/>
          <w:b/>
          <w:sz w:val="20"/>
          <w:szCs w:val="20"/>
          <w:lang w:eastAsia="en-GB"/>
        </w:rPr>
      </w:pPr>
    </w:p>
    <w:p w14:paraId="2C7FACA4" w14:textId="390EDC9B" w:rsidR="00F0620C" w:rsidRPr="00667DA4" w:rsidRDefault="00F0620C" w:rsidP="00FE09BC">
      <w:pPr>
        <w:spacing w:line="240" w:lineRule="auto"/>
        <w:rPr>
          <w:rFonts w:eastAsia="Times New Roman" w:cs="Arial"/>
          <w:b/>
          <w:sz w:val="20"/>
          <w:szCs w:val="20"/>
          <w:lang w:eastAsia="en-GB"/>
        </w:rPr>
      </w:pPr>
    </w:p>
    <w:p w14:paraId="0A31F5A9" w14:textId="39AA1595" w:rsidR="00F0620C" w:rsidRPr="00667DA4" w:rsidRDefault="00F0620C" w:rsidP="00FE09BC">
      <w:pPr>
        <w:spacing w:line="240" w:lineRule="auto"/>
        <w:rPr>
          <w:rFonts w:eastAsia="Times New Roman" w:cs="Arial"/>
          <w:b/>
          <w:sz w:val="20"/>
          <w:szCs w:val="20"/>
          <w:lang w:eastAsia="en-GB"/>
        </w:rPr>
      </w:pPr>
    </w:p>
    <w:p w14:paraId="4D0AD004" w14:textId="77777777" w:rsidR="00F0620C" w:rsidRPr="00667DA4" w:rsidRDefault="00F0620C" w:rsidP="00FE09BC">
      <w:pPr>
        <w:spacing w:line="240" w:lineRule="auto"/>
        <w:rPr>
          <w:rFonts w:eastAsia="Times New Roman" w:cs="Arial"/>
          <w:b/>
          <w:sz w:val="20"/>
          <w:szCs w:val="20"/>
          <w:lang w:eastAsia="en-GB"/>
        </w:rPr>
      </w:pPr>
    </w:p>
    <w:p w14:paraId="385993B6" w14:textId="77777777" w:rsidR="007B469B" w:rsidRPr="00667DA4" w:rsidRDefault="007B469B" w:rsidP="00FE09BC">
      <w:pPr>
        <w:spacing w:line="240" w:lineRule="auto"/>
        <w:rPr>
          <w:rFonts w:eastAsia="Times New Roman" w:cs="Arial"/>
          <w:b/>
          <w:sz w:val="20"/>
          <w:szCs w:val="20"/>
          <w:lang w:eastAsia="en-GB"/>
        </w:rPr>
      </w:pPr>
    </w:p>
    <w:p w14:paraId="11075633" w14:textId="77777777" w:rsidR="007B469B" w:rsidRPr="00667DA4" w:rsidRDefault="007B469B" w:rsidP="00FE09BC">
      <w:pPr>
        <w:spacing w:line="240" w:lineRule="auto"/>
        <w:rPr>
          <w:rFonts w:eastAsia="Times New Roman" w:cs="Arial"/>
          <w:b/>
          <w:sz w:val="20"/>
          <w:szCs w:val="20"/>
          <w:lang w:eastAsia="en-GB"/>
        </w:rPr>
      </w:pPr>
    </w:p>
    <w:p w14:paraId="6182A669" w14:textId="56FAE32B" w:rsidR="007B469B" w:rsidRPr="00667DA4" w:rsidRDefault="007B469B" w:rsidP="00FE09BC">
      <w:pPr>
        <w:spacing w:line="240" w:lineRule="auto"/>
        <w:rPr>
          <w:rFonts w:eastAsia="Times New Roman" w:cs="Arial"/>
          <w:b/>
          <w:sz w:val="20"/>
          <w:szCs w:val="20"/>
          <w:lang w:eastAsia="en-GB"/>
        </w:rPr>
      </w:pPr>
      <w:r w:rsidRPr="00667DA4">
        <w:rPr>
          <w:rFonts w:eastAsia="Times New Roman" w:cs="Arial"/>
          <w:b/>
          <w:sz w:val="20"/>
          <w:szCs w:val="20"/>
          <w:lang w:eastAsia="en-GB"/>
        </w:rPr>
        <w:t xml:space="preserve">Table 2: Baseline characteristics of women with COVID-19 who died during the follow-up period </w:t>
      </w:r>
      <w:r w:rsidR="0048370B" w:rsidRPr="00667DA4">
        <w:rPr>
          <w:rFonts w:eastAsia="Times New Roman" w:cs="Arial"/>
          <w:b/>
          <w:sz w:val="20"/>
          <w:szCs w:val="20"/>
          <w:lang w:eastAsia="en-GB"/>
        </w:rPr>
        <w:t>(</w:t>
      </w:r>
      <w:r w:rsidR="0048370B" w:rsidRPr="00667DA4">
        <w:rPr>
          <w:rFonts w:cs="Arial"/>
          <w:b/>
          <w:shd w:val="clear" w:color="auto" w:fill="FFFFFF"/>
        </w:rPr>
        <w:t>1</w:t>
      </w:r>
      <w:r w:rsidR="0048370B" w:rsidRPr="00667DA4">
        <w:rPr>
          <w:rFonts w:cs="Arial"/>
          <w:b/>
          <w:shd w:val="clear" w:color="auto" w:fill="FFFFFF"/>
          <w:vertAlign w:val="superscript"/>
        </w:rPr>
        <w:t>st</w:t>
      </w:r>
      <w:r w:rsidR="0048370B" w:rsidRPr="00667DA4">
        <w:rPr>
          <w:rFonts w:cs="Arial"/>
          <w:b/>
          <w:shd w:val="clear" w:color="auto" w:fill="FFFFFF"/>
        </w:rPr>
        <w:t xml:space="preserve"> January to 21</w:t>
      </w:r>
      <w:r w:rsidR="0048370B" w:rsidRPr="00667DA4">
        <w:rPr>
          <w:rFonts w:cs="Arial"/>
          <w:b/>
          <w:shd w:val="clear" w:color="auto" w:fill="FFFFFF"/>
          <w:vertAlign w:val="superscript"/>
        </w:rPr>
        <w:t>st</w:t>
      </w:r>
      <w:r w:rsidR="0048370B" w:rsidRPr="00667DA4">
        <w:rPr>
          <w:rFonts w:cs="Arial"/>
          <w:b/>
          <w:shd w:val="clear" w:color="auto" w:fill="FFFFFF"/>
        </w:rPr>
        <w:t xml:space="preserve"> June 2020) </w:t>
      </w:r>
      <w:r w:rsidRPr="00667DA4">
        <w:rPr>
          <w:rFonts w:eastAsia="Times New Roman" w:cs="Arial"/>
          <w:b/>
          <w:sz w:val="20"/>
          <w:szCs w:val="20"/>
          <w:lang w:eastAsia="en-GB"/>
        </w:rPr>
        <w:t xml:space="preserve">in the Oxford-RCGP RSC database </w:t>
      </w:r>
    </w:p>
    <w:p w14:paraId="6C370536" w14:textId="77777777" w:rsidR="007B469B" w:rsidRPr="00667DA4" w:rsidRDefault="007B469B" w:rsidP="00FE09BC">
      <w:pPr>
        <w:spacing w:line="240" w:lineRule="auto"/>
        <w:rPr>
          <w:rFonts w:cs="Arial"/>
          <w:sz w:val="20"/>
          <w:szCs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410"/>
        <w:gridCol w:w="2385"/>
        <w:gridCol w:w="2366"/>
      </w:tblGrid>
      <w:tr w:rsidR="00667DA4" w:rsidRPr="00667DA4" w14:paraId="2E00B7DC" w14:textId="77777777" w:rsidTr="00377099">
        <w:trPr>
          <w:trHeight w:val="290"/>
        </w:trPr>
        <w:tc>
          <w:tcPr>
            <w:tcW w:w="1855" w:type="dxa"/>
            <w:shd w:val="clear" w:color="auto" w:fill="auto"/>
            <w:vAlign w:val="center"/>
            <w:hideMark/>
          </w:tcPr>
          <w:p w14:paraId="15CFE2E7"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w:t>
            </w:r>
          </w:p>
        </w:tc>
        <w:tc>
          <w:tcPr>
            <w:tcW w:w="2410" w:type="dxa"/>
          </w:tcPr>
          <w:p w14:paraId="63407C2D" w14:textId="77777777" w:rsidR="007B469B" w:rsidRPr="00667DA4" w:rsidRDefault="007B469B" w:rsidP="00FE09BC">
            <w:pPr>
              <w:spacing w:after="0" w:line="240" w:lineRule="auto"/>
              <w:rPr>
                <w:rFonts w:eastAsia="Times New Roman" w:cs="Arial"/>
                <w:b/>
                <w:sz w:val="17"/>
                <w:szCs w:val="17"/>
                <w:lang w:eastAsia="en-GB"/>
              </w:rPr>
            </w:pPr>
            <w:r w:rsidRPr="00667DA4">
              <w:rPr>
                <w:rFonts w:eastAsia="Times New Roman" w:cs="Arial"/>
                <w:b/>
                <w:sz w:val="17"/>
                <w:szCs w:val="17"/>
                <w:lang w:eastAsia="en-GB"/>
              </w:rPr>
              <w:t xml:space="preserve">                 Total </w:t>
            </w:r>
          </w:p>
          <w:p w14:paraId="3BE8B665" w14:textId="77777777" w:rsidR="007B469B" w:rsidRPr="00667DA4" w:rsidRDefault="007B469B" w:rsidP="00FE09BC">
            <w:pPr>
              <w:spacing w:after="0" w:line="240" w:lineRule="auto"/>
              <w:jc w:val="center"/>
              <w:rPr>
                <w:rFonts w:eastAsia="Times New Roman" w:cs="Arial"/>
                <w:bCs/>
                <w:sz w:val="17"/>
                <w:szCs w:val="17"/>
                <w:lang w:eastAsia="en-GB"/>
              </w:rPr>
            </w:pPr>
            <w:r w:rsidRPr="00667DA4">
              <w:rPr>
                <w:rFonts w:eastAsia="Times New Roman" w:cs="Arial"/>
                <w:bCs/>
                <w:sz w:val="17"/>
                <w:szCs w:val="17"/>
                <w:lang w:eastAsia="en-GB"/>
              </w:rPr>
              <w:t>N= 5451</w:t>
            </w:r>
          </w:p>
        </w:tc>
        <w:tc>
          <w:tcPr>
            <w:tcW w:w="2385" w:type="dxa"/>
          </w:tcPr>
          <w:p w14:paraId="69AA17AE" w14:textId="77777777" w:rsidR="007B469B" w:rsidRPr="00667DA4" w:rsidRDefault="007B469B" w:rsidP="00FE09BC">
            <w:pPr>
              <w:spacing w:after="0" w:line="240" w:lineRule="auto"/>
              <w:rPr>
                <w:rFonts w:eastAsia="Times New Roman" w:cs="Arial"/>
                <w:b/>
                <w:sz w:val="17"/>
                <w:szCs w:val="17"/>
                <w:lang w:eastAsia="en-GB"/>
              </w:rPr>
            </w:pPr>
            <w:r w:rsidRPr="00667DA4">
              <w:rPr>
                <w:rFonts w:eastAsia="Times New Roman" w:cs="Arial"/>
                <w:b/>
                <w:sz w:val="17"/>
                <w:szCs w:val="17"/>
                <w:lang w:eastAsia="en-GB"/>
              </w:rPr>
              <w:t>Non-decedent</w:t>
            </w:r>
          </w:p>
          <w:p w14:paraId="3D5B69FE" w14:textId="77777777" w:rsidR="007B469B" w:rsidRPr="00667DA4" w:rsidRDefault="007B469B" w:rsidP="00FE09BC">
            <w:pPr>
              <w:spacing w:after="0" w:line="240" w:lineRule="auto"/>
              <w:rPr>
                <w:rFonts w:eastAsia="Times New Roman" w:cs="Arial"/>
                <w:bCs/>
                <w:sz w:val="17"/>
                <w:szCs w:val="17"/>
                <w:lang w:eastAsia="en-GB"/>
              </w:rPr>
            </w:pPr>
            <w:r w:rsidRPr="00667DA4">
              <w:rPr>
                <w:rFonts w:eastAsia="Times New Roman" w:cs="Arial"/>
                <w:bCs/>
                <w:sz w:val="17"/>
                <w:szCs w:val="17"/>
                <w:lang w:eastAsia="en-GB"/>
              </w:rPr>
              <w:t>N=4787</w:t>
            </w:r>
          </w:p>
        </w:tc>
        <w:tc>
          <w:tcPr>
            <w:tcW w:w="2366" w:type="dxa"/>
          </w:tcPr>
          <w:p w14:paraId="76FE11CF" w14:textId="77777777" w:rsidR="007B469B" w:rsidRPr="00667DA4" w:rsidRDefault="007B469B" w:rsidP="00FE09BC">
            <w:pPr>
              <w:spacing w:after="0" w:line="240" w:lineRule="auto"/>
              <w:rPr>
                <w:rFonts w:eastAsia="Times New Roman" w:cs="Arial"/>
                <w:b/>
                <w:sz w:val="17"/>
                <w:szCs w:val="17"/>
                <w:lang w:eastAsia="en-GB"/>
              </w:rPr>
            </w:pPr>
            <w:r w:rsidRPr="00667DA4">
              <w:rPr>
                <w:rFonts w:eastAsia="Times New Roman" w:cs="Arial"/>
                <w:b/>
                <w:sz w:val="17"/>
                <w:szCs w:val="17"/>
                <w:lang w:eastAsia="en-GB"/>
              </w:rPr>
              <w:t>Decedent</w:t>
            </w:r>
          </w:p>
          <w:p w14:paraId="0BFE188E" w14:textId="77777777" w:rsidR="007B469B" w:rsidRPr="00667DA4" w:rsidRDefault="007B469B" w:rsidP="00FE09BC">
            <w:pPr>
              <w:spacing w:after="0" w:line="240" w:lineRule="auto"/>
              <w:rPr>
                <w:rFonts w:eastAsia="Times New Roman" w:cs="Arial"/>
                <w:bCs/>
                <w:sz w:val="17"/>
                <w:szCs w:val="17"/>
                <w:lang w:eastAsia="en-GB"/>
              </w:rPr>
            </w:pPr>
            <w:r w:rsidRPr="00667DA4">
              <w:rPr>
                <w:rFonts w:eastAsia="Times New Roman" w:cs="Arial"/>
                <w:bCs/>
                <w:sz w:val="17"/>
                <w:szCs w:val="17"/>
                <w:lang w:eastAsia="en-GB"/>
              </w:rPr>
              <w:t>N=664</w:t>
            </w:r>
          </w:p>
        </w:tc>
      </w:tr>
      <w:tr w:rsidR="00667DA4" w:rsidRPr="00667DA4" w14:paraId="443B7EAA" w14:textId="77777777" w:rsidTr="00377099">
        <w:trPr>
          <w:trHeight w:val="290"/>
        </w:trPr>
        <w:tc>
          <w:tcPr>
            <w:tcW w:w="1855" w:type="dxa"/>
            <w:shd w:val="clear" w:color="auto" w:fill="auto"/>
            <w:vAlign w:val="center"/>
            <w:hideMark/>
          </w:tcPr>
          <w:p w14:paraId="6C9A3635"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Age (years) </w:t>
            </w:r>
          </w:p>
        </w:tc>
        <w:tc>
          <w:tcPr>
            <w:tcW w:w="2410" w:type="dxa"/>
            <w:vAlign w:val="bottom"/>
          </w:tcPr>
          <w:p w14:paraId="731E6D70"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59.0 (21.7)</w:t>
            </w:r>
          </w:p>
        </w:tc>
        <w:tc>
          <w:tcPr>
            <w:tcW w:w="2385" w:type="dxa"/>
          </w:tcPr>
          <w:p w14:paraId="715947F6"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55.7 (20.8)</w:t>
            </w:r>
          </w:p>
        </w:tc>
        <w:tc>
          <w:tcPr>
            <w:tcW w:w="2366" w:type="dxa"/>
          </w:tcPr>
          <w:p w14:paraId="092AA653"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82.5 (11.3)</w:t>
            </w:r>
          </w:p>
        </w:tc>
      </w:tr>
      <w:tr w:rsidR="00667DA4" w:rsidRPr="00667DA4" w14:paraId="01C5DCC8" w14:textId="77777777" w:rsidTr="00377099">
        <w:trPr>
          <w:trHeight w:val="290"/>
        </w:trPr>
        <w:tc>
          <w:tcPr>
            <w:tcW w:w="1855" w:type="dxa"/>
            <w:shd w:val="clear" w:color="auto" w:fill="auto"/>
            <w:vAlign w:val="center"/>
            <w:hideMark/>
          </w:tcPr>
          <w:p w14:paraId="397728A8"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Ethnicity recorded</w:t>
            </w:r>
          </w:p>
        </w:tc>
        <w:tc>
          <w:tcPr>
            <w:tcW w:w="2410" w:type="dxa"/>
            <w:vAlign w:val="bottom"/>
          </w:tcPr>
          <w:p w14:paraId="2B5F9A43"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4356 (79.9)</w:t>
            </w:r>
          </w:p>
        </w:tc>
        <w:tc>
          <w:tcPr>
            <w:tcW w:w="2385" w:type="dxa"/>
          </w:tcPr>
          <w:p w14:paraId="0DADBF08"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3838 (80.2)</w:t>
            </w:r>
          </w:p>
        </w:tc>
        <w:tc>
          <w:tcPr>
            <w:tcW w:w="2366" w:type="dxa"/>
          </w:tcPr>
          <w:p w14:paraId="5D863C58"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518 (78.0)</w:t>
            </w:r>
          </w:p>
        </w:tc>
      </w:tr>
      <w:tr w:rsidR="00667DA4" w:rsidRPr="00667DA4" w14:paraId="37D03460" w14:textId="77777777" w:rsidTr="00377099">
        <w:trPr>
          <w:trHeight w:val="290"/>
        </w:trPr>
        <w:tc>
          <w:tcPr>
            <w:tcW w:w="1855" w:type="dxa"/>
            <w:shd w:val="clear" w:color="auto" w:fill="auto"/>
            <w:vAlign w:val="center"/>
          </w:tcPr>
          <w:p w14:paraId="1EB38BD9"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White</w:t>
            </w:r>
          </w:p>
        </w:tc>
        <w:tc>
          <w:tcPr>
            <w:tcW w:w="2410" w:type="dxa"/>
            <w:vAlign w:val="bottom"/>
          </w:tcPr>
          <w:p w14:paraId="6908B73C"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3534 (64.8)</w:t>
            </w:r>
          </w:p>
        </w:tc>
        <w:tc>
          <w:tcPr>
            <w:tcW w:w="2385" w:type="dxa"/>
          </w:tcPr>
          <w:p w14:paraId="0E6A5A82"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3064 (64.0)</w:t>
            </w:r>
          </w:p>
        </w:tc>
        <w:tc>
          <w:tcPr>
            <w:tcW w:w="2366" w:type="dxa"/>
          </w:tcPr>
          <w:p w14:paraId="211EDB4F"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470 (70.8)</w:t>
            </w:r>
          </w:p>
        </w:tc>
      </w:tr>
      <w:tr w:rsidR="00667DA4" w:rsidRPr="00667DA4" w14:paraId="0E172EB5" w14:textId="77777777" w:rsidTr="00377099">
        <w:trPr>
          <w:trHeight w:val="290"/>
        </w:trPr>
        <w:tc>
          <w:tcPr>
            <w:tcW w:w="1855" w:type="dxa"/>
            <w:shd w:val="clear" w:color="auto" w:fill="auto"/>
            <w:vAlign w:val="center"/>
          </w:tcPr>
          <w:p w14:paraId="49761613"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lastRenderedPageBreak/>
              <w:t xml:space="preserve">      Asian</w:t>
            </w:r>
          </w:p>
        </w:tc>
        <w:tc>
          <w:tcPr>
            <w:tcW w:w="2410" w:type="dxa"/>
            <w:vAlign w:val="bottom"/>
          </w:tcPr>
          <w:p w14:paraId="5239B084"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510 (9.4)</w:t>
            </w:r>
          </w:p>
        </w:tc>
        <w:tc>
          <w:tcPr>
            <w:tcW w:w="2385" w:type="dxa"/>
          </w:tcPr>
          <w:p w14:paraId="0A359B16"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484 (10.1)</w:t>
            </w:r>
          </w:p>
        </w:tc>
        <w:tc>
          <w:tcPr>
            <w:tcW w:w="2366" w:type="dxa"/>
          </w:tcPr>
          <w:p w14:paraId="458B5A62"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26 (3.9)</w:t>
            </w:r>
          </w:p>
        </w:tc>
      </w:tr>
      <w:tr w:rsidR="00667DA4" w:rsidRPr="00667DA4" w14:paraId="7C6A8A85" w14:textId="77777777" w:rsidTr="00377099">
        <w:trPr>
          <w:trHeight w:val="290"/>
        </w:trPr>
        <w:tc>
          <w:tcPr>
            <w:tcW w:w="1855" w:type="dxa"/>
            <w:shd w:val="clear" w:color="auto" w:fill="auto"/>
            <w:vAlign w:val="center"/>
          </w:tcPr>
          <w:p w14:paraId="2A6785B6"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Black</w:t>
            </w:r>
          </w:p>
        </w:tc>
        <w:tc>
          <w:tcPr>
            <w:tcW w:w="2410" w:type="dxa"/>
            <w:vAlign w:val="bottom"/>
          </w:tcPr>
          <w:p w14:paraId="6081542F"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211 (3.9)</w:t>
            </w:r>
          </w:p>
        </w:tc>
        <w:tc>
          <w:tcPr>
            <w:tcW w:w="2385" w:type="dxa"/>
          </w:tcPr>
          <w:p w14:paraId="5C876A56"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200 (4.2)</w:t>
            </w:r>
          </w:p>
        </w:tc>
        <w:tc>
          <w:tcPr>
            <w:tcW w:w="2366" w:type="dxa"/>
          </w:tcPr>
          <w:p w14:paraId="52074839"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11 (1.7)</w:t>
            </w:r>
          </w:p>
        </w:tc>
      </w:tr>
      <w:tr w:rsidR="00667DA4" w:rsidRPr="00667DA4" w14:paraId="3EE22458" w14:textId="77777777" w:rsidTr="00377099">
        <w:trPr>
          <w:trHeight w:val="290"/>
        </w:trPr>
        <w:tc>
          <w:tcPr>
            <w:tcW w:w="1855" w:type="dxa"/>
            <w:shd w:val="clear" w:color="auto" w:fill="auto"/>
            <w:vAlign w:val="center"/>
          </w:tcPr>
          <w:p w14:paraId="1E510C07"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Mixed other</w:t>
            </w:r>
          </w:p>
        </w:tc>
        <w:tc>
          <w:tcPr>
            <w:tcW w:w="2410" w:type="dxa"/>
            <w:vAlign w:val="bottom"/>
          </w:tcPr>
          <w:p w14:paraId="264717D3"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101 (1.9)</w:t>
            </w:r>
          </w:p>
        </w:tc>
        <w:tc>
          <w:tcPr>
            <w:tcW w:w="2385" w:type="dxa"/>
          </w:tcPr>
          <w:p w14:paraId="1069C4BC"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90 (1.9)</w:t>
            </w:r>
          </w:p>
        </w:tc>
        <w:tc>
          <w:tcPr>
            <w:tcW w:w="2366" w:type="dxa"/>
          </w:tcPr>
          <w:p w14:paraId="44AD13EC"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11 (1.7)</w:t>
            </w:r>
          </w:p>
        </w:tc>
      </w:tr>
      <w:tr w:rsidR="00667DA4" w:rsidRPr="00667DA4" w14:paraId="04D536C4" w14:textId="77777777" w:rsidTr="00377099">
        <w:trPr>
          <w:trHeight w:val="290"/>
        </w:trPr>
        <w:tc>
          <w:tcPr>
            <w:tcW w:w="1855" w:type="dxa"/>
            <w:shd w:val="clear" w:color="auto" w:fill="auto"/>
            <w:vAlign w:val="center"/>
          </w:tcPr>
          <w:p w14:paraId="0499151F"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IMD Quintile recorded</w:t>
            </w:r>
          </w:p>
        </w:tc>
        <w:tc>
          <w:tcPr>
            <w:tcW w:w="2410" w:type="dxa"/>
            <w:vAlign w:val="bottom"/>
          </w:tcPr>
          <w:p w14:paraId="7FCBEEDF"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5326 (97.7)</w:t>
            </w:r>
          </w:p>
        </w:tc>
        <w:tc>
          <w:tcPr>
            <w:tcW w:w="2385" w:type="dxa"/>
          </w:tcPr>
          <w:p w14:paraId="4D97CC1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4671 (97.6)</w:t>
            </w:r>
          </w:p>
        </w:tc>
        <w:tc>
          <w:tcPr>
            <w:tcW w:w="2366" w:type="dxa"/>
          </w:tcPr>
          <w:p w14:paraId="537D3132"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655 (98.6)</w:t>
            </w:r>
          </w:p>
        </w:tc>
      </w:tr>
      <w:tr w:rsidR="00667DA4" w:rsidRPr="00667DA4" w14:paraId="4FA85C0E" w14:textId="77777777" w:rsidTr="00377099">
        <w:trPr>
          <w:trHeight w:val="290"/>
        </w:trPr>
        <w:tc>
          <w:tcPr>
            <w:tcW w:w="1855" w:type="dxa"/>
            <w:shd w:val="clear" w:color="auto" w:fill="auto"/>
            <w:vAlign w:val="center"/>
          </w:tcPr>
          <w:p w14:paraId="02A2AA64"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5 (Least deprived)</w:t>
            </w:r>
          </w:p>
        </w:tc>
        <w:tc>
          <w:tcPr>
            <w:tcW w:w="2410" w:type="dxa"/>
            <w:vAlign w:val="bottom"/>
          </w:tcPr>
          <w:p w14:paraId="356F5FBF"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1136 (20.8)</w:t>
            </w:r>
          </w:p>
        </w:tc>
        <w:tc>
          <w:tcPr>
            <w:tcW w:w="2385" w:type="dxa"/>
          </w:tcPr>
          <w:p w14:paraId="0CB8FCAE"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993 (20.7)</w:t>
            </w:r>
          </w:p>
        </w:tc>
        <w:tc>
          <w:tcPr>
            <w:tcW w:w="2366" w:type="dxa"/>
          </w:tcPr>
          <w:p w14:paraId="2FC264F8"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143 (21.5)</w:t>
            </w:r>
          </w:p>
        </w:tc>
      </w:tr>
      <w:tr w:rsidR="00667DA4" w:rsidRPr="00667DA4" w14:paraId="3E33411F" w14:textId="77777777" w:rsidTr="00377099">
        <w:trPr>
          <w:trHeight w:val="290"/>
        </w:trPr>
        <w:tc>
          <w:tcPr>
            <w:tcW w:w="1855" w:type="dxa"/>
            <w:shd w:val="clear" w:color="auto" w:fill="auto"/>
            <w:vAlign w:val="center"/>
          </w:tcPr>
          <w:p w14:paraId="08E05663"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4</w:t>
            </w:r>
          </w:p>
        </w:tc>
        <w:tc>
          <w:tcPr>
            <w:tcW w:w="2410" w:type="dxa"/>
            <w:vAlign w:val="bottom"/>
          </w:tcPr>
          <w:p w14:paraId="215ECA84"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1088 (20.0)</w:t>
            </w:r>
          </w:p>
        </w:tc>
        <w:tc>
          <w:tcPr>
            <w:tcW w:w="2385" w:type="dxa"/>
          </w:tcPr>
          <w:p w14:paraId="4C8BE66B"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936 (19.6)</w:t>
            </w:r>
          </w:p>
        </w:tc>
        <w:tc>
          <w:tcPr>
            <w:tcW w:w="2366" w:type="dxa"/>
          </w:tcPr>
          <w:p w14:paraId="2E13871D"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152 (22.9)</w:t>
            </w:r>
          </w:p>
        </w:tc>
      </w:tr>
      <w:tr w:rsidR="00667DA4" w:rsidRPr="00667DA4" w14:paraId="4F175833" w14:textId="77777777" w:rsidTr="00377099">
        <w:trPr>
          <w:trHeight w:val="290"/>
        </w:trPr>
        <w:tc>
          <w:tcPr>
            <w:tcW w:w="1855" w:type="dxa"/>
            <w:shd w:val="clear" w:color="auto" w:fill="auto"/>
            <w:vAlign w:val="center"/>
          </w:tcPr>
          <w:p w14:paraId="4F561714"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3</w:t>
            </w:r>
          </w:p>
        </w:tc>
        <w:tc>
          <w:tcPr>
            <w:tcW w:w="2410" w:type="dxa"/>
            <w:vAlign w:val="bottom"/>
          </w:tcPr>
          <w:p w14:paraId="34C04BC8"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1054 (19.3)</w:t>
            </w:r>
          </w:p>
        </w:tc>
        <w:tc>
          <w:tcPr>
            <w:tcW w:w="2385" w:type="dxa"/>
          </w:tcPr>
          <w:p w14:paraId="5028189D"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918 (19.2)</w:t>
            </w:r>
          </w:p>
        </w:tc>
        <w:tc>
          <w:tcPr>
            <w:tcW w:w="2366" w:type="dxa"/>
          </w:tcPr>
          <w:p w14:paraId="2D451A86"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136 (20.5)</w:t>
            </w:r>
          </w:p>
        </w:tc>
      </w:tr>
      <w:tr w:rsidR="00667DA4" w:rsidRPr="00667DA4" w14:paraId="3BF3D964" w14:textId="77777777" w:rsidTr="00377099">
        <w:trPr>
          <w:trHeight w:val="290"/>
        </w:trPr>
        <w:tc>
          <w:tcPr>
            <w:tcW w:w="1855" w:type="dxa"/>
            <w:shd w:val="clear" w:color="auto" w:fill="auto"/>
            <w:vAlign w:val="center"/>
          </w:tcPr>
          <w:p w14:paraId="4D9F8E58"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1&amp;2 (Most deprived)</w:t>
            </w:r>
          </w:p>
        </w:tc>
        <w:tc>
          <w:tcPr>
            <w:tcW w:w="2410" w:type="dxa"/>
            <w:vAlign w:val="bottom"/>
          </w:tcPr>
          <w:p w14:paraId="7D249C6F"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2048 (37.6)</w:t>
            </w:r>
          </w:p>
        </w:tc>
        <w:tc>
          <w:tcPr>
            <w:tcW w:w="2385" w:type="dxa"/>
          </w:tcPr>
          <w:p w14:paraId="00923FB2"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1824 (38.1)</w:t>
            </w:r>
          </w:p>
        </w:tc>
        <w:tc>
          <w:tcPr>
            <w:tcW w:w="2366" w:type="dxa"/>
          </w:tcPr>
          <w:p w14:paraId="05A23C66"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224 (33.7)</w:t>
            </w:r>
          </w:p>
        </w:tc>
      </w:tr>
      <w:tr w:rsidR="00667DA4" w:rsidRPr="00667DA4" w14:paraId="2DB0379B" w14:textId="77777777" w:rsidTr="00377099">
        <w:trPr>
          <w:trHeight w:val="290"/>
        </w:trPr>
        <w:tc>
          <w:tcPr>
            <w:tcW w:w="1855" w:type="dxa"/>
            <w:shd w:val="clear" w:color="auto" w:fill="auto"/>
            <w:vAlign w:val="center"/>
          </w:tcPr>
          <w:p w14:paraId="14E7A97B"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Settlement or population density</w:t>
            </w:r>
          </w:p>
        </w:tc>
        <w:tc>
          <w:tcPr>
            <w:tcW w:w="2410" w:type="dxa"/>
            <w:vAlign w:val="bottom"/>
          </w:tcPr>
          <w:p w14:paraId="165D873D"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5328 (97.7)</w:t>
            </w:r>
          </w:p>
        </w:tc>
        <w:tc>
          <w:tcPr>
            <w:tcW w:w="2385" w:type="dxa"/>
          </w:tcPr>
          <w:p w14:paraId="1D19E171"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4671 (97.6)</w:t>
            </w:r>
          </w:p>
        </w:tc>
        <w:tc>
          <w:tcPr>
            <w:tcW w:w="2366" w:type="dxa"/>
          </w:tcPr>
          <w:p w14:paraId="04EA5AF6"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657 (98.9)</w:t>
            </w:r>
          </w:p>
        </w:tc>
      </w:tr>
      <w:tr w:rsidR="00667DA4" w:rsidRPr="00667DA4" w14:paraId="75854301" w14:textId="77777777" w:rsidTr="00377099">
        <w:trPr>
          <w:trHeight w:val="290"/>
        </w:trPr>
        <w:tc>
          <w:tcPr>
            <w:tcW w:w="1855" w:type="dxa"/>
            <w:shd w:val="clear" w:color="auto" w:fill="auto"/>
            <w:vAlign w:val="center"/>
          </w:tcPr>
          <w:p w14:paraId="5C51FD8A"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Rural</w:t>
            </w:r>
          </w:p>
        </w:tc>
        <w:tc>
          <w:tcPr>
            <w:tcW w:w="2410" w:type="dxa"/>
            <w:vAlign w:val="bottom"/>
          </w:tcPr>
          <w:p w14:paraId="507874DE"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933 (17.1)</w:t>
            </w:r>
          </w:p>
        </w:tc>
        <w:tc>
          <w:tcPr>
            <w:tcW w:w="2385" w:type="dxa"/>
          </w:tcPr>
          <w:p w14:paraId="38284B68"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816 (17.0)</w:t>
            </w:r>
          </w:p>
        </w:tc>
        <w:tc>
          <w:tcPr>
            <w:tcW w:w="2366" w:type="dxa"/>
          </w:tcPr>
          <w:p w14:paraId="7CE197B0"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117 (17.6)</w:t>
            </w:r>
          </w:p>
        </w:tc>
      </w:tr>
      <w:tr w:rsidR="00667DA4" w:rsidRPr="00667DA4" w14:paraId="0CD7E6B7" w14:textId="77777777" w:rsidTr="00377099">
        <w:trPr>
          <w:trHeight w:val="290"/>
        </w:trPr>
        <w:tc>
          <w:tcPr>
            <w:tcW w:w="1855" w:type="dxa"/>
            <w:shd w:val="clear" w:color="auto" w:fill="auto"/>
            <w:vAlign w:val="center"/>
          </w:tcPr>
          <w:p w14:paraId="1468782C"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Urban</w:t>
            </w:r>
          </w:p>
        </w:tc>
        <w:tc>
          <w:tcPr>
            <w:tcW w:w="2410" w:type="dxa"/>
            <w:vAlign w:val="bottom"/>
          </w:tcPr>
          <w:p w14:paraId="06D6FEBD"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4395 (80.6)</w:t>
            </w:r>
          </w:p>
        </w:tc>
        <w:tc>
          <w:tcPr>
            <w:tcW w:w="2385" w:type="dxa"/>
          </w:tcPr>
          <w:p w14:paraId="00F74878"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3855 (80.5)</w:t>
            </w:r>
          </w:p>
        </w:tc>
        <w:tc>
          <w:tcPr>
            <w:tcW w:w="2366" w:type="dxa"/>
          </w:tcPr>
          <w:p w14:paraId="29A3D2BA"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540 (81.3)</w:t>
            </w:r>
          </w:p>
        </w:tc>
      </w:tr>
      <w:tr w:rsidR="00667DA4" w:rsidRPr="00667DA4" w14:paraId="4F860E3D" w14:textId="77777777" w:rsidTr="00377099">
        <w:trPr>
          <w:trHeight w:val="290"/>
        </w:trPr>
        <w:tc>
          <w:tcPr>
            <w:tcW w:w="1855" w:type="dxa"/>
            <w:shd w:val="clear" w:color="auto" w:fill="auto"/>
            <w:vAlign w:val="center"/>
          </w:tcPr>
          <w:p w14:paraId="51BAC1D9"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BMI recorded</w:t>
            </w:r>
          </w:p>
        </w:tc>
        <w:tc>
          <w:tcPr>
            <w:tcW w:w="2410" w:type="dxa"/>
            <w:vAlign w:val="bottom"/>
          </w:tcPr>
          <w:p w14:paraId="04AB8F58"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5122 (94.0)</w:t>
            </w:r>
          </w:p>
        </w:tc>
        <w:tc>
          <w:tcPr>
            <w:tcW w:w="2385" w:type="dxa"/>
          </w:tcPr>
          <w:p w14:paraId="44A6D52C" w14:textId="77777777" w:rsidR="007B469B" w:rsidRPr="00667DA4" w:rsidRDefault="007B469B" w:rsidP="00FE09BC">
            <w:pPr>
              <w:spacing w:after="0" w:line="240" w:lineRule="auto"/>
              <w:jc w:val="center"/>
              <w:rPr>
                <w:rFonts w:eastAsia="Times New Roman" w:cs="Arial"/>
                <w:sz w:val="17"/>
                <w:szCs w:val="17"/>
                <w:lang w:eastAsia="en-GB"/>
              </w:rPr>
            </w:pPr>
          </w:p>
        </w:tc>
        <w:tc>
          <w:tcPr>
            <w:tcW w:w="2366" w:type="dxa"/>
          </w:tcPr>
          <w:p w14:paraId="4F4CC749" w14:textId="77777777" w:rsidR="007B469B" w:rsidRPr="00667DA4" w:rsidRDefault="007B469B" w:rsidP="00FE09BC">
            <w:pPr>
              <w:spacing w:after="0" w:line="240" w:lineRule="auto"/>
              <w:jc w:val="center"/>
              <w:rPr>
                <w:rFonts w:eastAsia="Times New Roman" w:cs="Arial"/>
                <w:sz w:val="17"/>
                <w:szCs w:val="17"/>
                <w:lang w:eastAsia="en-GB"/>
              </w:rPr>
            </w:pPr>
          </w:p>
        </w:tc>
      </w:tr>
      <w:tr w:rsidR="00667DA4" w:rsidRPr="00667DA4" w14:paraId="76C27710" w14:textId="77777777" w:rsidTr="00377099">
        <w:trPr>
          <w:trHeight w:val="290"/>
        </w:trPr>
        <w:tc>
          <w:tcPr>
            <w:tcW w:w="1855" w:type="dxa"/>
            <w:shd w:val="clear" w:color="auto" w:fill="auto"/>
            <w:vAlign w:val="center"/>
            <w:hideMark/>
          </w:tcPr>
          <w:p w14:paraId="64DD2861"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BMI (kg/m</w:t>
            </w:r>
            <w:r w:rsidRPr="00667DA4">
              <w:rPr>
                <w:rFonts w:eastAsia="Times New Roman" w:cs="Arial"/>
                <w:sz w:val="17"/>
                <w:szCs w:val="17"/>
                <w:vertAlign w:val="superscript"/>
                <w:lang w:eastAsia="en-GB"/>
              </w:rPr>
              <w:t>2</w:t>
            </w:r>
            <w:r w:rsidRPr="00667DA4">
              <w:rPr>
                <w:rFonts w:eastAsia="Times New Roman" w:cs="Arial"/>
                <w:sz w:val="17"/>
                <w:szCs w:val="17"/>
                <w:lang w:eastAsia="en-GB"/>
              </w:rPr>
              <w:t xml:space="preserve">) </w:t>
            </w:r>
          </w:p>
        </w:tc>
        <w:tc>
          <w:tcPr>
            <w:tcW w:w="2410" w:type="dxa"/>
            <w:vAlign w:val="bottom"/>
          </w:tcPr>
          <w:p w14:paraId="1362F280"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28.2 (7.3)</w:t>
            </w:r>
          </w:p>
        </w:tc>
        <w:tc>
          <w:tcPr>
            <w:tcW w:w="2385" w:type="dxa"/>
          </w:tcPr>
          <w:p w14:paraId="55FDC322"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28.4 (7.3)</w:t>
            </w:r>
          </w:p>
        </w:tc>
        <w:tc>
          <w:tcPr>
            <w:tcW w:w="2366" w:type="dxa"/>
          </w:tcPr>
          <w:p w14:paraId="0333D6C2"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26.6 (7.1)</w:t>
            </w:r>
          </w:p>
        </w:tc>
      </w:tr>
      <w:tr w:rsidR="00667DA4" w:rsidRPr="00667DA4" w14:paraId="1F4AD871" w14:textId="77777777" w:rsidTr="00377099">
        <w:trPr>
          <w:trHeight w:val="290"/>
        </w:trPr>
        <w:tc>
          <w:tcPr>
            <w:tcW w:w="1855" w:type="dxa"/>
            <w:shd w:val="clear" w:color="auto" w:fill="auto"/>
            <w:vAlign w:val="center"/>
            <w:hideMark/>
          </w:tcPr>
          <w:p w14:paraId="1D5E8F90"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Smoking status recorded</w:t>
            </w:r>
          </w:p>
        </w:tc>
        <w:tc>
          <w:tcPr>
            <w:tcW w:w="2410" w:type="dxa"/>
            <w:vAlign w:val="bottom"/>
          </w:tcPr>
          <w:p w14:paraId="4FB63D56"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5328 (97.7)</w:t>
            </w:r>
          </w:p>
        </w:tc>
        <w:tc>
          <w:tcPr>
            <w:tcW w:w="2385" w:type="dxa"/>
          </w:tcPr>
          <w:p w14:paraId="1D5BE4A9"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4684 (97.8)</w:t>
            </w:r>
          </w:p>
        </w:tc>
        <w:tc>
          <w:tcPr>
            <w:tcW w:w="2366" w:type="dxa"/>
          </w:tcPr>
          <w:p w14:paraId="695FE7C1"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26.6 (7.1)</w:t>
            </w:r>
          </w:p>
        </w:tc>
      </w:tr>
      <w:tr w:rsidR="00667DA4" w:rsidRPr="00667DA4" w14:paraId="73D0B296" w14:textId="77777777" w:rsidTr="00377099">
        <w:trPr>
          <w:trHeight w:val="290"/>
        </w:trPr>
        <w:tc>
          <w:tcPr>
            <w:tcW w:w="1855" w:type="dxa"/>
            <w:shd w:val="clear" w:color="auto" w:fill="auto"/>
            <w:vAlign w:val="center"/>
          </w:tcPr>
          <w:p w14:paraId="155E2E29"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Non-smoker</w:t>
            </w:r>
          </w:p>
        </w:tc>
        <w:tc>
          <w:tcPr>
            <w:tcW w:w="2410" w:type="dxa"/>
            <w:vAlign w:val="bottom"/>
          </w:tcPr>
          <w:p w14:paraId="591D9CD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2128 (39.0)</w:t>
            </w:r>
          </w:p>
        </w:tc>
        <w:tc>
          <w:tcPr>
            <w:tcW w:w="2385" w:type="dxa"/>
          </w:tcPr>
          <w:p w14:paraId="60166B39"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1912 (39.9)</w:t>
            </w:r>
          </w:p>
        </w:tc>
        <w:tc>
          <w:tcPr>
            <w:tcW w:w="2366" w:type="dxa"/>
          </w:tcPr>
          <w:p w14:paraId="571C4D5C"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216 (32.5)</w:t>
            </w:r>
          </w:p>
        </w:tc>
      </w:tr>
      <w:tr w:rsidR="00667DA4" w:rsidRPr="00667DA4" w14:paraId="47D1B527" w14:textId="77777777" w:rsidTr="00377099">
        <w:trPr>
          <w:trHeight w:val="290"/>
        </w:trPr>
        <w:tc>
          <w:tcPr>
            <w:tcW w:w="1855" w:type="dxa"/>
            <w:shd w:val="clear" w:color="auto" w:fill="auto"/>
            <w:vAlign w:val="center"/>
          </w:tcPr>
          <w:p w14:paraId="28602179"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Active-smoker</w:t>
            </w:r>
          </w:p>
        </w:tc>
        <w:tc>
          <w:tcPr>
            <w:tcW w:w="2410" w:type="dxa"/>
            <w:vAlign w:val="bottom"/>
          </w:tcPr>
          <w:p w14:paraId="0AF0F7E7"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486 (8.9)</w:t>
            </w:r>
          </w:p>
        </w:tc>
        <w:tc>
          <w:tcPr>
            <w:tcW w:w="2385" w:type="dxa"/>
          </w:tcPr>
          <w:p w14:paraId="5962FD5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446 (9.3)</w:t>
            </w:r>
          </w:p>
        </w:tc>
        <w:tc>
          <w:tcPr>
            <w:tcW w:w="2366" w:type="dxa"/>
          </w:tcPr>
          <w:p w14:paraId="459D8A5C"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40 (6.0)</w:t>
            </w:r>
          </w:p>
        </w:tc>
      </w:tr>
      <w:tr w:rsidR="00667DA4" w:rsidRPr="00667DA4" w14:paraId="30177705" w14:textId="77777777" w:rsidTr="00377099">
        <w:trPr>
          <w:trHeight w:val="290"/>
        </w:trPr>
        <w:tc>
          <w:tcPr>
            <w:tcW w:w="1855" w:type="dxa"/>
            <w:shd w:val="clear" w:color="auto" w:fill="auto"/>
            <w:vAlign w:val="center"/>
          </w:tcPr>
          <w:p w14:paraId="531F68D1"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 xml:space="preserve">   Ex-smoker</w:t>
            </w:r>
          </w:p>
        </w:tc>
        <w:tc>
          <w:tcPr>
            <w:tcW w:w="2410" w:type="dxa"/>
            <w:vAlign w:val="bottom"/>
          </w:tcPr>
          <w:p w14:paraId="7704F6FC"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2714 (49.8)</w:t>
            </w:r>
          </w:p>
        </w:tc>
        <w:tc>
          <w:tcPr>
            <w:tcW w:w="2385" w:type="dxa"/>
          </w:tcPr>
          <w:p w14:paraId="14841251"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2326 (48.6)</w:t>
            </w:r>
          </w:p>
        </w:tc>
        <w:tc>
          <w:tcPr>
            <w:tcW w:w="2366" w:type="dxa"/>
          </w:tcPr>
          <w:p w14:paraId="29BF6F24"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 xml:space="preserve">388 (58.4) </w:t>
            </w:r>
          </w:p>
        </w:tc>
      </w:tr>
      <w:tr w:rsidR="00667DA4" w:rsidRPr="00667DA4" w14:paraId="03A8CC28" w14:textId="77777777" w:rsidTr="00377099">
        <w:trPr>
          <w:trHeight w:val="290"/>
        </w:trPr>
        <w:tc>
          <w:tcPr>
            <w:tcW w:w="1855" w:type="dxa"/>
            <w:shd w:val="clear" w:color="auto" w:fill="auto"/>
            <w:vAlign w:val="center"/>
          </w:tcPr>
          <w:p w14:paraId="0F3DC479"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Co-morbidity *</w:t>
            </w:r>
          </w:p>
        </w:tc>
        <w:tc>
          <w:tcPr>
            <w:tcW w:w="2410" w:type="dxa"/>
            <w:vAlign w:val="bottom"/>
          </w:tcPr>
          <w:p w14:paraId="4FA71EA3"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3001 (55.1)</w:t>
            </w:r>
          </w:p>
        </w:tc>
        <w:tc>
          <w:tcPr>
            <w:tcW w:w="2385" w:type="dxa"/>
          </w:tcPr>
          <w:p w14:paraId="594F346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2454 (51.3)</w:t>
            </w:r>
          </w:p>
        </w:tc>
        <w:tc>
          <w:tcPr>
            <w:tcW w:w="2366" w:type="dxa"/>
          </w:tcPr>
          <w:p w14:paraId="4E99F715"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547 (82.4)</w:t>
            </w:r>
          </w:p>
        </w:tc>
      </w:tr>
      <w:tr w:rsidR="007B469B" w:rsidRPr="00667DA4" w14:paraId="0B9CCDEA" w14:textId="77777777" w:rsidTr="00377099">
        <w:trPr>
          <w:trHeight w:val="290"/>
        </w:trPr>
        <w:tc>
          <w:tcPr>
            <w:tcW w:w="1855" w:type="dxa"/>
            <w:shd w:val="clear" w:color="auto" w:fill="auto"/>
            <w:vAlign w:val="center"/>
          </w:tcPr>
          <w:p w14:paraId="7DACC0BE" w14:textId="77777777" w:rsidR="007B469B" w:rsidRPr="00667DA4" w:rsidRDefault="007B469B" w:rsidP="00FE09BC">
            <w:pPr>
              <w:spacing w:after="0" w:line="240" w:lineRule="auto"/>
              <w:rPr>
                <w:rFonts w:eastAsia="Times New Roman" w:cs="Arial"/>
                <w:sz w:val="17"/>
                <w:szCs w:val="17"/>
                <w:lang w:eastAsia="en-GB"/>
              </w:rPr>
            </w:pPr>
            <w:r w:rsidRPr="00667DA4">
              <w:rPr>
                <w:rFonts w:eastAsia="Times New Roman" w:cs="Arial"/>
                <w:sz w:val="17"/>
                <w:szCs w:val="17"/>
                <w:lang w:eastAsia="en-GB"/>
              </w:rPr>
              <w:t>All medications **</w:t>
            </w:r>
          </w:p>
        </w:tc>
        <w:tc>
          <w:tcPr>
            <w:tcW w:w="2410" w:type="dxa"/>
            <w:vAlign w:val="bottom"/>
          </w:tcPr>
          <w:p w14:paraId="676B2B49"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2452 (45.0)</w:t>
            </w:r>
          </w:p>
        </w:tc>
        <w:tc>
          <w:tcPr>
            <w:tcW w:w="2385" w:type="dxa"/>
          </w:tcPr>
          <w:p w14:paraId="15688FE0"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 xml:space="preserve">1980 (41.4) </w:t>
            </w:r>
          </w:p>
        </w:tc>
        <w:tc>
          <w:tcPr>
            <w:tcW w:w="2366" w:type="dxa"/>
          </w:tcPr>
          <w:p w14:paraId="67643D9E" w14:textId="77777777" w:rsidR="007B469B" w:rsidRPr="00667DA4" w:rsidRDefault="007B469B" w:rsidP="00FE09BC">
            <w:pPr>
              <w:spacing w:after="0" w:line="240" w:lineRule="auto"/>
              <w:jc w:val="center"/>
              <w:rPr>
                <w:rFonts w:eastAsia="Times New Roman" w:cs="Arial"/>
                <w:sz w:val="17"/>
                <w:szCs w:val="17"/>
                <w:lang w:eastAsia="en-GB"/>
              </w:rPr>
            </w:pPr>
            <w:r w:rsidRPr="00667DA4">
              <w:rPr>
                <w:rFonts w:eastAsia="Times New Roman" w:cs="Arial"/>
                <w:sz w:val="17"/>
                <w:szCs w:val="17"/>
                <w:lang w:eastAsia="en-GB"/>
              </w:rPr>
              <w:t>472 (71.1)</w:t>
            </w:r>
          </w:p>
        </w:tc>
      </w:tr>
    </w:tbl>
    <w:p w14:paraId="1994329F" w14:textId="77777777" w:rsidR="007B469B" w:rsidRPr="00667DA4" w:rsidRDefault="007B469B" w:rsidP="00FE09BC">
      <w:pPr>
        <w:spacing w:line="240" w:lineRule="auto"/>
        <w:rPr>
          <w:rFonts w:cs="Arial"/>
          <w:sz w:val="20"/>
          <w:szCs w:val="20"/>
        </w:rPr>
      </w:pPr>
    </w:p>
    <w:p w14:paraId="6566C278" w14:textId="77777777" w:rsidR="007B469B" w:rsidRPr="00667DA4" w:rsidRDefault="007B469B" w:rsidP="00FE09BC">
      <w:pPr>
        <w:spacing w:line="240" w:lineRule="auto"/>
        <w:rPr>
          <w:rFonts w:cs="Arial"/>
          <w:sz w:val="20"/>
          <w:szCs w:val="20"/>
        </w:rPr>
      </w:pPr>
      <w:r w:rsidRPr="00667DA4">
        <w:rPr>
          <w:rFonts w:cs="Arial"/>
          <w:sz w:val="20"/>
          <w:szCs w:val="20"/>
        </w:rPr>
        <w:t>* Includes hypertension, coronary heart disease, diabetes (type 1 or type 2), chronic kidney disease stage 3-5, asthma, COPD, immunocompromised</w:t>
      </w:r>
    </w:p>
    <w:p w14:paraId="323F6517" w14:textId="77777777" w:rsidR="007B469B" w:rsidRPr="00667DA4" w:rsidRDefault="007B469B" w:rsidP="00FE09BC">
      <w:pPr>
        <w:spacing w:line="240" w:lineRule="auto"/>
        <w:rPr>
          <w:rFonts w:cs="Arial"/>
          <w:sz w:val="20"/>
          <w:szCs w:val="20"/>
        </w:rPr>
      </w:pPr>
      <w:r w:rsidRPr="00667DA4">
        <w:rPr>
          <w:rFonts w:cs="Arial"/>
          <w:sz w:val="20"/>
          <w:szCs w:val="20"/>
        </w:rPr>
        <w:t xml:space="preserve">** Includes antihypertensive medication, lipid lowering medication, hypoglycaemic medication, inhalers, immunosuppressants  </w:t>
      </w:r>
    </w:p>
    <w:p w14:paraId="39C6F4D6" w14:textId="5F847F89" w:rsidR="007B469B" w:rsidRPr="00667DA4" w:rsidRDefault="007B469B" w:rsidP="00FE09BC">
      <w:pPr>
        <w:spacing w:line="240" w:lineRule="auto"/>
        <w:jc w:val="both"/>
        <w:rPr>
          <w:rFonts w:cs="Arial"/>
          <w:b/>
          <w:bCs/>
          <w:sz w:val="20"/>
          <w:szCs w:val="20"/>
          <w:u w:val="single"/>
        </w:rPr>
      </w:pPr>
    </w:p>
    <w:p w14:paraId="791DA37A" w14:textId="01157111" w:rsidR="007B469B" w:rsidRPr="00667DA4" w:rsidRDefault="007B469B" w:rsidP="00FE09BC">
      <w:pPr>
        <w:spacing w:line="240" w:lineRule="auto"/>
        <w:jc w:val="both"/>
        <w:rPr>
          <w:rFonts w:cs="Arial"/>
          <w:b/>
          <w:bCs/>
          <w:sz w:val="20"/>
          <w:szCs w:val="20"/>
          <w:u w:val="single"/>
        </w:rPr>
      </w:pPr>
    </w:p>
    <w:p w14:paraId="2E9F4276" w14:textId="7A6FC6C1" w:rsidR="007B469B" w:rsidRPr="00667DA4" w:rsidRDefault="007B469B" w:rsidP="00FE09BC">
      <w:pPr>
        <w:spacing w:line="240" w:lineRule="auto"/>
        <w:jc w:val="both"/>
        <w:rPr>
          <w:rFonts w:cs="Arial"/>
          <w:b/>
          <w:bCs/>
          <w:sz w:val="20"/>
          <w:szCs w:val="20"/>
          <w:u w:val="single"/>
        </w:rPr>
      </w:pPr>
    </w:p>
    <w:p w14:paraId="2D28D8BE" w14:textId="130FC9F7" w:rsidR="00F0620C" w:rsidRPr="00667DA4" w:rsidRDefault="00F0620C" w:rsidP="00FE09BC">
      <w:pPr>
        <w:spacing w:line="240" w:lineRule="auto"/>
        <w:jc w:val="both"/>
        <w:rPr>
          <w:rFonts w:cs="Arial"/>
          <w:b/>
          <w:bCs/>
          <w:sz w:val="20"/>
          <w:szCs w:val="20"/>
          <w:u w:val="single"/>
        </w:rPr>
      </w:pPr>
    </w:p>
    <w:p w14:paraId="5FC3D382" w14:textId="769606B4" w:rsidR="00F0620C" w:rsidRPr="00667DA4" w:rsidRDefault="00F0620C" w:rsidP="00FE09BC">
      <w:pPr>
        <w:spacing w:line="240" w:lineRule="auto"/>
        <w:jc w:val="both"/>
        <w:rPr>
          <w:rFonts w:cs="Arial"/>
          <w:b/>
          <w:bCs/>
          <w:sz w:val="20"/>
          <w:szCs w:val="20"/>
          <w:u w:val="single"/>
        </w:rPr>
      </w:pPr>
    </w:p>
    <w:p w14:paraId="748C177B" w14:textId="3D6DBFB2" w:rsidR="00F0620C" w:rsidRPr="00667DA4" w:rsidRDefault="00F0620C" w:rsidP="00FE09BC">
      <w:pPr>
        <w:spacing w:line="240" w:lineRule="auto"/>
        <w:jc w:val="both"/>
        <w:rPr>
          <w:rFonts w:cs="Arial"/>
          <w:b/>
          <w:bCs/>
          <w:sz w:val="20"/>
          <w:szCs w:val="20"/>
          <w:u w:val="single"/>
        </w:rPr>
      </w:pPr>
    </w:p>
    <w:p w14:paraId="365FECCD" w14:textId="190C45D9" w:rsidR="00F0620C" w:rsidRPr="00667DA4" w:rsidRDefault="00F0620C" w:rsidP="00FE09BC">
      <w:pPr>
        <w:spacing w:line="240" w:lineRule="auto"/>
        <w:jc w:val="both"/>
        <w:rPr>
          <w:rFonts w:cs="Arial"/>
          <w:b/>
          <w:bCs/>
          <w:sz w:val="20"/>
          <w:szCs w:val="20"/>
          <w:u w:val="single"/>
        </w:rPr>
      </w:pPr>
    </w:p>
    <w:p w14:paraId="06E0535A" w14:textId="66EA5C0A" w:rsidR="00F0620C" w:rsidRPr="00667DA4" w:rsidRDefault="00F0620C" w:rsidP="00FE09BC">
      <w:pPr>
        <w:spacing w:line="240" w:lineRule="auto"/>
        <w:jc w:val="both"/>
        <w:rPr>
          <w:rFonts w:cs="Arial"/>
          <w:b/>
          <w:bCs/>
          <w:sz w:val="20"/>
          <w:szCs w:val="20"/>
          <w:u w:val="single"/>
        </w:rPr>
      </w:pPr>
    </w:p>
    <w:p w14:paraId="47D9DC40" w14:textId="77777777" w:rsidR="00F0620C" w:rsidRPr="00667DA4" w:rsidRDefault="00F0620C" w:rsidP="00FE09BC">
      <w:pPr>
        <w:spacing w:line="240" w:lineRule="auto"/>
        <w:jc w:val="both"/>
        <w:rPr>
          <w:rFonts w:cs="Arial"/>
          <w:b/>
          <w:bCs/>
          <w:sz w:val="20"/>
          <w:szCs w:val="20"/>
          <w:u w:val="single"/>
        </w:rPr>
      </w:pPr>
    </w:p>
    <w:p w14:paraId="3F808BDF" w14:textId="77777777" w:rsidR="007B469B" w:rsidRPr="00667DA4" w:rsidRDefault="007B469B" w:rsidP="00FE09BC">
      <w:pPr>
        <w:autoSpaceDE w:val="0"/>
        <w:autoSpaceDN w:val="0"/>
        <w:adjustRightInd w:val="0"/>
        <w:spacing w:line="240" w:lineRule="auto"/>
        <w:jc w:val="both"/>
        <w:rPr>
          <w:rFonts w:cs="Arial"/>
          <w:sz w:val="20"/>
          <w:szCs w:val="20"/>
          <w:shd w:val="clear" w:color="auto" w:fill="FFFFFF"/>
        </w:rPr>
      </w:pPr>
    </w:p>
    <w:p w14:paraId="4182CB32" w14:textId="40361B8D" w:rsidR="007B469B" w:rsidRPr="00667DA4" w:rsidRDefault="007B469B" w:rsidP="00FE09BC">
      <w:pPr>
        <w:spacing w:line="240" w:lineRule="auto"/>
        <w:jc w:val="both"/>
        <w:rPr>
          <w:rStyle w:val="None"/>
          <w:rFonts w:cs="Arial"/>
          <w:b/>
          <w:sz w:val="20"/>
          <w:szCs w:val="20"/>
        </w:rPr>
      </w:pPr>
      <w:r w:rsidRPr="00667DA4">
        <w:rPr>
          <w:rFonts w:eastAsia="Times New Roman" w:cs="Arial"/>
          <w:b/>
          <w:sz w:val="20"/>
          <w:szCs w:val="20"/>
          <w:lang w:eastAsia="en-GB"/>
        </w:rPr>
        <w:t xml:space="preserve">Table 3: </w:t>
      </w:r>
      <w:r w:rsidRPr="00667DA4">
        <w:rPr>
          <w:rStyle w:val="None"/>
          <w:rFonts w:cs="Arial"/>
          <w:b/>
          <w:sz w:val="20"/>
          <w:szCs w:val="20"/>
        </w:rPr>
        <w:t xml:space="preserve">Association between HRT use and the likelihood of death in women </w:t>
      </w:r>
      <w:r w:rsidR="00747C3D" w:rsidRPr="00667DA4">
        <w:rPr>
          <w:rStyle w:val="None"/>
          <w:rFonts w:cs="Arial"/>
          <w:b/>
          <w:sz w:val="20"/>
          <w:szCs w:val="20"/>
        </w:rPr>
        <w:t xml:space="preserve">diagnosed </w:t>
      </w:r>
      <w:r w:rsidRPr="00667DA4">
        <w:rPr>
          <w:rStyle w:val="None"/>
          <w:rFonts w:cs="Arial"/>
          <w:b/>
          <w:sz w:val="20"/>
          <w:szCs w:val="20"/>
        </w:rPr>
        <w:t xml:space="preserve">with COVID-19 </w:t>
      </w:r>
      <w:r w:rsidR="00747C3D" w:rsidRPr="00667DA4">
        <w:rPr>
          <w:rStyle w:val="None"/>
          <w:rFonts w:cs="Arial"/>
          <w:b/>
          <w:sz w:val="20"/>
          <w:szCs w:val="20"/>
        </w:rPr>
        <w:t>during the observation period (</w:t>
      </w:r>
      <w:r w:rsidR="00747C3D" w:rsidRPr="00667DA4">
        <w:rPr>
          <w:rFonts w:cs="Arial"/>
          <w:b/>
          <w:shd w:val="clear" w:color="auto" w:fill="FFFFFF"/>
        </w:rPr>
        <w:t>1</w:t>
      </w:r>
      <w:r w:rsidR="00747C3D" w:rsidRPr="00667DA4">
        <w:rPr>
          <w:rFonts w:cs="Arial"/>
          <w:b/>
          <w:shd w:val="clear" w:color="auto" w:fill="FFFFFF"/>
          <w:vertAlign w:val="superscript"/>
        </w:rPr>
        <w:t>st</w:t>
      </w:r>
      <w:r w:rsidR="00747C3D" w:rsidRPr="00667DA4">
        <w:rPr>
          <w:rFonts w:cs="Arial"/>
          <w:b/>
          <w:shd w:val="clear" w:color="auto" w:fill="FFFFFF"/>
        </w:rPr>
        <w:t xml:space="preserve"> January to 21</w:t>
      </w:r>
      <w:r w:rsidR="00747C3D" w:rsidRPr="00667DA4">
        <w:rPr>
          <w:rFonts w:cs="Arial"/>
          <w:b/>
          <w:shd w:val="clear" w:color="auto" w:fill="FFFFFF"/>
          <w:vertAlign w:val="superscript"/>
        </w:rPr>
        <w:t>st</w:t>
      </w:r>
      <w:r w:rsidR="00747C3D" w:rsidRPr="00667DA4">
        <w:rPr>
          <w:rFonts w:cs="Arial"/>
          <w:b/>
          <w:shd w:val="clear" w:color="auto" w:fill="FFFFFF"/>
        </w:rPr>
        <w:t xml:space="preserve"> June 2020)</w:t>
      </w:r>
      <w:r w:rsidR="00747C3D" w:rsidRPr="00667DA4">
        <w:rPr>
          <w:rStyle w:val="None"/>
          <w:rFonts w:cs="Arial"/>
          <w:b/>
          <w:sz w:val="20"/>
          <w:szCs w:val="20"/>
        </w:rPr>
        <w:t xml:space="preserve">, </w:t>
      </w:r>
      <w:r w:rsidRPr="00667DA4">
        <w:rPr>
          <w:rStyle w:val="None"/>
          <w:rFonts w:cs="Arial"/>
          <w:b/>
          <w:sz w:val="20"/>
          <w:szCs w:val="20"/>
        </w:rPr>
        <w:t>n= 5451)</w:t>
      </w:r>
    </w:p>
    <w:p w14:paraId="51BA0731" w14:textId="77777777" w:rsidR="007B469B" w:rsidRPr="00667DA4" w:rsidRDefault="007B469B" w:rsidP="00FE09BC">
      <w:pPr>
        <w:pStyle w:val="ListParagraph"/>
        <w:numPr>
          <w:ilvl w:val="0"/>
          <w:numId w:val="12"/>
        </w:numPr>
        <w:spacing w:line="240" w:lineRule="auto"/>
        <w:jc w:val="both"/>
        <w:rPr>
          <w:rStyle w:val="None"/>
          <w:rFonts w:asciiTheme="minorHAnsi" w:hAnsiTheme="minorHAnsi" w:cs="Arial"/>
          <w:bCs/>
          <w:i/>
          <w:iCs/>
          <w:sz w:val="20"/>
          <w:szCs w:val="20"/>
        </w:rPr>
      </w:pPr>
      <w:r w:rsidRPr="00667DA4">
        <w:rPr>
          <w:rStyle w:val="None"/>
          <w:rFonts w:asciiTheme="minorHAnsi" w:hAnsiTheme="minorHAnsi" w:cs="Arial"/>
          <w:bCs/>
          <w:i/>
          <w:iCs/>
          <w:sz w:val="20"/>
          <w:szCs w:val="20"/>
        </w:rPr>
        <w:t>Unadjusted models</w:t>
      </w:r>
    </w:p>
    <w:tbl>
      <w:tblPr>
        <w:tblW w:w="7432"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960"/>
        <w:gridCol w:w="1520"/>
        <w:gridCol w:w="1660"/>
        <w:gridCol w:w="1632"/>
      </w:tblGrid>
      <w:tr w:rsidR="00667DA4" w:rsidRPr="00667DA4" w14:paraId="66ECD7AB" w14:textId="77777777" w:rsidTr="00377099">
        <w:trPr>
          <w:trHeight w:val="290"/>
        </w:trPr>
        <w:tc>
          <w:tcPr>
            <w:tcW w:w="1660" w:type="dxa"/>
            <w:shd w:val="clear" w:color="auto" w:fill="auto"/>
            <w:noWrap/>
            <w:vAlign w:val="center"/>
            <w:hideMark/>
          </w:tcPr>
          <w:p w14:paraId="68B2CE52" w14:textId="77777777" w:rsidR="007B469B" w:rsidRPr="00667DA4" w:rsidRDefault="007B469B" w:rsidP="00FE09BC">
            <w:pPr>
              <w:spacing w:after="0" w:line="240" w:lineRule="auto"/>
              <w:jc w:val="center"/>
              <w:rPr>
                <w:rFonts w:eastAsia="Times New Roman" w:cs="Arial"/>
                <w:sz w:val="20"/>
                <w:szCs w:val="20"/>
                <w:lang w:eastAsia="en-GB"/>
              </w:rPr>
            </w:pPr>
          </w:p>
        </w:tc>
        <w:tc>
          <w:tcPr>
            <w:tcW w:w="960" w:type="dxa"/>
            <w:shd w:val="clear" w:color="auto" w:fill="auto"/>
            <w:noWrap/>
            <w:vAlign w:val="bottom"/>
            <w:hideMark/>
          </w:tcPr>
          <w:p w14:paraId="2EA212BB" w14:textId="77777777" w:rsidR="007B469B" w:rsidRPr="00667DA4" w:rsidRDefault="007B469B" w:rsidP="00FE09BC">
            <w:pPr>
              <w:spacing w:after="0" w:line="240" w:lineRule="auto"/>
              <w:jc w:val="center"/>
              <w:rPr>
                <w:rFonts w:eastAsia="Times New Roman" w:cs="Arial"/>
                <w:sz w:val="20"/>
                <w:szCs w:val="20"/>
                <w:lang w:eastAsia="en-GB"/>
              </w:rPr>
            </w:pPr>
            <w:r w:rsidRPr="00667DA4">
              <w:rPr>
                <w:rFonts w:eastAsia="Times New Roman" w:cs="Arial"/>
                <w:sz w:val="20"/>
                <w:szCs w:val="20"/>
                <w:lang w:eastAsia="en-GB"/>
              </w:rPr>
              <w:t>OR</w:t>
            </w:r>
          </w:p>
        </w:tc>
        <w:tc>
          <w:tcPr>
            <w:tcW w:w="3180" w:type="dxa"/>
            <w:gridSpan w:val="2"/>
            <w:shd w:val="clear" w:color="auto" w:fill="auto"/>
            <w:noWrap/>
            <w:vAlign w:val="bottom"/>
            <w:hideMark/>
          </w:tcPr>
          <w:p w14:paraId="1AB55BD7" w14:textId="77777777" w:rsidR="007B469B" w:rsidRPr="00667DA4" w:rsidRDefault="007B469B" w:rsidP="00FE09BC">
            <w:pPr>
              <w:spacing w:after="0" w:line="240" w:lineRule="auto"/>
              <w:jc w:val="center"/>
              <w:rPr>
                <w:rFonts w:eastAsia="Times New Roman" w:cs="Arial"/>
                <w:sz w:val="20"/>
                <w:szCs w:val="20"/>
                <w:lang w:eastAsia="en-GB"/>
              </w:rPr>
            </w:pPr>
            <w:r w:rsidRPr="00667DA4">
              <w:rPr>
                <w:rFonts w:eastAsia="Times New Roman" w:cs="Arial"/>
                <w:sz w:val="20"/>
                <w:szCs w:val="20"/>
                <w:lang w:eastAsia="en-GB"/>
              </w:rPr>
              <w:t>95% CI</w:t>
            </w:r>
          </w:p>
        </w:tc>
        <w:tc>
          <w:tcPr>
            <w:tcW w:w="1632" w:type="dxa"/>
            <w:shd w:val="clear" w:color="auto" w:fill="auto"/>
            <w:noWrap/>
            <w:vAlign w:val="bottom"/>
            <w:hideMark/>
          </w:tcPr>
          <w:p w14:paraId="3A90FAA8" w14:textId="77777777" w:rsidR="007B469B" w:rsidRPr="00667DA4" w:rsidRDefault="007B469B" w:rsidP="00FE09BC">
            <w:pPr>
              <w:spacing w:after="0" w:line="240" w:lineRule="auto"/>
              <w:jc w:val="center"/>
              <w:rPr>
                <w:rFonts w:eastAsia="Times New Roman" w:cs="Arial"/>
                <w:sz w:val="20"/>
                <w:szCs w:val="20"/>
                <w:lang w:eastAsia="en-GB"/>
              </w:rPr>
            </w:pPr>
            <w:r w:rsidRPr="00667DA4">
              <w:rPr>
                <w:rFonts w:eastAsia="Times New Roman" w:cs="Arial"/>
                <w:sz w:val="20"/>
                <w:szCs w:val="20"/>
                <w:lang w:eastAsia="en-GB"/>
              </w:rPr>
              <w:t>p-value</w:t>
            </w:r>
          </w:p>
        </w:tc>
      </w:tr>
      <w:tr w:rsidR="0093730D" w:rsidRPr="00667DA4" w14:paraId="57B863B3" w14:textId="77777777" w:rsidTr="00377099">
        <w:trPr>
          <w:trHeight w:val="290"/>
        </w:trPr>
        <w:tc>
          <w:tcPr>
            <w:tcW w:w="1660" w:type="dxa"/>
            <w:shd w:val="clear" w:color="000000" w:fill="FFFFFF"/>
            <w:noWrap/>
            <w:vAlign w:val="center"/>
            <w:hideMark/>
          </w:tcPr>
          <w:p w14:paraId="271AB6C1" w14:textId="77777777" w:rsidR="007B469B" w:rsidRPr="00667DA4" w:rsidRDefault="007B469B" w:rsidP="00FE09BC">
            <w:pPr>
              <w:spacing w:after="0" w:line="240" w:lineRule="auto"/>
              <w:jc w:val="center"/>
              <w:rPr>
                <w:rFonts w:eastAsia="Times New Roman" w:cs="Arial"/>
                <w:sz w:val="20"/>
                <w:szCs w:val="20"/>
                <w:lang w:eastAsia="en-GB"/>
              </w:rPr>
            </w:pPr>
            <w:r w:rsidRPr="00667DA4">
              <w:rPr>
                <w:rFonts w:eastAsia="Times New Roman" w:cs="Arial"/>
                <w:sz w:val="20"/>
                <w:szCs w:val="20"/>
                <w:lang w:eastAsia="en-GB"/>
              </w:rPr>
              <w:t>HRT use</w:t>
            </w:r>
          </w:p>
        </w:tc>
        <w:tc>
          <w:tcPr>
            <w:tcW w:w="960" w:type="dxa"/>
            <w:shd w:val="clear" w:color="auto" w:fill="auto"/>
            <w:noWrap/>
            <w:vAlign w:val="bottom"/>
            <w:hideMark/>
          </w:tcPr>
          <w:p w14:paraId="46E1D8B7" w14:textId="77777777" w:rsidR="007B469B" w:rsidRPr="00667DA4" w:rsidRDefault="007B469B" w:rsidP="00FE09BC">
            <w:pPr>
              <w:spacing w:after="0" w:line="240" w:lineRule="auto"/>
              <w:jc w:val="center"/>
              <w:rPr>
                <w:rFonts w:eastAsia="Times New Roman" w:cs="Arial"/>
                <w:sz w:val="20"/>
                <w:szCs w:val="20"/>
                <w:lang w:eastAsia="en-GB"/>
              </w:rPr>
            </w:pPr>
            <w:r w:rsidRPr="00667DA4">
              <w:rPr>
                <w:rFonts w:eastAsia="Times New Roman" w:cs="Arial"/>
                <w:sz w:val="20"/>
                <w:szCs w:val="20"/>
                <w:lang w:eastAsia="en-GB"/>
              </w:rPr>
              <w:t>0.15</w:t>
            </w:r>
          </w:p>
        </w:tc>
        <w:tc>
          <w:tcPr>
            <w:tcW w:w="1520" w:type="dxa"/>
            <w:shd w:val="clear" w:color="auto" w:fill="auto"/>
            <w:noWrap/>
            <w:vAlign w:val="bottom"/>
            <w:hideMark/>
          </w:tcPr>
          <w:p w14:paraId="6143ACB6" w14:textId="77777777" w:rsidR="007B469B" w:rsidRPr="00667DA4" w:rsidRDefault="007B469B" w:rsidP="00FE09BC">
            <w:pPr>
              <w:spacing w:after="0" w:line="240" w:lineRule="auto"/>
              <w:jc w:val="center"/>
              <w:rPr>
                <w:rFonts w:eastAsia="Times New Roman" w:cs="Arial"/>
                <w:sz w:val="20"/>
                <w:szCs w:val="20"/>
                <w:lang w:eastAsia="en-GB"/>
              </w:rPr>
            </w:pPr>
            <w:r w:rsidRPr="00667DA4">
              <w:rPr>
                <w:rFonts w:eastAsia="Times New Roman" w:cs="Arial"/>
                <w:sz w:val="20"/>
                <w:szCs w:val="20"/>
                <w:lang w:eastAsia="en-GB"/>
              </w:rPr>
              <w:t>0.061</w:t>
            </w:r>
          </w:p>
        </w:tc>
        <w:tc>
          <w:tcPr>
            <w:tcW w:w="1660" w:type="dxa"/>
            <w:shd w:val="clear" w:color="auto" w:fill="auto"/>
            <w:noWrap/>
            <w:vAlign w:val="bottom"/>
            <w:hideMark/>
          </w:tcPr>
          <w:p w14:paraId="7C459FD9" w14:textId="77777777" w:rsidR="007B469B" w:rsidRPr="00667DA4" w:rsidRDefault="007B469B" w:rsidP="00FE09BC">
            <w:pPr>
              <w:spacing w:after="0" w:line="240" w:lineRule="auto"/>
              <w:jc w:val="center"/>
              <w:rPr>
                <w:rFonts w:eastAsia="Times New Roman" w:cs="Arial"/>
                <w:sz w:val="20"/>
                <w:szCs w:val="20"/>
                <w:lang w:eastAsia="en-GB"/>
              </w:rPr>
            </w:pPr>
            <w:r w:rsidRPr="00667DA4">
              <w:rPr>
                <w:rFonts w:eastAsia="Times New Roman" w:cs="Arial"/>
                <w:sz w:val="20"/>
                <w:szCs w:val="20"/>
                <w:lang w:eastAsia="en-GB"/>
              </w:rPr>
              <w:t>0.366</w:t>
            </w:r>
          </w:p>
        </w:tc>
        <w:tc>
          <w:tcPr>
            <w:tcW w:w="1632" w:type="dxa"/>
            <w:shd w:val="clear" w:color="auto" w:fill="auto"/>
            <w:noWrap/>
            <w:vAlign w:val="bottom"/>
            <w:hideMark/>
          </w:tcPr>
          <w:p w14:paraId="161250F4" w14:textId="77777777" w:rsidR="007B469B" w:rsidRPr="00667DA4" w:rsidRDefault="007B469B" w:rsidP="00FE09BC">
            <w:pPr>
              <w:spacing w:after="0" w:line="240" w:lineRule="auto"/>
              <w:jc w:val="center"/>
              <w:rPr>
                <w:rFonts w:eastAsia="Times New Roman" w:cs="Arial"/>
                <w:sz w:val="20"/>
                <w:szCs w:val="20"/>
                <w:lang w:eastAsia="en-GB"/>
              </w:rPr>
            </w:pPr>
            <w:r w:rsidRPr="00667DA4">
              <w:rPr>
                <w:rFonts w:eastAsia="Times New Roman" w:cs="Arial"/>
                <w:sz w:val="20"/>
                <w:szCs w:val="20"/>
                <w:lang w:eastAsia="en-GB"/>
              </w:rPr>
              <w:t>0.000</w:t>
            </w:r>
          </w:p>
        </w:tc>
      </w:tr>
    </w:tbl>
    <w:p w14:paraId="57D5B9AB" w14:textId="77777777" w:rsidR="007B469B" w:rsidRPr="00667DA4" w:rsidRDefault="007B469B" w:rsidP="00FE09BC">
      <w:pPr>
        <w:pStyle w:val="ListParagraph"/>
        <w:spacing w:line="240" w:lineRule="auto"/>
        <w:ind w:left="1800"/>
        <w:jc w:val="both"/>
        <w:rPr>
          <w:rStyle w:val="None"/>
          <w:rFonts w:asciiTheme="minorHAnsi" w:hAnsiTheme="minorHAnsi" w:cs="Arial"/>
          <w:b/>
          <w:sz w:val="20"/>
          <w:szCs w:val="20"/>
        </w:rPr>
      </w:pPr>
    </w:p>
    <w:p w14:paraId="3D40C7B0" w14:textId="77777777" w:rsidR="007B469B" w:rsidRPr="00667DA4" w:rsidRDefault="007B469B" w:rsidP="00FE09BC">
      <w:pPr>
        <w:pStyle w:val="ListParagraph"/>
        <w:numPr>
          <w:ilvl w:val="0"/>
          <w:numId w:val="12"/>
        </w:numPr>
        <w:spacing w:line="240" w:lineRule="auto"/>
        <w:rPr>
          <w:rFonts w:asciiTheme="minorHAnsi" w:hAnsiTheme="minorHAnsi" w:cs="Arial"/>
          <w:i/>
          <w:iCs/>
          <w:sz w:val="20"/>
          <w:szCs w:val="20"/>
        </w:rPr>
      </w:pPr>
      <w:r w:rsidRPr="00667DA4">
        <w:rPr>
          <w:rFonts w:asciiTheme="minorHAnsi" w:hAnsiTheme="minorHAnsi" w:cs="Arial"/>
          <w:i/>
          <w:iCs/>
          <w:sz w:val="20"/>
          <w:szCs w:val="20"/>
        </w:rPr>
        <w:t>Maximally adjusted models</w:t>
      </w:r>
    </w:p>
    <w:tbl>
      <w:tblPr>
        <w:tblW w:w="7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960"/>
        <w:gridCol w:w="960"/>
        <w:gridCol w:w="960"/>
        <w:gridCol w:w="960"/>
      </w:tblGrid>
      <w:tr w:rsidR="00667DA4" w:rsidRPr="00667DA4" w14:paraId="36073FC4" w14:textId="77777777" w:rsidTr="00377099">
        <w:trPr>
          <w:trHeight w:val="290"/>
          <w:jc w:val="center"/>
        </w:trPr>
        <w:tc>
          <w:tcPr>
            <w:tcW w:w="3659" w:type="dxa"/>
            <w:shd w:val="clear" w:color="auto" w:fill="auto"/>
            <w:noWrap/>
            <w:vAlign w:val="center"/>
            <w:hideMark/>
          </w:tcPr>
          <w:p w14:paraId="79397A5C" w14:textId="77777777" w:rsidR="007B469B" w:rsidRPr="00667DA4" w:rsidRDefault="007B469B" w:rsidP="00FE09BC">
            <w:pPr>
              <w:spacing w:after="0" w:line="240" w:lineRule="auto"/>
              <w:rPr>
                <w:rFonts w:eastAsia="Times New Roman" w:cs="Arial"/>
                <w:sz w:val="18"/>
                <w:szCs w:val="18"/>
                <w:lang w:eastAsia="en-GB"/>
              </w:rPr>
            </w:pPr>
          </w:p>
        </w:tc>
        <w:tc>
          <w:tcPr>
            <w:tcW w:w="960" w:type="dxa"/>
            <w:shd w:val="clear" w:color="auto" w:fill="auto"/>
            <w:noWrap/>
            <w:vAlign w:val="bottom"/>
            <w:hideMark/>
          </w:tcPr>
          <w:p w14:paraId="2D1809F1" w14:textId="77777777" w:rsidR="007B469B" w:rsidRPr="00667DA4" w:rsidRDefault="007B469B" w:rsidP="00FE09BC">
            <w:pPr>
              <w:spacing w:after="0" w:line="240" w:lineRule="auto"/>
              <w:jc w:val="center"/>
              <w:rPr>
                <w:rFonts w:eastAsia="Times New Roman" w:cs="Arial"/>
                <w:sz w:val="18"/>
                <w:szCs w:val="18"/>
                <w:lang w:eastAsia="en-GB"/>
              </w:rPr>
            </w:pPr>
            <w:r w:rsidRPr="00667DA4">
              <w:rPr>
                <w:rFonts w:eastAsia="Times New Roman" w:cs="Arial"/>
                <w:sz w:val="18"/>
                <w:szCs w:val="18"/>
                <w:lang w:eastAsia="en-GB"/>
              </w:rPr>
              <w:t>OR</w:t>
            </w:r>
          </w:p>
        </w:tc>
        <w:tc>
          <w:tcPr>
            <w:tcW w:w="1920" w:type="dxa"/>
            <w:gridSpan w:val="2"/>
            <w:shd w:val="clear" w:color="auto" w:fill="auto"/>
            <w:noWrap/>
            <w:vAlign w:val="bottom"/>
            <w:hideMark/>
          </w:tcPr>
          <w:p w14:paraId="0E423965" w14:textId="77777777" w:rsidR="007B469B" w:rsidRPr="00667DA4" w:rsidRDefault="007B469B" w:rsidP="00FE09BC">
            <w:pPr>
              <w:spacing w:after="0" w:line="240" w:lineRule="auto"/>
              <w:jc w:val="center"/>
              <w:rPr>
                <w:rFonts w:eastAsia="Times New Roman" w:cs="Arial"/>
                <w:sz w:val="18"/>
                <w:szCs w:val="18"/>
                <w:lang w:eastAsia="en-GB"/>
              </w:rPr>
            </w:pPr>
            <w:r w:rsidRPr="00667DA4">
              <w:rPr>
                <w:rFonts w:eastAsia="Times New Roman" w:cs="Arial"/>
                <w:sz w:val="18"/>
                <w:szCs w:val="18"/>
                <w:lang w:eastAsia="en-GB"/>
              </w:rPr>
              <w:t>95% CI</w:t>
            </w:r>
          </w:p>
        </w:tc>
        <w:tc>
          <w:tcPr>
            <w:tcW w:w="960" w:type="dxa"/>
            <w:shd w:val="clear" w:color="auto" w:fill="auto"/>
            <w:noWrap/>
            <w:vAlign w:val="bottom"/>
            <w:hideMark/>
          </w:tcPr>
          <w:p w14:paraId="1DA09F2D" w14:textId="77777777" w:rsidR="007B469B" w:rsidRPr="00667DA4" w:rsidRDefault="007B469B" w:rsidP="00FE09BC">
            <w:pPr>
              <w:spacing w:after="0" w:line="240" w:lineRule="auto"/>
              <w:jc w:val="center"/>
              <w:rPr>
                <w:rFonts w:eastAsia="Times New Roman" w:cs="Arial"/>
                <w:sz w:val="18"/>
                <w:szCs w:val="18"/>
                <w:lang w:eastAsia="en-GB"/>
              </w:rPr>
            </w:pPr>
            <w:r w:rsidRPr="00667DA4">
              <w:rPr>
                <w:rFonts w:eastAsia="Times New Roman" w:cs="Arial"/>
                <w:sz w:val="18"/>
                <w:szCs w:val="18"/>
                <w:lang w:eastAsia="en-GB"/>
              </w:rPr>
              <w:t>p-value</w:t>
            </w:r>
          </w:p>
        </w:tc>
      </w:tr>
      <w:tr w:rsidR="00667DA4" w:rsidRPr="00667DA4" w14:paraId="16F25FDE" w14:textId="77777777" w:rsidTr="00377099">
        <w:trPr>
          <w:trHeight w:val="290"/>
          <w:jc w:val="center"/>
        </w:trPr>
        <w:tc>
          <w:tcPr>
            <w:tcW w:w="3659" w:type="dxa"/>
            <w:shd w:val="clear" w:color="auto" w:fill="auto"/>
            <w:noWrap/>
            <w:vAlign w:val="center"/>
          </w:tcPr>
          <w:p w14:paraId="4F260171"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HRT use</w:t>
            </w:r>
          </w:p>
        </w:tc>
        <w:tc>
          <w:tcPr>
            <w:tcW w:w="960" w:type="dxa"/>
            <w:shd w:val="clear" w:color="auto" w:fill="auto"/>
            <w:noWrap/>
            <w:vAlign w:val="bottom"/>
          </w:tcPr>
          <w:p w14:paraId="00123195" w14:textId="77777777" w:rsidR="007B469B" w:rsidRPr="00667DA4" w:rsidRDefault="007B469B" w:rsidP="00FE09BC">
            <w:pPr>
              <w:spacing w:after="0" w:line="240" w:lineRule="auto"/>
              <w:jc w:val="center"/>
              <w:rPr>
                <w:rFonts w:eastAsia="Times New Roman" w:cs="Arial"/>
                <w:sz w:val="18"/>
                <w:szCs w:val="18"/>
                <w:lang w:eastAsia="en-GB"/>
              </w:rPr>
            </w:pPr>
            <w:r w:rsidRPr="00667DA4">
              <w:rPr>
                <w:rFonts w:eastAsia="Times New Roman" w:cs="Arial"/>
                <w:sz w:val="18"/>
                <w:szCs w:val="18"/>
                <w:lang w:eastAsia="en-GB"/>
              </w:rPr>
              <w:t xml:space="preserve">      0.22</w:t>
            </w:r>
          </w:p>
        </w:tc>
        <w:tc>
          <w:tcPr>
            <w:tcW w:w="960" w:type="dxa"/>
            <w:shd w:val="clear" w:color="auto" w:fill="auto"/>
            <w:noWrap/>
            <w:vAlign w:val="bottom"/>
          </w:tcPr>
          <w:p w14:paraId="5504D953" w14:textId="77777777" w:rsidR="007B469B" w:rsidRPr="00667DA4" w:rsidRDefault="007B469B" w:rsidP="00FE09BC">
            <w:pPr>
              <w:spacing w:after="0" w:line="240" w:lineRule="auto"/>
              <w:jc w:val="center"/>
              <w:rPr>
                <w:rFonts w:eastAsia="Times New Roman" w:cs="Arial"/>
                <w:sz w:val="18"/>
                <w:szCs w:val="18"/>
                <w:lang w:eastAsia="en-GB"/>
              </w:rPr>
            </w:pPr>
            <w:r w:rsidRPr="00667DA4">
              <w:rPr>
                <w:rFonts w:eastAsia="Times New Roman" w:cs="Arial"/>
                <w:sz w:val="18"/>
                <w:szCs w:val="18"/>
                <w:lang w:eastAsia="en-GB"/>
              </w:rPr>
              <w:t xml:space="preserve">       0.05</w:t>
            </w:r>
          </w:p>
        </w:tc>
        <w:tc>
          <w:tcPr>
            <w:tcW w:w="960" w:type="dxa"/>
            <w:shd w:val="clear" w:color="auto" w:fill="auto"/>
            <w:noWrap/>
            <w:vAlign w:val="bottom"/>
          </w:tcPr>
          <w:p w14:paraId="361227D6" w14:textId="77777777" w:rsidR="007B469B" w:rsidRPr="00667DA4" w:rsidRDefault="007B469B" w:rsidP="00FE09BC">
            <w:pPr>
              <w:spacing w:after="0" w:line="240" w:lineRule="auto"/>
              <w:jc w:val="center"/>
              <w:rPr>
                <w:rFonts w:eastAsia="Times New Roman" w:cs="Arial"/>
                <w:sz w:val="18"/>
                <w:szCs w:val="18"/>
                <w:lang w:eastAsia="en-GB"/>
              </w:rPr>
            </w:pPr>
            <w:r w:rsidRPr="00667DA4">
              <w:rPr>
                <w:rFonts w:eastAsia="Times New Roman" w:cs="Arial"/>
                <w:sz w:val="18"/>
                <w:szCs w:val="18"/>
                <w:lang w:eastAsia="en-GB"/>
              </w:rPr>
              <w:t xml:space="preserve">       0.94</w:t>
            </w:r>
          </w:p>
        </w:tc>
        <w:tc>
          <w:tcPr>
            <w:tcW w:w="960" w:type="dxa"/>
            <w:shd w:val="clear" w:color="auto" w:fill="auto"/>
            <w:noWrap/>
            <w:vAlign w:val="bottom"/>
          </w:tcPr>
          <w:p w14:paraId="718F0652" w14:textId="77777777" w:rsidR="007B469B" w:rsidRPr="00667DA4" w:rsidRDefault="007B469B" w:rsidP="00FE09BC">
            <w:pPr>
              <w:spacing w:after="0" w:line="240" w:lineRule="auto"/>
              <w:jc w:val="center"/>
              <w:rPr>
                <w:rFonts w:eastAsia="Times New Roman" w:cs="Arial"/>
                <w:sz w:val="18"/>
                <w:szCs w:val="18"/>
                <w:lang w:eastAsia="en-GB"/>
              </w:rPr>
            </w:pPr>
            <w:r w:rsidRPr="00667DA4">
              <w:rPr>
                <w:rFonts w:eastAsia="Times New Roman" w:cs="Arial"/>
                <w:sz w:val="18"/>
                <w:szCs w:val="18"/>
                <w:lang w:eastAsia="en-GB"/>
              </w:rPr>
              <w:t xml:space="preserve">     0.041</w:t>
            </w:r>
          </w:p>
        </w:tc>
      </w:tr>
      <w:tr w:rsidR="00667DA4" w:rsidRPr="00667DA4" w14:paraId="2241B139" w14:textId="77777777" w:rsidTr="00377099">
        <w:trPr>
          <w:trHeight w:val="290"/>
          <w:jc w:val="center"/>
        </w:trPr>
        <w:tc>
          <w:tcPr>
            <w:tcW w:w="3659" w:type="dxa"/>
            <w:shd w:val="clear" w:color="auto" w:fill="auto"/>
            <w:noWrap/>
            <w:vAlign w:val="center"/>
            <w:hideMark/>
          </w:tcPr>
          <w:p w14:paraId="6B5486A9"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Age 40-64 (years)</w:t>
            </w:r>
          </w:p>
        </w:tc>
        <w:tc>
          <w:tcPr>
            <w:tcW w:w="960" w:type="dxa"/>
            <w:shd w:val="clear" w:color="auto" w:fill="auto"/>
            <w:noWrap/>
            <w:vAlign w:val="bottom"/>
            <w:hideMark/>
          </w:tcPr>
          <w:p w14:paraId="24BEF862"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10.40</w:t>
            </w:r>
          </w:p>
        </w:tc>
        <w:tc>
          <w:tcPr>
            <w:tcW w:w="960" w:type="dxa"/>
            <w:shd w:val="clear" w:color="auto" w:fill="auto"/>
            <w:noWrap/>
            <w:vAlign w:val="bottom"/>
            <w:hideMark/>
          </w:tcPr>
          <w:p w14:paraId="4D4B8C29"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2.48</w:t>
            </w:r>
          </w:p>
        </w:tc>
        <w:tc>
          <w:tcPr>
            <w:tcW w:w="960" w:type="dxa"/>
            <w:shd w:val="clear" w:color="auto" w:fill="auto"/>
            <w:noWrap/>
            <w:vAlign w:val="bottom"/>
            <w:hideMark/>
          </w:tcPr>
          <w:p w14:paraId="664CE273"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43.30</w:t>
            </w:r>
          </w:p>
        </w:tc>
        <w:tc>
          <w:tcPr>
            <w:tcW w:w="960" w:type="dxa"/>
            <w:shd w:val="clear" w:color="auto" w:fill="auto"/>
            <w:noWrap/>
            <w:vAlign w:val="bottom"/>
            <w:hideMark/>
          </w:tcPr>
          <w:p w14:paraId="2E9842A6"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0.001</w:t>
            </w:r>
          </w:p>
        </w:tc>
      </w:tr>
      <w:tr w:rsidR="00667DA4" w:rsidRPr="00667DA4" w14:paraId="39AB69D6" w14:textId="77777777" w:rsidTr="00377099">
        <w:trPr>
          <w:trHeight w:val="290"/>
          <w:jc w:val="center"/>
        </w:trPr>
        <w:tc>
          <w:tcPr>
            <w:tcW w:w="3659" w:type="dxa"/>
            <w:shd w:val="clear" w:color="auto" w:fill="auto"/>
            <w:noWrap/>
            <w:vAlign w:val="center"/>
            <w:hideMark/>
          </w:tcPr>
          <w:p w14:paraId="4D38A628"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Age 65-74 (years)</w:t>
            </w:r>
          </w:p>
        </w:tc>
        <w:tc>
          <w:tcPr>
            <w:tcW w:w="960" w:type="dxa"/>
            <w:shd w:val="clear" w:color="auto" w:fill="auto"/>
            <w:noWrap/>
            <w:vAlign w:val="bottom"/>
            <w:hideMark/>
          </w:tcPr>
          <w:p w14:paraId="114B2D31"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58.90</w:t>
            </w:r>
          </w:p>
        </w:tc>
        <w:tc>
          <w:tcPr>
            <w:tcW w:w="960" w:type="dxa"/>
            <w:shd w:val="clear" w:color="auto" w:fill="auto"/>
            <w:noWrap/>
            <w:vAlign w:val="bottom"/>
            <w:hideMark/>
          </w:tcPr>
          <w:p w14:paraId="0C11706B"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14.00</w:t>
            </w:r>
          </w:p>
        </w:tc>
        <w:tc>
          <w:tcPr>
            <w:tcW w:w="960" w:type="dxa"/>
            <w:shd w:val="clear" w:color="auto" w:fill="auto"/>
            <w:noWrap/>
            <w:vAlign w:val="bottom"/>
            <w:hideMark/>
          </w:tcPr>
          <w:p w14:paraId="14127484"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249.00</w:t>
            </w:r>
          </w:p>
        </w:tc>
        <w:tc>
          <w:tcPr>
            <w:tcW w:w="960" w:type="dxa"/>
            <w:shd w:val="clear" w:color="auto" w:fill="auto"/>
            <w:noWrap/>
            <w:vAlign w:val="bottom"/>
            <w:hideMark/>
          </w:tcPr>
          <w:p w14:paraId="230CB5E9"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0.000</w:t>
            </w:r>
          </w:p>
        </w:tc>
      </w:tr>
      <w:tr w:rsidR="00667DA4" w:rsidRPr="00667DA4" w14:paraId="509A2076" w14:textId="77777777" w:rsidTr="00377099">
        <w:trPr>
          <w:trHeight w:val="290"/>
          <w:jc w:val="center"/>
        </w:trPr>
        <w:tc>
          <w:tcPr>
            <w:tcW w:w="3659" w:type="dxa"/>
            <w:shd w:val="clear" w:color="auto" w:fill="auto"/>
            <w:noWrap/>
            <w:vAlign w:val="center"/>
            <w:hideMark/>
          </w:tcPr>
          <w:p w14:paraId="00080772"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Age over 75+</w:t>
            </w:r>
          </w:p>
        </w:tc>
        <w:tc>
          <w:tcPr>
            <w:tcW w:w="960" w:type="dxa"/>
            <w:shd w:val="clear" w:color="auto" w:fill="auto"/>
            <w:noWrap/>
            <w:vAlign w:val="bottom"/>
            <w:hideMark/>
          </w:tcPr>
          <w:p w14:paraId="4F124594"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123.00</w:t>
            </w:r>
          </w:p>
        </w:tc>
        <w:tc>
          <w:tcPr>
            <w:tcW w:w="960" w:type="dxa"/>
            <w:shd w:val="clear" w:color="auto" w:fill="auto"/>
            <w:noWrap/>
            <w:vAlign w:val="bottom"/>
            <w:hideMark/>
          </w:tcPr>
          <w:p w14:paraId="0B041C35"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29.70</w:t>
            </w:r>
          </w:p>
        </w:tc>
        <w:tc>
          <w:tcPr>
            <w:tcW w:w="960" w:type="dxa"/>
            <w:shd w:val="clear" w:color="auto" w:fill="auto"/>
            <w:noWrap/>
            <w:vAlign w:val="bottom"/>
            <w:hideMark/>
          </w:tcPr>
          <w:p w14:paraId="37BACB69"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514.00</w:t>
            </w:r>
          </w:p>
        </w:tc>
        <w:tc>
          <w:tcPr>
            <w:tcW w:w="960" w:type="dxa"/>
            <w:shd w:val="clear" w:color="auto" w:fill="auto"/>
            <w:noWrap/>
            <w:vAlign w:val="bottom"/>
            <w:hideMark/>
          </w:tcPr>
          <w:p w14:paraId="141A50CA"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0.000</w:t>
            </w:r>
          </w:p>
        </w:tc>
      </w:tr>
      <w:tr w:rsidR="00667DA4" w:rsidRPr="00667DA4" w14:paraId="7D2E6024" w14:textId="77777777" w:rsidTr="00377099">
        <w:trPr>
          <w:trHeight w:val="290"/>
          <w:jc w:val="center"/>
        </w:trPr>
        <w:tc>
          <w:tcPr>
            <w:tcW w:w="3659" w:type="dxa"/>
            <w:shd w:val="clear" w:color="auto" w:fill="auto"/>
            <w:noWrap/>
            <w:vAlign w:val="center"/>
            <w:hideMark/>
          </w:tcPr>
          <w:p w14:paraId="43DC28DB"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Ethnicity Asian</w:t>
            </w:r>
          </w:p>
        </w:tc>
        <w:tc>
          <w:tcPr>
            <w:tcW w:w="960" w:type="dxa"/>
            <w:shd w:val="clear" w:color="auto" w:fill="auto"/>
            <w:noWrap/>
            <w:vAlign w:val="bottom"/>
            <w:hideMark/>
          </w:tcPr>
          <w:p w14:paraId="7018392A"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1.32</w:t>
            </w:r>
          </w:p>
        </w:tc>
        <w:tc>
          <w:tcPr>
            <w:tcW w:w="960" w:type="dxa"/>
            <w:shd w:val="clear" w:color="auto" w:fill="auto"/>
            <w:noWrap/>
            <w:vAlign w:val="bottom"/>
            <w:hideMark/>
          </w:tcPr>
          <w:p w14:paraId="6C55F7C4"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0.77</w:t>
            </w:r>
          </w:p>
        </w:tc>
        <w:tc>
          <w:tcPr>
            <w:tcW w:w="960" w:type="dxa"/>
            <w:shd w:val="clear" w:color="auto" w:fill="auto"/>
            <w:noWrap/>
            <w:vAlign w:val="bottom"/>
            <w:hideMark/>
          </w:tcPr>
          <w:p w14:paraId="390F0F9E"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2.24</w:t>
            </w:r>
          </w:p>
        </w:tc>
        <w:tc>
          <w:tcPr>
            <w:tcW w:w="960" w:type="dxa"/>
            <w:shd w:val="clear" w:color="auto" w:fill="auto"/>
            <w:noWrap/>
            <w:vAlign w:val="bottom"/>
            <w:hideMark/>
          </w:tcPr>
          <w:p w14:paraId="11D6EC27"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0.311</w:t>
            </w:r>
          </w:p>
        </w:tc>
      </w:tr>
      <w:tr w:rsidR="00667DA4" w:rsidRPr="00667DA4" w14:paraId="75B5B16F" w14:textId="77777777" w:rsidTr="00377099">
        <w:trPr>
          <w:trHeight w:val="290"/>
          <w:jc w:val="center"/>
        </w:trPr>
        <w:tc>
          <w:tcPr>
            <w:tcW w:w="3659" w:type="dxa"/>
            <w:shd w:val="clear" w:color="auto" w:fill="auto"/>
            <w:noWrap/>
            <w:vAlign w:val="center"/>
            <w:hideMark/>
          </w:tcPr>
          <w:p w14:paraId="772B4C52"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Ethnicity Black</w:t>
            </w:r>
          </w:p>
        </w:tc>
        <w:tc>
          <w:tcPr>
            <w:tcW w:w="960" w:type="dxa"/>
            <w:shd w:val="clear" w:color="auto" w:fill="auto"/>
            <w:noWrap/>
            <w:vAlign w:val="bottom"/>
            <w:hideMark/>
          </w:tcPr>
          <w:p w14:paraId="531BE0BF"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0.87</w:t>
            </w:r>
          </w:p>
        </w:tc>
        <w:tc>
          <w:tcPr>
            <w:tcW w:w="960" w:type="dxa"/>
            <w:shd w:val="clear" w:color="auto" w:fill="auto"/>
            <w:noWrap/>
            <w:vAlign w:val="bottom"/>
            <w:hideMark/>
          </w:tcPr>
          <w:p w14:paraId="6F89DC12"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0.42</w:t>
            </w:r>
          </w:p>
        </w:tc>
        <w:tc>
          <w:tcPr>
            <w:tcW w:w="960" w:type="dxa"/>
            <w:shd w:val="clear" w:color="auto" w:fill="auto"/>
            <w:noWrap/>
            <w:vAlign w:val="bottom"/>
            <w:hideMark/>
          </w:tcPr>
          <w:p w14:paraId="16CC92D5"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1.81</w:t>
            </w:r>
          </w:p>
        </w:tc>
        <w:tc>
          <w:tcPr>
            <w:tcW w:w="960" w:type="dxa"/>
            <w:shd w:val="clear" w:color="auto" w:fill="auto"/>
            <w:noWrap/>
            <w:vAlign w:val="bottom"/>
            <w:hideMark/>
          </w:tcPr>
          <w:p w14:paraId="4129A542"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0.710</w:t>
            </w:r>
          </w:p>
        </w:tc>
      </w:tr>
      <w:tr w:rsidR="00667DA4" w:rsidRPr="00667DA4" w14:paraId="01A7076F" w14:textId="77777777" w:rsidTr="00377099">
        <w:trPr>
          <w:trHeight w:val="290"/>
          <w:jc w:val="center"/>
        </w:trPr>
        <w:tc>
          <w:tcPr>
            <w:tcW w:w="3659" w:type="dxa"/>
            <w:shd w:val="clear" w:color="auto" w:fill="auto"/>
            <w:noWrap/>
            <w:vAlign w:val="center"/>
            <w:hideMark/>
          </w:tcPr>
          <w:p w14:paraId="5664F512"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Ethnicity Mixed and other</w:t>
            </w:r>
          </w:p>
        </w:tc>
        <w:tc>
          <w:tcPr>
            <w:tcW w:w="960" w:type="dxa"/>
            <w:shd w:val="clear" w:color="auto" w:fill="auto"/>
            <w:noWrap/>
            <w:vAlign w:val="bottom"/>
            <w:hideMark/>
          </w:tcPr>
          <w:p w14:paraId="7A1A9637"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1.76</w:t>
            </w:r>
          </w:p>
        </w:tc>
        <w:tc>
          <w:tcPr>
            <w:tcW w:w="960" w:type="dxa"/>
            <w:shd w:val="clear" w:color="auto" w:fill="auto"/>
            <w:noWrap/>
            <w:vAlign w:val="bottom"/>
            <w:hideMark/>
          </w:tcPr>
          <w:p w14:paraId="6901C4A6"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0.74</w:t>
            </w:r>
          </w:p>
        </w:tc>
        <w:tc>
          <w:tcPr>
            <w:tcW w:w="960" w:type="dxa"/>
            <w:shd w:val="clear" w:color="auto" w:fill="auto"/>
            <w:noWrap/>
            <w:vAlign w:val="bottom"/>
            <w:hideMark/>
          </w:tcPr>
          <w:p w14:paraId="03E1FA23"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4.17</w:t>
            </w:r>
          </w:p>
        </w:tc>
        <w:tc>
          <w:tcPr>
            <w:tcW w:w="960" w:type="dxa"/>
            <w:shd w:val="clear" w:color="auto" w:fill="auto"/>
            <w:noWrap/>
            <w:vAlign w:val="bottom"/>
            <w:hideMark/>
          </w:tcPr>
          <w:p w14:paraId="0F45BE6D"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0.199</w:t>
            </w:r>
          </w:p>
        </w:tc>
      </w:tr>
      <w:tr w:rsidR="00667DA4" w:rsidRPr="00667DA4" w14:paraId="7F31F0C6" w14:textId="77777777" w:rsidTr="00377099">
        <w:trPr>
          <w:trHeight w:val="290"/>
          <w:jc w:val="center"/>
        </w:trPr>
        <w:tc>
          <w:tcPr>
            <w:tcW w:w="3659" w:type="dxa"/>
            <w:shd w:val="clear" w:color="auto" w:fill="auto"/>
            <w:noWrap/>
            <w:vAlign w:val="center"/>
            <w:hideMark/>
          </w:tcPr>
          <w:p w14:paraId="7FD4EAC3"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IMD Quintile 1 &amp; 2</w:t>
            </w:r>
          </w:p>
        </w:tc>
        <w:tc>
          <w:tcPr>
            <w:tcW w:w="960" w:type="dxa"/>
            <w:shd w:val="clear" w:color="auto" w:fill="auto"/>
            <w:noWrap/>
            <w:vAlign w:val="bottom"/>
            <w:hideMark/>
          </w:tcPr>
          <w:p w14:paraId="263F38F2"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0.81</w:t>
            </w:r>
          </w:p>
        </w:tc>
        <w:tc>
          <w:tcPr>
            <w:tcW w:w="960" w:type="dxa"/>
            <w:shd w:val="clear" w:color="auto" w:fill="auto"/>
            <w:noWrap/>
            <w:vAlign w:val="bottom"/>
            <w:hideMark/>
          </w:tcPr>
          <w:p w14:paraId="627875E7"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0.58</w:t>
            </w:r>
          </w:p>
        </w:tc>
        <w:tc>
          <w:tcPr>
            <w:tcW w:w="960" w:type="dxa"/>
            <w:shd w:val="clear" w:color="auto" w:fill="auto"/>
            <w:noWrap/>
            <w:vAlign w:val="bottom"/>
            <w:hideMark/>
          </w:tcPr>
          <w:p w14:paraId="424FFE87"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1.13</w:t>
            </w:r>
          </w:p>
        </w:tc>
        <w:tc>
          <w:tcPr>
            <w:tcW w:w="960" w:type="dxa"/>
            <w:shd w:val="clear" w:color="auto" w:fill="auto"/>
            <w:noWrap/>
            <w:vAlign w:val="bottom"/>
            <w:hideMark/>
          </w:tcPr>
          <w:p w14:paraId="11E45232"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0.221</w:t>
            </w:r>
          </w:p>
        </w:tc>
      </w:tr>
      <w:tr w:rsidR="00667DA4" w:rsidRPr="00667DA4" w14:paraId="703DDC3B" w14:textId="77777777" w:rsidTr="00377099">
        <w:trPr>
          <w:trHeight w:val="290"/>
          <w:jc w:val="center"/>
        </w:trPr>
        <w:tc>
          <w:tcPr>
            <w:tcW w:w="3659" w:type="dxa"/>
            <w:shd w:val="clear" w:color="auto" w:fill="auto"/>
            <w:noWrap/>
            <w:vAlign w:val="center"/>
            <w:hideMark/>
          </w:tcPr>
          <w:p w14:paraId="39EEC701"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IMD Quintile 3</w:t>
            </w:r>
          </w:p>
        </w:tc>
        <w:tc>
          <w:tcPr>
            <w:tcW w:w="960" w:type="dxa"/>
            <w:shd w:val="clear" w:color="auto" w:fill="auto"/>
            <w:noWrap/>
            <w:vAlign w:val="bottom"/>
            <w:hideMark/>
          </w:tcPr>
          <w:p w14:paraId="18553A92"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0.98</w:t>
            </w:r>
          </w:p>
        </w:tc>
        <w:tc>
          <w:tcPr>
            <w:tcW w:w="960" w:type="dxa"/>
            <w:shd w:val="clear" w:color="auto" w:fill="auto"/>
            <w:noWrap/>
            <w:vAlign w:val="bottom"/>
            <w:hideMark/>
          </w:tcPr>
          <w:p w14:paraId="18B4B847"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0.68</w:t>
            </w:r>
          </w:p>
        </w:tc>
        <w:tc>
          <w:tcPr>
            <w:tcW w:w="960" w:type="dxa"/>
            <w:shd w:val="clear" w:color="auto" w:fill="auto"/>
            <w:noWrap/>
            <w:vAlign w:val="bottom"/>
            <w:hideMark/>
          </w:tcPr>
          <w:p w14:paraId="680E28F9"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1.41</w:t>
            </w:r>
          </w:p>
        </w:tc>
        <w:tc>
          <w:tcPr>
            <w:tcW w:w="960" w:type="dxa"/>
            <w:shd w:val="clear" w:color="auto" w:fill="auto"/>
            <w:noWrap/>
            <w:vAlign w:val="bottom"/>
            <w:hideMark/>
          </w:tcPr>
          <w:p w14:paraId="0246C69B"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0.922</w:t>
            </w:r>
          </w:p>
        </w:tc>
      </w:tr>
      <w:tr w:rsidR="00667DA4" w:rsidRPr="00667DA4" w14:paraId="1BDD6D74" w14:textId="77777777" w:rsidTr="00377099">
        <w:trPr>
          <w:trHeight w:val="290"/>
          <w:jc w:val="center"/>
        </w:trPr>
        <w:tc>
          <w:tcPr>
            <w:tcW w:w="3659" w:type="dxa"/>
            <w:shd w:val="clear" w:color="auto" w:fill="auto"/>
            <w:noWrap/>
            <w:vAlign w:val="center"/>
            <w:hideMark/>
          </w:tcPr>
          <w:p w14:paraId="1036BEEC"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IMD Quintile 4</w:t>
            </w:r>
          </w:p>
        </w:tc>
        <w:tc>
          <w:tcPr>
            <w:tcW w:w="960" w:type="dxa"/>
            <w:shd w:val="clear" w:color="auto" w:fill="auto"/>
            <w:noWrap/>
            <w:vAlign w:val="bottom"/>
            <w:hideMark/>
          </w:tcPr>
          <w:p w14:paraId="1F47151D"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0.80</w:t>
            </w:r>
          </w:p>
        </w:tc>
        <w:tc>
          <w:tcPr>
            <w:tcW w:w="960" w:type="dxa"/>
            <w:shd w:val="clear" w:color="auto" w:fill="auto"/>
            <w:noWrap/>
            <w:vAlign w:val="bottom"/>
            <w:hideMark/>
          </w:tcPr>
          <w:p w14:paraId="0501C7EA"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0.56</w:t>
            </w:r>
          </w:p>
        </w:tc>
        <w:tc>
          <w:tcPr>
            <w:tcW w:w="960" w:type="dxa"/>
            <w:shd w:val="clear" w:color="auto" w:fill="auto"/>
            <w:noWrap/>
            <w:vAlign w:val="bottom"/>
            <w:hideMark/>
          </w:tcPr>
          <w:p w14:paraId="305F0F56"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1.15</w:t>
            </w:r>
          </w:p>
        </w:tc>
        <w:tc>
          <w:tcPr>
            <w:tcW w:w="960" w:type="dxa"/>
            <w:shd w:val="clear" w:color="auto" w:fill="auto"/>
            <w:noWrap/>
            <w:vAlign w:val="bottom"/>
            <w:hideMark/>
          </w:tcPr>
          <w:p w14:paraId="49DC19FA"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0.233</w:t>
            </w:r>
          </w:p>
        </w:tc>
      </w:tr>
      <w:tr w:rsidR="00667DA4" w:rsidRPr="00667DA4" w14:paraId="444655D0" w14:textId="77777777" w:rsidTr="00377099">
        <w:trPr>
          <w:trHeight w:val="290"/>
          <w:jc w:val="center"/>
        </w:trPr>
        <w:tc>
          <w:tcPr>
            <w:tcW w:w="3659" w:type="dxa"/>
            <w:shd w:val="clear" w:color="auto" w:fill="auto"/>
            <w:noWrap/>
            <w:vAlign w:val="center"/>
            <w:hideMark/>
          </w:tcPr>
          <w:p w14:paraId="18BCC89F"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Household Size of 1</w:t>
            </w:r>
          </w:p>
        </w:tc>
        <w:tc>
          <w:tcPr>
            <w:tcW w:w="960" w:type="dxa"/>
            <w:shd w:val="clear" w:color="auto" w:fill="auto"/>
            <w:noWrap/>
            <w:vAlign w:val="bottom"/>
            <w:hideMark/>
          </w:tcPr>
          <w:p w14:paraId="1D692832"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1.30</w:t>
            </w:r>
          </w:p>
        </w:tc>
        <w:tc>
          <w:tcPr>
            <w:tcW w:w="960" w:type="dxa"/>
            <w:shd w:val="clear" w:color="auto" w:fill="auto"/>
            <w:noWrap/>
            <w:vAlign w:val="bottom"/>
            <w:hideMark/>
          </w:tcPr>
          <w:p w14:paraId="6637D4FD"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0.97</w:t>
            </w:r>
          </w:p>
        </w:tc>
        <w:tc>
          <w:tcPr>
            <w:tcW w:w="960" w:type="dxa"/>
            <w:shd w:val="clear" w:color="auto" w:fill="auto"/>
            <w:noWrap/>
            <w:vAlign w:val="bottom"/>
            <w:hideMark/>
          </w:tcPr>
          <w:p w14:paraId="06F2CB0D"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1.74</w:t>
            </w:r>
          </w:p>
        </w:tc>
        <w:tc>
          <w:tcPr>
            <w:tcW w:w="960" w:type="dxa"/>
            <w:shd w:val="clear" w:color="auto" w:fill="auto"/>
            <w:noWrap/>
            <w:vAlign w:val="bottom"/>
            <w:hideMark/>
          </w:tcPr>
          <w:p w14:paraId="2B645CBC"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0.075</w:t>
            </w:r>
          </w:p>
        </w:tc>
      </w:tr>
      <w:tr w:rsidR="00667DA4" w:rsidRPr="00667DA4" w14:paraId="6388B70F" w14:textId="77777777" w:rsidTr="00377099">
        <w:trPr>
          <w:trHeight w:val="290"/>
          <w:jc w:val="center"/>
        </w:trPr>
        <w:tc>
          <w:tcPr>
            <w:tcW w:w="3659" w:type="dxa"/>
            <w:shd w:val="clear" w:color="auto" w:fill="auto"/>
            <w:noWrap/>
            <w:vAlign w:val="center"/>
            <w:hideMark/>
          </w:tcPr>
          <w:p w14:paraId="5956EB45"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Household Size of 5-8</w:t>
            </w:r>
          </w:p>
        </w:tc>
        <w:tc>
          <w:tcPr>
            <w:tcW w:w="960" w:type="dxa"/>
            <w:shd w:val="clear" w:color="auto" w:fill="auto"/>
            <w:noWrap/>
            <w:vAlign w:val="bottom"/>
            <w:hideMark/>
          </w:tcPr>
          <w:p w14:paraId="768CA6AE"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1.35</w:t>
            </w:r>
          </w:p>
        </w:tc>
        <w:tc>
          <w:tcPr>
            <w:tcW w:w="960" w:type="dxa"/>
            <w:shd w:val="clear" w:color="auto" w:fill="auto"/>
            <w:noWrap/>
            <w:vAlign w:val="bottom"/>
            <w:hideMark/>
          </w:tcPr>
          <w:p w14:paraId="0CE361A4"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0.84</w:t>
            </w:r>
          </w:p>
        </w:tc>
        <w:tc>
          <w:tcPr>
            <w:tcW w:w="960" w:type="dxa"/>
            <w:shd w:val="clear" w:color="auto" w:fill="auto"/>
            <w:noWrap/>
            <w:vAlign w:val="bottom"/>
            <w:hideMark/>
          </w:tcPr>
          <w:p w14:paraId="0A2590F2"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2.18</w:t>
            </w:r>
          </w:p>
        </w:tc>
        <w:tc>
          <w:tcPr>
            <w:tcW w:w="960" w:type="dxa"/>
            <w:shd w:val="clear" w:color="auto" w:fill="auto"/>
            <w:noWrap/>
            <w:vAlign w:val="bottom"/>
            <w:hideMark/>
          </w:tcPr>
          <w:p w14:paraId="5E364883"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0.220</w:t>
            </w:r>
          </w:p>
        </w:tc>
      </w:tr>
      <w:tr w:rsidR="00667DA4" w:rsidRPr="00667DA4" w14:paraId="70570674" w14:textId="77777777" w:rsidTr="00377099">
        <w:trPr>
          <w:trHeight w:val="290"/>
          <w:jc w:val="center"/>
        </w:trPr>
        <w:tc>
          <w:tcPr>
            <w:tcW w:w="3659" w:type="dxa"/>
            <w:shd w:val="clear" w:color="auto" w:fill="auto"/>
            <w:noWrap/>
            <w:vAlign w:val="center"/>
            <w:hideMark/>
          </w:tcPr>
          <w:p w14:paraId="0EE3A2C1"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Household Size of &gt;9</w:t>
            </w:r>
          </w:p>
        </w:tc>
        <w:tc>
          <w:tcPr>
            <w:tcW w:w="960" w:type="dxa"/>
            <w:shd w:val="clear" w:color="auto" w:fill="auto"/>
            <w:noWrap/>
            <w:vAlign w:val="bottom"/>
            <w:hideMark/>
          </w:tcPr>
          <w:p w14:paraId="4DE77398"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1.77</w:t>
            </w:r>
          </w:p>
        </w:tc>
        <w:tc>
          <w:tcPr>
            <w:tcW w:w="960" w:type="dxa"/>
            <w:shd w:val="clear" w:color="auto" w:fill="auto"/>
            <w:noWrap/>
            <w:vAlign w:val="bottom"/>
            <w:hideMark/>
          </w:tcPr>
          <w:p w14:paraId="434A71E0"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1.27</w:t>
            </w:r>
          </w:p>
        </w:tc>
        <w:tc>
          <w:tcPr>
            <w:tcW w:w="960" w:type="dxa"/>
            <w:shd w:val="clear" w:color="auto" w:fill="auto"/>
            <w:noWrap/>
            <w:vAlign w:val="bottom"/>
            <w:hideMark/>
          </w:tcPr>
          <w:p w14:paraId="19FF682F"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2.46</w:t>
            </w:r>
          </w:p>
        </w:tc>
        <w:tc>
          <w:tcPr>
            <w:tcW w:w="960" w:type="dxa"/>
            <w:shd w:val="clear" w:color="auto" w:fill="auto"/>
            <w:noWrap/>
            <w:vAlign w:val="bottom"/>
            <w:hideMark/>
          </w:tcPr>
          <w:p w14:paraId="764C8353"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0.001</w:t>
            </w:r>
          </w:p>
        </w:tc>
      </w:tr>
      <w:tr w:rsidR="00667DA4" w:rsidRPr="00667DA4" w14:paraId="3AA1C88E" w14:textId="77777777" w:rsidTr="00377099">
        <w:trPr>
          <w:trHeight w:val="290"/>
          <w:jc w:val="center"/>
        </w:trPr>
        <w:tc>
          <w:tcPr>
            <w:tcW w:w="3659" w:type="dxa"/>
            <w:shd w:val="clear" w:color="auto" w:fill="auto"/>
            <w:noWrap/>
            <w:vAlign w:val="center"/>
            <w:hideMark/>
          </w:tcPr>
          <w:p w14:paraId="559F815B"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BMI Categorised as obese</w:t>
            </w:r>
          </w:p>
        </w:tc>
        <w:tc>
          <w:tcPr>
            <w:tcW w:w="960" w:type="dxa"/>
            <w:shd w:val="clear" w:color="auto" w:fill="auto"/>
            <w:noWrap/>
            <w:vAlign w:val="bottom"/>
            <w:hideMark/>
          </w:tcPr>
          <w:p w14:paraId="63326B94"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0.85</w:t>
            </w:r>
          </w:p>
        </w:tc>
        <w:tc>
          <w:tcPr>
            <w:tcW w:w="960" w:type="dxa"/>
            <w:shd w:val="clear" w:color="auto" w:fill="auto"/>
            <w:noWrap/>
            <w:vAlign w:val="bottom"/>
            <w:hideMark/>
          </w:tcPr>
          <w:p w14:paraId="2055FFB5"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0.62</w:t>
            </w:r>
          </w:p>
        </w:tc>
        <w:tc>
          <w:tcPr>
            <w:tcW w:w="960" w:type="dxa"/>
            <w:shd w:val="clear" w:color="auto" w:fill="auto"/>
            <w:noWrap/>
            <w:vAlign w:val="bottom"/>
            <w:hideMark/>
          </w:tcPr>
          <w:p w14:paraId="1E3F8EA9"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1.15</w:t>
            </w:r>
          </w:p>
        </w:tc>
        <w:tc>
          <w:tcPr>
            <w:tcW w:w="960" w:type="dxa"/>
            <w:shd w:val="clear" w:color="auto" w:fill="auto"/>
            <w:noWrap/>
            <w:vAlign w:val="bottom"/>
            <w:hideMark/>
          </w:tcPr>
          <w:p w14:paraId="07509CF3"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0.289</w:t>
            </w:r>
          </w:p>
        </w:tc>
      </w:tr>
      <w:tr w:rsidR="00667DA4" w:rsidRPr="00667DA4" w14:paraId="48D1F0D4" w14:textId="77777777" w:rsidTr="00377099">
        <w:trPr>
          <w:trHeight w:val="290"/>
          <w:jc w:val="center"/>
        </w:trPr>
        <w:tc>
          <w:tcPr>
            <w:tcW w:w="3659" w:type="dxa"/>
            <w:shd w:val="clear" w:color="auto" w:fill="auto"/>
            <w:noWrap/>
            <w:vAlign w:val="center"/>
            <w:hideMark/>
          </w:tcPr>
          <w:p w14:paraId="6B97C4DA"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BMI Categorised as overweight</w:t>
            </w:r>
          </w:p>
        </w:tc>
        <w:tc>
          <w:tcPr>
            <w:tcW w:w="960" w:type="dxa"/>
            <w:shd w:val="clear" w:color="auto" w:fill="auto"/>
            <w:noWrap/>
            <w:vAlign w:val="bottom"/>
            <w:hideMark/>
          </w:tcPr>
          <w:p w14:paraId="3867D429"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0.87</w:t>
            </w:r>
          </w:p>
        </w:tc>
        <w:tc>
          <w:tcPr>
            <w:tcW w:w="960" w:type="dxa"/>
            <w:shd w:val="clear" w:color="auto" w:fill="auto"/>
            <w:noWrap/>
            <w:vAlign w:val="bottom"/>
            <w:hideMark/>
          </w:tcPr>
          <w:p w14:paraId="0242F134"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0.66</w:t>
            </w:r>
          </w:p>
        </w:tc>
        <w:tc>
          <w:tcPr>
            <w:tcW w:w="960" w:type="dxa"/>
            <w:shd w:val="clear" w:color="auto" w:fill="auto"/>
            <w:noWrap/>
            <w:vAlign w:val="bottom"/>
            <w:hideMark/>
          </w:tcPr>
          <w:p w14:paraId="5D2C163B"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1.16</w:t>
            </w:r>
          </w:p>
        </w:tc>
        <w:tc>
          <w:tcPr>
            <w:tcW w:w="960" w:type="dxa"/>
            <w:shd w:val="clear" w:color="auto" w:fill="auto"/>
            <w:noWrap/>
            <w:vAlign w:val="bottom"/>
            <w:hideMark/>
          </w:tcPr>
          <w:p w14:paraId="7F5DB411"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0.350</w:t>
            </w:r>
          </w:p>
        </w:tc>
      </w:tr>
      <w:tr w:rsidR="00667DA4" w:rsidRPr="00667DA4" w14:paraId="34EFD54B" w14:textId="77777777" w:rsidTr="00377099">
        <w:trPr>
          <w:trHeight w:val="290"/>
          <w:jc w:val="center"/>
        </w:trPr>
        <w:tc>
          <w:tcPr>
            <w:tcW w:w="3659" w:type="dxa"/>
            <w:shd w:val="clear" w:color="auto" w:fill="auto"/>
            <w:noWrap/>
            <w:vAlign w:val="center"/>
            <w:hideMark/>
          </w:tcPr>
          <w:p w14:paraId="3910CA36"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BMI Categorised as underweight</w:t>
            </w:r>
          </w:p>
        </w:tc>
        <w:tc>
          <w:tcPr>
            <w:tcW w:w="960" w:type="dxa"/>
            <w:shd w:val="clear" w:color="auto" w:fill="auto"/>
            <w:noWrap/>
            <w:vAlign w:val="bottom"/>
            <w:hideMark/>
          </w:tcPr>
          <w:p w14:paraId="542A413F"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1.73</w:t>
            </w:r>
          </w:p>
        </w:tc>
        <w:tc>
          <w:tcPr>
            <w:tcW w:w="960" w:type="dxa"/>
            <w:shd w:val="clear" w:color="auto" w:fill="auto"/>
            <w:noWrap/>
            <w:vAlign w:val="bottom"/>
            <w:hideMark/>
          </w:tcPr>
          <w:p w14:paraId="74160099"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1.08</w:t>
            </w:r>
          </w:p>
        </w:tc>
        <w:tc>
          <w:tcPr>
            <w:tcW w:w="960" w:type="dxa"/>
            <w:shd w:val="clear" w:color="auto" w:fill="auto"/>
            <w:noWrap/>
            <w:vAlign w:val="bottom"/>
            <w:hideMark/>
          </w:tcPr>
          <w:p w14:paraId="0B21F14F"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2.77</w:t>
            </w:r>
          </w:p>
        </w:tc>
        <w:tc>
          <w:tcPr>
            <w:tcW w:w="960" w:type="dxa"/>
            <w:shd w:val="clear" w:color="auto" w:fill="auto"/>
            <w:noWrap/>
            <w:vAlign w:val="bottom"/>
            <w:hideMark/>
          </w:tcPr>
          <w:p w14:paraId="303323C4"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0.024</w:t>
            </w:r>
          </w:p>
        </w:tc>
      </w:tr>
      <w:tr w:rsidR="00667DA4" w:rsidRPr="00667DA4" w14:paraId="2011722E" w14:textId="77777777" w:rsidTr="00377099">
        <w:trPr>
          <w:trHeight w:val="290"/>
          <w:jc w:val="center"/>
        </w:trPr>
        <w:tc>
          <w:tcPr>
            <w:tcW w:w="3659" w:type="dxa"/>
            <w:shd w:val="clear" w:color="auto" w:fill="auto"/>
            <w:noWrap/>
            <w:vAlign w:val="center"/>
            <w:hideMark/>
          </w:tcPr>
          <w:p w14:paraId="6FD675D6"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Active Smoker</w:t>
            </w:r>
          </w:p>
        </w:tc>
        <w:tc>
          <w:tcPr>
            <w:tcW w:w="960" w:type="dxa"/>
            <w:shd w:val="clear" w:color="auto" w:fill="auto"/>
            <w:noWrap/>
            <w:vAlign w:val="bottom"/>
            <w:hideMark/>
          </w:tcPr>
          <w:p w14:paraId="1173798C"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1.92</w:t>
            </w:r>
          </w:p>
        </w:tc>
        <w:tc>
          <w:tcPr>
            <w:tcW w:w="960" w:type="dxa"/>
            <w:shd w:val="clear" w:color="auto" w:fill="auto"/>
            <w:noWrap/>
            <w:vAlign w:val="bottom"/>
            <w:hideMark/>
          </w:tcPr>
          <w:p w14:paraId="160AAB6E"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1.15</w:t>
            </w:r>
          </w:p>
        </w:tc>
        <w:tc>
          <w:tcPr>
            <w:tcW w:w="960" w:type="dxa"/>
            <w:shd w:val="clear" w:color="auto" w:fill="auto"/>
            <w:noWrap/>
            <w:vAlign w:val="bottom"/>
            <w:hideMark/>
          </w:tcPr>
          <w:p w14:paraId="325F5DF3"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3.20</w:t>
            </w:r>
          </w:p>
        </w:tc>
        <w:tc>
          <w:tcPr>
            <w:tcW w:w="960" w:type="dxa"/>
            <w:shd w:val="clear" w:color="auto" w:fill="auto"/>
            <w:noWrap/>
            <w:vAlign w:val="bottom"/>
            <w:hideMark/>
          </w:tcPr>
          <w:p w14:paraId="0FA3F598"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0.013</w:t>
            </w:r>
          </w:p>
        </w:tc>
      </w:tr>
      <w:tr w:rsidR="00667DA4" w:rsidRPr="00667DA4" w14:paraId="7C7DD2E6" w14:textId="77777777" w:rsidTr="00377099">
        <w:trPr>
          <w:trHeight w:val="290"/>
          <w:jc w:val="center"/>
        </w:trPr>
        <w:tc>
          <w:tcPr>
            <w:tcW w:w="3659" w:type="dxa"/>
            <w:shd w:val="clear" w:color="auto" w:fill="auto"/>
            <w:noWrap/>
            <w:vAlign w:val="center"/>
            <w:hideMark/>
          </w:tcPr>
          <w:p w14:paraId="58561DC2"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Ex-smoker</w:t>
            </w:r>
          </w:p>
        </w:tc>
        <w:tc>
          <w:tcPr>
            <w:tcW w:w="960" w:type="dxa"/>
            <w:shd w:val="clear" w:color="auto" w:fill="auto"/>
            <w:noWrap/>
            <w:vAlign w:val="bottom"/>
            <w:hideMark/>
          </w:tcPr>
          <w:p w14:paraId="7AC08D84"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1.21</w:t>
            </w:r>
          </w:p>
        </w:tc>
        <w:tc>
          <w:tcPr>
            <w:tcW w:w="960" w:type="dxa"/>
            <w:shd w:val="clear" w:color="auto" w:fill="auto"/>
            <w:noWrap/>
            <w:vAlign w:val="bottom"/>
            <w:hideMark/>
          </w:tcPr>
          <w:p w14:paraId="4801EC53"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0.94</w:t>
            </w:r>
          </w:p>
        </w:tc>
        <w:tc>
          <w:tcPr>
            <w:tcW w:w="960" w:type="dxa"/>
            <w:shd w:val="clear" w:color="auto" w:fill="auto"/>
            <w:noWrap/>
            <w:vAlign w:val="bottom"/>
            <w:hideMark/>
          </w:tcPr>
          <w:p w14:paraId="0CD4113C"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1.56</w:t>
            </w:r>
          </w:p>
        </w:tc>
        <w:tc>
          <w:tcPr>
            <w:tcW w:w="960" w:type="dxa"/>
            <w:shd w:val="clear" w:color="auto" w:fill="auto"/>
            <w:noWrap/>
            <w:vAlign w:val="bottom"/>
            <w:hideMark/>
          </w:tcPr>
          <w:p w14:paraId="3EA5DF8C"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0.144</w:t>
            </w:r>
          </w:p>
        </w:tc>
      </w:tr>
      <w:tr w:rsidR="00667DA4" w:rsidRPr="00667DA4" w14:paraId="4DE02A03" w14:textId="77777777" w:rsidTr="00377099">
        <w:trPr>
          <w:trHeight w:val="290"/>
          <w:jc w:val="center"/>
        </w:trPr>
        <w:tc>
          <w:tcPr>
            <w:tcW w:w="3659" w:type="dxa"/>
            <w:shd w:val="clear" w:color="auto" w:fill="auto"/>
            <w:noWrap/>
            <w:vAlign w:val="center"/>
            <w:hideMark/>
          </w:tcPr>
          <w:p w14:paraId="0210C7FB"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Hypertension</w:t>
            </w:r>
          </w:p>
        </w:tc>
        <w:tc>
          <w:tcPr>
            <w:tcW w:w="960" w:type="dxa"/>
            <w:shd w:val="clear" w:color="auto" w:fill="auto"/>
            <w:noWrap/>
            <w:vAlign w:val="bottom"/>
            <w:hideMark/>
          </w:tcPr>
          <w:p w14:paraId="58D49690"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1.65</w:t>
            </w:r>
          </w:p>
        </w:tc>
        <w:tc>
          <w:tcPr>
            <w:tcW w:w="960" w:type="dxa"/>
            <w:shd w:val="clear" w:color="auto" w:fill="auto"/>
            <w:noWrap/>
            <w:vAlign w:val="bottom"/>
            <w:hideMark/>
          </w:tcPr>
          <w:p w14:paraId="6EA0FCDC"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1.26</w:t>
            </w:r>
          </w:p>
        </w:tc>
        <w:tc>
          <w:tcPr>
            <w:tcW w:w="960" w:type="dxa"/>
            <w:shd w:val="clear" w:color="auto" w:fill="auto"/>
            <w:noWrap/>
            <w:vAlign w:val="bottom"/>
            <w:hideMark/>
          </w:tcPr>
          <w:p w14:paraId="31118001"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2.16</w:t>
            </w:r>
          </w:p>
        </w:tc>
        <w:tc>
          <w:tcPr>
            <w:tcW w:w="960" w:type="dxa"/>
            <w:shd w:val="clear" w:color="auto" w:fill="auto"/>
            <w:noWrap/>
            <w:vAlign w:val="bottom"/>
            <w:hideMark/>
          </w:tcPr>
          <w:p w14:paraId="0768786A"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0.000</w:t>
            </w:r>
          </w:p>
        </w:tc>
      </w:tr>
      <w:tr w:rsidR="00667DA4" w:rsidRPr="00667DA4" w14:paraId="24B47DAC" w14:textId="77777777" w:rsidTr="00377099">
        <w:trPr>
          <w:trHeight w:val="290"/>
          <w:jc w:val="center"/>
        </w:trPr>
        <w:tc>
          <w:tcPr>
            <w:tcW w:w="3659" w:type="dxa"/>
            <w:shd w:val="clear" w:color="auto" w:fill="auto"/>
            <w:noWrap/>
            <w:vAlign w:val="center"/>
            <w:hideMark/>
          </w:tcPr>
          <w:p w14:paraId="2BB89513"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Coronary Heart Disease</w:t>
            </w:r>
          </w:p>
        </w:tc>
        <w:tc>
          <w:tcPr>
            <w:tcW w:w="960" w:type="dxa"/>
            <w:shd w:val="clear" w:color="auto" w:fill="auto"/>
            <w:noWrap/>
            <w:vAlign w:val="bottom"/>
            <w:hideMark/>
          </w:tcPr>
          <w:p w14:paraId="633BC787"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1.16</w:t>
            </w:r>
          </w:p>
        </w:tc>
        <w:tc>
          <w:tcPr>
            <w:tcW w:w="960" w:type="dxa"/>
            <w:shd w:val="clear" w:color="auto" w:fill="auto"/>
            <w:noWrap/>
            <w:vAlign w:val="bottom"/>
            <w:hideMark/>
          </w:tcPr>
          <w:p w14:paraId="076266C7"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0.83</w:t>
            </w:r>
          </w:p>
        </w:tc>
        <w:tc>
          <w:tcPr>
            <w:tcW w:w="960" w:type="dxa"/>
            <w:shd w:val="clear" w:color="auto" w:fill="auto"/>
            <w:noWrap/>
            <w:vAlign w:val="bottom"/>
            <w:hideMark/>
          </w:tcPr>
          <w:p w14:paraId="650DA6E0"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1.62</w:t>
            </w:r>
          </w:p>
        </w:tc>
        <w:tc>
          <w:tcPr>
            <w:tcW w:w="960" w:type="dxa"/>
            <w:shd w:val="clear" w:color="auto" w:fill="auto"/>
            <w:noWrap/>
            <w:vAlign w:val="bottom"/>
            <w:hideMark/>
          </w:tcPr>
          <w:p w14:paraId="57C7BD42"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0.379</w:t>
            </w:r>
          </w:p>
        </w:tc>
      </w:tr>
      <w:tr w:rsidR="00667DA4" w:rsidRPr="00667DA4" w14:paraId="6F48D1D6" w14:textId="77777777" w:rsidTr="00377099">
        <w:trPr>
          <w:trHeight w:val="290"/>
          <w:jc w:val="center"/>
        </w:trPr>
        <w:tc>
          <w:tcPr>
            <w:tcW w:w="3659" w:type="dxa"/>
            <w:shd w:val="clear" w:color="auto" w:fill="auto"/>
            <w:noWrap/>
            <w:vAlign w:val="center"/>
            <w:hideMark/>
          </w:tcPr>
          <w:p w14:paraId="3B45EA27"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Type 1 Diabetes</w:t>
            </w:r>
          </w:p>
        </w:tc>
        <w:tc>
          <w:tcPr>
            <w:tcW w:w="960" w:type="dxa"/>
            <w:shd w:val="clear" w:color="auto" w:fill="auto"/>
            <w:noWrap/>
            <w:vAlign w:val="bottom"/>
            <w:hideMark/>
          </w:tcPr>
          <w:p w14:paraId="0434BCA1"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1.81</w:t>
            </w:r>
          </w:p>
        </w:tc>
        <w:tc>
          <w:tcPr>
            <w:tcW w:w="960" w:type="dxa"/>
            <w:shd w:val="clear" w:color="auto" w:fill="auto"/>
            <w:noWrap/>
            <w:vAlign w:val="bottom"/>
            <w:hideMark/>
          </w:tcPr>
          <w:p w14:paraId="76351386"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0.31</w:t>
            </w:r>
          </w:p>
        </w:tc>
        <w:tc>
          <w:tcPr>
            <w:tcW w:w="960" w:type="dxa"/>
            <w:shd w:val="clear" w:color="auto" w:fill="auto"/>
            <w:noWrap/>
            <w:vAlign w:val="bottom"/>
            <w:hideMark/>
          </w:tcPr>
          <w:p w14:paraId="6D3AEDDE"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10.50</w:t>
            </w:r>
          </w:p>
        </w:tc>
        <w:tc>
          <w:tcPr>
            <w:tcW w:w="960" w:type="dxa"/>
            <w:shd w:val="clear" w:color="auto" w:fill="auto"/>
            <w:noWrap/>
            <w:vAlign w:val="bottom"/>
            <w:hideMark/>
          </w:tcPr>
          <w:p w14:paraId="08C456F6"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0.506</w:t>
            </w:r>
          </w:p>
        </w:tc>
      </w:tr>
      <w:tr w:rsidR="00667DA4" w:rsidRPr="00667DA4" w14:paraId="10B67042" w14:textId="77777777" w:rsidTr="00377099">
        <w:trPr>
          <w:trHeight w:val="290"/>
          <w:jc w:val="center"/>
        </w:trPr>
        <w:tc>
          <w:tcPr>
            <w:tcW w:w="3659" w:type="dxa"/>
            <w:shd w:val="clear" w:color="auto" w:fill="auto"/>
            <w:noWrap/>
            <w:vAlign w:val="center"/>
            <w:hideMark/>
          </w:tcPr>
          <w:p w14:paraId="57A700F7"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Type 2 Diabetes</w:t>
            </w:r>
          </w:p>
        </w:tc>
        <w:tc>
          <w:tcPr>
            <w:tcW w:w="960" w:type="dxa"/>
            <w:shd w:val="clear" w:color="auto" w:fill="auto"/>
            <w:noWrap/>
            <w:vAlign w:val="bottom"/>
            <w:hideMark/>
          </w:tcPr>
          <w:p w14:paraId="3CDCF83F"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1.14</w:t>
            </w:r>
          </w:p>
        </w:tc>
        <w:tc>
          <w:tcPr>
            <w:tcW w:w="960" w:type="dxa"/>
            <w:shd w:val="clear" w:color="auto" w:fill="auto"/>
            <w:noWrap/>
            <w:vAlign w:val="bottom"/>
            <w:hideMark/>
          </w:tcPr>
          <w:p w14:paraId="042C4DAD"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0.87</w:t>
            </w:r>
          </w:p>
        </w:tc>
        <w:tc>
          <w:tcPr>
            <w:tcW w:w="960" w:type="dxa"/>
            <w:shd w:val="clear" w:color="auto" w:fill="auto"/>
            <w:noWrap/>
            <w:vAlign w:val="bottom"/>
            <w:hideMark/>
          </w:tcPr>
          <w:p w14:paraId="32AC8F95"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1.49</w:t>
            </w:r>
          </w:p>
        </w:tc>
        <w:tc>
          <w:tcPr>
            <w:tcW w:w="960" w:type="dxa"/>
            <w:shd w:val="clear" w:color="auto" w:fill="auto"/>
            <w:noWrap/>
            <w:vAlign w:val="bottom"/>
            <w:hideMark/>
          </w:tcPr>
          <w:p w14:paraId="210D27A4"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0.344</w:t>
            </w:r>
          </w:p>
        </w:tc>
      </w:tr>
      <w:tr w:rsidR="00667DA4" w:rsidRPr="00667DA4" w14:paraId="69A387E7" w14:textId="77777777" w:rsidTr="00377099">
        <w:trPr>
          <w:trHeight w:val="290"/>
          <w:jc w:val="center"/>
        </w:trPr>
        <w:tc>
          <w:tcPr>
            <w:tcW w:w="3659" w:type="dxa"/>
            <w:shd w:val="clear" w:color="auto" w:fill="auto"/>
            <w:noWrap/>
            <w:vAlign w:val="center"/>
            <w:hideMark/>
          </w:tcPr>
          <w:p w14:paraId="41FD57DD"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Chronic Kidney Disease Stage 3 to 5</w:t>
            </w:r>
          </w:p>
        </w:tc>
        <w:tc>
          <w:tcPr>
            <w:tcW w:w="960" w:type="dxa"/>
            <w:shd w:val="clear" w:color="auto" w:fill="auto"/>
            <w:noWrap/>
            <w:vAlign w:val="bottom"/>
            <w:hideMark/>
          </w:tcPr>
          <w:p w14:paraId="2F20827E"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1.18</w:t>
            </w:r>
          </w:p>
        </w:tc>
        <w:tc>
          <w:tcPr>
            <w:tcW w:w="960" w:type="dxa"/>
            <w:shd w:val="clear" w:color="auto" w:fill="auto"/>
            <w:noWrap/>
            <w:vAlign w:val="bottom"/>
            <w:hideMark/>
          </w:tcPr>
          <w:p w14:paraId="0D3AE103"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0.91</w:t>
            </w:r>
          </w:p>
        </w:tc>
        <w:tc>
          <w:tcPr>
            <w:tcW w:w="960" w:type="dxa"/>
            <w:shd w:val="clear" w:color="auto" w:fill="auto"/>
            <w:noWrap/>
            <w:vAlign w:val="bottom"/>
            <w:hideMark/>
          </w:tcPr>
          <w:p w14:paraId="26D6DD46"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1.52</w:t>
            </w:r>
          </w:p>
        </w:tc>
        <w:tc>
          <w:tcPr>
            <w:tcW w:w="960" w:type="dxa"/>
            <w:shd w:val="clear" w:color="auto" w:fill="auto"/>
            <w:noWrap/>
            <w:vAlign w:val="bottom"/>
            <w:hideMark/>
          </w:tcPr>
          <w:p w14:paraId="1BF38E37"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0.215</w:t>
            </w:r>
          </w:p>
        </w:tc>
      </w:tr>
      <w:tr w:rsidR="00667DA4" w:rsidRPr="00667DA4" w14:paraId="35ACA788" w14:textId="77777777" w:rsidTr="00377099">
        <w:trPr>
          <w:trHeight w:val="290"/>
          <w:jc w:val="center"/>
        </w:trPr>
        <w:tc>
          <w:tcPr>
            <w:tcW w:w="3659" w:type="dxa"/>
            <w:shd w:val="clear" w:color="auto" w:fill="auto"/>
            <w:noWrap/>
            <w:vAlign w:val="center"/>
            <w:hideMark/>
          </w:tcPr>
          <w:p w14:paraId="41A1A466"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Asthma</w:t>
            </w:r>
          </w:p>
        </w:tc>
        <w:tc>
          <w:tcPr>
            <w:tcW w:w="960" w:type="dxa"/>
            <w:shd w:val="clear" w:color="auto" w:fill="auto"/>
            <w:noWrap/>
            <w:vAlign w:val="bottom"/>
            <w:hideMark/>
          </w:tcPr>
          <w:p w14:paraId="712CC414"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0.58</w:t>
            </w:r>
          </w:p>
        </w:tc>
        <w:tc>
          <w:tcPr>
            <w:tcW w:w="960" w:type="dxa"/>
            <w:shd w:val="clear" w:color="auto" w:fill="auto"/>
            <w:noWrap/>
            <w:vAlign w:val="bottom"/>
            <w:hideMark/>
          </w:tcPr>
          <w:p w14:paraId="5D6B2A1A"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0.42</w:t>
            </w:r>
          </w:p>
        </w:tc>
        <w:tc>
          <w:tcPr>
            <w:tcW w:w="960" w:type="dxa"/>
            <w:shd w:val="clear" w:color="auto" w:fill="auto"/>
            <w:noWrap/>
            <w:vAlign w:val="bottom"/>
            <w:hideMark/>
          </w:tcPr>
          <w:p w14:paraId="733B0494"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0.81</w:t>
            </w:r>
          </w:p>
        </w:tc>
        <w:tc>
          <w:tcPr>
            <w:tcW w:w="960" w:type="dxa"/>
            <w:shd w:val="clear" w:color="auto" w:fill="auto"/>
            <w:noWrap/>
            <w:vAlign w:val="bottom"/>
            <w:hideMark/>
          </w:tcPr>
          <w:p w14:paraId="3A2B9980"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0.001</w:t>
            </w:r>
          </w:p>
        </w:tc>
      </w:tr>
      <w:tr w:rsidR="00667DA4" w:rsidRPr="00667DA4" w14:paraId="1EBE2AC0" w14:textId="77777777" w:rsidTr="00377099">
        <w:trPr>
          <w:trHeight w:val="290"/>
          <w:jc w:val="center"/>
        </w:trPr>
        <w:tc>
          <w:tcPr>
            <w:tcW w:w="3659" w:type="dxa"/>
            <w:shd w:val="clear" w:color="auto" w:fill="auto"/>
            <w:noWrap/>
            <w:vAlign w:val="center"/>
            <w:hideMark/>
          </w:tcPr>
          <w:p w14:paraId="3BA3D2B1"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 xml:space="preserve">COPD </w:t>
            </w:r>
          </w:p>
        </w:tc>
        <w:tc>
          <w:tcPr>
            <w:tcW w:w="960" w:type="dxa"/>
            <w:shd w:val="clear" w:color="auto" w:fill="auto"/>
            <w:noWrap/>
            <w:vAlign w:val="bottom"/>
            <w:hideMark/>
          </w:tcPr>
          <w:p w14:paraId="16D69251"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1.13</w:t>
            </w:r>
          </w:p>
        </w:tc>
        <w:tc>
          <w:tcPr>
            <w:tcW w:w="960" w:type="dxa"/>
            <w:shd w:val="clear" w:color="auto" w:fill="auto"/>
            <w:noWrap/>
            <w:vAlign w:val="bottom"/>
            <w:hideMark/>
          </w:tcPr>
          <w:p w14:paraId="40B7E1E0"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0.76</w:t>
            </w:r>
          </w:p>
        </w:tc>
        <w:tc>
          <w:tcPr>
            <w:tcW w:w="960" w:type="dxa"/>
            <w:shd w:val="clear" w:color="auto" w:fill="auto"/>
            <w:noWrap/>
            <w:vAlign w:val="bottom"/>
            <w:hideMark/>
          </w:tcPr>
          <w:p w14:paraId="69612DE8"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1.68</w:t>
            </w:r>
          </w:p>
        </w:tc>
        <w:tc>
          <w:tcPr>
            <w:tcW w:w="960" w:type="dxa"/>
            <w:shd w:val="clear" w:color="auto" w:fill="auto"/>
            <w:noWrap/>
            <w:vAlign w:val="bottom"/>
            <w:hideMark/>
          </w:tcPr>
          <w:p w14:paraId="502B0DD3"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0.552</w:t>
            </w:r>
          </w:p>
        </w:tc>
      </w:tr>
      <w:tr w:rsidR="00667DA4" w:rsidRPr="00667DA4" w14:paraId="298CB592" w14:textId="77777777" w:rsidTr="00377099">
        <w:trPr>
          <w:trHeight w:val="290"/>
          <w:jc w:val="center"/>
        </w:trPr>
        <w:tc>
          <w:tcPr>
            <w:tcW w:w="3659" w:type="dxa"/>
            <w:shd w:val="clear" w:color="auto" w:fill="auto"/>
            <w:noWrap/>
            <w:vAlign w:val="center"/>
            <w:hideMark/>
          </w:tcPr>
          <w:p w14:paraId="007ACC17" w14:textId="77777777" w:rsidR="007B469B" w:rsidRPr="00667DA4" w:rsidRDefault="007B469B" w:rsidP="00FE09BC">
            <w:pPr>
              <w:spacing w:after="0" w:line="240" w:lineRule="auto"/>
              <w:rPr>
                <w:rFonts w:eastAsia="Times New Roman" w:cs="Arial"/>
                <w:sz w:val="18"/>
                <w:szCs w:val="18"/>
                <w:lang w:eastAsia="en-GB"/>
              </w:rPr>
            </w:pPr>
            <w:r w:rsidRPr="00667DA4">
              <w:rPr>
                <w:rFonts w:eastAsia="Times New Roman" w:cs="Arial"/>
                <w:sz w:val="18"/>
                <w:szCs w:val="18"/>
                <w:lang w:eastAsia="en-GB"/>
              </w:rPr>
              <w:t>Immunosuppressants</w:t>
            </w:r>
          </w:p>
        </w:tc>
        <w:tc>
          <w:tcPr>
            <w:tcW w:w="960" w:type="dxa"/>
            <w:shd w:val="clear" w:color="auto" w:fill="auto"/>
            <w:noWrap/>
            <w:vAlign w:val="bottom"/>
            <w:hideMark/>
          </w:tcPr>
          <w:p w14:paraId="01F434A6"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1.48</w:t>
            </w:r>
          </w:p>
        </w:tc>
        <w:tc>
          <w:tcPr>
            <w:tcW w:w="960" w:type="dxa"/>
            <w:shd w:val="clear" w:color="auto" w:fill="auto"/>
            <w:noWrap/>
            <w:vAlign w:val="bottom"/>
            <w:hideMark/>
          </w:tcPr>
          <w:p w14:paraId="109470D1"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1.02</w:t>
            </w:r>
          </w:p>
        </w:tc>
        <w:tc>
          <w:tcPr>
            <w:tcW w:w="960" w:type="dxa"/>
            <w:shd w:val="clear" w:color="auto" w:fill="auto"/>
            <w:noWrap/>
            <w:vAlign w:val="bottom"/>
            <w:hideMark/>
          </w:tcPr>
          <w:p w14:paraId="29B8BCDB"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2.14</w:t>
            </w:r>
          </w:p>
        </w:tc>
        <w:tc>
          <w:tcPr>
            <w:tcW w:w="960" w:type="dxa"/>
            <w:shd w:val="clear" w:color="auto" w:fill="auto"/>
            <w:noWrap/>
            <w:vAlign w:val="bottom"/>
            <w:hideMark/>
          </w:tcPr>
          <w:p w14:paraId="2F31EE38" w14:textId="77777777" w:rsidR="007B469B" w:rsidRPr="00667DA4" w:rsidRDefault="007B469B" w:rsidP="00FE09BC">
            <w:pPr>
              <w:spacing w:after="0" w:line="240" w:lineRule="auto"/>
              <w:jc w:val="right"/>
              <w:rPr>
                <w:rFonts w:eastAsia="Times New Roman" w:cs="Arial"/>
                <w:sz w:val="18"/>
                <w:szCs w:val="18"/>
                <w:lang w:eastAsia="en-GB"/>
              </w:rPr>
            </w:pPr>
            <w:r w:rsidRPr="00667DA4">
              <w:rPr>
                <w:rFonts w:eastAsia="Times New Roman" w:cs="Arial"/>
                <w:sz w:val="18"/>
                <w:szCs w:val="18"/>
                <w:lang w:eastAsia="en-GB"/>
              </w:rPr>
              <w:t>0.039</w:t>
            </w:r>
          </w:p>
        </w:tc>
      </w:tr>
    </w:tbl>
    <w:p w14:paraId="161E6E5B" w14:textId="77777777" w:rsidR="007B469B" w:rsidRPr="00667DA4" w:rsidRDefault="007B469B" w:rsidP="00FE09BC">
      <w:pPr>
        <w:pStyle w:val="CommentText"/>
        <w:rPr>
          <w:rFonts w:cs="Arial"/>
          <w:sz w:val="18"/>
          <w:szCs w:val="18"/>
        </w:rPr>
      </w:pPr>
      <w:r w:rsidRPr="00667DA4">
        <w:rPr>
          <w:rFonts w:cs="Arial"/>
          <w:sz w:val="18"/>
          <w:szCs w:val="18"/>
        </w:rPr>
        <w:t xml:space="preserve">        </w:t>
      </w:r>
    </w:p>
    <w:p w14:paraId="287C5FC1" w14:textId="6F223F73" w:rsidR="007B469B" w:rsidRPr="00667DA4" w:rsidRDefault="007B469B" w:rsidP="00FE09BC">
      <w:pPr>
        <w:pStyle w:val="CommentText"/>
        <w:rPr>
          <w:rFonts w:cs="Arial"/>
          <w:sz w:val="18"/>
          <w:szCs w:val="18"/>
        </w:rPr>
      </w:pPr>
      <w:r w:rsidRPr="00667DA4">
        <w:rPr>
          <w:rFonts w:cs="Arial"/>
          <w:sz w:val="18"/>
          <w:szCs w:val="18"/>
        </w:rPr>
        <w:t>The following reference categories were used:  White for ethnicity, Age band: 18-39 years, IMD: IMD  Quintile 5 (least deprived), Household size: 2-4 and for BMI category: Normal weight</w:t>
      </w:r>
    </w:p>
    <w:p w14:paraId="46724445" w14:textId="77777777" w:rsidR="007B469B" w:rsidRPr="00667DA4" w:rsidRDefault="007B469B" w:rsidP="00FE09BC">
      <w:pPr>
        <w:spacing w:line="240" w:lineRule="auto"/>
        <w:jc w:val="both"/>
        <w:rPr>
          <w:rFonts w:cs="Arial"/>
          <w:sz w:val="20"/>
          <w:szCs w:val="20"/>
        </w:rPr>
      </w:pPr>
    </w:p>
    <w:p w14:paraId="28B1E266" w14:textId="77777777" w:rsidR="007B469B" w:rsidRPr="00667DA4" w:rsidRDefault="007B469B" w:rsidP="00FE09BC">
      <w:pPr>
        <w:spacing w:line="240" w:lineRule="auto"/>
        <w:jc w:val="both"/>
        <w:rPr>
          <w:rFonts w:cs="Arial"/>
          <w:sz w:val="20"/>
          <w:szCs w:val="20"/>
        </w:rPr>
      </w:pPr>
    </w:p>
    <w:p w14:paraId="4B471E3F" w14:textId="77777777" w:rsidR="007B469B" w:rsidRPr="00667DA4" w:rsidRDefault="007B469B" w:rsidP="00FE09BC">
      <w:pPr>
        <w:spacing w:line="240" w:lineRule="auto"/>
        <w:jc w:val="both"/>
        <w:rPr>
          <w:rFonts w:cs="Arial"/>
          <w:sz w:val="20"/>
          <w:szCs w:val="20"/>
        </w:rPr>
      </w:pPr>
    </w:p>
    <w:sectPr w:rsidR="007B469B" w:rsidRPr="00667DA4" w:rsidSect="00576772">
      <w:footerReference w:type="even" r:id="rId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CA725" w14:textId="77777777" w:rsidR="00A62E3A" w:rsidRDefault="00A62E3A" w:rsidP="00AF3CDF">
      <w:pPr>
        <w:spacing w:after="0" w:line="240" w:lineRule="auto"/>
      </w:pPr>
      <w:r>
        <w:separator/>
      </w:r>
    </w:p>
  </w:endnote>
  <w:endnote w:type="continuationSeparator" w:id="0">
    <w:p w14:paraId="10FC742A" w14:textId="77777777" w:rsidR="00A62E3A" w:rsidRDefault="00A62E3A" w:rsidP="00AF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Microsoft GothicNeo">
    <w:panose1 w:val="020B0604020202020204"/>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7445434"/>
      <w:docPartObj>
        <w:docPartGallery w:val="Page Numbers (Bottom of Page)"/>
        <w:docPartUnique/>
      </w:docPartObj>
    </w:sdtPr>
    <w:sdtEndPr>
      <w:rPr>
        <w:rStyle w:val="PageNumber"/>
      </w:rPr>
    </w:sdtEndPr>
    <w:sdtContent>
      <w:p w14:paraId="1BC31F9F" w14:textId="62582B58" w:rsidR="00444AFF" w:rsidRDefault="00444AFF" w:rsidP="00214B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A1F865" w14:textId="77777777" w:rsidR="00444AFF" w:rsidRDefault="00444AFF" w:rsidP="00AF3C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5347345"/>
      <w:docPartObj>
        <w:docPartGallery w:val="Page Numbers (Bottom of Page)"/>
        <w:docPartUnique/>
      </w:docPartObj>
    </w:sdtPr>
    <w:sdtEndPr>
      <w:rPr>
        <w:rStyle w:val="PageNumber"/>
      </w:rPr>
    </w:sdtEndPr>
    <w:sdtContent>
      <w:p w14:paraId="406B8D56" w14:textId="55F700F1" w:rsidR="00444AFF" w:rsidRDefault="00444AFF" w:rsidP="00214B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9BE34B" w14:textId="77777777" w:rsidR="00444AFF" w:rsidRDefault="00444AFF" w:rsidP="00AF3C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92069" w14:textId="77777777" w:rsidR="00A62E3A" w:rsidRDefault="00A62E3A" w:rsidP="00AF3CDF">
      <w:pPr>
        <w:spacing w:after="0" w:line="240" w:lineRule="auto"/>
      </w:pPr>
      <w:r>
        <w:separator/>
      </w:r>
    </w:p>
  </w:footnote>
  <w:footnote w:type="continuationSeparator" w:id="0">
    <w:p w14:paraId="6DCAEADA" w14:textId="77777777" w:rsidR="00A62E3A" w:rsidRDefault="00A62E3A" w:rsidP="00AF3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CE6"/>
    <w:multiLevelType w:val="hybridMultilevel"/>
    <w:tmpl w:val="CE485CE0"/>
    <w:lvl w:ilvl="0" w:tplc="C3CE413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9D3C66"/>
    <w:multiLevelType w:val="hybridMultilevel"/>
    <w:tmpl w:val="6BDAE65C"/>
    <w:lvl w:ilvl="0" w:tplc="1898D2B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0E73DA0"/>
    <w:multiLevelType w:val="multilevel"/>
    <w:tmpl w:val="BC74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FD2E03"/>
    <w:multiLevelType w:val="hybridMultilevel"/>
    <w:tmpl w:val="AEAA3944"/>
    <w:lvl w:ilvl="0" w:tplc="31F88482">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57A78"/>
    <w:multiLevelType w:val="hybridMultilevel"/>
    <w:tmpl w:val="0AEA04A0"/>
    <w:lvl w:ilvl="0" w:tplc="E8EA214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DAC2168"/>
    <w:multiLevelType w:val="multilevel"/>
    <w:tmpl w:val="8868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A611ED"/>
    <w:multiLevelType w:val="hybridMultilevel"/>
    <w:tmpl w:val="9D8CAFAC"/>
    <w:lvl w:ilvl="0" w:tplc="86D08472">
      <w:start w:val="2"/>
      <w:numFmt w:val="bullet"/>
      <w:lvlText w:val="-"/>
      <w:lvlJc w:val="left"/>
      <w:pPr>
        <w:ind w:left="720" w:hanging="360"/>
      </w:pPr>
      <w:rPr>
        <w:rFonts w:ascii="Calibri" w:eastAsia="Microsoft GothicNe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D5B1B"/>
    <w:multiLevelType w:val="multilevel"/>
    <w:tmpl w:val="E11C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C63B51"/>
    <w:multiLevelType w:val="hybridMultilevel"/>
    <w:tmpl w:val="492699B2"/>
    <w:lvl w:ilvl="0" w:tplc="B50AF1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3E5ECC"/>
    <w:multiLevelType w:val="multilevel"/>
    <w:tmpl w:val="209A2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B17766"/>
    <w:multiLevelType w:val="multilevel"/>
    <w:tmpl w:val="A87A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F46B9"/>
    <w:multiLevelType w:val="hybridMultilevel"/>
    <w:tmpl w:val="11A405F4"/>
    <w:lvl w:ilvl="0" w:tplc="25B882E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573C0E"/>
    <w:multiLevelType w:val="multilevel"/>
    <w:tmpl w:val="6534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0"/>
  </w:num>
  <w:num w:numId="3">
    <w:abstractNumId w:val="11"/>
  </w:num>
  <w:num w:numId="4">
    <w:abstractNumId w:val="0"/>
  </w:num>
  <w:num w:numId="5">
    <w:abstractNumId w:val="9"/>
  </w:num>
  <w:num w:numId="6">
    <w:abstractNumId w:val="12"/>
  </w:num>
  <w:num w:numId="7">
    <w:abstractNumId w:val="5"/>
  </w:num>
  <w:num w:numId="8">
    <w:abstractNumId w:val="7"/>
  </w:num>
  <w:num w:numId="9">
    <w:abstractNumId w:val="2"/>
  </w:num>
  <w:num w:numId="10">
    <w:abstractNumId w:val="8"/>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srAwNjYwNzEyNDdR0lEKTi0uzszPAykwMqgFAEuOGAktAAAA"/>
  </w:docVars>
  <w:rsids>
    <w:rsidRoot w:val="00E67147"/>
    <w:rsid w:val="000008CA"/>
    <w:rsid w:val="00002EDF"/>
    <w:rsid w:val="00010D4D"/>
    <w:rsid w:val="00024B5F"/>
    <w:rsid w:val="00034C5A"/>
    <w:rsid w:val="00043589"/>
    <w:rsid w:val="0006312F"/>
    <w:rsid w:val="0007492D"/>
    <w:rsid w:val="00074B72"/>
    <w:rsid w:val="000823D4"/>
    <w:rsid w:val="0009093A"/>
    <w:rsid w:val="00090F13"/>
    <w:rsid w:val="000911E9"/>
    <w:rsid w:val="00096A05"/>
    <w:rsid w:val="000A0597"/>
    <w:rsid w:val="000A139C"/>
    <w:rsid w:val="000A3B29"/>
    <w:rsid w:val="000A73FD"/>
    <w:rsid w:val="000B20DC"/>
    <w:rsid w:val="000B4629"/>
    <w:rsid w:val="000B511A"/>
    <w:rsid w:val="000B7D9C"/>
    <w:rsid w:val="000C044B"/>
    <w:rsid w:val="000C3B6A"/>
    <w:rsid w:val="000C66A8"/>
    <w:rsid w:val="000C6D87"/>
    <w:rsid w:val="000D1978"/>
    <w:rsid w:val="000D6625"/>
    <w:rsid w:val="000D7793"/>
    <w:rsid w:val="000E1F3B"/>
    <w:rsid w:val="000F01F1"/>
    <w:rsid w:val="000F07E7"/>
    <w:rsid w:val="000F51D0"/>
    <w:rsid w:val="000F5EF4"/>
    <w:rsid w:val="00104758"/>
    <w:rsid w:val="0010489B"/>
    <w:rsid w:val="00106018"/>
    <w:rsid w:val="001135D9"/>
    <w:rsid w:val="001136A1"/>
    <w:rsid w:val="00114CA1"/>
    <w:rsid w:val="00116574"/>
    <w:rsid w:val="00121AE8"/>
    <w:rsid w:val="001238AB"/>
    <w:rsid w:val="00124142"/>
    <w:rsid w:val="001275BE"/>
    <w:rsid w:val="0013444F"/>
    <w:rsid w:val="00134F21"/>
    <w:rsid w:val="00144AB0"/>
    <w:rsid w:val="00145291"/>
    <w:rsid w:val="00146113"/>
    <w:rsid w:val="00162DE8"/>
    <w:rsid w:val="00162FDF"/>
    <w:rsid w:val="00164599"/>
    <w:rsid w:val="00167BC5"/>
    <w:rsid w:val="00175D05"/>
    <w:rsid w:val="00180FBB"/>
    <w:rsid w:val="00193AC1"/>
    <w:rsid w:val="00195E2D"/>
    <w:rsid w:val="00197ED5"/>
    <w:rsid w:val="001A4350"/>
    <w:rsid w:val="001A4F21"/>
    <w:rsid w:val="001B24F5"/>
    <w:rsid w:val="001B54F4"/>
    <w:rsid w:val="001B5C13"/>
    <w:rsid w:val="001B6880"/>
    <w:rsid w:val="001C1135"/>
    <w:rsid w:val="001C15D4"/>
    <w:rsid w:val="001C1C99"/>
    <w:rsid w:val="001C208B"/>
    <w:rsid w:val="001C28AD"/>
    <w:rsid w:val="001D1372"/>
    <w:rsid w:val="001E07EF"/>
    <w:rsid w:val="001E0B55"/>
    <w:rsid w:val="001E7929"/>
    <w:rsid w:val="001F1260"/>
    <w:rsid w:val="001F181B"/>
    <w:rsid w:val="001F41D8"/>
    <w:rsid w:val="00202F72"/>
    <w:rsid w:val="0020657B"/>
    <w:rsid w:val="00206C0F"/>
    <w:rsid w:val="0020757F"/>
    <w:rsid w:val="002121FB"/>
    <w:rsid w:val="002131BD"/>
    <w:rsid w:val="00214B57"/>
    <w:rsid w:val="00216399"/>
    <w:rsid w:val="00230767"/>
    <w:rsid w:val="00246927"/>
    <w:rsid w:val="00247E19"/>
    <w:rsid w:val="00255EB7"/>
    <w:rsid w:val="002629DC"/>
    <w:rsid w:val="0026371E"/>
    <w:rsid w:val="00263FAD"/>
    <w:rsid w:val="002669F8"/>
    <w:rsid w:val="0027292A"/>
    <w:rsid w:val="00276852"/>
    <w:rsid w:val="00281254"/>
    <w:rsid w:val="00283BA5"/>
    <w:rsid w:val="00284745"/>
    <w:rsid w:val="002854D7"/>
    <w:rsid w:val="00294504"/>
    <w:rsid w:val="00294688"/>
    <w:rsid w:val="00294FE7"/>
    <w:rsid w:val="002954F1"/>
    <w:rsid w:val="00295509"/>
    <w:rsid w:val="002A076D"/>
    <w:rsid w:val="002A4EE6"/>
    <w:rsid w:val="002B1745"/>
    <w:rsid w:val="002B1BC2"/>
    <w:rsid w:val="002B321F"/>
    <w:rsid w:val="002B5E1B"/>
    <w:rsid w:val="002B7EF0"/>
    <w:rsid w:val="002C559E"/>
    <w:rsid w:val="002C68A5"/>
    <w:rsid w:val="002D28F9"/>
    <w:rsid w:val="002D2B05"/>
    <w:rsid w:val="002D4C14"/>
    <w:rsid w:val="002D5051"/>
    <w:rsid w:val="002F0EF4"/>
    <w:rsid w:val="002F5050"/>
    <w:rsid w:val="002F5463"/>
    <w:rsid w:val="00301E7A"/>
    <w:rsid w:val="00306998"/>
    <w:rsid w:val="00307487"/>
    <w:rsid w:val="003101C7"/>
    <w:rsid w:val="00310C0D"/>
    <w:rsid w:val="00310FBD"/>
    <w:rsid w:val="0031333E"/>
    <w:rsid w:val="003207AA"/>
    <w:rsid w:val="0032310E"/>
    <w:rsid w:val="00331C60"/>
    <w:rsid w:val="00334115"/>
    <w:rsid w:val="00334E78"/>
    <w:rsid w:val="0033597C"/>
    <w:rsid w:val="003370A2"/>
    <w:rsid w:val="00354947"/>
    <w:rsid w:val="00356D4F"/>
    <w:rsid w:val="0037097E"/>
    <w:rsid w:val="00377099"/>
    <w:rsid w:val="0038037C"/>
    <w:rsid w:val="00380AE2"/>
    <w:rsid w:val="003813DC"/>
    <w:rsid w:val="003947A9"/>
    <w:rsid w:val="003A0B93"/>
    <w:rsid w:val="003A1B49"/>
    <w:rsid w:val="003A3D7D"/>
    <w:rsid w:val="003A5EEF"/>
    <w:rsid w:val="003A73E2"/>
    <w:rsid w:val="003B2BD5"/>
    <w:rsid w:val="003C221C"/>
    <w:rsid w:val="003C31E7"/>
    <w:rsid w:val="003C41E5"/>
    <w:rsid w:val="003C43CF"/>
    <w:rsid w:val="003C5620"/>
    <w:rsid w:val="003D1ED0"/>
    <w:rsid w:val="003D23B7"/>
    <w:rsid w:val="003D48CF"/>
    <w:rsid w:val="003E3C12"/>
    <w:rsid w:val="003E68CA"/>
    <w:rsid w:val="003F70F3"/>
    <w:rsid w:val="00410E31"/>
    <w:rsid w:val="00412184"/>
    <w:rsid w:val="0041430F"/>
    <w:rsid w:val="00416D6D"/>
    <w:rsid w:val="004206B8"/>
    <w:rsid w:val="004235E6"/>
    <w:rsid w:val="004236C3"/>
    <w:rsid w:val="00425DEF"/>
    <w:rsid w:val="00430759"/>
    <w:rsid w:val="0043626F"/>
    <w:rsid w:val="0044119C"/>
    <w:rsid w:val="00444135"/>
    <w:rsid w:val="00444AFF"/>
    <w:rsid w:val="004461F8"/>
    <w:rsid w:val="00446AD9"/>
    <w:rsid w:val="004517D8"/>
    <w:rsid w:val="00453E14"/>
    <w:rsid w:val="00455A77"/>
    <w:rsid w:val="00465E2F"/>
    <w:rsid w:val="004722D9"/>
    <w:rsid w:val="00476EFF"/>
    <w:rsid w:val="00477CC6"/>
    <w:rsid w:val="004815BC"/>
    <w:rsid w:val="0048370B"/>
    <w:rsid w:val="004859C7"/>
    <w:rsid w:val="00487FA6"/>
    <w:rsid w:val="00490282"/>
    <w:rsid w:val="00495A58"/>
    <w:rsid w:val="004A2A55"/>
    <w:rsid w:val="004C05A1"/>
    <w:rsid w:val="004C5CD5"/>
    <w:rsid w:val="004C6C56"/>
    <w:rsid w:val="004C6D86"/>
    <w:rsid w:val="004C70FE"/>
    <w:rsid w:val="004D098D"/>
    <w:rsid w:val="004D2055"/>
    <w:rsid w:val="004D5763"/>
    <w:rsid w:val="004F0448"/>
    <w:rsid w:val="005056E6"/>
    <w:rsid w:val="005066A0"/>
    <w:rsid w:val="00506955"/>
    <w:rsid w:val="00520557"/>
    <w:rsid w:val="005212BB"/>
    <w:rsid w:val="00525060"/>
    <w:rsid w:val="00527708"/>
    <w:rsid w:val="00527A5F"/>
    <w:rsid w:val="00527FAE"/>
    <w:rsid w:val="00530251"/>
    <w:rsid w:val="005306F5"/>
    <w:rsid w:val="00541D9A"/>
    <w:rsid w:val="0054285F"/>
    <w:rsid w:val="00550874"/>
    <w:rsid w:val="005527D0"/>
    <w:rsid w:val="00553894"/>
    <w:rsid w:val="005557E0"/>
    <w:rsid w:val="00561078"/>
    <w:rsid w:val="005623AA"/>
    <w:rsid w:val="00562941"/>
    <w:rsid w:val="005631D2"/>
    <w:rsid w:val="00565097"/>
    <w:rsid w:val="005719E3"/>
    <w:rsid w:val="00576772"/>
    <w:rsid w:val="0057740D"/>
    <w:rsid w:val="00577ABC"/>
    <w:rsid w:val="00577C0F"/>
    <w:rsid w:val="005853D7"/>
    <w:rsid w:val="00591E02"/>
    <w:rsid w:val="005A66A8"/>
    <w:rsid w:val="005A6ED7"/>
    <w:rsid w:val="005B3025"/>
    <w:rsid w:val="005B4496"/>
    <w:rsid w:val="005B5E67"/>
    <w:rsid w:val="005B7E4A"/>
    <w:rsid w:val="005C161F"/>
    <w:rsid w:val="005C4393"/>
    <w:rsid w:val="005C7A8F"/>
    <w:rsid w:val="005C7BDB"/>
    <w:rsid w:val="005D03FE"/>
    <w:rsid w:val="005E3FDC"/>
    <w:rsid w:val="005E4FFF"/>
    <w:rsid w:val="005E6F02"/>
    <w:rsid w:val="00603933"/>
    <w:rsid w:val="00612548"/>
    <w:rsid w:val="006134AA"/>
    <w:rsid w:val="006155CD"/>
    <w:rsid w:val="00620412"/>
    <w:rsid w:val="00627DD2"/>
    <w:rsid w:val="00632AB6"/>
    <w:rsid w:val="00637D9C"/>
    <w:rsid w:val="00640E2E"/>
    <w:rsid w:val="00646AD2"/>
    <w:rsid w:val="00652BFA"/>
    <w:rsid w:val="006532C5"/>
    <w:rsid w:val="0065351D"/>
    <w:rsid w:val="00655570"/>
    <w:rsid w:val="00660327"/>
    <w:rsid w:val="006605E5"/>
    <w:rsid w:val="006613E9"/>
    <w:rsid w:val="006635C8"/>
    <w:rsid w:val="0066367A"/>
    <w:rsid w:val="00667DA4"/>
    <w:rsid w:val="00670C70"/>
    <w:rsid w:val="00674DAC"/>
    <w:rsid w:val="00687734"/>
    <w:rsid w:val="006903A4"/>
    <w:rsid w:val="00695070"/>
    <w:rsid w:val="006A7FF8"/>
    <w:rsid w:val="006B08DF"/>
    <w:rsid w:val="006B2640"/>
    <w:rsid w:val="006C1F4B"/>
    <w:rsid w:val="006C2110"/>
    <w:rsid w:val="006C2E81"/>
    <w:rsid w:val="006C7D88"/>
    <w:rsid w:val="006D0520"/>
    <w:rsid w:val="006D19E5"/>
    <w:rsid w:val="006D6E7D"/>
    <w:rsid w:val="006E3CB6"/>
    <w:rsid w:val="006F362D"/>
    <w:rsid w:val="00701280"/>
    <w:rsid w:val="007027DE"/>
    <w:rsid w:val="00704004"/>
    <w:rsid w:val="0070467A"/>
    <w:rsid w:val="007050CB"/>
    <w:rsid w:val="00720945"/>
    <w:rsid w:val="00720F2E"/>
    <w:rsid w:val="007243B1"/>
    <w:rsid w:val="00725D46"/>
    <w:rsid w:val="00734902"/>
    <w:rsid w:val="00746A27"/>
    <w:rsid w:val="00747C3D"/>
    <w:rsid w:val="00755C85"/>
    <w:rsid w:val="00760AD6"/>
    <w:rsid w:val="00760D23"/>
    <w:rsid w:val="0076143E"/>
    <w:rsid w:val="00763774"/>
    <w:rsid w:val="00763D75"/>
    <w:rsid w:val="00764518"/>
    <w:rsid w:val="00777D68"/>
    <w:rsid w:val="00781467"/>
    <w:rsid w:val="0078646D"/>
    <w:rsid w:val="00793149"/>
    <w:rsid w:val="0079600A"/>
    <w:rsid w:val="007A4020"/>
    <w:rsid w:val="007A7838"/>
    <w:rsid w:val="007B0ECC"/>
    <w:rsid w:val="007B469B"/>
    <w:rsid w:val="007C3010"/>
    <w:rsid w:val="007E681C"/>
    <w:rsid w:val="007E6CFF"/>
    <w:rsid w:val="007F7DE3"/>
    <w:rsid w:val="00800834"/>
    <w:rsid w:val="00802E23"/>
    <w:rsid w:val="008069A6"/>
    <w:rsid w:val="00806B37"/>
    <w:rsid w:val="00811175"/>
    <w:rsid w:val="00813077"/>
    <w:rsid w:val="00815344"/>
    <w:rsid w:val="008159B3"/>
    <w:rsid w:val="00817A4B"/>
    <w:rsid w:val="00820D9A"/>
    <w:rsid w:val="0082257D"/>
    <w:rsid w:val="00827768"/>
    <w:rsid w:val="008303C8"/>
    <w:rsid w:val="008320D9"/>
    <w:rsid w:val="008349FC"/>
    <w:rsid w:val="00845091"/>
    <w:rsid w:val="00852AC2"/>
    <w:rsid w:val="008635FE"/>
    <w:rsid w:val="00865814"/>
    <w:rsid w:val="00871247"/>
    <w:rsid w:val="00871A8C"/>
    <w:rsid w:val="008740F6"/>
    <w:rsid w:val="0088065A"/>
    <w:rsid w:val="00893D31"/>
    <w:rsid w:val="00894295"/>
    <w:rsid w:val="00894B00"/>
    <w:rsid w:val="008A1972"/>
    <w:rsid w:val="008A772E"/>
    <w:rsid w:val="008B4D6D"/>
    <w:rsid w:val="008C2C9C"/>
    <w:rsid w:val="008C609D"/>
    <w:rsid w:val="008E1EDD"/>
    <w:rsid w:val="008E252A"/>
    <w:rsid w:val="008E49EA"/>
    <w:rsid w:val="008E6F79"/>
    <w:rsid w:val="008F2EC0"/>
    <w:rsid w:val="008F4908"/>
    <w:rsid w:val="00900225"/>
    <w:rsid w:val="00903B4E"/>
    <w:rsid w:val="00904298"/>
    <w:rsid w:val="00904AF1"/>
    <w:rsid w:val="0090549D"/>
    <w:rsid w:val="00912CCB"/>
    <w:rsid w:val="009363C4"/>
    <w:rsid w:val="0093730D"/>
    <w:rsid w:val="009460D7"/>
    <w:rsid w:val="0094652D"/>
    <w:rsid w:val="009539EB"/>
    <w:rsid w:val="00954D1D"/>
    <w:rsid w:val="00962581"/>
    <w:rsid w:val="0096618F"/>
    <w:rsid w:val="0097011F"/>
    <w:rsid w:val="00981000"/>
    <w:rsid w:val="00990DA5"/>
    <w:rsid w:val="0099171E"/>
    <w:rsid w:val="009963CE"/>
    <w:rsid w:val="009B2E2D"/>
    <w:rsid w:val="009B46D3"/>
    <w:rsid w:val="009B726C"/>
    <w:rsid w:val="009B7BD1"/>
    <w:rsid w:val="009D1FBD"/>
    <w:rsid w:val="009D3C9A"/>
    <w:rsid w:val="009D7257"/>
    <w:rsid w:val="009E2DFF"/>
    <w:rsid w:val="009E781D"/>
    <w:rsid w:val="009F2CD3"/>
    <w:rsid w:val="00A11991"/>
    <w:rsid w:val="00A15A25"/>
    <w:rsid w:val="00A20A36"/>
    <w:rsid w:val="00A22F1F"/>
    <w:rsid w:val="00A34DBD"/>
    <w:rsid w:val="00A4147B"/>
    <w:rsid w:val="00A45389"/>
    <w:rsid w:val="00A45CAF"/>
    <w:rsid w:val="00A533A7"/>
    <w:rsid w:val="00A57861"/>
    <w:rsid w:val="00A61D0A"/>
    <w:rsid w:val="00A627E7"/>
    <w:rsid w:val="00A62E3A"/>
    <w:rsid w:val="00A76A24"/>
    <w:rsid w:val="00A81609"/>
    <w:rsid w:val="00A90860"/>
    <w:rsid w:val="00A90DBD"/>
    <w:rsid w:val="00A9178F"/>
    <w:rsid w:val="00A95738"/>
    <w:rsid w:val="00AA7E35"/>
    <w:rsid w:val="00AB0492"/>
    <w:rsid w:val="00AB1C5F"/>
    <w:rsid w:val="00AC457E"/>
    <w:rsid w:val="00AC6122"/>
    <w:rsid w:val="00AD0D8F"/>
    <w:rsid w:val="00AF0A29"/>
    <w:rsid w:val="00AF3CDF"/>
    <w:rsid w:val="00AF565B"/>
    <w:rsid w:val="00B024D3"/>
    <w:rsid w:val="00B03724"/>
    <w:rsid w:val="00B04A36"/>
    <w:rsid w:val="00B1139B"/>
    <w:rsid w:val="00B11C93"/>
    <w:rsid w:val="00B44B9B"/>
    <w:rsid w:val="00B469EA"/>
    <w:rsid w:val="00B52820"/>
    <w:rsid w:val="00B548A0"/>
    <w:rsid w:val="00B55784"/>
    <w:rsid w:val="00B56925"/>
    <w:rsid w:val="00B6297E"/>
    <w:rsid w:val="00B6436A"/>
    <w:rsid w:val="00B6672C"/>
    <w:rsid w:val="00B81C72"/>
    <w:rsid w:val="00B83D5E"/>
    <w:rsid w:val="00B8659F"/>
    <w:rsid w:val="00B902AC"/>
    <w:rsid w:val="00B9490A"/>
    <w:rsid w:val="00BB2E49"/>
    <w:rsid w:val="00BD3432"/>
    <w:rsid w:val="00BE0C06"/>
    <w:rsid w:val="00BE3C21"/>
    <w:rsid w:val="00BE54B2"/>
    <w:rsid w:val="00BF4CA4"/>
    <w:rsid w:val="00BF6563"/>
    <w:rsid w:val="00BF7833"/>
    <w:rsid w:val="00BF7C68"/>
    <w:rsid w:val="00C16A0A"/>
    <w:rsid w:val="00C202BA"/>
    <w:rsid w:val="00C34A2C"/>
    <w:rsid w:val="00C35CEC"/>
    <w:rsid w:val="00C42EB8"/>
    <w:rsid w:val="00C43028"/>
    <w:rsid w:val="00C61D9C"/>
    <w:rsid w:val="00C629D0"/>
    <w:rsid w:val="00C62A97"/>
    <w:rsid w:val="00C63082"/>
    <w:rsid w:val="00C77ECB"/>
    <w:rsid w:val="00C81772"/>
    <w:rsid w:val="00C83CF0"/>
    <w:rsid w:val="00C84532"/>
    <w:rsid w:val="00C8703A"/>
    <w:rsid w:val="00C87FE2"/>
    <w:rsid w:val="00C90FFD"/>
    <w:rsid w:val="00C919EB"/>
    <w:rsid w:val="00C93907"/>
    <w:rsid w:val="00C96336"/>
    <w:rsid w:val="00CB0C80"/>
    <w:rsid w:val="00CC2C39"/>
    <w:rsid w:val="00CC78F9"/>
    <w:rsid w:val="00CD34DC"/>
    <w:rsid w:val="00CD6E8B"/>
    <w:rsid w:val="00CE1A88"/>
    <w:rsid w:val="00CE2C42"/>
    <w:rsid w:val="00CF387E"/>
    <w:rsid w:val="00CF5608"/>
    <w:rsid w:val="00D00749"/>
    <w:rsid w:val="00D0138D"/>
    <w:rsid w:val="00D16120"/>
    <w:rsid w:val="00D216EC"/>
    <w:rsid w:val="00D25D98"/>
    <w:rsid w:val="00D278ED"/>
    <w:rsid w:val="00D30C25"/>
    <w:rsid w:val="00D363E6"/>
    <w:rsid w:val="00D374F8"/>
    <w:rsid w:val="00D50988"/>
    <w:rsid w:val="00D521F8"/>
    <w:rsid w:val="00D55E15"/>
    <w:rsid w:val="00D60C7E"/>
    <w:rsid w:val="00D61BD0"/>
    <w:rsid w:val="00D66E8D"/>
    <w:rsid w:val="00D74680"/>
    <w:rsid w:val="00D83C92"/>
    <w:rsid w:val="00D879D2"/>
    <w:rsid w:val="00D91830"/>
    <w:rsid w:val="00D94DD1"/>
    <w:rsid w:val="00DA1876"/>
    <w:rsid w:val="00DA4CB6"/>
    <w:rsid w:val="00DB39A4"/>
    <w:rsid w:val="00DB4760"/>
    <w:rsid w:val="00DB551A"/>
    <w:rsid w:val="00DC23D2"/>
    <w:rsid w:val="00DD0094"/>
    <w:rsid w:val="00DD1935"/>
    <w:rsid w:val="00DD31CA"/>
    <w:rsid w:val="00DE0F26"/>
    <w:rsid w:val="00DF04EA"/>
    <w:rsid w:val="00DF4561"/>
    <w:rsid w:val="00DF548D"/>
    <w:rsid w:val="00DF71BD"/>
    <w:rsid w:val="00E03D26"/>
    <w:rsid w:val="00E04BCA"/>
    <w:rsid w:val="00E146EA"/>
    <w:rsid w:val="00E163DB"/>
    <w:rsid w:val="00E2168C"/>
    <w:rsid w:val="00E33EED"/>
    <w:rsid w:val="00E37B42"/>
    <w:rsid w:val="00E40EE8"/>
    <w:rsid w:val="00E56C98"/>
    <w:rsid w:val="00E6122A"/>
    <w:rsid w:val="00E6676D"/>
    <w:rsid w:val="00E67147"/>
    <w:rsid w:val="00E673BF"/>
    <w:rsid w:val="00E674F9"/>
    <w:rsid w:val="00E67868"/>
    <w:rsid w:val="00E7030F"/>
    <w:rsid w:val="00E71155"/>
    <w:rsid w:val="00E729DF"/>
    <w:rsid w:val="00E83224"/>
    <w:rsid w:val="00E90200"/>
    <w:rsid w:val="00E931DB"/>
    <w:rsid w:val="00E94CF0"/>
    <w:rsid w:val="00E969DA"/>
    <w:rsid w:val="00E97010"/>
    <w:rsid w:val="00EA0B54"/>
    <w:rsid w:val="00EA3786"/>
    <w:rsid w:val="00EB4F02"/>
    <w:rsid w:val="00EC3BE1"/>
    <w:rsid w:val="00EC45F7"/>
    <w:rsid w:val="00EC53CA"/>
    <w:rsid w:val="00ED072D"/>
    <w:rsid w:val="00ED5BB5"/>
    <w:rsid w:val="00ED67BA"/>
    <w:rsid w:val="00ED6B5E"/>
    <w:rsid w:val="00ED6D3D"/>
    <w:rsid w:val="00ED7084"/>
    <w:rsid w:val="00EE2ECF"/>
    <w:rsid w:val="00EE3EB1"/>
    <w:rsid w:val="00EE4600"/>
    <w:rsid w:val="00EE50D3"/>
    <w:rsid w:val="00EE61B5"/>
    <w:rsid w:val="00EE6283"/>
    <w:rsid w:val="00EF580D"/>
    <w:rsid w:val="00F0152F"/>
    <w:rsid w:val="00F026B1"/>
    <w:rsid w:val="00F03653"/>
    <w:rsid w:val="00F04B94"/>
    <w:rsid w:val="00F0620C"/>
    <w:rsid w:val="00F119FC"/>
    <w:rsid w:val="00F14719"/>
    <w:rsid w:val="00F157BD"/>
    <w:rsid w:val="00F17D23"/>
    <w:rsid w:val="00F32373"/>
    <w:rsid w:val="00F4022F"/>
    <w:rsid w:val="00F41BE8"/>
    <w:rsid w:val="00F46CCD"/>
    <w:rsid w:val="00F6030D"/>
    <w:rsid w:val="00F623C1"/>
    <w:rsid w:val="00F66D9C"/>
    <w:rsid w:val="00F707F3"/>
    <w:rsid w:val="00F726AE"/>
    <w:rsid w:val="00F72C19"/>
    <w:rsid w:val="00F83F00"/>
    <w:rsid w:val="00F9094F"/>
    <w:rsid w:val="00FA15B5"/>
    <w:rsid w:val="00FB4390"/>
    <w:rsid w:val="00FD6EED"/>
    <w:rsid w:val="00FD7184"/>
    <w:rsid w:val="00FD7585"/>
    <w:rsid w:val="00FE09BC"/>
    <w:rsid w:val="00FE3A28"/>
    <w:rsid w:val="00FE4386"/>
    <w:rsid w:val="00FE5251"/>
    <w:rsid w:val="00FF3690"/>
    <w:rsid w:val="00FF4AA2"/>
    <w:rsid w:val="00FF4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B3104"/>
  <w15:chartTrackingRefBased/>
  <w15:docId w15:val="{91C812DF-4A7D-4144-8129-4FC27B58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147"/>
  </w:style>
  <w:style w:type="paragraph" w:styleId="Heading1">
    <w:name w:val="heading 1"/>
    <w:basedOn w:val="Normal"/>
    <w:link w:val="Heading1Char"/>
    <w:uiPriority w:val="9"/>
    <w:qFormat/>
    <w:rsid w:val="00AB04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AB1C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7147"/>
    <w:rPr>
      <w:b/>
      <w:bCs/>
    </w:rPr>
  </w:style>
  <w:style w:type="character" w:styleId="Hyperlink">
    <w:name w:val="Hyperlink"/>
    <w:basedOn w:val="DefaultParagraphFont"/>
    <w:uiPriority w:val="99"/>
    <w:unhideWhenUsed/>
    <w:rsid w:val="00E67147"/>
    <w:rPr>
      <w:color w:val="0000FF"/>
      <w:u w:val="single"/>
    </w:rPr>
  </w:style>
  <w:style w:type="paragraph" w:styleId="ListParagraph">
    <w:name w:val="List Paragraph"/>
    <w:basedOn w:val="Normal"/>
    <w:link w:val="ListParagraphChar"/>
    <w:uiPriority w:val="34"/>
    <w:qFormat/>
    <w:rsid w:val="00E67147"/>
    <w:pPr>
      <w:spacing w:line="360" w:lineRule="auto"/>
      <w:ind w:left="720"/>
      <w:contextualSpacing/>
    </w:pPr>
    <w:rPr>
      <w:rFonts w:ascii="Arial" w:hAnsi="Arial"/>
      <w:sz w:val="24"/>
    </w:rPr>
  </w:style>
  <w:style w:type="character" w:customStyle="1" w:styleId="ja50-ce-correspondence">
    <w:name w:val="ja50-ce-correspondence"/>
    <w:basedOn w:val="DefaultParagraphFont"/>
    <w:rsid w:val="00E67147"/>
  </w:style>
  <w:style w:type="paragraph" w:styleId="HTMLAddress">
    <w:name w:val="HTML Address"/>
    <w:basedOn w:val="Normal"/>
    <w:link w:val="HTMLAddressChar"/>
    <w:uiPriority w:val="99"/>
    <w:unhideWhenUsed/>
    <w:rsid w:val="00E67147"/>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E67147"/>
    <w:rPr>
      <w:rFonts w:ascii="Times New Roman" w:eastAsia="Times New Roman" w:hAnsi="Times New Roman" w:cs="Times New Roman"/>
      <w:i/>
      <w:iCs/>
      <w:sz w:val="24"/>
      <w:szCs w:val="24"/>
      <w:lang w:eastAsia="en-GB"/>
    </w:rPr>
  </w:style>
  <w:style w:type="character" w:styleId="CommentReference">
    <w:name w:val="annotation reference"/>
    <w:basedOn w:val="DefaultParagraphFont"/>
    <w:uiPriority w:val="99"/>
    <w:semiHidden/>
    <w:unhideWhenUsed/>
    <w:rsid w:val="00E67147"/>
    <w:rPr>
      <w:sz w:val="16"/>
      <w:szCs w:val="16"/>
    </w:rPr>
  </w:style>
  <w:style w:type="paragraph" w:styleId="CommentText">
    <w:name w:val="annotation text"/>
    <w:basedOn w:val="Normal"/>
    <w:link w:val="CommentTextChar"/>
    <w:uiPriority w:val="99"/>
    <w:unhideWhenUsed/>
    <w:rsid w:val="00E67147"/>
    <w:pPr>
      <w:spacing w:line="240" w:lineRule="auto"/>
    </w:pPr>
    <w:rPr>
      <w:sz w:val="20"/>
      <w:szCs w:val="20"/>
    </w:rPr>
  </w:style>
  <w:style w:type="character" w:customStyle="1" w:styleId="CommentTextChar">
    <w:name w:val="Comment Text Char"/>
    <w:basedOn w:val="DefaultParagraphFont"/>
    <w:link w:val="CommentText"/>
    <w:uiPriority w:val="99"/>
    <w:rsid w:val="00E67147"/>
    <w:rPr>
      <w:sz w:val="20"/>
      <w:szCs w:val="20"/>
    </w:rPr>
  </w:style>
  <w:style w:type="paragraph" w:styleId="NormalWeb">
    <w:name w:val="Normal (Web)"/>
    <w:basedOn w:val="Normal"/>
    <w:uiPriority w:val="99"/>
    <w:unhideWhenUsed/>
    <w:rsid w:val="00E671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E67147"/>
    <w:rPr>
      <w:rFonts w:ascii="Arial" w:hAnsi="Arial"/>
      <w:sz w:val="24"/>
    </w:rPr>
  </w:style>
  <w:style w:type="paragraph" w:styleId="BalloonText">
    <w:name w:val="Balloon Text"/>
    <w:basedOn w:val="Normal"/>
    <w:link w:val="BalloonTextChar"/>
    <w:uiPriority w:val="99"/>
    <w:semiHidden/>
    <w:unhideWhenUsed/>
    <w:rsid w:val="00E6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147"/>
    <w:rPr>
      <w:rFonts w:ascii="Segoe UI" w:hAnsi="Segoe UI" w:cs="Segoe UI"/>
      <w:sz w:val="18"/>
      <w:szCs w:val="18"/>
    </w:rPr>
  </w:style>
  <w:style w:type="character" w:styleId="Emphasis">
    <w:name w:val="Emphasis"/>
    <w:basedOn w:val="DefaultParagraphFont"/>
    <w:uiPriority w:val="20"/>
    <w:qFormat/>
    <w:rsid w:val="00E67147"/>
    <w:rPr>
      <w:i/>
      <w:iCs/>
    </w:rPr>
  </w:style>
  <w:style w:type="character" w:customStyle="1" w:styleId="ej-keyword">
    <w:name w:val="ej-keyword"/>
    <w:basedOn w:val="DefaultParagraphFont"/>
    <w:rsid w:val="00E67147"/>
  </w:style>
  <w:style w:type="paragraph" w:styleId="CommentSubject">
    <w:name w:val="annotation subject"/>
    <w:basedOn w:val="CommentText"/>
    <w:next w:val="CommentText"/>
    <w:link w:val="CommentSubjectChar"/>
    <w:uiPriority w:val="99"/>
    <w:semiHidden/>
    <w:unhideWhenUsed/>
    <w:rsid w:val="00800834"/>
    <w:rPr>
      <w:b/>
      <w:bCs/>
    </w:rPr>
  </w:style>
  <w:style w:type="character" w:customStyle="1" w:styleId="CommentSubjectChar">
    <w:name w:val="Comment Subject Char"/>
    <w:basedOn w:val="CommentTextChar"/>
    <w:link w:val="CommentSubject"/>
    <w:uiPriority w:val="99"/>
    <w:semiHidden/>
    <w:rsid w:val="00800834"/>
    <w:rPr>
      <w:b/>
      <w:bCs/>
      <w:sz w:val="20"/>
      <w:szCs w:val="20"/>
    </w:rPr>
  </w:style>
  <w:style w:type="character" w:customStyle="1" w:styleId="None">
    <w:name w:val="None"/>
    <w:rsid w:val="000008CA"/>
  </w:style>
  <w:style w:type="character" w:customStyle="1" w:styleId="Heading1Char">
    <w:name w:val="Heading 1 Char"/>
    <w:basedOn w:val="DefaultParagraphFont"/>
    <w:link w:val="Heading1"/>
    <w:uiPriority w:val="9"/>
    <w:rsid w:val="00AB0492"/>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27292A"/>
    <w:rPr>
      <w:color w:val="605E5C"/>
      <w:shd w:val="clear" w:color="auto" w:fill="E1DFDD"/>
    </w:rPr>
  </w:style>
  <w:style w:type="character" w:styleId="FollowedHyperlink">
    <w:name w:val="FollowedHyperlink"/>
    <w:basedOn w:val="DefaultParagraphFont"/>
    <w:uiPriority w:val="99"/>
    <w:semiHidden/>
    <w:unhideWhenUsed/>
    <w:rsid w:val="00D30C25"/>
    <w:rPr>
      <w:color w:val="954F72" w:themeColor="followedHyperlink"/>
      <w:u w:val="single"/>
    </w:rPr>
  </w:style>
  <w:style w:type="character" w:customStyle="1" w:styleId="Heading3Char">
    <w:name w:val="Heading 3 Char"/>
    <w:basedOn w:val="DefaultParagraphFont"/>
    <w:link w:val="Heading3"/>
    <w:uiPriority w:val="9"/>
    <w:rsid w:val="00AB1C5F"/>
    <w:rPr>
      <w:rFonts w:asciiTheme="majorHAnsi" w:eastAsiaTheme="majorEastAsia" w:hAnsiTheme="majorHAnsi" w:cstheme="majorBidi"/>
      <w:color w:val="1F3763" w:themeColor="accent1" w:themeShade="7F"/>
      <w:sz w:val="24"/>
      <w:szCs w:val="24"/>
    </w:rPr>
  </w:style>
  <w:style w:type="character" w:styleId="LineNumber">
    <w:name w:val="line number"/>
    <w:basedOn w:val="DefaultParagraphFont"/>
    <w:uiPriority w:val="99"/>
    <w:semiHidden/>
    <w:unhideWhenUsed/>
    <w:rsid w:val="00576772"/>
  </w:style>
  <w:style w:type="paragraph" w:styleId="Footer">
    <w:name w:val="footer"/>
    <w:basedOn w:val="Normal"/>
    <w:link w:val="FooterChar"/>
    <w:uiPriority w:val="99"/>
    <w:unhideWhenUsed/>
    <w:rsid w:val="00AF3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CDF"/>
  </w:style>
  <w:style w:type="character" w:styleId="PageNumber">
    <w:name w:val="page number"/>
    <w:basedOn w:val="DefaultParagraphFont"/>
    <w:uiPriority w:val="99"/>
    <w:semiHidden/>
    <w:unhideWhenUsed/>
    <w:rsid w:val="00AF3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8434">
      <w:bodyDiv w:val="1"/>
      <w:marLeft w:val="0"/>
      <w:marRight w:val="0"/>
      <w:marTop w:val="0"/>
      <w:marBottom w:val="0"/>
      <w:divBdr>
        <w:top w:val="none" w:sz="0" w:space="0" w:color="auto"/>
        <w:left w:val="none" w:sz="0" w:space="0" w:color="auto"/>
        <w:bottom w:val="none" w:sz="0" w:space="0" w:color="auto"/>
        <w:right w:val="none" w:sz="0" w:space="0" w:color="auto"/>
      </w:divBdr>
    </w:div>
    <w:div w:id="141704565">
      <w:bodyDiv w:val="1"/>
      <w:marLeft w:val="0"/>
      <w:marRight w:val="0"/>
      <w:marTop w:val="0"/>
      <w:marBottom w:val="0"/>
      <w:divBdr>
        <w:top w:val="none" w:sz="0" w:space="0" w:color="auto"/>
        <w:left w:val="none" w:sz="0" w:space="0" w:color="auto"/>
        <w:bottom w:val="none" w:sz="0" w:space="0" w:color="auto"/>
        <w:right w:val="none" w:sz="0" w:space="0" w:color="auto"/>
      </w:divBdr>
    </w:div>
    <w:div w:id="189955216">
      <w:bodyDiv w:val="1"/>
      <w:marLeft w:val="0"/>
      <w:marRight w:val="0"/>
      <w:marTop w:val="0"/>
      <w:marBottom w:val="0"/>
      <w:divBdr>
        <w:top w:val="none" w:sz="0" w:space="0" w:color="auto"/>
        <w:left w:val="none" w:sz="0" w:space="0" w:color="auto"/>
        <w:bottom w:val="none" w:sz="0" w:space="0" w:color="auto"/>
        <w:right w:val="none" w:sz="0" w:space="0" w:color="auto"/>
      </w:divBdr>
    </w:div>
    <w:div w:id="235365349">
      <w:bodyDiv w:val="1"/>
      <w:marLeft w:val="0"/>
      <w:marRight w:val="0"/>
      <w:marTop w:val="0"/>
      <w:marBottom w:val="0"/>
      <w:divBdr>
        <w:top w:val="none" w:sz="0" w:space="0" w:color="auto"/>
        <w:left w:val="none" w:sz="0" w:space="0" w:color="auto"/>
        <w:bottom w:val="none" w:sz="0" w:space="0" w:color="auto"/>
        <w:right w:val="none" w:sz="0" w:space="0" w:color="auto"/>
      </w:divBdr>
    </w:div>
    <w:div w:id="501700701">
      <w:bodyDiv w:val="1"/>
      <w:marLeft w:val="0"/>
      <w:marRight w:val="0"/>
      <w:marTop w:val="0"/>
      <w:marBottom w:val="0"/>
      <w:divBdr>
        <w:top w:val="none" w:sz="0" w:space="0" w:color="auto"/>
        <w:left w:val="none" w:sz="0" w:space="0" w:color="auto"/>
        <w:bottom w:val="none" w:sz="0" w:space="0" w:color="auto"/>
        <w:right w:val="none" w:sz="0" w:space="0" w:color="auto"/>
      </w:divBdr>
    </w:div>
    <w:div w:id="510417959">
      <w:bodyDiv w:val="1"/>
      <w:marLeft w:val="0"/>
      <w:marRight w:val="0"/>
      <w:marTop w:val="0"/>
      <w:marBottom w:val="0"/>
      <w:divBdr>
        <w:top w:val="none" w:sz="0" w:space="0" w:color="auto"/>
        <w:left w:val="none" w:sz="0" w:space="0" w:color="auto"/>
        <w:bottom w:val="none" w:sz="0" w:space="0" w:color="auto"/>
        <w:right w:val="none" w:sz="0" w:space="0" w:color="auto"/>
      </w:divBdr>
      <w:divsChild>
        <w:div w:id="982928296">
          <w:marLeft w:val="0"/>
          <w:marRight w:val="0"/>
          <w:marTop w:val="0"/>
          <w:marBottom w:val="0"/>
          <w:divBdr>
            <w:top w:val="none" w:sz="0" w:space="0" w:color="auto"/>
            <w:left w:val="none" w:sz="0" w:space="0" w:color="auto"/>
            <w:bottom w:val="none" w:sz="0" w:space="0" w:color="auto"/>
            <w:right w:val="none" w:sz="0" w:space="0" w:color="auto"/>
          </w:divBdr>
        </w:div>
        <w:div w:id="346638222">
          <w:marLeft w:val="0"/>
          <w:marRight w:val="0"/>
          <w:marTop w:val="0"/>
          <w:marBottom w:val="0"/>
          <w:divBdr>
            <w:top w:val="none" w:sz="0" w:space="0" w:color="auto"/>
            <w:left w:val="none" w:sz="0" w:space="0" w:color="auto"/>
            <w:bottom w:val="none" w:sz="0" w:space="0" w:color="auto"/>
            <w:right w:val="none" w:sz="0" w:space="0" w:color="auto"/>
          </w:divBdr>
        </w:div>
      </w:divsChild>
    </w:div>
    <w:div w:id="577637894">
      <w:bodyDiv w:val="1"/>
      <w:marLeft w:val="0"/>
      <w:marRight w:val="0"/>
      <w:marTop w:val="0"/>
      <w:marBottom w:val="0"/>
      <w:divBdr>
        <w:top w:val="none" w:sz="0" w:space="0" w:color="auto"/>
        <w:left w:val="none" w:sz="0" w:space="0" w:color="auto"/>
        <w:bottom w:val="none" w:sz="0" w:space="0" w:color="auto"/>
        <w:right w:val="none" w:sz="0" w:space="0" w:color="auto"/>
      </w:divBdr>
    </w:div>
    <w:div w:id="1110054542">
      <w:bodyDiv w:val="1"/>
      <w:marLeft w:val="0"/>
      <w:marRight w:val="0"/>
      <w:marTop w:val="0"/>
      <w:marBottom w:val="0"/>
      <w:divBdr>
        <w:top w:val="none" w:sz="0" w:space="0" w:color="auto"/>
        <w:left w:val="none" w:sz="0" w:space="0" w:color="auto"/>
        <w:bottom w:val="none" w:sz="0" w:space="0" w:color="auto"/>
        <w:right w:val="none" w:sz="0" w:space="0" w:color="auto"/>
      </w:divBdr>
      <w:divsChild>
        <w:div w:id="977807193">
          <w:marLeft w:val="0"/>
          <w:marRight w:val="0"/>
          <w:marTop w:val="0"/>
          <w:marBottom w:val="0"/>
          <w:divBdr>
            <w:top w:val="none" w:sz="0" w:space="0" w:color="auto"/>
            <w:left w:val="none" w:sz="0" w:space="0" w:color="auto"/>
            <w:bottom w:val="none" w:sz="0" w:space="0" w:color="auto"/>
            <w:right w:val="none" w:sz="0" w:space="0" w:color="auto"/>
          </w:divBdr>
        </w:div>
        <w:div w:id="103381574">
          <w:marLeft w:val="0"/>
          <w:marRight w:val="0"/>
          <w:marTop w:val="0"/>
          <w:marBottom w:val="0"/>
          <w:divBdr>
            <w:top w:val="none" w:sz="0" w:space="0" w:color="auto"/>
            <w:left w:val="none" w:sz="0" w:space="0" w:color="auto"/>
            <w:bottom w:val="none" w:sz="0" w:space="0" w:color="auto"/>
            <w:right w:val="none" w:sz="0" w:space="0" w:color="auto"/>
          </w:divBdr>
        </w:div>
        <w:div w:id="1944416149">
          <w:marLeft w:val="0"/>
          <w:marRight w:val="0"/>
          <w:marTop w:val="0"/>
          <w:marBottom w:val="0"/>
          <w:divBdr>
            <w:top w:val="none" w:sz="0" w:space="0" w:color="auto"/>
            <w:left w:val="none" w:sz="0" w:space="0" w:color="auto"/>
            <w:bottom w:val="none" w:sz="0" w:space="0" w:color="auto"/>
            <w:right w:val="none" w:sz="0" w:space="0" w:color="auto"/>
          </w:divBdr>
        </w:div>
      </w:divsChild>
    </w:div>
    <w:div w:id="1125999261">
      <w:bodyDiv w:val="1"/>
      <w:marLeft w:val="0"/>
      <w:marRight w:val="0"/>
      <w:marTop w:val="0"/>
      <w:marBottom w:val="0"/>
      <w:divBdr>
        <w:top w:val="none" w:sz="0" w:space="0" w:color="auto"/>
        <w:left w:val="none" w:sz="0" w:space="0" w:color="auto"/>
        <w:bottom w:val="none" w:sz="0" w:space="0" w:color="auto"/>
        <w:right w:val="none" w:sz="0" w:space="0" w:color="auto"/>
      </w:divBdr>
    </w:div>
    <w:div w:id="1133256610">
      <w:bodyDiv w:val="1"/>
      <w:marLeft w:val="0"/>
      <w:marRight w:val="0"/>
      <w:marTop w:val="0"/>
      <w:marBottom w:val="0"/>
      <w:divBdr>
        <w:top w:val="none" w:sz="0" w:space="0" w:color="auto"/>
        <w:left w:val="none" w:sz="0" w:space="0" w:color="auto"/>
        <w:bottom w:val="none" w:sz="0" w:space="0" w:color="auto"/>
        <w:right w:val="none" w:sz="0" w:space="0" w:color="auto"/>
      </w:divBdr>
    </w:div>
    <w:div w:id="1194998487">
      <w:bodyDiv w:val="1"/>
      <w:marLeft w:val="0"/>
      <w:marRight w:val="0"/>
      <w:marTop w:val="0"/>
      <w:marBottom w:val="0"/>
      <w:divBdr>
        <w:top w:val="none" w:sz="0" w:space="0" w:color="auto"/>
        <w:left w:val="none" w:sz="0" w:space="0" w:color="auto"/>
        <w:bottom w:val="none" w:sz="0" w:space="0" w:color="auto"/>
        <w:right w:val="none" w:sz="0" w:space="0" w:color="auto"/>
      </w:divBdr>
    </w:div>
    <w:div w:id="1341279692">
      <w:bodyDiv w:val="1"/>
      <w:marLeft w:val="0"/>
      <w:marRight w:val="0"/>
      <w:marTop w:val="0"/>
      <w:marBottom w:val="0"/>
      <w:divBdr>
        <w:top w:val="none" w:sz="0" w:space="0" w:color="auto"/>
        <w:left w:val="none" w:sz="0" w:space="0" w:color="auto"/>
        <w:bottom w:val="none" w:sz="0" w:space="0" w:color="auto"/>
        <w:right w:val="none" w:sz="0" w:space="0" w:color="auto"/>
      </w:divBdr>
    </w:div>
    <w:div w:id="1554543625">
      <w:bodyDiv w:val="1"/>
      <w:marLeft w:val="0"/>
      <w:marRight w:val="0"/>
      <w:marTop w:val="0"/>
      <w:marBottom w:val="0"/>
      <w:divBdr>
        <w:top w:val="none" w:sz="0" w:space="0" w:color="auto"/>
        <w:left w:val="none" w:sz="0" w:space="0" w:color="auto"/>
        <w:bottom w:val="none" w:sz="0" w:space="0" w:color="auto"/>
        <w:right w:val="none" w:sz="0" w:space="0" w:color="auto"/>
      </w:divBdr>
    </w:div>
    <w:div w:id="1762335694">
      <w:bodyDiv w:val="1"/>
      <w:marLeft w:val="0"/>
      <w:marRight w:val="0"/>
      <w:marTop w:val="0"/>
      <w:marBottom w:val="0"/>
      <w:divBdr>
        <w:top w:val="none" w:sz="0" w:space="0" w:color="auto"/>
        <w:left w:val="none" w:sz="0" w:space="0" w:color="auto"/>
        <w:bottom w:val="none" w:sz="0" w:space="0" w:color="auto"/>
        <w:right w:val="none" w:sz="0" w:space="0" w:color="auto"/>
      </w:divBdr>
    </w:div>
    <w:div w:id="1762872760">
      <w:bodyDiv w:val="1"/>
      <w:marLeft w:val="0"/>
      <w:marRight w:val="0"/>
      <w:marTop w:val="0"/>
      <w:marBottom w:val="0"/>
      <w:divBdr>
        <w:top w:val="none" w:sz="0" w:space="0" w:color="auto"/>
        <w:left w:val="none" w:sz="0" w:space="0" w:color="auto"/>
        <w:bottom w:val="none" w:sz="0" w:space="0" w:color="auto"/>
        <w:right w:val="none" w:sz="0" w:space="0" w:color="auto"/>
      </w:divBdr>
    </w:div>
    <w:div w:id="1788893009">
      <w:bodyDiv w:val="1"/>
      <w:marLeft w:val="0"/>
      <w:marRight w:val="0"/>
      <w:marTop w:val="0"/>
      <w:marBottom w:val="0"/>
      <w:divBdr>
        <w:top w:val="none" w:sz="0" w:space="0" w:color="auto"/>
        <w:left w:val="none" w:sz="0" w:space="0" w:color="auto"/>
        <w:bottom w:val="none" w:sz="0" w:space="0" w:color="auto"/>
        <w:right w:val="none" w:sz="0" w:space="0" w:color="auto"/>
      </w:divBdr>
      <w:divsChild>
        <w:div w:id="1112238999">
          <w:marLeft w:val="0"/>
          <w:marRight w:val="0"/>
          <w:marTop w:val="0"/>
          <w:marBottom w:val="0"/>
          <w:divBdr>
            <w:top w:val="none" w:sz="0" w:space="0" w:color="auto"/>
            <w:left w:val="none" w:sz="0" w:space="0" w:color="auto"/>
            <w:bottom w:val="none" w:sz="0" w:space="0" w:color="auto"/>
            <w:right w:val="none" w:sz="0" w:space="0" w:color="auto"/>
          </w:divBdr>
        </w:div>
        <w:div w:id="643395691">
          <w:marLeft w:val="0"/>
          <w:marRight w:val="0"/>
          <w:marTop w:val="0"/>
          <w:marBottom w:val="0"/>
          <w:divBdr>
            <w:top w:val="none" w:sz="0" w:space="0" w:color="auto"/>
            <w:left w:val="none" w:sz="0" w:space="0" w:color="auto"/>
            <w:bottom w:val="none" w:sz="0" w:space="0" w:color="auto"/>
            <w:right w:val="none" w:sz="0" w:space="0" w:color="auto"/>
          </w:divBdr>
        </w:div>
      </w:divsChild>
    </w:div>
    <w:div w:id="1975912884">
      <w:bodyDiv w:val="1"/>
      <w:marLeft w:val="0"/>
      <w:marRight w:val="0"/>
      <w:marTop w:val="0"/>
      <w:marBottom w:val="0"/>
      <w:divBdr>
        <w:top w:val="none" w:sz="0" w:space="0" w:color="auto"/>
        <w:left w:val="none" w:sz="0" w:space="0" w:color="auto"/>
        <w:bottom w:val="none" w:sz="0" w:space="0" w:color="auto"/>
        <w:right w:val="none" w:sz="0" w:space="0" w:color="auto"/>
      </w:divBdr>
    </w:div>
    <w:div w:id="2043629044">
      <w:bodyDiv w:val="1"/>
      <w:marLeft w:val="0"/>
      <w:marRight w:val="0"/>
      <w:marTop w:val="0"/>
      <w:marBottom w:val="0"/>
      <w:divBdr>
        <w:top w:val="none" w:sz="0" w:space="0" w:color="auto"/>
        <w:left w:val="none" w:sz="0" w:space="0" w:color="auto"/>
        <w:bottom w:val="none" w:sz="0" w:space="0" w:color="auto"/>
        <w:right w:val="none" w:sz="0" w:space="0" w:color="auto"/>
      </w:divBdr>
      <w:divsChild>
        <w:div w:id="1038165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gp.org.uk/clinical-and-research/our-programmes/research-and-surveillance-centre/supporting-research-teams/submit-a-data-request-online-form.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9CA05-8D67-2E41-A40F-EDC07F39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21</Pages>
  <Words>28129</Words>
  <Characters>160336</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Hajira Dambha-Miller</dc:creator>
  <cp:keywords/>
  <dc:description/>
  <cp:lastModifiedBy>Christopher Wilcox</cp:lastModifiedBy>
  <cp:revision>118</cp:revision>
  <dcterms:created xsi:type="dcterms:W3CDTF">2022-01-17T16:57:00Z</dcterms:created>
  <dcterms:modified xsi:type="dcterms:W3CDTF">2022-04-20T11:43:00Z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http://www.zotero.org/styles/bmj</vt:lpwstr>
  </property>
  <property fmtid="{D5CDD505-2E9C-101B-9397-08002B2CF9AE}" pid="10" name="Mendeley Recent Style Name 3_1">
    <vt:lpwstr>BMJ</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535918a7-9155-3196-932c-1ccf877cfc74</vt:lpwstr>
  </property>
  <property fmtid="{D5CDD505-2E9C-101B-9397-08002B2CF9AE}" pid="24" name="Mendeley Citation Style_1">
    <vt:lpwstr>http://www.zotero.org/styles/bmj</vt:lpwstr>
  </property>
</Properties>
</file>