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786FF" w14:textId="03DF2A08" w:rsidR="008A2B15" w:rsidRPr="00606368" w:rsidRDefault="00303B74" w:rsidP="009641D0">
      <w:pPr>
        <w:spacing w:line="480" w:lineRule="auto"/>
        <w:jc w:val="center"/>
        <w:rPr>
          <w:b/>
        </w:rPr>
      </w:pPr>
      <w:r w:rsidRPr="00606368">
        <w:rPr>
          <w:b/>
        </w:rPr>
        <w:t xml:space="preserve">Endometrial gland specific </w:t>
      </w:r>
      <w:r w:rsidR="00606368" w:rsidRPr="00606368">
        <w:rPr>
          <w:b/>
        </w:rPr>
        <w:t>progestagen-associated endometrial protein</w:t>
      </w:r>
      <w:r w:rsidR="007D29F2" w:rsidRPr="00606368">
        <w:rPr>
          <w:b/>
        </w:rPr>
        <w:t xml:space="preserve"> and cilia gene splicing changes </w:t>
      </w:r>
      <w:r w:rsidR="00E01940" w:rsidRPr="00606368">
        <w:rPr>
          <w:b/>
        </w:rPr>
        <w:t>in recurrent pregnancy loss</w:t>
      </w:r>
    </w:p>
    <w:p w14:paraId="4B92B6D5" w14:textId="5529C3D6" w:rsidR="008A2B15" w:rsidRPr="00606368" w:rsidRDefault="007D29F2" w:rsidP="009641D0">
      <w:pPr>
        <w:spacing w:line="480" w:lineRule="auto"/>
        <w:jc w:val="both"/>
        <w:rPr>
          <w:vertAlign w:val="superscript"/>
        </w:rPr>
      </w:pPr>
      <w:r w:rsidRPr="00606368">
        <w:t>J</w:t>
      </w:r>
      <w:r w:rsidR="009641D0" w:rsidRPr="00606368">
        <w:t>ennifer</w:t>
      </w:r>
      <w:r w:rsidR="004B180C" w:rsidRPr="00606368">
        <w:t xml:space="preserve"> </w:t>
      </w:r>
      <w:r w:rsidRPr="00606368">
        <w:t>E</w:t>
      </w:r>
      <w:r w:rsidR="00B0268D" w:rsidRPr="00606368">
        <w:t>. Pearson-Farr, PhD</w:t>
      </w:r>
      <w:r w:rsidRPr="00606368">
        <w:rPr>
          <w:vertAlign w:val="superscript"/>
        </w:rPr>
        <w:t>1</w:t>
      </w:r>
      <w:r w:rsidR="00B0268D" w:rsidRPr="00606368">
        <w:t>,</w:t>
      </w:r>
      <w:r w:rsidRPr="00606368">
        <w:t xml:space="preserve"> G</w:t>
      </w:r>
      <w:r w:rsidR="009641D0" w:rsidRPr="00606368">
        <w:t>abrielle</w:t>
      </w:r>
      <w:r w:rsidR="00B0268D" w:rsidRPr="00606368">
        <w:t>. Wheway, PhD</w:t>
      </w:r>
      <w:r w:rsidRPr="00606368">
        <w:rPr>
          <w:vertAlign w:val="superscript"/>
        </w:rPr>
        <w:t>1</w:t>
      </w:r>
      <w:r w:rsidRPr="00606368">
        <w:t>, M</w:t>
      </w:r>
      <w:r w:rsidR="009641D0" w:rsidRPr="00606368">
        <w:t>aaike</w:t>
      </w:r>
      <w:r w:rsidR="004B180C" w:rsidRPr="00606368">
        <w:t xml:space="preserve"> </w:t>
      </w:r>
      <w:r w:rsidRPr="00606368">
        <w:t>S.</w:t>
      </w:r>
      <w:r w:rsidR="00CC2404" w:rsidRPr="00606368">
        <w:t>A</w:t>
      </w:r>
      <w:r w:rsidR="00B0268D" w:rsidRPr="00606368">
        <w:t>. Jongen, PhD</w:t>
      </w:r>
      <w:r w:rsidR="00AA4295" w:rsidRPr="00606368">
        <w:rPr>
          <w:vertAlign w:val="superscript"/>
        </w:rPr>
        <w:t>1</w:t>
      </w:r>
      <w:r w:rsidRPr="00606368">
        <w:t>,</w:t>
      </w:r>
      <w:r w:rsidR="002A0EBE" w:rsidRPr="00606368">
        <w:t xml:space="preserve"> P</w:t>
      </w:r>
      <w:r w:rsidR="009641D0" w:rsidRPr="00606368">
        <w:t>atricia</w:t>
      </w:r>
      <w:r w:rsidR="00B0268D" w:rsidRPr="00606368">
        <w:t>. Goggin</w:t>
      </w:r>
      <w:r w:rsidR="00C80DF4" w:rsidRPr="00606368">
        <w:t>, PhD</w:t>
      </w:r>
      <w:r w:rsidR="002A0EBE" w:rsidRPr="00606368">
        <w:rPr>
          <w:vertAlign w:val="superscript"/>
        </w:rPr>
        <w:t>3</w:t>
      </w:r>
      <w:r w:rsidR="002A0EBE" w:rsidRPr="00606368">
        <w:t>,</w:t>
      </w:r>
      <w:r w:rsidRPr="00606368">
        <w:t xml:space="preserve"> R</w:t>
      </w:r>
      <w:r w:rsidR="009641D0" w:rsidRPr="00606368">
        <w:t>ohan</w:t>
      </w:r>
      <w:r w:rsidR="004B180C" w:rsidRPr="00606368">
        <w:t xml:space="preserve"> </w:t>
      </w:r>
      <w:r w:rsidRPr="00606368">
        <w:t>M.</w:t>
      </w:r>
      <w:r w:rsidR="00B0268D" w:rsidRPr="00606368">
        <w:t xml:space="preserve"> Lewis, PhD</w:t>
      </w:r>
      <w:r w:rsidRPr="00606368">
        <w:rPr>
          <w:vertAlign w:val="superscript"/>
        </w:rPr>
        <w:t>1</w:t>
      </w:r>
      <w:r w:rsidRPr="00606368">
        <w:t>, Y</w:t>
      </w:r>
      <w:r w:rsidR="009641D0" w:rsidRPr="00606368">
        <w:t>ing</w:t>
      </w:r>
      <w:r w:rsidRPr="00606368">
        <w:t>.</w:t>
      </w:r>
      <w:r w:rsidR="00B0268D" w:rsidRPr="00606368">
        <w:t xml:space="preserve"> Cheong,</w:t>
      </w:r>
      <w:r w:rsidR="00B00B26" w:rsidRPr="00606368">
        <w:t xml:space="preserve"> MB CHB, MD</w:t>
      </w:r>
      <w:r w:rsidRPr="00606368">
        <w:rPr>
          <w:vertAlign w:val="superscript"/>
        </w:rPr>
        <w:t>1,2</w:t>
      </w:r>
      <w:r w:rsidRPr="00606368">
        <w:t>, J</w:t>
      </w:r>
      <w:r w:rsidR="009641D0" w:rsidRPr="00606368">
        <w:t>ane</w:t>
      </w:r>
      <w:r w:rsidR="004B180C" w:rsidRPr="00606368">
        <w:t xml:space="preserve"> </w:t>
      </w:r>
      <w:r w:rsidRPr="00606368">
        <w:t>K.</w:t>
      </w:r>
      <w:r w:rsidR="00B0268D" w:rsidRPr="00606368">
        <w:t xml:space="preserve"> Cleal, PhD</w:t>
      </w:r>
      <w:r w:rsidRPr="00606368">
        <w:rPr>
          <w:vertAlign w:val="superscript"/>
        </w:rPr>
        <w:t>1</w:t>
      </w:r>
    </w:p>
    <w:p w14:paraId="162A30AA" w14:textId="77777777" w:rsidR="00B00B26" w:rsidRPr="00606368" w:rsidRDefault="00B00B26" w:rsidP="00B00B26">
      <w:pPr>
        <w:spacing w:line="480" w:lineRule="auto"/>
        <w:rPr>
          <w:b/>
        </w:rPr>
      </w:pPr>
    </w:p>
    <w:p w14:paraId="540C407F" w14:textId="23192196" w:rsidR="009F2B9E" w:rsidRPr="00606368" w:rsidRDefault="00B00B26" w:rsidP="00B00B26">
      <w:pPr>
        <w:spacing w:line="480" w:lineRule="auto"/>
        <w:rPr>
          <w:b/>
        </w:rPr>
      </w:pPr>
      <w:r w:rsidRPr="00606368">
        <w:rPr>
          <w:b/>
        </w:rPr>
        <w:t>Author Affiliations</w:t>
      </w:r>
    </w:p>
    <w:p w14:paraId="005F53ED" w14:textId="3D3C4BCE" w:rsidR="002A0EBE" w:rsidRPr="00606368" w:rsidRDefault="00B00B26" w:rsidP="009641D0">
      <w:pPr>
        <w:spacing w:line="480" w:lineRule="auto"/>
        <w:jc w:val="both"/>
      </w:pPr>
      <w:r w:rsidRPr="00606368">
        <w:t xml:space="preserve">[1] </w:t>
      </w:r>
      <w:r w:rsidR="007D29F2" w:rsidRPr="00606368">
        <w:t>Human Development and Health, University of Southampton, Faculty of Medicine, Tremona Road, Southampton, SO16 6DY, UK</w:t>
      </w:r>
      <w:r w:rsidR="00273EB4" w:rsidRPr="00606368">
        <w:t>.</w:t>
      </w:r>
    </w:p>
    <w:p w14:paraId="3AD0A301" w14:textId="6AC69E95" w:rsidR="002A0EBE" w:rsidRPr="00606368" w:rsidRDefault="00B00B26" w:rsidP="009641D0">
      <w:pPr>
        <w:spacing w:line="480" w:lineRule="auto"/>
        <w:jc w:val="both"/>
      </w:pPr>
      <w:r w:rsidRPr="00606368">
        <w:t xml:space="preserve">[2] </w:t>
      </w:r>
      <w:r w:rsidR="007D29F2" w:rsidRPr="00606368">
        <w:t>Complete Fertility Centre Southampton, Princess Anne Hospital, Division of Women and Newborn, Coxford Road, Southampton, SO16 5YA, UK</w:t>
      </w:r>
      <w:r w:rsidR="00273EB4" w:rsidRPr="00606368">
        <w:t>.</w:t>
      </w:r>
    </w:p>
    <w:p w14:paraId="54AF7474" w14:textId="1FB46B91" w:rsidR="002A0EBE" w:rsidRPr="00606368" w:rsidRDefault="00B00B26" w:rsidP="009641D0">
      <w:pPr>
        <w:spacing w:line="480" w:lineRule="auto"/>
        <w:jc w:val="both"/>
      </w:pPr>
      <w:r w:rsidRPr="00606368">
        <w:t xml:space="preserve">[3] </w:t>
      </w:r>
      <w:r w:rsidR="002A0EBE" w:rsidRPr="00606368">
        <w:t>Biomedical Imaging Unit, Faculty of Medicine, University of Southampton</w:t>
      </w:r>
      <w:r w:rsidR="00273EB4" w:rsidRPr="00606368">
        <w:t>, UK.</w:t>
      </w:r>
    </w:p>
    <w:p w14:paraId="388591D5" w14:textId="77777777" w:rsidR="00B00B26" w:rsidRPr="00606368" w:rsidRDefault="00B00B26" w:rsidP="00B00B26">
      <w:pPr>
        <w:spacing w:line="480" w:lineRule="auto"/>
        <w:jc w:val="both"/>
        <w:rPr>
          <w:b/>
        </w:rPr>
      </w:pPr>
    </w:p>
    <w:p w14:paraId="6E3BDBAC" w14:textId="15FEE58E" w:rsidR="00B00B26" w:rsidRPr="00606368" w:rsidRDefault="00B00B26" w:rsidP="00B00B26">
      <w:pPr>
        <w:spacing w:line="480" w:lineRule="auto"/>
        <w:jc w:val="both"/>
        <w:rPr>
          <w:u w:val="single"/>
        </w:rPr>
      </w:pPr>
      <w:r w:rsidRPr="00606368">
        <w:rPr>
          <w:b/>
        </w:rPr>
        <w:t>Corresponding Author:</w:t>
      </w:r>
      <w:r w:rsidRPr="00606368">
        <w:t xml:space="preserve"> Dr Jane Cleal PhD. University of Southampton. Institute of Developmental Sciences Building MP887, Southampton University Hospital Tremona Road, Southampton. SO16 6YD, UK. </w:t>
      </w:r>
      <w:r w:rsidR="005311F3" w:rsidRPr="00606368">
        <w:t>j.k.cleal@soton.ac.uk</w:t>
      </w:r>
    </w:p>
    <w:p w14:paraId="55B28CCC" w14:textId="380C57BD" w:rsidR="00F60FAB" w:rsidRPr="00606368" w:rsidRDefault="00F60FAB" w:rsidP="009641D0">
      <w:pPr>
        <w:spacing w:line="480" w:lineRule="auto"/>
      </w:pPr>
    </w:p>
    <w:p w14:paraId="2352B479" w14:textId="18F24F71" w:rsidR="004C1BA1" w:rsidRPr="00606368" w:rsidRDefault="00A55628" w:rsidP="000B74BF">
      <w:pPr>
        <w:spacing w:line="480" w:lineRule="auto"/>
      </w:pPr>
      <w:r w:rsidRPr="00606368">
        <w:t>bioRxiv preprint DOI: 10.1101/2021.09.09.459643</w:t>
      </w:r>
    </w:p>
    <w:p w14:paraId="7591E214" w14:textId="77777777" w:rsidR="004C1BA1" w:rsidRPr="00606368" w:rsidRDefault="004C1BA1" w:rsidP="004C1BA1">
      <w:pPr>
        <w:spacing w:line="480" w:lineRule="auto"/>
        <w:rPr>
          <w:b/>
        </w:rPr>
      </w:pPr>
    </w:p>
    <w:p w14:paraId="31E72A3D" w14:textId="15A1A70A" w:rsidR="004C1BA1" w:rsidRPr="00606368" w:rsidRDefault="004C1BA1" w:rsidP="004C1BA1">
      <w:pPr>
        <w:spacing w:line="480" w:lineRule="auto"/>
      </w:pPr>
      <w:r w:rsidRPr="00606368">
        <w:rPr>
          <w:b/>
        </w:rPr>
        <w:t>Key words:</w:t>
      </w:r>
      <w:r w:rsidRPr="00606368">
        <w:t xml:space="preserve"> fertility, gland secretions, exon skipping, gene transcription, uterine environment</w:t>
      </w:r>
    </w:p>
    <w:p w14:paraId="2EF46C05" w14:textId="77777777" w:rsidR="004C1BA1" w:rsidRPr="00606368" w:rsidRDefault="004C1BA1" w:rsidP="000B74BF">
      <w:pPr>
        <w:spacing w:line="480" w:lineRule="auto"/>
        <w:rPr>
          <w:b/>
        </w:rPr>
      </w:pPr>
    </w:p>
    <w:p w14:paraId="22DE60FE" w14:textId="40E7CC9A" w:rsidR="004C1BA1" w:rsidRPr="00606368" w:rsidRDefault="004C1BA1" w:rsidP="000B74BF">
      <w:pPr>
        <w:spacing w:line="480" w:lineRule="auto"/>
      </w:pPr>
      <w:r w:rsidRPr="00606368">
        <w:rPr>
          <w:b/>
        </w:rPr>
        <w:t>Short title</w:t>
      </w:r>
      <w:r w:rsidRPr="00606368">
        <w:t xml:space="preserve">: </w:t>
      </w:r>
      <w:r w:rsidR="00303B74" w:rsidRPr="00606368">
        <w:t>E</w:t>
      </w:r>
      <w:r w:rsidRPr="00606368">
        <w:t xml:space="preserve">ndometrial </w:t>
      </w:r>
      <w:r w:rsidR="00C0382C" w:rsidRPr="00606368">
        <w:t>gland transcriptome</w:t>
      </w:r>
    </w:p>
    <w:p w14:paraId="33FEE8D7" w14:textId="75BBF909" w:rsidR="004C1BA1" w:rsidRPr="00606368" w:rsidRDefault="004C1BA1" w:rsidP="000B74BF">
      <w:pPr>
        <w:spacing w:line="480" w:lineRule="auto"/>
      </w:pPr>
    </w:p>
    <w:p w14:paraId="474DCD33" w14:textId="7B8AD40F" w:rsidR="004C1BA1" w:rsidRPr="00606368" w:rsidRDefault="004C1BA1" w:rsidP="000B74BF">
      <w:pPr>
        <w:spacing w:line="480" w:lineRule="auto"/>
      </w:pPr>
      <w:r w:rsidRPr="00606368">
        <w:rPr>
          <w:b/>
        </w:rPr>
        <w:t>Word count excluding references and figure legends</w:t>
      </w:r>
      <w:r w:rsidRPr="00606368">
        <w:t xml:space="preserve">: </w:t>
      </w:r>
      <w:r w:rsidR="0027198A" w:rsidRPr="00606368">
        <w:t>3385</w:t>
      </w:r>
    </w:p>
    <w:p w14:paraId="5B004F4D" w14:textId="067729A1" w:rsidR="008A2B15" w:rsidRPr="00606368" w:rsidRDefault="007D29F2" w:rsidP="000B74BF">
      <w:pPr>
        <w:spacing w:line="480" w:lineRule="auto"/>
        <w:rPr>
          <w:b/>
        </w:rPr>
      </w:pPr>
      <w:r w:rsidRPr="00606368">
        <w:br w:type="page"/>
      </w:r>
      <w:r w:rsidRPr="00606368">
        <w:rPr>
          <w:b/>
        </w:rPr>
        <w:lastRenderedPageBreak/>
        <w:t>ABSTRACT</w:t>
      </w:r>
    </w:p>
    <w:p w14:paraId="1B3B9D25" w14:textId="5E35689E" w:rsidR="00841EE1" w:rsidRPr="00606368" w:rsidRDefault="00F60FAB" w:rsidP="00833027">
      <w:pPr>
        <w:spacing w:line="480" w:lineRule="auto"/>
        <w:jc w:val="both"/>
      </w:pPr>
      <w:r w:rsidRPr="00606368">
        <w:t>Endometrial glands are essential for fertility, consisting of ciliated and secretory cells that facilitate a suitable uterine environment for embryo implantation. This study sought to determine whether an endometrial gland specific transcriptome and splicing profile are altered in women with recurrent pregnancy loss. Our data provide a comprehensive catalogue of cilia and</w:t>
      </w:r>
      <w:r w:rsidR="00606368" w:rsidRPr="00606368">
        <w:t xml:space="preserve"> progestagen-associated endometria</w:t>
      </w:r>
      <w:bookmarkStart w:id="0" w:name="_GoBack"/>
      <w:bookmarkEnd w:id="0"/>
      <w:r w:rsidR="00606368" w:rsidRPr="00606368">
        <w:t>l protein (</w:t>
      </w:r>
      <w:r w:rsidR="00606368" w:rsidRPr="00606368">
        <w:rPr>
          <w:i/>
        </w:rPr>
        <w:t>PAEP)</w:t>
      </w:r>
      <w:r w:rsidRPr="00606368">
        <w:t xml:space="preserve"> gene isoforms and relative exon usage in endometrial glands. We report a previously unannotated endometrial gland cilia transcript </w:t>
      </w:r>
      <w:r w:rsidRPr="00606368">
        <w:rPr>
          <w:i/>
        </w:rPr>
        <w:t>GALNT11</w:t>
      </w:r>
      <w:r w:rsidRPr="00606368">
        <w:t xml:space="preserve"> and its susceptibility to exon skipping. Key endometrial receptivity gene transcripts are also reported to change in endometrial glands of women with recurrent pregnancy loss. The endometrial gland cilia and PAEP targets identified in this study could be used to identify a perturbed endometrium, isolate causes of recurrent pregnancy loss and develop targeted therapies in personalised medicine.</w:t>
      </w:r>
      <w:r w:rsidR="00C30619" w:rsidRPr="00606368">
        <w:br w:type="page"/>
      </w:r>
    </w:p>
    <w:p w14:paraId="30453B7F" w14:textId="59CB75B4" w:rsidR="008A2B15" w:rsidRPr="00606368" w:rsidRDefault="007D29F2" w:rsidP="009641D0">
      <w:pPr>
        <w:spacing w:line="480" w:lineRule="auto"/>
        <w:rPr>
          <w:b/>
        </w:rPr>
      </w:pPr>
      <w:r w:rsidRPr="00606368">
        <w:rPr>
          <w:b/>
        </w:rPr>
        <w:lastRenderedPageBreak/>
        <w:t>INTRODUCTION</w:t>
      </w:r>
    </w:p>
    <w:p w14:paraId="4D37CE28" w14:textId="19FC6246" w:rsidR="008920D6" w:rsidRPr="00606368" w:rsidRDefault="007D29F2" w:rsidP="005311F3">
      <w:pPr>
        <w:spacing w:after="240" w:line="480" w:lineRule="auto"/>
        <w:ind w:firstLine="720"/>
        <w:jc w:val="both"/>
      </w:pPr>
      <w:r w:rsidRPr="00606368">
        <w:t xml:space="preserve">The endometrium is the lining of the womb in which the embryo implants at the start of pregnancy. </w:t>
      </w:r>
      <w:r w:rsidR="00C632A2" w:rsidRPr="00606368">
        <w:t>The</w:t>
      </w:r>
      <w:r w:rsidR="0034019A" w:rsidRPr="00606368">
        <w:t xml:space="preserve"> regenerated endometrium becomes receptive to implantation in the period following ovulation</w:t>
      </w:r>
      <w:r w:rsidRPr="00606368">
        <w:rPr>
          <w:rFonts w:eastAsia="Gungsuh"/>
        </w:rPr>
        <w:t xml:space="preserve"> </w:t>
      </w:r>
      <w:r w:rsidR="00C632A2" w:rsidRPr="00606368">
        <w:rPr>
          <w:rFonts w:eastAsia="Gungsuh"/>
        </w:rPr>
        <w:t>termed</w:t>
      </w:r>
      <w:r w:rsidRPr="00606368">
        <w:rPr>
          <w:rFonts w:eastAsia="Gungsuh"/>
        </w:rPr>
        <w:t xml:space="preserve"> </w:t>
      </w:r>
      <w:r w:rsidR="004651C3" w:rsidRPr="00606368">
        <w:rPr>
          <w:rFonts w:eastAsia="Gungsuh"/>
        </w:rPr>
        <w:t>the implantation</w:t>
      </w:r>
      <w:r w:rsidR="00C632A2" w:rsidRPr="00606368">
        <w:rPr>
          <w:rFonts w:eastAsia="Gungsuh"/>
        </w:rPr>
        <w:t xml:space="preserve"> window</w:t>
      </w:r>
      <w:r w:rsidRPr="00606368">
        <w:rPr>
          <w:rFonts w:eastAsia="Gungsuh"/>
        </w:rPr>
        <w:t xml:space="preserve"> (7-10 days after the luteinizing hormone (LH) surge; LH+7-10). Inappropriate receptivity is thought to underlie reproductive failure in women with</w:t>
      </w:r>
      <w:r w:rsidR="004651C3" w:rsidRPr="00606368">
        <w:rPr>
          <w:rFonts w:eastAsia="Gungsuh"/>
        </w:rPr>
        <w:t xml:space="preserve"> recurrent pregnancy loss </w:t>
      </w:r>
      <w:r w:rsidRPr="00606368">
        <w:rPr>
          <w:rFonts w:eastAsia="Gungsuh"/>
        </w:rPr>
        <w:t>≥3 miscarriages), subfertility (&gt;</w:t>
      </w:r>
      <w:r w:rsidR="004D3945" w:rsidRPr="00606368">
        <w:rPr>
          <w:rFonts w:eastAsia="Gungsuh"/>
        </w:rPr>
        <w:t xml:space="preserve"> </w:t>
      </w:r>
      <w:r w:rsidRPr="00606368">
        <w:rPr>
          <w:rFonts w:eastAsia="Gungsuh"/>
        </w:rPr>
        <w:t>12 months of inability to conceive) and recur</w:t>
      </w:r>
      <w:r w:rsidR="004651C3" w:rsidRPr="00606368">
        <w:rPr>
          <w:rFonts w:eastAsia="Gungsuh"/>
        </w:rPr>
        <w:t>rent implantation failure (</w:t>
      </w:r>
      <w:r w:rsidRPr="00606368">
        <w:rPr>
          <w:rFonts w:eastAsia="Gungsuh"/>
        </w:rPr>
        <w:t>failure of ≥</w:t>
      </w:r>
      <w:r w:rsidR="004D3945" w:rsidRPr="00606368">
        <w:rPr>
          <w:rFonts w:eastAsia="Gungsuh"/>
        </w:rPr>
        <w:t xml:space="preserve"> </w:t>
      </w:r>
      <w:r w:rsidRPr="00606368">
        <w:rPr>
          <w:rFonts w:eastAsia="Gungsuh"/>
        </w:rPr>
        <w:t>2 IVF cycles with 3 good quality blastocysts rep</w:t>
      </w:r>
      <w:r w:rsidR="00E01940" w:rsidRPr="00606368">
        <w:rPr>
          <w:rFonts w:eastAsia="Gungsuh"/>
        </w:rPr>
        <w:t>laced).</w:t>
      </w:r>
      <w:r w:rsidRPr="00606368">
        <w:rPr>
          <w:rFonts w:eastAsia="Gungsuh"/>
        </w:rPr>
        <w:t xml:space="preserve"> A less receptive endometrium is implicated in subfertility and </w:t>
      </w:r>
      <w:r w:rsidR="004651C3" w:rsidRPr="00606368">
        <w:rPr>
          <w:rFonts w:eastAsia="Gungsuh"/>
        </w:rPr>
        <w:t>recurrent implantation failure</w:t>
      </w:r>
      <w:r w:rsidRPr="00606368">
        <w:rPr>
          <w:rFonts w:eastAsia="Gungsuh"/>
        </w:rPr>
        <w:t>, as implantation fails in over 50% of IVF patients despite selection of good quality embryos. Whereas an over-receptive endometrium may underlie</w:t>
      </w:r>
      <w:r w:rsidR="004651C3" w:rsidRPr="00606368">
        <w:rPr>
          <w:rFonts w:eastAsia="Gungsuh"/>
        </w:rPr>
        <w:t xml:space="preserve"> recurrent pregnancy loss,</w:t>
      </w:r>
      <w:r w:rsidRPr="00606368">
        <w:rPr>
          <w:rFonts w:eastAsia="Gungsuh"/>
        </w:rPr>
        <w:t xml:space="preserve"> by allowing </w:t>
      </w:r>
      <w:r w:rsidR="004651C3" w:rsidRPr="00606368">
        <w:rPr>
          <w:rFonts w:eastAsia="Gungsuh"/>
        </w:rPr>
        <w:t xml:space="preserve">the </w:t>
      </w:r>
      <w:r w:rsidRPr="00606368">
        <w:rPr>
          <w:rFonts w:eastAsia="Gungsuh"/>
        </w:rPr>
        <w:t xml:space="preserve">implantation of </w:t>
      </w:r>
      <w:r w:rsidR="00C707AC" w:rsidRPr="00606368">
        <w:rPr>
          <w:rFonts w:eastAsia="Gungsuh"/>
        </w:rPr>
        <w:t xml:space="preserve">low quality </w:t>
      </w:r>
      <w:r w:rsidRPr="00606368">
        <w:rPr>
          <w:rFonts w:eastAsia="Gungsuh"/>
        </w:rPr>
        <w:t xml:space="preserve">embryos which increases the </w:t>
      </w:r>
      <w:r w:rsidR="004651C3" w:rsidRPr="00606368">
        <w:rPr>
          <w:rFonts w:eastAsia="Gungsuh"/>
        </w:rPr>
        <w:t>risk of pregnancy loss</w:t>
      </w:r>
      <w:r w:rsidR="0034019A" w:rsidRPr="00606368">
        <w:t xml:space="preserve"> </w:t>
      </w:r>
      <w:r w:rsidR="0034019A" w:rsidRPr="00606368">
        <w:fldChar w:fldCharType="begin" w:fldLock="1"/>
      </w:r>
      <w:r w:rsidR="00791434" w:rsidRPr="00606368">
        <w:instrText>ADDIN CSL_CITATION {"citationItems":[{"id":"ITEM-1","itemData":{"DOI":"10.1095/biolreprod.114.122846","ISSN":"0006-3363","PMID":"25187529","abstract":"Human reproduction is characterized by a high degree of embryo wastage, which is largely ascribed to a high prevalence of embryo aneuploidy. It is proposed that maternal strategies have evolved that prevent inappropriate investment in invasive, but poorly viable embryos. Key to this is the emerging concept of the endometrium as biosensor, first identified in human in vitro embryo/decidualized stromal cell coculture systems and recently confirmed in an in vivo mouse model. In this review, the growing supporting experimental evidence for the biosensor component of decidualized endometrium is outlined, and recent insights into the nature of the embryo-derived signal detected by the endometrium and the biological processes by which this signal is thought to be converted into a go or no-go endometrial response are described. Finally, the clinical implications of this new paradigm of the choosy uterus are addressed.","author":[{"dropping-particle":"","family":"Macklon","given":"Nick S.","non-dropping-particle":"","parse-names":false,"suffix":""},{"dropping-particle":"","family":"Brosens","given":"Jan J.","non-dropping-particle":"","parse-names":false,"suffix":""}],"container-title":"Biology of Reproduction","id":"ITEM-1","issue":"4","issued":{"date-parts":[["2014","10","1"]]},"page":"98","title":"The Human Endometrium as a Sensor of Embryo Quality1","type":"article-journal","volume":"91"},"uris":["http://www.mendeley.com/documents/?uuid=ac278b8b-ecc6-3b8e-b834-b1cd662c804d"]}],"mendeley":{"formattedCitation":"(Macklon &amp; Brosens, 2014)","plainTextFormattedCitation":"(Macklon &amp; Brosens, 2014)","previouslyFormattedCitation":"(Macklon &amp; Brosens, 2014)"},"properties":{"noteIndex":0},"schema":"https://github.com/citation-style-language/schema/raw/master/csl-citation.json"}</w:instrText>
      </w:r>
      <w:r w:rsidR="0034019A" w:rsidRPr="00606368">
        <w:fldChar w:fldCharType="separate"/>
      </w:r>
      <w:r w:rsidR="00DF0411" w:rsidRPr="00606368">
        <w:rPr>
          <w:noProof/>
        </w:rPr>
        <w:t>(Macklon &amp; Brosens, 2014)</w:t>
      </w:r>
      <w:r w:rsidR="0034019A" w:rsidRPr="00606368">
        <w:fldChar w:fldCharType="end"/>
      </w:r>
      <w:r w:rsidRPr="00606368">
        <w:t xml:space="preserve">. </w:t>
      </w:r>
      <w:r w:rsidR="004651C3" w:rsidRPr="00606368">
        <w:t>T</w:t>
      </w:r>
      <w:r w:rsidRPr="00606368">
        <w:t>he genetics and cell biology of endometrial receptivity remain poorly understood, limiting scope for clinical intervention in the 2% of women who suffer with une</w:t>
      </w:r>
      <w:r w:rsidR="000D04B6" w:rsidRPr="00606368">
        <w:t xml:space="preserve">xplained recurrent </w:t>
      </w:r>
      <w:r w:rsidR="00CC2404" w:rsidRPr="00606368">
        <w:t>pregnancy loss</w:t>
      </w:r>
      <w:r w:rsidR="000D04B6" w:rsidRPr="00606368">
        <w:t xml:space="preserve"> </w:t>
      </w:r>
      <w:r w:rsidR="000D04B6" w:rsidRPr="00606368">
        <w:fldChar w:fldCharType="begin" w:fldLock="1"/>
      </w:r>
      <w:r w:rsidR="00791434" w:rsidRPr="00606368">
        <w:instrText>ADDIN CSL_CITATION {"citationItems":[{"id":"ITEM-1","itemData":{"ISSN":"1941-2797","PMID":"19609401","abstract":"Spontaneous pregnancy loss is a surprisingly common occurrence, with approximately 15% of all clinically recognized pregnancies resulting in pregnancy failure. Recurrent pregnancy loss (RPL) has been inconsistently defined. When defined as 3 consecutive pregnancy losses prior to 20 weeks from the last menstrual period, it affects approximately 1% to 2% of women. This review highlights the current understanding of the various etiologies implicated in RPL, including factors known to be causative, as well as those implicated as possible causative agents. The appropriate diagnostic evaluation, therapy, and prognosis are also addressed.","author":[{"dropping-particle":"","family":"Ford","given":"Holly B","non-dropping-particle":"","parse-names":false,"suffix":""},{"dropping-particle":"","family":"Schust","given":"Danny J","non-dropping-particle":"","parse-names":false,"suffix":""}],"container-title":"Reviews in obstetrics &amp; gynecology","id":"ITEM-1","issue":"2","issued":{"date-parts":[["2009"]]},"page":"76-83","publisher":"MedReviews, LLC","title":"Recurrent pregnancy loss: etiology, diagnosis, and therapy.","type":"article-journal","volume":"2"},"uris":["http://www.mendeley.com/documents/?uuid=ee1e961f-1e39-381c-aae3-80bb784704f5"]}],"mendeley":{"formattedCitation":"(Ford &amp; Schust, 2009)","plainTextFormattedCitation":"(Ford &amp; Schust, 2009)","previouslyFormattedCitation":"(Ford &amp; Schust, 2009)"},"properties":{"noteIndex":0},"schema":"https://github.com/citation-style-language/schema/raw/master/csl-citation.json"}</w:instrText>
      </w:r>
      <w:r w:rsidR="000D04B6" w:rsidRPr="00606368">
        <w:fldChar w:fldCharType="separate"/>
      </w:r>
      <w:r w:rsidR="00DF0411" w:rsidRPr="00606368">
        <w:rPr>
          <w:noProof/>
        </w:rPr>
        <w:t>(Ford &amp; Schust, 2009)</w:t>
      </w:r>
      <w:r w:rsidR="000D04B6" w:rsidRPr="00606368">
        <w:fldChar w:fldCharType="end"/>
      </w:r>
      <w:r w:rsidR="000D04B6" w:rsidRPr="00606368">
        <w:t>.</w:t>
      </w:r>
    </w:p>
    <w:p w14:paraId="32CB8410" w14:textId="10A2B9AA" w:rsidR="008920D6" w:rsidRPr="00606368" w:rsidRDefault="007D29F2" w:rsidP="00833027">
      <w:pPr>
        <w:spacing w:after="240" w:line="480" w:lineRule="auto"/>
        <w:ind w:firstLine="720"/>
        <w:jc w:val="both"/>
      </w:pPr>
      <w:r w:rsidRPr="00606368">
        <w:t xml:space="preserve">Studies have attempted to establish molecular markers of endometrial receptivity, yet to date no consistent panel of genes has been identified. </w:t>
      </w:r>
      <w:r w:rsidR="00C632A2" w:rsidRPr="00606368">
        <w:t>M</w:t>
      </w:r>
      <w:r w:rsidRPr="00606368">
        <w:t>icroarray analysis has identified a potential gene expression profile; termed the endometrial receptivity array (ERA)</w:t>
      </w:r>
      <w:r w:rsidR="0034019A" w:rsidRPr="00606368">
        <w:t xml:space="preserve"> </w:t>
      </w:r>
      <w:r w:rsidRPr="00606368">
        <w:fldChar w:fldCharType="begin" w:fldLock="1"/>
      </w:r>
      <w:r w:rsidRPr="00606368">
        <w:instrText>ADDIN CSL_CITATION {"citationItems":[{"id":"ITEM-1","itemData":{"DOI":"10.1016/j.fertnstert.2010.04.063","ISSN":"00150282","PMID":"20619403","abstract":"OBJECTIVE To create a genomic tool composed of a customized microarray and a bioinformatic predictor for endometrial dating and to detect pathologies of endometrial origin. To define the transcriptomic signature of human endometrial receptivity. DESIGN Two cohorts of endometrial samples along the menstrual cycle were used: one to select the genes to be included in the customized microarray (endometrial receptivity array [ERA]), and the other to be analyzed by ERA to train the predictor for endometrial dating and to define the transcriptomic signature. A third cohort including pathological endometrial samples was used to train the predictor for pathological classification. SETTING Healthy oocyte donors and patients. PATIENT(S) Healthy fertile women (88) and women with implantation failure (5) or hydrosalpinx (2). INTERVENTION(S) Human endometrial biopsies. MAIN OUTCOME MEASURE(S) The gene expression of endometrial biopsies. RESULT(S) The ERA included 238 selected genes. The transcriptomic signature was defined by 134 genes. The predictor showed a specificity of 0.8857 and sensitivity of 0.99758 for endometrial dating, and a specificity of 0.1571 and a sensitivity of 0.995 for the pathological classification. CONCLUSION(S) This diagnostic tool can be used clinically in reproductive medicine and gynecology. The transcriptomic signature is a potential endometrial receptivity biomarkers cluster.","author":[{"dropping-particle":"","family":"Díaz-Gimeno","given":"Patricia","non-dropping-particle":"","parse-names":false,"suffix":""},{"dropping-particle":"","family":"Horcajadas","given":"José A.","non-dropping-particle":"","parse-names":false,"suffix":""},{"dropping-particle":"","family":"Martínez-Conejero","given":"José A.","non-dropping-particle":"","parse-names":false,"suffix":""},{"dropping-particle":"","family":"Esteban","given":"Francisco J.","non-dropping-particle":"","parse-names":false,"suffix":""},{"dropping-particle":"","family":"Alamá","given":"Pilar","non-dropping-particle":"","parse-names":false,"suffix":""},{"dropping-particle":"","family":"Pellicer","given":"Antonio","non-dropping-particle":"","parse-names":false,"suffix":""},{"dropping-particle":"","family":"Simón","given":"Carlos","non-dropping-particle":"","parse-names":false,"suffix":""}],"container-title":"Fertility and Sterility","id":"ITEM-1","issue":"1","issued":{"date-parts":[["2011","1"]]},"page":"50-60.e15","title":"A genomic diagnostic tool for human endometrial receptivity based on the transcriptomic signature","type":"article-journal","volume":"95"},"uris":["http://www.mendeley.com/documents/?uuid=c0f97b24-3874-390e-b586-201bfd4cd59a"]}],"mendeley":{"formattedCitation":"(Díaz-Gimeno et al., 2011)","plainTextFormattedCitation":"(Díaz-Gimeno et al., 2011)","previouslyFormattedCitation":"(Díaz-Gimeno et al., 2011)"},"properties":{"noteIndex":0},"schema":"https://github.com/citation-style-language/schema/raw/master/csl-citation.json"}</w:instrText>
      </w:r>
      <w:r w:rsidRPr="00606368">
        <w:fldChar w:fldCharType="separate"/>
      </w:r>
      <w:r w:rsidR="00DF0411" w:rsidRPr="00606368">
        <w:rPr>
          <w:noProof/>
        </w:rPr>
        <w:t>(Díaz-Gimeno et al., 2011)</w:t>
      </w:r>
      <w:r w:rsidRPr="00606368">
        <w:fldChar w:fldCharType="end"/>
      </w:r>
      <w:r w:rsidRPr="00606368">
        <w:t>. Analysis using this ERA does suggest a non-receptive endometrium underlies implantation failure</w:t>
      </w:r>
      <w:r w:rsidR="0034019A" w:rsidRPr="00606368">
        <w:t xml:space="preserve"> </w:t>
      </w:r>
      <w:r w:rsidRPr="00606368">
        <w:fldChar w:fldCharType="begin" w:fldLock="1"/>
      </w:r>
      <w:r w:rsidRPr="00606368">
        <w:instrText>ADDIN CSL_CITATION {"citationItems":[{"id":"ITEM-1","itemData":{"DOI":"10.1016/j.fertnstert.2013.05.004","ISSN":"00150282","PMID":"23756099","abstract":"OBJECTIVE To demonstrate the clinical value of the endometrial receptivity array (ERA) in patients with repeated implantation failure (RIF), for guiding their personalized embryo transfer (pET) as a novel therapeutic strategy. DESIGN Prospective interventional multicenter clinical trial. SETTING University-affiliated infertility and private clinics. PATIENT(S) Eighty-five RIF patients and 25 comparison patients. INTERVENTION(S) Endometrial sampling and pET guided by ERA. MAIN OUTCOME MEASURE(S) A receptive (R) or nonreceptive (NR) endometrial status according to ERA. Pregnancy (PR) and implantation (IR) rates after pET. RESULT(S) The ERA test gave an R result of 74.1% in RIF patients versus 88% in control subjects. Clinical follow-up was possible in 29 RIF patients, in whom pET was performed, resulting in 51.7% PR and 33.9% IR. The IRs and PRs in the 6 months after the biopsy showed that pregnancy was not related to the local injury. Twenty-two RIF patients (25.9%) were NR, and in 15 of them a second ERA validated a displacement of the window of implantation (WOI). In eight of them, pET was performed on the day designated by the ERA, resulting in 50.0% PR and 38.5% IR. These results should be considered as preliminary. CONCLUSION(S) There is an increased percentage of WOI displacement in RIF patients compared with comparison group patients, leading to the concept of pET as a therapeutic strategy. Rescue of NR patients by pET in a displaced WOI results in similar PR and IR.","author":[{"dropping-particle":"","family":"Ruiz-Alonso","given":"Maria","non-dropping-particle":"","parse-names":false,"suffix":""},{"dropping-particle":"","family":"Blesa","given":"David","non-dropping-particle":"","parse-names":false,"suffix":""},{"dropping-particle":"","family":"Díaz-Gimeno","given":"Patricia","non-dropping-particle":"","parse-names":false,"suffix":""},{"dropping-particle":"","family":"Gómez","given":"Eva","non-dropping-particle":"","parse-names":false,"suffix":""},{"dropping-particle":"","family":"Fernández-Sánchez","given":"Manuel","non-dropping-particle":"","parse-names":false,"suffix":""},{"dropping-particle":"","family":"Carranza","given":"Francisco","non-dropping-particle":"","parse-names":false,"suffix":""},{"dropping-particle":"","family":"Carrera","given":"Joan","non-dropping-particle":"","parse-names":false,"suffix":""},{"dropping-particle":"","family":"Vilella","given":"Felip","non-dropping-particle":"","parse-names":false,"suffix":""},{"dropping-particle":"","family":"Pellicer","given":"Antonio","non-dropping-particle":"","parse-names":false,"suffix":""},{"dropping-particle":"","family":"Simón","given":"Carlos","non-dropping-particle":"","parse-names":false,"suffix":""}],"container-title":"Fertility and Sterility","id":"ITEM-1","issue":"3","issued":{"date-parts":[["2013","9"]]},"page":"818-824","title":"The endometrial receptivity array for diagnosis and personalized embryo transfer as a treatment for patients with repeated implantation failure","type":"article-journal","volume":"100"},"uris":["http://www.mendeley.com/documents/?uuid=e68c0a40-b9c9-31f3-9655-52e852e5f9e7"]}],"mendeley":{"formattedCitation":"(Ruiz-Alonso et al., 2013)","plainTextFormattedCitation":"(Ruiz-Alonso et al., 2013)","previouslyFormattedCitation":"(Ruiz-Alonso et al., 2013)"},"properties":{"noteIndex":0},"schema":"https://github.com/citation-style-language/schema/raw/master/csl-citation.json"}</w:instrText>
      </w:r>
      <w:r w:rsidRPr="00606368">
        <w:fldChar w:fldCharType="separate"/>
      </w:r>
      <w:r w:rsidR="00DF0411" w:rsidRPr="00606368">
        <w:rPr>
          <w:noProof/>
        </w:rPr>
        <w:t>(Ruiz-Alonso et al., 2013)</w:t>
      </w:r>
      <w:r w:rsidRPr="00606368">
        <w:fldChar w:fldCharType="end"/>
      </w:r>
      <w:r w:rsidRPr="00606368">
        <w:t>. A qPCR based panel of selected genes to predict endometrial receptivity has also been developed</w:t>
      </w:r>
      <w:r w:rsidR="0034019A" w:rsidRPr="00606368">
        <w:t xml:space="preserve"> </w:t>
      </w:r>
      <w:r w:rsidRPr="00606368">
        <w:fldChar w:fldCharType="begin" w:fldLock="1"/>
      </w:r>
      <w:r w:rsidRPr="00606368">
        <w:instrText>ADDIN CSL_CITATION {"citationItems":[{"id":"ITEM-1","itemData":{"DOI":"10.1093/humrep/dex370","ISSN":"0268-1161","PMID":"29315421","abstract":"STUDY QUESTION Is it possible to determine the receptivity status of an endometrium by combined quantitative reverse transcription PCR (RT-qPCR) expression analysis of genes involved in endometrial proliferation and immunity? SUMMARY ANSWER The new ER Map®/ER Grade® test can predict endometrial receptivity status by RT-qPCR using a new panel of genes involved in endometrial proliferation and the maternal immune response associated to embryonic implantation. WHAT IS KNOWN ALREADY The human endometrium reaches a receptive status adequate for embryonic implantation around Days 19-21 of the menstrual cycle. During this period, known as the window of implantation (WOI), the endometrium shows a specific gene expression profile suitable for endometrial function evaluation. The number of molecular diagnostic tools currently available to characterize this process is very limited. In this study, a new system for human endometrial receptivity evaluation was optimized and presented for the first time. STUDY DESIGN, SIZE, DURATION ER Map®/ER Grade® validation was achieved on 312 endometrial samples including fertile women and patients undergoing fertility treatment between July 2014 and March 2016. Expression analyses of 184 genes involved in endometrial receptivity and immune response were performed. Samples were additionally tested with an independent endometrial receptivity test. PARTICIPANTS/MATERIALS, SETTING, METHODS A total of 96 fertile women and 120 assisted reproduction treatment (ART) patients participated in the study. Endometrial biopsy samples were obtained at LH + 2 and LH + 7 days in fertile subjects in a natural cycle and at the window of implantation (WOI) in patients in a hormone-replacement therapy (HRT) cycle. Total RNA was purified, quality-checked and reverse-transcribed. Gene expression was quantified by high-throughput RT-qPCR and statistically analyzed. Informative genes were selected and used to classify samples into four different groups of endometrial receptivity status. MAIN RESULTS AND THE ROLE OF CHANCE Significantly different gene expression levels were found in 85 out of 184 selected genes when comparing LH + 2 and LH + 7 samples (paired t-test, P &lt; 0.05). Gene ontology analyses revealed that cell division and proliferation, cell signaling and response, extracellular organization and communication, immunological activity, vascular proliferation, blood pressure regulation and embryo implantation are the most over-represented biologic…","author":[{"dropping-particle":"","family":"Enciso","given":"M","non-dropping-particle":"","parse-names":false,"suffix":""},{"dropping-particle":"","family":"Carrascosa","given":"J P","non-dropping-particle":"","parse-names":false,"suffix":""},{"dropping-particle":"","family":"Sarasa","given":"J","non-dropping-particle":"","parse-names":false,"suffix":""},{"dropping-particle":"","family":"Martínez-Ortiz","given":"P A","non-dropping-particle":"","parse-names":false,"suffix":""},{"dropping-particle":"","family":"Munné","given":"S","non-dropping-particle":"","parse-names":false,"suffix":""},{"dropping-particle":"","family":"Horcajadas","given":"J A","non-dropping-particle":"","parse-names":false,"suffix":""},{"dropping-particle":"","family":"Aizpurua","given":"J","non-dropping-particle":"","parse-names":false,"suffix":""}],"container-title":"Human Reproduction","id":"ITEM-1","issue":"2","issued":{"date-parts":[["2018","2","1"]]},"page":"220-228","title":"Development of a new comprehensive and reliable endometrial receptivity map (ER Map/ER Grade) based on RT-qPCR gene expression analysis","type":"article-journal","volume":"33"},"uris":["http://www.mendeley.com/documents/?uuid=22db0cde-b26c-35aa-91ae-3f3a254df202"]}],"mendeley":{"formattedCitation":"(Enciso et al., 2018)","plainTextFormattedCitation":"(Enciso et al., 2018)","previouslyFormattedCitation":"(Enciso et al., 2018)"},"properties":{"noteIndex":0},"schema":"https://github.com/citation-style-language/schema/raw/master/csl-citation.json"}</w:instrText>
      </w:r>
      <w:r w:rsidRPr="00606368">
        <w:fldChar w:fldCharType="separate"/>
      </w:r>
      <w:r w:rsidR="00DF0411" w:rsidRPr="00606368">
        <w:rPr>
          <w:noProof/>
        </w:rPr>
        <w:t>(Enciso et al., 2018)</w:t>
      </w:r>
      <w:r w:rsidRPr="00606368">
        <w:fldChar w:fldCharType="end"/>
      </w:r>
      <w:r w:rsidRPr="00606368">
        <w:t>, but again this is not whole genome based. Unfortunately, despite a large amount of data supporting endometrial biomarkers established by omics, there is still little evidence to link omics data to pregnancy outcome</w:t>
      </w:r>
      <w:r w:rsidR="000D04B6" w:rsidRPr="00606368">
        <w:t xml:space="preserve"> </w:t>
      </w:r>
      <w:r w:rsidRPr="00606368">
        <w:fldChar w:fldCharType="begin" w:fldLock="1"/>
      </w:r>
      <w:r w:rsidRPr="00606368">
        <w:instrText>ADDIN CSL_CITATION {"citationItems":[{"id":"ITEM-1","itemData":{"DOI":"10.1093/HUMUPD/DMZ042","ISSN":"1355-4786","abstract":"Background: Successful embryo implantation is a complex process that requires the coordination of a series of events, involving both the embryo and the maternal endometrium. Key to this process is the intricate cascade of molecular mechanisms regulated by endocrine, paracrine and autocrine modulators of embryonic and maternal origin. Despite significant progress in ART, implantation failure still affects numerous infertile couples worldwide and fewer than 10% of embryos successfully implant. Improved selection of both the viable embryos and the optimal endometrial phenotype for transfer remains crucial to enhancing implantation chances. However, both classical morphological embryo selection and new strategies incorporated into clinical practice, such as embryonic genetic analysis, morphokinetics or ultrasound endometrial dating, remain insufficient to predict successful implantation. Additionally, no techniques are widely applied to analyse molecular signals involved in the embryo-uterine interaction. More reliable biological markers to predict embryo and uterine reproductive competence are needed to improve pregnancy outcomes. Recent years have seen a trend towards 'omics' methods, which enable the assessment of complete endometrial and embryonic molecular profiles during implantation. Omics have advanced our knowledge of the implantation process, identifying potential but rarely implemented biomarkers of successful implantation. Objective and Rationale: Differences between the findings of published omics studies, and perhaps because embryonic and endometrial molecular signatures were often not investigated jointly, have prevented firm conclusions being reached. A timely review summarizing omics studies on the molecular determinants of human implantation in both the embryo and the endometrium will help facilitate integrative and reliable omics approaches to enhance ART outcomes. Search Methods: In order to provide a comprehensive review of the literature published up to September 2019, Medline databases were searched using keywords pertaining to omics, including 'transcriptome', 'proteome', 'secretome', 'metabolome' and 'expression profiles', combined with terms related to implantation, such as 'endometrial receptivity', 'embryo viability' and 'embryo implantation'. No language restrictions were imposed. References from articles were also used for additional literature. Outcomes: Here we provide a complete summary of the major achievements in human imp…","author":[{"dropping-particle":"","family":"Hernández-Vargas","given":"Purificación","non-dropping-particle":"","parse-names":false,"suffix":""},{"dropping-particle":"","family":"Muñoz","given":"Manuel","non-dropping-particle":"","parse-names":false,"suffix":""},{"dropping-particle":"","family":"Domínguez","given":"Francisco","non-dropping-particle":"","parse-names":false,"suffix":""}],"container-title":"Human Reproduction Update","id":"ITEM-1","issue":"2","issued":{"date-parts":[["2020","2","28"]]},"page":"264-301","publisher":"Oxford Academic","title":"Identifying biomarkers for predicting successful embryo implantation: applying single to multi-OMICs to improve reproductive outcomes","type":"article-journal","volume":"26"},"uris":["http://www.mendeley.com/documents/?uuid=51e09977-c772-3fbb-97ea-aa54e71eeb77"]}],"mendeley":{"formattedCitation":"(Hernández-Vargas, Muñoz, &amp; Domínguez, 2020)","manualFormatting":"(Hernández-Vargas et al., 2020)","plainTextFormattedCitation":"(Hernández-Vargas, Muñoz, &amp; Domínguez, 2020)","previouslyFormattedCitation":"(Hernández-Vargas, Muñoz, &amp; Domínguez, 2020)"},"properties":{"noteIndex":0},"schema":"https://github.com/citation-style-language/schema/raw/master/csl-citation.json"}</w:instrText>
      </w:r>
      <w:r w:rsidRPr="00606368">
        <w:fldChar w:fldCharType="separate"/>
      </w:r>
      <w:r w:rsidR="000D04B6" w:rsidRPr="00606368">
        <w:rPr>
          <w:noProof/>
        </w:rPr>
        <w:t>(Hernández-Vargas et al., 2020)</w:t>
      </w:r>
      <w:r w:rsidRPr="00606368">
        <w:fldChar w:fldCharType="end"/>
      </w:r>
      <w:r w:rsidR="000D04B6" w:rsidRPr="00606368">
        <w:t>.</w:t>
      </w:r>
    </w:p>
    <w:p w14:paraId="4EFBB315" w14:textId="4ED150EE" w:rsidR="008920D6" w:rsidRPr="00606368" w:rsidRDefault="007D29F2" w:rsidP="005311F3">
      <w:pPr>
        <w:spacing w:after="240" w:line="480" w:lineRule="auto"/>
        <w:ind w:firstLine="720"/>
        <w:jc w:val="both"/>
      </w:pPr>
      <w:r w:rsidRPr="00606368">
        <w:lastRenderedPageBreak/>
        <w:t>Attempts to isolate causes of reproductive failure have been challenged by the cellular heterogeneity of endometrial biopsies</w:t>
      </w:r>
      <w:r w:rsidR="000D04B6" w:rsidRPr="00606368">
        <w:t xml:space="preserve"> </w:t>
      </w:r>
      <w:r w:rsidR="000D04B6" w:rsidRPr="00606368">
        <w:fldChar w:fldCharType="begin" w:fldLock="1"/>
      </w:r>
      <w:r w:rsidR="00791434" w:rsidRPr="00606368">
        <w:instrText>ADDIN CSL_CITATION {"citationItems":[{"id":"ITEM-1","itemData":{"DOI":"10.1210/jc.2014-2155","ISBN":"1945-7197 (Electronic)\\n0021-972X (Linking)","ISSN":"19457197","PMID":"25243572","abstract":"Context: Identifying novel molecular markers for assessing endometrial receptivity is necessary for understanding human implantation and may help in improving the clinical outcome of in vitro fertilization. Objective: We aimed to compare the gene expression profiles of the pre-receptive vs receptive phases of the natural cycle in human endometrial biopsies. Design: The design of this study was detecting the global gene expression profile of human en-dometrial receptivity by RNA-Seq. Setting: This study was conducted at a university reproductive center. Participants: Twelve women with normal menstrual cycles participated in the study. Intervention: Study interventions included endometrial biopsies. Main Outcome Measures: The endometrial transcriptomes were determined by RNA-Seq, and the expression of selected differentially expressed genes (DEGs) was validated by quantitative RT-PCR. Results: A total of 2372 DEGs were identified by RNA-Seq. Of these genes, 1099 were up-regulated at LHϩ7 versus LHϩ2, whereas 1273 were down-regulated. Nineteen selected genes were con-firmed by quantitative RT-PCR. We first demonstrated that metallothionein (MT) family members, MT1E, F, G, H, M, X, and 2A, and four novel transcripts, HAP1, ZCCHC12, MRAP2, and OVGP1, which were not previously linked to endometrial physiology, showed significant expression changes during implantation. Mineral absorption was the most enriched pathway for up-regulated genes, and cell cycle was enriched for down-regulated genes. Gene co-expression network analysis iden-tified five core regulatory factors (GLI2, CDC25A, TLR9, MT1G, and SLC5A1) that are involved in endometrial receptivity during implantation. Examination of the promoter regions of the DEGs identified AP2 and SP1 binding sites, suggesting a potential regulatory role in endometrial gene expression for these two transcription factors. Conclusions: This study provides the first RNA-Seq-based transcriptome comparison of pre-receptive and receptive human endometria. Many novel candidate genes, which have not been previously stud-ied in human endometrium, may have functional significance during implantation and serve as mo-lecular markers for endometrial receptivity. (J Clin Endocrinol Metab 99: E2744 –E2753, 2014)","author":[{"dropping-particle":"","family":"Hu","given":"Shuanggang","non-dropping-particle":"","parse-names":false,"suffix":""},{"dropping-particle":"","family":"Yao","given":"Guangxin","non-dropping-particle":"","parse-names":false,"suffix":""},{"dropping-particle":"","family":"Wang","given":"Yang","non-dropping-particle":"","parse-names":false,"suffix":""},{"dropping-particle":"","family":"Xu","given":"Haijing","non-dropping-particle":"","parse-names":false,"suffix":""},{"dropping-particle":"","family":"Ji","given":"Xiaowei","non-dropping-particle":"","parse-names":false,"suffix":""},{"dropping-particle":"","family":"He","given":"Yaqiong","non-dropping-particle":"","parse-names":false,"suffix":""},{"dropping-particle":"","family":"Zhu","given":"Qinling","non-dropping-particle":"","parse-names":false,"suffix":""},{"dropping-particle":"","family":"Chen","given":"Zijiang","non-dropping-particle":"","parse-names":false,"suffix":""},{"dropping-particle":"","family":"Sun","given":"Yun","non-dropping-particle":"","parse-names":false,"suffix":""}],"container-title":"Journal of Clinical Endocrinology and Metabolism","id":"ITEM-1","issue":"12","issued":{"date-parts":[["2014"]]},"page":"E2744-E2753","title":"Transcriptomic changes during the pre-receptive to receptive transition in human endometrium detected by RNA-Seq","type":"article-journal","volume":"99"},"uris":["http://www.mendeley.com/documents/?uuid=7cab84a5-cef0-4460-b3b2-97fccda2076a"]},{"id":"ITEM-2","itemData":{"DOI":"10.1093/HUMREP/DEY301","ISSN":"0268-1161","abstract":"STUDY QUESTION: Does cellular composition of the endometrial biopsy affect the gene expression profile of endometrial whole-tissue samples? SUMMARY ANSWER: The differences in epithelial and stromal cell proportions in endometrial biopsies modify the whole-tissue gene expression profiles and affect the results of differential expression analyses. WHAT IS ALREADY KNOWN: Each cell type has its unique gene expression profile. The proportions of epithelial and stromal cells vary in endometrial tissue during the menstrual cycle, along with individual and technical variation due to the method and tools used to obtain the tissue biopsy. STUDY DESIGN, SIZE, DURATION: Using cell-population specific transcriptome data and computational deconvolution approach, we estimated the epithelial and stromal cell proportions in whole-tissue biopsies taken during early secretory and mid-secretory phases. The estimated cellular proportions were used as covariates in whole-tissue differential gene expression analysis. Endometrial transcriptomes before and after deconvolution were compared and analysed in biological context. PARTICIPANTS/MATERIAL, SETTING, METHODS: Paired early- and mid-secretory endometrial biopsies were obtained from 35 healthy, regularly cycling, fertile volunteers, aged 23-36 years, and analysed by RNA sequencing. Differential gene expression analysis was performed using two approaches. In one of them, computational deconvolution was applied as an intermediate step to adjust for the proportions of epithelial and stromal cells in the endometrial biopsy. The results were then compared to conventional differential expression analysis. Ten paired endometrial samples were analysed with qPCR to validate the results. MAIN RESULTS AND THE ROLE OF CHANCE: The estimated average proportions of stromal and epithelial cells in early secretory phase were 65% and 35%, and during mid-secretory phase, 46% and 54%, respectively, correlating well with the results of histological evaluation (r = 0.88, P = 1.1 × 10−6). Endometrial tissue transcriptomic analysis showed that approximately 26% of transcripts (n = 946) differentially expressed in receptive endometrium in cell-type unadjusted analysis also remain differentially expressed after adjustment for biopsy cellular composition. However, the other 74% (n = 2645) become statistically non-significant after adjustment for biopsy cellular composition underlining the impact of tissue heterogeneity on differential expression analy…","author":[{"dropping-particle":"","family":"Suhorutshenko","given":"Marina","non-dropping-particle":"","parse-names":false,"suffix":""},{"dropping-particle":"","family":"Kukushkina","given":"Viktorija","non-dropping-particle":"","parse-names":false,"suffix":""},{"dropping-particle":"","family":"Velthut-Meikas","given":"Agne","non-dropping-particle":"","parse-names":false,"suffix":""},{"dropping-particle":"","family":"Altmäe","given":"Signe","non-dropping-particle":"","parse-names":false,"suffix":""},{"dropping-particle":"","family":"Peters","given":"Maire","non-dropping-particle":"","parse-names":false,"suffix":""},{"dropping-particle":"","family":"Mägi","given":"Reedik","non-dropping-particle":"","parse-names":false,"suffix":""},{"dropping-particle":"","family":"Krjutškov","given":"Kaarel","non-dropping-particle":"","parse-names":false,"suffix":""},{"dropping-particle":"","family":"Koel","given":"Mariann","non-dropping-particle":"","parse-names":false,"suffix":""},{"dropping-particle":"","family":"Codoñer","given":"Francisco M","non-dropping-particle":"","parse-names":false,"suffix":""},{"dropping-particle":"","family":"Martinez-Blanch","given":"Juan Fco","non-dropping-particle":"","parse-names":false,"suffix":""},{"dropping-particle":"","family":"Vilella","given":"Felipe","non-dropping-particle":"","parse-names":false,"suffix":""},{"dropping-particle":"","family":"Simón","given":"Carlos","non-dropping-particle":"","parse-names":false,"suffix":""},{"dropping-particle":"","family":"Salumets","given":"Andres","non-dropping-particle":"","parse-names":false,"suffix":""},{"dropping-particle":"","family":"Laisk","given":"Triin","non-dropping-particle":"","parse-names":false,"suffix":""}],"container-title":"Human Reproduction","id":"ITEM-2","issue":"11","issued":{"date-parts":[["2018","11","1"]]},"page":"2074-2086","publisher":"Oxford Academic","title":"Endometrial receptivity revisited: endometrial transcriptome adjusted for tissue cellular heterogeneity","type":"article-journal","volume":"33"},"uris":["http://www.mendeley.com/documents/?uuid=51d43707-84eb-3864-8eb9-40115d2e00bc"]}],"mendeley":{"formattedCitation":"(Hu et al., 2014; Suhorutshenko et al., 2018)","plainTextFormattedCitation":"(Hu et al., 2014; Suhorutshenko et al., 2018)","previouslyFormattedCitation":"(Hu et al., 2014; Suhorutshenko et al., 2018)"},"properties":{"noteIndex":0},"schema":"https://github.com/citation-style-language/schema/raw/master/csl-citation.json"}</w:instrText>
      </w:r>
      <w:r w:rsidR="000D04B6" w:rsidRPr="00606368">
        <w:fldChar w:fldCharType="separate"/>
      </w:r>
      <w:r w:rsidR="00DF0411" w:rsidRPr="00606368">
        <w:rPr>
          <w:noProof/>
        </w:rPr>
        <w:t>(Hu et al., 2014; Suhorutshenko et al., 2018)</w:t>
      </w:r>
      <w:r w:rsidR="000D04B6" w:rsidRPr="00606368">
        <w:fldChar w:fldCharType="end"/>
      </w:r>
      <w:r w:rsidRPr="00606368">
        <w:t xml:space="preserve">. To date, </w:t>
      </w:r>
      <w:r w:rsidR="00D54996" w:rsidRPr="00606368">
        <w:t>few</w:t>
      </w:r>
      <w:r w:rsidRPr="00606368">
        <w:t xml:space="preserve"> studies account for the contribution of different cell types</w:t>
      </w:r>
      <w:r w:rsidR="006363B9" w:rsidRPr="00606368">
        <w:t xml:space="preserve"> which is important for</w:t>
      </w:r>
      <w:r w:rsidRPr="00606368">
        <w:t xml:space="preserve"> the overall gene expression profile of </w:t>
      </w:r>
      <w:r w:rsidR="00D54996" w:rsidRPr="00606368">
        <w:t xml:space="preserve">the </w:t>
      </w:r>
      <w:r w:rsidRPr="00606368">
        <w:t>endometrium</w:t>
      </w:r>
      <w:r w:rsidR="002472AB" w:rsidRPr="00606368">
        <w:t xml:space="preserve"> (Garcia</w:t>
      </w:r>
      <w:r w:rsidR="0041789F" w:rsidRPr="00606368">
        <w:t xml:space="preserve">-Alonso et al., </w:t>
      </w:r>
      <w:r w:rsidR="002472AB" w:rsidRPr="00606368">
        <w:t>2021)</w:t>
      </w:r>
      <w:r w:rsidRPr="00606368">
        <w:t xml:space="preserve">. To address this, </w:t>
      </w:r>
      <w:r w:rsidR="006363B9" w:rsidRPr="00606368">
        <w:t xml:space="preserve">further </w:t>
      </w:r>
      <w:r w:rsidRPr="00606368">
        <w:t>studies need to be carried out on specific populations of cells within the</w:t>
      </w:r>
      <w:r w:rsidR="006363B9" w:rsidRPr="00606368">
        <w:t xml:space="preserve"> receptive</w:t>
      </w:r>
      <w:r w:rsidRPr="00606368">
        <w:t xml:space="preserve"> endometrium in order to understand patterns of gene expression in different cells and tissues. Furthermore, to enable early diagnosis in patient care, more work is required to establish a transcriptomic profile of the endometrium from women with a lower order of miscarriages, less distinct than a high order of miscarriages</w:t>
      </w:r>
      <w:r w:rsidR="000D04B6" w:rsidRPr="00606368">
        <w:t xml:space="preserve"> </w:t>
      </w:r>
      <w:r w:rsidR="000D04B6" w:rsidRPr="00606368">
        <w:fldChar w:fldCharType="begin" w:fldLock="1"/>
      </w:r>
      <w:r w:rsidR="00791434" w:rsidRPr="00606368">
        <w:instrText>ADDIN CSL_CITATION {"citationItems":[{"id":"ITEM-1","itemData":{"DOI":"10.1016/J.EJOGRB.2021.04.041","ISSN":"0301-2115","abstract":"Objective: To characterise the endometrial transcriptomic profiles of women who suffered recurrent miscarriage and to set the foundation for the development of an endometrial receptivity test that could predict the fate of subsequent pregnancies. Study design: This was a prospective multicentre cohort study performed at the Tommy's National Centre for Miscarriage Research in Birmingham, Saint Mary's Hospital in Manchester and Royal Devon &amp; Exeter Hospital, United Kingdom. The study was conducted between December 2017 and December 2019. Endometrial biopsies were obtained during the window of implantation from 24 women aged 18–35 years, who were not pregnant and regularly menstruating, diagnosed with unexplained recurrent miscarriage by standard investigations as per the ESHRE guidelines. Exclusion criteria included risk factors such as smoking, obesity or hyperprolactinemia. The RNA transcripts abundances were quantified using Kallisto. R packages tximport and DESeq2 were used to summarize count estimates at the gene level and to analyse the differential gene expression. Results: Women who suffered four or more miscarriages had 19 differently expressed genes after adjustment for multiple comparisons. They were related to biological processes such as immunity (HLA-DMA, CCR8, ALOX5), energy production (ATP12A), hormone secretion (CGA), adhesion (CHAD, ADGRF2, AQP5, TBCD, CTNND1, NKD2) and cell proliferation (NCCRP1). Based on 421 differently expressed genes, women who achieved a subsequent live birth displayed an enrichment of processes related to the regulation of cell structure and proliferation, and a depletion of processes related to immunity, trans-membrane transport and coagulation. Conclusions: Women in the extreme miscarriage cohort had a distinctive endometrial transcriptomic signature compared to women with low order miscarriages. There was a partial overlap with the transcriptome of asynchronous endometrium suggesting the endometrial factor to be a different entity in the context of recurrent miscarriage. Women who achieved a live birth in their subsequent pregnancy displayed an enrichment of genes related to the regulation of cell structure and proliferation, while women who suffered a subsequent miscarriage displayed an enrichment of genes related to immunity, trans-membrane transport and coagulation.","author":[{"dropping-particle":"","family":"Craciunas","given":"Laurentiu","non-dropping-particle":"","parse-names":false,"suffix":""},{"dropping-particle":"","family":"Pickering","given":"Oonagh","non-dropping-particle":"","parse-names":false,"suffix":""},{"dropping-particle":"","family":"Chu","given":"Justin","non-dropping-particle":"","parse-names":false,"suffix":""},{"dropping-particle":"","family":"Choudhary","given":"Meenakshi","non-dropping-particle":"","parse-names":false,"suffix":""},{"dropping-particle":"","family":"Žurauskienė","given":"Justina","non-dropping-particle":"","parse-names":false,"suffix":""},{"dropping-particle":"","family":"Coomarasamy","given":"Arri","non-dropping-particle":"","parse-names":false,"suffix":""}],"container-title":"European Journal of Obstetrics &amp; Gynecology and Reproductive Biology","id":"ITEM-1","issued":{"date-parts":[["2021","6","1"]]},"page":"211-216","publisher":"Elsevier","title":"The transcriptomic profile of endometrial receptivity in recurrent miscarriage","type":"article-journal","volume":"261"},"uris":["http://www.mendeley.com/documents/?uuid=f8683be8-f3b3-3cf3-b281-a54fcfcd729f"]}],"mendeley":{"formattedCitation":"(Craciunas et al., 2021)","plainTextFormattedCitation":"(Craciunas et al., 2021)","previouslyFormattedCitation":"(Craciunas et al., 2021)"},"properties":{"noteIndex":0},"schema":"https://github.com/citation-style-language/schema/raw/master/csl-citation.json"}</w:instrText>
      </w:r>
      <w:r w:rsidR="000D04B6" w:rsidRPr="00606368">
        <w:fldChar w:fldCharType="separate"/>
      </w:r>
      <w:r w:rsidR="00DF0411" w:rsidRPr="00606368">
        <w:rPr>
          <w:noProof/>
        </w:rPr>
        <w:t>(Craciunas et al., 2021)</w:t>
      </w:r>
      <w:r w:rsidR="000D04B6" w:rsidRPr="00606368">
        <w:fldChar w:fldCharType="end"/>
      </w:r>
      <w:r w:rsidRPr="00606368">
        <w:t xml:space="preserve">. </w:t>
      </w:r>
    </w:p>
    <w:p w14:paraId="0F7F8062" w14:textId="27D934D7" w:rsidR="008A2B15" w:rsidRPr="00606368" w:rsidRDefault="007D29F2" w:rsidP="00833027">
      <w:pPr>
        <w:spacing w:line="480" w:lineRule="auto"/>
        <w:ind w:firstLine="720"/>
        <w:jc w:val="both"/>
      </w:pPr>
      <w:r w:rsidRPr="00606368">
        <w:t>Endom</w:t>
      </w:r>
      <w:r w:rsidR="00E01940" w:rsidRPr="00606368">
        <w:t xml:space="preserve">etrial glands play an essential </w:t>
      </w:r>
      <w:r w:rsidRPr="00606368">
        <w:t xml:space="preserve">role in supporting the uterine environment for successful embryo implantation, conceptus development and placentation. Reproductive failure is associated with endometrial gland loss in mouse and sheep gene knock-out models </w:t>
      </w:r>
      <w:r w:rsidR="000D04B6" w:rsidRPr="00606368">
        <w:fldChar w:fldCharType="begin" w:fldLock="1"/>
      </w:r>
      <w:r w:rsidR="00791434" w:rsidRPr="00606368">
        <w:instrText>ADDIN CSL_CITATION {"citationItems":[{"id":"ITEM-1","itemData":{"DOI":"10.1095/biolreprod.113.107631","ISSN":"0006-3363","PMID":"23407384","abstract":"Uterine glands and their secretions are hypothesized to be essential for blastocyst implantation and decidualization in the uterus of rodents and humans. One factor solely expressed by uterine glands in mice is leukemia inhibitory factor (LIF), and Lif null mice are infertile because of defective blastocyst attachment to the uterine luminal epithelium (LE). Progesterone treatment of neonatal mice permanently ablates differentiation of uterine glands, resulting in an aglandular uterus in the adult. Progesterone-induced uterine gland knockout (PUGKO) mice were used to investigate the biological role of uterine glands in blastocyst implantation and stromal cell decidualization. As compared to controls, PUGKO mice cycled normally but were infertile. Histological assessment of PUGKO uteri on Days 5.5 and 8.5 postmating found a hatched blastocyst apposed to an intact LE without evidence of implantation or stromal cell decidualization. Expression of several implantation-related factors, including Lif and PTGS2, were altered in the PUGKO uterus, whereas expression of steroid hormone receptors and their regulated genes was not different. Artificial decidualization was observed in the uteri of control but not PUGKO mice. Further, intrauterine administration of LIF failed to promote artificial decidualization in the uterus of PUGKO mice. Thus, uterine glands and their secretions have important biological roles in blastocyst implantation and stromal cell decidualization in the uterus.","author":[{"dropping-particle":"","family":"Filant","given":"Justyna","non-dropping-particle":"","parse-names":false,"suffix":""},{"dropping-particle":"","family":"Spencer","given":"Thomas E.","non-dropping-particle":"","parse-names":false,"suffix":""}],"container-title":"Biology of Reproduction","id":"ITEM-1","issue":"4","issued":{"date-parts":[["2013","4","1"]]},"page":"93","title":"Endometrial Glands Are Essential for Blastocyst Implantation and Decidualization in the Mouse Uterus","type":"article-journal","volume":"88"},"uris":["http://www.mendeley.com/documents/?uuid=a501a8da-77b9-305a-ae5e-7cf67f18ac2a"]},{"id":"ITEM-2","itemData":{"ISSN":"1470-1626","PMID":"12141942","abstract":"Endometrial glands are necessary for conceptus implantation and growth. In the ovine uterine gland knockout (UGKO) model, blastocysts hatch normally but fail to survive or elongate. This peri-implantation defect in UGKO ewes may be due to the absence of endometrial glands or, alternatively, to the lack of certain epithelial adhesion molecules or the inability of the endometrium to respond to signals from the conceptus. Two studies were performed to examine these hypotheses. In study one, normal (n = 8) and UGKO (n = 12) ewes were mated at oestrus (day 0) with intact rams and their uteri were flushed 14 days after oestrus. Normal ewes (n = 4) were also flushed on 14 days after oestrus. Uterine flushes from bred normal ewes contained filamentous conceptuses (n = 7 of 8), whereas those from UGKO ewes contained no conceptus (n = 5 of 12), a growth-retarded, tubular conceptus (n = 6 of 12), or a fragmented, filamentous conceptus (n = 1 of 12). In all groups, expression of mucin 1 and integrin alpha(v), alpha(5), beta(3) and beta(5) was localized at the apical surface of the endometrial luminal epithelium with no detectable differences between normal and UGKO ewes. Uterine flushes from pregnant ewes, but not cyclic or UGKO ewes, contained abundant immunoreactive interferon tau and the cell adhesion proteins, osteopontin and glycosylation-dependent cell adhesion molecule one. In study two, UGKO ewes were fitted with uterine catheters 5 days after oestrus, infused with recombinant ovine interferon tau or control proteins from 11 to 15 days after oestrus, and underwent hysterectomy 16 days after oestrus. Expression of several interferon tau-stimulated genes (ISG17, STAT1, STAT2 and IRF-1) was increased in the endometrium from interferon tau-infused UGKO ewes. These results support the hypothesis that the defects in conceptus elongation and survival in UGKO ewes are due to the absence of endometrial glands and their secretions rather than to alterations in expression of anti-adhesive or adhesive molecules on the endometrial luminal epithelium or to the responsiveness of the endometrium to the conceptus pregnancy recognition signal.","author":[{"dropping-particle":"","family":"Gray","given":"C A","non-dropping-particle":"","parse-names":false,"suffix":""},{"dropping-particle":"","family":"Burghardt","given":"R C","non-dropping-particle":"","parse-names":false,"suffix":""},{"dropping-particle":"","family":"Johnson","given":"G A","non-dropping-particle":"","parse-names":false,"suffix":""},{"dropping-particle":"","family":"Bazer","given":"F W","non-dropping-particle":"","parse-names":false,"suffix":""},{"dropping-particle":"","family":"Spencer","given":"T E","non-dropping-particle":"","parse-names":false,"suffix":""}],"container-title":"Reproduction (Cambridge, England)","id":"ITEM-2","issue":"2","issued":{"date-parts":[["2002","8"]]},"page":"289-300","title":"Evidence that absence of endometrial gland secretions in uterine gland knockout ewes compromises conceptus survival and elongation.","type":"article-journal","volume":"124"},"uris":["http://www.mendeley.com/documents/?uuid=1ed1569c-f0c3-3e98-a545-e1cb6f288f7a"]}],"mendeley":{"formattedCitation":"(Filant &amp; Spencer, 2013; Gray, Burghardt, Johnson, Bazer, &amp; Spencer, 2002)","manualFormatting":"(Filant &amp; Spencer, 2013; Gray et al., 2002)","plainTextFormattedCitation":"(Filant &amp; Spencer, 2013; Gray, Burghardt, Johnson, Bazer, &amp; Spencer, 2002)","previouslyFormattedCitation":"(Filant &amp; Spencer, 2013; Gray, Burghardt, Johnson, Bazer, &amp; Spencer, 2002)"},"properties":{"noteIndex":0},"schema":"https://github.com/citation-style-language/schema/raw/master/csl-citation.json"}</w:instrText>
      </w:r>
      <w:r w:rsidR="000D04B6" w:rsidRPr="00606368">
        <w:fldChar w:fldCharType="separate"/>
      </w:r>
      <w:r w:rsidR="000D04B6" w:rsidRPr="00606368">
        <w:rPr>
          <w:noProof/>
        </w:rPr>
        <w:t>(Filant &amp; Spencer, 2013; Gray et al., 2002)</w:t>
      </w:r>
      <w:r w:rsidR="000D04B6" w:rsidRPr="00606368">
        <w:fldChar w:fldCharType="end"/>
      </w:r>
      <w:r w:rsidRPr="00606368">
        <w:t>, reinforcing the importance of these glandular cell types and their secretions in successful pregnancy. Endometrial gland specific transcriptomic differences are reported in cases of endometriosis</w:t>
      </w:r>
      <w:r w:rsidR="000D04B6" w:rsidRPr="00606368">
        <w:t xml:space="preserve"> </w:t>
      </w:r>
      <w:r w:rsidR="000D04B6" w:rsidRPr="00606368">
        <w:fldChar w:fldCharType="begin" w:fldLock="1"/>
      </w:r>
      <w:r w:rsidR="00791434" w:rsidRPr="00606368">
        <w:instrText>ADDIN CSL_CITATION {"citationItems":[{"id":"ITEM-1","itemData":{"DOI":"10.1016/j.celrep.2018.07.037","ISSN":"22111247","PMID":"30110635","abstract":"Endometriosis is characterized by ectopic endometrial-like epithelium and stroma, of which molecular characteristics remain to be fully elucidated. We sequenced 107 ovarian endometriotic and 82 normal uterine endometrial epithelium samples isolated by laser microdissection. In both endometriotic and normal epithelium samples, numerous somatic mutations were identified within genes frequently mutated in endometriosis-associated ovarian cancers. KRAS is frequently mutated in endometriotic epithelium, with a higher mutant allele frequency (MAF) accompanied by arm-level allelic imbalances. Analyses of MAF, combined with multiregional sequencing, illuminated spatiotemporal evolution of the endometriosis and uterine endometrium genomes. We sequenced 109 single endometrial glands and found that each gland carried distinct cancer-associated mutations, demonstrating the heterogeneity of the genomic architecture of endometrial epithelium. Remarkable increases in MAF of mutations in cancer-associated genes in endometriotic epithelium suggest retrograde flow of endometrial cells already harboring cancer-associated mutations, with selective advantages at ectopic sites, leading to the development of endometriosis. Suda et al. identify numerous cancer-associated mutations in epithelial cells from ovarian endometriosis and normal endometrium. They describe a heterogeneous and mosaic-like uterine endometrial epithelium, shaped by endometrial glands with distinct somatic mutations. They suggest clonal expansion of epithelial cells with cancer-associated mutations leads to the development of endometriosis.","author":[{"dropping-particle":"","family":"Suda","given":"Kazuaki","non-dropping-particle":"","parse-names":false,"suffix":""},{"dropping-particle":"","family":"Nakaoka","given":"Hirofumi","non-dropping-particle":"","parse-names":false,"suffix":""},{"dropping-particle":"","family":"Yoshihara","given":"Kosuke","non-dropping-particle":"","parse-names":false,"suffix":""},{"dropping-particle":"","family":"Ishiguro","given":"Tatsuya","non-dropping-particle":"","parse-names":false,"suffix":""},{"dropping-particle":"","family":"Tamura","given":"Ryo","non-dropping-particle":"","parse-names":false,"suffix":""},{"dropping-particle":"","family":"Mori","given":"Yutaro","non-dropping-particle":"","parse-names":false,"suffix":""},{"dropping-particle":"","family":"Yamawaki","given":"Kaoru","non-dropping-particle":"","parse-names":false,"suffix":""},{"dropping-particle":"","family":"Adachi","given":"Sosuke","non-dropping-particle":"","parse-names":false,"suffix":""},{"dropping-particle":"","family":"Takahashi","given":"Tomoko","non-dropping-particle":"","parse-names":false,"suffix":""},{"dropping-particle":"","family":"Kase","given":"Hiroaki","non-dropping-particle":"","parse-names":false,"suffix":""},{"dropping-particle":"","family":"Tanaka","given":"Kenichi","non-dropping-particle":"","parse-names":false,"suffix":""},{"dropping-particle":"","family":"Yamamoto","given":"Tadashi","non-dropping-particle":"","parse-names":false,"suffix":""},{"dropping-particle":"","family":"Motoyama","given":"Teiichi","non-dropping-particle":"","parse-names":false,"suffix":""},{"dropping-particle":"","family":"Inoue","given":"Ituro","non-dropping-particle":"","parse-names":false,"suffix":""},{"dropping-particle":"","family":"Enomoto","given":"Takayuki","non-dropping-particle":"","parse-names":false,"suffix":""}],"container-title":"Cell Reports","id":"ITEM-1","issue":"7","issued":{"date-parts":[["2018","8","14"]]},"page":"1777-1789","publisher":"Elsevier B.V.","title":"Clonal Expansion and Diversification of Cancer-Associated Mutations in Endometriosis and Normal Endometrium","type":"article-journal","volume":"24"},"uris":["http://www.mendeley.com/documents/?uuid=c9770562-57ca-317f-a74e-b36f46b99d4b"]}],"mendeley":{"formattedCitation":"(Suda et al., 2018)","plainTextFormattedCitation":"(Suda et al., 2018)","previouslyFormattedCitation":"(Suda et al., 2018)"},"properties":{"noteIndex":0},"schema":"https://github.com/citation-style-language/schema/raw/master/csl-citation.json"}</w:instrText>
      </w:r>
      <w:r w:rsidR="000D04B6" w:rsidRPr="00606368">
        <w:fldChar w:fldCharType="separate"/>
      </w:r>
      <w:r w:rsidR="00DF0411" w:rsidRPr="00606368">
        <w:rPr>
          <w:noProof/>
        </w:rPr>
        <w:t>(Suda et al., 2018)</w:t>
      </w:r>
      <w:r w:rsidR="000D04B6" w:rsidRPr="00606368">
        <w:fldChar w:fldCharType="end"/>
      </w:r>
      <w:r w:rsidRPr="00606368">
        <w:t xml:space="preserve">, yet the endometrial gland specific transcriptome has not been investigated in recurrent </w:t>
      </w:r>
      <w:r w:rsidR="00A77E7E" w:rsidRPr="00606368">
        <w:t>pregnancy loss</w:t>
      </w:r>
      <w:r w:rsidRPr="00606368">
        <w:t>. In order to address the gaps in the literature regarding cell-specific expression in different parts of the endometrium, and delineate gene expression in this study</w:t>
      </w:r>
      <w:r w:rsidR="00A465B9" w:rsidRPr="00606368">
        <w:t>,</w:t>
      </w:r>
      <w:r w:rsidRPr="00606368">
        <w:t xml:space="preserve"> we carried out whole transcriptome RNAseq analysis of endometrial glands from women with </w:t>
      </w:r>
      <w:r w:rsidR="004651C3" w:rsidRPr="00606368">
        <w:t>recurrent pregnancy loss</w:t>
      </w:r>
      <w:r w:rsidR="00833027" w:rsidRPr="00606368">
        <w:t>.</w:t>
      </w:r>
      <w:r w:rsidRPr="00606368">
        <w:br w:type="page"/>
      </w:r>
    </w:p>
    <w:p w14:paraId="50750271" w14:textId="77777777" w:rsidR="0004495E" w:rsidRPr="00606368" w:rsidRDefault="0004495E" w:rsidP="0004495E">
      <w:pPr>
        <w:spacing w:line="480" w:lineRule="auto"/>
        <w:rPr>
          <w:b/>
        </w:rPr>
      </w:pPr>
      <w:r w:rsidRPr="00606368">
        <w:rPr>
          <w:b/>
        </w:rPr>
        <w:lastRenderedPageBreak/>
        <w:t>METHODS</w:t>
      </w:r>
    </w:p>
    <w:p w14:paraId="33EB946D" w14:textId="77777777" w:rsidR="0004495E" w:rsidRPr="00606368" w:rsidRDefault="0004495E" w:rsidP="0004495E">
      <w:pPr>
        <w:spacing w:line="480" w:lineRule="auto"/>
        <w:jc w:val="both"/>
        <w:rPr>
          <w:b/>
        </w:rPr>
      </w:pPr>
      <w:r w:rsidRPr="00606368">
        <w:rPr>
          <w:b/>
        </w:rPr>
        <w:t xml:space="preserve">Study participants </w:t>
      </w:r>
    </w:p>
    <w:p w14:paraId="61D9704E" w14:textId="6C151B84" w:rsidR="0004495E" w:rsidRPr="00606368" w:rsidRDefault="0004495E" w:rsidP="00AC41D9">
      <w:pPr>
        <w:spacing w:after="240" w:line="480" w:lineRule="auto"/>
        <w:ind w:firstLine="720"/>
        <w:jc w:val="both"/>
      </w:pPr>
      <w:r w:rsidRPr="00606368">
        <w:t>Participants were recruited for collection of an endometrial biopsy at a tertiary fertility and gynaecology referral centre in Southampton. Recruited participants met stu</w:t>
      </w:r>
      <w:r w:rsidR="007B6C86" w:rsidRPr="00606368">
        <w:t xml:space="preserve">dy criteria including aged 21-37 years, no hormonal contraception, </w:t>
      </w:r>
      <w:r w:rsidRPr="00606368">
        <w:t>no infections</w:t>
      </w:r>
      <w:r w:rsidR="007B6C86" w:rsidRPr="00606368">
        <w:t xml:space="preserve"> and no uterine pathologies</w:t>
      </w:r>
      <w:r w:rsidRPr="00606368">
        <w:t>. Two participant groups included control participants and recurrent pregnancy loss participants. Control participants (n = 5) were recruited from fertile women who elected to donate eggs having met criteria for egg donation, while an exclusion criteria for control participants was a history of pregnancy loss</w:t>
      </w:r>
      <w:r w:rsidR="00D36875" w:rsidRPr="00606368">
        <w:t>.</w:t>
      </w:r>
      <w:r w:rsidRPr="00606368">
        <w:t xml:space="preserve"> Recurrent pregnancy loss participants (n = 5) had a history of three or more </w:t>
      </w:r>
      <w:r w:rsidR="007B6C86" w:rsidRPr="00606368">
        <w:t>first trimester losses</w:t>
      </w:r>
      <w:r w:rsidR="007A216B" w:rsidRPr="00606368">
        <w:t xml:space="preserve"> (RCOG, 2011)</w:t>
      </w:r>
      <w:r w:rsidR="00C30619" w:rsidRPr="00606368">
        <w:t xml:space="preserve">. Samples were collected in natural cycles, and no participants were hormone primed. </w:t>
      </w:r>
      <w:r w:rsidRPr="00606368">
        <w:t xml:space="preserve">Control and recurrent pregnancy loss participants were matched by the day of the menstrual cycle to form 5 pairs. Informed written consent was given by all participants, and ethical approval for this study was given by the Isle of Wight, Portsmouth &amp; South East Hampshire Research Ethics Committee (08/H0502/162). Endometrial biopsies were collected using a Pipelle catheter </w:t>
      </w:r>
      <w:r w:rsidRPr="00606368">
        <w:fldChar w:fldCharType="begin" w:fldLock="1"/>
      </w:r>
      <w:r w:rsidRPr="00606368">
        <w:instrText>ADDIN CSL_CITATION {"citationItems":[{"id":"ITEM-1","itemData":{"DOI":"10.1038/s41598-017-07901-6","abstract":"Housekeeping genes (HKG) are presumed to be constitutively expressed throughout tissue types but recent studies have shown they vary with pathophysiology. Often, validation of appropriate HKG is not made. There is no consensus on which HKGs are most stably expressed in endometrial tissue so this study aimed to identify the most stable HKG in the endometrium of women with recurrent implantation failure (RIF) and recurrent miscarriages (RM). Inclusion criteria were women between 25-45 years (n = 45) suffering recurrent miscarriage (RM), recurrent implantation failure (RIF) or fertile controls. Endometrial biopsies were taken and total RNA extraction, cDNA synthesis and PCR was performed using 10 candidate HKG. The genes were arranged in terms of stability and normalisation was determined. Several HKGs not previously tested in endometrial samples were found to be more stable than those previously identified as the most stable. Of these, the 5 most stable HKG (in order of stability) were Prdm4 (PR domain 4) &gt; Ube4a (Ubiquitin-Conjugating Enzyme 4a) &gt; Enox2 (Ecto-NOX Disulfide-Thiol Exchanger 2) &gt; Ube2d2 (Ubiquitin-conjugating enzyme E2D 2) &gt; Actb (Actin beta). We therefore recommend using at least four of the aforementioned HKG for normalisation of endometrial tissues taken from patients with RM and RIF.","author":[{"dropping-particle":"","family":"Stocker","given":"Linden","non-dropping-particle":"","parse-names":false,"suffix":""},{"dropping-particle":"","family":"Cagampang","given":"Felino","non-dropping-particle":"","parse-names":false,"suffix":""},{"dropping-particle":"","family":"Cheong","given":"Ying","non-dropping-particle":"","parse-names":false,"suffix":""}],"id":"ITEM-1","issued":{"date-parts":[["0"]]},"title":"Identifying stably expressed housekeeping genes in the endometrium of fertile women, women with recurrent implantation failure and recurrent miscarriages","type":"article-journal"},"uris":["http://www.mendeley.com/documents/?uuid=b297fb67-a980-31bc-83fc-4e74de975569"]}],"mendeley":{"formattedCitation":"(Stocker, Cagampang, &amp; Cheong, n.d.)","manualFormatting":"(Stocker et al., 2017)","plainTextFormattedCitation":"(Stocker, Cagampang, &amp; Cheong, n.d.)","previouslyFormattedCitation":"(Stocker, Cagampang, &amp; Cheong, n.d.)"},"properties":{"noteIndex":0},"schema":"https://github.com/citation-style-language/schema/raw/master/csl-citation.json"}</w:instrText>
      </w:r>
      <w:r w:rsidRPr="00606368">
        <w:fldChar w:fldCharType="separate"/>
      </w:r>
      <w:r w:rsidRPr="00606368">
        <w:rPr>
          <w:noProof/>
        </w:rPr>
        <w:t>(Stocker et al., 2017)</w:t>
      </w:r>
      <w:r w:rsidRPr="00606368">
        <w:fldChar w:fldCharType="end"/>
      </w:r>
      <w:r w:rsidRPr="00606368">
        <w:t xml:space="preserve"> during the window of implantation (LH + 4 - 10) and immediately immersed into 50:50 DMEM/ Ham’s F12 nutrient mixture, containing5% streptomycin for endometrial gland isolation.</w:t>
      </w:r>
    </w:p>
    <w:p w14:paraId="6DB63993" w14:textId="77777777" w:rsidR="0004495E" w:rsidRPr="00606368" w:rsidRDefault="0004495E" w:rsidP="0004495E">
      <w:pPr>
        <w:spacing w:line="480" w:lineRule="auto"/>
        <w:jc w:val="both"/>
        <w:rPr>
          <w:b/>
        </w:rPr>
      </w:pPr>
      <w:r w:rsidRPr="00606368">
        <w:rPr>
          <w:b/>
        </w:rPr>
        <w:t>Endometrial gland isolation and RNA preparation</w:t>
      </w:r>
    </w:p>
    <w:p w14:paraId="593B243B" w14:textId="66FCAE6E" w:rsidR="0004495E" w:rsidRPr="00606368" w:rsidRDefault="0004495E" w:rsidP="00AC41D9">
      <w:pPr>
        <w:spacing w:after="240" w:line="480" w:lineRule="auto"/>
        <w:ind w:firstLine="720"/>
        <w:jc w:val="both"/>
      </w:pPr>
      <w:r w:rsidRPr="00606368">
        <w:t xml:space="preserve">Endometrial gland isolation was performed by enzyme digestion within 1 h of tissue collection. Endometrial tissue pieces were minced into smaller pieces before being digested with 0.7 mg/ml type 1A collagenase in 50:50 DMEM/ Ham’s F12 nutrient mixture, containing 5% streptomycin at 37°C for 2 x 15 min intervals with gentle agitation. The digested cell suspension was then passed through a serum gradient to isolate the endometrial gland fraction of the population. The isolated endometrial gland fraction was then passed through a 50 µm sieve to remove other endometrial cell types. Endometrial glands were then stored in 700 µl </w:t>
      </w:r>
      <w:r w:rsidRPr="00606368">
        <w:lastRenderedPageBreak/>
        <w:t>QIAol lysis reagent at -80°C until RNA extraction. RNA extraction was carried out using the Qiagen miRNeasy extraction kit</w:t>
      </w:r>
      <w:r w:rsidRPr="00606368">
        <w:rPr>
          <w:color w:val="000000"/>
        </w:rPr>
        <w:t xml:space="preserve">. </w:t>
      </w:r>
      <w:r w:rsidRPr="00606368">
        <w:t>The RNA yield was quantified by Thermo Scientific Nanodrop 1000 Spectrophotometer and RNA quality was analysed using an RNA Nano Chip on an Agilent 2100 Bioanalyser (RNA integrity numbers: C1 = 9.4, C2 = 9.2, C3 = 9.5, C4 = 9.4, C5 = 8.9 , RPL1 = 7.7, RPL2 = 9.5, RPL3 = 9.0, RPL4 = 9.4, RPL5 = 8.8).</w:t>
      </w:r>
    </w:p>
    <w:p w14:paraId="4CE9C49A" w14:textId="77777777" w:rsidR="0004495E" w:rsidRPr="00606368" w:rsidRDefault="0004495E" w:rsidP="0004495E">
      <w:pPr>
        <w:spacing w:line="480" w:lineRule="auto"/>
        <w:jc w:val="both"/>
        <w:rPr>
          <w:b/>
        </w:rPr>
      </w:pPr>
      <w:r w:rsidRPr="00606368">
        <w:rPr>
          <w:b/>
        </w:rPr>
        <w:t>Library preparation and RNA sequencing</w:t>
      </w:r>
    </w:p>
    <w:p w14:paraId="0037DE1F" w14:textId="7A1A7099" w:rsidR="0004495E" w:rsidRPr="00606368" w:rsidRDefault="0004495E" w:rsidP="00AC41D9">
      <w:pPr>
        <w:spacing w:after="240" w:line="480" w:lineRule="auto"/>
        <w:ind w:firstLine="720"/>
        <w:jc w:val="both"/>
      </w:pPr>
      <w:r w:rsidRPr="00606368">
        <w:t>Library preparation was performed using the TruSeq® Stranded mRNA Library Prep kit (Illumina). The final library was quantified by a Roche KAPA library quantification kit (Illumina) and by the Agilent 2100 Bioanalyser. Paired-end RNA sequencing (2 x 150 bp) was carried out on an Illumina NextSeq 550.</w:t>
      </w:r>
    </w:p>
    <w:p w14:paraId="7A50F093" w14:textId="77777777" w:rsidR="0004495E" w:rsidRPr="00606368" w:rsidRDefault="0004495E" w:rsidP="0004495E">
      <w:pPr>
        <w:spacing w:line="480" w:lineRule="auto"/>
        <w:jc w:val="both"/>
        <w:rPr>
          <w:b/>
        </w:rPr>
      </w:pPr>
      <w:bookmarkStart w:id="1" w:name="_30j0zll" w:colFirst="0" w:colLast="0"/>
      <w:bookmarkEnd w:id="1"/>
      <w:r w:rsidRPr="00606368">
        <w:rPr>
          <w:b/>
        </w:rPr>
        <w:t>Serial block face scanning electron microscopy</w:t>
      </w:r>
    </w:p>
    <w:p w14:paraId="0184F966" w14:textId="04D44259" w:rsidR="0004495E" w:rsidRPr="00606368" w:rsidRDefault="00334CFE" w:rsidP="00AC41D9">
      <w:pPr>
        <w:spacing w:after="240" w:line="480" w:lineRule="auto"/>
        <w:ind w:firstLine="720"/>
        <w:jc w:val="both"/>
      </w:pPr>
      <w:r w:rsidRPr="00606368">
        <w:t>Endometrial tissue pieces</w:t>
      </w:r>
      <w:r w:rsidR="0004495E" w:rsidRPr="00606368">
        <w:t xml:space="preserve"> from a control </w:t>
      </w:r>
      <w:r w:rsidRPr="00606368">
        <w:t>participant</w:t>
      </w:r>
      <w:r w:rsidR="0004495E" w:rsidRPr="00606368">
        <w:t xml:space="preserve"> at the implantation window</w:t>
      </w:r>
      <w:r w:rsidRPr="00606368">
        <w:t xml:space="preserve"> were</w:t>
      </w:r>
      <w:r w:rsidR="0004495E" w:rsidRPr="00606368">
        <w:t xml:space="preserve"> fixed in 3% glutaraldehyde 0.1 M sodi</w:t>
      </w:r>
      <w:r w:rsidRPr="00606368">
        <w:t xml:space="preserve">um cacodylate buffer at pH 7.4, </w:t>
      </w:r>
      <w:r w:rsidR="0004495E" w:rsidRPr="00606368">
        <w:t xml:space="preserve">stained with heavy metals and dehydrated </w:t>
      </w:r>
      <w:r w:rsidR="00A8312C" w:rsidRPr="00606368">
        <w:t>(Goggin et al., 2020)</w:t>
      </w:r>
      <w:r w:rsidR="0004495E" w:rsidRPr="00606368">
        <w:t>. The endometrial pieces were polymerised in Spurr resin at 60°C for 16+ h. The resin block was trimmed to a frustum with top face approximately 500 µm</w:t>
      </w:r>
      <w:r w:rsidR="0004495E" w:rsidRPr="00606368">
        <w:rPr>
          <w:vertAlign w:val="superscript"/>
        </w:rPr>
        <w:t>2</w:t>
      </w:r>
      <w:r w:rsidR="0004495E" w:rsidRPr="00606368">
        <w:t xml:space="preserve"> including a gland. This sub-block was mounted onto an aluminium pin with conductive glue and splutter coated with gold/palladium. The endometrial gland was imaged by Gatan 3View inside a FEI Quanta 250 FEGSEM microscope at 3.0kV accelerating voltage and a vacuum of 40 Pa </w:t>
      </w:r>
      <w:r w:rsidR="0004495E" w:rsidRPr="00606368">
        <w:fldChar w:fldCharType="begin" w:fldLock="1"/>
      </w:r>
      <w:r w:rsidR="0004495E" w:rsidRPr="00606368">
        <w:instrText>ADDIN CSL_CITATION {"citationItems":[{"id":"ITEM-1","itemData":{"DOI":"10.1111/joa.13082","ISSN":"14697580","PMID":"31512233","abstract":"Placental function is essential for fetal development and establishing the foundations for lifelong health. The placental villous stroma is a connective tissue layer that supports the fetal capillaries and villous trophoblast. All the nutrients that cross the placenta must also cross the stroma, and yet little is known about this region. This study uses high-resolution three-dimensional imaging to explore the structural complexity of this region within the placental villi. Serial block-face scanning electron microscopy and confocal microscopy were used to image the placental villous stroma in three-dimensions. Transmission electron microscopy (TEM) was used to generate high resolution two-dimensional images. Stereological approaches were used to quantify volumes of stromal constituents. Three-dimensional imaging identified stromal extracellular vesicles, which constituted 3.9% of the villous stromal volume. These stromal extracellular vesicles were ovoid in shape, had a median length of 2750 nm (range 350–7730 nm) and TEM imaging confirmed that they were bounded by a lipid bilayer. Fifty-nine per cent of extracellular vesicles were in contact with a fibroblast-like stellate cell and these vesicles were significantly larger than those where no contact was observed. These stellate cells formed local networks with adherent junctions observed at contact points. This study demonstrates that the villous stroma contains extracellular macrovesicles which are considerably larger than any previously described in tissue or plasma. The size and abundance of these macrovesicles in the villous stroma highlight the diversity of extracellular vesicle biology and their roles within connective tissues.","author":[{"dropping-particle":"","family":"Palaiologou","given":"E.","non-dropping-particle":"","parse-names":false,"suffix":""},{"dropping-particle":"","family":"Etter","given":"O.","non-dropping-particle":"","parse-names":false,"suffix":""},{"dropping-particle":"","family":"Goggin","given":"P.","non-dropping-particle":"","parse-names":false,"suffix":""},{"dropping-particle":"","family":"Chatelet","given":"D. S.","non-dropping-particle":"","parse-names":false,"suffix":""},{"dropping-particle":"","family":"Johnston","given":"D. A.","non-dropping-particle":"","parse-names":false,"suffix":""},{"dropping-particle":"","family":"Lofthouse","given":"E. M.","non-dropping-particle":"","parse-names":false,"suffix":""},{"dropping-particle":"","family":"Doherty","given":"R.","non-dropping-particle":"","parse-names":false,"suffix":""},{"dropping-particle":"","family":"Pearson-Farr","given":"J.","non-dropping-particle":"","parse-names":false,"suffix":""},{"dropping-particle":"","family":"Sengers","given":"B. G.","non-dropping-particle":"","parse-names":false,"suffix":""},{"dropping-particle":"","family":"Torrens","given":"C.","non-dropping-particle":"","parse-names":false,"suffix":""},{"dropping-particle":"","family":"Cleal","given":"J. K.","non-dropping-particle":"","parse-names":false,"suffix":""},{"dropping-particle":"","family":"Page","given":"A. M.","non-dropping-particle":"","parse-names":false,"suffix":""},{"dropping-particle":"","family":"Lewis","given":"R. M.","non-dropping-particle":"","parse-names":false,"suffix":""}],"container-title":"Journal of Anatomy","id":"ITEM-1","issue":"1","issued":{"date-parts":[["2020","1","1"]]},"page":"132-141","publisher":"Blackwell Publishing Ltd","title":"Human placental villi contain stromal macrovesicles associated with networks of stellate cells","type":"article-journal","volume":"236"},"uris":["http://www.mendeley.com/documents/?uuid=623c192c-f681-3cb9-a685-b7890c20c89f"]}],"mendeley":{"formattedCitation":"(Palaiologou et al., 2020)","plainTextFormattedCitation":"(Palaiologou et al., 2020)","previouslyFormattedCitation":"(Palaiologou et al., 2020)"},"properties":{"noteIndex":0},"schema":"https://github.com/citation-style-language/schema/raw/master/csl-citation.json"}</w:instrText>
      </w:r>
      <w:r w:rsidR="0004495E" w:rsidRPr="00606368">
        <w:fldChar w:fldCharType="separate"/>
      </w:r>
      <w:r w:rsidR="0004495E" w:rsidRPr="00606368">
        <w:rPr>
          <w:noProof/>
        </w:rPr>
        <w:t>(Palaiologou et al., 2020)</w:t>
      </w:r>
      <w:r w:rsidR="0004495E" w:rsidRPr="00606368">
        <w:fldChar w:fldCharType="end"/>
      </w:r>
      <w:r w:rsidR="0004495E" w:rsidRPr="00606368">
        <w:t>. A stack of consecutive images were generated at a constant voxel size of 0.01 x 0.01 x 0.05 µm. Segmentation and reconstruction were carried out using Amira and Fiji Image J.</w:t>
      </w:r>
    </w:p>
    <w:p w14:paraId="65606E02" w14:textId="77777777" w:rsidR="0004495E" w:rsidRPr="00606368" w:rsidRDefault="0004495E" w:rsidP="0004495E">
      <w:pPr>
        <w:spacing w:line="480" w:lineRule="auto"/>
        <w:jc w:val="both"/>
        <w:rPr>
          <w:b/>
        </w:rPr>
      </w:pPr>
      <w:r w:rsidRPr="00606368">
        <w:rPr>
          <w:b/>
        </w:rPr>
        <w:t>Transmission electron microscopy</w:t>
      </w:r>
    </w:p>
    <w:p w14:paraId="3FE9B342" w14:textId="7354604F" w:rsidR="0004495E" w:rsidRPr="00606368" w:rsidRDefault="0004495E" w:rsidP="00AC41D9">
      <w:pPr>
        <w:spacing w:after="240" w:line="480" w:lineRule="auto"/>
        <w:ind w:firstLine="720"/>
        <w:jc w:val="both"/>
      </w:pPr>
      <w:r w:rsidRPr="00606368">
        <w:t>Endometrial tissue pieces were fixed in 3% glutaraldehyde 0.1 M sod</w:t>
      </w:r>
      <w:r w:rsidR="00A8312C" w:rsidRPr="00606368">
        <w:t xml:space="preserve">ium cacodylate buffer at pH 7.4, stained with heavy metals and dehydrated using a graded ethanol series </w:t>
      </w:r>
      <w:r w:rsidR="00A8312C" w:rsidRPr="00606368">
        <w:lastRenderedPageBreak/>
        <w:fldChar w:fldCharType="begin" w:fldLock="1"/>
      </w:r>
      <w:r w:rsidR="00A8312C" w:rsidRPr="00606368">
        <w:instrText>ADDIN CSL_CITATION {"citationItems":[{"id":"ITEM-1","itemData":{"DOI":"10.1111/joa.13082","ISSN":"14697580","PMID":"31512233","abstract":"Placental function is essential for fetal development and establishing the foundations for lifelong health. The placental villous stroma is a connective tissue layer that supports the fetal capillaries and villous trophoblast. All the nutrients that cross the placenta must also cross the stroma, and yet little is known about this region. This study uses high-resolution three-dimensional imaging to explore the structural complexity of this region within the placental villi. Serial block-face scanning electron microscopy and confocal microscopy were used to image the placental villous stroma in three-dimensions. Transmission electron microscopy (TEM) was used to generate high resolution two-dimensional images. Stereological approaches were used to quantify volumes of stromal constituents. Three-dimensional imaging identified stromal extracellular vesicles, which constituted 3.9% of the villous stromal volume. These stromal extracellular vesicles were ovoid in shape, had a median length of 2750 nm (range 350–7730 nm) and TEM imaging confirmed that they were bounded by a lipid bilayer. Fifty-nine per cent of extracellular vesicles were in contact with a fibroblast-like stellate cell and these vesicles were significantly larger than those where no contact was observed. These stellate cells formed local networks with adherent junctions observed at contact points. This study demonstrates that the villous stroma contains extracellular macrovesicles which are considerably larger than any previously described in tissue or plasma. The size and abundance of these macrovesicles in the villous stroma highlight the diversity of extracellular vesicle biology and their roles within connective tissues.","author":[{"dropping-particle":"","family":"Palaiologou","given":"E.","non-dropping-particle":"","parse-names":false,"suffix":""},{"dropping-particle":"","family":"Etter","given":"O.","non-dropping-particle":"","parse-names":false,"suffix":""},{"dropping-particle":"","family":"Goggin","given":"P.","non-dropping-particle":"","parse-names":false,"suffix":""},{"dropping-particle":"","family":"Chatelet","given":"D. S.","non-dropping-particle":"","parse-names":false,"suffix":""},{"dropping-particle":"","family":"Johnston","given":"D. A.","non-dropping-particle":"","parse-names":false,"suffix":""},{"dropping-particle":"","family":"Lofthouse","given":"E. M.","non-dropping-particle":"","parse-names":false,"suffix":""},{"dropping-particle":"","family":"Doherty","given":"R.","non-dropping-particle":"","parse-names":false,"suffix":""},{"dropping-particle":"","family":"Pearson-Farr","given":"J.","non-dropping-particle":"","parse-names":false,"suffix":""},{"dropping-particle":"","family":"Sengers","given":"B. G.","non-dropping-particle":"","parse-names":false,"suffix":""},{"dropping-particle":"","family":"Torrens","given":"C.","non-dropping-particle":"","parse-names":false,"suffix":""},{"dropping-particle":"","family":"Cleal","given":"J. K.","non-dropping-particle":"","parse-names":false,"suffix":""},{"dropping-particle":"","family":"Page","given":"A. M.","non-dropping-particle":"","parse-names":false,"suffix":""},{"dropping-particle":"","family":"Lewis","given":"R. M.","non-dropping-particle":"","parse-names":false,"suffix":""}],"container-title":"Journal of Anatomy","id":"ITEM-1","issue":"1","issued":{"date-parts":[["2020","1","1"]]},"page":"132-141","publisher":"Blackwell Publishing Ltd","title":"Human placental villi contain stromal macrovesicles associated with networks of stellate cells","type":"article-journal","volume":"236"},"uris":["http://www.mendeley.com/documents/?uuid=623c192c-f681-3cb9-a685-b7890c20c89f"]}],"mendeley":{"formattedCitation":"(Palaiologou et al., 2020)","plainTextFormattedCitation":"(Palaiologou et al., 2020)","previouslyFormattedCitation":"(Palaiologou et al., 2020)"},"properties":{"noteIndex":0},"schema":"https://github.com/citation-style-language/schema/raw/master/csl-citation.json"}</w:instrText>
      </w:r>
      <w:r w:rsidR="00A8312C" w:rsidRPr="00606368">
        <w:fldChar w:fldCharType="separate"/>
      </w:r>
      <w:r w:rsidR="00A8312C" w:rsidRPr="00606368">
        <w:rPr>
          <w:noProof/>
        </w:rPr>
        <w:t>(Palaiologou et al., 2020)</w:t>
      </w:r>
      <w:r w:rsidR="00A8312C" w:rsidRPr="00606368">
        <w:fldChar w:fldCharType="end"/>
      </w:r>
      <w:r w:rsidR="00A8312C" w:rsidRPr="00606368">
        <w:t>.</w:t>
      </w:r>
      <w:r w:rsidRPr="00606368">
        <w:t xml:space="preserve"> The samples were polymerised and encapsulated in Agar low viscosity resin at 60°C for 16+ h. Thin sections (90 nm) were cut, stained with lead citrate and imaged using Hitachi HT7700 TEM at 100</w:t>
      </w:r>
      <w:r w:rsidR="005311F3" w:rsidRPr="00606368">
        <w:t xml:space="preserve"> </w:t>
      </w:r>
      <w:r w:rsidRPr="00606368">
        <w:t>kV.</w:t>
      </w:r>
    </w:p>
    <w:p w14:paraId="038EC5F2" w14:textId="77777777" w:rsidR="0004495E" w:rsidRPr="00606368" w:rsidRDefault="0004495E" w:rsidP="0004495E">
      <w:pPr>
        <w:spacing w:line="480" w:lineRule="auto"/>
        <w:jc w:val="both"/>
        <w:rPr>
          <w:b/>
        </w:rPr>
      </w:pPr>
      <w:r w:rsidRPr="00606368">
        <w:rPr>
          <w:b/>
        </w:rPr>
        <w:t>QUANTIFICATION AND STATISTICAL ANALYSIS</w:t>
      </w:r>
    </w:p>
    <w:p w14:paraId="174C75A9" w14:textId="77777777" w:rsidR="0004495E" w:rsidRPr="00606368" w:rsidRDefault="0004495E" w:rsidP="0004495E">
      <w:pPr>
        <w:spacing w:line="480" w:lineRule="auto"/>
        <w:jc w:val="both"/>
        <w:rPr>
          <w:b/>
        </w:rPr>
      </w:pPr>
      <w:r w:rsidRPr="00606368">
        <w:rPr>
          <w:b/>
        </w:rPr>
        <w:t>Differential gene expression analysis</w:t>
      </w:r>
    </w:p>
    <w:p w14:paraId="27760EBA" w14:textId="3BCA4306" w:rsidR="0004495E" w:rsidRPr="00606368" w:rsidRDefault="0004495E" w:rsidP="00AC41D9">
      <w:pPr>
        <w:spacing w:after="240" w:line="480" w:lineRule="auto"/>
        <w:ind w:firstLine="720"/>
        <w:jc w:val="both"/>
        <w:rPr>
          <w:rFonts w:eastAsia="Gungsuh"/>
        </w:rPr>
      </w:pPr>
      <w:r w:rsidRPr="00606368">
        <w:t xml:space="preserve">Raw FASTQ reads were aligned to the human genome via STAR 2.7.3a alignment using human genome 38 and trimmed with trimmomatic. QC was assessed by FastQC v0.11.3. Gene count data were normalised, and </w:t>
      </w:r>
      <w:r w:rsidR="0049212F" w:rsidRPr="00606368">
        <w:t xml:space="preserve">paired </w:t>
      </w:r>
      <w:r w:rsidRPr="00606368">
        <w:t xml:space="preserve">differential gene expression analysis was carried out in RStudio R-4.0.3 package DESeq2 v1.30.1 </w:t>
      </w:r>
      <w:r w:rsidRPr="00606368">
        <w:fldChar w:fldCharType="begin" w:fldLock="1"/>
      </w:r>
      <w:r w:rsidRPr="00606368">
        <w:instrText>ADDIN CSL_CITATION {"citationItems":[{"id":"ITEM-1","itemData":{"DOI":"10.1186/S13059-014-0550-8","ISSN":"1474-760X","abstract":"In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\n                  http://www.bioconductor.org/packages/release/bioc/html/DESeq2.html\n                  \n                .","author":[{"dropping-particle":"","family":"Love","given":"Michael I","non-dropping-particle":"","parse-names":false,"suffix":""},{"dropping-particle":"","family":"Huber","given":"Wolfgang","non-dropping-particle":"","parse-names":false,"suffix":""},{"dropping-particle":"","family":"Anders","given":"Simon","non-dropping-particle":"","parse-names":false,"suffix":""}],"container-title":"Genome Biology 2014 15:12","id":"ITEM-1","issue":"12","issued":{"date-parts":[["2014","12","5"]]},"page":"1-21","publisher":"BioMed Central","title":"Moderated estimation of fold change and dispersion for RNA-seq data with DESeq2","type":"article-journal","volume":"15"},"uris":["http://www.mendeley.com/documents/?uuid=f7ed33cc-cea6-304f-b49d-3130c541ec33"]}],"mendeley":{"formattedCitation":"(Love, Huber, &amp; Anders, 2014)","manualFormatting":"(Love et al., 2014)","plainTextFormattedCitation":"(Love, Huber, &amp; Anders, 2014)","previouslyFormattedCitation":"(Love, Huber, &amp; Anders, 2014)"},"properties":{"noteIndex":0},"schema":"https://github.com/citation-style-language/schema/raw/master/csl-citation.json"}</w:instrText>
      </w:r>
      <w:r w:rsidRPr="00606368">
        <w:fldChar w:fldCharType="separate"/>
      </w:r>
      <w:r w:rsidRPr="00606368">
        <w:rPr>
          <w:noProof/>
        </w:rPr>
        <w:t>(Love et al., 2014)</w:t>
      </w:r>
      <w:r w:rsidRPr="00606368">
        <w:fldChar w:fldCharType="end"/>
      </w:r>
      <w:r w:rsidRPr="00606368">
        <w:rPr>
          <w:rFonts w:eastAsia="Gungsuh"/>
        </w:rPr>
        <w:t>. The Empirical Bayes approach to false discovery rate (FDR) was applied to correct for multiple testing at 5%. Significance was determined by a Wald test and accepted as p ≤ 0.05. To increase stringency, a further log fold change threshold of 1.15 was applied.</w:t>
      </w:r>
    </w:p>
    <w:p w14:paraId="771FB2EF" w14:textId="77777777" w:rsidR="0004495E" w:rsidRPr="00606368" w:rsidRDefault="0004495E" w:rsidP="0004495E">
      <w:pPr>
        <w:spacing w:line="480" w:lineRule="auto"/>
        <w:jc w:val="both"/>
        <w:rPr>
          <w:b/>
        </w:rPr>
      </w:pPr>
      <w:r w:rsidRPr="00606368">
        <w:rPr>
          <w:b/>
        </w:rPr>
        <w:t xml:space="preserve">Gene ontology functional enrichment </w:t>
      </w:r>
    </w:p>
    <w:p w14:paraId="1A826F48" w14:textId="3230A93C" w:rsidR="00544737" w:rsidRPr="00606368" w:rsidRDefault="0004495E" w:rsidP="00AC41D9">
      <w:pPr>
        <w:spacing w:after="240" w:line="480" w:lineRule="auto"/>
        <w:ind w:firstLine="720"/>
        <w:jc w:val="both"/>
      </w:pPr>
      <w:r w:rsidRPr="00606368">
        <w:t>Genes which were significantly differentially expressed in the endometrial glands of recurrent pregnancy loss patients compared to controls (no log fold change threshold), were mapped to pathways using the publicly available software Toppgene (Division of Bioinformatics, Cincinnati Children’s Hospital Medical Centre). A B&amp;H FDR were used to correct findings p &lt; 0.05.</w:t>
      </w:r>
    </w:p>
    <w:p w14:paraId="7E200356" w14:textId="3B071A22" w:rsidR="0004495E" w:rsidRPr="00606368" w:rsidRDefault="0004495E" w:rsidP="0004495E">
      <w:pPr>
        <w:spacing w:line="480" w:lineRule="auto"/>
        <w:jc w:val="both"/>
        <w:rPr>
          <w:b/>
        </w:rPr>
      </w:pPr>
      <w:r w:rsidRPr="00606368">
        <w:rPr>
          <w:b/>
        </w:rPr>
        <w:t>Differential gene transcript expression analysis and splicing analysis</w:t>
      </w:r>
    </w:p>
    <w:p w14:paraId="335124FD" w14:textId="6673C173" w:rsidR="0004495E" w:rsidRPr="00606368" w:rsidRDefault="0004495E" w:rsidP="00AC41D9">
      <w:pPr>
        <w:spacing w:after="240" w:line="480" w:lineRule="auto"/>
        <w:ind w:firstLine="720"/>
        <w:jc w:val="both"/>
      </w:pPr>
      <w:r w:rsidRPr="00606368">
        <w:t>Raw FASTQ reads underwent adapter trimming and quality filtering (reads containing N &gt; 10%, reads where &gt; 50% of read has Qscore</w:t>
      </w:r>
      <w:r w:rsidR="005311F3" w:rsidRPr="00606368">
        <w:t xml:space="preserve"> </w:t>
      </w:r>
      <w:r w:rsidRPr="00606368">
        <w:t xml:space="preserve">&lt;= 5). Paired FASTQ files were aligned to GRCh38 human genome reference using GENCODE v29 gene annotations </w:t>
      </w:r>
      <w:r w:rsidRPr="00606368">
        <w:fldChar w:fldCharType="begin" w:fldLock="1"/>
      </w:r>
      <w:r w:rsidRPr="00606368">
        <w:instrText>ADDIN CSL_CITATION {"citationItems":[{"id":"ITEM-1","itemData":{"DOI":"10.1093/nar/gky955","ISSN":"13624962","PMID":"30357393","abstract":"The accurate identification and description of the genes in the human and mouse genomes is a fundamental requirement for high quality analysis of data informing both genome biology and clinical genomics. Over the last 15 years, the GENCODE consortium has been producing reference quality gene annotations to provide this foundational resource. The GENCODE consortium includes both experimental and computational biology groups who work together to improve and extend theGENCODE gene annotation. Specifically, we generate primary data, create bioinformatics tools and provide analysis to support the work of expert manual gene annotators and automated gene annotation pipelines. In addition, manual and computational annotation workflows use any and all publicly available data and analysis, along with the research literature to identify and characterise gene loci to the highest standard. GENCODE gene annotations are accessible via the Ensembl and UCSC Genome Browsers, the Ensembl FTP site, Ensembl Biomart, Ensembl Perl and REST APIs as well as https://www.gencodegenes.org.","author":[{"dropping-particle":"","family":"Frankish","given":"Adam","non-dropping-particle":"","parse-names":false,"suffix":""},{"dropping-particle":"","family":"Diekhans","given":"Mark","non-dropping-particle":"","parse-names":false,"suffix":""},{"dropping-particle":"","family":"Ferreira","given":"Anne Maud","non-dropping-particle":"","parse-names":false,"suffix":""},{"dropping-particle":"","family":"Johnson","given":"Rory","non-dropping-particle":"","parse-names":false,"suffix":""},{"dropping-particle":"","family":"Jungreis","given":"Irwin","non-dropping-particle":"","parse-names":false,"suffix":""},{"dropping-particle":"","family":"Loveland","given":"Jane","non-dropping-particle":"","parse-names":false,"suffix":""},{"dropping-particle":"","family":"Mudge","given":"Jonathan M.","non-dropping-particle":"","parse-names":false,"suffix":""},{"dropping-particle":"","family":"Sisu","given":"Cristina","non-dropping-particle":"","parse-names":false,"suffix":""},{"dropping-particle":"","family":"Wright","given":"James","non-dropping-particle":"","parse-names":false,"suffix":""},{"dropping-particle":"","family":"Armstrong","given":"Joel","non-dropping-particle":"","parse-names":false,"suffix":""},{"dropping-particle":"","family":"Barnes","given":"If","non-dropping-particle":"","parse-names":false,"suffix":""},{"dropping-particle":"","family":"Berry","given":"Andrew","non-dropping-particle":"","parse-names":false,"suffix":""},{"dropping-particle":"","family":"Bignell","given":"Alexandra","non-dropping-particle":"","parse-names":false,"suffix":""},{"dropping-particle":"","family":"Carbonell Sala","given":"Silvia","non-dropping-particle":"","parse-names":false,"suffix":""},{"dropping-particle":"","family":"Chrast","given":"Jacqueline","non-dropping-particle":"","parse-names":false,"suffix":""},{"dropping-particle":"","family":"Cunningham","given":"Fiona","non-dropping-particle":"","parse-names":false,"suffix":""},{"dropping-particle":"","family":"Domenico","given":"Tomás","non-dropping-particle":"Di","parse-names":false,"suffix":""},{"dropping-particle":"","family":"Donaldson","given":"Sarah","non-dropping-particle":"","parse-names":false,"suffix":""},{"dropping-particle":"","family":"Fiddes","given":"Ian T.","non-dropping-particle":"","parse-names":false,"suffix":""},{"dropping-particle":"","family":"García Girón","given":"Carlos","non-dropping-particle":"","parse-names":false,"suffix":""},{"dropping-particle":"","family":"Gonzalez","given":"Jose Manuel","non-dropping-particle":"","parse-names":false,"suffix":""},{"dropping-particle":"","family":"Grego","given":"Tiago","non-dropping-particle":"","parse-names":false,"suffix":""},{"dropping-particle":"","family":"Hardy","given":"Matthew","non-dropping-particle":"","parse-names":false,"suffix":""},{"dropping-particle":"","family":"Hourlier","given":"Thibaut","non-dropping-particle":"","parse-names":false,"suffix":""},{"dropping-particle":"","family":"Hunt","given":"Toby","non-dropping-particle":"","parse-names":false,"suffix":""},{"dropping-particle":"","family":"Izuogu","given":"Osagie G.","non-dropping-particle":"","parse-names":false,"suffix":""},{"dropping-particle":"","family":"Lagarde","given":"Julien","non-dropping-particle":"","parse-names":false,"suffix":""},{"dropping-particle":"","family":"Martin","given":"Fergal J.","non-dropping-particle":"","parse-names":false,"suffix":""},{"dropping-particle":"","family":"Martínez","given":"Laura","non-dropping-particle":"","parse-names":false,"suffix":""},{"dropping-particle":"","family":"Mohanan","given":"Shamika","non-dropping-particle":"","parse-names":false,"suffix":""},{"dropping-particle":"","family":"Muir","given":"Paul","non-dropping-particle":"","parse-names":false,"suffix":""},{"dropping-particle":"","family":"Navarro","given":"Fabio C.P.","non-dropping-particle":"","parse-names":false,"suffix":""},{"dropping-particle":"","family":"Parker","given":"Anne","non-dropping-particle":"","parse-names":false,"suffix":""},{"dropping-particle":"","family":"Pei","given":"Baikang","non-dropping-particle":"","parse-names":false,"suffix":""},{"dropping-particle":"","family":"Pozo","given":"Fernando","non-dropping-particle":"","parse-names":false,"suffix":""},{"dropping-particle":"","family":"Ruffier","given":"Magali","non-dropping-particle":"","parse-names":false,"suffix":""},{"dropping-particle":"","family":"Schmitt","given":"Bianca M.","non-dropping-particle":"","parse-names":false,"suffix":""},{"dropping-particle":"","family":"Stapleton","given":"Eloise","non-dropping-particle":"","parse-names":false,"suffix":""},{"dropping-particle":"","family":"Suner","given":"Marie Marthe","non-dropping-particle":"","parse-names":false,"suffix":""},{"dropping-particle":"","family":"Sycheva","given":"Irina","non-dropping-particle":"","parse-names":false,"suffix":""},{"dropping-particle":"","family":"Uszczynska-Ratajczak","given":"Barbara","non-dropping-particle":"","parse-names":false,"suffix":""},{"dropping-particle":"","family":"Xu","given":"Jinuri","non-dropping-particle":"","parse-names":false,"suffix":""},{"dropping-particle":"","family":"Yates","given":"Andrew","non-dropping-particle":"","parse-names":false,"suffix":""},{"dropping-particle":"","family":"Zerbino","given":"Daniel","non-dropping-particle":"","parse-names":false,"suffix":""},{"dropping-particle":"","family":"Zhang","given":"Yan","non-dropping-particle":"","parse-names":false,"suffix":""},{"dropping-particle":"","family":"Aken","given":"Bronwen","non-dropping-particle":"","parse-names":false,"suffix":""},{"dropping-particle":"","family":"Choudhary","given":"Jyoti S.","non-dropping-particle":"","parse-names":false,"suffix":""},{"dropping-particle":"","family":"Gerstein","given":"Mark","non-dropping-particle":"","parse-names":false,"suffix":""},{"dropping-particle":"","family":"Guigó","given":"Roderic","non-dropping-particle":"","parse-names":false,"suffix":""},{"dropping-particle":"","family":"Hubbard","given":"Tim J.P.","non-dropping-particle":"","parse-names":false,"suffix":""},{"dropping-particle":"","family":"Kellis","given":"Manolis","non-dropping-particle":"","parse-names":false,"suffix":""},{"dropping-particle":"","family":"Paten","given":"Benedict","non-dropping-particle":"","parse-names":false,"suffix":""},{"dropping-particle":"","family":"Reymond","given":"Alexandre","non-dropping-particle":"","parse-names":false,"suffix":""},{"dropping-particle":"","family":"Tress","given":"Michael L.","non-dropping-particle":"","parse-names":false,"suffix":""},{"dropping-particle":"","family":"Flicek","given":"Paul","non-dropping-particle":"","parse-names":false,"suffix":""}],"container-title":"Nucleic Acids Research","id":"ITEM-1","issue":"D1","issued":{"date-parts":[["2019","1","8"]]},"page":"D766-D773","publisher":"Nucleic Acids Res","title":"GENCODE reference annotation for the human and mouse genomes","type":"article-journal","volume":"47"},"uris":["http://www.mendeley.com/documents/?uuid=12363110-3fb3-3d42-b7b6-1f8cc9f07efa"]}],"mendeley":{"formattedCitation":"(Frankish et al., 2019)","manualFormatting":"(Frankish et al., 2019)","plainTextFormattedCitation":"(Frankish et al., 2019)","previouslyFormattedCitation":"(Frankish et al., 2019)"},"properties":{"noteIndex":0},"schema":"https://github.com/citation-style-language/schema/raw/master/csl-citation.json"}</w:instrText>
      </w:r>
      <w:r w:rsidRPr="00606368">
        <w:fldChar w:fldCharType="separate"/>
      </w:r>
      <w:r w:rsidRPr="00606368">
        <w:rPr>
          <w:noProof/>
        </w:rPr>
        <w:t>(Frankish et al., 2019)</w:t>
      </w:r>
      <w:r w:rsidRPr="00606368">
        <w:fldChar w:fldCharType="end"/>
      </w:r>
      <w:r w:rsidRPr="00606368">
        <w:t xml:space="preserve"> and STAR v2.6.0a splice aware aligner </w:t>
      </w:r>
      <w:r w:rsidRPr="00606368">
        <w:fldChar w:fldCharType="begin" w:fldLock="1"/>
      </w:r>
      <w:r w:rsidRPr="00606368">
        <w:instrText>ADDIN CSL_CITATION {"citationItems":[{"id":"ITEM-1","itemData":{"DOI":"10.1093/BIOINFORMATICS/BTS635","ISSN":"1367-4803","abstract":"Motivation: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 The Author(s) 2012. Published by Oxford University Press.","author":[{"dropping-particle":"","family":"Dobin","given":"Alexander","non-dropping-particle":"","parse-names":false,"suffix":""},{"dropping-particle":"","family":"Davis","given":"Carrie A.","non-dropping-particle":"","parse-names":false,"suffix":""},{"dropping-particle":"","family":"Schlesinger","given":"Felix","non-dropping-particle":"","parse-names":false,"suffix":""},{"dropping-particle":"","family":"Drenkow","given":"Jorg","non-dropping-particle":"","parse-names":false,"suffix":""},{"dropping-particle":"","family":"Zaleski","given":"Chris","non-dropping-particle":"","parse-names":false,"suffix":""},{"dropping-particle":"","family":"Jha","given":"Sonali","non-dropping-particle":"","parse-names":false,"suffix":""},{"dropping-particle":"","family":"Batut","given":"Philippe","non-dropping-particle":"","parse-names":false,"suffix":""},{"dropping-particle":"","family":"Chaisson","given":"Mark","non-dropping-particle":"","parse-names":false,"suffix":""},{"dropping-particle":"","family":"Gingeras","given":"Thomas R.","non-dropping-particle":"","parse-names":false,"suffix":""}],"container-title":"Bioinformatics","id":"ITEM-1","issue":"1","issued":{"date-parts":[["2013","1","1"]]},"page":"15-21","publisher":"Oxford Academic","title":"STAR: ultrafast universal RNA-seq aligner","type":"article-journal","volume":"29"},"uris":["http://www.mendeley.com/documents/?uuid=5bd293d3-4922-3859-a1ed-f2786adafcfa"]}],"mendeley":{"formattedCitation":"(Dobin et al., 2013)","plainTextFormattedCitation":"(Dobin et al., 2013)","previouslyFormattedCitation":"(Dobin et al., 2013)"},"properties":{"noteIndex":0},"schema":"https://github.com/citation-style-language/schema/raw/master/csl-citation.json"}</w:instrText>
      </w:r>
      <w:r w:rsidRPr="00606368">
        <w:fldChar w:fldCharType="separate"/>
      </w:r>
      <w:r w:rsidRPr="00606368">
        <w:rPr>
          <w:noProof/>
        </w:rPr>
        <w:t>(Dobin et al., 2013)</w:t>
      </w:r>
      <w:r w:rsidRPr="00606368">
        <w:fldChar w:fldCharType="end"/>
      </w:r>
      <w:r w:rsidRPr="00606368">
        <w:t>,</w:t>
      </w:r>
      <w:r w:rsidR="005311F3" w:rsidRPr="00606368">
        <w:t xml:space="preserve"> using ENCODE recommend </w:t>
      </w:r>
      <w:r w:rsidR="005311F3" w:rsidRPr="00606368">
        <w:lastRenderedPageBreak/>
        <w:t xml:space="preserve">options </w:t>
      </w:r>
      <w:r w:rsidRPr="00606368">
        <w:t>(</w:t>
      </w:r>
      <w:r w:rsidR="005311F3" w:rsidRPr="00606368">
        <w:t>(</w:t>
      </w:r>
      <w:hyperlink r:id="rId11" w:history="1">
        <w:r w:rsidR="005311F3" w:rsidRPr="00606368">
          <w:rPr>
            <w:rStyle w:val="Hyperlink"/>
          </w:rPr>
          <w:t>https://github.com/alexdobin/STAR/blob/master/doc/STARmanual.pdf</w:t>
        </w:r>
      </w:hyperlink>
      <w:r w:rsidR="005311F3" w:rsidRPr="00606368">
        <w:t xml:space="preserve">); </w:t>
      </w:r>
      <w:r w:rsidRPr="00606368">
        <w:t>3.2.2 in the STAR manual</w:t>
      </w:r>
      <w:r w:rsidR="005311F3" w:rsidRPr="00606368">
        <w:t>)</w:t>
      </w:r>
      <w:r w:rsidRPr="00606368">
        <w:t>. The two-pass alignment method was used, with soft clipping activated.</w:t>
      </w:r>
    </w:p>
    <w:p w14:paraId="4B04C132" w14:textId="77777777" w:rsidR="0004495E" w:rsidRPr="00606368" w:rsidRDefault="0004495E" w:rsidP="0004495E">
      <w:pPr>
        <w:spacing w:line="480" w:lineRule="auto"/>
        <w:jc w:val="both"/>
        <w:rPr>
          <w:b/>
        </w:rPr>
      </w:pPr>
      <w:r w:rsidRPr="00606368">
        <w:rPr>
          <w:b/>
        </w:rPr>
        <w:t>Alignment quality control</w:t>
      </w:r>
    </w:p>
    <w:p w14:paraId="5F603188" w14:textId="7C2C0A05" w:rsidR="0004495E" w:rsidRPr="00606368" w:rsidRDefault="0004495E" w:rsidP="00AC41D9">
      <w:pPr>
        <w:spacing w:after="240" w:line="480" w:lineRule="auto"/>
        <w:ind w:firstLine="720"/>
        <w:jc w:val="both"/>
      </w:pPr>
      <w:r w:rsidRPr="00606368">
        <w:t xml:space="preserve">BAM files sorted by chromosomal coordinates were assessed for saturation of known splice junctions were calculated using RSeqQC v3.0.1 </w:t>
      </w:r>
      <w:r w:rsidRPr="00606368">
        <w:fldChar w:fldCharType="begin" w:fldLock="1"/>
      </w:r>
      <w:r w:rsidRPr="00606368">
        <w:instrText>ADDIN CSL_CITATION {"citationItems":[{"id":"ITEM-1","itemData":{"DOI":"10.1093/bioinformatics/bts356","ISSN":"13674803","PMID":"22743226","abstract":"Motivation: RNA-seq has been extensively used for transcriptome study. Quality control (QC) is critical to ensure that RNA-seq data are of high quality and suitable for subsequent analyses. However, QC is a time-consuming and complex task, due to the massive size and versatile nature of RNA-seq data. Therefore, a convenient and comprehensive QC tool to assess RNA-seq quality is sorely needed.Results: We developed the RSeQC package to comprehensively evaluate different aspects of RNA-seq experiments, such as sequence quality, GC bias, polymerase chain reaction bias, nucleotide composition bias, sequencing depth, strand specificity, coverage uniformity and read distribution over the genome structure. RSeQC takes both SAM and BAM files as input, which can be produced by most RNA-seq mapping tools as well as BED files, which are widely used for gene models. Most modules in RSeQC take advantage of R scripts for visualization, and they are notably efficient in dealing with large BAM/SAM files containing hundreds of millions of alignments. © The Author (2012). Published by Oxford University Press. All rights reserved.","author":[{"dropping-particle":"","family":"Wang","given":"Liguo","non-dropping-particle":"","parse-names":false,"suffix":""},{"dropping-particle":"","family":"Wang","given":"Shengqin","non-dropping-particle":"","parse-names":false,"suffix":""},{"dropping-particle":"","family":"Li","given":"Wei","non-dropping-particle":"","parse-names":false,"suffix":""}],"container-title":"Bioinformatics","id":"ITEM-1","issue":"16","issued":{"date-parts":[["2012","8"]]},"page":"2184-2185","publisher":"Bioinformatics","title":"RSeQC: Quality control of RNA-seq experiments","type":"article-journal","volume":"28"},"uris":["http://www.mendeley.com/documents/?uuid=f37d0bfb-4198-3a2f-89c5-c1c44d561a44"]}],"mendeley":{"formattedCitation":"(Wang, Wang, &amp; Li, 2012)","manualFormatting":"(Wang et al., 2012)","plainTextFormattedCitation":"(Wang, Wang, &amp; Li, 2012)","previouslyFormattedCitation":"(Wang, Wang, &amp; Li, 2012)"},"properties":{"noteIndex":0},"schema":"https://github.com/citation-style-language/schema/raw/master/csl-citation.json"}</w:instrText>
      </w:r>
      <w:r w:rsidRPr="00606368">
        <w:fldChar w:fldCharType="separate"/>
      </w:r>
      <w:r w:rsidRPr="00606368">
        <w:rPr>
          <w:noProof/>
        </w:rPr>
        <w:t>(Wang et al., 2012)</w:t>
      </w:r>
      <w:r w:rsidRPr="00606368">
        <w:fldChar w:fldCharType="end"/>
      </w:r>
      <w:r w:rsidRPr="00606368">
        <w:t>.</w:t>
      </w:r>
    </w:p>
    <w:p w14:paraId="08592552" w14:textId="77777777" w:rsidR="0004495E" w:rsidRPr="00606368" w:rsidRDefault="0004495E" w:rsidP="0004495E">
      <w:pPr>
        <w:spacing w:line="480" w:lineRule="auto"/>
        <w:jc w:val="both"/>
        <w:rPr>
          <w:b/>
        </w:rPr>
      </w:pPr>
      <w:r w:rsidRPr="00606368">
        <w:rPr>
          <w:b/>
        </w:rPr>
        <w:t>Alignment to reference transcriptome and transcript level abundance estimates</w:t>
      </w:r>
    </w:p>
    <w:p w14:paraId="238C06EB" w14:textId="3C804DFD" w:rsidR="0004495E" w:rsidRPr="00606368" w:rsidRDefault="0004495E" w:rsidP="00AC41D9">
      <w:pPr>
        <w:spacing w:after="240" w:line="480" w:lineRule="auto"/>
        <w:ind w:firstLine="720"/>
        <w:jc w:val="both"/>
      </w:pPr>
      <w:r w:rsidRPr="00606368">
        <w:t xml:space="preserve">Salmon tool was used to perform transcript abundance estimates from raw FASTQ files using selective alignment with a decoy-aware transcriptome built from GRCh38 </w:t>
      </w:r>
      <w:r w:rsidRPr="00606368">
        <w:fldChar w:fldCharType="begin" w:fldLock="1"/>
      </w:r>
      <w:r w:rsidRPr="00606368">
        <w:instrText>ADDIN CSL_CITATION {"citationItems":[{"id":"ITEM-1","itemData":{"DOI":"10.1038/nmeth.4197","ISSN":"1548-7105","abstract":"Salmon is a computational tool that uses sample-specific models and a dual-phase inference procedure to correct biases in RNA-seq data and rapidly quantify transcript abundances. We introduce Salmon, a lightweight method for quantifying transcript abundance from RNA–seq reads. Salmon combines a new dual-phase parallel inference algorithm and feature-rich bias models with an ultra-fast read mapping procedure. It is the first transcriptome-wide quantifier to correct for fragment GC-content bias, which, as we demonstrate here, substantially improves the accuracy of abundance estimates and the sensitivity of subsequent differential expression analysis.","author":[{"dropping-particle":"","family":"Patro","given":"Rob","non-dropping-particle":"","parse-names":false,"suffix":""},{"dropping-particle":"","family":"Duggal","given":"Geet","non-dropping-particle":"","parse-names":false,"suffix":""},{"dropping-particle":"","family":"Love","given":"Michael I","non-dropping-particle":"","parse-names":false,"suffix":""},{"dropping-particle":"","family":"Irizarry","given":"Rafael A","non-dropping-particle":"","parse-names":false,"suffix":""},{"dropping-particle":"","family":"Kingsford","given":"Carl","non-dropping-particle":"","parse-names":false,"suffix":""}],"container-title":"Nature Methods 2017 14:4","id":"ITEM-1","issue":"4","issued":{"date-parts":[["2017","3","6"]]},"page":"417-419","publisher":"Nature Publishing Group","title":"Salmon provides fast and bias-aware quantification of transcript expression","type":"article-journal","volume":"14"},"uris":["http://www.mendeley.com/documents/?uuid=389bbae3-4a34-31b8-add9-8f525c069a81"]}],"mendeley":{"formattedCitation":"(Patro, Duggal, Love, Irizarry, &amp; Kingsford, 2017)","manualFormatting":"(Patro et al., 2017)","plainTextFormattedCitation":"(Patro, Duggal, Love, Irizarry, &amp; Kingsford, 2017)","previouslyFormattedCitation":"(Patro, Duggal, Love, Irizarry, &amp; Kingsford, 2017)"},"properties":{"noteIndex":0},"schema":"https://github.com/citation-style-language/schema/raw/master/csl-citation.json"}</w:instrText>
      </w:r>
      <w:r w:rsidRPr="00606368">
        <w:fldChar w:fldCharType="separate"/>
      </w:r>
      <w:r w:rsidRPr="00606368">
        <w:rPr>
          <w:noProof/>
        </w:rPr>
        <w:t>(Patro et al., 2017)</w:t>
      </w:r>
      <w:r w:rsidRPr="00606368">
        <w:fldChar w:fldCharType="end"/>
      </w:r>
      <w:r w:rsidRPr="00606368">
        <w:t>.</w:t>
      </w:r>
    </w:p>
    <w:p w14:paraId="4DF22B81" w14:textId="77777777" w:rsidR="0004495E" w:rsidRPr="00606368" w:rsidRDefault="0004495E" w:rsidP="0004495E">
      <w:pPr>
        <w:spacing w:line="480" w:lineRule="auto"/>
        <w:jc w:val="both"/>
        <w:rPr>
          <w:b/>
        </w:rPr>
      </w:pPr>
      <w:r w:rsidRPr="00606368">
        <w:rPr>
          <w:b/>
        </w:rPr>
        <w:t>Differential splicing analysis</w:t>
      </w:r>
    </w:p>
    <w:p w14:paraId="57D2628F" w14:textId="52BC1EBC" w:rsidR="00544737" w:rsidRPr="00606368" w:rsidRDefault="0004495E" w:rsidP="00833027">
      <w:pPr>
        <w:spacing w:line="480" w:lineRule="auto"/>
        <w:ind w:firstLine="720"/>
        <w:jc w:val="both"/>
        <w:rPr>
          <w:b/>
        </w:rPr>
      </w:pPr>
      <w:r w:rsidRPr="00606368">
        <w:t xml:space="preserve">rMATs v4.0.2 (rMATS turbo) was used to statistically measure differences in splicing between replicates of wild-type and mutant sequence </w:t>
      </w:r>
      <w:r w:rsidRPr="00606368">
        <w:fldChar w:fldCharType="begin" w:fldLock="1"/>
      </w:r>
      <w:r w:rsidRPr="00606368">
        <w:instrText>ADDIN CSL_CITATION {"citationItems":[{"id":"ITEM-1","itemData":{"DOI":"10.1073/PNAS.1419161111","ISSN":"0027-8424","PMID":"25480548","abstract":"Alternative splicing (AS) is an important mechanism of eukaryotic gene regulation. Deep RNA sequencing (RNA-Seq) has become a powerful approach for quantitative profiling of AS. With the increasing capacity of high-throughput sequencers, it has become common for RNA-Seq studies of AS to examine multiple biological replicates. We developed rMATS, a new statistical method for robust and flexible detection of differential AS from replicate RNA-Seq data. Besides the analysis of unpaired replicates, rMATS includes a model specifically designed for paired replicates, such as case–control matched pairs in clinical RNA-Seq datasets. We expect rMATS will be useful for genome-wide studies of AS in diverse research projects. Our data also provide new insights about the experimental design for RNA-Seq studies of AS.","author":[{"dropping-particle":"","family":"Shen","given":"Shihao","non-dropping-particle":"","parse-names":false,"suffix":""},{"dropping-particle":"","family":"Park","given":"Juw Won","non-dropping-particle":"","parse-names":false,"suffix":""},{"dropping-particle":"","family":"Lu","given":"Zhi-xiang","non-dropping-particle":"","parse-names":false,"suffix":""},{"dropping-particle":"","family":"Lin","given":"Lan","non-dropping-particle":"","parse-names":false,"suffix":""},{"dropping-particle":"","family":"Henry","given":"Michael D.","non-dropping-particle":"","parse-names":false,"suffix":""},{"dropping-particle":"","family":"Wu","given":"Ying Nian","non-dropping-particle":"","parse-names":false,"suffix":""},{"dropping-particle":"","family":"Zhou","given":"Qing","non-dropping-particle":"","parse-names":false,"suffix":""},{"dropping-particle":"","family":"Xing","given":"Yi","non-dropping-particle":"","parse-names":false,"suffix":""}],"container-title":"Proceedings of the National Academy of Sciences","id":"ITEM-1","issue":"51","issued":{"date-parts":[["2014","12","23"]]},"page":"E5593-E5601","publisher":"National Academy of Sciences","title":"rMATS: Robust and flexible detection of differential alternative splicing from replicate RNA-Seq data","type":"article-journal","volume":"111"},"uris":["http://www.mendeley.com/documents/?uuid=b014f2bb-aa6e-3cc4-92f2-e15776965644"]}],"mendeley":{"formattedCitation":"(Shen et al., 2014)","plainTextFormattedCitation":"(Shen et al., 2014)","previouslyFormattedCitation":"(Shen et al., 2014)"},"properties":{"noteIndex":0},"schema":"https://github.com/citation-style-language/schema/raw/master/csl-citation.json"}</w:instrText>
      </w:r>
      <w:r w:rsidRPr="00606368">
        <w:fldChar w:fldCharType="separate"/>
      </w:r>
      <w:r w:rsidRPr="00606368">
        <w:rPr>
          <w:noProof/>
        </w:rPr>
        <w:t>(Shen et al., 2014)</w:t>
      </w:r>
      <w:r w:rsidRPr="00606368">
        <w:fldChar w:fldCharType="end"/>
      </w:r>
      <w:r w:rsidRPr="00606368">
        <w:t>. BAM files aligned with STAR v2.6.0a two-pass method with soft clipping suppressed were used as input.</w:t>
      </w:r>
      <w:r w:rsidR="00544737" w:rsidRPr="00606368">
        <w:rPr>
          <w:b/>
        </w:rPr>
        <w:br w:type="page"/>
      </w:r>
    </w:p>
    <w:p w14:paraId="296CE51A" w14:textId="4DA1EB72" w:rsidR="008A2B15" w:rsidRPr="00606368" w:rsidRDefault="007D29F2" w:rsidP="009641D0">
      <w:pPr>
        <w:spacing w:line="480" w:lineRule="auto"/>
        <w:rPr>
          <w:b/>
        </w:rPr>
      </w:pPr>
      <w:r w:rsidRPr="00606368">
        <w:rPr>
          <w:b/>
        </w:rPr>
        <w:lastRenderedPageBreak/>
        <w:t>RESULTS</w:t>
      </w:r>
    </w:p>
    <w:p w14:paraId="38F0FE3C" w14:textId="4AA79BE0" w:rsidR="008920D6" w:rsidRPr="00606368" w:rsidRDefault="007D29F2" w:rsidP="00AC41D9">
      <w:pPr>
        <w:spacing w:after="240" w:line="480" w:lineRule="auto"/>
        <w:ind w:firstLine="720"/>
        <w:jc w:val="both"/>
      </w:pPr>
      <w:r w:rsidRPr="00606368">
        <w:t xml:space="preserve">To investigate differential gene and transcript expression and differential splicing in the endometrial glands of women with </w:t>
      </w:r>
      <w:r w:rsidR="004651C3" w:rsidRPr="00606368">
        <w:t>recurrent pregnancy loss</w:t>
      </w:r>
      <w:r w:rsidRPr="00606368">
        <w:t xml:space="preserve"> compared to controls</w:t>
      </w:r>
      <w:r w:rsidR="007960CD" w:rsidRPr="00606368">
        <w:t>,</w:t>
      </w:r>
      <w:r w:rsidRPr="00606368">
        <w:t xml:space="preserve"> we performed paired-end 2 x 150</w:t>
      </w:r>
      <w:r w:rsidR="00691EBC" w:rsidRPr="00606368">
        <w:t xml:space="preserve"> </w:t>
      </w:r>
      <w:r w:rsidRPr="00606368">
        <w:t>bp</w:t>
      </w:r>
      <w:r w:rsidR="00C35F06" w:rsidRPr="00606368">
        <w:t xml:space="preserve"> RNA sequencing to an average depth of 24.7 </w:t>
      </w:r>
      <w:r w:rsidRPr="00606368">
        <w:t xml:space="preserve">million reads per sample on five pairs of isolated endometrial glands from </w:t>
      </w:r>
      <w:r w:rsidR="004651C3" w:rsidRPr="00606368">
        <w:t>recurrent pregnancy loss</w:t>
      </w:r>
      <w:r w:rsidRPr="00606368">
        <w:t xml:space="preserve"> patients versus controls matched by the day of the menstrual cycle (</w:t>
      </w:r>
      <w:r w:rsidRPr="00606368">
        <w:rPr>
          <w:b/>
          <w:color w:val="002060"/>
        </w:rPr>
        <w:t>Fig</w:t>
      </w:r>
      <w:r w:rsidR="005311F3" w:rsidRPr="00606368">
        <w:rPr>
          <w:b/>
          <w:color w:val="002060"/>
        </w:rPr>
        <w:t>ure</w:t>
      </w:r>
      <w:r w:rsidRPr="00606368">
        <w:rPr>
          <w:b/>
          <w:color w:val="002060"/>
        </w:rPr>
        <w:t xml:space="preserve"> 1a</w:t>
      </w:r>
      <w:r w:rsidR="005F6542" w:rsidRPr="00606368">
        <w:rPr>
          <w:b/>
          <w:color w:val="002060"/>
        </w:rPr>
        <w:t>, Table 1</w:t>
      </w:r>
      <w:r w:rsidRPr="00606368">
        <w:t>).</w:t>
      </w:r>
      <w:r w:rsidR="005F6542" w:rsidRPr="00606368">
        <w:t xml:space="preserve"> </w:t>
      </w:r>
      <w:r w:rsidR="00B87C71" w:rsidRPr="00606368">
        <w:t>Seventy-three</w:t>
      </w:r>
      <w:r w:rsidRPr="00606368">
        <w:t xml:space="preserve"> genes were differentially expressed using a 5%</w:t>
      </w:r>
      <w:r w:rsidRPr="00606368">
        <w:rPr>
          <w:color w:val="000000"/>
        </w:rPr>
        <w:t xml:space="preserve"> FDR in the glandular epithelium from women with </w:t>
      </w:r>
      <w:r w:rsidR="004651C3" w:rsidRPr="00606368">
        <w:t>recurrent pregnancy loss</w:t>
      </w:r>
      <w:r w:rsidRPr="00606368">
        <w:rPr>
          <w:color w:val="000000"/>
        </w:rPr>
        <w:t xml:space="preserve"> versus controls (</w:t>
      </w:r>
      <w:r w:rsidRPr="00606368">
        <w:rPr>
          <w:b/>
          <w:color w:val="002060"/>
        </w:rPr>
        <w:t>Fig</w:t>
      </w:r>
      <w:r w:rsidR="005311F3" w:rsidRPr="00606368">
        <w:rPr>
          <w:b/>
          <w:color w:val="002060"/>
        </w:rPr>
        <w:t>ure</w:t>
      </w:r>
      <w:r w:rsidRPr="00606368">
        <w:rPr>
          <w:b/>
          <w:color w:val="002060"/>
        </w:rPr>
        <w:t xml:space="preserve"> 1b</w:t>
      </w:r>
      <w:r w:rsidRPr="00606368">
        <w:rPr>
          <w:color w:val="000000"/>
        </w:rPr>
        <w:t>).</w:t>
      </w:r>
      <w:r w:rsidRPr="00606368">
        <w:t xml:space="preserve"> Of these, 38 genes were upregulated and 35 genes were down regulated in </w:t>
      </w:r>
      <w:r w:rsidR="004651C3" w:rsidRPr="00606368">
        <w:t>recurrent pregnancy loss</w:t>
      </w:r>
      <w:r w:rsidRPr="00606368">
        <w:t xml:space="preserve">. </w:t>
      </w:r>
      <w:r w:rsidR="00B87C71" w:rsidRPr="00606368">
        <w:t>Fifty-seven</w:t>
      </w:r>
      <w:r w:rsidRPr="00606368">
        <w:t xml:space="preserve"> genes met a more stringent 1.15 log fold change threshold and of these, 24 genes were upregulated and 33 genes were downregulated (</w:t>
      </w:r>
      <w:r w:rsidRPr="00606368">
        <w:rPr>
          <w:b/>
          <w:color w:val="002060"/>
        </w:rPr>
        <w:t>Fig</w:t>
      </w:r>
      <w:r w:rsidR="005311F3" w:rsidRPr="00606368">
        <w:rPr>
          <w:b/>
          <w:color w:val="002060"/>
        </w:rPr>
        <w:t>ure</w:t>
      </w:r>
      <w:r w:rsidRPr="00606368">
        <w:rPr>
          <w:b/>
          <w:color w:val="002060"/>
        </w:rPr>
        <w:t xml:space="preserve"> 1b</w:t>
      </w:r>
      <w:r w:rsidRPr="00606368">
        <w:t>). Differential gene expression in the glandular epithelium from women with recurrent pregnancy loss compared to controls included upregulation of the glandular secretory product</w:t>
      </w:r>
      <w:r w:rsidR="005311F3" w:rsidRPr="00606368">
        <w:t xml:space="preserve"> genes</w:t>
      </w:r>
      <w:r w:rsidRPr="00606368">
        <w:t xml:space="preserve"> </w:t>
      </w:r>
      <w:r w:rsidR="00606368" w:rsidRPr="00606368">
        <w:t>progestagen-associated endometrial protein (</w:t>
      </w:r>
      <w:r w:rsidRPr="00606368">
        <w:rPr>
          <w:i/>
        </w:rPr>
        <w:t>PAEP</w:t>
      </w:r>
      <w:r w:rsidR="00606368" w:rsidRPr="00606368">
        <w:rPr>
          <w:i/>
        </w:rPr>
        <w:t>)</w:t>
      </w:r>
      <w:r w:rsidRPr="00606368">
        <w:t xml:space="preserve"> and </w:t>
      </w:r>
      <w:r w:rsidRPr="00606368">
        <w:rPr>
          <w:i/>
        </w:rPr>
        <w:t>SYT13</w:t>
      </w:r>
      <w:r w:rsidRPr="00606368">
        <w:t xml:space="preserve"> involved in transport vesicle docking to the plasma membrane. Significantly enriched biological processes in the glandular epithelium from women with </w:t>
      </w:r>
      <w:r w:rsidR="004651C3" w:rsidRPr="00606368">
        <w:t>recurrent pregnancy loss</w:t>
      </w:r>
      <w:r w:rsidRPr="00606368">
        <w:t xml:space="preserve"> included </w:t>
      </w:r>
      <w:r w:rsidRPr="00606368">
        <w:rPr>
          <w:color w:val="000000"/>
        </w:rPr>
        <w:t xml:space="preserve">metal ion homeostasis and isoprenoid catabolic processes </w:t>
      </w:r>
      <w:r w:rsidRPr="00606368">
        <w:t>(</w:t>
      </w:r>
      <w:r w:rsidRPr="00606368">
        <w:rPr>
          <w:b/>
          <w:color w:val="002060"/>
        </w:rPr>
        <w:t>Fig</w:t>
      </w:r>
      <w:r w:rsidR="005311F3" w:rsidRPr="00606368">
        <w:rPr>
          <w:b/>
          <w:color w:val="002060"/>
        </w:rPr>
        <w:t>ure</w:t>
      </w:r>
      <w:r w:rsidRPr="00606368">
        <w:rPr>
          <w:b/>
          <w:color w:val="002060"/>
        </w:rPr>
        <w:t xml:space="preserve"> 1c</w:t>
      </w:r>
      <w:r w:rsidRPr="00606368">
        <w:t>). U</w:t>
      </w:r>
      <w:r w:rsidR="00AA4295" w:rsidRPr="00606368">
        <w:t>nsupervised clustering principal</w:t>
      </w:r>
      <w:r w:rsidRPr="00606368">
        <w:t xml:space="preserve"> component analysis reported that cycle length clustered at day 28 of the menstrual cycle, and therefore was inclu</w:t>
      </w:r>
      <w:r w:rsidR="005311F3" w:rsidRPr="00606368">
        <w:t xml:space="preserve">ded as a cofounding factor for </w:t>
      </w:r>
      <w:r w:rsidRPr="00606368">
        <w:t>differential gene expression</w:t>
      </w:r>
      <w:r w:rsidR="00C14846" w:rsidRPr="00606368">
        <w:t xml:space="preserve"> analysis</w:t>
      </w:r>
      <w:r w:rsidR="00D44042" w:rsidRPr="00606368">
        <w:t xml:space="preserve"> (</w:t>
      </w:r>
      <w:r w:rsidR="00D44042" w:rsidRPr="00606368">
        <w:rPr>
          <w:b/>
          <w:color w:val="002060"/>
        </w:rPr>
        <w:t>Su</w:t>
      </w:r>
      <w:r w:rsidR="005311F3" w:rsidRPr="00606368">
        <w:rPr>
          <w:b/>
          <w:color w:val="002060"/>
        </w:rPr>
        <w:t>pplementary</w:t>
      </w:r>
      <w:r w:rsidR="00D44042" w:rsidRPr="00606368">
        <w:rPr>
          <w:b/>
          <w:color w:val="002060"/>
        </w:rPr>
        <w:t xml:space="preserve"> Fig</w:t>
      </w:r>
      <w:r w:rsidR="005311F3" w:rsidRPr="00606368">
        <w:rPr>
          <w:b/>
          <w:color w:val="002060"/>
        </w:rPr>
        <w:t>ure</w:t>
      </w:r>
      <w:r w:rsidR="00D44042" w:rsidRPr="00606368">
        <w:rPr>
          <w:b/>
          <w:color w:val="002060"/>
        </w:rPr>
        <w:t xml:space="preserve"> 1</w:t>
      </w:r>
      <w:r w:rsidR="00D44042" w:rsidRPr="00606368">
        <w:t>)</w:t>
      </w:r>
      <w:r w:rsidRPr="00606368">
        <w:t>.</w:t>
      </w:r>
    </w:p>
    <w:p w14:paraId="0AAE7AD0" w14:textId="1BA2D915" w:rsidR="008920D6" w:rsidRPr="00606368" w:rsidRDefault="007D29F2" w:rsidP="00AC41D9">
      <w:pPr>
        <w:spacing w:after="240" w:line="480" w:lineRule="auto"/>
        <w:ind w:firstLine="720"/>
        <w:jc w:val="both"/>
      </w:pPr>
      <w:r w:rsidRPr="00606368">
        <w:t xml:space="preserve">To further investigate transcriptomic differences between the endometrial glands of women with recurrent </w:t>
      </w:r>
      <w:r w:rsidR="00A77E7E" w:rsidRPr="00606368">
        <w:t>pregnancy loss</w:t>
      </w:r>
      <w:r w:rsidRPr="00606368">
        <w:t xml:space="preserve"> and controls, we carried out transcript-level expression analysis and alternative splicing analysis on our RNAseq data. </w:t>
      </w:r>
      <w:r w:rsidR="00A77E7E" w:rsidRPr="00606368">
        <w:t>Two-hundred and seventy-eight</w:t>
      </w:r>
      <w:r w:rsidRPr="00606368">
        <w:t xml:space="preserve"> differentially expressed gene transcripts were reported in the glandular epithelium of women with recurrent pregnancy loss versus controls. Of those, 257 gene transcripts were upregulated and 21 gene transcripts were downregulated in </w:t>
      </w:r>
      <w:r w:rsidR="004651C3" w:rsidRPr="00606368">
        <w:t>recurrent pregnancy loss</w:t>
      </w:r>
      <w:r w:rsidR="00C14846" w:rsidRPr="00606368">
        <w:t xml:space="preserve"> (Fig 2a)</w:t>
      </w:r>
      <w:r w:rsidRPr="00606368">
        <w:t xml:space="preserve">. Specific gene </w:t>
      </w:r>
      <w:r w:rsidRPr="00606368">
        <w:lastRenderedPageBreak/>
        <w:t>transcripts included a significant upregulation of pre-identified glandular secretory prod</w:t>
      </w:r>
      <w:r w:rsidRPr="00606368">
        <w:rPr>
          <w:color w:val="000000"/>
        </w:rPr>
        <w:t xml:space="preserve">uct </w:t>
      </w:r>
      <w:r w:rsidRPr="00606368">
        <w:rPr>
          <w:i/>
          <w:color w:val="000000"/>
        </w:rPr>
        <w:t>MUC16-204,</w:t>
      </w:r>
      <w:r w:rsidRPr="00606368">
        <w:rPr>
          <w:color w:val="000000"/>
        </w:rPr>
        <w:t xml:space="preserve"> glandular progenitor cell marker </w:t>
      </w:r>
      <w:r w:rsidRPr="00606368">
        <w:rPr>
          <w:i/>
          <w:color w:val="000000"/>
        </w:rPr>
        <w:t>LRIG1-205</w:t>
      </w:r>
      <w:r w:rsidRPr="00606368">
        <w:rPr>
          <w:color w:val="000000"/>
        </w:rPr>
        <w:t xml:space="preserve">, intraciliary transport particle </w:t>
      </w:r>
      <w:r w:rsidRPr="00606368">
        <w:rPr>
          <w:i/>
          <w:color w:val="000000"/>
        </w:rPr>
        <w:t>IFT122-204</w:t>
      </w:r>
      <w:r w:rsidRPr="00606368">
        <w:rPr>
          <w:color w:val="000000"/>
        </w:rPr>
        <w:t xml:space="preserve"> and known endometrial receptivity marker </w:t>
      </w:r>
      <w:r w:rsidRPr="00606368">
        <w:rPr>
          <w:i/>
          <w:color w:val="000000"/>
        </w:rPr>
        <w:t>LAMB3</w:t>
      </w:r>
      <w:r w:rsidRPr="00606368">
        <w:rPr>
          <w:color w:val="000000"/>
        </w:rPr>
        <w:t xml:space="preserve"> (</w:t>
      </w:r>
      <w:r w:rsidRPr="00606368">
        <w:rPr>
          <w:i/>
          <w:color w:val="000000"/>
        </w:rPr>
        <w:t>LAMB-201</w:t>
      </w:r>
      <w:r w:rsidRPr="00606368">
        <w:rPr>
          <w:color w:val="000000"/>
        </w:rPr>
        <w:t xml:space="preserve">, </w:t>
      </w:r>
      <w:r w:rsidRPr="00606368">
        <w:rPr>
          <w:i/>
          <w:color w:val="000000"/>
        </w:rPr>
        <w:t xml:space="preserve">LAMB-204 </w:t>
      </w:r>
      <w:r w:rsidRPr="00606368">
        <w:rPr>
          <w:color w:val="000000"/>
        </w:rPr>
        <w:t xml:space="preserve">and </w:t>
      </w:r>
      <w:r w:rsidRPr="00606368">
        <w:rPr>
          <w:i/>
          <w:color w:val="000000"/>
        </w:rPr>
        <w:t>LAMB3-203</w:t>
      </w:r>
      <w:r w:rsidRPr="00606368">
        <w:rPr>
          <w:color w:val="000000"/>
        </w:rPr>
        <w:t xml:space="preserve">). </w:t>
      </w:r>
      <w:r w:rsidRPr="00606368">
        <w:t xml:space="preserve">The </w:t>
      </w:r>
      <w:r w:rsidR="004651C3" w:rsidRPr="00606368">
        <w:t>recurrent pregnancy loss</w:t>
      </w:r>
      <w:r w:rsidRPr="00606368">
        <w:t xml:space="preserve"> group is a heterogeneous group. The two most significantly enriched biological pr</w:t>
      </w:r>
      <w:r w:rsidR="004651C3" w:rsidRPr="00606368">
        <w:t>ocesses in the glandular epithelium of women with recurrent pregnancy loss inclu</w:t>
      </w:r>
      <w:r w:rsidRPr="00606368">
        <w:t>de tissue morphogenesis and positive regulation of cell differentiation (</w:t>
      </w:r>
      <w:r w:rsidRPr="00606368">
        <w:rPr>
          <w:b/>
          <w:color w:val="002060"/>
        </w:rPr>
        <w:t>Fig</w:t>
      </w:r>
      <w:r w:rsidR="005311F3" w:rsidRPr="00606368">
        <w:rPr>
          <w:b/>
          <w:color w:val="002060"/>
        </w:rPr>
        <w:t>ure</w:t>
      </w:r>
      <w:r w:rsidRPr="00606368">
        <w:rPr>
          <w:b/>
          <w:color w:val="002060"/>
        </w:rPr>
        <w:t xml:space="preserve"> 2b</w:t>
      </w:r>
      <w:r w:rsidRPr="00606368">
        <w:t>).</w:t>
      </w:r>
    </w:p>
    <w:p w14:paraId="3A577B18" w14:textId="7784C360" w:rsidR="008920D6" w:rsidRPr="00606368" w:rsidRDefault="007D29F2" w:rsidP="00AC41D9">
      <w:pPr>
        <w:spacing w:after="240" w:line="480" w:lineRule="auto"/>
        <w:ind w:firstLine="720"/>
        <w:jc w:val="both"/>
      </w:pPr>
      <w:r w:rsidRPr="00606368">
        <w:t xml:space="preserve">Alternative splicing events were significantly different in the glandular epithelium from women </w:t>
      </w:r>
      <w:r w:rsidR="004651C3" w:rsidRPr="00606368">
        <w:t>with recurrent pregnancy loss v</w:t>
      </w:r>
      <w:r w:rsidRPr="00606368">
        <w:t xml:space="preserve">ersus controls. These included exon skipping, intron retention, mutually exclusive exons, alternative 3’ splice site and alternative 5’ splice site. </w:t>
      </w:r>
      <w:r w:rsidR="007960CD" w:rsidRPr="00606368">
        <w:t>Four hundred and eighty-five</w:t>
      </w:r>
      <w:r w:rsidRPr="00606368">
        <w:t xml:space="preserve"> gene transcripts were significantly altered in exon skipping </w:t>
      </w:r>
      <w:r w:rsidR="00C14846" w:rsidRPr="00606368">
        <w:t>(&lt;</w:t>
      </w:r>
      <w:r w:rsidR="00691EBC" w:rsidRPr="00606368">
        <w:t xml:space="preserve"> </w:t>
      </w:r>
      <w:r w:rsidR="00C14846" w:rsidRPr="00606368">
        <w:t>0.05 FDR</w:t>
      </w:r>
      <w:r w:rsidRPr="00606368">
        <w:t>)</w:t>
      </w:r>
      <w:r w:rsidR="007960CD" w:rsidRPr="00606368">
        <w:t>, and</w:t>
      </w:r>
      <w:r w:rsidRPr="00606368">
        <w:t xml:space="preserve"> were enriched in the cilium and microtubule skeleton cellular components</w:t>
      </w:r>
      <w:r w:rsidR="007960CD" w:rsidRPr="00606368">
        <w:t xml:space="preserve"> (</w:t>
      </w:r>
      <w:r w:rsidR="007960CD" w:rsidRPr="00606368">
        <w:rPr>
          <w:b/>
          <w:color w:val="002060"/>
        </w:rPr>
        <w:t>Fig</w:t>
      </w:r>
      <w:r w:rsidR="005311F3" w:rsidRPr="00606368">
        <w:rPr>
          <w:b/>
          <w:color w:val="002060"/>
        </w:rPr>
        <w:t>ure</w:t>
      </w:r>
      <w:r w:rsidR="007960CD" w:rsidRPr="00606368">
        <w:rPr>
          <w:b/>
          <w:color w:val="002060"/>
        </w:rPr>
        <w:t xml:space="preserve"> 3a</w:t>
      </w:r>
      <w:r w:rsidR="007960CD" w:rsidRPr="00606368">
        <w:t>)</w:t>
      </w:r>
      <w:r w:rsidRPr="00606368">
        <w:t>. Specific human gene transcripts included those involved in cilia</w:t>
      </w:r>
      <w:r w:rsidR="00AA4295" w:rsidRPr="00606368">
        <w:t>ry</w:t>
      </w:r>
      <w:r w:rsidRPr="00606368">
        <w:t xml:space="preserve"> function (</w:t>
      </w:r>
      <w:r w:rsidRPr="00606368">
        <w:rPr>
          <w:i/>
        </w:rPr>
        <w:t>GALNT11</w:t>
      </w:r>
      <w:r w:rsidRPr="00606368">
        <w:t xml:space="preserve">, </w:t>
      </w:r>
      <w:r w:rsidRPr="00606368">
        <w:rPr>
          <w:i/>
        </w:rPr>
        <w:t>FBXL13</w:t>
      </w:r>
      <w:r w:rsidRPr="00606368">
        <w:t xml:space="preserve"> and </w:t>
      </w:r>
      <w:r w:rsidRPr="00606368">
        <w:rPr>
          <w:i/>
        </w:rPr>
        <w:t>LRRC6</w:t>
      </w:r>
      <w:r w:rsidRPr="00606368">
        <w:t xml:space="preserve">). A previously unannotated </w:t>
      </w:r>
      <w:r w:rsidRPr="00606368">
        <w:rPr>
          <w:i/>
        </w:rPr>
        <w:t>GALNT11</w:t>
      </w:r>
      <w:r w:rsidRPr="00606368">
        <w:t xml:space="preserve"> transcript was reported (</w:t>
      </w:r>
      <w:r w:rsidRPr="00606368">
        <w:rPr>
          <w:i/>
        </w:rPr>
        <w:t>GALNT11-211</w:t>
      </w:r>
      <w:r w:rsidR="00AA4295" w:rsidRPr="00606368">
        <w:t>)</w:t>
      </w:r>
      <w:r w:rsidRPr="00606368">
        <w:t xml:space="preserve">, although </w:t>
      </w:r>
      <w:r w:rsidRPr="00606368">
        <w:rPr>
          <w:i/>
        </w:rPr>
        <w:t>GALNT11</w:t>
      </w:r>
      <w:r w:rsidRPr="00606368">
        <w:t xml:space="preserve"> is expressed at low levels there </w:t>
      </w:r>
      <w:r w:rsidR="00ED6964" w:rsidRPr="00606368">
        <w:t>was</w:t>
      </w:r>
      <w:r w:rsidRPr="00606368">
        <w:t xml:space="preserve"> a significant splicing difference between the numbers of reads spanning the exons (</w:t>
      </w:r>
      <w:r w:rsidRPr="00606368">
        <w:rPr>
          <w:b/>
          <w:color w:val="002060"/>
        </w:rPr>
        <w:t>Fig</w:t>
      </w:r>
      <w:r w:rsidR="005311F3" w:rsidRPr="00606368">
        <w:rPr>
          <w:b/>
          <w:color w:val="002060"/>
        </w:rPr>
        <w:t>ure</w:t>
      </w:r>
      <w:r w:rsidRPr="00606368">
        <w:rPr>
          <w:b/>
          <w:color w:val="002060"/>
        </w:rPr>
        <w:t xml:space="preserve"> 3d</w:t>
      </w:r>
      <w:r w:rsidRPr="00606368">
        <w:t xml:space="preserve">). </w:t>
      </w:r>
      <w:r w:rsidRPr="00606368">
        <w:rPr>
          <w:i/>
        </w:rPr>
        <w:t xml:space="preserve">GALNT11 </w:t>
      </w:r>
      <w:r w:rsidRPr="00606368">
        <w:t xml:space="preserve">exon skipped starting </w:t>
      </w:r>
      <w:r w:rsidR="00AA4295" w:rsidRPr="00606368">
        <w:t>at coordinate 152027596 and ending</w:t>
      </w:r>
      <w:r w:rsidRPr="00606368">
        <w:t xml:space="preserve"> at coordinate 152027718. Other cilia gene transcripts present include </w:t>
      </w:r>
      <w:r w:rsidRPr="00606368">
        <w:rPr>
          <w:i/>
        </w:rPr>
        <w:t>SEPTIN2-205</w:t>
      </w:r>
      <w:r w:rsidRPr="00606368">
        <w:t xml:space="preserve">, </w:t>
      </w:r>
      <w:r w:rsidRPr="00606368">
        <w:rPr>
          <w:i/>
        </w:rPr>
        <w:t>TUBA4A-210</w:t>
      </w:r>
      <w:r w:rsidRPr="00606368">
        <w:t xml:space="preserve">, </w:t>
      </w:r>
      <w:r w:rsidRPr="00606368">
        <w:rPr>
          <w:i/>
        </w:rPr>
        <w:t>TUBA4A-201</w:t>
      </w:r>
      <w:r w:rsidRPr="00606368">
        <w:t xml:space="preserve">, </w:t>
      </w:r>
      <w:r w:rsidRPr="00606368">
        <w:rPr>
          <w:i/>
        </w:rPr>
        <w:t>TUBA4A-208</w:t>
      </w:r>
      <w:r w:rsidRPr="00606368">
        <w:t xml:space="preserve">, </w:t>
      </w:r>
      <w:r w:rsidRPr="00606368">
        <w:rPr>
          <w:i/>
        </w:rPr>
        <w:t>TUBA4A-209</w:t>
      </w:r>
      <w:r w:rsidRPr="00606368">
        <w:t xml:space="preserve"> and </w:t>
      </w:r>
      <w:r w:rsidRPr="00606368">
        <w:rPr>
          <w:i/>
        </w:rPr>
        <w:t>TCTN1-219</w:t>
      </w:r>
      <w:r w:rsidRPr="00606368">
        <w:t xml:space="preserve"> (</w:t>
      </w:r>
      <w:r w:rsidRPr="00606368">
        <w:rPr>
          <w:b/>
          <w:color w:val="002060"/>
        </w:rPr>
        <w:t>Fig</w:t>
      </w:r>
      <w:r w:rsidR="005311F3" w:rsidRPr="00606368">
        <w:rPr>
          <w:b/>
          <w:color w:val="002060"/>
        </w:rPr>
        <w:t>ure</w:t>
      </w:r>
      <w:r w:rsidRPr="00606368">
        <w:rPr>
          <w:b/>
          <w:color w:val="002060"/>
        </w:rPr>
        <w:t xml:space="preserve"> 2e</w:t>
      </w:r>
      <w:r w:rsidRPr="00606368">
        <w:t xml:space="preserve">). </w:t>
      </w:r>
      <w:r w:rsidRPr="00606368">
        <w:rPr>
          <w:i/>
        </w:rPr>
        <w:t>GAS5</w:t>
      </w:r>
      <w:r w:rsidRPr="00606368">
        <w:t xml:space="preserve"> and </w:t>
      </w:r>
      <w:r w:rsidRPr="00606368">
        <w:rPr>
          <w:i/>
        </w:rPr>
        <w:t>DYNLL1</w:t>
      </w:r>
      <w:r w:rsidRPr="00606368">
        <w:t xml:space="preserve"> also had significantly altered intron retent</w:t>
      </w:r>
      <w:r w:rsidR="00C14846" w:rsidRPr="00606368">
        <w:t>ion events</w:t>
      </w:r>
      <w:r w:rsidRPr="00606368">
        <w:t>.</w:t>
      </w:r>
    </w:p>
    <w:p w14:paraId="08E69B87" w14:textId="4E6D285F" w:rsidR="008920D6" w:rsidRPr="00606368" w:rsidRDefault="007D29F2" w:rsidP="00AC41D9">
      <w:pPr>
        <w:spacing w:after="240" w:line="480" w:lineRule="auto"/>
        <w:ind w:firstLine="720"/>
        <w:jc w:val="both"/>
      </w:pPr>
      <w:r w:rsidRPr="00606368">
        <w:t>Eighty-three gene transcripts were significantly changed in intron retention (&lt;</w:t>
      </w:r>
      <w:r w:rsidR="00691EBC" w:rsidRPr="00606368">
        <w:t xml:space="preserve"> </w:t>
      </w:r>
      <w:r w:rsidRPr="00606368">
        <w:t>0.05 FDR) and were enriched in biological processes RNA helicase activity, catalytic activity acting on RNA, long chain dehydrogenase activity and positive regulation of projection organization</w:t>
      </w:r>
      <w:r w:rsidR="007960CD" w:rsidRPr="00606368">
        <w:t xml:space="preserve"> (</w:t>
      </w:r>
      <w:r w:rsidR="007960CD" w:rsidRPr="00606368">
        <w:rPr>
          <w:b/>
          <w:color w:val="002060"/>
        </w:rPr>
        <w:t>Fig</w:t>
      </w:r>
      <w:r w:rsidR="005311F3" w:rsidRPr="00606368">
        <w:rPr>
          <w:b/>
          <w:color w:val="002060"/>
        </w:rPr>
        <w:t>ure</w:t>
      </w:r>
      <w:r w:rsidR="007960CD" w:rsidRPr="00606368">
        <w:rPr>
          <w:b/>
          <w:color w:val="002060"/>
        </w:rPr>
        <w:t xml:space="preserve"> 3b</w:t>
      </w:r>
      <w:r w:rsidR="007960CD" w:rsidRPr="00606368">
        <w:t>)</w:t>
      </w:r>
      <w:r w:rsidRPr="00606368">
        <w:t xml:space="preserve">. </w:t>
      </w:r>
      <w:r w:rsidR="00B87C71" w:rsidRPr="00606368">
        <w:t>Eighty-six</w:t>
      </w:r>
      <w:r w:rsidRPr="00606368">
        <w:t xml:space="preserve"> gene transcripts had significantly altered mutually exclusive exons in </w:t>
      </w:r>
      <w:r w:rsidRPr="00606368">
        <w:lastRenderedPageBreak/>
        <w:t>the glandular epithelium of wome</w:t>
      </w:r>
      <w:r w:rsidR="004651C3" w:rsidRPr="00606368">
        <w:t>n with recurrent pregnancy loss com</w:t>
      </w:r>
      <w:r w:rsidRPr="00606368">
        <w:t>pared to controls (&lt;</w:t>
      </w:r>
      <w:r w:rsidR="00691EBC" w:rsidRPr="00606368">
        <w:t xml:space="preserve"> </w:t>
      </w:r>
      <w:r w:rsidRPr="00606368">
        <w:t xml:space="preserve">0.05 FDR). </w:t>
      </w:r>
      <w:r w:rsidR="00B87C71" w:rsidRPr="00606368">
        <w:t>Seventy</w:t>
      </w:r>
      <w:r w:rsidRPr="00606368">
        <w:t xml:space="preserve"> gene transcripts had significantly alternative 3’prime splice sites in the glandular epithelium of women w</w:t>
      </w:r>
      <w:r w:rsidR="009E5787" w:rsidRPr="00606368">
        <w:t>ith recurrent pregnancy loss c</w:t>
      </w:r>
      <w:r w:rsidRPr="00606368">
        <w:t>ompared to controls (&lt;</w:t>
      </w:r>
      <w:r w:rsidR="00691EBC" w:rsidRPr="00606368">
        <w:t xml:space="preserve"> </w:t>
      </w:r>
      <w:r w:rsidRPr="00606368">
        <w:t xml:space="preserve">0.05 FDR). Finally, 49 gene transcripts had significantly alternative 5’ splice sites in the glandular epithelium from women </w:t>
      </w:r>
      <w:r w:rsidR="009E5787" w:rsidRPr="00606368">
        <w:t>with recurrent pregnancy loss c</w:t>
      </w:r>
      <w:r w:rsidRPr="00606368">
        <w:t>ompared to controls (&lt;</w:t>
      </w:r>
      <w:r w:rsidR="00691EBC" w:rsidRPr="00606368">
        <w:t xml:space="preserve"> </w:t>
      </w:r>
      <w:r w:rsidRPr="00606368">
        <w:t>0.05 FDR).</w:t>
      </w:r>
    </w:p>
    <w:p w14:paraId="00C619C7" w14:textId="7225AB2F" w:rsidR="00E01940" w:rsidRPr="00606368" w:rsidRDefault="007D29F2" w:rsidP="00833027">
      <w:pPr>
        <w:spacing w:line="480" w:lineRule="auto"/>
        <w:ind w:firstLine="720"/>
        <w:jc w:val="both"/>
      </w:pPr>
      <w:r w:rsidRPr="00606368">
        <w:t xml:space="preserve">Seven </w:t>
      </w:r>
      <w:r w:rsidRPr="00606368">
        <w:rPr>
          <w:i/>
        </w:rPr>
        <w:t>PAEP</w:t>
      </w:r>
      <w:r w:rsidRPr="00606368">
        <w:t xml:space="preserve"> gene transcripts were upregulated in endometrial glands from women with </w:t>
      </w:r>
      <w:r w:rsidR="009E5787" w:rsidRPr="00606368">
        <w:t>recurrent pregnancy loss com</w:t>
      </w:r>
      <w:r w:rsidRPr="00606368">
        <w:t xml:space="preserve">pared to controls. These included </w:t>
      </w:r>
      <w:r w:rsidRPr="00606368">
        <w:rPr>
          <w:i/>
        </w:rPr>
        <w:t>PAEP-206</w:t>
      </w:r>
      <w:r w:rsidRPr="00606368">
        <w:t xml:space="preserve">, </w:t>
      </w:r>
      <w:r w:rsidRPr="00606368">
        <w:rPr>
          <w:i/>
        </w:rPr>
        <w:t>PAEP-201</w:t>
      </w:r>
      <w:r w:rsidRPr="00606368">
        <w:t xml:space="preserve">, </w:t>
      </w:r>
      <w:r w:rsidRPr="00606368">
        <w:rPr>
          <w:i/>
        </w:rPr>
        <w:t>PAEP-208</w:t>
      </w:r>
      <w:r w:rsidRPr="00606368">
        <w:t xml:space="preserve">, </w:t>
      </w:r>
      <w:r w:rsidRPr="00606368">
        <w:rPr>
          <w:i/>
        </w:rPr>
        <w:t>PAEP-209</w:t>
      </w:r>
      <w:r w:rsidRPr="00606368">
        <w:t xml:space="preserve">, </w:t>
      </w:r>
      <w:r w:rsidRPr="00606368">
        <w:rPr>
          <w:i/>
        </w:rPr>
        <w:t>PAEP-205</w:t>
      </w:r>
      <w:r w:rsidRPr="00606368">
        <w:t xml:space="preserve">, </w:t>
      </w:r>
      <w:r w:rsidRPr="00606368">
        <w:rPr>
          <w:i/>
        </w:rPr>
        <w:t>PAEP-207</w:t>
      </w:r>
      <w:r w:rsidRPr="00606368">
        <w:t xml:space="preserve"> and </w:t>
      </w:r>
      <w:r w:rsidRPr="00606368">
        <w:rPr>
          <w:i/>
        </w:rPr>
        <w:t>PAEP-202</w:t>
      </w:r>
      <w:r w:rsidRPr="00606368">
        <w:t xml:space="preserve"> (</w:t>
      </w:r>
      <w:r w:rsidRPr="00606368">
        <w:rPr>
          <w:b/>
          <w:color w:val="002060"/>
        </w:rPr>
        <w:t>Fig</w:t>
      </w:r>
      <w:r w:rsidR="005311F3" w:rsidRPr="00606368">
        <w:rPr>
          <w:b/>
          <w:color w:val="002060"/>
        </w:rPr>
        <w:t>ure</w:t>
      </w:r>
      <w:r w:rsidRPr="00606368">
        <w:rPr>
          <w:b/>
          <w:color w:val="002060"/>
        </w:rPr>
        <w:t xml:space="preserve"> 2c</w:t>
      </w:r>
      <w:r w:rsidRPr="00606368">
        <w:t xml:space="preserve">). </w:t>
      </w:r>
      <w:r w:rsidRPr="00606368">
        <w:rPr>
          <w:color w:val="000000"/>
        </w:rPr>
        <w:t>Alternative splicing of</w:t>
      </w:r>
      <w:r w:rsidRPr="00606368">
        <w:rPr>
          <w:i/>
          <w:color w:val="000000"/>
        </w:rPr>
        <w:t xml:space="preserve"> PAEP </w:t>
      </w:r>
      <w:r w:rsidRPr="00606368">
        <w:rPr>
          <w:color w:val="000000"/>
        </w:rPr>
        <w:t>in endometrial glands of women</w:t>
      </w:r>
      <w:r w:rsidR="009E5787" w:rsidRPr="00606368">
        <w:rPr>
          <w:color w:val="000000"/>
        </w:rPr>
        <w:t xml:space="preserve"> with recurrent pregnancy loss v</w:t>
      </w:r>
      <w:r w:rsidRPr="00606368">
        <w:rPr>
          <w:color w:val="000000"/>
        </w:rPr>
        <w:t xml:space="preserve">ersus controls (&lt;0.05 FDR) demonstrated cryptic splice site usage in </w:t>
      </w:r>
      <w:r w:rsidRPr="00606368">
        <w:rPr>
          <w:i/>
          <w:color w:val="000000"/>
        </w:rPr>
        <w:t>PAEP</w:t>
      </w:r>
      <w:r w:rsidRPr="00606368">
        <w:rPr>
          <w:color w:val="000000"/>
        </w:rPr>
        <w:t xml:space="preserve"> (</w:t>
      </w:r>
      <w:r w:rsidRPr="00606368">
        <w:rPr>
          <w:b/>
          <w:color w:val="002060"/>
        </w:rPr>
        <w:t>Fig</w:t>
      </w:r>
      <w:r w:rsidR="005311F3" w:rsidRPr="00606368">
        <w:rPr>
          <w:b/>
          <w:color w:val="002060"/>
        </w:rPr>
        <w:t>ure</w:t>
      </w:r>
      <w:r w:rsidRPr="00606368">
        <w:rPr>
          <w:b/>
          <w:color w:val="002060"/>
        </w:rPr>
        <w:t xml:space="preserve"> 3c</w:t>
      </w:r>
      <w:r w:rsidRPr="00606368">
        <w:rPr>
          <w:color w:val="000000"/>
        </w:rPr>
        <w:t xml:space="preserve">). </w:t>
      </w:r>
      <w:r w:rsidR="00B87C71" w:rsidRPr="00606368">
        <w:rPr>
          <w:color w:val="000000"/>
        </w:rPr>
        <w:t>Three</w:t>
      </w:r>
      <w:r w:rsidRPr="00606368">
        <w:rPr>
          <w:color w:val="000000"/>
        </w:rPr>
        <w:t xml:space="preserve"> </w:t>
      </w:r>
      <w:r w:rsidRPr="00606368">
        <w:rPr>
          <w:i/>
          <w:color w:val="000000"/>
        </w:rPr>
        <w:t>PA</w:t>
      </w:r>
      <w:r w:rsidRPr="00606368">
        <w:rPr>
          <w:i/>
        </w:rPr>
        <w:t>EP</w:t>
      </w:r>
      <w:r w:rsidRPr="00606368">
        <w:t xml:space="preserve"> exon skipping events were significantly alter</w:t>
      </w:r>
      <w:r w:rsidR="009E5787" w:rsidRPr="00606368">
        <w:t>ed in recurrent pregnancy loss v</w:t>
      </w:r>
      <w:r w:rsidRPr="00606368">
        <w:t xml:space="preserve">ersus controls. Exons skipped included </w:t>
      </w:r>
      <w:r w:rsidRPr="00606368">
        <w:rPr>
          <w:i/>
        </w:rPr>
        <w:t>PAEP</w:t>
      </w:r>
      <w:r w:rsidRPr="00606368">
        <w:t xml:space="preserve"> start coordinate 135562359 and end coordinate 135562433, </w:t>
      </w:r>
      <w:r w:rsidRPr="00606368">
        <w:rPr>
          <w:i/>
        </w:rPr>
        <w:t>PAEP</w:t>
      </w:r>
      <w:r w:rsidRPr="00606368">
        <w:t xml:space="preserve"> 135562293 - 135562433, and </w:t>
      </w:r>
      <w:r w:rsidRPr="00606368">
        <w:rPr>
          <w:i/>
        </w:rPr>
        <w:t>PAEP</w:t>
      </w:r>
      <w:r w:rsidRPr="00606368">
        <w:t xml:space="preserve"> 135564243 - 135564354. </w:t>
      </w:r>
      <w:r w:rsidRPr="00606368">
        <w:rPr>
          <w:i/>
        </w:rPr>
        <w:t>PAEP</w:t>
      </w:r>
      <w:r w:rsidRPr="00606368">
        <w:t xml:space="preserve"> intron retention events were not significantly changed in the glandular epithelium of women </w:t>
      </w:r>
      <w:r w:rsidR="009E5787" w:rsidRPr="00606368">
        <w:t>with recurrent pregnancy loss ver</w:t>
      </w:r>
      <w:r w:rsidRPr="00606368">
        <w:t xml:space="preserve">sus controls. </w:t>
      </w:r>
      <w:r w:rsidR="00B87C71" w:rsidRPr="00606368">
        <w:t>Five</w:t>
      </w:r>
      <w:r w:rsidRPr="00606368">
        <w:t xml:space="preserve"> mutually exclusive exon </w:t>
      </w:r>
      <w:r w:rsidRPr="00606368">
        <w:rPr>
          <w:i/>
        </w:rPr>
        <w:t>PAEP</w:t>
      </w:r>
      <w:r w:rsidRPr="00606368">
        <w:t xml:space="preserve"> events were significantly different in glandular epithelium from women</w:t>
      </w:r>
      <w:r w:rsidR="009E5787" w:rsidRPr="00606368">
        <w:t xml:space="preserve"> with recurrent pregnancy loss ver</w:t>
      </w:r>
      <w:r w:rsidRPr="00606368">
        <w:t>sus controls (&lt;</w:t>
      </w:r>
      <w:r w:rsidR="00691EBC" w:rsidRPr="00606368">
        <w:t xml:space="preserve"> </w:t>
      </w:r>
      <w:r w:rsidRPr="00606368">
        <w:t xml:space="preserve">0.05 FDR; </w:t>
      </w:r>
      <w:r w:rsidR="00ED6964" w:rsidRPr="00606368">
        <w:rPr>
          <w:b/>
          <w:color w:val="002060"/>
        </w:rPr>
        <w:t>Table 2</w:t>
      </w:r>
      <w:r w:rsidRPr="00606368">
        <w:t xml:space="preserve">). </w:t>
      </w:r>
      <w:r w:rsidR="00B87C71" w:rsidRPr="00606368">
        <w:t>Two</w:t>
      </w:r>
      <w:r w:rsidRPr="00606368">
        <w:t xml:space="preserve"> </w:t>
      </w:r>
      <w:r w:rsidRPr="00606368">
        <w:rPr>
          <w:i/>
        </w:rPr>
        <w:t xml:space="preserve">PAEP </w:t>
      </w:r>
      <w:r w:rsidRPr="00606368">
        <w:t>alternative 3’ splice sites were significantly altered in the glandular epithelium from w</w:t>
      </w:r>
      <w:r w:rsidR="009E5787" w:rsidRPr="00606368">
        <w:t>omen with recurrent pregnancy loss comp</w:t>
      </w:r>
      <w:r w:rsidRPr="00606368">
        <w:t xml:space="preserve">ared to controls. No alternative </w:t>
      </w:r>
      <w:r w:rsidRPr="00606368">
        <w:rPr>
          <w:i/>
        </w:rPr>
        <w:t>PAEP</w:t>
      </w:r>
      <w:r w:rsidRPr="00606368">
        <w:t xml:space="preserve"> 5’ splice sites however, were altered in the glandular epithelium from women with </w:t>
      </w:r>
      <w:r w:rsidR="009E5787" w:rsidRPr="00606368">
        <w:t>recurrent pregnancy loss c</w:t>
      </w:r>
      <w:r w:rsidRPr="00606368">
        <w:t>ompared to controls.</w:t>
      </w:r>
      <w:r w:rsidR="000B52E5" w:rsidRPr="00606368">
        <w:t xml:space="preserve"> </w:t>
      </w:r>
      <w:r w:rsidR="00C336C8" w:rsidRPr="00606368">
        <w:t>When comparing the transcriptome between women with recurrent pregnancy loss to controls, 12 genes were common to differential gene expression, differential gene transcript expression and alternative splicing events (</w:t>
      </w:r>
      <w:r w:rsidR="00C336C8" w:rsidRPr="00606368">
        <w:rPr>
          <w:b/>
          <w:color w:val="002060"/>
        </w:rPr>
        <w:t>Fig</w:t>
      </w:r>
      <w:r w:rsidR="005311F3" w:rsidRPr="00606368">
        <w:rPr>
          <w:b/>
          <w:color w:val="002060"/>
        </w:rPr>
        <w:t>ure</w:t>
      </w:r>
      <w:r w:rsidR="00C336C8" w:rsidRPr="00606368">
        <w:rPr>
          <w:b/>
          <w:color w:val="002060"/>
        </w:rPr>
        <w:t xml:space="preserve"> 4</w:t>
      </w:r>
      <w:r w:rsidR="00C336C8" w:rsidRPr="00606368">
        <w:t xml:space="preserve">). </w:t>
      </w:r>
      <w:r w:rsidR="000B52E5" w:rsidRPr="00606368">
        <w:t xml:space="preserve">TEM imaging </w:t>
      </w:r>
      <w:r w:rsidR="00334EF2" w:rsidRPr="00606368">
        <w:t>in endometrial gland secretory cells</w:t>
      </w:r>
      <w:r w:rsidR="000B52E5" w:rsidRPr="00606368">
        <w:t xml:space="preserve"> from control</w:t>
      </w:r>
      <w:r w:rsidR="00334EF2" w:rsidRPr="00606368">
        <w:t xml:space="preserve"> participants, demonstrate</w:t>
      </w:r>
      <w:r w:rsidR="00ED6964" w:rsidRPr="00606368">
        <w:t>d</w:t>
      </w:r>
      <w:r w:rsidR="000B52E5" w:rsidRPr="00606368">
        <w:t xml:space="preserve"> structures containing electron dense material budding from the apical s</w:t>
      </w:r>
      <w:r w:rsidR="00716496" w:rsidRPr="00606368">
        <w:t>urface of the epithelium</w:t>
      </w:r>
      <w:r w:rsidR="000B52E5" w:rsidRPr="00606368">
        <w:t xml:space="preserve">. SBF SEM reconstructions show that these </w:t>
      </w:r>
      <w:r w:rsidR="00ED6964" w:rsidRPr="00606368">
        <w:t>were</w:t>
      </w:r>
      <w:r w:rsidR="000B52E5" w:rsidRPr="00606368">
        <w:t xml:space="preserve"> approximately spherical</w:t>
      </w:r>
      <w:r w:rsidR="005C4334" w:rsidRPr="00606368">
        <w:t xml:space="preserve"> in shape </w:t>
      </w:r>
      <w:r w:rsidR="000B52E5" w:rsidRPr="00606368">
        <w:t>(</w:t>
      </w:r>
      <w:r w:rsidR="000B52E5" w:rsidRPr="00606368">
        <w:rPr>
          <w:b/>
          <w:color w:val="002060"/>
        </w:rPr>
        <w:t>Fig</w:t>
      </w:r>
      <w:r w:rsidR="005311F3" w:rsidRPr="00606368">
        <w:rPr>
          <w:b/>
          <w:color w:val="002060"/>
        </w:rPr>
        <w:t>ure</w:t>
      </w:r>
      <w:r w:rsidR="005C4334" w:rsidRPr="00606368">
        <w:rPr>
          <w:b/>
          <w:color w:val="002060"/>
        </w:rPr>
        <w:t xml:space="preserve"> 2d</w:t>
      </w:r>
      <w:r w:rsidR="000B52E5" w:rsidRPr="00606368">
        <w:t xml:space="preserve">). </w:t>
      </w:r>
      <w:r w:rsidR="00833027" w:rsidRPr="00606368">
        <w:br w:type="page"/>
      </w:r>
    </w:p>
    <w:p w14:paraId="1489B95F" w14:textId="26646338" w:rsidR="008A2B15" w:rsidRPr="00606368" w:rsidRDefault="007D29F2" w:rsidP="009641D0">
      <w:pPr>
        <w:spacing w:line="480" w:lineRule="auto"/>
        <w:rPr>
          <w:b/>
        </w:rPr>
      </w:pPr>
      <w:r w:rsidRPr="00606368">
        <w:rPr>
          <w:b/>
        </w:rPr>
        <w:lastRenderedPageBreak/>
        <w:t>DISCUSSION</w:t>
      </w:r>
    </w:p>
    <w:p w14:paraId="08E81258" w14:textId="77777777" w:rsidR="00833027" w:rsidRPr="00606368" w:rsidRDefault="007D29F2" w:rsidP="00833027">
      <w:pPr>
        <w:spacing w:after="240" w:line="480" w:lineRule="auto"/>
        <w:ind w:firstLine="720"/>
        <w:jc w:val="both"/>
      </w:pPr>
      <w:r w:rsidRPr="00606368">
        <w:t xml:space="preserve">Here we show that endometrial glandular ciliated and secretory cells exhibit </w:t>
      </w:r>
      <w:r w:rsidR="00B77DBE" w:rsidRPr="00606368">
        <w:t>dysregulation</w:t>
      </w:r>
      <w:r w:rsidR="00312145" w:rsidRPr="00606368">
        <w:t xml:space="preserve"> in w</w:t>
      </w:r>
      <w:r w:rsidR="009E5787" w:rsidRPr="00606368">
        <w:t>omen with recurrent pregnancy loss v</w:t>
      </w:r>
      <w:r w:rsidR="00312145" w:rsidRPr="00606368">
        <w:t>ersus controls.</w:t>
      </w:r>
      <w:r w:rsidR="00B77DBE" w:rsidRPr="00606368">
        <w:t xml:space="preserve"> </w:t>
      </w:r>
      <w:r w:rsidR="00312145" w:rsidRPr="00606368">
        <w:t>D</w:t>
      </w:r>
      <w:r w:rsidR="00B77DBE" w:rsidRPr="00606368">
        <w:t xml:space="preserve">ifferential </w:t>
      </w:r>
      <w:r w:rsidR="00312145" w:rsidRPr="00606368">
        <w:t>transcript expression</w:t>
      </w:r>
      <w:r w:rsidR="00B77DBE" w:rsidRPr="00606368">
        <w:t xml:space="preserve"> and relative exon usage </w:t>
      </w:r>
      <w:r w:rsidR="00312145" w:rsidRPr="00606368">
        <w:t xml:space="preserve">are reported, identifying novel </w:t>
      </w:r>
      <w:r w:rsidR="00312145" w:rsidRPr="00606368">
        <w:rPr>
          <w:i/>
        </w:rPr>
        <w:t>PAEP</w:t>
      </w:r>
      <w:r w:rsidR="00312145" w:rsidRPr="00606368">
        <w:t xml:space="preserve"> and </w:t>
      </w:r>
      <w:r w:rsidR="00312145" w:rsidRPr="00606368">
        <w:rPr>
          <w:i/>
        </w:rPr>
        <w:t>GALNT11</w:t>
      </w:r>
      <w:r w:rsidR="00312145" w:rsidRPr="00606368">
        <w:t xml:space="preserve"> transcripts produced through the use of cryptic splice sites.</w:t>
      </w:r>
      <w:r w:rsidR="001327D5" w:rsidRPr="00606368">
        <w:t xml:space="preserve"> Novel cilia and secretory RNA targets identified in this study may pose new avenues for therapeutics for better reproductive outcomes.</w:t>
      </w:r>
    </w:p>
    <w:p w14:paraId="567E81ED" w14:textId="5549BD18" w:rsidR="00787AE4" w:rsidRPr="00606368" w:rsidRDefault="00312145" w:rsidP="00833027">
      <w:pPr>
        <w:spacing w:after="240" w:line="480" w:lineRule="auto"/>
        <w:ind w:firstLine="720"/>
        <w:jc w:val="both"/>
      </w:pPr>
      <w:r w:rsidRPr="00606368">
        <w:t xml:space="preserve">We demonstrate </w:t>
      </w:r>
      <w:r w:rsidR="00517B9D" w:rsidRPr="00606368">
        <w:t>upregulation of the</w:t>
      </w:r>
      <w:r w:rsidR="00D36875" w:rsidRPr="00606368">
        <w:t xml:space="preserve"> glandular secretory</w:t>
      </w:r>
      <w:r w:rsidR="007D29F2" w:rsidRPr="00606368">
        <w:t xml:space="preserve"> </w:t>
      </w:r>
      <w:r w:rsidR="007D29F2" w:rsidRPr="00606368">
        <w:rPr>
          <w:i/>
          <w:iCs/>
        </w:rPr>
        <w:t>PAEP</w:t>
      </w:r>
      <w:r w:rsidR="00544737" w:rsidRPr="00606368">
        <w:t xml:space="preserve"> gene </w:t>
      </w:r>
      <w:r w:rsidR="007D29F2" w:rsidRPr="00606368">
        <w:t xml:space="preserve">in women with </w:t>
      </w:r>
      <w:r w:rsidR="009E5787" w:rsidRPr="00606368">
        <w:t>recurrent pregnancy loss, and that this gene is differentially spliced in women with recurrent pregnancy loss</w:t>
      </w:r>
      <w:r w:rsidR="007D29F2" w:rsidRPr="00606368">
        <w:t xml:space="preserve">. As well as showing overall increased </w:t>
      </w:r>
      <w:r w:rsidR="007D29F2" w:rsidRPr="00606368">
        <w:rPr>
          <w:i/>
          <w:iCs/>
        </w:rPr>
        <w:t>PAEP</w:t>
      </w:r>
      <w:r w:rsidR="007D29F2" w:rsidRPr="00606368">
        <w:t xml:space="preserve"> gene expression, women w</w:t>
      </w:r>
      <w:r w:rsidR="009E5787" w:rsidRPr="00606368">
        <w:t>ith recurrent pregnancy loss expr</w:t>
      </w:r>
      <w:r w:rsidR="007D29F2" w:rsidRPr="00606368">
        <w:t xml:space="preserve">ess novel </w:t>
      </w:r>
      <w:r w:rsidR="007D29F2" w:rsidRPr="00606368">
        <w:rPr>
          <w:i/>
          <w:iCs/>
        </w:rPr>
        <w:t>PAEP</w:t>
      </w:r>
      <w:r w:rsidR="007D29F2" w:rsidRPr="00606368">
        <w:t xml:space="preserve"> transcripts produced through use of cryptic splice sites.</w:t>
      </w:r>
      <w:r w:rsidR="004D3945" w:rsidRPr="00606368">
        <w:t xml:space="preserve"> </w:t>
      </w:r>
      <w:r w:rsidR="007D29F2" w:rsidRPr="00606368">
        <w:rPr>
          <w:i/>
          <w:iCs/>
        </w:rPr>
        <w:t>PAEP</w:t>
      </w:r>
      <w:r w:rsidR="007D29F2" w:rsidRPr="00606368">
        <w:t xml:space="preserve"> upregulation has been reported by other studies</w:t>
      </w:r>
      <w:r w:rsidR="000D04B6" w:rsidRPr="00606368">
        <w:t xml:space="preserve"> </w:t>
      </w:r>
      <w:r w:rsidRPr="00606368">
        <w:fldChar w:fldCharType="begin" w:fldLock="1"/>
      </w:r>
      <w:r w:rsidRPr="00606368">
        <w:instrText>ADDIN CSL_CITATION {"citationItems":[{"id":"ITEM-1","itemData":{"DOI":"10.1080/09513590.2017.1404236","ISSN":"14730766","PMID":"29264977","abstract":"To determine the most informative markers for assessing the functional state of endometrium during the ‘window of implantation’ and creating a model for assessment of the readiness of endometrium for embryo implantation. Forty-seven women with tubal infertility and a successful IVF pregnancy participated in the study. Pipelle endometrial sample was performed during the supposed ‘window of implantation’ in natural cycle with subsequent histological study, and transcriptional profile of genes GPX3, PAEP, DPP4, TAGLN, HABP2, IMPA2, AQP3, HLA-DOB, MSX1, POSTN determined by real-time quantitative polymerase chain reaction (qRT-PCR). Differences in the level of mRNA expression of all the studied genes in the receptive endometrium were found in comparison to the prereceptive one, which allowed us to classify two functional states of the endometrium. The results of histological examination responded to the stage of maturation of the endometrium in 78.7% of cases. Receptive endometrial status can be determined based on the integral evaluation of mRNA expression level of 4 PAEP, DPP4, MSX1, and HLA-DOB genes. The model for determining a personalized `window implantation' is offered for practical application in ART.","author":[{"dropping-particle":"V.","family":"Burmenskaya","given":"O.","non-dropping-particle":"","parse-names":false,"suffix":""},{"dropping-particle":"","family":"Bozhenko","given":"V. K.","non-dropping-particle":"","parse-names":false,"suffix":""},{"dropping-particle":"","family":"Smolnikova","given":"V. Yu","non-dropping-particle":"","parse-names":false,"suffix":""},{"dropping-particle":"","family":"Kalinina","given":"E. A.","non-dropping-particle":"","parse-names":false,"suffix":""},{"dropping-particle":"","family":"Korneeva","given":"I. E.","non-dropping-particle":"","parse-names":false,"suffix":""},{"dropping-particle":"","family":"Donnikov","given":"A. E.","non-dropping-particle":"","parse-names":false,"suffix":""},{"dropping-particle":"","family":"Beyk","given":"P.","non-dropping-particle":"","parse-names":false,"suffix":""},{"dropping-particle":"","family":"Naumov","given":"V. A.","non-dropping-particle":"","parse-names":false,"suffix":""},{"dropping-particle":"V.","family":"Aleksandrova","given":"N.","non-dropping-particle":"","parse-names":false,"suffix":""},{"dropping-particle":"","family":"Borovikov","given":"P. I.","non-dropping-particle":"","parse-names":false,"suffix":""},{"dropping-particle":"","family":"Trofimov","given":"D. Y.","non-dropping-particle":"","parse-names":false,"suffix":""}],"container-title":"Gynecological Endocrinology","id":"ITEM-1","issue":"sup1","issued":{"date-parts":[["2017","12","22"]]},"page":"22-27","publisher":"Taylor and Francis Ltd","title":"Transcription profile analysis of the endometrium revealed molecular markers of the personalized ‘window of implantation’ during in vitro fertilization","type":"article-journal","volume":"33"},"uris":["http://www.mendeley.com/documents/?uuid=43a8d8e1-5c8c-36a9-80d8-78edc30b8670"]}],"mendeley":{"formattedCitation":"(Burmenskaya et al., 2017)","plainTextFormattedCitation":"(Burmenskaya et al., 2017)","previouslyFormattedCitation":"(Burmenskaya et al., 2017)"},"properties":{"noteIndex":0},"schema":"https://github.com/citation-style-language/schema/raw/master/csl-citation.json"}</w:instrText>
      </w:r>
      <w:r w:rsidRPr="00606368">
        <w:fldChar w:fldCharType="separate"/>
      </w:r>
      <w:r w:rsidR="00DF0411" w:rsidRPr="00606368">
        <w:rPr>
          <w:noProof/>
        </w:rPr>
        <w:t>(Burmenskaya et al., 2017)</w:t>
      </w:r>
      <w:r w:rsidRPr="00606368">
        <w:fldChar w:fldCharType="end"/>
      </w:r>
      <w:r w:rsidR="007D29F2" w:rsidRPr="00606368">
        <w:t xml:space="preserve">, and alternative </w:t>
      </w:r>
      <w:r w:rsidR="007D29F2" w:rsidRPr="00606368">
        <w:rPr>
          <w:i/>
          <w:iCs/>
        </w:rPr>
        <w:t>PAEP</w:t>
      </w:r>
      <w:r w:rsidR="007D29F2" w:rsidRPr="00606368">
        <w:t xml:space="preserve"> splicing has previously been found in the female reproductive tract</w:t>
      </w:r>
      <w:r w:rsidR="000D04B6" w:rsidRPr="00606368">
        <w:t xml:space="preserve"> </w:t>
      </w:r>
      <w:r w:rsidRPr="00606368">
        <w:fldChar w:fldCharType="begin" w:fldLock="1"/>
      </w:r>
      <w:r w:rsidRPr="00606368">
        <w:instrText>ADDIN CSL_CITATION {"citationItems":[{"id":"ITEM-1","itemData":{"DOI":"10.1073/PNAS.88.6.2456","ISSN":"0027-8424","PMID":"2006183","abstract":"Human pregnancy-associated endometrial alpha 2-globulin (alpha 2-PEG) is the major secretory protein product of the endometrium during embryo implantation and the first few weeks of pregnancy. It is a homologue of beta-lactoglobulin, a retinol binding protein, but unlike beta-lactoglobulin it is not found in the mammary gland. The cloning and sequencing of 34 alpha 2-PEG clones has revealed several minor variant forms indicative of alternatively spliced alpha 2-PEG pre-mRNA. These minor forms have also been detected amongst uncloned cDNA after PCR amplification. Some of these mRNAs would give rise to forms of alpha 2-PEG protein lacking internal sequences, whereas others affect the mRNA sequences on the 3' boundary of the presumed termination codon. Sequences within the cDNA clones are consistent with the existence of splice sites, and together with similarities found between alpha 2-PEG cDNA and beta-lactoglobulin gene sequences there is good evidence in support of an unusual scheme for the alternative splicing of alpha 2-PEG pre-mRNA involving both alternative 5' splice sites and alternative 3' splice sites. This scheme suggests that the alpha 2-PEG and beta-lactoglobulin genes share a similar structure in at least two regions, and it is likely that beta-lactoglobulin pre-mRNA would show a similar pattern of alternative splicing for one of these regions.","author":[{"dropping-particle":"","family":"Garde","given":"J","non-dropping-particle":"","parse-names":false,"suffix":""},{"dropping-particle":"","family":"Bell","given":"S C","non-dropping-particle":"","parse-names":false,"suffix":""},{"dropping-particle":"","family":"Eperon","given":"I C","non-dropping-particle":"","parse-names":false,"suffix":""}],"container-title":"Proceedings of the National Academy of Sciences","id":"ITEM-1","issue":"6","issued":{"date-parts":[["1991","3","15"]]},"page":"2456-2460","publisher":"National Academy of Sciences","title":"Multiple forms of mRNA encoding human pregnancy-associated endometrial alpha 2-globulin, a beta-lactoglobulin homologue.","type":"article-journal","volume":"88"},"uris":["http://www.mendeley.com/documents/?uuid=b419b109-921b-3860-ad7d-ec6757582fbb"]}],"mendeley":{"formattedCitation":"(Garde, Bell, &amp; Eperon, 1991)","manualFormatting":"(Garde et al., 1991)","plainTextFormattedCitation":"(Garde, Bell, &amp; Eperon, 1991)","previouslyFormattedCitation":"(Garde, Bell, &amp; Eperon, 1991)"},"properties":{"noteIndex":0},"schema":"https://github.com/citation-style-language/schema/raw/master/csl-citation.json"}</w:instrText>
      </w:r>
      <w:r w:rsidRPr="00606368">
        <w:fldChar w:fldCharType="separate"/>
      </w:r>
      <w:r w:rsidR="000D04B6" w:rsidRPr="00606368">
        <w:rPr>
          <w:noProof/>
        </w:rPr>
        <w:t>(Garde et al., 1991)</w:t>
      </w:r>
      <w:r w:rsidRPr="00606368">
        <w:fldChar w:fldCharType="end"/>
      </w:r>
      <w:r w:rsidR="007D29F2" w:rsidRPr="00606368">
        <w:t xml:space="preserve"> but our data provides further detail on the specific </w:t>
      </w:r>
      <w:r w:rsidR="007D29F2" w:rsidRPr="00606368">
        <w:rPr>
          <w:i/>
          <w:iCs/>
        </w:rPr>
        <w:t>PAEP</w:t>
      </w:r>
      <w:r w:rsidR="007D29F2" w:rsidRPr="00606368">
        <w:t xml:space="preserve"> transcripts expressed in the endometrial glands, and the presence of novel transcripts produced through cryptic splice site usage in </w:t>
      </w:r>
      <w:r w:rsidR="00C35F06" w:rsidRPr="00606368">
        <w:t>women wi</w:t>
      </w:r>
      <w:r w:rsidR="009E5787" w:rsidRPr="00606368">
        <w:t>th recurrent pregnancy loss. Th</w:t>
      </w:r>
      <w:r w:rsidR="007D29F2" w:rsidRPr="00606368">
        <w:t>is may represent a novel RNA target for therapeutic intervention i</w:t>
      </w:r>
      <w:r w:rsidR="009E5787" w:rsidRPr="00606368">
        <w:t>n recurrent pregnancy loss</w:t>
      </w:r>
      <w:r w:rsidR="007D29F2" w:rsidRPr="00606368">
        <w:t>. Splice-switching oligonucleotides (SSOs) and other antisense oligonucleotides (ASOs) are becoming increasingly used for the treatment of a range of genetic conditions and cancers, and so identification of RNA transcripts which can be targeted with ASOs and SSOs are very promising avenues for treatment</w:t>
      </w:r>
      <w:r w:rsidR="0034019A" w:rsidRPr="00606368">
        <w:t xml:space="preserve"> </w:t>
      </w:r>
      <w:r w:rsidRPr="00606368">
        <w:fldChar w:fldCharType="begin" w:fldLock="1"/>
      </w:r>
      <w:r w:rsidRPr="00606368">
        <w:instrText>ADDIN CSL_CITATION {"citationItems":[{"id":"ITEM-1","itemData":{"DOI":"10.3390/JCM9062004","PMID":"32604776","abstract":"Antisense oligonucleotides (ASOs) bind sequence specifically to the target RNA and modulate protein expression through several different mechanisms. The ASO field is an emerging area of drug development that targets the disease source at the RNA level and offers a promising alternative to therapies targeting downstream processes. To translate ASO-based therapies into a clinical success, it is crucial to overcome the challenges associated with off-target side effects and insufficient biological activity. In this regard, several chemical modifications and diverse delivery strategies have been explored. In this review, we systematically discuss the chemical modifications, mechanism of action, and optimized delivery strategies of several different classes of ASOs. Further, we highlight the recent advances made in development of ASO-based drugs with a focus on drugs that are approved by the Food and Drug Administration (FDA) and the European Medicines Agency (EMA) for clinical applications. We also discuss various promising ASO-based drug candidates in the clinical trials, and the outstanding opportunity of emerging microRNA as a viable therapeutic target for future ASO-based therapies.","author":[{"dropping-particle":"","family":"Dhuri","given":"Karishma","non-dropping-particle":"","parse-names":false,"suffix":""},{"dropping-particle":"","family":"Bechtold","given":"Clara","non-dropping-particle":"","parse-names":false,"suffix":""},{"dropping-particle":"","family":"Quijano","given":"Elias","non-dropping-particle":"","parse-names":false,"suffix":""},{"dropping-particle":"","family":"Pham","given":"Ha","non-dropping-particle":"","parse-names":false,"suffix":""},{"dropping-particle":"","family":"Gupta","given":"Anisha","non-dropping-particle":"","parse-names":false,"suffix":""},{"dropping-particle":"","family":"Vikram","given":"Ajit","non-dropping-particle":"","parse-names":false,"suffix":""},{"dropping-particle":"","family":"Bahal","given":"Raman","non-dropping-particle":"","parse-names":false,"suffix":""}],"container-title":"Journal of Clinical Medicine","id":"ITEM-1","issue":"6","issued":{"date-parts":[["2020","6","26"]]},"page":"2004","publisher":"Multidisciplinary Digital Publishing Institute  (MDPI)","title":"Antisense Oligonucleotides: An Emerging Area in Drug Discovery and Development","type":"article-journal","volume":"9"},"uris":["http://www.mendeley.com/documents/?uuid=14190085-7c9a-33fb-b0e3-8557d54859d0"]}],"mendeley":{"formattedCitation":"(Dhuri et al., 2020)","plainTextFormattedCitation":"(Dhuri et al., 2020)","previouslyFormattedCitation":"(Dhuri et al., 2020)"},"properties":{"noteIndex":0},"schema":"https://github.com/citation-style-language/schema/raw/master/csl-citation.json"}</w:instrText>
      </w:r>
      <w:r w:rsidRPr="00606368">
        <w:fldChar w:fldCharType="separate"/>
      </w:r>
      <w:r w:rsidR="00DF0411" w:rsidRPr="00606368">
        <w:rPr>
          <w:noProof/>
        </w:rPr>
        <w:t>(Dhuri et al., 2020)</w:t>
      </w:r>
      <w:r w:rsidRPr="00606368">
        <w:fldChar w:fldCharType="end"/>
      </w:r>
      <w:r w:rsidR="009243C8" w:rsidRPr="00606368">
        <w:t>. In addition, our electron microscopy data is indicative of micropartical secretion from the glandular epithelial cells, reinforcing their importance in facilitating the endometrial environment.</w:t>
      </w:r>
    </w:p>
    <w:p w14:paraId="6B6873AA" w14:textId="089BFFC2" w:rsidR="001327D5" w:rsidRPr="00606368" w:rsidRDefault="007D29F2" w:rsidP="00AC41D9">
      <w:pPr>
        <w:spacing w:after="240" w:line="480" w:lineRule="auto"/>
        <w:ind w:firstLine="720"/>
        <w:jc w:val="both"/>
      </w:pPr>
      <w:r w:rsidRPr="00606368">
        <w:lastRenderedPageBreak/>
        <w:t>Post-translational changes to PAEP</w:t>
      </w:r>
      <w:r w:rsidRPr="00606368">
        <w:rPr>
          <w:i/>
        </w:rPr>
        <w:t xml:space="preserve"> </w:t>
      </w:r>
      <w:r w:rsidRPr="00606368">
        <w:t>have been associated with endometrial cancer, supporting evidence that altered PAEP has an impact on endometrial function</w:t>
      </w:r>
      <w:r w:rsidR="000D04B6" w:rsidRPr="00606368">
        <w:t xml:space="preserve"> </w:t>
      </w:r>
      <w:r w:rsidR="000D04B6" w:rsidRPr="00606368">
        <w:fldChar w:fldCharType="begin" w:fldLock="1"/>
      </w:r>
      <w:r w:rsidR="00791434" w:rsidRPr="00606368">
        <w:instrText>ADDIN CSL_CITATION {"citationItems":[{"id":"ITEM-1","itemData":{"DOI":"10.1038/s41374-020-0411-x","ISSN":"1530-0307","abstract":"Glycodelin is a major glycoprotein expressed in reproductive tissues, like secretory and decidualized endometrium. It has several reproduction related functions that are dependent on specific glycosylation, but it has also been found to drive differentiation of endometrial carcinoma cells toward a less malignant phenotype. Here we aimed to elucidate whether the glycosylation and function of glycodelin is altered in endometrial carcinoma as compared with a normal endometrium. We carried out glycan structure analysis of glycodelin expressed in HEC-1B human endometrial carcinoma cells (HEC-1B Gd) by mass spectrometry glycomics strategies. Glycans of HEC-1B Gd were found to comprise a typical mixture of high-mannose, hybrid, and complex-type N-glycans, often containing undecorated LacNAc (Galβ1–4GlcNAc) antennae. However, several differences, as compared with previously reported glycan structures of normal human decidualized endometrium-derived glycodelin isoform, glycodelin-A (GdA), were also found. These included a lower level of sialylation and more abundant poly-LacNAc antennae, some of which are fucosylated. This allowed us to select lectins that showed different binding to these classes of glycodelin. Despite the differences in glycosylation between HEC-1B Gd and GdA, both showed similar inhibitory activity on trophoblast cell invasion and peripheral blood mononuclear cell proliferation. For the detection of cancer associated glycodelin, we established a novel in situ proximity-ligation based histochemical staining method using a specific glycodelin antibody and UEAI lectin. We found that the UEAI reactive glycodelin was abundant in endometrial carcinoma, but virtually absent in normal endometrial tissue even when glycodelin was strongly expressed. In conclusion, we established a histochemical staining method for the detection of endometrial carcinoma-associated glycodelin and showed that this specific glycodelin is exclusively expressed in cancer, not in normal endometrium. Similar methods can be used for studies of other glycoproteins. Glycodelin is a major endometrial glycoprotein. The authors analyzed glycan structures of endometrial carcinoma associated glycodelin and established a novel glycodelin-glycoform specific histochemical staining method. With this, they showed that glycodelin is differentially glycosylated in endometrial carcinoma tissue, as compared to normal endometrium, representing a neoantigen with potential clinical applications.","author":[{"dropping-particle":"","family":"Hautala","given":"Laura C.","non-dropping-particle":"","parse-names":false,"suffix":""},{"dropping-particle":"","family":"Pang","given":"Poh-Choo","non-dropping-particle":"","parse-names":false,"suffix":""},{"dropping-particle":"","family":"Antonopoulos","given":"Aristotelis","non-dropping-particle":"","parse-names":false,"suffix":""},{"dropping-particle":"","family":"Pasanen","given":"Annukka","non-dropping-particle":"","parse-names":false,"suffix":""},{"dropping-particle":"","family":"Lee","given":"Cheuk-Lun","non-dropping-particle":"","parse-names":false,"suffix":""},{"dropping-particle":"","family":"Chiu","given":"Philip C. N.","non-dropping-particle":"","parse-names":false,"suffix":""},{"dropping-particle":"","family":"Yeung","given":"William S. B.","non-dropping-particle":"","parse-names":false,"suffix":""},{"dropping-particle":"","family":"Loukovaara","given":"Mikko","non-dropping-particle":"","parse-names":false,"suffix":""},{"dropping-particle":"","family":"Bützow","given":"Ralf","non-dropping-particle":"","parse-names":false,"suffix":""},{"dropping-particle":"","family":"Haslam","given":"Stuart M.","non-dropping-particle":"","parse-names":false,"suffix":""},{"dropping-particle":"","family":"Dell","given":"Anne","non-dropping-particle":"","parse-names":false,"suffix":""},{"dropping-particle":"","family":"Koistinen","given":"Hannu","non-dropping-particle":"","parse-names":false,"suffix":""}],"container-title":"Laboratory Investigation 2020 100:7","id":"ITEM-1","issue":"7","issued":{"date-parts":[["2020","3","23"]]},"page":"1014-1025","publisher":"Nature Publishing Group","title":"Altered glycosylation of glycodelin in endometrial carcinoma","type":"article-journal","volume":"100"},"uris":["http://www.mendeley.com/documents/?uuid=3e583b5d-139f-3c2c-9f62-25b5dab363b8"]}],"mendeley":{"formattedCitation":"(Hautala et al., 2020)","plainTextFormattedCitation":"(Hautala et al., 2020)","previouslyFormattedCitation":"(Hautala et al., 2020)"},"properties":{"noteIndex":0},"schema":"https://github.com/citation-style-language/schema/raw/master/csl-citation.json"}</w:instrText>
      </w:r>
      <w:r w:rsidR="000D04B6" w:rsidRPr="00606368">
        <w:fldChar w:fldCharType="separate"/>
      </w:r>
      <w:r w:rsidR="00DF0411" w:rsidRPr="00606368">
        <w:rPr>
          <w:noProof/>
        </w:rPr>
        <w:t>(Hautala et al., 2020)</w:t>
      </w:r>
      <w:r w:rsidR="000D04B6" w:rsidRPr="00606368">
        <w:fldChar w:fldCharType="end"/>
      </w:r>
      <w:r w:rsidRPr="00606368">
        <w:t xml:space="preserve">. Since a recent manuscript has shown that PAEP modulates cytotoxic uterine natural killer cells </w:t>
      </w:r>
      <w:r w:rsidR="004F5BE2" w:rsidRPr="00606368">
        <w:t>which</w:t>
      </w:r>
      <w:r w:rsidRPr="00606368">
        <w:t xml:space="preserve"> pose an adverse effect on the growing fetus and subsequent </w:t>
      </w:r>
      <w:r w:rsidR="00C35F06" w:rsidRPr="00606368">
        <w:t>pregnancy loss</w:t>
      </w:r>
      <w:r w:rsidRPr="00606368">
        <w:t>, it will be important to perform further studies to investigate and characterise the different PAEP isoforms</w:t>
      </w:r>
      <w:r w:rsidR="009E5787" w:rsidRPr="00606368">
        <w:t xml:space="preserve"> in recurrent pregnancy loss, </w:t>
      </w:r>
      <w:r w:rsidRPr="00606368">
        <w:t xml:space="preserve">relevant splicing profiles and if these events are occurring independently </w:t>
      </w:r>
      <w:r w:rsidR="000D04B6" w:rsidRPr="00606368">
        <w:fldChar w:fldCharType="begin" w:fldLock="1"/>
      </w:r>
      <w:r w:rsidR="00791434" w:rsidRPr="00606368">
        <w:instrText xml:space="preserve">ADDIN CSL_CITATION {"citationItems":[{"id":"ITEM-1","itemData":{"DOI":"10.1016/j.jri.2019.102625","ISSN":"18727603","PMID":"31730930","abstract":"Natural killer (NK) cells comprise of </w:instrText>
      </w:r>
      <w:r w:rsidR="00791434" w:rsidRPr="00606368">
        <w:rPr>
          <w:rFonts w:ascii="Cambria Math" w:hAnsi="Cambria Math" w:cs="Cambria Math"/>
        </w:rPr>
        <w:instrText>∼</w:instrText>
      </w:r>
      <w:r w:rsidR="00791434" w:rsidRPr="00606368">
        <w:instrText xml:space="preserve">70% of the immune cell population in the maternal decidua and </w:instrText>
      </w:r>
      <w:r w:rsidR="00791434" w:rsidRPr="00606368">
        <w:rPr>
          <w:rFonts w:ascii="Cambria Math" w:hAnsi="Cambria Math" w:cs="Cambria Math"/>
        </w:rPr>
        <w:instrText>∼</w:instrText>
      </w:r>
      <w:r w:rsidR="00791434" w:rsidRPr="00606368">
        <w:instrText>15% of the mononuclear cells in the peripheral blood. The decidual NK cells capable of producing high levels of cytokines are functionally distinct from the peripheral NK cells that exhibit high cytotoxicity. The numbers of peripheral NK cells and their cytotoxicity potential have been correlated with pregnancy outcome. In the same context, glycodelin, an immunomodulatory protein, has been recognized to be essential for the establishment and maintenance of pregnancy, and its’ reduced levels are associated with recurrent spontaneous abortions. We investigated the effect of glycodelin on the peripheral NK cells. Our results reveal that glycodelin suppresses the cytotoxicity of peripheral NK cells via downregulating perforin, granzyme B and IFNγ. Glycodelin also induces caspase-dependent death in only activated peripheral NK cells, the effect suggested to be mediated by glycodelin upon engaging with the CD7 cell surface receptor. Thus, during pregnancy, glycodelin modulates the function and the number of cytotoxic NK cells that pose a deleterious effect on the fetus, a semi-allograft. This study provides insights into the mechanism of the regulatory effect of glycodelin on NK cells and could possibly be exploited for the management of miscarriages.","author":[{"dropping-particle":"","family":"Dixit","given":"Akanksha","non-dropping-particle":"","parse-names":false,"suffix":""},{"dropping-particle":"","family":"Karande","given":"Anjali A.","non-dropping-particle":"","parse-names":false,"suffix":""}],"container-title":"Journal of Reproductive Immunology","id":"ITEM-1","issued":{"date-parts":[["2020","2","1"]]},"page":"102625","publisher":"Elsevier Ireland Ltd","title":"Glycodelin regulates the numbers and function of peripheral natural killer cells","type":"article-journal","volume":"137"},"uris":["http://www.mendeley.com/documents/?uuid=aa468dfd-25b6-36bf-a282-a455b76fa60f"]}],"mendeley":{"formattedCitation":"(Dixit &amp; Karande, 2020)","plainTextFormattedCitation":"(Dixit &amp; Karande, 2020)","previouslyFormattedCitation":"(Dixit &amp; Karande, 2020)"},"properties":{"noteIndex":0},"schema":"https://github.com/citation-style-language/schema/raw/master/csl-citation.json"}</w:instrText>
      </w:r>
      <w:r w:rsidR="000D04B6" w:rsidRPr="00606368">
        <w:fldChar w:fldCharType="separate"/>
      </w:r>
      <w:r w:rsidR="00DF0411" w:rsidRPr="00606368">
        <w:rPr>
          <w:noProof/>
        </w:rPr>
        <w:t>(Dixit &amp; Karande, 2020)</w:t>
      </w:r>
      <w:r w:rsidR="000D04B6" w:rsidRPr="00606368">
        <w:fldChar w:fldCharType="end"/>
      </w:r>
      <w:r w:rsidR="00833CAF" w:rsidRPr="00606368">
        <w:t>.</w:t>
      </w:r>
      <w:r w:rsidR="00787AE4" w:rsidRPr="00606368">
        <w:t xml:space="preserve"> PAEP is a major progesterone-regulated glycoprotein. Changes to progesterone receptors</w:t>
      </w:r>
      <w:r w:rsidR="00A8312C" w:rsidRPr="00606368">
        <w:t xml:space="preserve"> in the glandular epithelium</w:t>
      </w:r>
      <w:r w:rsidR="00787AE4" w:rsidRPr="00606368">
        <w:t xml:space="preserve"> could be influenced by a decrease in TGIF2 expression, thereby preventing the repression of TGF beta-responsive genes (Snijders et al., 1992). This could be one factor that accounts for cycle length variation seen in the RNA-sequencing data.</w:t>
      </w:r>
    </w:p>
    <w:p w14:paraId="6569A435" w14:textId="739A4DF8" w:rsidR="006363B9" w:rsidRPr="00606368" w:rsidRDefault="007D29F2" w:rsidP="00AC41D9">
      <w:pPr>
        <w:spacing w:after="240" w:line="480" w:lineRule="auto"/>
        <w:ind w:firstLine="720"/>
        <w:jc w:val="both"/>
      </w:pPr>
      <w:r w:rsidRPr="00606368">
        <w:t xml:space="preserve">The enrichment of differentially spliced cilia gene transcripts, including a novel transcript of </w:t>
      </w:r>
      <w:r w:rsidRPr="00606368">
        <w:rPr>
          <w:i/>
        </w:rPr>
        <w:t>GALNT11</w:t>
      </w:r>
      <w:r w:rsidRPr="00606368">
        <w:t>, in women w</w:t>
      </w:r>
      <w:r w:rsidR="009E5787" w:rsidRPr="00606368">
        <w:t>ith recurrent pregnancy loss m</w:t>
      </w:r>
      <w:r w:rsidRPr="00606368">
        <w:t>ay offer novel insights into the role of endometrial gland cilia in female fertility. The role of cilia in women’s fertility is a poorly understood area, with most work focussi</w:t>
      </w:r>
      <w:r w:rsidR="004F5BE2" w:rsidRPr="00606368">
        <w:t>ng on F</w:t>
      </w:r>
      <w:r w:rsidRPr="00606368">
        <w:t xml:space="preserve">allopian tube cilia function and dysfunction. </w:t>
      </w:r>
      <w:r w:rsidR="006363B9" w:rsidRPr="00606368">
        <w:t xml:space="preserve">Although little is known about the role of cilia in endometrial function, </w:t>
      </w:r>
      <w:r w:rsidR="00E81C52" w:rsidRPr="00606368">
        <w:t xml:space="preserve">a </w:t>
      </w:r>
      <w:r w:rsidR="006363B9" w:rsidRPr="00606368">
        <w:t xml:space="preserve">recent single-cell </w:t>
      </w:r>
      <w:r w:rsidR="00E81C52" w:rsidRPr="00606368">
        <w:t>study has identified both ciliated and non-ciliated epithelial cell populations (Garcia</w:t>
      </w:r>
      <w:r w:rsidR="0041789F" w:rsidRPr="00606368">
        <w:t xml:space="preserve">-Alonso et al., </w:t>
      </w:r>
      <w:r w:rsidR="00E81C52" w:rsidRPr="00606368">
        <w:t>2021). T</w:t>
      </w:r>
      <w:r w:rsidR="006363B9" w:rsidRPr="00606368">
        <w:t xml:space="preserve">ranscriptomic studies have </w:t>
      </w:r>
      <w:r w:rsidR="00E81C52" w:rsidRPr="00606368">
        <w:t xml:space="preserve">also highlighted a potential </w:t>
      </w:r>
      <w:r w:rsidR="006363B9" w:rsidRPr="00606368">
        <w:t xml:space="preserve">relevance </w:t>
      </w:r>
      <w:r w:rsidR="00E81C52" w:rsidRPr="00606368">
        <w:t xml:space="preserve">for cilia function </w:t>
      </w:r>
      <w:r w:rsidR="006363B9" w:rsidRPr="00606368">
        <w:t xml:space="preserve">in the endometrium of women with endometriosis and that of women </w:t>
      </w:r>
      <w:r w:rsidR="00E81C52" w:rsidRPr="00606368">
        <w:t>over</w:t>
      </w:r>
      <w:r w:rsidR="006363B9" w:rsidRPr="00606368">
        <w:t xml:space="preserve"> 35 years (Devesa-Peiro et al</w:t>
      </w:r>
      <w:r w:rsidR="0041789F" w:rsidRPr="00606368">
        <w:t xml:space="preserve">., 2020; Devesa-Peiro et al., </w:t>
      </w:r>
      <w:r w:rsidR="006363B9" w:rsidRPr="00606368">
        <w:t>2022)</w:t>
      </w:r>
      <w:r w:rsidR="006363B9" w:rsidRPr="00606368">
        <w:rPr>
          <w:i/>
        </w:rPr>
        <w:t>.</w:t>
      </w:r>
      <w:r w:rsidR="006363B9" w:rsidRPr="00606368">
        <w:t xml:space="preserve"> </w:t>
      </w:r>
      <w:r w:rsidR="00ED489C" w:rsidRPr="00606368">
        <w:t>Variants in genes linked to primary ciliary dyskinesia (DNAH11 and CCNO) are mutated in women with infertility and gene variants i</w:t>
      </w:r>
      <w:r w:rsidR="006363B9" w:rsidRPr="00606368">
        <w:t xml:space="preserve">dentified from </w:t>
      </w:r>
      <w:r w:rsidR="000E6CC0" w:rsidRPr="00606368">
        <w:t xml:space="preserve">women with </w:t>
      </w:r>
      <w:r w:rsidR="00ED489C" w:rsidRPr="00606368">
        <w:t>recurrent pregnancy loss</w:t>
      </w:r>
      <w:r w:rsidR="006363B9" w:rsidRPr="00606368">
        <w:t xml:space="preserve"> were also related to cilia motility disorders (Maddirevula et al., 2020; Qiao et al., 2016)</w:t>
      </w:r>
      <w:r w:rsidR="0041789F" w:rsidRPr="00606368">
        <w:t>.</w:t>
      </w:r>
    </w:p>
    <w:p w14:paraId="0CFF864A" w14:textId="5102D24A" w:rsidR="001327D5" w:rsidRPr="00606368" w:rsidRDefault="007D29F2" w:rsidP="00AC41D9">
      <w:pPr>
        <w:spacing w:after="240" w:line="480" w:lineRule="auto"/>
        <w:ind w:firstLine="720"/>
        <w:jc w:val="both"/>
      </w:pPr>
      <w:r w:rsidRPr="00606368">
        <w:lastRenderedPageBreak/>
        <w:t xml:space="preserve">Studies in this area are confused by the fact that atypical cilia are commonly observed in the human endometrial epithelium as an artefact of the relatively high turnover rate of this tissue caused by menstruation </w:t>
      </w:r>
      <w:r w:rsidRPr="00606368">
        <w:fldChar w:fldCharType="begin" w:fldLock="1"/>
      </w:r>
      <w:r w:rsidRPr="00606368">
        <w:instrText>ADDIN CSL_CITATION {"citationItems":[{"id":"ITEM-1","itemData":{"ISSN":"0021-8782","PMID":"7462097","abstract":"We suggest that human endometrial ciliated cells represent a developmental overlap with the uterine tube epithelium and that the high incidence of ciliary abnormality is related to the relatively high turnover rate caused by menstruation. Abnormal cilia appear to be due to a defect of ciliogenesis probably occurring after the formation of the basal bodies.","author":[{"dropping-particle":"","family":"Denholm","given":"R B","non-dropping-particle":"","parse-names":false,"suffix":""},{"dropping-particle":"","family":"More","given":"I A","non-dropping-particle":"","parse-names":false,"suffix":""}],"container-title":"Journal of anatomy","id":"ITEM-1","issue":"Pt 2","issued":{"date-parts":[["1980","9"]]},"page":"309-15","publisher":"Wiley-Blackwell","title":"Atypical cilia of the human endometrial epithelium.","type":"article-journal","volume":"131"},"uris":["http://www.mendeley.com/documents/?uuid=8cc9a828-b6ae-3318-8288-80dcbf5c3f63"]}],"mendeley":{"formattedCitation":"(Denholm &amp; More, 1980)","plainTextFormattedCitation":"(Denholm &amp; More, 1980)","previouslyFormattedCitation":"(Denholm &amp; More, 1980)"},"properties":{"noteIndex":0},"schema":"https://github.com/citation-style-language/schema/raw/master/csl-citation.json"}</w:instrText>
      </w:r>
      <w:r w:rsidRPr="00606368">
        <w:fldChar w:fldCharType="separate"/>
      </w:r>
      <w:r w:rsidR="00DF0411" w:rsidRPr="00606368">
        <w:rPr>
          <w:noProof/>
        </w:rPr>
        <w:t>(Denholm &amp; More, 1980)</w:t>
      </w:r>
      <w:r w:rsidRPr="00606368">
        <w:fldChar w:fldCharType="end"/>
      </w:r>
      <w:r w:rsidRPr="00606368">
        <w:t xml:space="preserve">. Furthermore, ciliary beat frequency (CBF) in the Fallopian tube, often used as a proxy for ciliary health and function, varies in relation to the stage of menstrual cycle and anatomical location </w:t>
      </w:r>
      <w:r w:rsidRPr="00606368">
        <w:fldChar w:fldCharType="begin" w:fldLock="1"/>
      </w:r>
      <w:r w:rsidRPr="00606368">
        <w:instrText>ADDIN CSL_CITATION {"citationItems":[{"id":"ITEM-1","itemData":{"DOI":"10.1093/humrep/17.3.584","ISSN":"02681161","PMID":"11870107","abstract":"Background: The cyclical changes in ciliary structure and motion within the human Fallopian tube are well documented. Previous investigators have studied ciliary beat frequency (CBF) in relation to menstrual cycle and anatomical site, but with conflicting results. Methods: Using a technique that records variations in light intensity, we have studied the changes in CBF in relation to the menstrual cycle and anatomical site. Fallopian tubes were collected from 26 women who underwent hysterectomy for benign conditions. Menstrual history, hormone profile and endometrial biopsy results were used to determine the stage of the cycle. Fourteen women were in the proliferative phase, and 12 women in the secretory phase. Results: Mean CBF for all subjects was 5.3 ± 0.2 Hz. There was no significant difference in CBF in relation to anatomical site. In the fimbrial region the ciliary beat was faster in the secretory (5.8 ± 0.3 Hz) as compared with the proliferative phase (4.9 ± 0.2 Hz), P &lt; 0.02. Conclusions: It is possible that this increase in fimbrial CBF may contribute to ovum retrieval and transport after ovulation. However, the reproductive significance of the changes in CBF in relation to the menstrual cycle needs further investigation.","author":[{"dropping-particle":"","family":"Lyons","given":"R. A.","non-dropping-particle":"","parse-names":false,"suffix":""},{"dropping-particle":"","family":"Djahanbakhch","given":"O.","non-dropping-particle":"","parse-names":false,"suffix":""},{"dropping-particle":"","family":"Mahmood","given":"T.","non-dropping-particle":"","parse-names":false,"suffix":""},{"dropping-particle":"","family":"Saridogan","given":"E.","non-dropping-particle":"","parse-names":false,"suffix":""},{"dropping-particle":"","family":"Sattar","given":"S.","non-dropping-particle":"","parse-names":false,"suffix":""},{"dropping-particle":"","family":"Sheaff","given":"M. T.","non-dropping-particle":"","parse-names":false,"suffix":""},{"dropping-particle":"","family":"Naftalin","given":"A. A.","non-dropping-particle":"","parse-names":false,"suffix":""},{"dropping-particle":"","family":"Chenoy","given":"R.","non-dropping-particle":"","parse-names":false,"suffix":""}],"container-title":"Human Reproduction","id":"ITEM-1","issue":"3","issued":{"date-parts":[["2002","3","1"]]},"page":"584-588","publisher":"Oxford University Press","title":"Fallopian tube ciliary beat frequency in relation to the stage of menstrual cycle and anatomical site","type":"article-journal","volume":"17"},"uris":["http://www.mendeley.com/documents/?uuid=475eb4f1-db1e-301b-976b-de225662eb6e"]}],"mendeley":{"formattedCitation":"(Lyons et al., 2002)","plainTextFormattedCitation":"(Lyons et al., 2002)","previouslyFormattedCitation":"(Lyons et al., 2002)"},"properties":{"noteIndex":0},"schema":"https://github.com/citation-style-language/schema/raw/master/csl-citation.json"}</w:instrText>
      </w:r>
      <w:r w:rsidRPr="00606368">
        <w:fldChar w:fldCharType="separate"/>
      </w:r>
      <w:r w:rsidR="00DF0411" w:rsidRPr="00606368">
        <w:rPr>
          <w:noProof/>
        </w:rPr>
        <w:t>(Lyons et al., 2002)</w:t>
      </w:r>
      <w:r w:rsidRPr="00606368">
        <w:fldChar w:fldCharType="end"/>
      </w:r>
      <w:r w:rsidRPr="00606368">
        <w:t>, and is affected by environmental factors such as cigarette smoking</w:t>
      </w:r>
      <w:r w:rsidR="00B46307" w:rsidRPr="00606368">
        <w:t xml:space="preserve"> </w:t>
      </w:r>
      <w:r w:rsidRPr="00606368">
        <w:fldChar w:fldCharType="begin" w:fldLock="1"/>
      </w:r>
      <w:r w:rsidRPr="00606368">
        <w:instrText>ADDIN CSL_CITATION {"citationItems":[{"id":"ITEM-1","itemData":{"DOI":"10.1016/0890-6238(95)02002-0","ISSN":"08906238","PMID":"8597648","abstract":"The purpose of this study was to determine if inhalation of mainstream (MS) or sidestream (SS) smoke affects the reproductive organs of female hamsters. Females inhaled smoke from one or two cigarettes twice per day for 30 d prior to mating using a smoking machine equipped for nose only breathing. Serum cotinine levels were within the ranges found in active and passive humans smokers. On day 7 of pregnancy, the reproductive organs of controls and smokers were evaluated for the total number of corpora lutea (CL), the percentage of normal, pink, and small CL, the vascular area in the CL, the ultrastructure of the oviductal epithelium, the ratio of ciliated to secretory cells in the ampulla of the oviduct, the stretchability of the uterine horns, the percentage of implantation sites, and the percentage of touching implantation sites. All parameters, except the percentages of implantation sites and of small CL, were affected by exposure to smoke. To determine if the effects of smoking on the ovary and uterus could be reversed, females smoked for 30 d, remained in their cages without smoking for 30 d, and then were mated and evaluated on day 7 of pregnancy. In this reversal experiment, all ovarian and uterine parameters (except total CL) previously affected by smoking were normal in MS and SS females. These experimental observations show that components in both MS and SS smoke, when delivered at levels comparable to those human smokers receive, can affect the ovary, oviduct, and uterus. © 1995.","author":[{"dropping-particle":"","family":"Magers","given":"T.","non-dropping-particle":"","parse-names":false,"suffix":""},{"dropping-particle":"","family":"Talbot","given":"P.","non-dropping-particle":"","parse-names":false,"suffix":""},{"dropping-particle":"","family":"DiCarlantonio","given":"G.","non-dropping-particle":"","parse-names":false,"suffix":""},{"dropping-particle":"","family":"Knoll","given":"M.","non-dropping-particle":"","parse-names":false,"suffix":""},{"dropping-particle":"","family":"Demers","given":"D.","non-dropping-particle":"","parse-names":false,"suffix":""},{"dropping-particle":"","family":"Tsai","given":"I.","non-dropping-particle":"","parse-names":false,"suffix":""},{"dropping-particle":"","family":"Hoodbhoy","given":"T.","non-dropping-particle":"","parse-names":false,"suffix":""}],"container-title":"Reproductive Toxicology","id":"ITEM-1","issue":"6","issued":{"date-parts":[["1995"]]},"page":"513-525","publisher":"Reprod Toxicol","title":"Cigarette smoke inhalation affects the reproductive system of female hamsters","type":"article-journal","volume":"9"},"uris":["http://www.mendeley.com/documents/?uuid=12adaf18-103d-3749-9fbd-85fec843c5b8"]}],"mendeley":{"formattedCitation":"(Magers et al., 1995)","manualFormatting":"(Magers et al., 1995)","plainTextFormattedCitation":"(Magers et al., 1995)","previouslyFormattedCitation":"(Magers et al., 1995)"},"properties":{"noteIndex":0},"schema":"https://github.com/citation-style-language/schema/raw/master/csl-citation.json"}</w:instrText>
      </w:r>
      <w:r w:rsidRPr="00606368">
        <w:fldChar w:fldCharType="separate"/>
      </w:r>
      <w:r w:rsidR="00B46307" w:rsidRPr="00606368">
        <w:rPr>
          <w:noProof/>
        </w:rPr>
        <w:t>(Magers et al., 1995)</w:t>
      </w:r>
      <w:r w:rsidRPr="00606368">
        <w:fldChar w:fldCharType="end"/>
      </w:r>
      <w:r w:rsidRPr="00606368">
        <w:t xml:space="preserve"> , steroids </w:t>
      </w:r>
      <w:r w:rsidRPr="00606368">
        <w:fldChar w:fldCharType="begin" w:fldLock="1"/>
      </w:r>
      <w:r w:rsidRPr="00606368">
        <w:instrText>ADDIN CSL_CITATION {"citationItems":[{"id":"ITEM-1","itemData":{"DOI":"10.1093/humrep/13.11.2991","ISSN":"02681161","PMID":"9853843","abstract":"Using a method that detects variations in light intensity we have studied the effect of ovarian steroids on human Fallopian tube epithelial ciliary beat frequency in vitro. We have found that baseline ciliary beat frequency averages between 5-6 Hz. Cilia from ampullary segments of the Fallopian tube beat significantly faster (5.4 Hz ± 0.2) than those from fimbrial segments (4.8 Hz ± 0.2). There was no significant difference in baseline ciliary beat frequency at any other anatomical site in the Fallopian tube. Incubation with progesterone (10 μmol/l) suppresses human Fallopian tube epithelial ciliary beat frequency by 40-50%. This inhibition was observed at similar magnitudes in all Fallopian tubes studied irrespective of anatomical site. Progesterone-induced reductions in ciliary beat frequency were concentration dependent and prevented by the progesterone receptor antagonist mifepristone (RU486). Oestradiol alone (10 μmol/l) had no effect on ciliary beat frequency at any anatomical site in the Fallopian tube but did prevent the reduction in ciliary beat frequency seen with progesterone when tissues were incubated with these two steroids together.","author":[{"dropping-particle":"","family":"Mahmood","given":"T.","non-dropping-particle":"","parse-names":false,"suffix":""},{"dropping-particle":"","family":"Saridogan","given":"E.","non-dropping-particle":"","parse-names":false,"suffix":""},{"dropping-particle":"","family":"Smutna","given":"S.","non-dropping-particle":"","parse-names":false,"suffix":""},{"dropping-particle":"","family":"Habib","given":"A. M.","non-dropping-particle":"","parse-names":false,"suffix":""},{"dropping-particle":"","family":"Djahanbakhch","given":"O.","non-dropping-particle":"","parse-names":false,"suffix":""}],"container-title":"Human Reproduction","id":"ITEM-1","issue":"11","issued":{"date-parts":[["1998"]]},"page":"2991-2994","publisher":"Hum Reprod","title":"The effect of ovarian steroids on epithelial ciliary beat frequency in the human Fallopian tube","type":"article-journal","volume":"13"},"uris":["http://www.mendeley.com/documents/?uuid=c554b229-9b8a-32f8-9198-1e4384a87ee4"]}],"mendeley":{"formattedCitation":"(Mahmood, Saridogan, Smutna, Habib, &amp; Djahanbakhch, 1998)","manualFormatting":"(Mahmood et al., 1998)","plainTextFormattedCitation":"(Mahmood, Saridogan, Smutna, Habib, &amp; Djahanbakhch, 1998)","previouslyFormattedCitation":"(Mahmood, Saridogan, Smutna, Habib, &amp; Djahanbakhch, 1998)"},"properties":{"noteIndex":0},"schema":"https://github.com/citation-style-language/schema/raw/master/csl-citation.json"}</w:instrText>
      </w:r>
      <w:r w:rsidRPr="00606368">
        <w:fldChar w:fldCharType="separate"/>
      </w:r>
      <w:r w:rsidR="00B46307" w:rsidRPr="00606368">
        <w:rPr>
          <w:noProof/>
        </w:rPr>
        <w:t>(Mahmood et al., 1998)</w:t>
      </w:r>
      <w:r w:rsidRPr="00606368">
        <w:fldChar w:fldCharType="end"/>
      </w:r>
      <w:r w:rsidR="00B46307" w:rsidRPr="00606368">
        <w:t xml:space="preserve"> </w:t>
      </w:r>
      <w:r w:rsidRPr="00606368">
        <w:t>and reproductive tract infections</w:t>
      </w:r>
      <w:r w:rsidR="00B46307" w:rsidRPr="00606368">
        <w:t xml:space="preserve"> </w:t>
      </w:r>
      <w:r w:rsidRPr="00606368">
        <w:fldChar w:fldCharType="begin" w:fldLock="1"/>
      </w:r>
      <w:r w:rsidRPr="00606368">
        <w:instrText>ADDIN CSL_CITATION {"citationItems":[{"id":"ITEM-1","itemData":{"DOI":"10.1136/sti.52.1.52","ISSN":"0007134X","PMID":"1260408","abstract":"Organ cultures of human Fallopian tubes were infected with Mycoplasma hominis. Scanning and transmission electron microscopy revealed swellings of the cilia of the tubal epithelial cells in infected cultures. In some, the entire cilia were swollen; in others, only the tips. Uninfected cultures kept for up to 7 days showed no structural changes in the cilia or other surface structures. M. hominis multiplied in organ cultures, but not in culture medium without tissue. A practical organ culture technique for the preparation of specimens for electron microscopy is described.","author":[{"dropping-particle":"","family":"Mardh","given":"P. A.","non-dropping-particle":"","parse-names":false,"suffix":""},{"dropping-particle":"","family":"Westrom","given":"L.","non-dropping-particle":"","parse-names":false,"suffix":""},{"dropping-particle":"","family":"Mecklenburg","given":"C.","non-dropping-particle":"Von","parse-names":false,"suffix":""},{"dropping-particle":"","family":"Hammar","given":"E.","non-dropping-particle":"","parse-names":false,"suffix":""}],"container-title":"British Journal of Venereal Diseases","id":"ITEM-1","issue":"1","issued":{"date-parts":[["1976"]]},"page":"52-57","publisher":"Br J Vener Dis","title":"Studies on ciliated epithelia of the human genital tract. I. Swelling of the cilia of Fallopian tube epithelium in organ cultures infected with Mycoplasma hominis","type":"article-journal","volume":"52"},"uris":["http://www.mendeley.com/documents/?uuid=2e12a68f-cd92-389a-ae89-7f8479418211"]},{"id":"ITEM-2","itemData":{"DOI":"10.1136/sti.55.4.256","ISSN":"0007134X","PMID":"114195","abstract":"Quantitative determinations of the mucociliary activity of human Fallopian tube epithelium maintained as organ cultures were performed using a light beam reflex method. In non-infected organ cultures the mucociliary wave (MCW) frequency slowly decreased during the first 54 hours of culture maintenance. In organ cultures experimentally infected with fresh isolates of Neisseria gonorrhoeae producing T1/T2 colonies the MCW frequency either decreased to subnormal values or completely ceased whereas in organ cultures infected with a laboratory-adapted gonococcal strain the MCW frequencies remained within normal range. In organ cultures exposed to gonococcal endotoxin from the laboratory-adapted strain, as well as in cultures in which cell-free filtrates of medium from organ cultures infected with N. gonorrhoeae (producing T1/T2 colonies) were added to the culture medium, the ciliary activity decreased and subsequently ceased. The same phenomenon occurred when organ cultures were challenged with Escherichia coli endotoxin. The ciliostatic effect appeared before any morphological changes in the surface epithelium, including the cilia, were demonstrable by scanning electron microscopy.","author":[{"dropping-particle":"","family":"Mardh","given":"P. A.","non-dropping-particle":"","parse-names":false,"suffix":""},{"dropping-particle":"","family":"Baldetorp","given":"B.","non-dropping-particle":"","parse-names":false,"suffix":""},{"dropping-particle":"","family":"Hakansson","given":"C. H.","non-dropping-particle":"","parse-names":false,"suffix":""},{"dropping-particle":"","family":"Fritz","given":"H.","non-dropping-particle":"","parse-names":false,"suffix":""},{"dropping-particle":"","family":"Weström","given":"L.","non-dropping-particle":"","parse-names":false,"suffix":""}],"container-title":"British Journal of Venereal Diseases","id":"ITEM-2","issue":"4","issued":{"date-parts":[["1979"]]},"page":"256-264","publisher":"Br J Vener Dis","title":"Studies of ciliated epithelia of the human genital tract. III. Mucociliary wave activity in organ cultures of human fallopian tubes challenged with Neisseria gonorrhoeae and gonococcal endotoxin","type":"article-journal","volume":"55"},"uris":["http://www.mendeley.com/documents/?uuid=ed63e863-43e9-3e62-b4a1-a4985f461744"]},{"id":"ITEM-3","itemData":{"DOI":"10.1093/infdis/143.3.413","ISSN":"15376613","PMID":"6785363","abstract":"The relative virulence of isogenic clones of colony type 1 (Tl) (piliated) and colony type 4 (T4) (nonpiliated) gonococci was assessed in organ cultures of human fallopian tubes. The rate of damage to fallopian tube mucosa was determined by measurements of ciliary activity and was correlated with the sequential pathologic events observed by light and electron microscopy. During the first 24 hr of the infection, Tl gonococci attached to and damaged the mucosa more rapidly than did T4 gonococci. This damage was manifested primarily by sloughing of ciliated cells. The observation that gonococci attached almost exclusively to nonciliated cells but damaged primarily ciliated cells suggested that this damage was mediated by one or more toxic factors. After attaching, gonococci entered the nonciliated mucosal cells, increased in numbers inside them, and then invaded the subepithelial tissues. Thus, attachment of gonococci to the fallopian tube mucosa may facilitate effective delivery of one or more gonococcal toxins to target cells in the mucosa and may initiate a process by which gonococci traverse the mucosal barrier. © 1981 by The University of Chicago.","author":[{"dropping-particle":"","family":"Mc Gee","given":"Zell A.","non-dropping-particle":"","parse-names":false,"suffix":""},{"dropping-particle":"","family":"Johnson","given":"Alan P.","non-dropping-particle":"","parse-names":false,"suffix":""},{"dropping-particle":"","family":"Taylor-Robinson","given":"David","non-dropping-particle":"","parse-names":false,"suffix":""}],"container-title":"Journal of Infectious Diseases","id":"ITEM-3","issue":"3","issued":{"date-parts":[["1981"]]},"page":"413-422","publisher":"J Infect Dis","title":"Pathogenic Mechanisms of Neisseria Gonorrhoeae: Observations on Damage to Human Fallopian Tubes in Organ Culture by Gonococci of Colony Type 1 or Type 4","type":"article-journal","volume":"143"},"uris":["http://www.mendeley.com/documents/?uuid=2aa322c7-aa4f-3bc7-9721-6c389df48e42"]}],"mendeley":{"formattedCitation":"(Mardh, Baldetorp, Hakansson, Fritz, &amp; Weström, 1979; Mardh, Westrom, Von Mecklenburg, &amp; Hammar, 1976; Mc Gee, Johnson, &amp; Taylor-Robinson, 1981)","manualFormatting":"(Mardh ey al., 1979; Mardh et al., 1976; McGee et al., 1981)","plainTextFormattedCitation":"(Mardh, Baldetorp, Hakansson, Fritz, &amp; Weström, 1979; Mardh, Westrom, Von Mecklenburg, &amp; Hammar, 1976; Mc Gee, Johnson, &amp; Taylor-Robinson, 1981)","previouslyFormattedCitation":"(Mardh, Baldetorp, Hakansson, Fritz, &amp; Weström, 1979; Mardh, Westrom, Von Mecklenburg, &amp; Hammar, 1976; Mc Gee, Johnson, &amp; Taylor-Robinson, 1981)"},"properties":{"noteIndex":0},"schema":"https://github.com/citation-style-language/schema/raw/master/csl-citation.json"}</w:instrText>
      </w:r>
      <w:r w:rsidRPr="00606368">
        <w:fldChar w:fldCharType="separate"/>
      </w:r>
      <w:r w:rsidR="00B46307" w:rsidRPr="00606368">
        <w:rPr>
          <w:noProof/>
        </w:rPr>
        <w:t>(Mardh ey al., 1979; Mardh et al., 1976; McGee et al., 1981)</w:t>
      </w:r>
      <w:r w:rsidRPr="00606368">
        <w:fldChar w:fldCharType="end"/>
      </w:r>
      <w:r w:rsidR="00B46307" w:rsidRPr="00606368">
        <w:t>.</w:t>
      </w:r>
      <w:r w:rsidRPr="00606368">
        <w:t xml:space="preserve"> Studies of female fertility in inherited genetic conditions associated with cilia (ciliopathies) such as primary ciliary dyskinesia (PCD) have largely been contradictory and inconclusive</w:t>
      </w:r>
      <w:r w:rsidR="00E81FCA" w:rsidRPr="00606368">
        <w:t xml:space="preserve"> </w:t>
      </w:r>
      <w:r w:rsidRPr="00606368">
        <w:fldChar w:fldCharType="begin" w:fldLock="1"/>
      </w:r>
      <w:r w:rsidRPr="00606368">
        <w:instrText>ADDIN CSL_CITATION {"citationItems":[{"id":"ITEM-1","itemData":{"DOI":"10.1183/13993003.00736-2016","ISSN":"13993003","PMID":"27492829","abstract":"Few original studies have described the prevalence and severity of clinical symptoms of primary ciliary dyskinesia (PCD). This systematic review and meta-analysis aimed to identify all published studies on clinical manifestations of PCD patients, and to describe their prevalence and severity stratified by age and sex. We searched PubMed, Embase and Scopus for studies describing clinical symptoms of ≥10 patients with PCD. We performed meta-analyses and meta-regression to explain heterogeneity. We included 52 studies describing a total of 1970 patients (range 10-168 per study). We found a prevalence of 5% for congenital heart disease. For the rest of reported characteristics, we found considerable heterogeneity (I2 range 68-93.8%) when calculating the weighted mean prevalence. Even after taking into account the explanatory factors, the largest part of the between-studies variance in symptom prevalence remained unexplained for all symptoms. Sensitivity analysis including only studies with testproven diagnosis showed similar results in prevalence and heterogeneity. Large differences in study design, selection of study populations and definition of symptoms could explain the heterogeneity in symptom prevalence. To better characterise the disease, we need larger, multicentre, multidisciplinary, prospective studies that include all age groups, use uniform diagnostics and report on all symptoms.","author":[{"dropping-particle":"","family":"Goutaki","given":"Myrofora","non-dropping-particle":"","parse-names":false,"suffix":""},{"dropping-particle":"","family":"Meier","given":"Anna Bettina","non-dropping-particle":"","parse-names":false,"suffix":""},{"dropping-particle":"","family":"Halbeisen","given":"Florian S.","non-dropping-particle":"","parse-names":false,"suffix":""},{"dropping-particle":"","family":"Lucas","given":"Jane S.","non-dropping-particle":"","parse-names":false,"suffix":""},{"dropping-particle":"","family":"Dell","given":"Sharon D.","non-dropping-particle":"","parse-names":false,"suffix":""},{"dropping-particle":"","family":"Maurer","given":"Elisabeth","non-dropping-particle":"","parse-names":false,"suffix":""},{"dropping-particle":"","family":"Casaulta","given":"Carmen","non-dropping-particle":"","parse-names":false,"suffix":""},{"dropping-particle":"","family":"Jurca","given":"Maja","non-dropping-particle":"","parse-names":false,"suffix":""},{"dropping-particle":"","family":"Spycher","given":"Ben D.","non-dropping-particle":"","parse-names":false,"suffix":""},{"dropping-particle":"","family":"Kuehni","given":"Claudia E.","non-dropping-particle":"","parse-names":false,"suffix":""}],"container-title":"European Respiratory Journal","id":"ITEM-1","issue":"4","issued":{"date-parts":[["2016","10","1"]]},"page":"1081-1095","publisher":"Eur Respir J","title":"Clinical manifestations in primary ciliary dyskinesia: Systematic review and meta-analysis","type":"article-journal","volume":"48"},"uris":["http://www.mendeley.com/documents/?uuid=4896ee06-2f79-33aa-bf8b-ac35b9239763"]},{"id":"ITEM-2","itemData":{"DOI":"10.1080/01443610802058742","ISSN":"01443615","PMID":"18569496","author":[{"dropping-particle":"","family":"Blyth","given":"M.","non-dropping-particle":"","parse-names":false,"suffix":""},{"dropping-particle":"","family":"Wellesley","given":"D.","non-dropping-particle":"","parse-names":false,"suffix":""}],"container-title":"Journal of Obstetrics and Gynaecology","id":"ITEM-2","issue":"3","issued":{"date-parts":[["2008","4"]]},"page":"358","publisher":"J Obstet Gynaecol","title":"Ectopic pregnancy in primary ciliary dyskinesia","type":"article-journal","volume":"28"},"uris":["http://www.mendeley.com/documents/?uuid=7060732a-af3b-3a03-b8d4-12b09710fbc5"]},{"id":"ITEM-3","itemData":{"DOI":"10.1093/humrep/dev227","ISSN":"14602350","PMID":"26373788","abstract":"study question: What is the motor protein composition and function of human fallopian tube (FT) cilia? summaryanswer: Although the motor protein composition and function of human FT cilia resemble that of respiratory cilia, females with primary ciliary dyskinesia (PCD) are not necessarily infertile. what is known already: FTs are lined with multiple motile cilia, which show a 9 + 2 ultrastructure by transmission electron microscopy. Case reports suggest an increased incidence of subfertility and ectopic pregnancy in women with PCD, a disease characterized by dysfunction of motile cilia and flagella. study design, size, duration: This study consisted of an observational laboratory study on human FT specimens from five healthy females recruited from April 2012 to December 2013 and a descriptive observational retrospective analysis of a clinical PCD database. participants/materials, setting, methods: Human FT tissue was obtained from five healthy females after tubal ligation during caesarean delivery. Motor protein composition was assessed by immunofluorescence microscopy using antibodies against dynein arms and nexin-dynein regulatory complex subunits. Ciliary motility was analysed by high-speed video microscopy.Aretrospective search of our database of PCD individuals was performed for information on conception and childbirth. main results and the role of chance: The motor protein composition ofhuman FT ciliawas identical to that of respiratory cilia. FT cilia showed coordinated beating, resulting in a directed fluid flow towards the uterine cavity.We identified nine PCD individuals with severe dysfunction of respiratory cilia who gave birth to children after spontaneous conception. This suggests that ciliary beating is not the key motor of ovum transport. limitations, reason for caution: FT cilia of affected PCD females were not available for analysis. Thus, it remains to be proven that FT cilia indeed showthe same defects as respiratory cilia inPCDindividuals.Comprehensive epidemiological studies are needed to determine the extent of female (sub-) fertility in PCD. wider implications of the findings: Knowledge of the exact protein composition and function of FT cilia will contribute to a better understanDing of cilia-generated fluid flow in female reproduction. These findings are important for subsequent studies of function and protein composition of FT cilia in PCD patients.","author":[{"dropping-particle":"","family":"Raidt","given":"Johanna","non-dropping-particle":"","parse-names":false,"suffix":""},{"dropping-particle":"","family":"Werner","given":"Claudius","non-dropping-particle":"","parse-names":false,"suffix":""},{"dropping-particle":"","family":"Menchen","given":"Tabea","non-dropping-particle":"","parse-names":false,"suffix":""},{"dropping-particle":"","family":"Dougherty","given":"Gerard W.","non-dropping-particle":"","parse-names":false,"suffix":""},{"dropping-particle":"","family":"Olbrich","given":"Heike","non-dropping-particle":"","parse-names":false,"suffix":""},{"dropping-particle":"","family":"Loges","given":"Niki T.","non-dropping-particle":"","parse-names":false,"suffix":""},{"dropping-particle":"","family":"Schmitz","given":"Ralf","non-dropping-particle":"","parse-names":false,"suffix":""},{"dropping-particle":"","family":"Pennekamp","given":"Petra","non-dropping-particle":"","parse-names":false,"suffix":""},{"dropping-particle":"","family":"Omran","given":"Heymut","non-dropping-particle":"","parse-names":false,"suffix":""}],"container-title":"Human Reproduction","id":"ITEM-3","issue":"12","issued":{"date-parts":[["2015","12","1"]]},"page":"2871-2880","publisher":"Oxford University Press","title":"Ciliary function and motor protein composition of human fallopian tubes","type":"article-journal","volume":"30"},"uris":["http://www.mendeley.com/documents/?uuid=4d8804ed-425c-3d37-b72a-d1d60b8403b1"]}],"mendeley":{"formattedCitation":"(Blyth &amp; Wellesley, 2008; Goutaki et al., 2016; Raidt et al., 2015)","manualFormatting":"(Blyth et al., 2008; Goutaki et al., 2016; Raidt et al., 2015)","plainTextFormattedCitation":"(Blyth &amp; Wellesley, 2008; Goutaki et al., 2016; Raidt et al., 2015)","previouslyFormattedCitation":"(Blyth &amp; Wellesley, 2008; Goutaki et al., 2016; Raidt et al., 2015)"},"properties":{"noteIndex":0},"schema":"https://github.com/citation-style-language/schema/raw/master/csl-citation.json"}</w:instrText>
      </w:r>
      <w:r w:rsidRPr="00606368">
        <w:fldChar w:fldCharType="separate"/>
      </w:r>
      <w:r w:rsidR="00E81FCA" w:rsidRPr="00606368">
        <w:rPr>
          <w:noProof/>
        </w:rPr>
        <w:t>(Blyth et al., 2008; Goutaki et al., 2016; Raidt et al., 2015)</w:t>
      </w:r>
      <w:r w:rsidRPr="00606368">
        <w:fldChar w:fldCharType="end"/>
      </w:r>
      <w:r w:rsidR="004F5BE2" w:rsidRPr="00606368">
        <w:t>. A</w:t>
      </w:r>
      <w:r w:rsidRPr="00606368">
        <w:t xml:space="preserve"> recent comprehensive study of fertility in males and females with PCD </w:t>
      </w:r>
      <w:r w:rsidR="004F5BE2" w:rsidRPr="00606368">
        <w:t xml:space="preserve">however, </w:t>
      </w:r>
      <w:r w:rsidRPr="00606368">
        <w:t>found that women with PCD reported infertility at a higher rate than the general population but a miscarriage rate lower than the general population</w:t>
      </w:r>
      <w:r w:rsidR="00E81FCA" w:rsidRPr="00606368">
        <w:t xml:space="preserve"> </w:t>
      </w:r>
      <w:r w:rsidRPr="00606368">
        <w:fldChar w:fldCharType="begin" w:fldLock="1"/>
      </w:r>
      <w:r w:rsidRPr="00606368">
        <w:instrText>ADDIN CSL_CITATION {"citationItems":[{"id":"ITEM-1","itemData":{"DOI":"10.1183/13993003.00314-2017","ISSN":"0903-1936","PMID":"29122913","abstract":"Primary ciliary dyskinesia (PCD) is a rare autosomal recessive disorder (prevalence 1:10 000 to 1:40 000 births) characterised by impaired mucociliary clearance because of abnormal motile ciliary function [1, 2]. Five main ultrastructural PCD phenotypes have been described. Most result from a lack of dynein arms (DAs): no outer and inner DAs (2DAs), outer DAs alone (ODA) or inner DAs with microtubular disorganisation (IDA/MTD); or defects yielding an abnormal central complex (CC). Some patients with genetically confirmed PCD have apparently normal ciliary structure on electron microscopy (nEM). More than 30 genes encoding proteins involved in the structure or assembly of the axoneme, the ciliary internal cytoskeleton, are implicated in PCD [3]; their analysis enables identification of bi-allelic disease-causing mutations in 50–75% of patients. Approximately half of PCD cases are associated with situs inversus , thereby defining Kartagener's syndrome. Moreover, because motile cilia and sperm flagella share common axonemal structures, most PCD-affected males are thought to be infertile [4]. According to the literature, male infertility is caused by severe or total asthenozoospermia and is currently treated by recourse to in vitro fertilisation or intracytoplasmic sperm injection [5, 6]. However, spontaneous fatherhood of PCD patients has been reported.\n\nInfertility, observed in 75% of male and 61% of female PCD patients, is dependent on ultrastructural and gene defects &lt;http://ow.ly/P4K030fPnPp&gt;\n\nWe thank all the individuals and their families for their cooperation, as well as all the referring physicians. The researchers participate in the network of COST Action BEAT-PCD (Better Evidence to Advance Therapeutic Options for PCD; no. BM 1407). L. Bassinet, I. Honoré, J.-.F Papon, A. Coste, E. Escudier, S. Amselem, B. Maitre, M. Legendre and S. Christin-Maitre are members of the RadiCONetwork (Inserm, France).","author":[{"dropping-particle":"","family":"Vanaken","given":"Gert Jan","non-dropping-particle":"","parse-names":false,"suffix":""},{"dropping-particle":"","family":"Bassinet","given":"Laurence","non-dropping-particle":"","parse-names":false,"suffix":""},{"dropping-particle":"","family":"Boon","given":"Mieke","non-dropping-particle":"","parse-names":false,"suffix":""},{"dropping-particle":"","family":"Mani","given":"Rahma","non-dropping-particle":"","parse-names":false,"suffix":""},{"dropping-particle":"","family":"Honoré","given":"Isabelle","non-dropping-particle":"","parse-names":false,"suffix":""},{"dropping-particle":"","family":"Papon","given":"Jean-Francois","non-dropping-particle":"","parse-names":false,"suffix":""},{"dropping-particle":"","family":"Cuppens","given":"Harry","non-dropping-particle":"","parse-names":false,"suffix":""},{"dropping-particle":"","family":"Jaspers","given":"Martine","non-dropping-particle":"","parse-names":false,"suffix":""},{"dropping-particle":"","family":"Lorent","given":"Natalie","non-dropping-particle":"","parse-names":false,"suffix":""},{"dropping-particle":"","family":"Coste","given":"André","non-dropping-particle":"","parse-names":false,"suffix":""},{"dropping-particle":"","family":"Escudier","given":"Estelle","non-dropping-particle":"","parse-names":false,"suffix":""},{"dropping-particle":"","family":"Amselem","given":"Serge","non-dropping-particle":"","parse-names":false,"suffix":""},{"dropping-particle":"","family":"Maitre","given":"Bernard","non-dropping-particle":"","parse-names":false,"suffix":""},{"dropping-particle":"","family":"Legendre","given":"Marie","non-dropping-particle":"","parse-names":false,"suffix":""},{"dropping-particle":"","family":"Christin-Maitre","given":"Sophie","non-dropping-particle":"","parse-names":false,"suffix":""}],"container-title":"European Respiratory Journal","id":"ITEM-1","issue":"5","issued":{"date-parts":[["2017","11","1"]]},"publisher":"European Respiratory Society","title":"Infertility in an adult cohort with primary ciliary dyskinesia: phenotype–gene association","type":"article-journal","volume":"50"},"uris":["http://www.mendeley.com/documents/?uuid=b81b8e47-1e5c-3769-b696-de0bc52b096a"]}],"mendeley":{"formattedCitation":"(Vanaken et al., 2017)","plainTextFormattedCitation":"(Vanaken et al., 2017)","previouslyFormattedCitation":"(Vanaken et al., 2017)"},"properties":{"noteIndex":0},"schema":"https://github.com/citation-style-language/schema/raw/master/csl-citation.json"}</w:instrText>
      </w:r>
      <w:r w:rsidRPr="00606368">
        <w:fldChar w:fldCharType="separate"/>
      </w:r>
      <w:r w:rsidR="00DF0411" w:rsidRPr="00606368">
        <w:rPr>
          <w:noProof/>
        </w:rPr>
        <w:t>(Vanaken et al., 2017)</w:t>
      </w:r>
      <w:r w:rsidRPr="00606368">
        <w:fldChar w:fldCharType="end"/>
      </w:r>
      <w:r w:rsidR="00E81FCA" w:rsidRPr="00606368">
        <w:t>.</w:t>
      </w:r>
      <w:r w:rsidRPr="00606368">
        <w:t xml:space="preserve"> This study suggested that mutations in specific cilia genes lead to female infertility and our work further suggests that other cilia genes may be differentially spliced </w:t>
      </w:r>
      <w:r w:rsidR="009E5787" w:rsidRPr="00606368">
        <w:t>in recurrent pregnancy loss, su</w:t>
      </w:r>
      <w:r w:rsidRPr="00606368">
        <w:t xml:space="preserve">ggesting a complex role for cilia in female fertility. </w:t>
      </w:r>
      <w:r w:rsidR="000E6CC0" w:rsidRPr="00606368">
        <w:t>We recognise that a</w:t>
      </w:r>
      <w:r w:rsidRPr="00606368">
        <w:t xml:space="preserve"> limitation of our study is the small sample size</w:t>
      </w:r>
      <w:r w:rsidR="007751F0" w:rsidRPr="00606368">
        <w:t xml:space="preserve"> however, our endometrial gland specific approach compared to whole endometrium (Labarta, et al., 2021) is unique</w:t>
      </w:r>
      <w:r w:rsidR="0041789F" w:rsidRPr="00606368">
        <w:t>,</w:t>
      </w:r>
      <w:r w:rsidR="007751F0" w:rsidRPr="00606368">
        <w:t xml:space="preserve"> a </w:t>
      </w:r>
      <w:r w:rsidR="00D36875" w:rsidRPr="00606368">
        <w:t>larger cohort</w:t>
      </w:r>
      <w:r w:rsidR="007751F0" w:rsidRPr="00606368">
        <w:t xml:space="preserve"> study and </w:t>
      </w:r>
      <w:r w:rsidR="00D36875" w:rsidRPr="00606368">
        <w:t>validation</w:t>
      </w:r>
      <w:r w:rsidRPr="00606368">
        <w:t xml:space="preserve"> work</w:t>
      </w:r>
      <w:r w:rsidR="007751F0" w:rsidRPr="00606368">
        <w:t xml:space="preserve"> should be performed.</w:t>
      </w:r>
    </w:p>
    <w:p w14:paraId="627BFD58" w14:textId="47D40AAE" w:rsidR="00916542" w:rsidRPr="00606368" w:rsidRDefault="00916542" w:rsidP="00916542">
      <w:pPr>
        <w:spacing w:line="480" w:lineRule="auto"/>
        <w:jc w:val="both"/>
        <w:rPr>
          <w:b/>
        </w:rPr>
      </w:pPr>
      <w:r w:rsidRPr="00606368">
        <w:rPr>
          <w:b/>
        </w:rPr>
        <w:t>Conclusions</w:t>
      </w:r>
    </w:p>
    <w:p w14:paraId="4FD58A6D" w14:textId="0583F677" w:rsidR="00A5728A" w:rsidRPr="00606368" w:rsidRDefault="00916542" w:rsidP="00AC41D9">
      <w:pPr>
        <w:spacing w:after="240" w:line="480" w:lineRule="auto"/>
        <w:ind w:firstLine="720"/>
        <w:jc w:val="both"/>
      </w:pPr>
      <w:r w:rsidRPr="00606368">
        <w:t>O</w:t>
      </w:r>
      <w:r w:rsidR="007D29F2" w:rsidRPr="00606368">
        <w:t>ur data provide a detailed transcriptomic profile of gland specific differences i</w:t>
      </w:r>
      <w:r w:rsidR="009E5787" w:rsidRPr="00606368">
        <w:t>n recurrent pregnancy loss, l</w:t>
      </w:r>
      <w:r w:rsidR="007D29F2" w:rsidRPr="00606368">
        <w:t>eading to a more accurate account of where the gene expression changes are occurring. Our transcriptome data provide a comprehensive catalogue of gland-specific target genes, transcr</w:t>
      </w:r>
      <w:r w:rsidR="009E5787" w:rsidRPr="00606368">
        <w:t>ipts and splice variants that are altered in recurrent pregnancy loss</w:t>
      </w:r>
      <w:r w:rsidR="007D29F2" w:rsidRPr="00606368">
        <w:t xml:space="preserve">. Future work should aim to make investigations on isolated endometrial cell populations to </w:t>
      </w:r>
      <w:r w:rsidR="007D29F2" w:rsidRPr="00606368">
        <w:lastRenderedPageBreak/>
        <w:t>account for cell heterogeneity, which will build evidence for therapeutic targets. The exciting development of endometrial organoid culture methods</w:t>
      </w:r>
      <w:r w:rsidR="00B13033" w:rsidRPr="00606368">
        <w:t xml:space="preserve"> </w:t>
      </w:r>
      <w:r w:rsidR="00B13033" w:rsidRPr="00606368">
        <w:fldChar w:fldCharType="begin" w:fldLock="1"/>
      </w:r>
      <w:r w:rsidR="004C09F1" w:rsidRPr="00606368">
        <w:instrText>ADDIN CSL_CITATION {"citationItems":[{"id":"ITEM-1","itemData":{"DOI":"10.1098/rsfs.2019.0079","ISSN":"20428901","PMID":"32194932","abstract":"The endometrium is the secretory lining of the uterus that undergoes dynamic changes throughout the menstrual cycle in preparation for implantation and a pregnancy. Recently, endometrial organoids (EO) were established to study the glandular epithelium. We have built upon this advance and developed a multi-cellular model containing both endometrial stromal and epithelial cells. We use porous collagen scaffolds produced with controlled lyophilization to direct cellular organization, integrating organoids with primary isolates of stromal cells. The internal pore structure of the scaffold was optimized for stromal cell culture in a systematic study, finding an optimal average pore size of 101 µm. EO seeded organize to form a luminal-like epithelial layer, on the surface of the scaffold. The cells polarize with their apical surface carrying microvilli and cilia that face the pore cavities and their basal surface attaching to the scaffold with the formation of extracellular matrix proteins. Both cell types are hormone responsive on the scaffold, with hormone stimulation resulting in epithelial differentiation and stromal decidualization.","author":[{"dropping-particle":"","family":"Abbas","given":"Yassen","non-dropping-particle":"","parse-names":false,"suffix":""},{"dropping-particle":"","family":"Brunel","given":"Lucia G.","non-dropping-particle":"","parse-names":false,"suffix":""},{"dropping-particle":"","family":"Hollinshead","given":"Michael S.","non-dropping-particle":"","parse-names":false,"suffix":""},{"dropping-particle":"","family":"Fernando","given":"Ridma C.","non-dropping-particle":"","parse-names":false,"suffix":""},{"dropping-particle":"","family":"Gardner","given":"Lucy","non-dropping-particle":"","parse-names":false,"suffix":""},{"dropping-particle":"","family":"Duncan","given":"Imogen","non-dropping-particle":"","parse-names":false,"suffix":""},{"dropping-particle":"","family":"Moffett","given":"Ashley","non-dropping-particle":"","parse-names":false,"suffix":""},{"dropping-particle":"","family":"Best","given":"Serena","non-dropping-particle":"","parse-names":false,"suffix":""},{"dropping-particle":"","family":"Turco","given":"Margherita Y.","non-dropping-particle":"","parse-names":false,"suffix":""},{"dropping-particle":"","family":"Burton","given":"Graham J.","non-dropping-particle":"","parse-names":false,"suffix":""},{"dropping-particle":"","family":"Cameron","given":"Ruth E.","non-dropping-particle":"","parse-names":false,"suffix":""}],"container-title":"Interface Focus","id":"ITEM-1","issue":"2","issued":{"date-parts":[["2020","4","6"]]},"publisher":"Interface Focus","title":"Generation of a three-dimensional collagen scaffold-based model of the human endometrium","type":"article-journal","volume":"10"},"uris":["http://www.mendeley.com/documents/?uuid=42a520b3-0b6d-3828-a232-f831d9262fd7"]}],"mendeley":{"formattedCitation":"(Abbas et al., 2020)","manualFormatting":"(Brunel et al., 2020)","plainTextFormattedCitation":"(Abbas et al., 2020)","previouslyFormattedCitation":"(Abbas et al., 2020)"},"properties":{"noteIndex":0},"schema":"https://github.com/citation-style-language/schema/raw/master/csl-citation.json"}</w:instrText>
      </w:r>
      <w:r w:rsidR="00B13033" w:rsidRPr="00606368">
        <w:fldChar w:fldCharType="separate"/>
      </w:r>
      <w:r w:rsidR="00B13033" w:rsidRPr="00606368">
        <w:rPr>
          <w:noProof/>
        </w:rPr>
        <w:t>(Brunel et al., 2020)</w:t>
      </w:r>
      <w:r w:rsidR="00B13033" w:rsidRPr="00606368">
        <w:fldChar w:fldCharType="end"/>
      </w:r>
      <w:r w:rsidR="007D29F2" w:rsidRPr="00606368">
        <w:t xml:space="preserve"> may be a powerful tool to support studies of molecular mechanism alongside study of clinical patient samples.</w:t>
      </w:r>
      <w:bookmarkStart w:id="2" w:name="_gjdgxs" w:colFirst="0" w:colLast="0"/>
      <w:bookmarkEnd w:id="2"/>
    </w:p>
    <w:p w14:paraId="632820DD" w14:textId="0FFED171" w:rsidR="00A55628" w:rsidRPr="00606368" w:rsidRDefault="00A5728A" w:rsidP="009641D0">
      <w:pPr>
        <w:spacing w:line="480" w:lineRule="auto"/>
        <w:jc w:val="both"/>
        <w:rPr>
          <w:b/>
        </w:rPr>
      </w:pPr>
      <w:r w:rsidRPr="00606368">
        <w:rPr>
          <w:b/>
        </w:rPr>
        <w:t>DECLARATIONS</w:t>
      </w:r>
    </w:p>
    <w:p w14:paraId="16832952" w14:textId="65831636" w:rsidR="004C1BA1" w:rsidRPr="00606368" w:rsidRDefault="004C1BA1" w:rsidP="00AC41D9">
      <w:pPr>
        <w:spacing w:after="240" w:line="480" w:lineRule="auto"/>
      </w:pPr>
      <w:r w:rsidRPr="00606368">
        <w:rPr>
          <w:b/>
        </w:rPr>
        <w:t>Study funding/competing interest(s)</w:t>
      </w:r>
      <w:r w:rsidRPr="00606368">
        <w:t>: This project was funded by Wellbeing of Women (RG2147). Equipment in the Biomedical Imaging Unit was supported by MR/L012626/1 Southampton Imaging under MRC UKRMP. GW is employed by Illumina Inc. All other authors report no conflicts of interest.</w:t>
      </w:r>
    </w:p>
    <w:p w14:paraId="2A76EF63" w14:textId="4AA77D6A" w:rsidR="001955FF" w:rsidRPr="00606368" w:rsidRDefault="000B74BF" w:rsidP="009641D0">
      <w:pPr>
        <w:spacing w:line="480" w:lineRule="auto"/>
        <w:jc w:val="both"/>
        <w:rPr>
          <w:b/>
        </w:rPr>
      </w:pPr>
      <w:r w:rsidRPr="00606368">
        <w:rPr>
          <w:b/>
        </w:rPr>
        <w:t>Data availability</w:t>
      </w:r>
    </w:p>
    <w:p w14:paraId="398401B3" w14:textId="092D0B3E" w:rsidR="00EB1A2E" w:rsidRPr="00606368" w:rsidRDefault="004F5C25" w:rsidP="009641D0">
      <w:pPr>
        <w:spacing w:line="480" w:lineRule="auto"/>
        <w:jc w:val="both"/>
      </w:pPr>
      <w:r w:rsidRPr="00606368">
        <w:t xml:space="preserve">Data </w:t>
      </w:r>
      <w:r w:rsidR="00FD26E4" w:rsidRPr="00606368">
        <w:t xml:space="preserve">discussed in this study </w:t>
      </w:r>
      <w:r w:rsidR="005E4576" w:rsidRPr="00606368">
        <w:t>ha</w:t>
      </w:r>
      <w:r w:rsidR="007F696A" w:rsidRPr="00606368">
        <w:t>s</w:t>
      </w:r>
      <w:r w:rsidR="005E4576" w:rsidRPr="00606368">
        <w:t xml:space="preserve"> been deposited on the NCBI’s Gene Expression Omnibus</w:t>
      </w:r>
      <w:r w:rsidR="00AE0447" w:rsidRPr="00606368">
        <w:t xml:space="preserve"> </w:t>
      </w:r>
      <w:r w:rsidR="00FD26E4" w:rsidRPr="00606368">
        <w:fldChar w:fldCharType="begin" w:fldLock="1"/>
      </w:r>
      <w:r w:rsidR="004C09F1" w:rsidRPr="00606368">
        <w:instrText>ADDIN CSL_CITATION {"citationItems":[{"id":"ITEM-1","itemData":{"DOI":"10.1093/nar/30.1.207","ISSN":"03051048","PMID":"11752295","abstract":"The Gene Expression Omnibus (GEO) project was initiated in response to the growing demand for a public repository for high-throughput gene expression data. GEO provides a flexible and open design that facilitates submission, storage and retrieval of heterogeneous data sets from high-throughput gene expression and genomic hybridization experiments. GEO is not intended to replace in house gene expression databases that benefit from coherent data sets, and which are constructed to facilitate a particular analytic method, but rather complement these by acting as a tertiary, central data distribution hub. The three central data entities of GEO are platforms, samples and series, and were designed with gene expression and genomic hybridization experiments in mind. A platform is, essentially, a list of probes that define what set of molecules may be detected. A sample describes the set of molecules that are being probed and references a single platform used to generate its molecular abundance data. A series organizes samples into the meaningful data sets which make up an experiment. The GEO repository is publicly accessible through the World Wide Web at http://www.ncbi.nlm.nih.gov/geo.","author":[{"dropping-particle":"","family":"Edgar","given":"Ron","non-dropping-particle":"","parse-names":false,"suffix":""},{"dropping-particle":"","family":"Domrachev","given":"Michael","non-dropping-particle":"","parse-names":false,"suffix":""},{"dropping-particle":"","family":"Lash","given":"Alex E.","non-dropping-particle":"","parse-names":false,"suffix":""}],"container-title":"Nucleic Acids Research","id":"ITEM-1","issue":"1","issued":{"date-parts":[["2002","1","1"]]},"page":"207-210","publisher":"Nucleic Acids Res","title":"Gene Expression Omnibus: NCBI gene expression and hybridization array data repository","type":"article-journal","volume":"30"},"uris":["http://www.mendeley.com/documents/?uuid=7a9e4060-8f8f-34e5-9622-ae9beb47a676"]}],"mendeley":{"formattedCitation":"(Edgar, Domrachev, &amp; Lash, 2002)","manualFormatting":"(Edgar et al., 2002)","plainTextFormattedCitation":"(Edgar, Domrachev, &amp; Lash, 2002)","previouslyFormattedCitation":"(Edgar, Domrachev, &amp; Lash, 2002)"},"properties":{"noteIndex":0},"schema":"https://github.com/citation-style-language/schema/raw/master/csl-citation.json"}</w:instrText>
      </w:r>
      <w:r w:rsidR="00FD26E4" w:rsidRPr="00606368">
        <w:fldChar w:fldCharType="separate"/>
      </w:r>
      <w:r w:rsidR="00FD26E4" w:rsidRPr="00606368">
        <w:rPr>
          <w:noProof/>
        </w:rPr>
        <w:t>(Edgar et al., 2002)</w:t>
      </w:r>
      <w:r w:rsidR="00FD26E4" w:rsidRPr="00606368">
        <w:fldChar w:fldCharType="end"/>
      </w:r>
      <w:r w:rsidR="007F696A" w:rsidRPr="00606368">
        <w:t>,</w:t>
      </w:r>
      <w:r w:rsidR="005E4576" w:rsidRPr="00606368">
        <w:t xml:space="preserve"> and are available through the GEO Series accession number GSE GSE183555.</w:t>
      </w:r>
    </w:p>
    <w:p w14:paraId="18421003" w14:textId="77777777" w:rsidR="008A2B15" w:rsidRPr="00606368" w:rsidRDefault="007D29F2" w:rsidP="009641D0">
      <w:pPr>
        <w:spacing w:line="480" w:lineRule="auto"/>
        <w:jc w:val="both"/>
        <w:rPr>
          <w:b/>
        </w:rPr>
      </w:pPr>
      <w:r w:rsidRPr="00606368">
        <w:rPr>
          <w:b/>
        </w:rPr>
        <w:t>Author contributions</w:t>
      </w:r>
    </w:p>
    <w:p w14:paraId="23061793" w14:textId="38C69E0F" w:rsidR="001955FF" w:rsidRPr="00606368" w:rsidRDefault="007D29F2" w:rsidP="00AC41D9">
      <w:pPr>
        <w:spacing w:after="240" w:line="480" w:lineRule="auto"/>
        <w:jc w:val="both"/>
      </w:pPr>
      <w:r w:rsidRPr="00606368">
        <w:t>JP and JS performed sample collection and laboratory analysis. GW, JS and JP performed analysis of transcriptomic data. All authors contributed interpretation all data and the writing of the study. JC, YC and RL initiated, designed and obtained funding for the study.</w:t>
      </w:r>
    </w:p>
    <w:p w14:paraId="14AE4217" w14:textId="7C7D11CC" w:rsidR="001955FF" w:rsidRPr="00606368" w:rsidRDefault="001955FF" w:rsidP="009641D0">
      <w:pPr>
        <w:spacing w:line="480" w:lineRule="auto"/>
        <w:jc w:val="both"/>
        <w:rPr>
          <w:b/>
        </w:rPr>
      </w:pPr>
      <w:r w:rsidRPr="00606368">
        <w:rPr>
          <w:b/>
        </w:rPr>
        <w:t>Ethics approval</w:t>
      </w:r>
    </w:p>
    <w:p w14:paraId="30D8F8DB" w14:textId="5FC89EA6" w:rsidR="00192767" w:rsidRPr="00606368" w:rsidRDefault="001955FF" w:rsidP="00AC41D9">
      <w:pPr>
        <w:spacing w:after="240" w:line="480" w:lineRule="auto"/>
        <w:jc w:val="both"/>
      </w:pPr>
      <w:r w:rsidRPr="00606368">
        <w:t>Isle of Wight, Portsmouth &amp; South East Hampshire Research Ethics Committee (08/H0502/162).</w:t>
      </w:r>
    </w:p>
    <w:p w14:paraId="09420F0C" w14:textId="1BCCBEAA" w:rsidR="001955FF" w:rsidRPr="00606368" w:rsidRDefault="001955FF" w:rsidP="009641D0">
      <w:pPr>
        <w:spacing w:line="480" w:lineRule="auto"/>
        <w:jc w:val="both"/>
        <w:rPr>
          <w:b/>
        </w:rPr>
      </w:pPr>
      <w:r w:rsidRPr="00606368">
        <w:rPr>
          <w:b/>
        </w:rPr>
        <w:t>Consent to participate</w:t>
      </w:r>
    </w:p>
    <w:p w14:paraId="365B0437" w14:textId="6D51AC87" w:rsidR="001955FF" w:rsidRPr="00606368" w:rsidRDefault="001955FF" w:rsidP="00AC41D9">
      <w:pPr>
        <w:spacing w:after="240" w:line="480" w:lineRule="auto"/>
        <w:jc w:val="both"/>
      </w:pPr>
      <w:r w:rsidRPr="00606368">
        <w:t>Informed written consent was given by all participants</w:t>
      </w:r>
      <w:r w:rsidR="000B61B1" w:rsidRPr="00606368">
        <w:t>.</w:t>
      </w:r>
    </w:p>
    <w:p w14:paraId="303F6C05" w14:textId="06278D0E" w:rsidR="001955FF" w:rsidRPr="00606368" w:rsidRDefault="001955FF" w:rsidP="009641D0">
      <w:pPr>
        <w:spacing w:line="480" w:lineRule="auto"/>
        <w:jc w:val="both"/>
        <w:rPr>
          <w:b/>
        </w:rPr>
      </w:pPr>
      <w:r w:rsidRPr="00606368">
        <w:rPr>
          <w:b/>
        </w:rPr>
        <w:t xml:space="preserve">Consent for publication </w:t>
      </w:r>
    </w:p>
    <w:p w14:paraId="7F988D8F" w14:textId="1888819C" w:rsidR="008A2B15" w:rsidRPr="00606368" w:rsidRDefault="000B61B1" w:rsidP="009641D0">
      <w:pPr>
        <w:spacing w:line="480" w:lineRule="auto"/>
        <w:jc w:val="both"/>
        <w:rPr>
          <w:b/>
        </w:rPr>
      </w:pPr>
      <w:r w:rsidRPr="00606368">
        <w:t>Participant information was anonymised.</w:t>
      </w:r>
    </w:p>
    <w:p w14:paraId="2748CB77" w14:textId="10C8E3F7" w:rsidR="008A2B15" w:rsidRPr="00606368" w:rsidRDefault="007D29F2" w:rsidP="009641D0">
      <w:pPr>
        <w:spacing w:line="480" w:lineRule="auto"/>
        <w:rPr>
          <w:b/>
        </w:rPr>
      </w:pPr>
      <w:r w:rsidRPr="00606368">
        <w:br w:type="page"/>
      </w:r>
      <w:r w:rsidR="00BC7E36" w:rsidRPr="00606368">
        <w:rPr>
          <w:b/>
        </w:rPr>
        <w:lastRenderedPageBreak/>
        <w:t>TABLES</w:t>
      </w:r>
    </w:p>
    <w:p w14:paraId="2EB24C34" w14:textId="483A1F19" w:rsidR="008A2B15" w:rsidRPr="00606368" w:rsidRDefault="007D29F2" w:rsidP="009641D0">
      <w:pPr>
        <w:keepNext/>
        <w:pBdr>
          <w:top w:val="nil"/>
          <w:left w:val="nil"/>
          <w:bottom w:val="nil"/>
          <w:right w:val="nil"/>
          <w:between w:val="nil"/>
        </w:pBdr>
        <w:tabs>
          <w:tab w:val="left" w:pos="1418"/>
        </w:tabs>
        <w:spacing w:before="120" w:after="120" w:line="480" w:lineRule="auto"/>
        <w:ind w:left="1134" w:hanging="1134"/>
        <w:rPr>
          <w:color w:val="000000"/>
        </w:rPr>
      </w:pPr>
      <w:r w:rsidRPr="00606368">
        <w:rPr>
          <w:b/>
          <w:color w:val="000000"/>
        </w:rPr>
        <w:t>Table 1</w:t>
      </w:r>
      <w:r w:rsidR="00DD4044" w:rsidRPr="00606368">
        <w:rPr>
          <w:b/>
          <w:color w:val="000000"/>
        </w:rPr>
        <w:t>:</w:t>
      </w:r>
      <w:r w:rsidRPr="00606368">
        <w:rPr>
          <w:b/>
          <w:color w:val="000000"/>
        </w:rPr>
        <w:t xml:space="preserve"> Participant clinical characteristics</w:t>
      </w:r>
    </w:p>
    <w:tbl>
      <w:tblPr>
        <w:tblStyle w:val="a"/>
        <w:tblW w:w="6799" w:type="dxa"/>
        <w:jc w:val="center"/>
        <w:tblLayout w:type="fixed"/>
        <w:tblLook w:val="0400" w:firstRow="0" w:lastRow="0" w:firstColumn="0" w:lastColumn="0" w:noHBand="0" w:noVBand="1"/>
      </w:tblPr>
      <w:tblGrid>
        <w:gridCol w:w="3320"/>
        <w:gridCol w:w="1500"/>
        <w:gridCol w:w="1979"/>
      </w:tblGrid>
      <w:tr w:rsidR="008A2B15" w:rsidRPr="00606368" w14:paraId="518D269C" w14:textId="77777777" w:rsidTr="00DD4044">
        <w:trPr>
          <w:trHeight w:val="510"/>
          <w:jc w:val="center"/>
        </w:trPr>
        <w:tc>
          <w:tcPr>
            <w:tcW w:w="3320" w:type="dxa"/>
            <w:tcBorders>
              <w:top w:val="single" w:sz="4" w:space="0" w:color="auto"/>
              <w:bottom w:val="single" w:sz="4" w:space="0" w:color="auto"/>
            </w:tcBorders>
            <w:shd w:val="clear" w:color="auto" w:fill="auto"/>
            <w:vAlign w:val="center"/>
          </w:tcPr>
          <w:p w14:paraId="092234AB" w14:textId="77777777" w:rsidR="008A2B15" w:rsidRPr="00606368" w:rsidRDefault="007D29F2" w:rsidP="009641D0">
            <w:pPr>
              <w:spacing w:line="480" w:lineRule="auto"/>
              <w:jc w:val="center"/>
              <w:rPr>
                <w:b/>
                <w:color w:val="000000"/>
                <w:sz w:val="20"/>
                <w:szCs w:val="20"/>
              </w:rPr>
            </w:pPr>
            <w:r w:rsidRPr="00606368">
              <w:rPr>
                <w:b/>
                <w:color w:val="000000"/>
                <w:sz w:val="20"/>
                <w:szCs w:val="20"/>
              </w:rPr>
              <w:t xml:space="preserve">Characteristic </w:t>
            </w:r>
          </w:p>
        </w:tc>
        <w:tc>
          <w:tcPr>
            <w:tcW w:w="1500" w:type="dxa"/>
            <w:tcBorders>
              <w:top w:val="single" w:sz="4" w:space="0" w:color="auto"/>
              <w:bottom w:val="single" w:sz="4" w:space="0" w:color="auto"/>
            </w:tcBorders>
            <w:shd w:val="clear" w:color="auto" w:fill="auto"/>
            <w:vAlign w:val="center"/>
          </w:tcPr>
          <w:p w14:paraId="004B4C6E" w14:textId="77777777" w:rsidR="008A2B15" w:rsidRPr="00606368" w:rsidRDefault="007D29F2" w:rsidP="009641D0">
            <w:pPr>
              <w:spacing w:line="480" w:lineRule="auto"/>
              <w:jc w:val="center"/>
              <w:rPr>
                <w:b/>
                <w:color w:val="000000"/>
                <w:sz w:val="20"/>
                <w:szCs w:val="20"/>
              </w:rPr>
            </w:pPr>
            <w:r w:rsidRPr="00606368">
              <w:rPr>
                <w:b/>
                <w:color w:val="000000"/>
                <w:sz w:val="20"/>
                <w:szCs w:val="20"/>
              </w:rPr>
              <w:t>Control (n = 5) mean (SD)</w:t>
            </w:r>
          </w:p>
        </w:tc>
        <w:tc>
          <w:tcPr>
            <w:tcW w:w="1979" w:type="dxa"/>
            <w:tcBorders>
              <w:top w:val="single" w:sz="4" w:space="0" w:color="auto"/>
              <w:bottom w:val="single" w:sz="4" w:space="0" w:color="auto"/>
            </w:tcBorders>
            <w:shd w:val="clear" w:color="auto" w:fill="auto"/>
            <w:vAlign w:val="center"/>
          </w:tcPr>
          <w:p w14:paraId="63BFD64D" w14:textId="78F41351" w:rsidR="008A2B15" w:rsidRPr="00606368" w:rsidRDefault="007F696A" w:rsidP="009641D0">
            <w:pPr>
              <w:spacing w:line="480" w:lineRule="auto"/>
              <w:jc w:val="center"/>
              <w:rPr>
                <w:b/>
                <w:color w:val="000000"/>
                <w:sz w:val="20"/>
                <w:szCs w:val="20"/>
              </w:rPr>
            </w:pPr>
            <w:r w:rsidRPr="00606368">
              <w:rPr>
                <w:b/>
                <w:color w:val="000000"/>
                <w:sz w:val="20"/>
                <w:szCs w:val="20"/>
              </w:rPr>
              <w:t>Recurrent pregnancy loss</w:t>
            </w:r>
            <w:r w:rsidR="007D29F2" w:rsidRPr="00606368">
              <w:rPr>
                <w:b/>
                <w:color w:val="000000"/>
                <w:sz w:val="20"/>
                <w:szCs w:val="20"/>
              </w:rPr>
              <w:t xml:space="preserve"> (n = 5) mean (SD)</w:t>
            </w:r>
          </w:p>
        </w:tc>
      </w:tr>
      <w:tr w:rsidR="008A2B15" w:rsidRPr="00606368" w14:paraId="4099980F" w14:textId="77777777" w:rsidTr="00AC41D9">
        <w:trPr>
          <w:trHeight w:val="300"/>
          <w:jc w:val="center"/>
        </w:trPr>
        <w:tc>
          <w:tcPr>
            <w:tcW w:w="3320" w:type="dxa"/>
            <w:tcBorders>
              <w:top w:val="single" w:sz="4" w:space="0" w:color="auto"/>
            </w:tcBorders>
            <w:shd w:val="clear" w:color="auto" w:fill="auto"/>
            <w:vAlign w:val="bottom"/>
          </w:tcPr>
          <w:p w14:paraId="2F0F0058" w14:textId="77777777" w:rsidR="008A2B15" w:rsidRPr="00606368" w:rsidRDefault="007D29F2" w:rsidP="009641D0">
            <w:pPr>
              <w:spacing w:line="480" w:lineRule="auto"/>
              <w:rPr>
                <w:b/>
                <w:color w:val="000000"/>
                <w:sz w:val="20"/>
                <w:szCs w:val="20"/>
              </w:rPr>
            </w:pPr>
            <w:r w:rsidRPr="00606368">
              <w:rPr>
                <w:b/>
                <w:color w:val="000000"/>
                <w:sz w:val="20"/>
                <w:szCs w:val="20"/>
              </w:rPr>
              <w:t xml:space="preserve">Demographic characteristics </w:t>
            </w:r>
          </w:p>
        </w:tc>
        <w:tc>
          <w:tcPr>
            <w:tcW w:w="1500" w:type="dxa"/>
            <w:tcBorders>
              <w:top w:val="single" w:sz="4" w:space="0" w:color="auto"/>
            </w:tcBorders>
            <w:shd w:val="clear" w:color="auto" w:fill="auto"/>
            <w:vAlign w:val="center"/>
          </w:tcPr>
          <w:p w14:paraId="6D8D095B" w14:textId="77777777" w:rsidR="008A2B15" w:rsidRPr="00606368" w:rsidRDefault="008A2B15" w:rsidP="009641D0">
            <w:pPr>
              <w:spacing w:line="480" w:lineRule="auto"/>
              <w:rPr>
                <w:b/>
                <w:color w:val="000000"/>
                <w:sz w:val="20"/>
                <w:szCs w:val="20"/>
              </w:rPr>
            </w:pPr>
          </w:p>
        </w:tc>
        <w:tc>
          <w:tcPr>
            <w:tcW w:w="1979" w:type="dxa"/>
            <w:tcBorders>
              <w:top w:val="single" w:sz="4" w:space="0" w:color="auto"/>
            </w:tcBorders>
            <w:shd w:val="clear" w:color="auto" w:fill="auto"/>
            <w:vAlign w:val="bottom"/>
          </w:tcPr>
          <w:p w14:paraId="56ACDCA5" w14:textId="77777777" w:rsidR="008A2B15" w:rsidRPr="00606368" w:rsidRDefault="008A2B15" w:rsidP="009641D0">
            <w:pPr>
              <w:spacing w:line="480" w:lineRule="auto"/>
              <w:jc w:val="center"/>
              <w:rPr>
                <w:sz w:val="20"/>
                <w:szCs w:val="20"/>
              </w:rPr>
            </w:pPr>
          </w:p>
        </w:tc>
      </w:tr>
      <w:tr w:rsidR="008A2B15" w:rsidRPr="00606368" w14:paraId="209FAC89" w14:textId="77777777" w:rsidTr="00AC41D9">
        <w:trPr>
          <w:trHeight w:val="300"/>
          <w:jc w:val="center"/>
        </w:trPr>
        <w:tc>
          <w:tcPr>
            <w:tcW w:w="3320" w:type="dxa"/>
            <w:shd w:val="clear" w:color="auto" w:fill="auto"/>
            <w:vAlign w:val="bottom"/>
          </w:tcPr>
          <w:p w14:paraId="5F6B436D" w14:textId="466F393B" w:rsidR="008A2B15" w:rsidRPr="00606368" w:rsidRDefault="007D29F2" w:rsidP="009641D0">
            <w:pPr>
              <w:spacing w:line="480" w:lineRule="auto"/>
              <w:rPr>
                <w:color w:val="000000"/>
                <w:sz w:val="20"/>
                <w:szCs w:val="20"/>
              </w:rPr>
            </w:pPr>
            <w:r w:rsidRPr="00606368">
              <w:rPr>
                <w:color w:val="000000"/>
                <w:sz w:val="20"/>
                <w:szCs w:val="20"/>
              </w:rPr>
              <w:t>Age</w:t>
            </w:r>
            <w:r w:rsidR="00AC41D9" w:rsidRPr="00606368">
              <w:rPr>
                <w:color w:val="000000"/>
                <w:sz w:val="20"/>
                <w:szCs w:val="20"/>
              </w:rPr>
              <w:t xml:space="preserve"> (years)</w:t>
            </w:r>
          </w:p>
        </w:tc>
        <w:tc>
          <w:tcPr>
            <w:tcW w:w="1500" w:type="dxa"/>
            <w:shd w:val="clear" w:color="auto" w:fill="auto"/>
            <w:vAlign w:val="center"/>
          </w:tcPr>
          <w:p w14:paraId="31068D7B" w14:textId="77777777" w:rsidR="008A2B15" w:rsidRPr="00606368" w:rsidRDefault="007D29F2" w:rsidP="009641D0">
            <w:pPr>
              <w:spacing w:line="480" w:lineRule="auto"/>
              <w:jc w:val="center"/>
              <w:rPr>
                <w:color w:val="000000"/>
                <w:sz w:val="20"/>
                <w:szCs w:val="20"/>
              </w:rPr>
            </w:pPr>
            <w:r w:rsidRPr="00606368">
              <w:rPr>
                <w:color w:val="000000"/>
                <w:sz w:val="20"/>
                <w:szCs w:val="20"/>
              </w:rPr>
              <w:t>28.8 (5.1)</w:t>
            </w:r>
          </w:p>
        </w:tc>
        <w:tc>
          <w:tcPr>
            <w:tcW w:w="1979" w:type="dxa"/>
            <w:shd w:val="clear" w:color="auto" w:fill="auto"/>
            <w:vAlign w:val="bottom"/>
          </w:tcPr>
          <w:p w14:paraId="636E7C33" w14:textId="77777777" w:rsidR="008A2B15" w:rsidRPr="00606368" w:rsidRDefault="007D29F2" w:rsidP="009641D0">
            <w:pPr>
              <w:spacing w:line="480" w:lineRule="auto"/>
              <w:jc w:val="center"/>
              <w:rPr>
                <w:color w:val="000000"/>
                <w:sz w:val="20"/>
                <w:szCs w:val="20"/>
              </w:rPr>
            </w:pPr>
            <w:r w:rsidRPr="00606368">
              <w:rPr>
                <w:color w:val="000000"/>
                <w:sz w:val="20"/>
                <w:szCs w:val="20"/>
              </w:rPr>
              <w:t>33.0 (3.9)</w:t>
            </w:r>
          </w:p>
        </w:tc>
      </w:tr>
      <w:tr w:rsidR="008A2B15" w:rsidRPr="00606368" w14:paraId="0C7FB7B5" w14:textId="77777777" w:rsidTr="00AC41D9">
        <w:trPr>
          <w:trHeight w:val="300"/>
          <w:jc w:val="center"/>
        </w:trPr>
        <w:tc>
          <w:tcPr>
            <w:tcW w:w="3320" w:type="dxa"/>
            <w:shd w:val="clear" w:color="auto" w:fill="auto"/>
            <w:vAlign w:val="bottom"/>
          </w:tcPr>
          <w:p w14:paraId="28AACED9" w14:textId="77777777" w:rsidR="008A2B15" w:rsidRPr="00606368" w:rsidRDefault="007D29F2" w:rsidP="009641D0">
            <w:pPr>
              <w:spacing w:line="480" w:lineRule="auto"/>
              <w:rPr>
                <w:color w:val="000000"/>
                <w:sz w:val="20"/>
                <w:szCs w:val="20"/>
              </w:rPr>
            </w:pPr>
            <w:r w:rsidRPr="00606368">
              <w:rPr>
                <w:color w:val="000000"/>
                <w:sz w:val="20"/>
                <w:szCs w:val="20"/>
              </w:rPr>
              <w:t>BMI</w:t>
            </w:r>
          </w:p>
        </w:tc>
        <w:tc>
          <w:tcPr>
            <w:tcW w:w="1500" w:type="dxa"/>
            <w:shd w:val="clear" w:color="auto" w:fill="auto"/>
            <w:vAlign w:val="center"/>
          </w:tcPr>
          <w:p w14:paraId="3BCE34D2" w14:textId="77777777" w:rsidR="008A2B15" w:rsidRPr="00606368" w:rsidRDefault="007D29F2" w:rsidP="009641D0">
            <w:pPr>
              <w:spacing w:line="480" w:lineRule="auto"/>
              <w:jc w:val="center"/>
              <w:rPr>
                <w:color w:val="000000"/>
                <w:sz w:val="20"/>
                <w:szCs w:val="20"/>
              </w:rPr>
            </w:pPr>
            <w:r w:rsidRPr="00606368">
              <w:rPr>
                <w:color w:val="000000"/>
                <w:sz w:val="20"/>
                <w:szCs w:val="20"/>
              </w:rPr>
              <w:t>22.0 (2.2)</w:t>
            </w:r>
          </w:p>
        </w:tc>
        <w:tc>
          <w:tcPr>
            <w:tcW w:w="1979" w:type="dxa"/>
            <w:shd w:val="clear" w:color="auto" w:fill="auto"/>
            <w:vAlign w:val="bottom"/>
          </w:tcPr>
          <w:p w14:paraId="70CD3BE5" w14:textId="77777777" w:rsidR="008A2B15" w:rsidRPr="00606368" w:rsidRDefault="007D29F2" w:rsidP="009641D0">
            <w:pPr>
              <w:spacing w:line="480" w:lineRule="auto"/>
              <w:jc w:val="center"/>
              <w:rPr>
                <w:color w:val="000000"/>
                <w:sz w:val="20"/>
                <w:szCs w:val="20"/>
              </w:rPr>
            </w:pPr>
            <w:r w:rsidRPr="00606368">
              <w:rPr>
                <w:color w:val="000000"/>
                <w:sz w:val="20"/>
                <w:szCs w:val="20"/>
              </w:rPr>
              <w:t>24.2 (3.0)</w:t>
            </w:r>
          </w:p>
        </w:tc>
      </w:tr>
      <w:tr w:rsidR="008A2B15" w:rsidRPr="00606368" w14:paraId="7493BD8D" w14:textId="77777777" w:rsidTr="00AC41D9">
        <w:trPr>
          <w:trHeight w:val="300"/>
          <w:jc w:val="center"/>
        </w:trPr>
        <w:tc>
          <w:tcPr>
            <w:tcW w:w="3320" w:type="dxa"/>
            <w:shd w:val="clear" w:color="auto" w:fill="auto"/>
            <w:vAlign w:val="bottom"/>
          </w:tcPr>
          <w:p w14:paraId="1AB74371" w14:textId="77777777" w:rsidR="008A2B15" w:rsidRPr="00606368" w:rsidRDefault="007D29F2" w:rsidP="009641D0">
            <w:pPr>
              <w:spacing w:line="480" w:lineRule="auto"/>
              <w:rPr>
                <w:b/>
                <w:color w:val="000000"/>
                <w:sz w:val="20"/>
                <w:szCs w:val="20"/>
              </w:rPr>
            </w:pPr>
            <w:r w:rsidRPr="00606368">
              <w:rPr>
                <w:b/>
                <w:color w:val="000000"/>
                <w:sz w:val="20"/>
                <w:szCs w:val="20"/>
              </w:rPr>
              <w:t>Menstrual cycle characteristics</w:t>
            </w:r>
          </w:p>
        </w:tc>
        <w:tc>
          <w:tcPr>
            <w:tcW w:w="1500" w:type="dxa"/>
            <w:shd w:val="clear" w:color="auto" w:fill="auto"/>
            <w:vAlign w:val="center"/>
          </w:tcPr>
          <w:p w14:paraId="03A311BB" w14:textId="77777777" w:rsidR="008A2B15" w:rsidRPr="00606368" w:rsidRDefault="008A2B15" w:rsidP="009641D0">
            <w:pPr>
              <w:spacing w:line="480" w:lineRule="auto"/>
              <w:rPr>
                <w:b/>
                <w:color w:val="000000"/>
                <w:sz w:val="20"/>
                <w:szCs w:val="20"/>
              </w:rPr>
            </w:pPr>
          </w:p>
        </w:tc>
        <w:tc>
          <w:tcPr>
            <w:tcW w:w="1979" w:type="dxa"/>
            <w:shd w:val="clear" w:color="auto" w:fill="auto"/>
            <w:vAlign w:val="bottom"/>
          </w:tcPr>
          <w:p w14:paraId="21EBF7F2" w14:textId="77777777" w:rsidR="008A2B15" w:rsidRPr="00606368" w:rsidRDefault="008A2B15" w:rsidP="009641D0">
            <w:pPr>
              <w:spacing w:line="480" w:lineRule="auto"/>
              <w:jc w:val="center"/>
              <w:rPr>
                <w:sz w:val="20"/>
                <w:szCs w:val="20"/>
              </w:rPr>
            </w:pPr>
          </w:p>
        </w:tc>
      </w:tr>
      <w:tr w:rsidR="008A2B15" w:rsidRPr="00606368" w14:paraId="6212F235" w14:textId="77777777" w:rsidTr="00AC41D9">
        <w:trPr>
          <w:trHeight w:val="300"/>
          <w:jc w:val="center"/>
        </w:trPr>
        <w:tc>
          <w:tcPr>
            <w:tcW w:w="3320" w:type="dxa"/>
            <w:shd w:val="clear" w:color="auto" w:fill="auto"/>
            <w:vAlign w:val="bottom"/>
          </w:tcPr>
          <w:p w14:paraId="62DBC4BB" w14:textId="77777777" w:rsidR="008A2B15" w:rsidRPr="00606368" w:rsidRDefault="007D29F2" w:rsidP="009641D0">
            <w:pPr>
              <w:spacing w:line="480" w:lineRule="auto"/>
              <w:rPr>
                <w:color w:val="000000"/>
                <w:sz w:val="20"/>
                <w:szCs w:val="20"/>
              </w:rPr>
            </w:pPr>
            <w:r w:rsidRPr="00606368">
              <w:rPr>
                <w:color w:val="000000"/>
                <w:sz w:val="20"/>
                <w:szCs w:val="20"/>
              </w:rPr>
              <w:t>Day of menstrual cycle</w:t>
            </w:r>
          </w:p>
        </w:tc>
        <w:tc>
          <w:tcPr>
            <w:tcW w:w="1500" w:type="dxa"/>
            <w:shd w:val="clear" w:color="auto" w:fill="auto"/>
            <w:vAlign w:val="center"/>
          </w:tcPr>
          <w:p w14:paraId="2417132D" w14:textId="77777777" w:rsidR="008A2B15" w:rsidRPr="00606368" w:rsidRDefault="007D29F2" w:rsidP="009641D0">
            <w:pPr>
              <w:spacing w:line="480" w:lineRule="auto"/>
              <w:jc w:val="center"/>
              <w:rPr>
                <w:color w:val="000000"/>
                <w:sz w:val="20"/>
                <w:szCs w:val="20"/>
              </w:rPr>
            </w:pPr>
            <w:r w:rsidRPr="00606368">
              <w:rPr>
                <w:color w:val="000000"/>
                <w:sz w:val="20"/>
                <w:szCs w:val="20"/>
              </w:rPr>
              <w:t>21.0 (2.0)</w:t>
            </w:r>
          </w:p>
        </w:tc>
        <w:tc>
          <w:tcPr>
            <w:tcW w:w="1979" w:type="dxa"/>
            <w:shd w:val="clear" w:color="auto" w:fill="auto"/>
            <w:vAlign w:val="bottom"/>
          </w:tcPr>
          <w:p w14:paraId="244765A3" w14:textId="77777777" w:rsidR="008A2B15" w:rsidRPr="00606368" w:rsidRDefault="007D29F2" w:rsidP="009641D0">
            <w:pPr>
              <w:spacing w:line="480" w:lineRule="auto"/>
              <w:jc w:val="center"/>
              <w:rPr>
                <w:color w:val="000000"/>
                <w:sz w:val="20"/>
                <w:szCs w:val="20"/>
              </w:rPr>
            </w:pPr>
            <w:r w:rsidRPr="00606368">
              <w:rPr>
                <w:color w:val="000000"/>
                <w:sz w:val="20"/>
                <w:szCs w:val="20"/>
              </w:rPr>
              <w:t>21.4 (1.9)</w:t>
            </w:r>
          </w:p>
        </w:tc>
      </w:tr>
      <w:tr w:rsidR="008A2B15" w:rsidRPr="00606368" w14:paraId="275CD559" w14:textId="77777777" w:rsidTr="00AC41D9">
        <w:trPr>
          <w:trHeight w:val="300"/>
          <w:jc w:val="center"/>
        </w:trPr>
        <w:tc>
          <w:tcPr>
            <w:tcW w:w="3320" w:type="dxa"/>
            <w:shd w:val="clear" w:color="auto" w:fill="auto"/>
            <w:vAlign w:val="bottom"/>
          </w:tcPr>
          <w:p w14:paraId="0BE2CCD9" w14:textId="2A8157C1" w:rsidR="008A2B15" w:rsidRPr="00606368" w:rsidRDefault="007D29F2" w:rsidP="009641D0">
            <w:pPr>
              <w:spacing w:line="480" w:lineRule="auto"/>
              <w:rPr>
                <w:color w:val="000000"/>
                <w:sz w:val="20"/>
                <w:szCs w:val="20"/>
              </w:rPr>
            </w:pPr>
            <w:r w:rsidRPr="00606368">
              <w:rPr>
                <w:color w:val="000000"/>
                <w:sz w:val="20"/>
                <w:szCs w:val="20"/>
              </w:rPr>
              <w:t>Length of menstrual cycle</w:t>
            </w:r>
            <w:r w:rsidR="00AC41D9" w:rsidRPr="00606368">
              <w:rPr>
                <w:color w:val="000000"/>
                <w:sz w:val="20"/>
                <w:szCs w:val="20"/>
              </w:rPr>
              <w:t xml:space="preserve"> (days)</w:t>
            </w:r>
          </w:p>
        </w:tc>
        <w:tc>
          <w:tcPr>
            <w:tcW w:w="1500" w:type="dxa"/>
            <w:shd w:val="clear" w:color="auto" w:fill="auto"/>
            <w:vAlign w:val="center"/>
          </w:tcPr>
          <w:p w14:paraId="16D96266" w14:textId="77777777" w:rsidR="008A2B15" w:rsidRPr="00606368" w:rsidRDefault="007D29F2" w:rsidP="009641D0">
            <w:pPr>
              <w:spacing w:line="480" w:lineRule="auto"/>
              <w:jc w:val="center"/>
              <w:rPr>
                <w:color w:val="000000"/>
                <w:sz w:val="20"/>
                <w:szCs w:val="20"/>
              </w:rPr>
            </w:pPr>
            <w:r w:rsidRPr="00606368">
              <w:rPr>
                <w:color w:val="000000"/>
                <w:sz w:val="20"/>
                <w:szCs w:val="20"/>
              </w:rPr>
              <w:t>28.8 (0.9)</w:t>
            </w:r>
          </w:p>
        </w:tc>
        <w:tc>
          <w:tcPr>
            <w:tcW w:w="1979" w:type="dxa"/>
            <w:shd w:val="clear" w:color="auto" w:fill="auto"/>
            <w:vAlign w:val="bottom"/>
          </w:tcPr>
          <w:p w14:paraId="2CA0940F" w14:textId="77777777" w:rsidR="008A2B15" w:rsidRPr="00606368" w:rsidRDefault="007D29F2" w:rsidP="009641D0">
            <w:pPr>
              <w:spacing w:line="480" w:lineRule="auto"/>
              <w:jc w:val="center"/>
              <w:rPr>
                <w:color w:val="000000"/>
                <w:sz w:val="20"/>
                <w:szCs w:val="20"/>
              </w:rPr>
            </w:pPr>
            <w:r w:rsidRPr="00606368">
              <w:rPr>
                <w:color w:val="000000"/>
                <w:sz w:val="20"/>
                <w:szCs w:val="20"/>
              </w:rPr>
              <w:t>27.8 (1.9)</w:t>
            </w:r>
          </w:p>
        </w:tc>
      </w:tr>
      <w:tr w:rsidR="008A2B15" w:rsidRPr="00606368" w14:paraId="1FD49100" w14:textId="77777777" w:rsidTr="00AC41D9">
        <w:trPr>
          <w:trHeight w:val="300"/>
          <w:jc w:val="center"/>
        </w:trPr>
        <w:tc>
          <w:tcPr>
            <w:tcW w:w="3320" w:type="dxa"/>
            <w:shd w:val="clear" w:color="auto" w:fill="auto"/>
            <w:vAlign w:val="bottom"/>
          </w:tcPr>
          <w:p w14:paraId="2F717F44" w14:textId="77777777" w:rsidR="008A2B15" w:rsidRPr="00606368" w:rsidRDefault="007D29F2" w:rsidP="009641D0">
            <w:pPr>
              <w:spacing w:line="480" w:lineRule="auto"/>
              <w:rPr>
                <w:b/>
                <w:color w:val="000000"/>
                <w:sz w:val="20"/>
                <w:szCs w:val="20"/>
              </w:rPr>
            </w:pPr>
            <w:r w:rsidRPr="00606368">
              <w:rPr>
                <w:b/>
                <w:color w:val="000000"/>
                <w:sz w:val="20"/>
                <w:szCs w:val="20"/>
              </w:rPr>
              <w:t>Fertility history</w:t>
            </w:r>
          </w:p>
        </w:tc>
        <w:tc>
          <w:tcPr>
            <w:tcW w:w="1500" w:type="dxa"/>
            <w:shd w:val="clear" w:color="auto" w:fill="auto"/>
            <w:vAlign w:val="center"/>
          </w:tcPr>
          <w:p w14:paraId="302C1591" w14:textId="77777777" w:rsidR="008A2B15" w:rsidRPr="00606368" w:rsidRDefault="008A2B15" w:rsidP="009641D0">
            <w:pPr>
              <w:spacing w:line="480" w:lineRule="auto"/>
              <w:rPr>
                <w:b/>
                <w:color w:val="000000"/>
                <w:sz w:val="20"/>
                <w:szCs w:val="20"/>
              </w:rPr>
            </w:pPr>
          </w:p>
        </w:tc>
        <w:tc>
          <w:tcPr>
            <w:tcW w:w="1979" w:type="dxa"/>
            <w:shd w:val="clear" w:color="auto" w:fill="auto"/>
            <w:vAlign w:val="bottom"/>
          </w:tcPr>
          <w:p w14:paraId="2644288E" w14:textId="77777777" w:rsidR="008A2B15" w:rsidRPr="00606368" w:rsidRDefault="008A2B15" w:rsidP="009641D0">
            <w:pPr>
              <w:spacing w:line="480" w:lineRule="auto"/>
              <w:jc w:val="center"/>
              <w:rPr>
                <w:sz w:val="20"/>
                <w:szCs w:val="20"/>
              </w:rPr>
            </w:pPr>
          </w:p>
        </w:tc>
      </w:tr>
      <w:tr w:rsidR="008A2B15" w:rsidRPr="00606368" w14:paraId="586B398B" w14:textId="77777777" w:rsidTr="00AC41D9">
        <w:trPr>
          <w:trHeight w:val="300"/>
          <w:jc w:val="center"/>
        </w:trPr>
        <w:tc>
          <w:tcPr>
            <w:tcW w:w="3320" w:type="dxa"/>
            <w:shd w:val="clear" w:color="auto" w:fill="auto"/>
            <w:vAlign w:val="bottom"/>
          </w:tcPr>
          <w:p w14:paraId="38CB766E" w14:textId="77777777" w:rsidR="008A2B15" w:rsidRPr="00606368" w:rsidRDefault="007D29F2" w:rsidP="009641D0">
            <w:pPr>
              <w:spacing w:line="480" w:lineRule="auto"/>
              <w:rPr>
                <w:color w:val="000000"/>
                <w:sz w:val="20"/>
                <w:szCs w:val="20"/>
              </w:rPr>
            </w:pPr>
            <w:r w:rsidRPr="00606368">
              <w:rPr>
                <w:color w:val="000000"/>
                <w:sz w:val="20"/>
                <w:szCs w:val="20"/>
              </w:rPr>
              <w:t xml:space="preserve">Contraceptive use in last year </w:t>
            </w:r>
          </w:p>
        </w:tc>
        <w:tc>
          <w:tcPr>
            <w:tcW w:w="1500" w:type="dxa"/>
            <w:shd w:val="clear" w:color="auto" w:fill="auto"/>
            <w:vAlign w:val="center"/>
          </w:tcPr>
          <w:p w14:paraId="708B3419" w14:textId="77777777" w:rsidR="008A2B15" w:rsidRPr="00606368" w:rsidRDefault="007D29F2" w:rsidP="009641D0">
            <w:pPr>
              <w:spacing w:line="480" w:lineRule="auto"/>
              <w:jc w:val="center"/>
              <w:rPr>
                <w:color w:val="000000"/>
                <w:sz w:val="20"/>
                <w:szCs w:val="20"/>
              </w:rPr>
            </w:pPr>
            <w:r w:rsidRPr="00606368">
              <w:rPr>
                <w:color w:val="000000"/>
                <w:sz w:val="20"/>
                <w:szCs w:val="20"/>
              </w:rPr>
              <w:t>none</w:t>
            </w:r>
          </w:p>
        </w:tc>
        <w:tc>
          <w:tcPr>
            <w:tcW w:w="1979" w:type="dxa"/>
            <w:shd w:val="clear" w:color="auto" w:fill="auto"/>
            <w:vAlign w:val="center"/>
          </w:tcPr>
          <w:p w14:paraId="275A90A1" w14:textId="77777777" w:rsidR="008A2B15" w:rsidRPr="00606368" w:rsidRDefault="007D29F2" w:rsidP="009641D0">
            <w:pPr>
              <w:spacing w:line="480" w:lineRule="auto"/>
              <w:jc w:val="center"/>
              <w:rPr>
                <w:color w:val="000000"/>
                <w:sz w:val="20"/>
                <w:szCs w:val="20"/>
              </w:rPr>
            </w:pPr>
            <w:r w:rsidRPr="00606368">
              <w:rPr>
                <w:color w:val="000000"/>
                <w:sz w:val="20"/>
                <w:szCs w:val="20"/>
              </w:rPr>
              <w:t>none</w:t>
            </w:r>
          </w:p>
        </w:tc>
      </w:tr>
      <w:tr w:rsidR="008A2B15" w:rsidRPr="00606368" w14:paraId="029756A0" w14:textId="77777777" w:rsidTr="00AC41D9">
        <w:trPr>
          <w:trHeight w:val="300"/>
          <w:jc w:val="center"/>
        </w:trPr>
        <w:tc>
          <w:tcPr>
            <w:tcW w:w="3320" w:type="dxa"/>
            <w:shd w:val="clear" w:color="auto" w:fill="auto"/>
            <w:vAlign w:val="bottom"/>
          </w:tcPr>
          <w:p w14:paraId="248B6729" w14:textId="77777777" w:rsidR="008A2B15" w:rsidRPr="00606368" w:rsidRDefault="007D29F2" w:rsidP="009641D0">
            <w:pPr>
              <w:spacing w:line="480" w:lineRule="auto"/>
              <w:rPr>
                <w:color w:val="000000"/>
                <w:sz w:val="20"/>
                <w:szCs w:val="20"/>
              </w:rPr>
            </w:pPr>
            <w:r w:rsidRPr="00606368">
              <w:rPr>
                <w:color w:val="000000"/>
                <w:sz w:val="20"/>
                <w:szCs w:val="20"/>
              </w:rPr>
              <w:t>Number of pregnancies</w:t>
            </w:r>
          </w:p>
        </w:tc>
        <w:tc>
          <w:tcPr>
            <w:tcW w:w="1500" w:type="dxa"/>
            <w:shd w:val="clear" w:color="auto" w:fill="auto"/>
            <w:vAlign w:val="center"/>
          </w:tcPr>
          <w:p w14:paraId="13014552" w14:textId="4AD75917" w:rsidR="008A2B15" w:rsidRPr="00606368" w:rsidRDefault="007B6C86" w:rsidP="009641D0">
            <w:pPr>
              <w:spacing w:line="480" w:lineRule="auto"/>
              <w:jc w:val="center"/>
              <w:rPr>
                <w:color w:val="000000"/>
                <w:sz w:val="20"/>
                <w:szCs w:val="20"/>
              </w:rPr>
            </w:pPr>
            <w:r w:rsidRPr="00606368">
              <w:rPr>
                <w:color w:val="000000"/>
                <w:sz w:val="20"/>
                <w:szCs w:val="20"/>
              </w:rPr>
              <w:t>1 (1</w:t>
            </w:r>
            <w:r w:rsidR="007D29F2" w:rsidRPr="00606368">
              <w:rPr>
                <w:color w:val="000000"/>
                <w:sz w:val="20"/>
                <w:szCs w:val="20"/>
              </w:rPr>
              <w:t>)</w:t>
            </w:r>
          </w:p>
        </w:tc>
        <w:tc>
          <w:tcPr>
            <w:tcW w:w="1979" w:type="dxa"/>
            <w:shd w:val="clear" w:color="auto" w:fill="auto"/>
            <w:vAlign w:val="bottom"/>
          </w:tcPr>
          <w:p w14:paraId="32CD21D2" w14:textId="684B8726" w:rsidR="008A2B15" w:rsidRPr="00606368" w:rsidRDefault="007B6C86" w:rsidP="009641D0">
            <w:pPr>
              <w:spacing w:line="480" w:lineRule="auto"/>
              <w:jc w:val="center"/>
              <w:rPr>
                <w:color w:val="000000"/>
                <w:sz w:val="20"/>
                <w:szCs w:val="20"/>
              </w:rPr>
            </w:pPr>
            <w:r w:rsidRPr="00606368">
              <w:rPr>
                <w:color w:val="000000"/>
                <w:sz w:val="20"/>
                <w:szCs w:val="20"/>
              </w:rPr>
              <w:t>7 (2</w:t>
            </w:r>
            <w:r w:rsidR="007D29F2" w:rsidRPr="00606368">
              <w:rPr>
                <w:color w:val="000000"/>
                <w:sz w:val="20"/>
                <w:szCs w:val="20"/>
              </w:rPr>
              <w:t>) *</w:t>
            </w:r>
          </w:p>
        </w:tc>
      </w:tr>
      <w:tr w:rsidR="008A2B15" w:rsidRPr="00606368" w14:paraId="45989AD4" w14:textId="77777777" w:rsidTr="00DD4044">
        <w:trPr>
          <w:trHeight w:val="300"/>
          <w:jc w:val="center"/>
        </w:trPr>
        <w:tc>
          <w:tcPr>
            <w:tcW w:w="3320" w:type="dxa"/>
            <w:shd w:val="clear" w:color="auto" w:fill="auto"/>
            <w:vAlign w:val="bottom"/>
          </w:tcPr>
          <w:p w14:paraId="02E2E9BB" w14:textId="77777777" w:rsidR="008A2B15" w:rsidRPr="00606368" w:rsidRDefault="007D29F2" w:rsidP="009641D0">
            <w:pPr>
              <w:spacing w:line="480" w:lineRule="auto"/>
              <w:rPr>
                <w:color w:val="000000"/>
                <w:sz w:val="20"/>
                <w:szCs w:val="20"/>
              </w:rPr>
            </w:pPr>
            <w:r w:rsidRPr="00606368">
              <w:rPr>
                <w:color w:val="000000"/>
                <w:sz w:val="20"/>
                <w:szCs w:val="20"/>
              </w:rPr>
              <w:t>Number of miscarriages</w:t>
            </w:r>
          </w:p>
        </w:tc>
        <w:tc>
          <w:tcPr>
            <w:tcW w:w="1500" w:type="dxa"/>
            <w:shd w:val="clear" w:color="auto" w:fill="auto"/>
            <w:vAlign w:val="center"/>
          </w:tcPr>
          <w:p w14:paraId="562D67DA" w14:textId="43CF3366" w:rsidR="008A2B15" w:rsidRPr="00606368" w:rsidRDefault="007B6C86" w:rsidP="009641D0">
            <w:pPr>
              <w:spacing w:line="480" w:lineRule="auto"/>
              <w:jc w:val="center"/>
              <w:rPr>
                <w:color w:val="000000"/>
                <w:sz w:val="20"/>
                <w:szCs w:val="20"/>
              </w:rPr>
            </w:pPr>
            <w:r w:rsidRPr="00606368">
              <w:rPr>
                <w:color w:val="000000"/>
                <w:sz w:val="20"/>
                <w:szCs w:val="20"/>
              </w:rPr>
              <w:t>0 (</w:t>
            </w:r>
            <w:r w:rsidR="007D29F2" w:rsidRPr="00606368">
              <w:rPr>
                <w:color w:val="000000"/>
                <w:sz w:val="20"/>
                <w:szCs w:val="20"/>
              </w:rPr>
              <w:t>0)</w:t>
            </w:r>
          </w:p>
        </w:tc>
        <w:tc>
          <w:tcPr>
            <w:tcW w:w="1979" w:type="dxa"/>
            <w:shd w:val="clear" w:color="auto" w:fill="auto"/>
            <w:vAlign w:val="bottom"/>
          </w:tcPr>
          <w:p w14:paraId="26F5FA85" w14:textId="2268EEA2" w:rsidR="008A2B15" w:rsidRPr="00606368" w:rsidRDefault="007B6C86" w:rsidP="009641D0">
            <w:pPr>
              <w:spacing w:line="480" w:lineRule="auto"/>
              <w:jc w:val="center"/>
              <w:rPr>
                <w:color w:val="000000"/>
                <w:sz w:val="20"/>
                <w:szCs w:val="20"/>
              </w:rPr>
            </w:pPr>
            <w:r w:rsidRPr="00606368">
              <w:rPr>
                <w:color w:val="000000"/>
                <w:sz w:val="20"/>
                <w:szCs w:val="20"/>
              </w:rPr>
              <w:t>6 (3</w:t>
            </w:r>
            <w:r w:rsidR="007D29F2" w:rsidRPr="00606368">
              <w:rPr>
                <w:color w:val="000000"/>
                <w:sz w:val="20"/>
                <w:szCs w:val="20"/>
              </w:rPr>
              <w:t>) *</w:t>
            </w:r>
          </w:p>
        </w:tc>
      </w:tr>
      <w:tr w:rsidR="008A2B15" w:rsidRPr="00606368" w14:paraId="2C97D3AD" w14:textId="77777777" w:rsidTr="00DD4044">
        <w:trPr>
          <w:trHeight w:val="300"/>
          <w:jc w:val="center"/>
        </w:trPr>
        <w:tc>
          <w:tcPr>
            <w:tcW w:w="3320" w:type="dxa"/>
            <w:tcBorders>
              <w:bottom w:val="single" w:sz="4" w:space="0" w:color="auto"/>
            </w:tcBorders>
            <w:shd w:val="clear" w:color="auto" w:fill="auto"/>
            <w:vAlign w:val="bottom"/>
          </w:tcPr>
          <w:p w14:paraId="0A78A10B" w14:textId="77777777" w:rsidR="008A2B15" w:rsidRPr="00606368" w:rsidRDefault="007D29F2" w:rsidP="009641D0">
            <w:pPr>
              <w:spacing w:line="480" w:lineRule="auto"/>
              <w:rPr>
                <w:color w:val="000000"/>
                <w:sz w:val="20"/>
                <w:szCs w:val="20"/>
              </w:rPr>
            </w:pPr>
            <w:r w:rsidRPr="00606368">
              <w:rPr>
                <w:color w:val="000000"/>
                <w:sz w:val="20"/>
                <w:szCs w:val="20"/>
              </w:rPr>
              <w:t>Met AMH criteria for egg donation</w:t>
            </w:r>
          </w:p>
        </w:tc>
        <w:tc>
          <w:tcPr>
            <w:tcW w:w="1500" w:type="dxa"/>
            <w:tcBorders>
              <w:bottom w:val="single" w:sz="4" w:space="0" w:color="auto"/>
            </w:tcBorders>
            <w:shd w:val="clear" w:color="auto" w:fill="auto"/>
            <w:vAlign w:val="center"/>
          </w:tcPr>
          <w:p w14:paraId="50C6D74C" w14:textId="77777777" w:rsidR="008A2B15" w:rsidRPr="00606368" w:rsidRDefault="007D29F2" w:rsidP="009641D0">
            <w:pPr>
              <w:spacing w:line="480" w:lineRule="auto"/>
              <w:jc w:val="center"/>
              <w:rPr>
                <w:color w:val="000000"/>
                <w:sz w:val="20"/>
                <w:szCs w:val="20"/>
              </w:rPr>
            </w:pPr>
            <w:r w:rsidRPr="00606368">
              <w:rPr>
                <w:color w:val="000000"/>
                <w:sz w:val="20"/>
                <w:szCs w:val="20"/>
              </w:rPr>
              <w:t xml:space="preserve">Yes </w:t>
            </w:r>
          </w:p>
        </w:tc>
        <w:tc>
          <w:tcPr>
            <w:tcW w:w="1979" w:type="dxa"/>
            <w:tcBorders>
              <w:bottom w:val="single" w:sz="4" w:space="0" w:color="auto"/>
            </w:tcBorders>
            <w:shd w:val="clear" w:color="auto" w:fill="auto"/>
            <w:vAlign w:val="bottom"/>
          </w:tcPr>
          <w:p w14:paraId="773E5034" w14:textId="77777777" w:rsidR="008A2B15" w:rsidRPr="00606368" w:rsidRDefault="007D29F2" w:rsidP="009641D0">
            <w:pPr>
              <w:spacing w:line="480" w:lineRule="auto"/>
              <w:jc w:val="center"/>
              <w:rPr>
                <w:color w:val="000000"/>
                <w:sz w:val="20"/>
                <w:szCs w:val="20"/>
              </w:rPr>
            </w:pPr>
            <w:r w:rsidRPr="00606368">
              <w:rPr>
                <w:color w:val="000000"/>
                <w:sz w:val="20"/>
                <w:szCs w:val="20"/>
              </w:rPr>
              <w:t>n/a</w:t>
            </w:r>
          </w:p>
        </w:tc>
      </w:tr>
    </w:tbl>
    <w:p w14:paraId="57A06631" w14:textId="77777777" w:rsidR="008A2B15" w:rsidRPr="00606368" w:rsidRDefault="008A2B15" w:rsidP="009641D0">
      <w:pPr>
        <w:spacing w:line="480" w:lineRule="auto"/>
        <w:jc w:val="both"/>
      </w:pPr>
    </w:p>
    <w:p w14:paraId="22EE9C10" w14:textId="1C3254CE" w:rsidR="008A2B15" w:rsidRPr="00606368" w:rsidRDefault="00DD4044" w:rsidP="00833027">
      <w:pPr>
        <w:spacing w:line="480" w:lineRule="auto"/>
        <w:jc w:val="both"/>
      </w:pPr>
      <w:r w:rsidRPr="00606368">
        <w:t xml:space="preserve">Significantly different from control group indicated by * </w:t>
      </w:r>
      <w:r w:rsidR="007D29F2" w:rsidRPr="00606368">
        <w:t>p &lt; 0.01, AMH = anti-mullerian hormone, n/a = not applicable.</w:t>
      </w:r>
      <w:r w:rsidR="00BC7E36" w:rsidRPr="00606368">
        <w:br w:type="page"/>
      </w:r>
    </w:p>
    <w:p w14:paraId="40418BC3" w14:textId="23066116" w:rsidR="008A2B15" w:rsidRPr="00606368" w:rsidRDefault="007D29F2" w:rsidP="009641D0">
      <w:pPr>
        <w:spacing w:line="480" w:lineRule="auto"/>
        <w:jc w:val="both"/>
      </w:pPr>
      <w:r w:rsidRPr="00606368">
        <w:rPr>
          <w:b/>
        </w:rPr>
        <w:lastRenderedPageBreak/>
        <w:t>Table 2</w:t>
      </w:r>
      <w:r w:rsidR="00DD4044" w:rsidRPr="00606368">
        <w:rPr>
          <w:b/>
        </w:rPr>
        <w:t>:</w:t>
      </w:r>
      <w:r w:rsidRPr="00606368">
        <w:rPr>
          <w:b/>
        </w:rPr>
        <w:t xml:space="preserve"> Mutually exclusive exons events for PAEP significantly altered in the glandular epithelium of women with recurrent pregnancy loss compared to controls </w:t>
      </w:r>
    </w:p>
    <w:tbl>
      <w:tblPr>
        <w:tblStyle w:val="a0"/>
        <w:tblW w:w="6360" w:type="dxa"/>
        <w:jc w:val="center"/>
        <w:tblLayout w:type="fixed"/>
        <w:tblLook w:val="0400" w:firstRow="0" w:lastRow="0" w:firstColumn="0" w:lastColumn="0" w:noHBand="0" w:noVBand="1"/>
      </w:tblPr>
      <w:tblGrid>
        <w:gridCol w:w="1260"/>
        <w:gridCol w:w="1275"/>
        <w:gridCol w:w="1275"/>
        <w:gridCol w:w="1275"/>
        <w:gridCol w:w="1275"/>
      </w:tblGrid>
      <w:tr w:rsidR="008A2B15" w:rsidRPr="00606368" w14:paraId="61488412" w14:textId="77777777">
        <w:trPr>
          <w:trHeight w:val="20"/>
          <w:jc w:val="center"/>
        </w:trPr>
        <w:tc>
          <w:tcPr>
            <w:tcW w:w="1260"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2D9B8A7D" w14:textId="77777777" w:rsidR="008A2B15" w:rsidRPr="00606368" w:rsidRDefault="007D29F2" w:rsidP="009641D0">
            <w:pPr>
              <w:spacing w:line="480" w:lineRule="auto"/>
              <w:jc w:val="both"/>
              <w:rPr>
                <w:sz w:val="20"/>
                <w:szCs w:val="20"/>
              </w:rPr>
            </w:pPr>
            <w:r w:rsidRPr="00606368">
              <w:rPr>
                <w:b/>
                <w:sz w:val="20"/>
                <w:szCs w:val="20"/>
              </w:rPr>
              <w:t> </w:t>
            </w:r>
          </w:p>
        </w:tc>
        <w:tc>
          <w:tcPr>
            <w:tcW w:w="1275"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431C9E4C" w14:textId="77777777" w:rsidR="008A2B15" w:rsidRPr="00606368" w:rsidRDefault="007D29F2" w:rsidP="00A55628">
            <w:pPr>
              <w:spacing w:line="480" w:lineRule="auto"/>
              <w:jc w:val="center"/>
              <w:rPr>
                <w:sz w:val="20"/>
                <w:szCs w:val="20"/>
              </w:rPr>
            </w:pPr>
            <w:r w:rsidRPr="00606368">
              <w:rPr>
                <w:b/>
                <w:sz w:val="20"/>
                <w:szCs w:val="20"/>
              </w:rPr>
              <w:t>Start coordinate 1</w:t>
            </w:r>
            <w:r w:rsidRPr="00606368">
              <w:rPr>
                <w:b/>
                <w:sz w:val="20"/>
                <w:szCs w:val="20"/>
                <w:vertAlign w:val="superscript"/>
              </w:rPr>
              <w:t>st</w:t>
            </w:r>
            <w:r w:rsidRPr="00606368">
              <w:rPr>
                <w:b/>
                <w:sz w:val="20"/>
                <w:szCs w:val="20"/>
              </w:rPr>
              <w:t xml:space="preserve"> exon</w:t>
            </w:r>
          </w:p>
        </w:tc>
        <w:tc>
          <w:tcPr>
            <w:tcW w:w="1275"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3BF1AEFD" w14:textId="77777777" w:rsidR="008A2B15" w:rsidRPr="00606368" w:rsidRDefault="007D29F2" w:rsidP="00A55628">
            <w:pPr>
              <w:spacing w:line="480" w:lineRule="auto"/>
              <w:jc w:val="center"/>
              <w:rPr>
                <w:sz w:val="20"/>
                <w:szCs w:val="20"/>
              </w:rPr>
            </w:pPr>
            <w:r w:rsidRPr="00606368">
              <w:rPr>
                <w:b/>
                <w:sz w:val="20"/>
                <w:szCs w:val="20"/>
              </w:rPr>
              <w:t>End coordinate 1</w:t>
            </w:r>
            <w:r w:rsidRPr="00606368">
              <w:rPr>
                <w:b/>
                <w:sz w:val="20"/>
                <w:szCs w:val="20"/>
                <w:vertAlign w:val="superscript"/>
              </w:rPr>
              <w:t>st</w:t>
            </w:r>
            <w:r w:rsidRPr="00606368">
              <w:rPr>
                <w:b/>
                <w:sz w:val="20"/>
                <w:szCs w:val="20"/>
              </w:rPr>
              <w:t xml:space="preserve"> exon</w:t>
            </w:r>
          </w:p>
        </w:tc>
        <w:tc>
          <w:tcPr>
            <w:tcW w:w="1275"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41D2F089" w14:textId="77777777" w:rsidR="008A2B15" w:rsidRPr="00606368" w:rsidRDefault="007D29F2" w:rsidP="00A55628">
            <w:pPr>
              <w:spacing w:line="480" w:lineRule="auto"/>
              <w:jc w:val="center"/>
              <w:rPr>
                <w:sz w:val="20"/>
                <w:szCs w:val="20"/>
              </w:rPr>
            </w:pPr>
            <w:r w:rsidRPr="00606368">
              <w:rPr>
                <w:b/>
                <w:sz w:val="20"/>
                <w:szCs w:val="20"/>
              </w:rPr>
              <w:t>Start coordinate 2</w:t>
            </w:r>
            <w:r w:rsidRPr="00606368">
              <w:rPr>
                <w:b/>
                <w:sz w:val="20"/>
                <w:szCs w:val="20"/>
                <w:vertAlign w:val="superscript"/>
              </w:rPr>
              <w:t>nd</w:t>
            </w:r>
            <w:r w:rsidRPr="00606368">
              <w:rPr>
                <w:b/>
                <w:sz w:val="20"/>
                <w:szCs w:val="20"/>
              </w:rPr>
              <w:t xml:space="preserve"> exon</w:t>
            </w:r>
          </w:p>
        </w:tc>
        <w:tc>
          <w:tcPr>
            <w:tcW w:w="1275"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54627C54" w14:textId="77777777" w:rsidR="008A2B15" w:rsidRPr="00606368" w:rsidRDefault="007D29F2" w:rsidP="00A55628">
            <w:pPr>
              <w:spacing w:line="480" w:lineRule="auto"/>
              <w:jc w:val="center"/>
              <w:rPr>
                <w:sz w:val="20"/>
                <w:szCs w:val="20"/>
              </w:rPr>
            </w:pPr>
            <w:r w:rsidRPr="00606368">
              <w:rPr>
                <w:b/>
                <w:sz w:val="20"/>
                <w:szCs w:val="20"/>
              </w:rPr>
              <w:t>End coordinate 2</w:t>
            </w:r>
            <w:r w:rsidRPr="00606368">
              <w:rPr>
                <w:b/>
                <w:sz w:val="20"/>
                <w:szCs w:val="20"/>
                <w:vertAlign w:val="superscript"/>
              </w:rPr>
              <w:t>nd</w:t>
            </w:r>
            <w:r w:rsidRPr="00606368">
              <w:rPr>
                <w:b/>
                <w:sz w:val="20"/>
                <w:szCs w:val="20"/>
              </w:rPr>
              <w:t xml:space="preserve"> exon</w:t>
            </w:r>
          </w:p>
        </w:tc>
      </w:tr>
      <w:tr w:rsidR="008A2B15" w:rsidRPr="00606368" w14:paraId="35972CC9" w14:textId="77777777">
        <w:trPr>
          <w:trHeight w:val="20"/>
          <w:jc w:val="center"/>
        </w:trPr>
        <w:tc>
          <w:tcPr>
            <w:tcW w:w="1260"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35FF9369" w14:textId="77777777" w:rsidR="008A2B15" w:rsidRPr="00606368" w:rsidRDefault="007D29F2" w:rsidP="009641D0">
            <w:pPr>
              <w:spacing w:line="480" w:lineRule="auto"/>
              <w:jc w:val="both"/>
              <w:rPr>
                <w:sz w:val="20"/>
                <w:szCs w:val="20"/>
              </w:rPr>
            </w:pPr>
            <w:r w:rsidRPr="00606368">
              <w:rPr>
                <w:b/>
                <w:sz w:val="20"/>
                <w:szCs w:val="20"/>
              </w:rPr>
              <w:t>PAEP</w:t>
            </w:r>
          </w:p>
        </w:tc>
        <w:tc>
          <w:tcPr>
            <w:tcW w:w="1275"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28C6FA10" w14:textId="77777777" w:rsidR="008A2B15" w:rsidRPr="00606368" w:rsidRDefault="007D29F2" w:rsidP="009641D0">
            <w:pPr>
              <w:spacing w:line="480" w:lineRule="auto"/>
              <w:jc w:val="both"/>
              <w:rPr>
                <w:sz w:val="20"/>
                <w:szCs w:val="20"/>
              </w:rPr>
            </w:pPr>
            <w:r w:rsidRPr="00606368">
              <w:rPr>
                <w:sz w:val="20"/>
                <w:szCs w:val="20"/>
              </w:rPr>
              <w:t>135565413</w:t>
            </w:r>
          </w:p>
        </w:tc>
        <w:tc>
          <w:tcPr>
            <w:tcW w:w="1275"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74740642" w14:textId="77777777" w:rsidR="008A2B15" w:rsidRPr="00606368" w:rsidRDefault="007D29F2" w:rsidP="009641D0">
            <w:pPr>
              <w:spacing w:line="480" w:lineRule="auto"/>
              <w:jc w:val="both"/>
              <w:rPr>
                <w:sz w:val="20"/>
                <w:szCs w:val="20"/>
              </w:rPr>
            </w:pPr>
            <w:r w:rsidRPr="00606368">
              <w:rPr>
                <w:sz w:val="20"/>
                <w:szCs w:val="20"/>
              </w:rPr>
              <w:t>135565514</w:t>
            </w:r>
          </w:p>
        </w:tc>
        <w:tc>
          <w:tcPr>
            <w:tcW w:w="1275"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22211900" w14:textId="77777777" w:rsidR="008A2B15" w:rsidRPr="00606368" w:rsidRDefault="007D29F2" w:rsidP="009641D0">
            <w:pPr>
              <w:spacing w:line="480" w:lineRule="auto"/>
              <w:jc w:val="both"/>
              <w:rPr>
                <w:sz w:val="20"/>
                <w:szCs w:val="20"/>
              </w:rPr>
            </w:pPr>
            <w:r w:rsidRPr="00606368">
              <w:rPr>
                <w:sz w:val="20"/>
                <w:szCs w:val="20"/>
              </w:rPr>
              <w:t>135565784</w:t>
            </w:r>
          </w:p>
        </w:tc>
        <w:tc>
          <w:tcPr>
            <w:tcW w:w="1275"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6AC8D4C3" w14:textId="77777777" w:rsidR="008A2B15" w:rsidRPr="00606368" w:rsidRDefault="007D29F2" w:rsidP="009641D0">
            <w:pPr>
              <w:spacing w:line="480" w:lineRule="auto"/>
              <w:jc w:val="both"/>
              <w:rPr>
                <w:sz w:val="20"/>
                <w:szCs w:val="20"/>
              </w:rPr>
            </w:pPr>
            <w:r w:rsidRPr="00606368">
              <w:rPr>
                <w:sz w:val="20"/>
                <w:szCs w:val="20"/>
              </w:rPr>
              <w:t>135565830</w:t>
            </w:r>
          </w:p>
        </w:tc>
      </w:tr>
      <w:tr w:rsidR="008A2B15" w:rsidRPr="00606368" w14:paraId="001D929F" w14:textId="77777777">
        <w:trPr>
          <w:trHeight w:val="20"/>
          <w:jc w:val="center"/>
        </w:trPr>
        <w:tc>
          <w:tcPr>
            <w:tcW w:w="1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039DDCE3" w14:textId="77777777" w:rsidR="008A2B15" w:rsidRPr="00606368" w:rsidRDefault="007D29F2" w:rsidP="009641D0">
            <w:pPr>
              <w:spacing w:line="480" w:lineRule="auto"/>
              <w:jc w:val="both"/>
              <w:rPr>
                <w:sz w:val="20"/>
                <w:szCs w:val="20"/>
              </w:rPr>
            </w:pPr>
            <w:r w:rsidRPr="00606368">
              <w:rPr>
                <w:b/>
                <w:sz w:val="20"/>
                <w:szCs w:val="20"/>
              </w:rPr>
              <w:t>PAEP</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5A2F96FA" w14:textId="77777777" w:rsidR="008A2B15" w:rsidRPr="00606368" w:rsidRDefault="007D29F2" w:rsidP="009641D0">
            <w:pPr>
              <w:spacing w:line="480" w:lineRule="auto"/>
              <w:jc w:val="both"/>
              <w:rPr>
                <w:sz w:val="20"/>
                <w:szCs w:val="20"/>
              </w:rPr>
            </w:pPr>
            <w:r w:rsidRPr="00606368">
              <w:rPr>
                <w:sz w:val="20"/>
                <w:szCs w:val="20"/>
              </w:rPr>
              <w:t>135562819</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6EBFDC98" w14:textId="77777777" w:rsidR="008A2B15" w:rsidRPr="00606368" w:rsidRDefault="007D29F2" w:rsidP="009641D0">
            <w:pPr>
              <w:spacing w:line="480" w:lineRule="auto"/>
              <w:jc w:val="both"/>
              <w:rPr>
                <w:sz w:val="20"/>
                <w:szCs w:val="20"/>
              </w:rPr>
            </w:pPr>
            <w:r w:rsidRPr="00606368">
              <w:rPr>
                <w:sz w:val="20"/>
                <w:szCs w:val="20"/>
              </w:rPr>
              <w:t>135562893</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517EA303" w14:textId="77777777" w:rsidR="008A2B15" w:rsidRPr="00606368" w:rsidRDefault="007D29F2" w:rsidP="009641D0">
            <w:pPr>
              <w:spacing w:line="480" w:lineRule="auto"/>
              <w:jc w:val="both"/>
              <w:rPr>
                <w:sz w:val="20"/>
                <w:szCs w:val="20"/>
              </w:rPr>
            </w:pPr>
            <w:r w:rsidRPr="00606368">
              <w:rPr>
                <w:sz w:val="20"/>
                <w:szCs w:val="20"/>
              </w:rPr>
              <w:t>135565409</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0240843C" w14:textId="77777777" w:rsidR="008A2B15" w:rsidRPr="00606368" w:rsidRDefault="007D29F2" w:rsidP="009641D0">
            <w:pPr>
              <w:spacing w:line="480" w:lineRule="auto"/>
              <w:jc w:val="both"/>
              <w:rPr>
                <w:sz w:val="20"/>
                <w:szCs w:val="20"/>
              </w:rPr>
            </w:pPr>
            <w:r w:rsidRPr="00606368">
              <w:rPr>
                <w:sz w:val="20"/>
                <w:szCs w:val="20"/>
              </w:rPr>
              <w:t>135565514</w:t>
            </w:r>
          </w:p>
        </w:tc>
      </w:tr>
      <w:tr w:rsidR="008A2B15" w:rsidRPr="00606368" w14:paraId="3B85F9D2" w14:textId="77777777">
        <w:trPr>
          <w:trHeight w:val="20"/>
          <w:jc w:val="center"/>
        </w:trPr>
        <w:tc>
          <w:tcPr>
            <w:tcW w:w="1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098E804F" w14:textId="77777777" w:rsidR="008A2B15" w:rsidRPr="00606368" w:rsidRDefault="007D29F2" w:rsidP="009641D0">
            <w:pPr>
              <w:spacing w:line="480" w:lineRule="auto"/>
              <w:jc w:val="both"/>
              <w:rPr>
                <w:sz w:val="20"/>
                <w:szCs w:val="20"/>
              </w:rPr>
            </w:pPr>
            <w:r w:rsidRPr="00606368">
              <w:rPr>
                <w:b/>
                <w:sz w:val="20"/>
                <w:szCs w:val="20"/>
              </w:rPr>
              <w:t>PAEP</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3ADD170F" w14:textId="77777777" w:rsidR="008A2B15" w:rsidRPr="00606368" w:rsidRDefault="007D29F2" w:rsidP="009641D0">
            <w:pPr>
              <w:spacing w:line="480" w:lineRule="auto"/>
              <w:jc w:val="both"/>
              <w:rPr>
                <w:sz w:val="20"/>
                <w:szCs w:val="20"/>
              </w:rPr>
            </w:pPr>
            <w:r w:rsidRPr="00606368">
              <w:rPr>
                <w:sz w:val="20"/>
                <w:szCs w:val="20"/>
              </w:rPr>
              <w:t>135562819</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4ECA6529" w14:textId="77777777" w:rsidR="008A2B15" w:rsidRPr="00606368" w:rsidRDefault="007D29F2" w:rsidP="009641D0">
            <w:pPr>
              <w:spacing w:line="480" w:lineRule="auto"/>
              <w:jc w:val="both"/>
              <w:rPr>
                <w:sz w:val="20"/>
                <w:szCs w:val="20"/>
              </w:rPr>
            </w:pPr>
            <w:r w:rsidRPr="00606368">
              <w:rPr>
                <w:sz w:val="20"/>
                <w:szCs w:val="20"/>
              </w:rPr>
              <w:t>135562893</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4597C2B1" w14:textId="77777777" w:rsidR="008A2B15" w:rsidRPr="00606368" w:rsidRDefault="007D29F2" w:rsidP="009641D0">
            <w:pPr>
              <w:spacing w:line="480" w:lineRule="auto"/>
              <w:jc w:val="both"/>
              <w:rPr>
                <w:sz w:val="20"/>
                <w:szCs w:val="20"/>
              </w:rPr>
            </w:pPr>
            <w:r w:rsidRPr="00606368">
              <w:rPr>
                <w:sz w:val="20"/>
                <w:szCs w:val="20"/>
              </w:rPr>
              <w:t>135565337</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6A14D03F" w14:textId="77777777" w:rsidR="008A2B15" w:rsidRPr="00606368" w:rsidRDefault="007D29F2" w:rsidP="009641D0">
            <w:pPr>
              <w:spacing w:line="480" w:lineRule="auto"/>
              <w:jc w:val="both"/>
              <w:rPr>
                <w:sz w:val="20"/>
                <w:szCs w:val="20"/>
              </w:rPr>
            </w:pPr>
            <w:r w:rsidRPr="00606368">
              <w:rPr>
                <w:sz w:val="20"/>
                <w:szCs w:val="20"/>
              </w:rPr>
              <w:t>135565514</w:t>
            </w:r>
          </w:p>
        </w:tc>
      </w:tr>
      <w:tr w:rsidR="008A2B15" w:rsidRPr="00606368" w14:paraId="0D286E8E" w14:textId="77777777">
        <w:trPr>
          <w:trHeight w:val="20"/>
          <w:jc w:val="center"/>
        </w:trPr>
        <w:tc>
          <w:tcPr>
            <w:tcW w:w="1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1DCDCD93" w14:textId="77777777" w:rsidR="008A2B15" w:rsidRPr="00606368" w:rsidRDefault="007D29F2" w:rsidP="009641D0">
            <w:pPr>
              <w:spacing w:line="480" w:lineRule="auto"/>
              <w:jc w:val="both"/>
              <w:rPr>
                <w:sz w:val="20"/>
                <w:szCs w:val="20"/>
              </w:rPr>
            </w:pPr>
            <w:r w:rsidRPr="00606368">
              <w:rPr>
                <w:b/>
                <w:sz w:val="20"/>
                <w:szCs w:val="20"/>
              </w:rPr>
              <w:t>PAEP</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7B544389" w14:textId="77777777" w:rsidR="008A2B15" w:rsidRPr="00606368" w:rsidRDefault="007D29F2" w:rsidP="009641D0">
            <w:pPr>
              <w:spacing w:line="480" w:lineRule="auto"/>
              <w:jc w:val="both"/>
              <w:rPr>
                <w:sz w:val="20"/>
                <w:szCs w:val="20"/>
              </w:rPr>
            </w:pPr>
            <w:r w:rsidRPr="00606368">
              <w:rPr>
                <w:sz w:val="20"/>
                <w:szCs w:val="20"/>
              </w:rPr>
              <w:t>135562819</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6AAFD561" w14:textId="77777777" w:rsidR="008A2B15" w:rsidRPr="00606368" w:rsidRDefault="007D29F2" w:rsidP="009641D0">
            <w:pPr>
              <w:spacing w:line="480" w:lineRule="auto"/>
              <w:jc w:val="both"/>
              <w:rPr>
                <w:sz w:val="20"/>
                <w:szCs w:val="20"/>
              </w:rPr>
            </w:pPr>
            <w:r w:rsidRPr="00606368">
              <w:rPr>
                <w:sz w:val="20"/>
                <w:szCs w:val="20"/>
              </w:rPr>
              <w:t>135562893</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7699D8C1" w14:textId="77777777" w:rsidR="008A2B15" w:rsidRPr="00606368" w:rsidRDefault="007D29F2" w:rsidP="009641D0">
            <w:pPr>
              <w:spacing w:line="480" w:lineRule="auto"/>
              <w:jc w:val="both"/>
              <w:rPr>
                <w:sz w:val="20"/>
                <w:szCs w:val="20"/>
              </w:rPr>
            </w:pPr>
            <w:r w:rsidRPr="00606368">
              <w:rPr>
                <w:sz w:val="20"/>
                <w:szCs w:val="20"/>
              </w:rPr>
              <w:t>135565413</w:t>
            </w:r>
          </w:p>
        </w:tc>
        <w:tc>
          <w:tcPr>
            <w:tcW w:w="127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tcPr>
          <w:p w14:paraId="071D613F" w14:textId="77777777" w:rsidR="008A2B15" w:rsidRPr="00606368" w:rsidRDefault="007D29F2" w:rsidP="009641D0">
            <w:pPr>
              <w:spacing w:line="480" w:lineRule="auto"/>
              <w:jc w:val="both"/>
              <w:rPr>
                <w:sz w:val="20"/>
                <w:szCs w:val="20"/>
              </w:rPr>
            </w:pPr>
            <w:r w:rsidRPr="00606368">
              <w:rPr>
                <w:sz w:val="20"/>
                <w:szCs w:val="20"/>
              </w:rPr>
              <w:t>135565514</w:t>
            </w:r>
          </w:p>
        </w:tc>
      </w:tr>
      <w:tr w:rsidR="008A2B15" w:rsidRPr="00606368" w14:paraId="13753584" w14:textId="77777777">
        <w:trPr>
          <w:trHeight w:val="20"/>
          <w:jc w:val="center"/>
        </w:trPr>
        <w:tc>
          <w:tcPr>
            <w:tcW w:w="1260"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6325E7B2" w14:textId="77777777" w:rsidR="008A2B15" w:rsidRPr="00606368" w:rsidRDefault="007D29F2" w:rsidP="009641D0">
            <w:pPr>
              <w:spacing w:line="480" w:lineRule="auto"/>
              <w:jc w:val="both"/>
              <w:rPr>
                <w:sz w:val="20"/>
                <w:szCs w:val="20"/>
              </w:rPr>
            </w:pPr>
            <w:r w:rsidRPr="00606368">
              <w:rPr>
                <w:b/>
                <w:sz w:val="20"/>
                <w:szCs w:val="20"/>
              </w:rPr>
              <w:t>PAEP</w:t>
            </w:r>
          </w:p>
        </w:tc>
        <w:tc>
          <w:tcPr>
            <w:tcW w:w="1275"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403674A6" w14:textId="77777777" w:rsidR="008A2B15" w:rsidRPr="00606368" w:rsidRDefault="007D29F2" w:rsidP="009641D0">
            <w:pPr>
              <w:spacing w:line="480" w:lineRule="auto"/>
              <w:jc w:val="both"/>
              <w:rPr>
                <w:sz w:val="20"/>
                <w:szCs w:val="20"/>
              </w:rPr>
            </w:pPr>
            <w:r w:rsidRPr="00606368">
              <w:rPr>
                <w:sz w:val="20"/>
                <w:szCs w:val="20"/>
              </w:rPr>
              <w:t>135565337</w:t>
            </w:r>
          </w:p>
        </w:tc>
        <w:tc>
          <w:tcPr>
            <w:tcW w:w="1275"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0425EE1B" w14:textId="77777777" w:rsidR="008A2B15" w:rsidRPr="00606368" w:rsidRDefault="007D29F2" w:rsidP="009641D0">
            <w:pPr>
              <w:spacing w:line="480" w:lineRule="auto"/>
              <w:jc w:val="both"/>
              <w:rPr>
                <w:sz w:val="20"/>
                <w:szCs w:val="20"/>
              </w:rPr>
            </w:pPr>
            <w:r w:rsidRPr="00606368">
              <w:rPr>
                <w:sz w:val="20"/>
                <w:szCs w:val="20"/>
              </w:rPr>
              <w:t>135565514</w:t>
            </w:r>
          </w:p>
        </w:tc>
        <w:tc>
          <w:tcPr>
            <w:tcW w:w="1275"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3E2C4791" w14:textId="77777777" w:rsidR="008A2B15" w:rsidRPr="00606368" w:rsidRDefault="007D29F2" w:rsidP="009641D0">
            <w:pPr>
              <w:spacing w:line="480" w:lineRule="auto"/>
              <w:jc w:val="both"/>
              <w:rPr>
                <w:sz w:val="20"/>
                <w:szCs w:val="20"/>
              </w:rPr>
            </w:pPr>
            <w:r w:rsidRPr="00606368">
              <w:rPr>
                <w:sz w:val="20"/>
                <w:szCs w:val="20"/>
              </w:rPr>
              <w:t>135565784</w:t>
            </w:r>
          </w:p>
        </w:tc>
        <w:tc>
          <w:tcPr>
            <w:tcW w:w="1275"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tcPr>
          <w:p w14:paraId="43C263A3" w14:textId="77777777" w:rsidR="008A2B15" w:rsidRPr="00606368" w:rsidRDefault="007D29F2" w:rsidP="009641D0">
            <w:pPr>
              <w:spacing w:line="480" w:lineRule="auto"/>
              <w:jc w:val="both"/>
              <w:rPr>
                <w:sz w:val="20"/>
                <w:szCs w:val="20"/>
              </w:rPr>
            </w:pPr>
            <w:r w:rsidRPr="00606368">
              <w:rPr>
                <w:sz w:val="20"/>
                <w:szCs w:val="20"/>
              </w:rPr>
              <w:t>135565830</w:t>
            </w:r>
          </w:p>
        </w:tc>
      </w:tr>
    </w:tbl>
    <w:p w14:paraId="0A6575D4" w14:textId="01603BF5" w:rsidR="00833027" w:rsidRPr="00606368" w:rsidRDefault="00833027" w:rsidP="009641D0">
      <w:pPr>
        <w:spacing w:line="480" w:lineRule="auto"/>
        <w:jc w:val="both"/>
      </w:pPr>
    </w:p>
    <w:p w14:paraId="63E8D3C9" w14:textId="77777777" w:rsidR="00833027" w:rsidRPr="00606368" w:rsidRDefault="00833027">
      <w:r w:rsidRPr="00606368">
        <w:br w:type="page"/>
      </w:r>
    </w:p>
    <w:p w14:paraId="713B0CA0" w14:textId="77777777" w:rsidR="008A2B15" w:rsidRPr="00606368" w:rsidRDefault="008A2B15" w:rsidP="009641D0">
      <w:pPr>
        <w:spacing w:line="480" w:lineRule="auto"/>
        <w:jc w:val="both"/>
      </w:pPr>
    </w:p>
    <w:p w14:paraId="6697A2DD" w14:textId="38278982" w:rsidR="008A2B15" w:rsidRPr="00606368" w:rsidRDefault="00047BC2" w:rsidP="009641D0">
      <w:pPr>
        <w:spacing w:line="480" w:lineRule="auto"/>
        <w:rPr>
          <w:b/>
        </w:rPr>
      </w:pPr>
      <w:r w:rsidRPr="00606368">
        <w:rPr>
          <w:b/>
        </w:rPr>
        <w:t>REFERENCES</w:t>
      </w:r>
    </w:p>
    <w:p w14:paraId="65B931B1" w14:textId="4A085BAC" w:rsidR="000B61B1" w:rsidRPr="00606368" w:rsidRDefault="00047BC2" w:rsidP="009641D0">
      <w:pPr>
        <w:widowControl w:val="0"/>
        <w:autoSpaceDE w:val="0"/>
        <w:autoSpaceDN w:val="0"/>
        <w:adjustRightInd w:val="0"/>
        <w:spacing w:line="480" w:lineRule="auto"/>
        <w:ind w:left="480" w:hanging="480"/>
        <w:rPr>
          <w:noProof/>
        </w:rPr>
      </w:pPr>
      <w:r w:rsidRPr="00606368">
        <w:fldChar w:fldCharType="begin" w:fldLock="1"/>
      </w:r>
      <w:r w:rsidRPr="00606368">
        <w:instrText xml:space="preserve">ADDIN Mendeley Bibliography CSL_BIBLIOGRAPHY </w:instrText>
      </w:r>
      <w:r w:rsidRPr="00606368">
        <w:fldChar w:fldCharType="separate"/>
      </w:r>
      <w:r w:rsidR="00C8353A" w:rsidRPr="00606368">
        <w:rPr>
          <w:noProof/>
        </w:rPr>
        <w:t>Abbas Y, Brunel LG, Hollinshead MS, Fernando RC, Gardner L, Duncan I</w:t>
      </w:r>
      <w:r w:rsidR="000B61B1" w:rsidRPr="00606368">
        <w:rPr>
          <w:noProof/>
        </w:rPr>
        <w:t xml:space="preserve">, </w:t>
      </w:r>
      <w:r w:rsidR="00C8353A" w:rsidRPr="00606368">
        <w:rPr>
          <w:noProof/>
        </w:rPr>
        <w:t>Moffett A, Best S. Turco MY, Burton GJ, Cameron RE 2020</w:t>
      </w:r>
      <w:r w:rsidR="000B61B1" w:rsidRPr="00606368">
        <w:rPr>
          <w:noProof/>
        </w:rPr>
        <w:t xml:space="preserve"> Generation of a three-dimensional collagen scaffold-based model of the human endometrium. </w:t>
      </w:r>
      <w:r w:rsidR="000B61B1" w:rsidRPr="00606368">
        <w:rPr>
          <w:i/>
          <w:iCs/>
          <w:noProof/>
        </w:rPr>
        <w:t>Interface Focus</w:t>
      </w:r>
      <w:r w:rsidR="000B61B1" w:rsidRPr="00606368">
        <w:rPr>
          <w:noProof/>
        </w:rPr>
        <w:t xml:space="preserve">, </w:t>
      </w:r>
      <w:r w:rsidR="000B61B1" w:rsidRPr="00606368">
        <w:rPr>
          <w:i/>
          <w:iCs/>
          <w:noProof/>
        </w:rPr>
        <w:t>10</w:t>
      </w:r>
      <w:r w:rsidR="00C8353A" w:rsidRPr="00606368">
        <w:rPr>
          <w:noProof/>
        </w:rPr>
        <w:t>(2).</w:t>
      </w:r>
    </w:p>
    <w:p w14:paraId="0CB44FC3" w14:textId="0CAC6C91" w:rsidR="000B61B1" w:rsidRPr="00606368" w:rsidRDefault="00C8353A" w:rsidP="009641D0">
      <w:pPr>
        <w:widowControl w:val="0"/>
        <w:autoSpaceDE w:val="0"/>
        <w:autoSpaceDN w:val="0"/>
        <w:adjustRightInd w:val="0"/>
        <w:spacing w:line="480" w:lineRule="auto"/>
        <w:ind w:left="480" w:hanging="480"/>
        <w:rPr>
          <w:noProof/>
        </w:rPr>
      </w:pPr>
      <w:r w:rsidRPr="00606368">
        <w:rPr>
          <w:noProof/>
        </w:rPr>
        <w:t>Blyth</w:t>
      </w:r>
      <w:r w:rsidR="00165F07" w:rsidRPr="00606368">
        <w:rPr>
          <w:noProof/>
        </w:rPr>
        <w:t xml:space="preserve"> M</w:t>
      </w:r>
      <w:r w:rsidR="00737D6F" w:rsidRPr="00606368">
        <w:rPr>
          <w:noProof/>
        </w:rPr>
        <w:t>,</w:t>
      </w:r>
      <w:r w:rsidRPr="00606368">
        <w:rPr>
          <w:noProof/>
        </w:rPr>
        <w:t xml:space="preserve"> &amp; Wellesley D 2008 </w:t>
      </w:r>
      <w:r w:rsidR="000B61B1" w:rsidRPr="00606368">
        <w:rPr>
          <w:noProof/>
        </w:rPr>
        <w:t xml:space="preserve">Ectopic pregnancy in primary ciliary dyskinesia. </w:t>
      </w:r>
      <w:r w:rsidR="000B61B1" w:rsidRPr="00606368">
        <w:rPr>
          <w:i/>
          <w:iCs/>
          <w:noProof/>
        </w:rPr>
        <w:t>Journal of Obstetrics and Gynaecology</w:t>
      </w:r>
      <w:r w:rsidR="000B61B1" w:rsidRPr="00606368">
        <w:rPr>
          <w:noProof/>
        </w:rPr>
        <w:t xml:space="preserve">, </w:t>
      </w:r>
      <w:r w:rsidR="000B61B1" w:rsidRPr="00606368">
        <w:rPr>
          <w:i/>
          <w:iCs/>
          <w:noProof/>
        </w:rPr>
        <w:t>28</w:t>
      </w:r>
      <w:r w:rsidRPr="00606368">
        <w:rPr>
          <w:noProof/>
        </w:rPr>
        <w:t>(3), 358.</w:t>
      </w:r>
    </w:p>
    <w:p w14:paraId="7C649400" w14:textId="45DF32AE" w:rsidR="000B61B1" w:rsidRPr="00606368" w:rsidRDefault="00C8353A" w:rsidP="009641D0">
      <w:pPr>
        <w:widowControl w:val="0"/>
        <w:autoSpaceDE w:val="0"/>
        <w:autoSpaceDN w:val="0"/>
        <w:adjustRightInd w:val="0"/>
        <w:spacing w:line="480" w:lineRule="auto"/>
        <w:ind w:left="480" w:hanging="480"/>
        <w:rPr>
          <w:noProof/>
        </w:rPr>
      </w:pPr>
      <w:r w:rsidRPr="00606368">
        <w:rPr>
          <w:noProof/>
        </w:rPr>
        <w:t>Burmenskaya OV</w:t>
      </w:r>
      <w:r w:rsidR="000B61B1" w:rsidRPr="00606368">
        <w:rPr>
          <w:noProof/>
        </w:rPr>
        <w:t>, Bozh</w:t>
      </w:r>
      <w:r w:rsidRPr="00606368">
        <w:rPr>
          <w:noProof/>
        </w:rPr>
        <w:t>enko VK, Smolnikova, VY, Kalinina EA, Korneeva IE, Donnikov A E</w:t>
      </w:r>
      <w:r w:rsidR="000B61B1" w:rsidRPr="00606368">
        <w:rPr>
          <w:noProof/>
        </w:rPr>
        <w:t>,</w:t>
      </w:r>
      <w:r w:rsidRPr="00606368">
        <w:rPr>
          <w:noProof/>
        </w:rPr>
        <w:t xml:space="preserve"> Beyk EP, Naumov VA, Aleksandrova NV, Borovikov PI, Trofimov DY 2017</w:t>
      </w:r>
      <w:r w:rsidR="000B61B1" w:rsidRPr="00606368">
        <w:rPr>
          <w:noProof/>
        </w:rPr>
        <w:t xml:space="preserve"> Transcription profile analysis of the endometrium revealed molecular markers of the personalized ‘window of implantation’ during in vitro fertilization. </w:t>
      </w:r>
      <w:r w:rsidR="000B61B1" w:rsidRPr="00606368">
        <w:rPr>
          <w:i/>
          <w:iCs/>
          <w:noProof/>
        </w:rPr>
        <w:t>Gynecological Endocrinology</w:t>
      </w:r>
      <w:r w:rsidR="000B61B1" w:rsidRPr="00606368">
        <w:rPr>
          <w:noProof/>
        </w:rPr>
        <w:t xml:space="preserve">, </w:t>
      </w:r>
      <w:r w:rsidR="000B61B1" w:rsidRPr="00606368">
        <w:rPr>
          <w:i/>
          <w:iCs/>
          <w:noProof/>
        </w:rPr>
        <w:t>33</w:t>
      </w:r>
      <w:r w:rsidRPr="00606368">
        <w:rPr>
          <w:noProof/>
        </w:rPr>
        <w:t>(sup1), 22–27.</w:t>
      </w:r>
    </w:p>
    <w:p w14:paraId="398EABA0" w14:textId="0269B62D" w:rsidR="000B61B1" w:rsidRPr="00606368" w:rsidRDefault="00C8353A" w:rsidP="009641D0">
      <w:pPr>
        <w:widowControl w:val="0"/>
        <w:autoSpaceDE w:val="0"/>
        <w:autoSpaceDN w:val="0"/>
        <w:adjustRightInd w:val="0"/>
        <w:spacing w:line="480" w:lineRule="auto"/>
        <w:ind w:left="480" w:hanging="480"/>
        <w:rPr>
          <w:noProof/>
        </w:rPr>
      </w:pPr>
      <w:r w:rsidRPr="00606368">
        <w:rPr>
          <w:noProof/>
        </w:rPr>
        <w:t>Craciunas L, Pickering O, Chu J, Choudhary M, Žurauskienė J, Coomarasamy A 2021</w:t>
      </w:r>
      <w:r w:rsidR="000B61B1" w:rsidRPr="00606368">
        <w:rPr>
          <w:noProof/>
        </w:rPr>
        <w:t xml:space="preserve"> The transcriptomic profile of endometrial receptivity in recurrent miscarriage. </w:t>
      </w:r>
      <w:r w:rsidR="000B61B1" w:rsidRPr="00606368">
        <w:rPr>
          <w:i/>
          <w:iCs/>
          <w:noProof/>
        </w:rPr>
        <w:t>European Journal of Obstetrics &amp; Gynecology and Reproductive Biology</w:t>
      </w:r>
      <w:r w:rsidR="000B61B1" w:rsidRPr="00606368">
        <w:rPr>
          <w:noProof/>
        </w:rPr>
        <w:t xml:space="preserve">, </w:t>
      </w:r>
      <w:r w:rsidR="000B61B1" w:rsidRPr="00606368">
        <w:rPr>
          <w:i/>
          <w:iCs/>
          <w:noProof/>
        </w:rPr>
        <w:t>261</w:t>
      </w:r>
      <w:r w:rsidRPr="00606368">
        <w:rPr>
          <w:noProof/>
        </w:rPr>
        <w:t>, 211–216.</w:t>
      </w:r>
    </w:p>
    <w:p w14:paraId="315AFB0F" w14:textId="3502B60B" w:rsidR="000B61B1" w:rsidRPr="00606368" w:rsidRDefault="00C8353A" w:rsidP="009641D0">
      <w:pPr>
        <w:widowControl w:val="0"/>
        <w:autoSpaceDE w:val="0"/>
        <w:autoSpaceDN w:val="0"/>
        <w:adjustRightInd w:val="0"/>
        <w:spacing w:line="480" w:lineRule="auto"/>
        <w:ind w:left="480" w:hanging="480"/>
        <w:rPr>
          <w:noProof/>
        </w:rPr>
      </w:pPr>
      <w:r w:rsidRPr="00606368">
        <w:rPr>
          <w:noProof/>
        </w:rPr>
        <w:t>Denholm R</w:t>
      </w:r>
      <w:r w:rsidR="000B61B1" w:rsidRPr="00606368">
        <w:rPr>
          <w:noProof/>
        </w:rPr>
        <w:t>B</w:t>
      </w:r>
      <w:r w:rsidR="00737D6F" w:rsidRPr="00606368">
        <w:rPr>
          <w:noProof/>
        </w:rPr>
        <w:t>,</w:t>
      </w:r>
      <w:r w:rsidRPr="00606368">
        <w:rPr>
          <w:noProof/>
        </w:rPr>
        <w:t xml:space="preserve"> &amp; More IA 1980</w:t>
      </w:r>
      <w:r w:rsidR="000B61B1" w:rsidRPr="00606368">
        <w:rPr>
          <w:noProof/>
        </w:rPr>
        <w:t xml:space="preserve"> Atypical cilia of the human endometrial epithelium. </w:t>
      </w:r>
      <w:r w:rsidR="000B61B1" w:rsidRPr="00606368">
        <w:rPr>
          <w:i/>
          <w:iCs/>
          <w:noProof/>
        </w:rPr>
        <w:t>Journal of Anatomy</w:t>
      </w:r>
      <w:r w:rsidR="000B61B1" w:rsidRPr="00606368">
        <w:rPr>
          <w:noProof/>
        </w:rPr>
        <w:t xml:space="preserve">, </w:t>
      </w:r>
      <w:r w:rsidR="000B61B1" w:rsidRPr="00606368">
        <w:rPr>
          <w:i/>
          <w:iCs/>
          <w:noProof/>
        </w:rPr>
        <w:t>131</w:t>
      </w:r>
      <w:r w:rsidRPr="00606368">
        <w:rPr>
          <w:noProof/>
        </w:rPr>
        <w:t>(Pt 2), 309–315.</w:t>
      </w:r>
    </w:p>
    <w:p w14:paraId="08B27BD8" w14:textId="7F8F148F" w:rsidR="0041789F" w:rsidRPr="00606368" w:rsidRDefault="0041789F" w:rsidP="009641D0">
      <w:pPr>
        <w:widowControl w:val="0"/>
        <w:autoSpaceDE w:val="0"/>
        <w:autoSpaceDN w:val="0"/>
        <w:adjustRightInd w:val="0"/>
        <w:spacing w:line="480" w:lineRule="auto"/>
        <w:ind w:left="480" w:hanging="480"/>
        <w:rPr>
          <w:color w:val="212121"/>
          <w:shd w:val="clear" w:color="auto" w:fill="FFFFFF"/>
        </w:rPr>
      </w:pPr>
      <w:r w:rsidRPr="00606368">
        <w:rPr>
          <w:color w:val="212121"/>
          <w:shd w:val="clear" w:color="auto" w:fill="FFFFFF"/>
        </w:rPr>
        <w:t>Devesa-Peiro A, Sebastian-Leon P, Garcia-Garcia F, Arnau V, Aleman A, Pellicer A, Diaz-Gimeno P</w:t>
      </w:r>
      <w:r w:rsidR="00C8353A" w:rsidRPr="00606368">
        <w:rPr>
          <w:color w:val="212121"/>
          <w:shd w:val="clear" w:color="auto" w:fill="FFFFFF"/>
        </w:rPr>
        <w:t xml:space="preserve"> 2020</w:t>
      </w:r>
      <w:r w:rsidRPr="00606368">
        <w:rPr>
          <w:color w:val="212121"/>
          <w:shd w:val="clear" w:color="auto" w:fill="FFFFFF"/>
        </w:rPr>
        <w:t xml:space="preserve"> Uterine disorders affecting female fertility: what are the molecular functions altered in </w:t>
      </w:r>
      <w:r w:rsidR="00C8353A" w:rsidRPr="00606368">
        <w:rPr>
          <w:color w:val="212121"/>
          <w:shd w:val="clear" w:color="auto" w:fill="FFFFFF"/>
        </w:rPr>
        <w:t xml:space="preserve">endometrium? </w:t>
      </w:r>
      <w:r w:rsidR="00C8353A" w:rsidRPr="00606368">
        <w:rPr>
          <w:i/>
          <w:iCs/>
          <w:noProof/>
        </w:rPr>
        <w:t>Fertility and Sterility</w:t>
      </w:r>
      <w:r w:rsidR="00C8353A" w:rsidRPr="00606368">
        <w:rPr>
          <w:color w:val="212121"/>
          <w:shd w:val="clear" w:color="auto" w:fill="FFFFFF"/>
        </w:rPr>
        <w:t>. Jun;113(6):1261-1274.</w:t>
      </w:r>
    </w:p>
    <w:p w14:paraId="6F28B69B" w14:textId="55D76F98" w:rsidR="0041789F" w:rsidRPr="00606368" w:rsidRDefault="0041789F" w:rsidP="009641D0">
      <w:pPr>
        <w:widowControl w:val="0"/>
        <w:autoSpaceDE w:val="0"/>
        <w:autoSpaceDN w:val="0"/>
        <w:adjustRightInd w:val="0"/>
        <w:spacing w:line="480" w:lineRule="auto"/>
        <w:ind w:left="480" w:hanging="480"/>
        <w:rPr>
          <w:noProof/>
        </w:rPr>
      </w:pPr>
      <w:r w:rsidRPr="00606368">
        <w:t>Devesa-Peiro A, Sebastian-Leon P, Parraga-Leo A, Pellicer A, Diaz-Gimeno P</w:t>
      </w:r>
      <w:r w:rsidR="00C8353A" w:rsidRPr="00606368">
        <w:t xml:space="preserve"> 2022</w:t>
      </w:r>
      <w:r w:rsidRPr="00606368">
        <w:t xml:space="preserve"> Breaking the ageing paradigm in endometrium: endometrial gene expression related to cilia and ageing hallmarks in women over 35 years. </w:t>
      </w:r>
      <w:r w:rsidRPr="00606368">
        <w:rPr>
          <w:i/>
        </w:rPr>
        <w:t>Hum</w:t>
      </w:r>
      <w:r w:rsidR="00165F07" w:rsidRPr="00606368">
        <w:rPr>
          <w:i/>
        </w:rPr>
        <w:t>an</w:t>
      </w:r>
      <w:r w:rsidRPr="00606368">
        <w:rPr>
          <w:i/>
        </w:rPr>
        <w:t xml:space="preserve"> Reprod</w:t>
      </w:r>
      <w:r w:rsidR="00165F07" w:rsidRPr="00606368">
        <w:rPr>
          <w:i/>
        </w:rPr>
        <w:t>uction</w:t>
      </w:r>
      <w:r w:rsidR="00165F07" w:rsidRPr="00606368">
        <w:t xml:space="preserve">. </w:t>
      </w:r>
      <w:r w:rsidRPr="00606368">
        <w:t>Apr 1;37(4):762-776.</w:t>
      </w:r>
    </w:p>
    <w:p w14:paraId="0A5E3170" w14:textId="1F36CCD5" w:rsidR="000B61B1" w:rsidRPr="00606368" w:rsidRDefault="00165F07" w:rsidP="009641D0">
      <w:pPr>
        <w:widowControl w:val="0"/>
        <w:autoSpaceDE w:val="0"/>
        <w:autoSpaceDN w:val="0"/>
        <w:adjustRightInd w:val="0"/>
        <w:spacing w:line="480" w:lineRule="auto"/>
        <w:ind w:left="480" w:hanging="480"/>
        <w:rPr>
          <w:noProof/>
        </w:rPr>
      </w:pPr>
      <w:r w:rsidRPr="00606368">
        <w:rPr>
          <w:noProof/>
        </w:rPr>
        <w:t>Dhuri K, Bechtold C, Quijano E, Pham H, Gupta A, Vikram A, Bahal R 2020</w:t>
      </w:r>
      <w:r w:rsidR="000B61B1" w:rsidRPr="00606368">
        <w:rPr>
          <w:noProof/>
        </w:rPr>
        <w:t xml:space="preserve"> Antisense </w:t>
      </w:r>
      <w:r w:rsidR="000B61B1" w:rsidRPr="00606368">
        <w:rPr>
          <w:noProof/>
        </w:rPr>
        <w:lastRenderedPageBreak/>
        <w:t xml:space="preserve">Oligonucleotides: An Emerging Area in Drug Discovery and Development. </w:t>
      </w:r>
      <w:r w:rsidR="000B61B1" w:rsidRPr="00606368">
        <w:rPr>
          <w:i/>
          <w:iCs/>
          <w:noProof/>
        </w:rPr>
        <w:t>Journal of Clinical Medicine</w:t>
      </w:r>
      <w:r w:rsidR="000B61B1" w:rsidRPr="00606368">
        <w:rPr>
          <w:noProof/>
        </w:rPr>
        <w:t xml:space="preserve">, </w:t>
      </w:r>
      <w:r w:rsidR="000B61B1" w:rsidRPr="00606368">
        <w:rPr>
          <w:i/>
          <w:iCs/>
          <w:noProof/>
        </w:rPr>
        <w:t>9</w:t>
      </w:r>
      <w:r w:rsidRPr="00606368">
        <w:rPr>
          <w:noProof/>
        </w:rPr>
        <w:t>(6), 2004.</w:t>
      </w:r>
    </w:p>
    <w:p w14:paraId="5A9B57FF" w14:textId="0E59D9D5" w:rsidR="000B61B1" w:rsidRPr="00606368" w:rsidRDefault="00165F07" w:rsidP="009641D0">
      <w:pPr>
        <w:widowControl w:val="0"/>
        <w:autoSpaceDE w:val="0"/>
        <w:autoSpaceDN w:val="0"/>
        <w:adjustRightInd w:val="0"/>
        <w:spacing w:line="480" w:lineRule="auto"/>
        <w:ind w:left="480" w:hanging="480"/>
        <w:rPr>
          <w:noProof/>
        </w:rPr>
      </w:pPr>
      <w:r w:rsidRPr="00606368">
        <w:rPr>
          <w:noProof/>
        </w:rPr>
        <w:t>Díaz-Gimeno P, Horcajadas JA, Martínez-Conejero JA, Esteban FJ, Alamá P, Pellicer A, Simón C 2011</w:t>
      </w:r>
      <w:r w:rsidR="000B61B1" w:rsidRPr="00606368">
        <w:rPr>
          <w:noProof/>
        </w:rPr>
        <w:t xml:space="preserve"> A genomic diagnostic tool for human endometrial receptivity based on the transcriptomic signature. </w:t>
      </w:r>
      <w:r w:rsidR="000B61B1" w:rsidRPr="00606368">
        <w:rPr>
          <w:i/>
          <w:iCs/>
          <w:noProof/>
        </w:rPr>
        <w:t>Fertility and Sterility</w:t>
      </w:r>
      <w:r w:rsidR="000B61B1" w:rsidRPr="00606368">
        <w:rPr>
          <w:noProof/>
        </w:rPr>
        <w:t xml:space="preserve">, </w:t>
      </w:r>
      <w:r w:rsidR="000B61B1" w:rsidRPr="00606368">
        <w:rPr>
          <w:i/>
          <w:iCs/>
          <w:noProof/>
        </w:rPr>
        <w:t>95</w:t>
      </w:r>
      <w:r w:rsidRPr="00606368">
        <w:rPr>
          <w:noProof/>
        </w:rPr>
        <w:t>(1), 50-60.e15.</w:t>
      </w:r>
    </w:p>
    <w:p w14:paraId="148BC853" w14:textId="3DDDD12F" w:rsidR="000B61B1" w:rsidRPr="00606368" w:rsidRDefault="00165F07" w:rsidP="009641D0">
      <w:pPr>
        <w:widowControl w:val="0"/>
        <w:autoSpaceDE w:val="0"/>
        <w:autoSpaceDN w:val="0"/>
        <w:adjustRightInd w:val="0"/>
        <w:spacing w:line="480" w:lineRule="auto"/>
        <w:ind w:left="480" w:hanging="480"/>
        <w:rPr>
          <w:noProof/>
        </w:rPr>
      </w:pPr>
      <w:r w:rsidRPr="00606368">
        <w:rPr>
          <w:noProof/>
        </w:rPr>
        <w:t>Dixit A</w:t>
      </w:r>
      <w:r w:rsidR="00737D6F" w:rsidRPr="00606368">
        <w:rPr>
          <w:noProof/>
        </w:rPr>
        <w:t>,</w:t>
      </w:r>
      <w:r w:rsidRPr="00606368">
        <w:rPr>
          <w:noProof/>
        </w:rPr>
        <w:t xml:space="preserve"> &amp; Karande AA 2020</w:t>
      </w:r>
      <w:r w:rsidR="000B61B1" w:rsidRPr="00606368">
        <w:rPr>
          <w:noProof/>
        </w:rPr>
        <w:t xml:space="preserve"> Glycodelin regulates the numbers and function of peripheral natural killer cells. </w:t>
      </w:r>
      <w:r w:rsidR="000B61B1" w:rsidRPr="00606368">
        <w:rPr>
          <w:i/>
          <w:iCs/>
          <w:noProof/>
        </w:rPr>
        <w:t>Journal of Reproductive Immunology</w:t>
      </w:r>
      <w:r w:rsidR="000B61B1" w:rsidRPr="00606368">
        <w:rPr>
          <w:noProof/>
        </w:rPr>
        <w:t xml:space="preserve">, </w:t>
      </w:r>
      <w:r w:rsidR="000B61B1" w:rsidRPr="00606368">
        <w:rPr>
          <w:i/>
          <w:iCs/>
          <w:noProof/>
        </w:rPr>
        <w:t>137</w:t>
      </w:r>
      <w:r w:rsidRPr="00606368">
        <w:rPr>
          <w:noProof/>
        </w:rPr>
        <w:t>, 102625.</w:t>
      </w:r>
    </w:p>
    <w:p w14:paraId="5190E733" w14:textId="0BFCB769" w:rsidR="000B61B1" w:rsidRPr="00606368" w:rsidRDefault="00165F07" w:rsidP="009641D0">
      <w:pPr>
        <w:widowControl w:val="0"/>
        <w:autoSpaceDE w:val="0"/>
        <w:autoSpaceDN w:val="0"/>
        <w:adjustRightInd w:val="0"/>
        <w:spacing w:line="480" w:lineRule="auto"/>
        <w:ind w:left="480" w:hanging="480"/>
        <w:rPr>
          <w:noProof/>
        </w:rPr>
      </w:pPr>
      <w:r w:rsidRPr="00606368">
        <w:rPr>
          <w:noProof/>
        </w:rPr>
        <w:t>Dobin A, Davis CA, Schlesinger F, Drenkow J, Zaleski C, Jha S</w:t>
      </w:r>
      <w:r w:rsidR="000B61B1" w:rsidRPr="00606368">
        <w:rPr>
          <w:noProof/>
        </w:rPr>
        <w:t>,</w:t>
      </w:r>
      <w:r w:rsidRPr="00606368">
        <w:rPr>
          <w:noProof/>
        </w:rPr>
        <w:t xml:space="preserve"> Batut P, Chaisson M, Gingeras TR 2013</w:t>
      </w:r>
      <w:r w:rsidR="000B61B1" w:rsidRPr="00606368">
        <w:rPr>
          <w:noProof/>
        </w:rPr>
        <w:t xml:space="preserve"> STAR: ultrafast universal RNA-seq aligner. </w:t>
      </w:r>
      <w:r w:rsidR="000B61B1" w:rsidRPr="00606368">
        <w:rPr>
          <w:i/>
          <w:iCs/>
          <w:noProof/>
        </w:rPr>
        <w:t>Bioinformatics</w:t>
      </w:r>
      <w:r w:rsidR="000B61B1" w:rsidRPr="00606368">
        <w:rPr>
          <w:noProof/>
        </w:rPr>
        <w:t xml:space="preserve">, </w:t>
      </w:r>
      <w:r w:rsidR="000B61B1" w:rsidRPr="00606368">
        <w:rPr>
          <w:i/>
          <w:iCs/>
          <w:noProof/>
        </w:rPr>
        <w:t>29</w:t>
      </w:r>
      <w:r w:rsidRPr="00606368">
        <w:rPr>
          <w:noProof/>
        </w:rPr>
        <w:t>(1), 15–21.</w:t>
      </w:r>
    </w:p>
    <w:p w14:paraId="3F028192" w14:textId="0D3EAB61" w:rsidR="000B61B1" w:rsidRPr="00606368" w:rsidRDefault="00165F07" w:rsidP="009641D0">
      <w:pPr>
        <w:widowControl w:val="0"/>
        <w:autoSpaceDE w:val="0"/>
        <w:autoSpaceDN w:val="0"/>
        <w:adjustRightInd w:val="0"/>
        <w:spacing w:line="480" w:lineRule="auto"/>
        <w:ind w:left="480" w:hanging="480"/>
        <w:rPr>
          <w:noProof/>
        </w:rPr>
      </w:pPr>
      <w:r w:rsidRPr="00606368">
        <w:rPr>
          <w:noProof/>
        </w:rPr>
        <w:t>Edgar R, Domrachev M, Lash AE 2002</w:t>
      </w:r>
      <w:r w:rsidR="000B61B1" w:rsidRPr="00606368">
        <w:rPr>
          <w:noProof/>
        </w:rPr>
        <w:t xml:space="preserve"> Gene Expression Omnibus: NCBI gene expression and hybridization array data repository. </w:t>
      </w:r>
      <w:r w:rsidR="000B61B1" w:rsidRPr="00606368">
        <w:rPr>
          <w:i/>
          <w:iCs/>
          <w:noProof/>
        </w:rPr>
        <w:t>Nucleic Acids Research</w:t>
      </w:r>
      <w:r w:rsidR="000B61B1" w:rsidRPr="00606368">
        <w:rPr>
          <w:noProof/>
        </w:rPr>
        <w:t xml:space="preserve">, </w:t>
      </w:r>
      <w:r w:rsidR="000B61B1" w:rsidRPr="00606368">
        <w:rPr>
          <w:i/>
          <w:iCs/>
          <w:noProof/>
        </w:rPr>
        <w:t>30</w:t>
      </w:r>
      <w:r w:rsidRPr="00606368">
        <w:rPr>
          <w:noProof/>
        </w:rPr>
        <w:t>(1), 207–210.</w:t>
      </w:r>
    </w:p>
    <w:p w14:paraId="5E31830C" w14:textId="21EB2746" w:rsidR="000B61B1" w:rsidRPr="00606368" w:rsidRDefault="00165F07" w:rsidP="009641D0">
      <w:pPr>
        <w:widowControl w:val="0"/>
        <w:autoSpaceDE w:val="0"/>
        <w:autoSpaceDN w:val="0"/>
        <w:adjustRightInd w:val="0"/>
        <w:spacing w:line="480" w:lineRule="auto"/>
        <w:ind w:left="480" w:hanging="480"/>
        <w:rPr>
          <w:noProof/>
        </w:rPr>
      </w:pPr>
      <w:r w:rsidRPr="00606368">
        <w:rPr>
          <w:noProof/>
        </w:rPr>
        <w:t xml:space="preserve">Enciso M, Carrascosa JP, Sarasa J, Martínez-Ortiz PA, Munné S, Horcajadas JA, </w:t>
      </w:r>
      <w:r w:rsidR="002B7A12" w:rsidRPr="00606368">
        <w:rPr>
          <w:noProof/>
        </w:rPr>
        <w:t>Aizpurua, J. 2018</w:t>
      </w:r>
      <w:r w:rsidR="000B61B1" w:rsidRPr="00606368">
        <w:rPr>
          <w:noProof/>
        </w:rPr>
        <w:t xml:space="preserve"> Development of a new comprehensive and reliable endometrial receptivity map (ER Map/ER Grade) based on RT-qPCR gene expression analysis. </w:t>
      </w:r>
      <w:r w:rsidR="000B61B1" w:rsidRPr="00606368">
        <w:rPr>
          <w:i/>
          <w:iCs/>
          <w:noProof/>
        </w:rPr>
        <w:t>Human Reproduction</w:t>
      </w:r>
      <w:r w:rsidR="000B61B1" w:rsidRPr="00606368">
        <w:rPr>
          <w:noProof/>
        </w:rPr>
        <w:t xml:space="preserve">, </w:t>
      </w:r>
      <w:r w:rsidR="000B61B1" w:rsidRPr="00606368">
        <w:rPr>
          <w:i/>
          <w:iCs/>
          <w:noProof/>
        </w:rPr>
        <w:t>33</w:t>
      </w:r>
      <w:r w:rsidR="002B7A12" w:rsidRPr="00606368">
        <w:rPr>
          <w:noProof/>
        </w:rPr>
        <w:t>(2), 220–228.</w:t>
      </w:r>
    </w:p>
    <w:p w14:paraId="2C7D485D" w14:textId="2C6CE689" w:rsidR="000B61B1" w:rsidRPr="00606368" w:rsidRDefault="002B7A12" w:rsidP="009641D0">
      <w:pPr>
        <w:widowControl w:val="0"/>
        <w:autoSpaceDE w:val="0"/>
        <w:autoSpaceDN w:val="0"/>
        <w:adjustRightInd w:val="0"/>
        <w:spacing w:line="480" w:lineRule="auto"/>
        <w:ind w:left="480" w:hanging="480"/>
        <w:rPr>
          <w:noProof/>
        </w:rPr>
      </w:pPr>
      <w:r w:rsidRPr="00606368">
        <w:rPr>
          <w:noProof/>
        </w:rPr>
        <w:t>Filant J</w:t>
      </w:r>
      <w:r w:rsidR="00737D6F" w:rsidRPr="00606368">
        <w:rPr>
          <w:noProof/>
        </w:rPr>
        <w:t>,</w:t>
      </w:r>
      <w:r w:rsidRPr="00606368">
        <w:rPr>
          <w:noProof/>
        </w:rPr>
        <w:t xml:space="preserve"> &amp; Spencer TE 2013</w:t>
      </w:r>
      <w:r w:rsidR="000B61B1" w:rsidRPr="00606368">
        <w:rPr>
          <w:noProof/>
        </w:rPr>
        <w:t xml:space="preserve"> Endometrial Glands Are Essential for Blastocyst Implantation and Decidualization in the Mouse Uterus. </w:t>
      </w:r>
      <w:r w:rsidR="000B61B1" w:rsidRPr="00606368">
        <w:rPr>
          <w:i/>
          <w:iCs/>
          <w:noProof/>
        </w:rPr>
        <w:t>Biology of Reproduction</w:t>
      </w:r>
      <w:r w:rsidR="000B61B1" w:rsidRPr="00606368">
        <w:rPr>
          <w:noProof/>
        </w:rPr>
        <w:t xml:space="preserve">, </w:t>
      </w:r>
      <w:r w:rsidR="000B61B1" w:rsidRPr="00606368">
        <w:rPr>
          <w:i/>
          <w:iCs/>
          <w:noProof/>
        </w:rPr>
        <w:t>88</w:t>
      </w:r>
      <w:r w:rsidRPr="00606368">
        <w:rPr>
          <w:noProof/>
        </w:rPr>
        <w:t>(4), 93.</w:t>
      </w:r>
    </w:p>
    <w:p w14:paraId="5D4DEBEE" w14:textId="17232D76" w:rsidR="000B61B1" w:rsidRPr="00606368" w:rsidRDefault="002B7A12" w:rsidP="009641D0">
      <w:pPr>
        <w:widowControl w:val="0"/>
        <w:autoSpaceDE w:val="0"/>
        <w:autoSpaceDN w:val="0"/>
        <w:adjustRightInd w:val="0"/>
        <w:spacing w:line="480" w:lineRule="auto"/>
        <w:ind w:left="480" w:hanging="480"/>
        <w:rPr>
          <w:noProof/>
        </w:rPr>
      </w:pPr>
      <w:r w:rsidRPr="00606368">
        <w:rPr>
          <w:noProof/>
        </w:rPr>
        <w:t>Ford HB</w:t>
      </w:r>
      <w:r w:rsidR="00737D6F" w:rsidRPr="00606368">
        <w:rPr>
          <w:noProof/>
        </w:rPr>
        <w:t>,</w:t>
      </w:r>
      <w:r w:rsidRPr="00606368">
        <w:rPr>
          <w:noProof/>
        </w:rPr>
        <w:t xml:space="preserve"> &amp; Schust DJ 2009</w:t>
      </w:r>
      <w:r w:rsidR="000B61B1" w:rsidRPr="00606368">
        <w:rPr>
          <w:noProof/>
        </w:rPr>
        <w:t xml:space="preserve"> Recurrent pregnancy loss: etiology, diagnosis, and therapy. </w:t>
      </w:r>
      <w:r w:rsidR="000B61B1" w:rsidRPr="00606368">
        <w:rPr>
          <w:i/>
          <w:iCs/>
          <w:noProof/>
        </w:rPr>
        <w:t>Reviews in Obstetrics &amp; Gynecology</w:t>
      </w:r>
      <w:r w:rsidR="000B61B1" w:rsidRPr="00606368">
        <w:rPr>
          <w:noProof/>
        </w:rPr>
        <w:t xml:space="preserve">, </w:t>
      </w:r>
      <w:r w:rsidR="000B61B1" w:rsidRPr="00606368">
        <w:rPr>
          <w:i/>
          <w:iCs/>
          <w:noProof/>
        </w:rPr>
        <w:t>2</w:t>
      </w:r>
      <w:r w:rsidRPr="00606368">
        <w:rPr>
          <w:noProof/>
        </w:rPr>
        <w:t>(2), 76–83.</w:t>
      </w:r>
    </w:p>
    <w:p w14:paraId="1160E2A1" w14:textId="08F77979" w:rsidR="000B61B1" w:rsidRPr="00606368" w:rsidRDefault="002B7A12" w:rsidP="009641D0">
      <w:pPr>
        <w:widowControl w:val="0"/>
        <w:autoSpaceDE w:val="0"/>
        <w:autoSpaceDN w:val="0"/>
        <w:adjustRightInd w:val="0"/>
        <w:spacing w:line="480" w:lineRule="auto"/>
        <w:ind w:left="480" w:hanging="480"/>
        <w:rPr>
          <w:noProof/>
        </w:rPr>
      </w:pPr>
      <w:r w:rsidRPr="00606368">
        <w:rPr>
          <w:noProof/>
        </w:rPr>
        <w:t>Frankish A, Diekhans M, Ferreira AM, Johnson R, Jungreis I, Loveland J</w:t>
      </w:r>
      <w:r w:rsidR="000B61B1" w:rsidRPr="00606368">
        <w:rPr>
          <w:noProof/>
        </w:rPr>
        <w:t>,</w:t>
      </w:r>
      <w:r w:rsidRPr="00606368">
        <w:t xml:space="preserve"> </w:t>
      </w:r>
      <w:r w:rsidR="00096F28" w:rsidRPr="00606368">
        <w:t xml:space="preserve">Mudge </w:t>
      </w:r>
      <w:r w:rsidR="00096F28" w:rsidRPr="00606368">
        <w:rPr>
          <w:noProof/>
        </w:rPr>
        <w:t>J</w:t>
      </w:r>
      <w:r w:rsidRPr="00606368">
        <w:rPr>
          <w:noProof/>
        </w:rPr>
        <w:t>M</w:t>
      </w:r>
      <w:r w:rsidR="00096F28" w:rsidRPr="00606368">
        <w:rPr>
          <w:noProof/>
        </w:rPr>
        <w:t xml:space="preserve">, </w:t>
      </w:r>
      <w:r w:rsidRPr="00606368">
        <w:rPr>
          <w:noProof/>
        </w:rPr>
        <w:t xml:space="preserve">Sisu </w:t>
      </w:r>
      <w:r w:rsidR="00096F28" w:rsidRPr="00606368">
        <w:rPr>
          <w:noProof/>
        </w:rPr>
        <w:t xml:space="preserve">C, </w:t>
      </w:r>
      <w:r w:rsidRPr="00606368">
        <w:rPr>
          <w:noProof/>
        </w:rPr>
        <w:t>Wright</w:t>
      </w:r>
      <w:r w:rsidR="00096F28" w:rsidRPr="00606368">
        <w:rPr>
          <w:noProof/>
        </w:rPr>
        <w:t xml:space="preserve"> J</w:t>
      </w:r>
      <w:r w:rsidR="00D95A7A" w:rsidRPr="00606368">
        <w:rPr>
          <w:noProof/>
        </w:rPr>
        <w:t xml:space="preserve">, Armstrong J, Barnes I, Berry A, Bignell A, Sala SC, Chrast J, Cunningham F, Di Domenico T, Donaldson S, Fiddes IT, </w:t>
      </w:r>
      <w:r w:rsidRPr="00606368">
        <w:rPr>
          <w:noProof/>
        </w:rPr>
        <w:t>Girón</w:t>
      </w:r>
      <w:r w:rsidR="00D95A7A" w:rsidRPr="00606368">
        <w:rPr>
          <w:noProof/>
        </w:rPr>
        <w:t xml:space="preserve"> CG, Gonzalez JM, Grego T, Hardy M, Hourlier T, Hunt T, Izuogu OG, Lagarde J</w:t>
      </w:r>
      <w:r w:rsidR="00176FE9" w:rsidRPr="00606368">
        <w:rPr>
          <w:noProof/>
        </w:rPr>
        <w:t>, Martin FJ, Martínez L, Mohanan S</w:t>
      </w:r>
      <w:r w:rsidRPr="00606368">
        <w:rPr>
          <w:noProof/>
        </w:rPr>
        <w:t xml:space="preserve">, Muir </w:t>
      </w:r>
      <w:r w:rsidR="009C7329" w:rsidRPr="00606368">
        <w:rPr>
          <w:noProof/>
        </w:rPr>
        <w:t>P</w:t>
      </w:r>
      <w:r w:rsidRPr="00606368">
        <w:rPr>
          <w:noProof/>
        </w:rPr>
        <w:t xml:space="preserve">, Navarro </w:t>
      </w:r>
      <w:r w:rsidR="009C7329" w:rsidRPr="00606368">
        <w:rPr>
          <w:noProof/>
        </w:rPr>
        <w:t>FCP</w:t>
      </w:r>
      <w:r w:rsidRPr="00606368">
        <w:rPr>
          <w:noProof/>
        </w:rPr>
        <w:t>,</w:t>
      </w:r>
      <w:r w:rsidR="009C7329" w:rsidRPr="00606368">
        <w:rPr>
          <w:noProof/>
        </w:rPr>
        <w:t xml:space="preserve"> </w:t>
      </w:r>
      <w:r w:rsidRPr="00606368">
        <w:rPr>
          <w:noProof/>
        </w:rPr>
        <w:t xml:space="preserve">Parker </w:t>
      </w:r>
      <w:r w:rsidR="009C7329" w:rsidRPr="00606368">
        <w:rPr>
          <w:noProof/>
        </w:rPr>
        <w:t>A</w:t>
      </w:r>
      <w:r w:rsidRPr="00606368">
        <w:rPr>
          <w:noProof/>
        </w:rPr>
        <w:t xml:space="preserve">, Pei </w:t>
      </w:r>
      <w:r w:rsidR="009C7329" w:rsidRPr="00606368">
        <w:rPr>
          <w:noProof/>
        </w:rPr>
        <w:t>B</w:t>
      </w:r>
      <w:r w:rsidRPr="00606368">
        <w:rPr>
          <w:noProof/>
        </w:rPr>
        <w:t xml:space="preserve">, Pozo </w:t>
      </w:r>
      <w:r w:rsidR="009C7329" w:rsidRPr="00606368">
        <w:rPr>
          <w:noProof/>
        </w:rPr>
        <w:t>F</w:t>
      </w:r>
      <w:r w:rsidRPr="00606368">
        <w:rPr>
          <w:noProof/>
        </w:rPr>
        <w:t xml:space="preserve">, Ruffier </w:t>
      </w:r>
      <w:r w:rsidR="009C7329" w:rsidRPr="00606368">
        <w:rPr>
          <w:noProof/>
        </w:rPr>
        <w:t>M</w:t>
      </w:r>
      <w:r w:rsidRPr="00606368">
        <w:rPr>
          <w:noProof/>
        </w:rPr>
        <w:t xml:space="preserve">, Schmitt </w:t>
      </w:r>
      <w:r w:rsidR="009C7329" w:rsidRPr="00606368">
        <w:rPr>
          <w:noProof/>
        </w:rPr>
        <w:t>BM</w:t>
      </w:r>
      <w:r w:rsidRPr="00606368">
        <w:rPr>
          <w:noProof/>
        </w:rPr>
        <w:t xml:space="preserve">, Stapleton </w:t>
      </w:r>
      <w:r w:rsidR="009C7329" w:rsidRPr="00606368">
        <w:rPr>
          <w:noProof/>
        </w:rPr>
        <w:t>E</w:t>
      </w:r>
      <w:r w:rsidRPr="00606368">
        <w:rPr>
          <w:noProof/>
        </w:rPr>
        <w:t xml:space="preserve">, Suner </w:t>
      </w:r>
      <w:r w:rsidR="009C7329" w:rsidRPr="00606368">
        <w:rPr>
          <w:noProof/>
        </w:rPr>
        <w:lastRenderedPageBreak/>
        <w:t>MM</w:t>
      </w:r>
      <w:r w:rsidRPr="00606368">
        <w:rPr>
          <w:noProof/>
        </w:rPr>
        <w:t xml:space="preserve">, Sycheva </w:t>
      </w:r>
      <w:r w:rsidR="009C7329" w:rsidRPr="00606368">
        <w:rPr>
          <w:noProof/>
        </w:rPr>
        <w:t>I</w:t>
      </w:r>
      <w:r w:rsidRPr="00606368">
        <w:rPr>
          <w:noProof/>
        </w:rPr>
        <w:t xml:space="preserve">, Uszczynska-Ratajczak </w:t>
      </w:r>
      <w:r w:rsidR="009C7329" w:rsidRPr="00606368">
        <w:rPr>
          <w:noProof/>
        </w:rPr>
        <w:t>B</w:t>
      </w:r>
      <w:r w:rsidRPr="00606368">
        <w:rPr>
          <w:noProof/>
        </w:rPr>
        <w:t xml:space="preserve">, Xu </w:t>
      </w:r>
      <w:r w:rsidR="009C7329" w:rsidRPr="00606368">
        <w:rPr>
          <w:noProof/>
        </w:rPr>
        <w:t>J</w:t>
      </w:r>
      <w:r w:rsidRPr="00606368">
        <w:rPr>
          <w:noProof/>
        </w:rPr>
        <w:t xml:space="preserve">, Yates </w:t>
      </w:r>
      <w:r w:rsidR="009C7329" w:rsidRPr="00606368">
        <w:rPr>
          <w:noProof/>
        </w:rPr>
        <w:t>A</w:t>
      </w:r>
      <w:r w:rsidRPr="00606368">
        <w:rPr>
          <w:noProof/>
        </w:rPr>
        <w:t xml:space="preserve">, Zerbino </w:t>
      </w:r>
      <w:r w:rsidR="009C7329" w:rsidRPr="00606368">
        <w:rPr>
          <w:noProof/>
        </w:rPr>
        <w:t>D</w:t>
      </w:r>
      <w:r w:rsidRPr="00606368">
        <w:rPr>
          <w:noProof/>
        </w:rPr>
        <w:t xml:space="preserve">, Zhang </w:t>
      </w:r>
      <w:r w:rsidR="009C7329" w:rsidRPr="00606368">
        <w:rPr>
          <w:noProof/>
        </w:rPr>
        <w:t>Y</w:t>
      </w:r>
      <w:r w:rsidRPr="00606368">
        <w:rPr>
          <w:noProof/>
        </w:rPr>
        <w:t xml:space="preserve">, Aken </w:t>
      </w:r>
      <w:r w:rsidR="009C7329" w:rsidRPr="00606368">
        <w:rPr>
          <w:noProof/>
        </w:rPr>
        <w:t>B</w:t>
      </w:r>
      <w:r w:rsidRPr="00606368">
        <w:rPr>
          <w:noProof/>
        </w:rPr>
        <w:t xml:space="preserve">, Choudhary </w:t>
      </w:r>
      <w:r w:rsidR="009C7329" w:rsidRPr="00606368">
        <w:rPr>
          <w:noProof/>
        </w:rPr>
        <w:t>JS</w:t>
      </w:r>
      <w:r w:rsidRPr="00606368">
        <w:rPr>
          <w:noProof/>
        </w:rPr>
        <w:t xml:space="preserve">, Gerstein </w:t>
      </w:r>
      <w:r w:rsidR="009C7329" w:rsidRPr="00606368">
        <w:rPr>
          <w:noProof/>
        </w:rPr>
        <w:t>M</w:t>
      </w:r>
      <w:r w:rsidRPr="00606368">
        <w:rPr>
          <w:noProof/>
        </w:rPr>
        <w:t xml:space="preserve">, Guigó </w:t>
      </w:r>
      <w:r w:rsidR="009C7329" w:rsidRPr="00606368">
        <w:rPr>
          <w:noProof/>
        </w:rPr>
        <w:t>R</w:t>
      </w:r>
      <w:r w:rsidRPr="00606368">
        <w:rPr>
          <w:noProof/>
        </w:rPr>
        <w:t xml:space="preserve">, Hubbard </w:t>
      </w:r>
      <w:r w:rsidR="009C7329" w:rsidRPr="00606368">
        <w:rPr>
          <w:noProof/>
        </w:rPr>
        <w:t>TJP</w:t>
      </w:r>
      <w:r w:rsidRPr="00606368">
        <w:rPr>
          <w:noProof/>
        </w:rPr>
        <w:t xml:space="preserve">, Kellis </w:t>
      </w:r>
      <w:r w:rsidR="009C7329" w:rsidRPr="00606368">
        <w:rPr>
          <w:noProof/>
        </w:rPr>
        <w:t>M</w:t>
      </w:r>
      <w:r w:rsidRPr="00606368">
        <w:rPr>
          <w:noProof/>
        </w:rPr>
        <w:t xml:space="preserve">, Paten </w:t>
      </w:r>
      <w:r w:rsidR="009C7329" w:rsidRPr="00606368">
        <w:rPr>
          <w:noProof/>
        </w:rPr>
        <w:t>B</w:t>
      </w:r>
      <w:r w:rsidRPr="00606368">
        <w:rPr>
          <w:noProof/>
        </w:rPr>
        <w:t xml:space="preserve">, Reymond </w:t>
      </w:r>
      <w:r w:rsidR="009C7329" w:rsidRPr="00606368">
        <w:rPr>
          <w:noProof/>
        </w:rPr>
        <w:t>A</w:t>
      </w:r>
      <w:r w:rsidRPr="00606368">
        <w:rPr>
          <w:noProof/>
        </w:rPr>
        <w:t xml:space="preserve">, Tress </w:t>
      </w:r>
      <w:r w:rsidR="009C7329" w:rsidRPr="00606368">
        <w:rPr>
          <w:noProof/>
        </w:rPr>
        <w:t>ML</w:t>
      </w:r>
      <w:r w:rsidRPr="00606368">
        <w:rPr>
          <w:noProof/>
        </w:rPr>
        <w:t xml:space="preserve">, </w:t>
      </w:r>
      <w:r w:rsidR="000B61B1" w:rsidRPr="00606368">
        <w:rPr>
          <w:noProof/>
        </w:rPr>
        <w:t>Flicek P</w:t>
      </w:r>
      <w:r w:rsidR="009C7329" w:rsidRPr="00606368">
        <w:rPr>
          <w:noProof/>
        </w:rPr>
        <w:t xml:space="preserve"> </w:t>
      </w:r>
      <w:r w:rsidR="000B61B1" w:rsidRPr="00606368">
        <w:rPr>
          <w:noProof/>
        </w:rPr>
        <w:t xml:space="preserve">2019 GENCODE reference annotation for the human and mouse genomes. </w:t>
      </w:r>
      <w:r w:rsidR="000B61B1" w:rsidRPr="00606368">
        <w:rPr>
          <w:i/>
          <w:iCs/>
          <w:noProof/>
        </w:rPr>
        <w:t>Nucleic Acids Research</w:t>
      </w:r>
      <w:r w:rsidR="000B61B1" w:rsidRPr="00606368">
        <w:rPr>
          <w:noProof/>
        </w:rPr>
        <w:t xml:space="preserve">, </w:t>
      </w:r>
      <w:r w:rsidR="000B61B1" w:rsidRPr="00606368">
        <w:rPr>
          <w:i/>
          <w:iCs/>
          <w:noProof/>
        </w:rPr>
        <w:t>47</w:t>
      </w:r>
      <w:r w:rsidR="000B61B1" w:rsidRPr="00606368">
        <w:rPr>
          <w:noProof/>
        </w:rPr>
        <w:t>(D1), D766–D773.</w:t>
      </w:r>
    </w:p>
    <w:p w14:paraId="53EB1127" w14:textId="1DB59547" w:rsidR="0041789F" w:rsidRPr="00606368" w:rsidRDefault="0041789F" w:rsidP="009641D0">
      <w:pPr>
        <w:widowControl w:val="0"/>
        <w:autoSpaceDE w:val="0"/>
        <w:autoSpaceDN w:val="0"/>
        <w:adjustRightInd w:val="0"/>
        <w:spacing w:line="480" w:lineRule="auto"/>
        <w:ind w:left="480" w:hanging="480"/>
        <w:rPr>
          <w:noProof/>
        </w:rPr>
      </w:pPr>
      <w:r w:rsidRPr="00606368">
        <w:t>Garcia-Alonso L, Handfield LF, Roberts K, Nikolakopoulou K, Fernando RC, Gardner L, Woodhams B, Arutyunyan A, Polanski K, Hoo R, Sancho-Serra C, Li T, Kwakwa K, Tuck E, Lorenzi V, Massalha H, Prete M, Kleshchevnikov V, Tarkowska A, Porter T, Mazzeo CI, van Dongen S, Dabrowska M, Vaskivskyi V, Mahbubani KT, Park JE, Jimenez-Linan M, Campos L, Kiselev VY, Lindskog C, Ayuk P, Prigmore E, Stratton MR, Saeb-Parsy K, Moffett A, Moore L, Bayraktar OA, Teichmann SA, Turco MY, Vento-Tormo R</w:t>
      </w:r>
      <w:r w:rsidR="009C7329" w:rsidRPr="00606368">
        <w:t xml:space="preserve"> 2021</w:t>
      </w:r>
      <w:r w:rsidRPr="00606368">
        <w:t xml:space="preserve"> Mapping the temporal and spatial dynamics of the human endometrium in vivo and in vitro. </w:t>
      </w:r>
      <w:r w:rsidRPr="00606368">
        <w:rPr>
          <w:i/>
          <w:iCs/>
        </w:rPr>
        <w:t>Nat</w:t>
      </w:r>
      <w:r w:rsidR="009C7329" w:rsidRPr="00606368">
        <w:rPr>
          <w:i/>
          <w:iCs/>
        </w:rPr>
        <w:t>ure</w:t>
      </w:r>
      <w:r w:rsidRPr="00606368">
        <w:rPr>
          <w:i/>
          <w:iCs/>
        </w:rPr>
        <w:t xml:space="preserve"> Genet</w:t>
      </w:r>
      <w:r w:rsidR="009C7329" w:rsidRPr="00606368">
        <w:rPr>
          <w:i/>
          <w:iCs/>
        </w:rPr>
        <w:t>ics</w:t>
      </w:r>
      <w:r w:rsidRPr="00606368">
        <w:rPr>
          <w:i/>
          <w:iCs/>
        </w:rPr>
        <w:t>.</w:t>
      </w:r>
      <w:r w:rsidRPr="00606368">
        <w:t xml:space="preserve"> Dec;53(12):1698-1711.</w:t>
      </w:r>
    </w:p>
    <w:p w14:paraId="4CE2F3CF" w14:textId="183A43C7" w:rsidR="000B61B1" w:rsidRPr="00606368" w:rsidRDefault="000B61B1" w:rsidP="009641D0">
      <w:pPr>
        <w:widowControl w:val="0"/>
        <w:autoSpaceDE w:val="0"/>
        <w:autoSpaceDN w:val="0"/>
        <w:adjustRightInd w:val="0"/>
        <w:spacing w:line="480" w:lineRule="auto"/>
        <w:ind w:left="480" w:hanging="480"/>
        <w:rPr>
          <w:noProof/>
        </w:rPr>
      </w:pPr>
      <w:r w:rsidRPr="00606368">
        <w:rPr>
          <w:noProof/>
        </w:rPr>
        <w:t>Garde</w:t>
      </w:r>
      <w:r w:rsidR="00AC670D" w:rsidRPr="00606368">
        <w:rPr>
          <w:noProof/>
        </w:rPr>
        <w:t xml:space="preserve"> J</w:t>
      </w:r>
      <w:r w:rsidRPr="00606368">
        <w:rPr>
          <w:noProof/>
        </w:rPr>
        <w:t>, Bell SC, &amp; Eperon</w:t>
      </w:r>
      <w:r w:rsidR="00AC670D" w:rsidRPr="00606368">
        <w:rPr>
          <w:noProof/>
        </w:rPr>
        <w:t xml:space="preserve"> </w:t>
      </w:r>
      <w:r w:rsidRPr="00606368">
        <w:rPr>
          <w:noProof/>
        </w:rPr>
        <w:t xml:space="preserve">IC 1991 Multiple forms of mRNA encoding human pregnancy-associated endometrial alpha 2-globulin, a beta-lactoglobulin homologue. </w:t>
      </w:r>
      <w:r w:rsidRPr="00606368">
        <w:rPr>
          <w:i/>
          <w:iCs/>
          <w:noProof/>
        </w:rPr>
        <w:t>P</w:t>
      </w:r>
      <w:r w:rsidR="00AC670D" w:rsidRPr="00606368">
        <w:rPr>
          <w:i/>
          <w:iCs/>
          <w:noProof/>
        </w:rPr>
        <w:t>NAS</w:t>
      </w:r>
      <w:r w:rsidRPr="00606368">
        <w:rPr>
          <w:noProof/>
        </w:rPr>
        <w:t xml:space="preserve">, </w:t>
      </w:r>
      <w:r w:rsidRPr="00606368">
        <w:rPr>
          <w:i/>
          <w:iCs/>
          <w:noProof/>
        </w:rPr>
        <w:t>88</w:t>
      </w:r>
      <w:r w:rsidRPr="00606368">
        <w:rPr>
          <w:noProof/>
        </w:rPr>
        <w:t xml:space="preserve">(6), 2456–2460. </w:t>
      </w:r>
    </w:p>
    <w:p w14:paraId="39B02451" w14:textId="67E342F0" w:rsidR="000B61B1" w:rsidRPr="00606368" w:rsidRDefault="000B61B1" w:rsidP="009641D0">
      <w:pPr>
        <w:widowControl w:val="0"/>
        <w:autoSpaceDE w:val="0"/>
        <w:autoSpaceDN w:val="0"/>
        <w:adjustRightInd w:val="0"/>
        <w:spacing w:line="480" w:lineRule="auto"/>
        <w:ind w:left="480" w:hanging="480"/>
        <w:rPr>
          <w:noProof/>
        </w:rPr>
      </w:pPr>
      <w:r w:rsidRPr="00606368">
        <w:rPr>
          <w:noProof/>
        </w:rPr>
        <w:t>Goggin</w:t>
      </w:r>
      <w:r w:rsidR="00AC670D" w:rsidRPr="00606368">
        <w:rPr>
          <w:noProof/>
        </w:rPr>
        <w:t xml:space="preserve"> </w:t>
      </w:r>
      <w:r w:rsidRPr="00606368">
        <w:rPr>
          <w:noProof/>
        </w:rPr>
        <w:t xml:space="preserve">P, Ho EML, Gnaegi H, Searle S, Oreffo ROC, &amp; Schneider P 2020 Development of protocols for the first serial block-face scanning electron microscopy (SBF SEM) studies of bone tissue. </w:t>
      </w:r>
      <w:r w:rsidRPr="00606368">
        <w:rPr>
          <w:i/>
          <w:iCs/>
          <w:noProof/>
        </w:rPr>
        <w:t>Bone</w:t>
      </w:r>
      <w:r w:rsidRPr="00606368">
        <w:rPr>
          <w:noProof/>
        </w:rPr>
        <w:t xml:space="preserve">, </w:t>
      </w:r>
      <w:r w:rsidRPr="00606368">
        <w:rPr>
          <w:i/>
          <w:iCs/>
          <w:noProof/>
        </w:rPr>
        <w:t>131</w:t>
      </w:r>
      <w:r w:rsidRPr="00606368">
        <w:rPr>
          <w:noProof/>
        </w:rPr>
        <w:t>.</w:t>
      </w:r>
    </w:p>
    <w:p w14:paraId="356E0248" w14:textId="69ACFD85" w:rsidR="000B61B1" w:rsidRPr="00606368" w:rsidRDefault="000B61B1" w:rsidP="009641D0">
      <w:pPr>
        <w:widowControl w:val="0"/>
        <w:autoSpaceDE w:val="0"/>
        <w:autoSpaceDN w:val="0"/>
        <w:adjustRightInd w:val="0"/>
        <w:spacing w:line="480" w:lineRule="auto"/>
        <w:ind w:left="480" w:hanging="480"/>
        <w:rPr>
          <w:noProof/>
        </w:rPr>
      </w:pPr>
      <w:r w:rsidRPr="00606368">
        <w:rPr>
          <w:noProof/>
        </w:rPr>
        <w:t>Goutaki</w:t>
      </w:r>
      <w:r w:rsidR="00AC670D" w:rsidRPr="00606368">
        <w:rPr>
          <w:noProof/>
        </w:rPr>
        <w:t xml:space="preserve"> </w:t>
      </w:r>
      <w:r w:rsidRPr="00606368">
        <w:rPr>
          <w:noProof/>
        </w:rPr>
        <w:t>M, Meier AB, Halbeisen FS, Lucas JS, Dell SD, Maurer E,</w:t>
      </w:r>
      <w:r w:rsidR="00C361F3" w:rsidRPr="00606368">
        <w:rPr>
          <w:noProof/>
        </w:rPr>
        <w:t xml:space="preserve"> Casaulta C, Jurca M, Spycher BD, </w:t>
      </w:r>
      <w:r w:rsidRPr="00606368">
        <w:rPr>
          <w:noProof/>
        </w:rPr>
        <w:t>Kuehni</w:t>
      </w:r>
      <w:r w:rsidR="00AC670D" w:rsidRPr="00606368">
        <w:rPr>
          <w:noProof/>
        </w:rPr>
        <w:t xml:space="preserve"> </w:t>
      </w:r>
      <w:r w:rsidRPr="00606368">
        <w:rPr>
          <w:noProof/>
        </w:rPr>
        <w:t xml:space="preserve">CE 2016 Clinical manifestations in primary ciliary dyskinesia: Systematic review and meta-analysis. </w:t>
      </w:r>
      <w:r w:rsidRPr="00606368">
        <w:rPr>
          <w:i/>
          <w:iCs/>
          <w:noProof/>
        </w:rPr>
        <w:t>European Respiratory Journal</w:t>
      </w:r>
      <w:r w:rsidRPr="00606368">
        <w:rPr>
          <w:noProof/>
        </w:rPr>
        <w:t xml:space="preserve">, </w:t>
      </w:r>
      <w:r w:rsidRPr="00606368">
        <w:rPr>
          <w:i/>
          <w:iCs/>
          <w:noProof/>
        </w:rPr>
        <w:t>48</w:t>
      </w:r>
      <w:r w:rsidRPr="00606368">
        <w:rPr>
          <w:noProof/>
        </w:rPr>
        <w:t>(4), 1081–1095.</w:t>
      </w:r>
    </w:p>
    <w:p w14:paraId="68F74505" w14:textId="77777777" w:rsidR="003405D8" w:rsidRPr="00606368" w:rsidRDefault="000B61B1" w:rsidP="003405D8">
      <w:pPr>
        <w:widowControl w:val="0"/>
        <w:autoSpaceDE w:val="0"/>
        <w:autoSpaceDN w:val="0"/>
        <w:adjustRightInd w:val="0"/>
        <w:spacing w:line="480" w:lineRule="auto"/>
        <w:ind w:left="480" w:hanging="480"/>
        <w:rPr>
          <w:noProof/>
        </w:rPr>
      </w:pPr>
      <w:r w:rsidRPr="00606368">
        <w:rPr>
          <w:noProof/>
        </w:rPr>
        <w:t>Gray</w:t>
      </w:r>
      <w:r w:rsidR="00AC670D" w:rsidRPr="00606368">
        <w:rPr>
          <w:noProof/>
        </w:rPr>
        <w:t xml:space="preserve"> </w:t>
      </w:r>
      <w:r w:rsidRPr="00606368">
        <w:rPr>
          <w:noProof/>
        </w:rPr>
        <w:t xml:space="preserve">CA, Burghardt RC, Johnson GA, Bazer FW, &amp; Spencer TE 2002 Evidence that absence of endometrial gland secretions in uterine gland knockout ewes compromises conceptus survival and elongation. </w:t>
      </w:r>
      <w:r w:rsidRPr="00606368">
        <w:rPr>
          <w:i/>
          <w:iCs/>
          <w:noProof/>
        </w:rPr>
        <w:t>Reproduction</w:t>
      </w:r>
      <w:r w:rsidR="000A76AD" w:rsidRPr="00606368">
        <w:rPr>
          <w:i/>
          <w:iCs/>
          <w:noProof/>
        </w:rPr>
        <w:t>,</w:t>
      </w:r>
      <w:r w:rsidRPr="00606368">
        <w:rPr>
          <w:noProof/>
        </w:rPr>
        <w:t xml:space="preserve"> </w:t>
      </w:r>
      <w:r w:rsidRPr="00606368">
        <w:rPr>
          <w:i/>
          <w:iCs/>
          <w:noProof/>
        </w:rPr>
        <w:t>124</w:t>
      </w:r>
      <w:r w:rsidRPr="00606368">
        <w:rPr>
          <w:noProof/>
        </w:rPr>
        <w:t>(2), 289–300.</w:t>
      </w:r>
    </w:p>
    <w:p w14:paraId="1AB89522" w14:textId="10E9809A" w:rsidR="000B61B1" w:rsidRPr="00606368" w:rsidRDefault="000B61B1" w:rsidP="003405D8">
      <w:pPr>
        <w:widowControl w:val="0"/>
        <w:autoSpaceDE w:val="0"/>
        <w:autoSpaceDN w:val="0"/>
        <w:adjustRightInd w:val="0"/>
        <w:spacing w:line="480" w:lineRule="auto"/>
        <w:ind w:left="480" w:hanging="480"/>
        <w:rPr>
          <w:noProof/>
        </w:rPr>
      </w:pPr>
      <w:r w:rsidRPr="00606368">
        <w:rPr>
          <w:noProof/>
        </w:rPr>
        <w:t>Hautala</w:t>
      </w:r>
      <w:r w:rsidR="000A76AD" w:rsidRPr="00606368">
        <w:rPr>
          <w:noProof/>
        </w:rPr>
        <w:t xml:space="preserve"> </w:t>
      </w:r>
      <w:r w:rsidRPr="00606368">
        <w:rPr>
          <w:noProof/>
        </w:rPr>
        <w:t>LC, Pang PC, Antonopoulos</w:t>
      </w:r>
      <w:r w:rsidR="000A76AD" w:rsidRPr="00606368">
        <w:rPr>
          <w:noProof/>
        </w:rPr>
        <w:t xml:space="preserve"> </w:t>
      </w:r>
      <w:r w:rsidRPr="00606368">
        <w:rPr>
          <w:noProof/>
        </w:rPr>
        <w:t>A, Pasanen A, Lee CL, Chiu PCN,</w:t>
      </w:r>
      <w:r w:rsidR="00C361F3" w:rsidRPr="00606368">
        <w:rPr>
          <w:noProof/>
        </w:rPr>
        <w:t xml:space="preserve"> Yeung WSB, </w:t>
      </w:r>
      <w:r w:rsidR="00C361F3" w:rsidRPr="00606368">
        <w:rPr>
          <w:noProof/>
        </w:rPr>
        <w:lastRenderedPageBreak/>
        <w:t>Loukovaara M</w:t>
      </w:r>
      <w:r w:rsidR="00C361F3" w:rsidRPr="00606368">
        <w:t>,</w:t>
      </w:r>
      <w:r w:rsidR="003405D8" w:rsidRPr="00606368">
        <w:t xml:space="preserve"> Bützow R, Haslam SM, Dell A, </w:t>
      </w:r>
      <w:r w:rsidRPr="00606368">
        <w:rPr>
          <w:noProof/>
        </w:rPr>
        <w:t>Koistinen</w:t>
      </w:r>
      <w:r w:rsidR="000A76AD" w:rsidRPr="00606368">
        <w:rPr>
          <w:noProof/>
        </w:rPr>
        <w:t xml:space="preserve"> </w:t>
      </w:r>
      <w:r w:rsidRPr="00606368">
        <w:rPr>
          <w:noProof/>
        </w:rPr>
        <w:t xml:space="preserve">H 2020 Altered glycosylation of glycodelin in endometrial carcinoma. </w:t>
      </w:r>
      <w:r w:rsidRPr="00606368">
        <w:rPr>
          <w:i/>
          <w:iCs/>
          <w:noProof/>
        </w:rPr>
        <w:t>Laboratory Investigation 2020 100:7</w:t>
      </w:r>
      <w:r w:rsidRPr="00606368">
        <w:rPr>
          <w:noProof/>
        </w:rPr>
        <w:t xml:space="preserve">, </w:t>
      </w:r>
      <w:r w:rsidRPr="00606368">
        <w:rPr>
          <w:i/>
          <w:iCs/>
          <w:noProof/>
        </w:rPr>
        <w:t>100</w:t>
      </w:r>
      <w:r w:rsidRPr="00606368">
        <w:rPr>
          <w:noProof/>
        </w:rPr>
        <w:t>(7), 1014–1025.</w:t>
      </w:r>
    </w:p>
    <w:p w14:paraId="363E0960" w14:textId="157DB3DD" w:rsidR="000B61B1" w:rsidRPr="00606368" w:rsidRDefault="000B61B1" w:rsidP="009641D0">
      <w:pPr>
        <w:widowControl w:val="0"/>
        <w:autoSpaceDE w:val="0"/>
        <w:autoSpaceDN w:val="0"/>
        <w:adjustRightInd w:val="0"/>
        <w:spacing w:line="480" w:lineRule="auto"/>
        <w:ind w:left="480" w:hanging="480"/>
        <w:rPr>
          <w:noProof/>
        </w:rPr>
      </w:pPr>
      <w:r w:rsidRPr="00606368">
        <w:rPr>
          <w:noProof/>
        </w:rPr>
        <w:t>Hernández-Vargas</w:t>
      </w:r>
      <w:r w:rsidR="000A76AD" w:rsidRPr="00606368">
        <w:rPr>
          <w:noProof/>
        </w:rPr>
        <w:t xml:space="preserve"> </w:t>
      </w:r>
      <w:r w:rsidRPr="00606368">
        <w:rPr>
          <w:noProof/>
        </w:rPr>
        <w:t>P, Muñoz M, &amp; Domínguez F</w:t>
      </w:r>
      <w:r w:rsidR="000A76AD" w:rsidRPr="00606368">
        <w:rPr>
          <w:noProof/>
        </w:rPr>
        <w:t xml:space="preserve"> </w:t>
      </w:r>
      <w:r w:rsidRPr="00606368">
        <w:rPr>
          <w:noProof/>
        </w:rPr>
        <w:t xml:space="preserve">2020 Identifying biomarkers for predicting successful embryo implantation: applying single to multi-OMICs to improve reproductive outcomes. </w:t>
      </w:r>
      <w:r w:rsidRPr="00606368">
        <w:rPr>
          <w:i/>
          <w:iCs/>
          <w:noProof/>
        </w:rPr>
        <w:t>Human Reproduction Update</w:t>
      </w:r>
      <w:r w:rsidRPr="00606368">
        <w:rPr>
          <w:noProof/>
        </w:rPr>
        <w:t xml:space="preserve">, </w:t>
      </w:r>
      <w:r w:rsidRPr="00606368">
        <w:rPr>
          <w:i/>
          <w:iCs/>
          <w:noProof/>
        </w:rPr>
        <w:t>26</w:t>
      </w:r>
      <w:r w:rsidRPr="00606368">
        <w:rPr>
          <w:noProof/>
        </w:rPr>
        <w:t>(2), 264–301.</w:t>
      </w:r>
    </w:p>
    <w:p w14:paraId="04FA816B" w14:textId="4777A7F7" w:rsidR="000B61B1" w:rsidRPr="00606368" w:rsidRDefault="000B61B1" w:rsidP="009641D0">
      <w:pPr>
        <w:widowControl w:val="0"/>
        <w:autoSpaceDE w:val="0"/>
        <w:autoSpaceDN w:val="0"/>
        <w:adjustRightInd w:val="0"/>
        <w:spacing w:line="480" w:lineRule="auto"/>
        <w:ind w:left="480" w:hanging="480"/>
        <w:rPr>
          <w:noProof/>
        </w:rPr>
      </w:pPr>
      <w:r w:rsidRPr="00606368">
        <w:rPr>
          <w:noProof/>
        </w:rPr>
        <w:t>Hu</w:t>
      </w:r>
      <w:r w:rsidR="000A76AD" w:rsidRPr="00606368">
        <w:rPr>
          <w:noProof/>
        </w:rPr>
        <w:t xml:space="preserve"> </w:t>
      </w:r>
      <w:r w:rsidRPr="00606368">
        <w:rPr>
          <w:noProof/>
        </w:rPr>
        <w:t>S, Yao G, Wang Y, Xu H, Ji X, He Y,</w:t>
      </w:r>
      <w:r w:rsidR="006E6974" w:rsidRPr="00606368">
        <w:rPr>
          <w:noProof/>
        </w:rPr>
        <w:t xml:space="preserve"> Zhu Q, Chen Z,</w:t>
      </w:r>
      <w:r w:rsidRPr="00606368">
        <w:rPr>
          <w:noProof/>
        </w:rPr>
        <w:t xml:space="preserve"> Sun Y 2014 Transcriptomic changes during the pre-receptive to receptive transition in human endometrium detected by RNA-Seq. </w:t>
      </w:r>
      <w:r w:rsidRPr="00606368">
        <w:rPr>
          <w:i/>
          <w:iCs/>
          <w:noProof/>
        </w:rPr>
        <w:t>Journal of Clinical Endocrinology and Metabolism</w:t>
      </w:r>
      <w:r w:rsidRPr="00606368">
        <w:rPr>
          <w:noProof/>
        </w:rPr>
        <w:t xml:space="preserve">, </w:t>
      </w:r>
      <w:r w:rsidRPr="00606368">
        <w:rPr>
          <w:i/>
          <w:iCs/>
          <w:noProof/>
        </w:rPr>
        <w:t>99</w:t>
      </w:r>
      <w:r w:rsidRPr="00606368">
        <w:rPr>
          <w:noProof/>
        </w:rPr>
        <w:t>(12), E2744–E2753.</w:t>
      </w:r>
    </w:p>
    <w:p w14:paraId="3EFCBC05" w14:textId="6F998B6E" w:rsidR="00821C1E" w:rsidRPr="00606368" w:rsidRDefault="00821C1E" w:rsidP="009641D0">
      <w:pPr>
        <w:widowControl w:val="0"/>
        <w:autoSpaceDE w:val="0"/>
        <w:autoSpaceDN w:val="0"/>
        <w:adjustRightInd w:val="0"/>
        <w:spacing w:line="480" w:lineRule="auto"/>
        <w:ind w:left="480" w:hanging="480"/>
        <w:rPr>
          <w:noProof/>
        </w:rPr>
      </w:pPr>
      <w:r w:rsidRPr="00606368">
        <w:rPr>
          <w:noProof/>
        </w:rPr>
        <w:t>Labarta</w:t>
      </w:r>
      <w:r w:rsidR="00737D6F" w:rsidRPr="00606368">
        <w:rPr>
          <w:noProof/>
        </w:rPr>
        <w:t xml:space="preserve"> </w:t>
      </w:r>
      <w:r w:rsidR="00290F16" w:rsidRPr="00606368">
        <w:rPr>
          <w:noProof/>
        </w:rPr>
        <w:t xml:space="preserve">E, </w:t>
      </w:r>
      <w:r w:rsidRPr="00606368">
        <w:rPr>
          <w:noProof/>
        </w:rPr>
        <w:t>Sebastian-Leon</w:t>
      </w:r>
      <w:r w:rsidR="00290F16" w:rsidRPr="00606368">
        <w:rPr>
          <w:noProof/>
        </w:rPr>
        <w:t xml:space="preserve"> P, </w:t>
      </w:r>
      <w:r w:rsidRPr="00606368">
        <w:rPr>
          <w:noProof/>
        </w:rPr>
        <w:t>Devesa-Peiro</w:t>
      </w:r>
      <w:r w:rsidR="00290F16" w:rsidRPr="00606368">
        <w:rPr>
          <w:noProof/>
        </w:rPr>
        <w:t xml:space="preserve"> A, </w:t>
      </w:r>
      <w:r w:rsidRPr="00606368">
        <w:rPr>
          <w:noProof/>
        </w:rPr>
        <w:t>Celada</w:t>
      </w:r>
      <w:r w:rsidR="00290F16" w:rsidRPr="00606368">
        <w:rPr>
          <w:noProof/>
        </w:rPr>
        <w:t xml:space="preserve"> P, </w:t>
      </w:r>
      <w:r w:rsidRPr="00606368">
        <w:rPr>
          <w:noProof/>
        </w:rPr>
        <w:t>Vidal</w:t>
      </w:r>
      <w:r w:rsidR="00290F16" w:rsidRPr="00606368">
        <w:rPr>
          <w:noProof/>
        </w:rPr>
        <w:t xml:space="preserve"> C, </w:t>
      </w:r>
      <w:r w:rsidRPr="00606368">
        <w:rPr>
          <w:noProof/>
        </w:rPr>
        <w:t>Giles</w:t>
      </w:r>
      <w:r w:rsidR="00290F16" w:rsidRPr="00606368">
        <w:rPr>
          <w:noProof/>
        </w:rPr>
        <w:t xml:space="preserve"> J,</w:t>
      </w:r>
      <w:r w:rsidRPr="00606368">
        <w:rPr>
          <w:noProof/>
        </w:rPr>
        <w:t xml:space="preserve"> Rodriguez-Varela</w:t>
      </w:r>
      <w:r w:rsidR="00290F16" w:rsidRPr="00606368">
        <w:rPr>
          <w:noProof/>
        </w:rPr>
        <w:t xml:space="preserve"> C, </w:t>
      </w:r>
      <w:r w:rsidRPr="00606368">
        <w:rPr>
          <w:noProof/>
        </w:rPr>
        <w:t>Bosch</w:t>
      </w:r>
      <w:r w:rsidR="00290F16" w:rsidRPr="00606368">
        <w:rPr>
          <w:noProof/>
        </w:rPr>
        <w:t xml:space="preserve"> E, </w:t>
      </w:r>
      <w:r w:rsidRPr="00606368">
        <w:rPr>
          <w:noProof/>
        </w:rPr>
        <w:t>Diaz-Gimeno</w:t>
      </w:r>
      <w:r w:rsidR="00290F16" w:rsidRPr="00606368">
        <w:rPr>
          <w:noProof/>
        </w:rPr>
        <w:t xml:space="preserve"> P 2021.</w:t>
      </w:r>
      <w:r w:rsidRPr="00606368">
        <w:rPr>
          <w:noProof/>
        </w:rPr>
        <w:t xml:space="preserve"> Analysis of serum and endometrial progesterone in determining endometrial recept</w:t>
      </w:r>
      <w:r w:rsidR="00290F16" w:rsidRPr="00606368">
        <w:rPr>
          <w:noProof/>
        </w:rPr>
        <w:t>ivity.</w:t>
      </w:r>
      <w:r w:rsidRPr="00606368">
        <w:rPr>
          <w:noProof/>
        </w:rPr>
        <w:t xml:space="preserve"> </w:t>
      </w:r>
      <w:r w:rsidRPr="00606368">
        <w:rPr>
          <w:i/>
          <w:noProof/>
        </w:rPr>
        <w:t>Human Reproduction</w:t>
      </w:r>
      <w:r w:rsidR="00290F16" w:rsidRPr="00606368">
        <w:rPr>
          <w:noProof/>
        </w:rPr>
        <w:t xml:space="preserve">, </w:t>
      </w:r>
      <w:r w:rsidRPr="00606368">
        <w:rPr>
          <w:noProof/>
        </w:rPr>
        <w:t>36</w:t>
      </w:r>
      <w:r w:rsidR="00290F16" w:rsidRPr="00606368">
        <w:rPr>
          <w:noProof/>
        </w:rPr>
        <w:t>(11),</w:t>
      </w:r>
      <w:r w:rsidRPr="00606368">
        <w:rPr>
          <w:noProof/>
        </w:rPr>
        <w:t xml:space="preserve"> 2861–2870</w:t>
      </w:r>
      <w:r w:rsidR="00134B8F" w:rsidRPr="00606368">
        <w:rPr>
          <w:noProof/>
        </w:rPr>
        <w:t>.</w:t>
      </w:r>
    </w:p>
    <w:p w14:paraId="19439BAC" w14:textId="42BCB238" w:rsidR="000B61B1" w:rsidRPr="00606368" w:rsidRDefault="000B61B1" w:rsidP="009641D0">
      <w:pPr>
        <w:widowControl w:val="0"/>
        <w:autoSpaceDE w:val="0"/>
        <w:autoSpaceDN w:val="0"/>
        <w:adjustRightInd w:val="0"/>
        <w:spacing w:line="480" w:lineRule="auto"/>
        <w:ind w:left="480" w:hanging="480"/>
        <w:rPr>
          <w:noProof/>
        </w:rPr>
      </w:pPr>
      <w:r w:rsidRPr="00606368">
        <w:rPr>
          <w:noProof/>
        </w:rPr>
        <w:t xml:space="preserve">Love MI, Huber W, &amp; Anders S 2014 Moderated estimation of fold change and dispersion for RNA-seq data with DESeq2. </w:t>
      </w:r>
      <w:r w:rsidRPr="00606368">
        <w:rPr>
          <w:i/>
          <w:iCs/>
          <w:noProof/>
        </w:rPr>
        <w:t>Genome Biology</w:t>
      </w:r>
      <w:r w:rsidR="00290F16" w:rsidRPr="00606368">
        <w:rPr>
          <w:i/>
          <w:iCs/>
          <w:noProof/>
        </w:rPr>
        <w:t xml:space="preserve">, </w:t>
      </w:r>
      <w:r w:rsidRPr="00606368">
        <w:rPr>
          <w:i/>
          <w:iCs/>
          <w:noProof/>
        </w:rPr>
        <w:t>15:12</w:t>
      </w:r>
      <w:r w:rsidRPr="00606368">
        <w:rPr>
          <w:noProof/>
        </w:rPr>
        <w:t xml:space="preserve">, </w:t>
      </w:r>
      <w:r w:rsidRPr="00606368">
        <w:rPr>
          <w:i/>
          <w:iCs/>
          <w:noProof/>
        </w:rPr>
        <w:t>15</w:t>
      </w:r>
      <w:r w:rsidRPr="00606368">
        <w:rPr>
          <w:noProof/>
        </w:rPr>
        <w:t>(12), 1–21</w:t>
      </w:r>
      <w:r w:rsidR="00134B8F" w:rsidRPr="00606368">
        <w:rPr>
          <w:noProof/>
        </w:rPr>
        <w:t>.</w:t>
      </w:r>
    </w:p>
    <w:p w14:paraId="51B7D8FE" w14:textId="58D36F07" w:rsidR="000B61B1" w:rsidRPr="00606368" w:rsidRDefault="000B61B1" w:rsidP="009641D0">
      <w:pPr>
        <w:widowControl w:val="0"/>
        <w:autoSpaceDE w:val="0"/>
        <w:autoSpaceDN w:val="0"/>
        <w:adjustRightInd w:val="0"/>
        <w:spacing w:line="480" w:lineRule="auto"/>
        <w:ind w:left="480" w:hanging="480"/>
        <w:rPr>
          <w:noProof/>
        </w:rPr>
      </w:pPr>
      <w:r w:rsidRPr="00606368">
        <w:rPr>
          <w:noProof/>
        </w:rPr>
        <w:t>Lyons</w:t>
      </w:r>
      <w:r w:rsidR="00737D6F" w:rsidRPr="00606368">
        <w:rPr>
          <w:noProof/>
        </w:rPr>
        <w:t xml:space="preserve"> </w:t>
      </w:r>
      <w:r w:rsidRPr="00606368">
        <w:rPr>
          <w:noProof/>
        </w:rPr>
        <w:t>RA, Djahanbakhch O, Mahmood T, Saridogan E, Sattar S, Sheaff MT,</w:t>
      </w:r>
      <w:r w:rsidR="006E6974" w:rsidRPr="00606368">
        <w:rPr>
          <w:noProof/>
        </w:rPr>
        <w:t xml:space="preserve"> Naftalin AA,</w:t>
      </w:r>
      <w:r w:rsidRPr="00606368">
        <w:rPr>
          <w:noProof/>
        </w:rPr>
        <w:t xml:space="preserve"> Chenoy R 2002 Fallopian tube ciliary beat frequency in relation to the stage of menstrual cycle and anatomical site. </w:t>
      </w:r>
      <w:r w:rsidRPr="00606368">
        <w:rPr>
          <w:i/>
          <w:iCs/>
          <w:noProof/>
        </w:rPr>
        <w:t>Human Reproduction</w:t>
      </w:r>
      <w:r w:rsidRPr="00606368">
        <w:rPr>
          <w:noProof/>
        </w:rPr>
        <w:t xml:space="preserve">, </w:t>
      </w:r>
      <w:r w:rsidRPr="00606368">
        <w:rPr>
          <w:i/>
          <w:iCs/>
          <w:noProof/>
        </w:rPr>
        <w:t>17</w:t>
      </w:r>
      <w:r w:rsidRPr="00606368">
        <w:rPr>
          <w:noProof/>
        </w:rPr>
        <w:t>(3), 584–588</w:t>
      </w:r>
      <w:r w:rsidR="00134B8F" w:rsidRPr="00606368">
        <w:rPr>
          <w:noProof/>
        </w:rPr>
        <w:t>.</w:t>
      </w:r>
    </w:p>
    <w:p w14:paraId="150C7B5E" w14:textId="19F08869" w:rsidR="000B61B1" w:rsidRPr="00606368" w:rsidRDefault="000B61B1" w:rsidP="009641D0">
      <w:pPr>
        <w:widowControl w:val="0"/>
        <w:autoSpaceDE w:val="0"/>
        <w:autoSpaceDN w:val="0"/>
        <w:adjustRightInd w:val="0"/>
        <w:spacing w:line="480" w:lineRule="auto"/>
        <w:ind w:left="480" w:hanging="480"/>
        <w:rPr>
          <w:noProof/>
        </w:rPr>
      </w:pPr>
      <w:r w:rsidRPr="00606368">
        <w:rPr>
          <w:noProof/>
        </w:rPr>
        <w:t>Macklon NS</w:t>
      </w:r>
      <w:r w:rsidR="00737D6F" w:rsidRPr="00606368">
        <w:rPr>
          <w:noProof/>
        </w:rPr>
        <w:t xml:space="preserve">, </w:t>
      </w:r>
      <w:r w:rsidRPr="00606368">
        <w:rPr>
          <w:noProof/>
        </w:rPr>
        <w:t>&amp; Brosens</w:t>
      </w:r>
      <w:r w:rsidR="00737D6F" w:rsidRPr="00606368">
        <w:rPr>
          <w:noProof/>
        </w:rPr>
        <w:t xml:space="preserve"> </w:t>
      </w:r>
      <w:r w:rsidRPr="00606368">
        <w:rPr>
          <w:noProof/>
        </w:rPr>
        <w:t xml:space="preserve">JJ 2014 The Human Endometrium as a Sensor of Embryo Quality1. </w:t>
      </w:r>
      <w:r w:rsidRPr="00606368">
        <w:rPr>
          <w:i/>
          <w:iCs/>
          <w:noProof/>
        </w:rPr>
        <w:t>Biology of Reproduction</w:t>
      </w:r>
      <w:r w:rsidRPr="00606368">
        <w:rPr>
          <w:noProof/>
        </w:rPr>
        <w:t xml:space="preserve">, </w:t>
      </w:r>
      <w:r w:rsidRPr="00606368">
        <w:rPr>
          <w:i/>
          <w:iCs/>
          <w:noProof/>
        </w:rPr>
        <w:t>91</w:t>
      </w:r>
      <w:r w:rsidRPr="00606368">
        <w:rPr>
          <w:noProof/>
        </w:rPr>
        <w:t>(4), 98.</w:t>
      </w:r>
    </w:p>
    <w:p w14:paraId="2DF1B4B1" w14:textId="7556670F" w:rsidR="0041789F" w:rsidRPr="00606368" w:rsidRDefault="0041789F" w:rsidP="009641D0">
      <w:pPr>
        <w:widowControl w:val="0"/>
        <w:autoSpaceDE w:val="0"/>
        <w:autoSpaceDN w:val="0"/>
        <w:adjustRightInd w:val="0"/>
        <w:spacing w:line="480" w:lineRule="auto"/>
        <w:ind w:left="480" w:hanging="480"/>
        <w:rPr>
          <w:noProof/>
        </w:rPr>
      </w:pPr>
      <w:r w:rsidRPr="00606368">
        <w:t>Maddirevula S, Awartani K, Coskun S, AlNaim LF, Ibrahim N, Abdulwahab F, Hashem M, Alhassan S, Alkuraya FS</w:t>
      </w:r>
      <w:r w:rsidR="00737D6F" w:rsidRPr="00606368">
        <w:t xml:space="preserve"> 2020</w:t>
      </w:r>
      <w:r w:rsidRPr="00606368">
        <w:t xml:space="preserve"> A genomics approach to females with infertility and recurrent pregnancy loss. </w:t>
      </w:r>
      <w:r w:rsidRPr="00606368">
        <w:rPr>
          <w:i/>
          <w:iCs/>
        </w:rPr>
        <w:t>Hum</w:t>
      </w:r>
      <w:r w:rsidR="00737D6F" w:rsidRPr="00606368">
        <w:rPr>
          <w:i/>
          <w:iCs/>
        </w:rPr>
        <w:t>an</w:t>
      </w:r>
      <w:r w:rsidRPr="00606368">
        <w:rPr>
          <w:i/>
          <w:iCs/>
        </w:rPr>
        <w:t xml:space="preserve"> Genet</w:t>
      </w:r>
      <w:r w:rsidR="00737D6F" w:rsidRPr="00606368">
        <w:rPr>
          <w:i/>
          <w:iCs/>
        </w:rPr>
        <w:t>ics</w:t>
      </w:r>
      <w:r w:rsidRPr="00606368">
        <w:t xml:space="preserve"> May;139(5):605-613.</w:t>
      </w:r>
    </w:p>
    <w:p w14:paraId="705163CB" w14:textId="59E4E1F6" w:rsidR="000B61B1" w:rsidRPr="00606368" w:rsidRDefault="000B61B1" w:rsidP="009641D0">
      <w:pPr>
        <w:widowControl w:val="0"/>
        <w:autoSpaceDE w:val="0"/>
        <w:autoSpaceDN w:val="0"/>
        <w:adjustRightInd w:val="0"/>
        <w:spacing w:line="480" w:lineRule="auto"/>
        <w:ind w:left="480" w:hanging="480"/>
        <w:rPr>
          <w:noProof/>
        </w:rPr>
      </w:pPr>
      <w:r w:rsidRPr="00606368">
        <w:rPr>
          <w:noProof/>
        </w:rPr>
        <w:t>Magers</w:t>
      </w:r>
      <w:r w:rsidR="00134B8F" w:rsidRPr="00606368">
        <w:rPr>
          <w:noProof/>
        </w:rPr>
        <w:t xml:space="preserve"> </w:t>
      </w:r>
      <w:r w:rsidRPr="00606368">
        <w:rPr>
          <w:noProof/>
        </w:rPr>
        <w:t xml:space="preserve">T, Talbot P, DiCarlantonio G, Knoll M, Demers D, Tsai I, &amp; Hoodbhoy T 1995 Cigarette smoke inhalation affects the reproductive system of female hamsters. </w:t>
      </w:r>
      <w:r w:rsidRPr="00606368">
        <w:rPr>
          <w:i/>
          <w:iCs/>
          <w:noProof/>
        </w:rPr>
        <w:lastRenderedPageBreak/>
        <w:t>Reproductive Toxicology</w:t>
      </w:r>
      <w:r w:rsidRPr="00606368">
        <w:rPr>
          <w:noProof/>
        </w:rPr>
        <w:t xml:space="preserve">, </w:t>
      </w:r>
      <w:r w:rsidRPr="00606368">
        <w:rPr>
          <w:i/>
          <w:iCs/>
          <w:noProof/>
        </w:rPr>
        <w:t>9</w:t>
      </w:r>
      <w:r w:rsidRPr="00606368">
        <w:rPr>
          <w:noProof/>
        </w:rPr>
        <w:t>(6), 513–525.</w:t>
      </w:r>
    </w:p>
    <w:p w14:paraId="7D6E627F" w14:textId="7648B36A" w:rsidR="000B61B1" w:rsidRPr="00606368" w:rsidRDefault="000B61B1" w:rsidP="009641D0">
      <w:pPr>
        <w:widowControl w:val="0"/>
        <w:autoSpaceDE w:val="0"/>
        <w:autoSpaceDN w:val="0"/>
        <w:adjustRightInd w:val="0"/>
        <w:spacing w:line="480" w:lineRule="auto"/>
        <w:ind w:left="480" w:hanging="480"/>
        <w:rPr>
          <w:noProof/>
        </w:rPr>
      </w:pPr>
      <w:r w:rsidRPr="00606368">
        <w:rPr>
          <w:noProof/>
        </w:rPr>
        <w:t>Mahmood</w:t>
      </w:r>
      <w:r w:rsidR="00134B8F" w:rsidRPr="00606368">
        <w:rPr>
          <w:noProof/>
        </w:rPr>
        <w:t xml:space="preserve"> </w:t>
      </w:r>
      <w:r w:rsidRPr="00606368">
        <w:rPr>
          <w:noProof/>
        </w:rPr>
        <w:t>T, Saridogan E, Smutna</w:t>
      </w:r>
      <w:r w:rsidR="00134B8F" w:rsidRPr="00606368">
        <w:rPr>
          <w:noProof/>
        </w:rPr>
        <w:t xml:space="preserve"> </w:t>
      </w:r>
      <w:r w:rsidRPr="00606368">
        <w:rPr>
          <w:noProof/>
        </w:rPr>
        <w:t xml:space="preserve">S, Habib AM, &amp; Djahanbakhch O 1998 The effect of ovarian steroids on epithelial ciliary beat frequency in the human Fallopian tube. </w:t>
      </w:r>
      <w:r w:rsidRPr="00606368">
        <w:rPr>
          <w:i/>
          <w:iCs/>
          <w:noProof/>
        </w:rPr>
        <w:t>Human Reproduction</w:t>
      </w:r>
      <w:r w:rsidRPr="00606368">
        <w:rPr>
          <w:noProof/>
        </w:rPr>
        <w:t xml:space="preserve">, </w:t>
      </w:r>
      <w:r w:rsidRPr="00606368">
        <w:rPr>
          <w:i/>
          <w:iCs/>
          <w:noProof/>
        </w:rPr>
        <w:t>13</w:t>
      </w:r>
      <w:r w:rsidRPr="00606368">
        <w:rPr>
          <w:noProof/>
        </w:rPr>
        <w:t>(11), 2991–2994.</w:t>
      </w:r>
    </w:p>
    <w:p w14:paraId="0EC596CE" w14:textId="5D3118AE" w:rsidR="000B61B1" w:rsidRPr="00606368" w:rsidRDefault="000B61B1" w:rsidP="009641D0">
      <w:pPr>
        <w:widowControl w:val="0"/>
        <w:autoSpaceDE w:val="0"/>
        <w:autoSpaceDN w:val="0"/>
        <w:adjustRightInd w:val="0"/>
        <w:spacing w:line="480" w:lineRule="auto"/>
        <w:ind w:left="480" w:hanging="480"/>
        <w:rPr>
          <w:noProof/>
        </w:rPr>
      </w:pPr>
      <w:r w:rsidRPr="00606368">
        <w:rPr>
          <w:noProof/>
        </w:rPr>
        <w:t>Mardh</w:t>
      </w:r>
      <w:r w:rsidR="00134B8F" w:rsidRPr="00606368">
        <w:rPr>
          <w:noProof/>
        </w:rPr>
        <w:t xml:space="preserve"> </w:t>
      </w:r>
      <w:r w:rsidRPr="00606368">
        <w:rPr>
          <w:noProof/>
        </w:rPr>
        <w:t>PA, Baldetorp B, Hakansson CH, Fritz H, &amp; Weström L</w:t>
      </w:r>
      <w:r w:rsidR="00134B8F" w:rsidRPr="00606368">
        <w:rPr>
          <w:noProof/>
        </w:rPr>
        <w:t xml:space="preserve"> </w:t>
      </w:r>
      <w:r w:rsidRPr="00606368">
        <w:rPr>
          <w:noProof/>
        </w:rPr>
        <w:t xml:space="preserve">1979 Studies of ciliated epithelia of the human genital tract. III. Mucociliary wave activity in organ cultures of human fallopian tubes challenged with Neisseria gonorrhoeae and gonococcal endotoxin. </w:t>
      </w:r>
      <w:r w:rsidRPr="00606368">
        <w:rPr>
          <w:i/>
          <w:iCs/>
          <w:noProof/>
        </w:rPr>
        <w:t>British Journal of Venereal Diseases</w:t>
      </w:r>
      <w:r w:rsidRPr="00606368">
        <w:rPr>
          <w:noProof/>
        </w:rPr>
        <w:t xml:space="preserve">, </w:t>
      </w:r>
      <w:r w:rsidRPr="00606368">
        <w:rPr>
          <w:i/>
          <w:iCs/>
          <w:noProof/>
        </w:rPr>
        <w:t>55</w:t>
      </w:r>
      <w:r w:rsidRPr="00606368">
        <w:rPr>
          <w:noProof/>
        </w:rPr>
        <w:t>(4), 256–264.</w:t>
      </w:r>
    </w:p>
    <w:p w14:paraId="4D370945" w14:textId="62C7A079" w:rsidR="000B61B1" w:rsidRPr="00606368" w:rsidRDefault="000B61B1" w:rsidP="009641D0">
      <w:pPr>
        <w:widowControl w:val="0"/>
        <w:autoSpaceDE w:val="0"/>
        <w:autoSpaceDN w:val="0"/>
        <w:adjustRightInd w:val="0"/>
        <w:spacing w:line="480" w:lineRule="auto"/>
        <w:ind w:left="480" w:hanging="480"/>
        <w:rPr>
          <w:noProof/>
        </w:rPr>
      </w:pPr>
      <w:r w:rsidRPr="00606368">
        <w:rPr>
          <w:noProof/>
        </w:rPr>
        <w:t>Mardh</w:t>
      </w:r>
      <w:r w:rsidR="00134B8F" w:rsidRPr="00606368">
        <w:rPr>
          <w:noProof/>
        </w:rPr>
        <w:t xml:space="preserve"> </w:t>
      </w:r>
      <w:r w:rsidRPr="00606368">
        <w:rPr>
          <w:noProof/>
        </w:rPr>
        <w:t>P</w:t>
      </w:r>
      <w:r w:rsidR="00134B8F" w:rsidRPr="00606368">
        <w:rPr>
          <w:noProof/>
        </w:rPr>
        <w:t>A</w:t>
      </w:r>
      <w:r w:rsidRPr="00606368">
        <w:rPr>
          <w:noProof/>
        </w:rPr>
        <w:t xml:space="preserve">, Westrom L, Von Mecklenburg C, &amp; Hammar E 1976 Studies on ciliated epithelia of the human genital tract. I. Swelling of the cilia of Fallopian tube epithelium in organ cultures infected with Mycoplasma hominis. </w:t>
      </w:r>
      <w:r w:rsidRPr="00606368">
        <w:rPr>
          <w:i/>
          <w:iCs/>
          <w:noProof/>
        </w:rPr>
        <w:t>British Journal of Venereal Diseases</w:t>
      </w:r>
      <w:r w:rsidRPr="00606368">
        <w:rPr>
          <w:noProof/>
        </w:rPr>
        <w:t xml:space="preserve">, </w:t>
      </w:r>
      <w:r w:rsidRPr="00606368">
        <w:rPr>
          <w:i/>
          <w:iCs/>
          <w:noProof/>
        </w:rPr>
        <w:t>52</w:t>
      </w:r>
      <w:r w:rsidRPr="00606368">
        <w:rPr>
          <w:noProof/>
        </w:rPr>
        <w:t>(1), 52–57.</w:t>
      </w:r>
    </w:p>
    <w:p w14:paraId="536B6AE4" w14:textId="43F92012" w:rsidR="000B61B1" w:rsidRPr="00606368" w:rsidRDefault="000B61B1" w:rsidP="009641D0">
      <w:pPr>
        <w:widowControl w:val="0"/>
        <w:autoSpaceDE w:val="0"/>
        <w:autoSpaceDN w:val="0"/>
        <w:adjustRightInd w:val="0"/>
        <w:spacing w:line="480" w:lineRule="auto"/>
        <w:ind w:left="480" w:hanging="480"/>
        <w:rPr>
          <w:noProof/>
        </w:rPr>
      </w:pPr>
      <w:r w:rsidRPr="00606368">
        <w:rPr>
          <w:noProof/>
        </w:rPr>
        <w:t>Mc Gee</w:t>
      </w:r>
      <w:r w:rsidR="00134B8F" w:rsidRPr="00606368">
        <w:rPr>
          <w:noProof/>
        </w:rPr>
        <w:t xml:space="preserve"> </w:t>
      </w:r>
      <w:r w:rsidRPr="00606368">
        <w:rPr>
          <w:noProof/>
        </w:rPr>
        <w:t>ZA, Johnson AP, &amp; Taylor-Robinson D</w:t>
      </w:r>
      <w:r w:rsidR="00134B8F" w:rsidRPr="00606368">
        <w:rPr>
          <w:noProof/>
        </w:rPr>
        <w:t xml:space="preserve"> </w:t>
      </w:r>
      <w:r w:rsidRPr="00606368">
        <w:rPr>
          <w:noProof/>
        </w:rPr>
        <w:t xml:space="preserve">1981 Pathogenic Mechanisms of Neisseria Gonorrhoeae: Observations on Damage to Human Fallopian Tubes in Organ Culture by Gonococci of Colony Type 1 or Type 4. </w:t>
      </w:r>
      <w:r w:rsidRPr="00606368">
        <w:rPr>
          <w:i/>
          <w:iCs/>
          <w:noProof/>
        </w:rPr>
        <w:t>Journal of Infectious Diseases</w:t>
      </w:r>
      <w:r w:rsidRPr="00606368">
        <w:rPr>
          <w:noProof/>
        </w:rPr>
        <w:t xml:space="preserve">, </w:t>
      </w:r>
      <w:r w:rsidRPr="00606368">
        <w:rPr>
          <w:i/>
          <w:iCs/>
          <w:noProof/>
        </w:rPr>
        <w:t>143</w:t>
      </w:r>
      <w:r w:rsidRPr="00606368">
        <w:rPr>
          <w:noProof/>
        </w:rPr>
        <w:t>(3), 413–422.</w:t>
      </w:r>
    </w:p>
    <w:p w14:paraId="5AF089F6" w14:textId="6276AAB8" w:rsidR="000B61B1" w:rsidRPr="00606368" w:rsidRDefault="000B61B1" w:rsidP="009641D0">
      <w:pPr>
        <w:widowControl w:val="0"/>
        <w:autoSpaceDE w:val="0"/>
        <w:autoSpaceDN w:val="0"/>
        <w:adjustRightInd w:val="0"/>
        <w:spacing w:line="480" w:lineRule="auto"/>
        <w:ind w:left="480" w:hanging="480"/>
        <w:rPr>
          <w:noProof/>
        </w:rPr>
      </w:pPr>
      <w:r w:rsidRPr="00606368">
        <w:rPr>
          <w:noProof/>
        </w:rPr>
        <w:t>Palaiologou</w:t>
      </w:r>
      <w:r w:rsidR="00134B8F" w:rsidRPr="00606368">
        <w:rPr>
          <w:noProof/>
        </w:rPr>
        <w:t xml:space="preserve"> </w:t>
      </w:r>
      <w:r w:rsidRPr="00606368">
        <w:rPr>
          <w:noProof/>
        </w:rPr>
        <w:t>E, Etter O, Goggin P, Chatelet DS, Johnston DA, Lofthouse EM,</w:t>
      </w:r>
      <w:r w:rsidR="006E6974" w:rsidRPr="00606368">
        <w:rPr>
          <w:noProof/>
        </w:rPr>
        <w:t xml:space="preserve"> Doherty R, Pearson-Farr J, Sengers BG, Torrens C, Cleal JK, Page AM, </w:t>
      </w:r>
      <w:r w:rsidRPr="00606368">
        <w:rPr>
          <w:noProof/>
        </w:rPr>
        <w:t xml:space="preserve">Lewis RM 2020 Human placental villi contain stromal macrovesicles associated with networks of stellate cells. </w:t>
      </w:r>
      <w:r w:rsidRPr="00606368">
        <w:rPr>
          <w:i/>
          <w:iCs/>
          <w:noProof/>
        </w:rPr>
        <w:t>Journal of Anatomy</w:t>
      </w:r>
      <w:r w:rsidRPr="00606368">
        <w:rPr>
          <w:noProof/>
        </w:rPr>
        <w:t xml:space="preserve">, </w:t>
      </w:r>
      <w:r w:rsidRPr="00606368">
        <w:rPr>
          <w:i/>
          <w:iCs/>
          <w:noProof/>
        </w:rPr>
        <w:t>236</w:t>
      </w:r>
      <w:r w:rsidRPr="00606368">
        <w:rPr>
          <w:noProof/>
        </w:rPr>
        <w:t>(1), 132–141.</w:t>
      </w:r>
    </w:p>
    <w:p w14:paraId="58E99A1A" w14:textId="2EA0EEFB" w:rsidR="000B61B1" w:rsidRPr="00606368" w:rsidRDefault="000B61B1" w:rsidP="009641D0">
      <w:pPr>
        <w:widowControl w:val="0"/>
        <w:autoSpaceDE w:val="0"/>
        <w:autoSpaceDN w:val="0"/>
        <w:adjustRightInd w:val="0"/>
        <w:spacing w:line="480" w:lineRule="auto"/>
        <w:ind w:left="480" w:hanging="480"/>
        <w:rPr>
          <w:noProof/>
        </w:rPr>
      </w:pPr>
      <w:r w:rsidRPr="00606368">
        <w:rPr>
          <w:noProof/>
        </w:rPr>
        <w:t>Patro</w:t>
      </w:r>
      <w:r w:rsidR="00134B8F" w:rsidRPr="00606368">
        <w:rPr>
          <w:noProof/>
        </w:rPr>
        <w:t xml:space="preserve"> </w:t>
      </w:r>
      <w:r w:rsidRPr="00606368">
        <w:rPr>
          <w:noProof/>
        </w:rPr>
        <w:t>R, Duggal G, Love MI, Irizarry RA, &amp; Kingsford C</w:t>
      </w:r>
      <w:r w:rsidR="00134B8F" w:rsidRPr="00606368">
        <w:rPr>
          <w:noProof/>
        </w:rPr>
        <w:t xml:space="preserve"> </w:t>
      </w:r>
      <w:r w:rsidRPr="00606368">
        <w:rPr>
          <w:noProof/>
        </w:rPr>
        <w:t xml:space="preserve">2017 Salmon provides fast and bias-aware quantification of transcript expression. </w:t>
      </w:r>
      <w:r w:rsidRPr="00606368">
        <w:rPr>
          <w:i/>
          <w:iCs/>
          <w:noProof/>
        </w:rPr>
        <w:t>Nature Methods 2017 14:4</w:t>
      </w:r>
      <w:r w:rsidRPr="00606368">
        <w:rPr>
          <w:noProof/>
        </w:rPr>
        <w:t xml:space="preserve">, </w:t>
      </w:r>
      <w:r w:rsidRPr="00606368">
        <w:rPr>
          <w:i/>
          <w:iCs/>
          <w:noProof/>
        </w:rPr>
        <w:t>14</w:t>
      </w:r>
      <w:r w:rsidRPr="00606368">
        <w:rPr>
          <w:noProof/>
        </w:rPr>
        <w:t>(4), 417–419.</w:t>
      </w:r>
    </w:p>
    <w:p w14:paraId="1AA2D920" w14:textId="59B11516" w:rsidR="0041789F" w:rsidRPr="00606368" w:rsidRDefault="0041789F" w:rsidP="009641D0">
      <w:pPr>
        <w:widowControl w:val="0"/>
        <w:autoSpaceDE w:val="0"/>
        <w:autoSpaceDN w:val="0"/>
        <w:adjustRightInd w:val="0"/>
        <w:spacing w:line="480" w:lineRule="auto"/>
        <w:ind w:left="480" w:hanging="480"/>
        <w:rPr>
          <w:noProof/>
        </w:rPr>
      </w:pPr>
      <w:r w:rsidRPr="00606368">
        <w:t>Qiao Y, Wen J, Tang F, Martell S, Shomer N, Leung PC, Stephenson MD, Rajcan-Separovic E</w:t>
      </w:r>
      <w:r w:rsidR="000F0419" w:rsidRPr="00606368">
        <w:t xml:space="preserve"> 2016</w:t>
      </w:r>
      <w:r w:rsidRPr="00606368">
        <w:t xml:space="preserve"> Whole exome sequencing in recurrent early pregnancy loss. </w:t>
      </w:r>
      <w:r w:rsidRPr="00606368">
        <w:rPr>
          <w:i/>
          <w:iCs/>
        </w:rPr>
        <w:t>Mol</w:t>
      </w:r>
      <w:r w:rsidR="000F0419" w:rsidRPr="00606368">
        <w:rPr>
          <w:i/>
          <w:iCs/>
        </w:rPr>
        <w:t>ecular</w:t>
      </w:r>
      <w:r w:rsidRPr="00606368">
        <w:rPr>
          <w:i/>
          <w:iCs/>
        </w:rPr>
        <w:t xml:space="preserve"> Hum</w:t>
      </w:r>
      <w:r w:rsidR="000F0419" w:rsidRPr="00606368">
        <w:rPr>
          <w:i/>
          <w:iCs/>
        </w:rPr>
        <w:t>an</w:t>
      </w:r>
      <w:r w:rsidRPr="00606368">
        <w:rPr>
          <w:i/>
          <w:iCs/>
        </w:rPr>
        <w:t xml:space="preserve"> </w:t>
      </w:r>
      <w:r w:rsidR="000F0419" w:rsidRPr="00606368">
        <w:rPr>
          <w:i/>
          <w:iCs/>
        </w:rPr>
        <w:lastRenderedPageBreak/>
        <w:t>Reproduction</w:t>
      </w:r>
      <w:r w:rsidR="000F0419" w:rsidRPr="00606368">
        <w:t>,</w:t>
      </w:r>
      <w:r w:rsidRPr="00606368">
        <w:t xml:space="preserve"> May;22(5):364-72.</w:t>
      </w:r>
    </w:p>
    <w:p w14:paraId="14C9BB54" w14:textId="645D8C06" w:rsidR="000B61B1" w:rsidRPr="00606368" w:rsidRDefault="000B61B1" w:rsidP="009641D0">
      <w:pPr>
        <w:widowControl w:val="0"/>
        <w:autoSpaceDE w:val="0"/>
        <w:autoSpaceDN w:val="0"/>
        <w:adjustRightInd w:val="0"/>
        <w:spacing w:line="480" w:lineRule="auto"/>
        <w:ind w:left="480" w:hanging="480"/>
        <w:rPr>
          <w:noProof/>
        </w:rPr>
      </w:pPr>
      <w:r w:rsidRPr="00606368">
        <w:rPr>
          <w:noProof/>
        </w:rPr>
        <w:t>Raidt</w:t>
      </w:r>
      <w:r w:rsidR="000F0419" w:rsidRPr="00606368">
        <w:rPr>
          <w:noProof/>
        </w:rPr>
        <w:t xml:space="preserve"> </w:t>
      </w:r>
      <w:r w:rsidRPr="00606368">
        <w:rPr>
          <w:noProof/>
        </w:rPr>
        <w:t xml:space="preserve">J, Werner C, Menchen T, Dougherty GW, Olbrich H, Loges NT, </w:t>
      </w:r>
      <w:r w:rsidR="0064036A" w:rsidRPr="00606368">
        <w:rPr>
          <w:noProof/>
        </w:rPr>
        <w:t>Schmitz R, Pennekamp P,</w:t>
      </w:r>
      <w:r w:rsidRPr="00606368">
        <w:rPr>
          <w:noProof/>
        </w:rPr>
        <w:t xml:space="preserve"> Omran H 2015 Ciliary function and motor protein composition of human fallopian tubes. </w:t>
      </w:r>
      <w:r w:rsidRPr="00606368">
        <w:rPr>
          <w:i/>
          <w:iCs/>
          <w:noProof/>
        </w:rPr>
        <w:t>Human Reproduction</w:t>
      </w:r>
      <w:r w:rsidRPr="00606368">
        <w:rPr>
          <w:noProof/>
        </w:rPr>
        <w:t xml:space="preserve">, </w:t>
      </w:r>
      <w:r w:rsidRPr="00606368">
        <w:rPr>
          <w:i/>
          <w:iCs/>
          <w:noProof/>
        </w:rPr>
        <w:t>30</w:t>
      </w:r>
      <w:r w:rsidRPr="00606368">
        <w:rPr>
          <w:noProof/>
        </w:rPr>
        <w:t>(12), 2871–2880.</w:t>
      </w:r>
    </w:p>
    <w:p w14:paraId="3080FB28" w14:textId="7B390A87" w:rsidR="007A216B" w:rsidRPr="00606368" w:rsidRDefault="007A216B" w:rsidP="007A216B">
      <w:pPr>
        <w:widowControl w:val="0"/>
        <w:autoSpaceDE w:val="0"/>
        <w:autoSpaceDN w:val="0"/>
        <w:adjustRightInd w:val="0"/>
        <w:spacing w:line="480" w:lineRule="auto"/>
        <w:ind w:left="480" w:hanging="480"/>
        <w:rPr>
          <w:noProof/>
        </w:rPr>
      </w:pPr>
      <w:r w:rsidRPr="00606368">
        <w:rPr>
          <w:noProof/>
        </w:rPr>
        <w:t>Royal College Obstetricians and Gynaecologists (RCOG)</w:t>
      </w:r>
      <w:r w:rsidR="000F0419" w:rsidRPr="00606368">
        <w:rPr>
          <w:noProof/>
        </w:rPr>
        <w:t xml:space="preserve"> </w:t>
      </w:r>
      <w:r w:rsidRPr="00606368">
        <w:rPr>
          <w:noProof/>
        </w:rPr>
        <w:t xml:space="preserve">2011 The Investigation and </w:t>
      </w:r>
    </w:p>
    <w:p w14:paraId="5F300B44" w14:textId="77777777" w:rsidR="007A216B" w:rsidRPr="00606368" w:rsidRDefault="007A216B" w:rsidP="007A216B">
      <w:pPr>
        <w:widowControl w:val="0"/>
        <w:autoSpaceDE w:val="0"/>
        <w:autoSpaceDN w:val="0"/>
        <w:adjustRightInd w:val="0"/>
        <w:spacing w:line="480" w:lineRule="auto"/>
        <w:ind w:left="480"/>
        <w:rPr>
          <w:noProof/>
        </w:rPr>
      </w:pPr>
      <w:r w:rsidRPr="00606368">
        <w:rPr>
          <w:noProof/>
        </w:rPr>
        <w:t xml:space="preserve">Treatment of Couples with Reccurent First-trimester and Second-trimester </w:t>
      </w:r>
    </w:p>
    <w:p w14:paraId="512D1275" w14:textId="77777777" w:rsidR="007A216B" w:rsidRPr="00606368" w:rsidRDefault="007A216B" w:rsidP="007A216B">
      <w:pPr>
        <w:widowControl w:val="0"/>
        <w:autoSpaceDE w:val="0"/>
        <w:autoSpaceDN w:val="0"/>
        <w:adjustRightInd w:val="0"/>
        <w:spacing w:line="480" w:lineRule="auto"/>
        <w:ind w:left="480"/>
        <w:rPr>
          <w:noProof/>
        </w:rPr>
      </w:pPr>
      <w:r w:rsidRPr="00606368">
        <w:rPr>
          <w:noProof/>
        </w:rPr>
        <w:t>Miscarriage, 22(2), 0–2.</w:t>
      </w:r>
    </w:p>
    <w:p w14:paraId="1A243DDD" w14:textId="244D604B" w:rsidR="000B61B1" w:rsidRPr="00606368" w:rsidRDefault="000B61B1" w:rsidP="009641D0">
      <w:pPr>
        <w:widowControl w:val="0"/>
        <w:autoSpaceDE w:val="0"/>
        <w:autoSpaceDN w:val="0"/>
        <w:adjustRightInd w:val="0"/>
        <w:spacing w:line="480" w:lineRule="auto"/>
        <w:ind w:left="480" w:hanging="480"/>
        <w:rPr>
          <w:noProof/>
        </w:rPr>
      </w:pPr>
      <w:r w:rsidRPr="00606368">
        <w:rPr>
          <w:noProof/>
        </w:rPr>
        <w:t>Ruiz-Alonso</w:t>
      </w:r>
      <w:r w:rsidR="000F0419" w:rsidRPr="00606368">
        <w:rPr>
          <w:noProof/>
        </w:rPr>
        <w:t xml:space="preserve"> </w:t>
      </w:r>
      <w:r w:rsidRPr="00606368">
        <w:rPr>
          <w:noProof/>
        </w:rPr>
        <w:t xml:space="preserve">M, Blesa D, Díaz-Gimeno P, Gómez E, Fernández-Sánchez M, Carranza F, </w:t>
      </w:r>
      <w:r w:rsidR="00C670FB" w:rsidRPr="00606368">
        <w:rPr>
          <w:noProof/>
        </w:rPr>
        <w:t xml:space="preserve">Carrera J, Vilella F, Pellicer A, </w:t>
      </w:r>
      <w:r w:rsidRPr="00606368">
        <w:rPr>
          <w:noProof/>
        </w:rPr>
        <w:t xml:space="preserve">Simón C 2013 The endometrial receptivity array for diagnosis and personalized embryo transfer as a treatment for patients with repeated implantation failure. </w:t>
      </w:r>
      <w:r w:rsidRPr="00606368">
        <w:rPr>
          <w:i/>
          <w:iCs/>
          <w:noProof/>
        </w:rPr>
        <w:t>Fertility and Sterility</w:t>
      </w:r>
      <w:r w:rsidRPr="00606368">
        <w:rPr>
          <w:noProof/>
        </w:rPr>
        <w:t xml:space="preserve">, </w:t>
      </w:r>
      <w:r w:rsidRPr="00606368">
        <w:rPr>
          <w:i/>
          <w:iCs/>
          <w:noProof/>
        </w:rPr>
        <w:t>100</w:t>
      </w:r>
      <w:r w:rsidRPr="00606368">
        <w:rPr>
          <w:noProof/>
        </w:rPr>
        <w:t>(3), 818–824.</w:t>
      </w:r>
    </w:p>
    <w:p w14:paraId="7B661189" w14:textId="15B79F28" w:rsidR="000B61B1" w:rsidRPr="00606368" w:rsidRDefault="000B61B1" w:rsidP="009641D0">
      <w:pPr>
        <w:widowControl w:val="0"/>
        <w:autoSpaceDE w:val="0"/>
        <w:autoSpaceDN w:val="0"/>
        <w:adjustRightInd w:val="0"/>
        <w:spacing w:line="480" w:lineRule="auto"/>
        <w:ind w:left="480" w:hanging="480"/>
        <w:rPr>
          <w:noProof/>
        </w:rPr>
      </w:pPr>
      <w:r w:rsidRPr="00606368">
        <w:rPr>
          <w:noProof/>
        </w:rPr>
        <w:t>Shen</w:t>
      </w:r>
      <w:r w:rsidR="000F0419" w:rsidRPr="00606368">
        <w:rPr>
          <w:noProof/>
        </w:rPr>
        <w:t xml:space="preserve"> </w:t>
      </w:r>
      <w:r w:rsidRPr="00606368">
        <w:rPr>
          <w:noProof/>
        </w:rPr>
        <w:t xml:space="preserve">S, Park JW, Lu Z, Lin L, Henry MD, Wu YN, </w:t>
      </w:r>
      <w:r w:rsidR="00C670FB" w:rsidRPr="00606368">
        <w:rPr>
          <w:noProof/>
        </w:rPr>
        <w:t xml:space="preserve">Zhou Q, </w:t>
      </w:r>
      <w:r w:rsidRPr="00606368">
        <w:rPr>
          <w:noProof/>
        </w:rPr>
        <w:t>Xing Y</w:t>
      </w:r>
      <w:r w:rsidR="000F0419" w:rsidRPr="00606368">
        <w:rPr>
          <w:noProof/>
        </w:rPr>
        <w:t xml:space="preserve"> </w:t>
      </w:r>
      <w:r w:rsidRPr="00606368">
        <w:rPr>
          <w:noProof/>
        </w:rPr>
        <w:t xml:space="preserve">2014 rMATS: Robust and flexible detection of differential alternative splicing from replicate RNA-Seq data. </w:t>
      </w:r>
      <w:r w:rsidRPr="00606368">
        <w:rPr>
          <w:i/>
          <w:iCs/>
          <w:noProof/>
        </w:rPr>
        <w:t>P</w:t>
      </w:r>
      <w:r w:rsidR="00E6315E" w:rsidRPr="00606368">
        <w:rPr>
          <w:i/>
          <w:iCs/>
          <w:noProof/>
        </w:rPr>
        <w:t>NAS</w:t>
      </w:r>
      <w:r w:rsidRPr="00606368">
        <w:rPr>
          <w:noProof/>
        </w:rPr>
        <w:t xml:space="preserve">, </w:t>
      </w:r>
      <w:r w:rsidRPr="00606368">
        <w:rPr>
          <w:i/>
          <w:iCs/>
          <w:noProof/>
        </w:rPr>
        <w:t>111</w:t>
      </w:r>
      <w:r w:rsidRPr="00606368">
        <w:rPr>
          <w:noProof/>
        </w:rPr>
        <w:t>(51), E5593–E5601.</w:t>
      </w:r>
    </w:p>
    <w:p w14:paraId="15BBB533" w14:textId="445F1F35" w:rsidR="000B61B1" w:rsidRPr="00606368" w:rsidRDefault="000B61B1" w:rsidP="009641D0">
      <w:pPr>
        <w:widowControl w:val="0"/>
        <w:autoSpaceDE w:val="0"/>
        <w:autoSpaceDN w:val="0"/>
        <w:adjustRightInd w:val="0"/>
        <w:spacing w:line="480" w:lineRule="auto"/>
        <w:ind w:left="480" w:hanging="480"/>
        <w:rPr>
          <w:noProof/>
        </w:rPr>
      </w:pPr>
      <w:r w:rsidRPr="00606368">
        <w:rPr>
          <w:noProof/>
        </w:rPr>
        <w:t>Snijders</w:t>
      </w:r>
      <w:r w:rsidR="00E6315E" w:rsidRPr="00606368">
        <w:rPr>
          <w:noProof/>
        </w:rPr>
        <w:t xml:space="preserve"> </w:t>
      </w:r>
      <w:r w:rsidRPr="00606368">
        <w:rPr>
          <w:noProof/>
        </w:rPr>
        <w:t>MP, de Goeij</w:t>
      </w:r>
      <w:r w:rsidR="00E6315E" w:rsidRPr="00606368">
        <w:rPr>
          <w:noProof/>
        </w:rPr>
        <w:t xml:space="preserve"> </w:t>
      </w:r>
      <w:r w:rsidRPr="00606368">
        <w:rPr>
          <w:noProof/>
        </w:rPr>
        <w:t>AF, Debets-Te Baerts</w:t>
      </w:r>
      <w:r w:rsidR="00E6315E" w:rsidRPr="00606368">
        <w:rPr>
          <w:noProof/>
        </w:rPr>
        <w:t xml:space="preserve"> </w:t>
      </w:r>
      <w:r w:rsidRPr="00606368">
        <w:rPr>
          <w:noProof/>
        </w:rPr>
        <w:t xml:space="preserve">MJ, Rousch MJ, Koudstaal J, &amp; Bosman FT 1992 Immunocytochemical analysis of oestrogen receptors and progesterone receptors in the human uterus throughout the menstrual cycle and after the menopause. </w:t>
      </w:r>
      <w:r w:rsidRPr="00606368">
        <w:rPr>
          <w:i/>
          <w:iCs/>
          <w:noProof/>
        </w:rPr>
        <w:t>Journal of Reproduction and Fertility</w:t>
      </w:r>
      <w:r w:rsidRPr="00606368">
        <w:rPr>
          <w:noProof/>
        </w:rPr>
        <w:t xml:space="preserve">, </w:t>
      </w:r>
      <w:r w:rsidRPr="00606368">
        <w:rPr>
          <w:i/>
          <w:iCs/>
          <w:noProof/>
        </w:rPr>
        <w:t>94</w:t>
      </w:r>
      <w:r w:rsidRPr="00606368">
        <w:rPr>
          <w:noProof/>
        </w:rPr>
        <w:t>(2), 363–371.</w:t>
      </w:r>
    </w:p>
    <w:p w14:paraId="5D2325E4" w14:textId="11002978" w:rsidR="000B61B1" w:rsidRPr="00606368" w:rsidRDefault="000B61B1" w:rsidP="00E6315E">
      <w:pPr>
        <w:widowControl w:val="0"/>
        <w:autoSpaceDE w:val="0"/>
        <w:autoSpaceDN w:val="0"/>
        <w:adjustRightInd w:val="0"/>
        <w:spacing w:line="480" w:lineRule="auto"/>
        <w:ind w:left="480" w:hanging="480"/>
        <w:rPr>
          <w:noProof/>
        </w:rPr>
      </w:pPr>
      <w:r w:rsidRPr="00606368">
        <w:rPr>
          <w:noProof/>
        </w:rPr>
        <w:t>Stocker</w:t>
      </w:r>
      <w:r w:rsidR="00E6315E" w:rsidRPr="00606368">
        <w:rPr>
          <w:noProof/>
        </w:rPr>
        <w:t xml:space="preserve"> </w:t>
      </w:r>
      <w:r w:rsidRPr="00606368">
        <w:rPr>
          <w:noProof/>
        </w:rPr>
        <w:t>L, C</w:t>
      </w:r>
      <w:r w:rsidR="00A55628" w:rsidRPr="00606368">
        <w:rPr>
          <w:noProof/>
        </w:rPr>
        <w:t>agampang F, &amp; Cheong Y</w:t>
      </w:r>
      <w:r w:rsidR="00E6315E" w:rsidRPr="00606368">
        <w:rPr>
          <w:noProof/>
        </w:rPr>
        <w:t xml:space="preserve"> </w:t>
      </w:r>
      <w:r w:rsidR="00A55628" w:rsidRPr="00606368">
        <w:rPr>
          <w:noProof/>
        </w:rPr>
        <w:t>2017</w:t>
      </w:r>
      <w:r w:rsidRPr="00606368">
        <w:rPr>
          <w:noProof/>
        </w:rPr>
        <w:t xml:space="preserve"> Identifying stably expressed housekeeping genes in the endometrium of fertile women, women with recurrent implantation failure and recurrent miscarriages. </w:t>
      </w:r>
      <w:r w:rsidR="00C670FB" w:rsidRPr="00606368">
        <w:rPr>
          <w:noProof/>
        </w:rPr>
        <w:t>Scientific reports</w:t>
      </w:r>
      <w:r w:rsidR="00D61370" w:rsidRPr="00606368">
        <w:rPr>
          <w:noProof/>
        </w:rPr>
        <w:t>, 7(14857).</w:t>
      </w:r>
    </w:p>
    <w:p w14:paraId="287176CB" w14:textId="512D620F" w:rsidR="000B61B1" w:rsidRPr="00606368" w:rsidRDefault="000B61B1" w:rsidP="009641D0">
      <w:pPr>
        <w:widowControl w:val="0"/>
        <w:autoSpaceDE w:val="0"/>
        <w:autoSpaceDN w:val="0"/>
        <w:adjustRightInd w:val="0"/>
        <w:spacing w:line="480" w:lineRule="auto"/>
        <w:ind w:left="480" w:hanging="480"/>
        <w:rPr>
          <w:noProof/>
        </w:rPr>
      </w:pPr>
      <w:r w:rsidRPr="00606368">
        <w:rPr>
          <w:noProof/>
        </w:rPr>
        <w:t>Suda</w:t>
      </w:r>
      <w:r w:rsidR="00E6315E" w:rsidRPr="00606368">
        <w:rPr>
          <w:noProof/>
        </w:rPr>
        <w:t xml:space="preserve"> </w:t>
      </w:r>
      <w:r w:rsidRPr="00606368">
        <w:rPr>
          <w:noProof/>
        </w:rPr>
        <w:t>K, Nakaoka H, Yoshihara K, Ishiguro T, Tamura R, Mori Y,</w:t>
      </w:r>
      <w:r w:rsidR="00D61370" w:rsidRPr="00606368">
        <w:rPr>
          <w:noProof/>
        </w:rPr>
        <w:t xml:space="preserve"> Yamawaki K, Adachi S, Takahashi T, Kase, H</w:t>
      </w:r>
      <w:r w:rsidR="00921F9B" w:rsidRPr="00606368">
        <w:rPr>
          <w:noProof/>
        </w:rPr>
        <w:t xml:space="preserve">, Tanaka K, Yamamoto T, Motoyama T, Inoue I, </w:t>
      </w:r>
      <w:r w:rsidRPr="00606368">
        <w:rPr>
          <w:noProof/>
        </w:rPr>
        <w:t>Enomoto T</w:t>
      </w:r>
      <w:r w:rsidR="00E6315E" w:rsidRPr="00606368">
        <w:rPr>
          <w:noProof/>
        </w:rPr>
        <w:t xml:space="preserve"> </w:t>
      </w:r>
      <w:r w:rsidRPr="00606368">
        <w:rPr>
          <w:noProof/>
        </w:rPr>
        <w:t xml:space="preserve">2018 Clonal Expansion and Diversification of Cancer-Associated Mutations in Endometriosis and Normal Endometrium. </w:t>
      </w:r>
      <w:r w:rsidRPr="00606368">
        <w:rPr>
          <w:i/>
          <w:iCs/>
          <w:noProof/>
        </w:rPr>
        <w:t>Cell Reports</w:t>
      </w:r>
      <w:r w:rsidRPr="00606368">
        <w:rPr>
          <w:noProof/>
        </w:rPr>
        <w:t xml:space="preserve">, </w:t>
      </w:r>
      <w:r w:rsidRPr="00606368">
        <w:rPr>
          <w:i/>
          <w:iCs/>
          <w:noProof/>
        </w:rPr>
        <w:t>24</w:t>
      </w:r>
      <w:r w:rsidRPr="00606368">
        <w:rPr>
          <w:noProof/>
        </w:rPr>
        <w:t>(7), 1777–1789.</w:t>
      </w:r>
    </w:p>
    <w:p w14:paraId="23E710DB" w14:textId="2F06CA5F" w:rsidR="000B61B1" w:rsidRPr="00606368" w:rsidRDefault="000B61B1" w:rsidP="009641D0">
      <w:pPr>
        <w:widowControl w:val="0"/>
        <w:autoSpaceDE w:val="0"/>
        <w:autoSpaceDN w:val="0"/>
        <w:adjustRightInd w:val="0"/>
        <w:spacing w:line="480" w:lineRule="auto"/>
        <w:ind w:left="480" w:hanging="480"/>
        <w:rPr>
          <w:noProof/>
        </w:rPr>
      </w:pPr>
      <w:r w:rsidRPr="00606368">
        <w:rPr>
          <w:noProof/>
        </w:rPr>
        <w:lastRenderedPageBreak/>
        <w:t>Suhorutshenko</w:t>
      </w:r>
      <w:r w:rsidR="00E6315E" w:rsidRPr="00606368">
        <w:rPr>
          <w:noProof/>
        </w:rPr>
        <w:t xml:space="preserve"> </w:t>
      </w:r>
      <w:r w:rsidRPr="00606368">
        <w:rPr>
          <w:noProof/>
        </w:rPr>
        <w:t xml:space="preserve">M, Kukushkina V, Velthut-Meikas A, Altmäe S, Peters M, Mägi R, … Laisk T 2018 Endometrial receptivity revisited: endometrial transcriptome adjusted for tissue cellular heterogeneity. </w:t>
      </w:r>
      <w:r w:rsidRPr="00606368">
        <w:rPr>
          <w:i/>
          <w:iCs/>
          <w:noProof/>
        </w:rPr>
        <w:t>Human Reproduction</w:t>
      </w:r>
      <w:r w:rsidRPr="00606368">
        <w:rPr>
          <w:noProof/>
        </w:rPr>
        <w:t xml:space="preserve">, </w:t>
      </w:r>
      <w:r w:rsidRPr="00606368">
        <w:rPr>
          <w:i/>
          <w:iCs/>
          <w:noProof/>
        </w:rPr>
        <w:t>33</w:t>
      </w:r>
      <w:r w:rsidRPr="00606368">
        <w:rPr>
          <w:noProof/>
        </w:rPr>
        <w:t>(11), 2074–2086.</w:t>
      </w:r>
    </w:p>
    <w:p w14:paraId="727E637E" w14:textId="4D93456D" w:rsidR="000B61B1" w:rsidRPr="00606368" w:rsidRDefault="000B61B1" w:rsidP="009641D0">
      <w:pPr>
        <w:widowControl w:val="0"/>
        <w:autoSpaceDE w:val="0"/>
        <w:autoSpaceDN w:val="0"/>
        <w:adjustRightInd w:val="0"/>
        <w:spacing w:line="480" w:lineRule="auto"/>
        <w:ind w:left="480" w:hanging="480"/>
        <w:rPr>
          <w:noProof/>
        </w:rPr>
      </w:pPr>
      <w:r w:rsidRPr="00606368">
        <w:rPr>
          <w:noProof/>
        </w:rPr>
        <w:t xml:space="preserve">Vanaken G J, Bassinet L, Boon M, Mani R, Honoré I, Papon JF, </w:t>
      </w:r>
      <w:r w:rsidR="00234E62" w:rsidRPr="00606368">
        <w:rPr>
          <w:noProof/>
        </w:rPr>
        <w:t xml:space="preserve">Cuppens H, Jaspers M, Lorent N, Coste A, Escudier E, Amselem S, Maitre B, Legendre M, </w:t>
      </w:r>
      <w:r w:rsidRPr="00606368">
        <w:rPr>
          <w:noProof/>
        </w:rPr>
        <w:t xml:space="preserve">Christin-Maitre S 2017 Infertility in an adult cohort with primary ciliary dyskinesia: phenotype–gene association. </w:t>
      </w:r>
      <w:r w:rsidRPr="00606368">
        <w:rPr>
          <w:i/>
          <w:iCs/>
          <w:noProof/>
        </w:rPr>
        <w:t>European Respiratory Journal</w:t>
      </w:r>
      <w:r w:rsidRPr="00606368">
        <w:rPr>
          <w:noProof/>
        </w:rPr>
        <w:t xml:space="preserve">, </w:t>
      </w:r>
      <w:r w:rsidRPr="00606368">
        <w:rPr>
          <w:i/>
          <w:iCs/>
          <w:noProof/>
        </w:rPr>
        <w:t>50</w:t>
      </w:r>
      <w:r w:rsidRPr="00606368">
        <w:rPr>
          <w:noProof/>
        </w:rPr>
        <w:t>(5).</w:t>
      </w:r>
    </w:p>
    <w:p w14:paraId="75BBD2FB" w14:textId="76D9341F" w:rsidR="000B61B1" w:rsidRPr="00606368" w:rsidRDefault="000B61B1" w:rsidP="009641D0">
      <w:pPr>
        <w:widowControl w:val="0"/>
        <w:autoSpaceDE w:val="0"/>
        <w:autoSpaceDN w:val="0"/>
        <w:adjustRightInd w:val="0"/>
        <w:spacing w:line="480" w:lineRule="auto"/>
        <w:ind w:left="480" w:hanging="480"/>
        <w:rPr>
          <w:noProof/>
        </w:rPr>
      </w:pPr>
      <w:r w:rsidRPr="00606368">
        <w:rPr>
          <w:noProof/>
        </w:rPr>
        <w:t>Wang</w:t>
      </w:r>
      <w:r w:rsidR="00E6315E" w:rsidRPr="00606368">
        <w:rPr>
          <w:noProof/>
        </w:rPr>
        <w:t xml:space="preserve"> </w:t>
      </w:r>
      <w:r w:rsidRPr="00606368">
        <w:rPr>
          <w:noProof/>
        </w:rPr>
        <w:t xml:space="preserve">L, Wang S, &amp; Li W 2012 RSeQC: Quality control of RNA-seq experiments. </w:t>
      </w:r>
      <w:r w:rsidRPr="00606368">
        <w:rPr>
          <w:i/>
          <w:iCs/>
          <w:noProof/>
        </w:rPr>
        <w:t>Bioinformatics</w:t>
      </w:r>
      <w:r w:rsidRPr="00606368">
        <w:rPr>
          <w:noProof/>
        </w:rPr>
        <w:t xml:space="preserve">, </w:t>
      </w:r>
      <w:r w:rsidRPr="00606368">
        <w:rPr>
          <w:i/>
          <w:iCs/>
          <w:noProof/>
        </w:rPr>
        <w:t>28</w:t>
      </w:r>
      <w:r w:rsidRPr="00606368">
        <w:rPr>
          <w:noProof/>
        </w:rPr>
        <w:t>(16), 2184–2185.</w:t>
      </w:r>
    </w:p>
    <w:p w14:paraId="65ADA7EE" w14:textId="31EE9FC4" w:rsidR="00A55628" w:rsidRPr="00606368" w:rsidRDefault="00047BC2" w:rsidP="009243C8">
      <w:pPr>
        <w:tabs>
          <w:tab w:val="left" w:pos="285"/>
        </w:tabs>
        <w:spacing w:line="480" w:lineRule="auto"/>
        <w:jc w:val="both"/>
      </w:pPr>
      <w:r w:rsidRPr="00606368">
        <w:fldChar w:fldCharType="end"/>
      </w:r>
      <w:r w:rsidR="00192767" w:rsidRPr="00606368">
        <w:br w:type="page"/>
      </w:r>
    </w:p>
    <w:p w14:paraId="0011D4C6" w14:textId="3FEBDCBA" w:rsidR="00192767" w:rsidRPr="00606368" w:rsidRDefault="00192767" w:rsidP="00BC7E36">
      <w:pPr>
        <w:tabs>
          <w:tab w:val="left" w:pos="285"/>
        </w:tabs>
        <w:spacing w:line="480" w:lineRule="auto"/>
        <w:jc w:val="both"/>
        <w:rPr>
          <w:b/>
        </w:rPr>
      </w:pPr>
      <w:r w:rsidRPr="00606368">
        <w:rPr>
          <w:b/>
        </w:rPr>
        <w:lastRenderedPageBreak/>
        <w:t>FIGURES</w:t>
      </w:r>
      <w:r w:rsidR="00BC7E36" w:rsidRPr="00606368">
        <w:rPr>
          <w:b/>
        </w:rPr>
        <w:t xml:space="preserve"> </w:t>
      </w:r>
    </w:p>
    <w:p w14:paraId="22C10004" w14:textId="1897C321" w:rsidR="00192767" w:rsidRPr="00606368" w:rsidRDefault="00192767" w:rsidP="00BC7E36">
      <w:pPr>
        <w:tabs>
          <w:tab w:val="left" w:pos="285"/>
        </w:tabs>
        <w:spacing w:line="480" w:lineRule="auto"/>
        <w:jc w:val="both"/>
        <w:rPr>
          <w:b/>
        </w:rPr>
      </w:pPr>
      <w:r w:rsidRPr="00606368">
        <w:rPr>
          <w:b/>
          <w:noProof/>
        </w:rPr>
        <w:drawing>
          <wp:inline distT="0" distB="0" distL="0" distR="0" wp14:anchorId="11259186" wp14:editId="501302E0">
            <wp:extent cx="5731510" cy="55581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earson-farr_figure1.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558155"/>
                    </a:xfrm>
                    <a:prstGeom prst="rect">
                      <a:avLst/>
                    </a:prstGeom>
                  </pic:spPr>
                </pic:pic>
              </a:graphicData>
            </a:graphic>
          </wp:inline>
        </w:drawing>
      </w:r>
    </w:p>
    <w:p w14:paraId="5857939F" w14:textId="1015FC6A" w:rsidR="00BC7E36" w:rsidRPr="00606368" w:rsidRDefault="00BC7E36" w:rsidP="00833027">
      <w:pPr>
        <w:tabs>
          <w:tab w:val="left" w:pos="285"/>
        </w:tabs>
        <w:spacing w:line="360" w:lineRule="auto"/>
        <w:jc w:val="both"/>
      </w:pPr>
      <w:r w:rsidRPr="00606368">
        <w:rPr>
          <w:b/>
        </w:rPr>
        <w:t>Fig</w:t>
      </w:r>
      <w:r w:rsidR="0049212F" w:rsidRPr="00606368">
        <w:rPr>
          <w:b/>
        </w:rPr>
        <w:t>ure</w:t>
      </w:r>
      <w:r w:rsidRPr="00606368">
        <w:rPr>
          <w:b/>
        </w:rPr>
        <w:t xml:space="preserve"> 1</w:t>
      </w:r>
      <w:r w:rsidR="0049212F" w:rsidRPr="00606368">
        <w:rPr>
          <w:b/>
        </w:rPr>
        <w:t>:</w:t>
      </w:r>
      <w:r w:rsidRPr="00606368">
        <w:rPr>
          <w:b/>
        </w:rPr>
        <w:t xml:space="preserve"> Altered endometrial gland gene expression in women with recurrent pregnancy loss. a)</w:t>
      </w:r>
      <w:r w:rsidRPr="00606368">
        <w:t xml:space="preserve"> Image of isolated endometrial gland (scale bar = 50 µm) captured using light microscopy</w:t>
      </w:r>
      <w:r w:rsidR="0049212F" w:rsidRPr="00606368">
        <w:t>.</w:t>
      </w:r>
      <w:r w:rsidRPr="00606368">
        <w:rPr>
          <w:b/>
        </w:rPr>
        <w:t xml:space="preserve"> b)</w:t>
      </w:r>
      <w:r w:rsidRPr="00606368">
        <w:t xml:space="preserve"> Volcano plot representing differentially expressed genes in endometrial glands from women with recurrent pregnancy loss (RPL, n = 5) versus controls (C, n = 5), fold difference between log</w:t>
      </w:r>
      <w:r w:rsidRPr="00606368">
        <w:rPr>
          <w:vertAlign w:val="subscript"/>
        </w:rPr>
        <w:t>2</w:t>
      </w:r>
      <w:r w:rsidRPr="00606368">
        <w:t xml:space="preserve"> normalised expression plotted versus –log</w:t>
      </w:r>
      <w:r w:rsidRPr="00606368">
        <w:rPr>
          <w:vertAlign w:val="subscript"/>
        </w:rPr>
        <w:t>10</w:t>
      </w:r>
      <w:r w:rsidRPr="00606368">
        <w:t xml:space="preserve"> adjusted P-value. </w:t>
      </w:r>
      <w:r w:rsidRPr="00606368">
        <w:rPr>
          <w:b/>
        </w:rPr>
        <w:t>c)</w:t>
      </w:r>
      <w:r w:rsidRPr="00606368">
        <w:t xml:space="preserve"> Biological processes containing differentially expressed genes in endometrial glands from women with recurrent pregnancy loss following analysis of all differentially expressed genes. FDR B&amp;H corrected q value &lt; 0.05. </w:t>
      </w:r>
    </w:p>
    <w:p w14:paraId="32C71FC4" w14:textId="715F78B4" w:rsidR="00BC7E36" w:rsidRPr="00606368" w:rsidRDefault="00192767" w:rsidP="00BC7E36">
      <w:pPr>
        <w:spacing w:line="480" w:lineRule="auto"/>
        <w:jc w:val="center"/>
      </w:pPr>
      <w:r w:rsidRPr="00606368">
        <w:rPr>
          <w:noProof/>
        </w:rPr>
        <w:lastRenderedPageBreak/>
        <w:drawing>
          <wp:inline distT="0" distB="0" distL="0" distR="0" wp14:anchorId="76A6727F" wp14:editId="2E497EBD">
            <wp:extent cx="4257696" cy="4934607"/>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earson-farr_figure2.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5659" cy="4943836"/>
                    </a:xfrm>
                    <a:prstGeom prst="rect">
                      <a:avLst/>
                    </a:prstGeom>
                  </pic:spPr>
                </pic:pic>
              </a:graphicData>
            </a:graphic>
          </wp:inline>
        </w:drawing>
      </w:r>
    </w:p>
    <w:p w14:paraId="1C1A765A" w14:textId="3DA03521" w:rsidR="00BC7E36" w:rsidRPr="00606368" w:rsidRDefault="00BC7E36" w:rsidP="00192767">
      <w:pPr>
        <w:spacing w:line="360" w:lineRule="auto"/>
        <w:jc w:val="both"/>
      </w:pPr>
      <w:r w:rsidRPr="00606368">
        <w:rPr>
          <w:b/>
        </w:rPr>
        <w:t>Fig</w:t>
      </w:r>
      <w:r w:rsidR="0049212F" w:rsidRPr="00606368">
        <w:rPr>
          <w:b/>
        </w:rPr>
        <w:t>ure</w:t>
      </w:r>
      <w:r w:rsidRPr="00606368">
        <w:rPr>
          <w:b/>
        </w:rPr>
        <w:t xml:space="preserve"> 2</w:t>
      </w:r>
      <w:r w:rsidR="0049212F" w:rsidRPr="00606368">
        <w:rPr>
          <w:b/>
        </w:rPr>
        <w:t>:</w:t>
      </w:r>
      <w:r w:rsidRPr="00606368">
        <w:rPr>
          <w:b/>
        </w:rPr>
        <w:t xml:space="preserve"> Altered endometrial gland gene transcript expression in women with recurrent pregnancy loss. a)</w:t>
      </w:r>
      <w:r w:rsidRPr="00606368">
        <w:t xml:space="preserve"> Heat map representing top 100 differentially expressed gene transcripts in endometrial glands from women with recurrent pregnancy loss (RPL, n = 5) versus controls (C, n = 5), data presented as log</w:t>
      </w:r>
      <w:r w:rsidRPr="00606368">
        <w:rPr>
          <w:vertAlign w:val="subscript"/>
        </w:rPr>
        <w:t>2</w:t>
      </w:r>
      <w:r w:rsidRPr="00606368">
        <w:t xml:space="preserve">. </w:t>
      </w:r>
      <w:r w:rsidRPr="00606368">
        <w:rPr>
          <w:b/>
        </w:rPr>
        <w:t>b)</w:t>
      </w:r>
      <w:r w:rsidRPr="00606368">
        <w:t xml:space="preserve"> Biological processes containing differentially expressed gene transcripts in endometrial glands from women with recurrent pregnancy loss following analysis of all differentially expressed genes. FDR B&amp;H corrected q value &lt; 0.05. </w:t>
      </w:r>
      <w:r w:rsidRPr="00606368">
        <w:rPr>
          <w:b/>
        </w:rPr>
        <w:t>c)</w:t>
      </w:r>
      <w:r w:rsidRPr="00606368">
        <w:t xml:space="preserve"> Heat map representing altered PAEP gene transcript expression in endometrial glands in recurrent pregnancy loss versus controls. </w:t>
      </w:r>
      <w:r w:rsidRPr="00606368">
        <w:rPr>
          <w:b/>
        </w:rPr>
        <w:t>d)</w:t>
      </w:r>
      <w:r w:rsidRPr="00606368">
        <w:t xml:space="preserve"> TEM image and 3D reconstruction of electron dense material budding from the apical surface of the glandular epithelium</w:t>
      </w:r>
      <w:r w:rsidR="009243C8" w:rsidRPr="00606368">
        <w:t xml:space="preserve"> in a control participant</w:t>
      </w:r>
      <w:r w:rsidRPr="00606368">
        <w:t xml:space="preserve"> (white arrows), scale bar = 5 µm. </w:t>
      </w:r>
      <w:r w:rsidRPr="00606368">
        <w:rPr>
          <w:b/>
        </w:rPr>
        <w:t>e)</w:t>
      </w:r>
      <w:r w:rsidRPr="00606368">
        <w:t xml:space="preserve"> Heat map representing altered cilia gene transcript expression in endometrial glands in recurrent pregnancy loss versus controls.</w:t>
      </w:r>
    </w:p>
    <w:p w14:paraId="3E3B0D7F" w14:textId="5193F891" w:rsidR="00BC7E36" w:rsidRPr="00606368" w:rsidRDefault="00192767" w:rsidP="00BC7E36">
      <w:pPr>
        <w:spacing w:line="480" w:lineRule="auto"/>
        <w:jc w:val="center"/>
      </w:pPr>
      <w:r w:rsidRPr="00606368">
        <w:rPr>
          <w:noProof/>
        </w:rPr>
        <w:lastRenderedPageBreak/>
        <w:drawing>
          <wp:inline distT="0" distB="0" distL="0" distR="0" wp14:anchorId="34B3C1CC" wp14:editId="2F96D0B4">
            <wp:extent cx="4248938" cy="534624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earson-farr_figure3.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3691" cy="5377389"/>
                    </a:xfrm>
                    <a:prstGeom prst="rect">
                      <a:avLst/>
                    </a:prstGeom>
                  </pic:spPr>
                </pic:pic>
              </a:graphicData>
            </a:graphic>
          </wp:inline>
        </w:drawing>
      </w:r>
    </w:p>
    <w:p w14:paraId="70F0F302" w14:textId="2C15C054" w:rsidR="00047BC2" w:rsidRPr="00606368" w:rsidRDefault="00BC7E36" w:rsidP="00192767">
      <w:pPr>
        <w:spacing w:line="360" w:lineRule="auto"/>
      </w:pPr>
      <w:r w:rsidRPr="00606368">
        <w:rPr>
          <w:b/>
          <w:bCs/>
        </w:rPr>
        <w:t>Fig</w:t>
      </w:r>
      <w:r w:rsidR="0049212F" w:rsidRPr="00606368">
        <w:rPr>
          <w:b/>
          <w:bCs/>
        </w:rPr>
        <w:t>ure</w:t>
      </w:r>
      <w:r w:rsidRPr="00606368">
        <w:rPr>
          <w:b/>
          <w:bCs/>
        </w:rPr>
        <w:t xml:space="preserve"> 3</w:t>
      </w:r>
      <w:r w:rsidR="0049212F" w:rsidRPr="00606368">
        <w:rPr>
          <w:b/>
          <w:bCs/>
        </w:rPr>
        <w:t>:</w:t>
      </w:r>
      <w:r w:rsidRPr="00606368">
        <w:rPr>
          <w:b/>
          <w:bCs/>
        </w:rPr>
        <w:t xml:space="preserve"> </w:t>
      </w:r>
      <w:r w:rsidRPr="00606368">
        <w:rPr>
          <w:b/>
        </w:rPr>
        <w:t>Alternative splicing events in endometrial glands in women with recurrent pregnancy loss. a)</w:t>
      </w:r>
      <w:r w:rsidRPr="00606368">
        <w:t xml:space="preserve"> Cellular components commonly undergoing exon skipping in the endometrial glands of women with recurrent pregnancy loss (n = 5) compared to controls (n = 5). FDR B</w:t>
      </w:r>
      <w:r w:rsidR="00C336C8" w:rsidRPr="00606368">
        <w:t>&amp;H</w:t>
      </w:r>
      <w:r w:rsidRPr="00606368">
        <w:t xml:space="preserve"> corrected q value &lt; 0.05. </w:t>
      </w:r>
      <w:r w:rsidRPr="00606368">
        <w:rPr>
          <w:b/>
        </w:rPr>
        <w:t>b)</w:t>
      </w:r>
      <w:r w:rsidRPr="00606368">
        <w:t xml:space="preserve"> Molecular functions and biological process commonly undergoing intron retention in the endometrial glands of women with recurrent pregnancy loss comp</w:t>
      </w:r>
      <w:r w:rsidR="00C336C8" w:rsidRPr="00606368">
        <w:t>ared to controls. FDR B&amp;H</w:t>
      </w:r>
      <w:r w:rsidR="0049212F" w:rsidRPr="00606368">
        <w:t xml:space="preserve"> corrected q value.</w:t>
      </w:r>
      <w:r w:rsidRPr="00606368">
        <w:t xml:space="preserve"> </w:t>
      </w:r>
      <w:r w:rsidRPr="00606368">
        <w:rPr>
          <w:b/>
        </w:rPr>
        <w:t>c)</w:t>
      </w:r>
      <w:r w:rsidRPr="00606368">
        <w:t xml:space="preserve"> Sashimi plots of differentially spliced </w:t>
      </w:r>
      <w:r w:rsidRPr="00606368">
        <w:rPr>
          <w:i/>
          <w:iCs/>
        </w:rPr>
        <w:t>PAEP</w:t>
      </w:r>
      <w:r w:rsidRPr="00606368">
        <w:t xml:space="preserve"> demonstrating a decline in exon skipping events in recurrent pregnancy loss (RPL; green and brown) compared to controls (C; red and blue; black arrows highlight exon skipping events). Each plot shows gene expression (bar graph), the number of reads split across the splice junction (curved lines), exons (blue bar at the bottom of the plot) and introns of the corresponding gene (dotted lines at the bottom of the plot). </w:t>
      </w:r>
      <w:r w:rsidRPr="00606368">
        <w:rPr>
          <w:b/>
        </w:rPr>
        <w:t xml:space="preserve">d) </w:t>
      </w:r>
      <w:r w:rsidRPr="00606368">
        <w:t>Sashimi plot demonstrating increased reads split across splice junctions in GALNT11 in women with recurrent pregnancy loss compared to controls.</w:t>
      </w:r>
    </w:p>
    <w:p w14:paraId="5FD1999F" w14:textId="70AE5833" w:rsidR="785FFBE6" w:rsidRPr="00606368" w:rsidRDefault="785FFBE6" w:rsidP="785FFBE6">
      <w:pPr>
        <w:spacing w:line="360" w:lineRule="auto"/>
      </w:pPr>
    </w:p>
    <w:p w14:paraId="7FC5B38E" w14:textId="0DE3A8D7" w:rsidR="785FFBE6" w:rsidRPr="00606368" w:rsidRDefault="785FFBE6" w:rsidP="785FFBE6">
      <w:pPr>
        <w:spacing w:line="360" w:lineRule="auto"/>
      </w:pPr>
    </w:p>
    <w:p w14:paraId="7D0B88B2" w14:textId="259EA2FC" w:rsidR="785FFBE6" w:rsidRPr="00606368" w:rsidRDefault="785FFBE6">
      <w:r w:rsidRPr="00606368">
        <w:rPr>
          <w:noProof/>
        </w:rPr>
        <w:drawing>
          <wp:inline distT="0" distB="0" distL="0" distR="0" wp14:anchorId="6021AF77" wp14:editId="1E9498FA">
            <wp:extent cx="4019550" cy="4486275"/>
            <wp:effectExtent l="0" t="0" r="0" b="0"/>
            <wp:docPr id="1096981159" name="Picture 109698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19550" cy="4486275"/>
                    </a:xfrm>
                    <a:prstGeom prst="rect">
                      <a:avLst/>
                    </a:prstGeom>
                  </pic:spPr>
                </pic:pic>
              </a:graphicData>
            </a:graphic>
          </wp:inline>
        </w:drawing>
      </w:r>
    </w:p>
    <w:p w14:paraId="1BDD982A" w14:textId="77777777" w:rsidR="0050355E" w:rsidRPr="00606368" w:rsidRDefault="0050355E" w:rsidP="785FFBE6">
      <w:pPr>
        <w:spacing w:line="360" w:lineRule="auto"/>
      </w:pPr>
    </w:p>
    <w:p w14:paraId="7F0063FA" w14:textId="6F35BB6F" w:rsidR="785FFBE6" w:rsidRPr="00606368" w:rsidRDefault="785FFBE6" w:rsidP="785FFBE6">
      <w:pPr>
        <w:spacing w:line="360" w:lineRule="auto"/>
      </w:pPr>
      <w:r w:rsidRPr="00606368">
        <w:rPr>
          <w:b/>
        </w:rPr>
        <w:t>Fig</w:t>
      </w:r>
      <w:r w:rsidR="0049212F" w:rsidRPr="00606368">
        <w:rPr>
          <w:b/>
        </w:rPr>
        <w:t>ure</w:t>
      </w:r>
      <w:r w:rsidRPr="00606368">
        <w:rPr>
          <w:b/>
        </w:rPr>
        <w:t xml:space="preserve"> 4</w:t>
      </w:r>
      <w:r w:rsidR="0049212F" w:rsidRPr="00606368">
        <w:rPr>
          <w:b/>
        </w:rPr>
        <w:t>:</w:t>
      </w:r>
      <w:r w:rsidR="0050355E" w:rsidRPr="00606368">
        <w:t xml:space="preserve"> </w:t>
      </w:r>
      <w:r w:rsidR="00D44042" w:rsidRPr="00606368">
        <w:t>Common</w:t>
      </w:r>
      <w:r w:rsidR="0050355E" w:rsidRPr="00606368">
        <w:t xml:space="preserve"> gene</w:t>
      </w:r>
      <w:r w:rsidR="00D44042" w:rsidRPr="00606368">
        <w:t>s differentially expressed, at the gene level, the g</w:t>
      </w:r>
      <w:r w:rsidR="0050355E" w:rsidRPr="00606368">
        <w:t xml:space="preserve">ene transcript </w:t>
      </w:r>
      <w:r w:rsidR="00D44042" w:rsidRPr="00606368">
        <w:t xml:space="preserve">level </w:t>
      </w:r>
      <w:r w:rsidR="0050355E" w:rsidRPr="00606368">
        <w:t xml:space="preserve">and alternative splicing events. </w:t>
      </w:r>
      <w:r w:rsidR="00D44042" w:rsidRPr="00606368">
        <w:t>The number of genes expressed as count data.</w:t>
      </w:r>
    </w:p>
    <w:p w14:paraId="523C15D5" w14:textId="4B509E73" w:rsidR="3CC9F6F5" w:rsidRPr="00606368" w:rsidRDefault="3CC9F6F5" w:rsidP="3CC9F6F5">
      <w:pPr>
        <w:spacing w:line="360" w:lineRule="auto"/>
      </w:pPr>
    </w:p>
    <w:p w14:paraId="12911A66" w14:textId="77777777" w:rsidR="0049212F" w:rsidRPr="00606368" w:rsidRDefault="0049212F">
      <w:r w:rsidRPr="00606368">
        <w:br w:type="page"/>
      </w:r>
    </w:p>
    <w:p w14:paraId="2F261109" w14:textId="068AB6BD" w:rsidR="3CC9F6F5" w:rsidRPr="00606368" w:rsidRDefault="3CC9F6F5" w:rsidP="3CC9F6F5">
      <w:pPr>
        <w:spacing w:line="360" w:lineRule="auto"/>
        <w:rPr>
          <w:b/>
        </w:rPr>
      </w:pPr>
      <w:r w:rsidRPr="00606368">
        <w:rPr>
          <w:b/>
        </w:rPr>
        <w:lastRenderedPageBreak/>
        <w:t>SUPPLEMENTARY DATA</w:t>
      </w:r>
    </w:p>
    <w:p w14:paraId="31C4124B" w14:textId="1D91CBF2" w:rsidR="3CC9F6F5" w:rsidRPr="00606368" w:rsidRDefault="3CC9F6F5" w:rsidP="3CC9F6F5">
      <w:pPr>
        <w:spacing w:line="360" w:lineRule="auto"/>
      </w:pPr>
    </w:p>
    <w:p w14:paraId="774DD99B" w14:textId="32BD40F8" w:rsidR="3CC9F6F5" w:rsidRPr="00606368" w:rsidRDefault="3CC9F6F5" w:rsidP="3CC9F6F5">
      <w:pPr>
        <w:spacing w:line="360" w:lineRule="auto"/>
      </w:pPr>
      <w:r w:rsidRPr="00606368">
        <w:rPr>
          <w:noProof/>
        </w:rPr>
        <w:drawing>
          <wp:inline distT="0" distB="0" distL="0" distR="0" wp14:anchorId="68B97A80" wp14:editId="7BE72446">
            <wp:extent cx="4572000" cy="3829050"/>
            <wp:effectExtent l="0" t="0" r="0" b="0"/>
            <wp:docPr id="1289069236" name="Picture 128906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14:paraId="645162B5" w14:textId="5EE6B3C9" w:rsidR="3CC9F6F5" w:rsidRDefault="3CC9F6F5" w:rsidP="3CC9F6F5">
      <w:pPr>
        <w:spacing w:line="360" w:lineRule="auto"/>
      </w:pPr>
      <w:r w:rsidRPr="00606368">
        <w:rPr>
          <w:b/>
        </w:rPr>
        <w:t xml:space="preserve">Supplementary </w:t>
      </w:r>
      <w:r w:rsidR="0049212F" w:rsidRPr="00606368">
        <w:rPr>
          <w:b/>
        </w:rPr>
        <w:t>F</w:t>
      </w:r>
      <w:r w:rsidRPr="00606368">
        <w:rPr>
          <w:b/>
        </w:rPr>
        <w:t>ig</w:t>
      </w:r>
      <w:r w:rsidR="0049212F" w:rsidRPr="00606368">
        <w:rPr>
          <w:b/>
        </w:rPr>
        <w:t>ure</w:t>
      </w:r>
      <w:r w:rsidRPr="00606368">
        <w:rPr>
          <w:b/>
        </w:rPr>
        <w:t xml:space="preserve"> 1:</w:t>
      </w:r>
      <w:r w:rsidRPr="00606368">
        <w:t xml:space="preserve"> </w:t>
      </w:r>
      <w:r w:rsidR="00A831B8" w:rsidRPr="00606368">
        <w:t>Principle component analysis of cycle length.</w:t>
      </w:r>
    </w:p>
    <w:sectPr w:rsidR="3CC9F6F5" w:rsidSect="00EB0B02">
      <w:headerReference w:type="default" r:id="rId17"/>
      <w:pgSz w:w="11906" w:h="16838"/>
      <w:pgMar w:top="1440" w:right="1440" w:bottom="1440" w:left="1440"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14A0B" w14:textId="77777777" w:rsidR="00483091" w:rsidRDefault="00483091" w:rsidP="000B74BF">
      <w:r>
        <w:separator/>
      </w:r>
    </w:p>
  </w:endnote>
  <w:endnote w:type="continuationSeparator" w:id="0">
    <w:p w14:paraId="4823D7EF" w14:textId="77777777" w:rsidR="00483091" w:rsidRDefault="00483091" w:rsidP="000B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34BF2" w14:textId="77777777" w:rsidR="00483091" w:rsidRDefault="00483091" w:rsidP="000B74BF">
      <w:r>
        <w:separator/>
      </w:r>
    </w:p>
  </w:footnote>
  <w:footnote w:type="continuationSeparator" w:id="0">
    <w:p w14:paraId="4B95A979" w14:textId="77777777" w:rsidR="00483091" w:rsidRDefault="00483091" w:rsidP="000B7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368886"/>
      <w:docPartObj>
        <w:docPartGallery w:val="Page Numbers (Top of Page)"/>
        <w:docPartUnique/>
      </w:docPartObj>
    </w:sdtPr>
    <w:sdtEndPr>
      <w:rPr>
        <w:noProof/>
      </w:rPr>
    </w:sdtEndPr>
    <w:sdtContent>
      <w:p w14:paraId="3AD41F2D" w14:textId="0D9CE70D" w:rsidR="000B74BF" w:rsidRDefault="000B74BF">
        <w:pPr>
          <w:pStyle w:val="Header"/>
          <w:jc w:val="right"/>
        </w:pPr>
        <w:r>
          <w:fldChar w:fldCharType="begin"/>
        </w:r>
        <w:r>
          <w:instrText xml:space="preserve"> PAGE   \* MERGEFORMAT </w:instrText>
        </w:r>
        <w:r>
          <w:fldChar w:fldCharType="separate"/>
        </w:r>
        <w:r w:rsidR="00606368">
          <w:rPr>
            <w:noProof/>
          </w:rPr>
          <w:t>29</w:t>
        </w:r>
        <w:r>
          <w:rPr>
            <w:noProof/>
          </w:rPr>
          <w:fldChar w:fldCharType="end"/>
        </w:r>
      </w:p>
    </w:sdtContent>
  </w:sdt>
  <w:p w14:paraId="60709A34" w14:textId="77777777" w:rsidR="000B74BF" w:rsidRDefault="000B74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2F1B72"/>
    <w:multiLevelType w:val="multilevel"/>
    <w:tmpl w:val="2A8A63D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B15"/>
    <w:rsid w:val="0004495E"/>
    <w:rsid w:val="00047BC2"/>
    <w:rsid w:val="00096F28"/>
    <w:rsid w:val="000A76AD"/>
    <w:rsid w:val="000B52E5"/>
    <w:rsid w:val="000B61B1"/>
    <w:rsid w:val="000B74BF"/>
    <w:rsid w:val="000D04B6"/>
    <w:rsid w:val="000E6CC0"/>
    <w:rsid w:val="000F0419"/>
    <w:rsid w:val="001032D4"/>
    <w:rsid w:val="001327D5"/>
    <w:rsid w:val="00134B8F"/>
    <w:rsid w:val="00156A8F"/>
    <w:rsid w:val="00165F07"/>
    <w:rsid w:val="00176FE9"/>
    <w:rsid w:val="00192767"/>
    <w:rsid w:val="001933E4"/>
    <w:rsid w:val="001955FF"/>
    <w:rsid w:val="001F593D"/>
    <w:rsid w:val="00203DA1"/>
    <w:rsid w:val="00206E88"/>
    <w:rsid w:val="00210392"/>
    <w:rsid w:val="00227292"/>
    <w:rsid w:val="00234E62"/>
    <w:rsid w:val="002472AB"/>
    <w:rsid w:val="0027198A"/>
    <w:rsid w:val="00273EB4"/>
    <w:rsid w:val="00290F16"/>
    <w:rsid w:val="002A0EBE"/>
    <w:rsid w:val="002B7A12"/>
    <w:rsid w:val="002D4F00"/>
    <w:rsid w:val="00303B74"/>
    <w:rsid w:val="00312145"/>
    <w:rsid w:val="00325347"/>
    <w:rsid w:val="00334CFE"/>
    <w:rsid w:val="00334EF2"/>
    <w:rsid w:val="0034019A"/>
    <w:rsid w:val="003405D8"/>
    <w:rsid w:val="003428D7"/>
    <w:rsid w:val="003D08B3"/>
    <w:rsid w:val="003F2516"/>
    <w:rsid w:val="0041789F"/>
    <w:rsid w:val="004651C3"/>
    <w:rsid w:val="00483091"/>
    <w:rsid w:val="0049212F"/>
    <w:rsid w:val="004A18CA"/>
    <w:rsid w:val="004B180C"/>
    <w:rsid w:val="004C09F1"/>
    <w:rsid w:val="004C1BA1"/>
    <w:rsid w:val="004C69E7"/>
    <w:rsid w:val="004D3945"/>
    <w:rsid w:val="004E01E6"/>
    <w:rsid w:val="004F5BE2"/>
    <w:rsid w:val="004F5C25"/>
    <w:rsid w:val="00502812"/>
    <w:rsid w:val="0050355E"/>
    <w:rsid w:val="00517B9D"/>
    <w:rsid w:val="00524691"/>
    <w:rsid w:val="005311F3"/>
    <w:rsid w:val="00544737"/>
    <w:rsid w:val="005534E2"/>
    <w:rsid w:val="005940AD"/>
    <w:rsid w:val="005C4334"/>
    <w:rsid w:val="005D6510"/>
    <w:rsid w:val="005E4576"/>
    <w:rsid w:val="005F01E1"/>
    <w:rsid w:val="005F6542"/>
    <w:rsid w:val="00606368"/>
    <w:rsid w:val="006363B9"/>
    <w:rsid w:val="0064036A"/>
    <w:rsid w:val="00691EBC"/>
    <w:rsid w:val="006E2681"/>
    <w:rsid w:val="006E6974"/>
    <w:rsid w:val="006F6640"/>
    <w:rsid w:val="00701D4E"/>
    <w:rsid w:val="00716496"/>
    <w:rsid w:val="00737D6F"/>
    <w:rsid w:val="00741726"/>
    <w:rsid w:val="00751429"/>
    <w:rsid w:val="0076634D"/>
    <w:rsid w:val="007751F0"/>
    <w:rsid w:val="00784AD5"/>
    <w:rsid w:val="00787AE4"/>
    <w:rsid w:val="00791434"/>
    <w:rsid w:val="007960CD"/>
    <w:rsid w:val="007A216B"/>
    <w:rsid w:val="007A3E6F"/>
    <w:rsid w:val="007B6C86"/>
    <w:rsid w:val="007D29F2"/>
    <w:rsid w:val="007D4BCD"/>
    <w:rsid w:val="007D4CD8"/>
    <w:rsid w:val="007F696A"/>
    <w:rsid w:val="008174BB"/>
    <w:rsid w:val="00821C1E"/>
    <w:rsid w:val="00833027"/>
    <w:rsid w:val="00833CAF"/>
    <w:rsid w:val="00841EE1"/>
    <w:rsid w:val="00861EA6"/>
    <w:rsid w:val="008920D6"/>
    <w:rsid w:val="008A2B15"/>
    <w:rsid w:val="0090015C"/>
    <w:rsid w:val="00916542"/>
    <w:rsid w:val="00921F9B"/>
    <w:rsid w:val="009243C8"/>
    <w:rsid w:val="009641D0"/>
    <w:rsid w:val="00975342"/>
    <w:rsid w:val="009961CE"/>
    <w:rsid w:val="009A7D06"/>
    <w:rsid w:val="009C7329"/>
    <w:rsid w:val="009E5787"/>
    <w:rsid w:val="009F2B9E"/>
    <w:rsid w:val="00A465B9"/>
    <w:rsid w:val="00A55628"/>
    <w:rsid w:val="00A5728A"/>
    <w:rsid w:val="00A572C9"/>
    <w:rsid w:val="00A63E96"/>
    <w:rsid w:val="00A77DBD"/>
    <w:rsid w:val="00A77E7E"/>
    <w:rsid w:val="00A8312C"/>
    <w:rsid w:val="00A831B8"/>
    <w:rsid w:val="00AA4295"/>
    <w:rsid w:val="00AB154E"/>
    <w:rsid w:val="00AC1923"/>
    <w:rsid w:val="00AC41AF"/>
    <w:rsid w:val="00AC41D9"/>
    <w:rsid w:val="00AC670D"/>
    <w:rsid w:val="00AE0447"/>
    <w:rsid w:val="00B00B26"/>
    <w:rsid w:val="00B0268D"/>
    <w:rsid w:val="00B13033"/>
    <w:rsid w:val="00B46307"/>
    <w:rsid w:val="00B46368"/>
    <w:rsid w:val="00B5461C"/>
    <w:rsid w:val="00B7105B"/>
    <w:rsid w:val="00B738A0"/>
    <w:rsid w:val="00B77DBE"/>
    <w:rsid w:val="00B87C71"/>
    <w:rsid w:val="00BC7E36"/>
    <w:rsid w:val="00BF6EB7"/>
    <w:rsid w:val="00C0382C"/>
    <w:rsid w:val="00C14846"/>
    <w:rsid w:val="00C230E5"/>
    <w:rsid w:val="00C30619"/>
    <w:rsid w:val="00C336C8"/>
    <w:rsid w:val="00C35156"/>
    <w:rsid w:val="00C35F06"/>
    <w:rsid w:val="00C361F3"/>
    <w:rsid w:val="00C632A2"/>
    <w:rsid w:val="00C670FB"/>
    <w:rsid w:val="00C707AC"/>
    <w:rsid w:val="00C80DF4"/>
    <w:rsid w:val="00C8353A"/>
    <w:rsid w:val="00CC2404"/>
    <w:rsid w:val="00CE2E86"/>
    <w:rsid w:val="00D11EBB"/>
    <w:rsid w:val="00D174B6"/>
    <w:rsid w:val="00D36875"/>
    <w:rsid w:val="00D44042"/>
    <w:rsid w:val="00D54996"/>
    <w:rsid w:val="00D61370"/>
    <w:rsid w:val="00D95A7A"/>
    <w:rsid w:val="00DD4044"/>
    <w:rsid w:val="00DF0411"/>
    <w:rsid w:val="00E01940"/>
    <w:rsid w:val="00E250E8"/>
    <w:rsid w:val="00E47697"/>
    <w:rsid w:val="00E5701D"/>
    <w:rsid w:val="00E6315E"/>
    <w:rsid w:val="00E769A2"/>
    <w:rsid w:val="00E81C52"/>
    <w:rsid w:val="00E81FCA"/>
    <w:rsid w:val="00E86B92"/>
    <w:rsid w:val="00EB0B02"/>
    <w:rsid w:val="00EB1A2E"/>
    <w:rsid w:val="00ED489C"/>
    <w:rsid w:val="00ED6964"/>
    <w:rsid w:val="00F0334C"/>
    <w:rsid w:val="00F60FAB"/>
    <w:rsid w:val="00F66CAE"/>
    <w:rsid w:val="00FD26E4"/>
    <w:rsid w:val="07A224C1"/>
    <w:rsid w:val="08604C2A"/>
    <w:rsid w:val="08FA78C0"/>
    <w:rsid w:val="0AA1D7AC"/>
    <w:rsid w:val="137EC2BB"/>
    <w:rsid w:val="13F96E00"/>
    <w:rsid w:val="18390B81"/>
    <w:rsid w:val="1BF2EED9"/>
    <w:rsid w:val="274EBF99"/>
    <w:rsid w:val="29211408"/>
    <w:rsid w:val="2942F23E"/>
    <w:rsid w:val="2DABC4FE"/>
    <w:rsid w:val="34A78EAE"/>
    <w:rsid w:val="366A6844"/>
    <w:rsid w:val="3A2AFAC5"/>
    <w:rsid w:val="3A711FA9"/>
    <w:rsid w:val="3CC9F6F5"/>
    <w:rsid w:val="478CDEEB"/>
    <w:rsid w:val="4AF9CF5C"/>
    <w:rsid w:val="4BD16AFD"/>
    <w:rsid w:val="4D0C8C5C"/>
    <w:rsid w:val="626ED450"/>
    <w:rsid w:val="632E064A"/>
    <w:rsid w:val="6376C677"/>
    <w:rsid w:val="6B58A418"/>
    <w:rsid w:val="70DC102F"/>
    <w:rsid w:val="75AF8152"/>
    <w:rsid w:val="785FF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12933"/>
  <w15:docId w15:val="{E812E108-E61A-4006-A8D3-2820F8FB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1F3"/>
  </w:style>
  <w:style w:type="paragraph" w:styleId="Heading1">
    <w:name w:val="heading 1"/>
    <w:basedOn w:val="Normal"/>
    <w:next w:val="Normal"/>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59" w:lineRule="auto"/>
    </w:pPr>
    <w:rPr>
      <w:rFonts w:ascii="Calibri" w:eastAsia="Calibri" w:hAnsi="Calibri" w:cs="Calibri"/>
      <w:b/>
      <w:sz w:val="72"/>
      <w:szCs w:val="72"/>
    </w:rPr>
  </w:style>
  <w:style w:type="paragraph" w:styleId="Subtitle">
    <w:name w:val="Subtitle"/>
    <w:basedOn w:val="Normal"/>
    <w:next w:val="Normal"/>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401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19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250E8"/>
    <w:rPr>
      <w:b/>
      <w:bCs/>
    </w:rPr>
  </w:style>
  <w:style w:type="character" w:customStyle="1" w:styleId="CommentSubjectChar">
    <w:name w:val="Comment Subject Char"/>
    <w:basedOn w:val="CommentTextChar"/>
    <w:link w:val="CommentSubject"/>
    <w:uiPriority w:val="99"/>
    <w:semiHidden/>
    <w:rsid w:val="00E250E8"/>
    <w:rPr>
      <w:b/>
      <w:bCs/>
      <w:sz w:val="20"/>
      <w:szCs w:val="20"/>
    </w:rPr>
  </w:style>
  <w:style w:type="character" w:styleId="LineNumber">
    <w:name w:val="line number"/>
    <w:basedOn w:val="DefaultParagraphFont"/>
    <w:uiPriority w:val="99"/>
    <w:semiHidden/>
    <w:unhideWhenUsed/>
    <w:rsid w:val="00EB0B02"/>
  </w:style>
  <w:style w:type="paragraph" w:styleId="ListParagraph">
    <w:name w:val="List Paragraph"/>
    <w:basedOn w:val="Normal"/>
    <w:uiPriority w:val="34"/>
    <w:qFormat/>
    <w:rsid w:val="00AC41AF"/>
    <w:pPr>
      <w:ind w:left="720"/>
      <w:contextualSpacing/>
    </w:pPr>
  </w:style>
  <w:style w:type="paragraph" w:styleId="NormalWeb">
    <w:name w:val="Normal (Web)"/>
    <w:basedOn w:val="Normal"/>
    <w:uiPriority w:val="99"/>
    <w:semiHidden/>
    <w:unhideWhenUsed/>
    <w:rsid w:val="007D4BCD"/>
    <w:pPr>
      <w:spacing w:before="100" w:beforeAutospacing="1" w:after="100" w:afterAutospacing="1"/>
    </w:pPr>
    <w:rPr>
      <w:rFonts w:eastAsiaTheme="minorEastAsia"/>
    </w:rPr>
  </w:style>
  <w:style w:type="character" w:styleId="Hyperlink">
    <w:name w:val="Hyperlink"/>
    <w:basedOn w:val="DefaultParagraphFont"/>
    <w:uiPriority w:val="99"/>
    <w:unhideWhenUsed/>
    <w:rsid w:val="00A55628"/>
    <w:rPr>
      <w:color w:val="0000FF" w:themeColor="hyperlink"/>
      <w:u w:val="single"/>
    </w:rPr>
  </w:style>
  <w:style w:type="paragraph" w:styleId="Header">
    <w:name w:val="header"/>
    <w:basedOn w:val="Normal"/>
    <w:link w:val="HeaderChar"/>
    <w:uiPriority w:val="99"/>
    <w:unhideWhenUsed/>
    <w:rsid w:val="000B74BF"/>
    <w:pPr>
      <w:tabs>
        <w:tab w:val="center" w:pos="4513"/>
        <w:tab w:val="right" w:pos="9026"/>
      </w:tabs>
    </w:pPr>
  </w:style>
  <w:style w:type="character" w:customStyle="1" w:styleId="HeaderChar">
    <w:name w:val="Header Char"/>
    <w:basedOn w:val="DefaultParagraphFont"/>
    <w:link w:val="Header"/>
    <w:uiPriority w:val="99"/>
    <w:rsid w:val="000B74BF"/>
  </w:style>
  <w:style w:type="paragraph" w:styleId="Footer">
    <w:name w:val="footer"/>
    <w:basedOn w:val="Normal"/>
    <w:link w:val="FooterChar"/>
    <w:uiPriority w:val="99"/>
    <w:unhideWhenUsed/>
    <w:rsid w:val="000B74BF"/>
    <w:pPr>
      <w:tabs>
        <w:tab w:val="center" w:pos="4513"/>
        <w:tab w:val="right" w:pos="9026"/>
      </w:tabs>
    </w:pPr>
  </w:style>
  <w:style w:type="character" w:customStyle="1" w:styleId="FooterChar">
    <w:name w:val="Footer Char"/>
    <w:basedOn w:val="DefaultParagraphFont"/>
    <w:link w:val="Footer"/>
    <w:uiPriority w:val="99"/>
    <w:rsid w:val="000B7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728195">
      <w:bodyDiv w:val="1"/>
      <w:marLeft w:val="0"/>
      <w:marRight w:val="0"/>
      <w:marTop w:val="0"/>
      <w:marBottom w:val="0"/>
      <w:divBdr>
        <w:top w:val="none" w:sz="0" w:space="0" w:color="auto"/>
        <w:left w:val="none" w:sz="0" w:space="0" w:color="auto"/>
        <w:bottom w:val="none" w:sz="0" w:space="0" w:color="auto"/>
        <w:right w:val="none" w:sz="0" w:space="0" w:color="auto"/>
      </w:divBdr>
    </w:div>
    <w:div w:id="619645879">
      <w:bodyDiv w:val="1"/>
      <w:marLeft w:val="0"/>
      <w:marRight w:val="0"/>
      <w:marTop w:val="0"/>
      <w:marBottom w:val="0"/>
      <w:divBdr>
        <w:top w:val="none" w:sz="0" w:space="0" w:color="auto"/>
        <w:left w:val="none" w:sz="0" w:space="0" w:color="auto"/>
        <w:bottom w:val="none" w:sz="0" w:space="0" w:color="auto"/>
        <w:right w:val="none" w:sz="0" w:space="0" w:color="auto"/>
      </w:divBdr>
    </w:div>
    <w:div w:id="1658924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hub.com/alexdobin/STAR/blob/master/doc/STARmanual.pdf"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CC135235771047A464B48028F6F406" ma:contentTypeVersion="8" ma:contentTypeDescription="Create a new document." ma:contentTypeScope="" ma:versionID="befc02e5e70e5c16609e4c309b95abf3">
  <xsd:schema xmlns:xsd="http://www.w3.org/2001/XMLSchema" xmlns:xs="http://www.w3.org/2001/XMLSchema" xmlns:p="http://schemas.microsoft.com/office/2006/metadata/properties" xmlns:ns2="0206d022-eeab-4b8b-ae5a-4a13bf4dc33f" targetNamespace="http://schemas.microsoft.com/office/2006/metadata/properties" ma:root="true" ma:fieldsID="f345684c4485cade05b463328c1956b8" ns2:_="">
    <xsd:import namespace="0206d022-eeab-4b8b-ae5a-4a13bf4dc3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6d022-eeab-4b8b-ae5a-4a13bf4dc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DF92F-7A68-4223-9866-8D53D2249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6d022-eeab-4b8b-ae5a-4a13bf4dc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D702E-3C32-4B00-AD41-3C0104052065}">
  <ds:schemaRef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0206d022-eeab-4b8b-ae5a-4a13bf4dc33f"/>
  </ds:schemaRefs>
</ds:datastoreItem>
</file>

<file path=customXml/itemProps3.xml><?xml version="1.0" encoding="utf-8"?>
<ds:datastoreItem xmlns:ds="http://schemas.openxmlformats.org/officeDocument/2006/customXml" ds:itemID="{6F142FD2-4886-4EBB-A451-69FD44C8727B}">
  <ds:schemaRefs>
    <ds:schemaRef ds:uri="http://schemas.microsoft.com/sharepoint/v3/contenttype/forms"/>
  </ds:schemaRefs>
</ds:datastoreItem>
</file>

<file path=customXml/itemProps4.xml><?xml version="1.0" encoding="utf-8"?>
<ds:datastoreItem xmlns:ds="http://schemas.openxmlformats.org/officeDocument/2006/customXml" ds:itemID="{2759FB28-952F-4E9C-BA1A-C28057B4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24954</Words>
  <Characters>142240</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166861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Pearson-Farr</dc:creator>
  <cp:lastModifiedBy>Jane Cleal</cp:lastModifiedBy>
  <cp:revision>2</cp:revision>
  <dcterms:created xsi:type="dcterms:W3CDTF">2022-08-15T10:27:00Z</dcterms:created>
  <dcterms:modified xsi:type="dcterms:W3CDTF">2022-08-15T10:27:00Z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e1602c95-5b1c-340c-b54c-81b7234d6bca</vt:lpwstr>
  </property>
  <property fmtid="{D5CDD505-2E9C-101B-9397-08002B2CF9AE}" pid="24" name="Mendeley Citation Style_1">
    <vt:lpwstr>http://www.zotero.org/styles/apa</vt:lpwstr>
  </property>
  <property fmtid="{D5CDD505-2E9C-101B-9397-08002B2CF9AE}" pid="25" name="ContentTypeId">
    <vt:lpwstr>0x01010033CC135235771047A464B48028F6F406</vt:lpwstr>
  </property>
</Properties>
</file>